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FE3620" w14:textId="77777777" w:rsidR="00212CFA" w:rsidRDefault="00212CFA" w:rsidP="00177BCE">
      <w:pPr>
        <w:pStyle w:val="Bullet1stLevelkeepwithnext"/>
        <w:numPr>
          <w:ilvl w:val="0"/>
          <w:numId w:val="0"/>
        </w:numPr>
        <w:ind w:left="340"/>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89"/>
      </w:tblGrid>
      <w:tr w:rsidR="00765A4F" w:rsidRPr="00630A55" w14:paraId="226FFBF9" w14:textId="77777777" w:rsidTr="00F32E04">
        <w:trPr>
          <w:trHeight w:val="11395"/>
        </w:trPr>
        <w:tc>
          <w:tcPr>
            <w:tcW w:w="8589" w:type="dxa"/>
          </w:tcPr>
          <w:p w14:paraId="226FFBF6" w14:textId="38A07D6E" w:rsidR="00765A4F" w:rsidRPr="00DD4007" w:rsidRDefault="00131C8F" w:rsidP="00177BCE">
            <w:pPr>
              <w:pStyle w:val="Covertitle172"/>
              <w:tabs>
                <w:tab w:val="left" w:pos="4170"/>
              </w:tabs>
            </w:pPr>
            <w:bookmarkStart w:id="0" w:name="_Hlk114824480"/>
            <w:bookmarkEnd w:id="0"/>
            <w:r w:rsidRPr="00DD4007">
              <w:t xml:space="preserve">Independent </w:t>
            </w:r>
            <w:r w:rsidR="007035EE" w:rsidRPr="00DD4007">
              <w:t xml:space="preserve">Financial </w:t>
            </w:r>
            <w:r w:rsidRPr="00DD4007">
              <w:t>Review of the N</w:t>
            </w:r>
            <w:r w:rsidR="00D94A0C" w:rsidRPr="00DD4007">
              <w:drawing>
                <wp:anchor distT="0" distB="0" distL="114300" distR="114300" simplePos="0" relativeHeight="251658240" behindDoc="1" locked="1" layoutInCell="1" allowOverlap="1" wp14:anchorId="7F10BBB4" wp14:editId="77BF20AE">
                  <wp:simplePos x="0" y="0"/>
                  <wp:positionH relativeFrom="page">
                    <wp:posOffset>-1205865</wp:posOffset>
                  </wp:positionH>
                  <wp:positionV relativeFrom="page">
                    <wp:posOffset>-2106930</wp:posOffset>
                  </wp:positionV>
                  <wp:extent cx="7559675" cy="10909300"/>
                  <wp:effectExtent l="0" t="0" r="3175" b="635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59675" cy="10909300"/>
                          </a:xfrm>
                          <a:prstGeom prst="rect">
                            <a:avLst/>
                          </a:prstGeom>
                        </pic:spPr>
                      </pic:pic>
                    </a:graphicData>
                  </a:graphic>
                  <wp14:sizeRelH relativeFrom="margin">
                    <wp14:pctWidth>0</wp14:pctWidth>
                  </wp14:sizeRelH>
                  <wp14:sizeRelV relativeFrom="margin">
                    <wp14:pctHeight>0</wp14:pctHeight>
                  </wp14:sizeRelV>
                </wp:anchor>
              </w:drawing>
            </w:r>
            <w:r w:rsidRPr="00DD4007">
              <w:t>ational Hospital Cost Data Collection</w:t>
            </w:r>
          </w:p>
          <w:p w14:paraId="226FFBF7" w14:textId="3D2DCCA1" w:rsidR="00A130DE" w:rsidRPr="00DD4007" w:rsidRDefault="000408F2" w:rsidP="00A130DE">
            <w:pPr>
              <w:pStyle w:val="Covertitle216ptB"/>
            </w:pPr>
            <w:r>
              <w:t xml:space="preserve">Financial Year </w:t>
            </w:r>
            <w:r w:rsidR="007035EE" w:rsidRPr="00DD4007">
              <w:t>20</w:t>
            </w:r>
            <w:r w:rsidR="00657A7A" w:rsidRPr="00DD4007">
              <w:t>20-21</w:t>
            </w:r>
          </w:p>
          <w:p w14:paraId="226FFBF8" w14:textId="55B1FDA0" w:rsidR="00A130DE" w:rsidRPr="00DD4007" w:rsidRDefault="00E002AC" w:rsidP="00A130DE">
            <w:pPr>
              <w:pStyle w:val="Covertitle316ptNB"/>
            </w:pPr>
            <w:r w:rsidRPr="00DD4007">
              <w:t>Independent H</w:t>
            </w:r>
            <w:r w:rsidR="0082103E" w:rsidRPr="00DD4007">
              <w:t>ealth and Aged Care</w:t>
            </w:r>
            <w:r w:rsidRPr="00DD4007">
              <w:t xml:space="preserve"> Pricing Authority</w:t>
            </w:r>
          </w:p>
        </w:tc>
      </w:tr>
      <w:tr w:rsidR="00765A4F" w:rsidRPr="00630A55" w14:paraId="226FFBFC" w14:textId="77777777" w:rsidTr="00C96B38">
        <w:trPr>
          <w:trHeight w:val="1134"/>
        </w:trPr>
        <w:tc>
          <w:tcPr>
            <w:tcW w:w="8589" w:type="dxa"/>
            <w:vAlign w:val="bottom"/>
          </w:tcPr>
          <w:p w14:paraId="226FFBFA" w14:textId="607FD555" w:rsidR="00A130DE" w:rsidRPr="00DD4007" w:rsidRDefault="00C37C0D" w:rsidP="0097608C">
            <w:pPr>
              <w:pStyle w:val="Covertitle410pt"/>
            </w:pPr>
            <w:r>
              <w:t xml:space="preserve">March </w:t>
            </w:r>
            <w:r w:rsidR="00080072">
              <w:t>2023</w:t>
            </w:r>
          </w:p>
          <w:p w14:paraId="226FFBFB" w14:textId="77777777" w:rsidR="00765A4F" w:rsidRPr="00630A55" w:rsidRDefault="00D61216" w:rsidP="0097608C">
            <w:pPr>
              <w:pStyle w:val="Covertitle410pt"/>
              <w:rPr>
                <w:rFonts w:ascii="Univers 45 Light" w:hAnsi="Univers 45 Light"/>
              </w:rPr>
            </w:pPr>
            <w:r w:rsidRPr="00DD4007">
              <w:t>KPMG</w:t>
            </w:r>
            <w:r w:rsidR="00A130DE" w:rsidRPr="00DD4007">
              <w:t>.com.au</w:t>
            </w:r>
          </w:p>
        </w:tc>
      </w:tr>
    </w:tbl>
    <w:p w14:paraId="226FFBFD" w14:textId="77777777" w:rsidR="009633A2" w:rsidRPr="00A16B1D" w:rsidRDefault="009633A2" w:rsidP="009633A2">
      <w:pPr>
        <w:sectPr w:rsidR="009633A2" w:rsidRPr="00A16B1D" w:rsidSect="00F32E04">
          <w:pgSz w:w="11906" w:h="16838"/>
          <w:pgMar w:top="2835" w:right="1418" w:bottom="851" w:left="1899" w:header="709" w:footer="709" w:gutter="0"/>
          <w:cols w:space="708"/>
          <w:docGrid w:linePitch="360"/>
        </w:sectPr>
      </w:pPr>
    </w:p>
    <w:p w14:paraId="193F1F34" w14:textId="40EA70E6" w:rsidR="0082170F" w:rsidRPr="00630A55" w:rsidRDefault="0082170F" w:rsidP="0082170F">
      <w:pPr>
        <w:pStyle w:val="Heading1Noshow"/>
        <w:spacing w:after="360"/>
        <w:rPr>
          <w:rFonts w:ascii="Univers 45 Light" w:hAnsi="Univers 45 Light"/>
        </w:rPr>
      </w:pPr>
      <w:r w:rsidRPr="00630A55">
        <w:rPr>
          <w:rFonts w:ascii="Univers 45 Light" w:hAnsi="Univers 45 Light"/>
        </w:rPr>
        <w:lastRenderedPageBreak/>
        <w:t>Contents</w:t>
      </w:r>
    </w:p>
    <w:p w14:paraId="1B086B56" w14:textId="42DFDB94" w:rsidR="008B789B" w:rsidRDefault="00245405">
      <w:pPr>
        <w:pStyle w:val="TOC1"/>
        <w:rPr>
          <w:rFonts w:asciiTheme="minorHAnsi" w:eastAsiaTheme="minorEastAsia" w:hAnsiTheme="minorHAnsi"/>
          <w:lang w:eastAsia="en-AU"/>
        </w:rPr>
      </w:pPr>
      <w:r>
        <w:rPr>
          <w:rFonts w:cs="Arial"/>
          <w:b/>
          <w:sz w:val="24"/>
        </w:rPr>
        <w:fldChar w:fldCharType="begin"/>
      </w:r>
      <w:r>
        <w:rPr>
          <w:rFonts w:cs="Arial"/>
          <w:b/>
          <w:sz w:val="24"/>
        </w:rPr>
        <w:instrText xml:space="preserve"> TOC \h \z \t "Heading 1,1,Heading 2,2,HeadingLevel1NoNumber,1,Appendix heading,1" </w:instrText>
      </w:r>
      <w:r>
        <w:rPr>
          <w:rFonts w:cs="Arial"/>
          <w:b/>
          <w:sz w:val="24"/>
        </w:rPr>
        <w:fldChar w:fldCharType="separate"/>
      </w:r>
      <w:hyperlink w:anchor="_Toc128376711" w:history="1">
        <w:r w:rsidR="008B789B" w:rsidRPr="00417CFB">
          <w:rPr>
            <w:rStyle w:val="Hyperlink"/>
          </w:rPr>
          <w:t>Executive summary</w:t>
        </w:r>
        <w:r w:rsidR="008B789B">
          <w:rPr>
            <w:webHidden/>
          </w:rPr>
          <w:tab/>
        </w:r>
        <w:r w:rsidR="008B789B">
          <w:rPr>
            <w:webHidden/>
          </w:rPr>
          <w:fldChar w:fldCharType="begin"/>
        </w:r>
        <w:r w:rsidR="008B789B">
          <w:rPr>
            <w:webHidden/>
          </w:rPr>
          <w:instrText xml:space="preserve"> PAGEREF _Toc128376711 \h </w:instrText>
        </w:r>
        <w:r w:rsidR="008B789B">
          <w:rPr>
            <w:webHidden/>
          </w:rPr>
        </w:r>
        <w:r w:rsidR="008B789B">
          <w:rPr>
            <w:webHidden/>
          </w:rPr>
          <w:fldChar w:fldCharType="separate"/>
        </w:r>
        <w:r w:rsidR="007E2ACB">
          <w:rPr>
            <w:webHidden/>
          </w:rPr>
          <w:t>1</w:t>
        </w:r>
        <w:r w:rsidR="008B789B">
          <w:rPr>
            <w:webHidden/>
          </w:rPr>
          <w:fldChar w:fldCharType="end"/>
        </w:r>
      </w:hyperlink>
    </w:p>
    <w:p w14:paraId="2D0A94BD" w14:textId="12DBB41D" w:rsidR="008B789B" w:rsidRDefault="00B7462B">
      <w:pPr>
        <w:pStyle w:val="TOC1"/>
        <w:rPr>
          <w:rFonts w:asciiTheme="minorHAnsi" w:eastAsiaTheme="minorEastAsia" w:hAnsiTheme="minorHAnsi"/>
          <w:lang w:eastAsia="en-AU"/>
        </w:rPr>
      </w:pPr>
      <w:hyperlink w:anchor="_Toc128376712" w:history="1">
        <w:r w:rsidR="008B789B" w:rsidRPr="00417CFB">
          <w:rPr>
            <w:rStyle w:val="Hyperlink"/>
          </w:rPr>
          <w:t>1</w:t>
        </w:r>
        <w:r w:rsidR="008B789B">
          <w:rPr>
            <w:rFonts w:asciiTheme="minorHAnsi" w:eastAsiaTheme="minorEastAsia" w:hAnsiTheme="minorHAnsi"/>
            <w:lang w:eastAsia="en-AU"/>
          </w:rPr>
          <w:tab/>
        </w:r>
        <w:r w:rsidR="008B789B" w:rsidRPr="00417CFB">
          <w:rPr>
            <w:rStyle w:val="Hyperlink"/>
          </w:rPr>
          <w:t>Introduction</w:t>
        </w:r>
        <w:r w:rsidR="008B789B">
          <w:rPr>
            <w:webHidden/>
          </w:rPr>
          <w:tab/>
        </w:r>
        <w:r w:rsidR="008B789B">
          <w:rPr>
            <w:webHidden/>
          </w:rPr>
          <w:fldChar w:fldCharType="begin"/>
        </w:r>
        <w:r w:rsidR="008B789B">
          <w:rPr>
            <w:webHidden/>
          </w:rPr>
          <w:instrText xml:space="preserve"> PAGEREF _Toc128376712 \h </w:instrText>
        </w:r>
        <w:r w:rsidR="008B789B">
          <w:rPr>
            <w:webHidden/>
          </w:rPr>
        </w:r>
        <w:r w:rsidR="008B789B">
          <w:rPr>
            <w:webHidden/>
          </w:rPr>
          <w:fldChar w:fldCharType="separate"/>
        </w:r>
        <w:r w:rsidR="007E2ACB">
          <w:rPr>
            <w:webHidden/>
          </w:rPr>
          <w:t>13</w:t>
        </w:r>
        <w:r w:rsidR="008B789B">
          <w:rPr>
            <w:webHidden/>
          </w:rPr>
          <w:fldChar w:fldCharType="end"/>
        </w:r>
      </w:hyperlink>
    </w:p>
    <w:p w14:paraId="09F8EFFA" w14:textId="49565323" w:rsidR="008B789B" w:rsidRDefault="00B7462B">
      <w:pPr>
        <w:pStyle w:val="TOC2"/>
        <w:rPr>
          <w:rFonts w:asciiTheme="minorHAnsi" w:eastAsiaTheme="minorEastAsia" w:hAnsiTheme="minorHAnsi"/>
          <w:lang w:eastAsia="en-AU"/>
        </w:rPr>
      </w:pPr>
      <w:hyperlink w:anchor="_Toc128376713" w:history="1">
        <w:r w:rsidR="008B789B" w:rsidRPr="00417CFB">
          <w:rPr>
            <w:rStyle w:val="Hyperlink"/>
            <w:rFonts w:cs="Arial"/>
          </w:rPr>
          <w:t>1.1</w:t>
        </w:r>
        <w:r w:rsidR="008B789B">
          <w:rPr>
            <w:rFonts w:asciiTheme="minorHAnsi" w:eastAsiaTheme="minorEastAsia" w:hAnsiTheme="minorHAnsi"/>
            <w:lang w:eastAsia="en-AU"/>
          </w:rPr>
          <w:tab/>
        </w:r>
        <w:r w:rsidR="008B789B" w:rsidRPr="00417CFB">
          <w:rPr>
            <w:rStyle w:val="Hyperlink"/>
          </w:rPr>
          <w:t>Scope of the Independent Financial Review</w:t>
        </w:r>
        <w:r w:rsidR="008B789B">
          <w:rPr>
            <w:webHidden/>
          </w:rPr>
          <w:tab/>
        </w:r>
        <w:r w:rsidR="008B789B">
          <w:rPr>
            <w:webHidden/>
          </w:rPr>
          <w:fldChar w:fldCharType="begin"/>
        </w:r>
        <w:r w:rsidR="008B789B">
          <w:rPr>
            <w:webHidden/>
          </w:rPr>
          <w:instrText xml:space="preserve"> PAGEREF _Toc128376713 \h </w:instrText>
        </w:r>
        <w:r w:rsidR="008B789B">
          <w:rPr>
            <w:webHidden/>
          </w:rPr>
        </w:r>
        <w:r w:rsidR="008B789B">
          <w:rPr>
            <w:webHidden/>
          </w:rPr>
          <w:fldChar w:fldCharType="separate"/>
        </w:r>
        <w:r w:rsidR="007E2ACB">
          <w:rPr>
            <w:webHidden/>
          </w:rPr>
          <w:t>13</w:t>
        </w:r>
        <w:r w:rsidR="008B789B">
          <w:rPr>
            <w:webHidden/>
          </w:rPr>
          <w:fldChar w:fldCharType="end"/>
        </w:r>
      </w:hyperlink>
    </w:p>
    <w:p w14:paraId="2E1B1114" w14:textId="5DA93860" w:rsidR="008B789B" w:rsidRDefault="00B7462B">
      <w:pPr>
        <w:pStyle w:val="TOC2"/>
        <w:rPr>
          <w:rFonts w:asciiTheme="minorHAnsi" w:eastAsiaTheme="minorEastAsia" w:hAnsiTheme="minorHAnsi"/>
          <w:lang w:eastAsia="en-AU"/>
        </w:rPr>
      </w:pPr>
      <w:hyperlink w:anchor="_Toc128376714" w:history="1">
        <w:r w:rsidR="008B789B" w:rsidRPr="00417CFB">
          <w:rPr>
            <w:rStyle w:val="Hyperlink"/>
            <w:rFonts w:cs="Arial"/>
          </w:rPr>
          <w:t>1.2</w:t>
        </w:r>
        <w:r w:rsidR="008B789B">
          <w:rPr>
            <w:rFonts w:asciiTheme="minorHAnsi" w:eastAsiaTheme="minorEastAsia" w:hAnsiTheme="minorHAnsi"/>
            <w:lang w:eastAsia="en-AU"/>
          </w:rPr>
          <w:tab/>
        </w:r>
        <w:r w:rsidR="008B789B" w:rsidRPr="00417CFB">
          <w:rPr>
            <w:rStyle w:val="Hyperlink"/>
          </w:rPr>
          <w:t>Methodology</w:t>
        </w:r>
        <w:r w:rsidR="008B789B">
          <w:rPr>
            <w:webHidden/>
          </w:rPr>
          <w:tab/>
        </w:r>
        <w:r w:rsidR="008B789B">
          <w:rPr>
            <w:webHidden/>
          </w:rPr>
          <w:fldChar w:fldCharType="begin"/>
        </w:r>
        <w:r w:rsidR="008B789B">
          <w:rPr>
            <w:webHidden/>
          </w:rPr>
          <w:instrText xml:space="preserve"> PAGEREF _Toc128376714 \h </w:instrText>
        </w:r>
        <w:r w:rsidR="008B789B">
          <w:rPr>
            <w:webHidden/>
          </w:rPr>
        </w:r>
        <w:r w:rsidR="008B789B">
          <w:rPr>
            <w:webHidden/>
          </w:rPr>
          <w:fldChar w:fldCharType="separate"/>
        </w:r>
        <w:r w:rsidR="007E2ACB">
          <w:rPr>
            <w:webHidden/>
          </w:rPr>
          <w:t>14</w:t>
        </w:r>
        <w:r w:rsidR="008B789B">
          <w:rPr>
            <w:webHidden/>
          </w:rPr>
          <w:fldChar w:fldCharType="end"/>
        </w:r>
      </w:hyperlink>
    </w:p>
    <w:p w14:paraId="5F6AFC23" w14:textId="4390CF75" w:rsidR="008B789B" w:rsidRDefault="00B7462B">
      <w:pPr>
        <w:pStyle w:val="TOC2"/>
        <w:rPr>
          <w:rFonts w:asciiTheme="minorHAnsi" w:eastAsiaTheme="minorEastAsia" w:hAnsiTheme="minorHAnsi"/>
          <w:lang w:eastAsia="en-AU"/>
        </w:rPr>
      </w:pPr>
      <w:hyperlink w:anchor="_Toc128376715" w:history="1">
        <w:r w:rsidR="008B789B" w:rsidRPr="00417CFB">
          <w:rPr>
            <w:rStyle w:val="Hyperlink"/>
            <w:rFonts w:cs="Arial"/>
          </w:rPr>
          <w:t>1.3</w:t>
        </w:r>
        <w:r w:rsidR="008B789B">
          <w:rPr>
            <w:rFonts w:asciiTheme="minorHAnsi" w:eastAsiaTheme="minorEastAsia" w:hAnsiTheme="minorHAnsi"/>
            <w:lang w:eastAsia="en-AU"/>
          </w:rPr>
          <w:tab/>
        </w:r>
        <w:r w:rsidR="008B789B" w:rsidRPr="00417CFB">
          <w:rPr>
            <w:rStyle w:val="Hyperlink"/>
          </w:rPr>
          <w:t>Participating sites</w:t>
        </w:r>
        <w:r w:rsidR="008B789B">
          <w:rPr>
            <w:webHidden/>
          </w:rPr>
          <w:tab/>
        </w:r>
        <w:r w:rsidR="008B789B">
          <w:rPr>
            <w:webHidden/>
          </w:rPr>
          <w:fldChar w:fldCharType="begin"/>
        </w:r>
        <w:r w:rsidR="008B789B">
          <w:rPr>
            <w:webHidden/>
          </w:rPr>
          <w:instrText xml:space="preserve"> PAGEREF _Toc128376715 \h </w:instrText>
        </w:r>
        <w:r w:rsidR="008B789B">
          <w:rPr>
            <w:webHidden/>
          </w:rPr>
        </w:r>
        <w:r w:rsidR="008B789B">
          <w:rPr>
            <w:webHidden/>
          </w:rPr>
          <w:fldChar w:fldCharType="separate"/>
        </w:r>
        <w:r w:rsidR="007E2ACB">
          <w:rPr>
            <w:webHidden/>
          </w:rPr>
          <w:t>14</w:t>
        </w:r>
        <w:r w:rsidR="008B789B">
          <w:rPr>
            <w:webHidden/>
          </w:rPr>
          <w:fldChar w:fldCharType="end"/>
        </w:r>
      </w:hyperlink>
    </w:p>
    <w:p w14:paraId="2657BCAF" w14:textId="5D82EAA8" w:rsidR="008B789B" w:rsidRDefault="00B7462B">
      <w:pPr>
        <w:pStyle w:val="TOC2"/>
        <w:rPr>
          <w:rFonts w:asciiTheme="minorHAnsi" w:eastAsiaTheme="minorEastAsia" w:hAnsiTheme="minorHAnsi"/>
          <w:lang w:eastAsia="en-AU"/>
        </w:rPr>
      </w:pPr>
      <w:hyperlink w:anchor="_Toc128376716" w:history="1">
        <w:r w:rsidR="008B789B" w:rsidRPr="00417CFB">
          <w:rPr>
            <w:rStyle w:val="Hyperlink"/>
            <w:rFonts w:cs="Arial"/>
          </w:rPr>
          <w:t>1.4</w:t>
        </w:r>
        <w:r w:rsidR="008B789B">
          <w:rPr>
            <w:rFonts w:asciiTheme="minorHAnsi" w:eastAsiaTheme="minorEastAsia" w:hAnsiTheme="minorHAnsi"/>
            <w:lang w:eastAsia="en-AU"/>
          </w:rPr>
          <w:tab/>
        </w:r>
        <w:r w:rsidR="008B789B" w:rsidRPr="00417CFB">
          <w:rPr>
            <w:rStyle w:val="Hyperlink"/>
          </w:rPr>
          <w:t>Challenges</w:t>
        </w:r>
        <w:r w:rsidR="008B789B">
          <w:rPr>
            <w:webHidden/>
          </w:rPr>
          <w:tab/>
        </w:r>
        <w:r w:rsidR="008B789B">
          <w:rPr>
            <w:webHidden/>
          </w:rPr>
          <w:fldChar w:fldCharType="begin"/>
        </w:r>
        <w:r w:rsidR="008B789B">
          <w:rPr>
            <w:webHidden/>
          </w:rPr>
          <w:instrText xml:space="preserve"> PAGEREF _Toc128376716 \h </w:instrText>
        </w:r>
        <w:r w:rsidR="008B789B">
          <w:rPr>
            <w:webHidden/>
          </w:rPr>
        </w:r>
        <w:r w:rsidR="008B789B">
          <w:rPr>
            <w:webHidden/>
          </w:rPr>
          <w:fldChar w:fldCharType="separate"/>
        </w:r>
        <w:r w:rsidR="007E2ACB">
          <w:rPr>
            <w:webHidden/>
          </w:rPr>
          <w:t>15</w:t>
        </w:r>
        <w:r w:rsidR="008B789B">
          <w:rPr>
            <w:webHidden/>
          </w:rPr>
          <w:fldChar w:fldCharType="end"/>
        </w:r>
      </w:hyperlink>
    </w:p>
    <w:p w14:paraId="0EEE439E" w14:textId="492879BF" w:rsidR="008B789B" w:rsidRDefault="00B7462B">
      <w:pPr>
        <w:pStyle w:val="TOC1"/>
        <w:rPr>
          <w:rFonts w:asciiTheme="minorHAnsi" w:eastAsiaTheme="minorEastAsia" w:hAnsiTheme="minorHAnsi"/>
          <w:lang w:eastAsia="en-AU"/>
        </w:rPr>
      </w:pPr>
      <w:hyperlink w:anchor="_Toc128376717" w:history="1">
        <w:r w:rsidR="008B789B" w:rsidRPr="00417CFB">
          <w:rPr>
            <w:rStyle w:val="Hyperlink"/>
          </w:rPr>
          <w:t>2</w:t>
        </w:r>
        <w:r w:rsidR="008B789B">
          <w:rPr>
            <w:rFonts w:asciiTheme="minorHAnsi" w:eastAsiaTheme="minorEastAsia" w:hAnsiTheme="minorHAnsi"/>
            <w:lang w:eastAsia="en-AU"/>
          </w:rPr>
          <w:tab/>
        </w:r>
        <w:r w:rsidR="008B789B" w:rsidRPr="00417CFB">
          <w:rPr>
            <w:rStyle w:val="Hyperlink"/>
          </w:rPr>
          <w:t>Findings and Recommendations</w:t>
        </w:r>
        <w:r w:rsidR="008B789B">
          <w:rPr>
            <w:webHidden/>
          </w:rPr>
          <w:tab/>
        </w:r>
        <w:r w:rsidR="008B789B">
          <w:rPr>
            <w:webHidden/>
          </w:rPr>
          <w:fldChar w:fldCharType="begin"/>
        </w:r>
        <w:r w:rsidR="008B789B">
          <w:rPr>
            <w:webHidden/>
          </w:rPr>
          <w:instrText xml:space="preserve"> PAGEREF _Toc128376717 \h </w:instrText>
        </w:r>
        <w:r w:rsidR="008B789B">
          <w:rPr>
            <w:webHidden/>
          </w:rPr>
        </w:r>
        <w:r w:rsidR="008B789B">
          <w:rPr>
            <w:webHidden/>
          </w:rPr>
          <w:fldChar w:fldCharType="separate"/>
        </w:r>
        <w:r w:rsidR="007E2ACB">
          <w:rPr>
            <w:webHidden/>
          </w:rPr>
          <w:t>16</w:t>
        </w:r>
        <w:r w:rsidR="008B789B">
          <w:rPr>
            <w:webHidden/>
          </w:rPr>
          <w:fldChar w:fldCharType="end"/>
        </w:r>
      </w:hyperlink>
    </w:p>
    <w:p w14:paraId="65A4C728" w14:textId="3C15BA47" w:rsidR="008B789B" w:rsidRDefault="00B7462B">
      <w:pPr>
        <w:pStyle w:val="TOC2"/>
        <w:rPr>
          <w:rFonts w:asciiTheme="minorHAnsi" w:eastAsiaTheme="minorEastAsia" w:hAnsiTheme="minorHAnsi"/>
          <w:lang w:eastAsia="en-AU"/>
        </w:rPr>
      </w:pPr>
      <w:hyperlink w:anchor="_Toc128376718" w:history="1">
        <w:r w:rsidR="008B789B" w:rsidRPr="00417CFB">
          <w:rPr>
            <w:rStyle w:val="Hyperlink"/>
            <w:rFonts w:cs="Arial"/>
          </w:rPr>
          <w:t>2.1</w:t>
        </w:r>
        <w:r w:rsidR="008B789B">
          <w:rPr>
            <w:rFonts w:asciiTheme="minorHAnsi" w:eastAsiaTheme="minorEastAsia" w:hAnsiTheme="minorHAnsi"/>
            <w:lang w:eastAsia="en-AU"/>
          </w:rPr>
          <w:tab/>
        </w:r>
        <w:r w:rsidR="008B789B" w:rsidRPr="00417CFB">
          <w:rPr>
            <w:rStyle w:val="Hyperlink"/>
          </w:rPr>
          <w:t>Observations from FY20/21</w:t>
        </w:r>
        <w:r w:rsidR="008B789B">
          <w:rPr>
            <w:webHidden/>
          </w:rPr>
          <w:tab/>
        </w:r>
        <w:r w:rsidR="008B789B">
          <w:rPr>
            <w:webHidden/>
          </w:rPr>
          <w:fldChar w:fldCharType="begin"/>
        </w:r>
        <w:r w:rsidR="008B789B">
          <w:rPr>
            <w:webHidden/>
          </w:rPr>
          <w:instrText xml:space="preserve"> PAGEREF _Toc128376718 \h </w:instrText>
        </w:r>
        <w:r w:rsidR="008B789B">
          <w:rPr>
            <w:webHidden/>
          </w:rPr>
        </w:r>
        <w:r w:rsidR="008B789B">
          <w:rPr>
            <w:webHidden/>
          </w:rPr>
          <w:fldChar w:fldCharType="separate"/>
        </w:r>
        <w:r w:rsidR="007E2ACB">
          <w:rPr>
            <w:webHidden/>
          </w:rPr>
          <w:t>16</w:t>
        </w:r>
        <w:r w:rsidR="008B789B">
          <w:rPr>
            <w:webHidden/>
          </w:rPr>
          <w:fldChar w:fldCharType="end"/>
        </w:r>
      </w:hyperlink>
    </w:p>
    <w:p w14:paraId="7D7943A9" w14:textId="6C26B0D3" w:rsidR="008B789B" w:rsidRDefault="00B7462B">
      <w:pPr>
        <w:pStyle w:val="TOC2"/>
        <w:rPr>
          <w:rFonts w:asciiTheme="minorHAnsi" w:eastAsiaTheme="minorEastAsia" w:hAnsiTheme="minorHAnsi"/>
          <w:lang w:eastAsia="en-AU"/>
        </w:rPr>
      </w:pPr>
      <w:hyperlink w:anchor="_Toc128376719" w:history="1">
        <w:r w:rsidR="008B789B" w:rsidRPr="00417CFB">
          <w:rPr>
            <w:rStyle w:val="Hyperlink"/>
            <w:rFonts w:cs="Arial"/>
          </w:rPr>
          <w:t>2.2</w:t>
        </w:r>
        <w:r w:rsidR="008B789B">
          <w:rPr>
            <w:rFonts w:asciiTheme="minorHAnsi" w:eastAsiaTheme="minorEastAsia" w:hAnsiTheme="minorHAnsi"/>
            <w:lang w:eastAsia="en-AU"/>
          </w:rPr>
          <w:tab/>
        </w:r>
        <w:r w:rsidR="008B789B" w:rsidRPr="00417CFB">
          <w:rPr>
            <w:rStyle w:val="Hyperlink"/>
          </w:rPr>
          <w:t>Recommendations for future IFRs</w:t>
        </w:r>
        <w:r w:rsidR="008B789B">
          <w:rPr>
            <w:webHidden/>
          </w:rPr>
          <w:tab/>
        </w:r>
        <w:r w:rsidR="008B789B">
          <w:rPr>
            <w:webHidden/>
          </w:rPr>
          <w:fldChar w:fldCharType="begin"/>
        </w:r>
        <w:r w:rsidR="008B789B">
          <w:rPr>
            <w:webHidden/>
          </w:rPr>
          <w:instrText xml:space="preserve"> PAGEREF _Toc128376719 \h </w:instrText>
        </w:r>
        <w:r w:rsidR="008B789B">
          <w:rPr>
            <w:webHidden/>
          </w:rPr>
        </w:r>
        <w:r w:rsidR="008B789B">
          <w:rPr>
            <w:webHidden/>
          </w:rPr>
          <w:fldChar w:fldCharType="separate"/>
        </w:r>
        <w:r w:rsidR="007E2ACB">
          <w:rPr>
            <w:webHidden/>
          </w:rPr>
          <w:t>21</w:t>
        </w:r>
        <w:r w:rsidR="008B789B">
          <w:rPr>
            <w:webHidden/>
          </w:rPr>
          <w:fldChar w:fldCharType="end"/>
        </w:r>
      </w:hyperlink>
    </w:p>
    <w:p w14:paraId="3025AD72" w14:textId="60A94173" w:rsidR="008B789B" w:rsidRDefault="00B7462B">
      <w:pPr>
        <w:pStyle w:val="TOC1"/>
        <w:rPr>
          <w:rFonts w:asciiTheme="minorHAnsi" w:eastAsiaTheme="minorEastAsia" w:hAnsiTheme="minorHAnsi"/>
          <w:lang w:eastAsia="en-AU"/>
        </w:rPr>
      </w:pPr>
      <w:hyperlink w:anchor="_Toc128376720" w:history="1">
        <w:r w:rsidR="008B789B" w:rsidRPr="00417CFB">
          <w:rPr>
            <w:rStyle w:val="Hyperlink"/>
          </w:rPr>
          <w:t>3</w:t>
        </w:r>
        <w:r w:rsidR="008B789B">
          <w:rPr>
            <w:rFonts w:asciiTheme="minorHAnsi" w:eastAsiaTheme="minorEastAsia" w:hAnsiTheme="minorHAnsi"/>
            <w:lang w:eastAsia="en-AU"/>
          </w:rPr>
          <w:tab/>
        </w:r>
        <w:r w:rsidR="008B789B" w:rsidRPr="00417CFB">
          <w:rPr>
            <w:rStyle w:val="Hyperlink"/>
          </w:rPr>
          <w:t>Focus areas</w:t>
        </w:r>
        <w:r w:rsidR="008B789B">
          <w:rPr>
            <w:webHidden/>
          </w:rPr>
          <w:tab/>
        </w:r>
        <w:r w:rsidR="008B789B">
          <w:rPr>
            <w:webHidden/>
          </w:rPr>
          <w:fldChar w:fldCharType="begin"/>
        </w:r>
        <w:r w:rsidR="008B789B">
          <w:rPr>
            <w:webHidden/>
          </w:rPr>
          <w:instrText xml:space="preserve"> PAGEREF _Toc128376720 \h </w:instrText>
        </w:r>
        <w:r w:rsidR="008B789B">
          <w:rPr>
            <w:webHidden/>
          </w:rPr>
        </w:r>
        <w:r w:rsidR="008B789B">
          <w:rPr>
            <w:webHidden/>
          </w:rPr>
          <w:fldChar w:fldCharType="separate"/>
        </w:r>
        <w:r w:rsidR="007E2ACB">
          <w:rPr>
            <w:webHidden/>
          </w:rPr>
          <w:t>24</w:t>
        </w:r>
        <w:r w:rsidR="008B789B">
          <w:rPr>
            <w:webHidden/>
          </w:rPr>
          <w:fldChar w:fldCharType="end"/>
        </w:r>
      </w:hyperlink>
    </w:p>
    <w:p w14:paraId="307BBC6A" w14:textId="4758AED1" w:rsidR="008B789B" w:rsidRDefault="00B7462B">
      <w:pPr>
        <w:pStyle w:val="TOC2"/>
        <w:rPr>
          <w:rFonts w:asciiTheme="minorHAnsi" w:eastAsiaTheme="minorEastAsia" w:hAnsiTheme="minorHAnsi"/>
          <w:lang w:eastAsia="en-AU"/>
        </w:rPr>
      </w:pPr>
      <w:hyperlink w:anchor="_Toc128376721" w:history="1">
        <w:r w:rsidR="008B789B" w:rsidRPr="00417CFB">
          <w:rPr>
            <w:rStyle w:val="Hyperlink"/>
            <w:rFonts w:cs="Arial"/>
          </w:rPr>
          <w:t>3.1</w:t>
        </w:r>
        <w:r w:rsidR="008B789B">
          <w:rPr>
            <w:rFonts w:asciiTheme="minorHAnsi" w:eastAsiaTheme="minorEastAsia" w:hAnsiTheme="minorHAnsi"/>
            <w:lang w:eastAsia="en-AU"/>
          </w:rPr>
          <w:tab/>
        </w:r>
        <w:r w:rsidR="008B789B" w:rsidRPr="00417CFB">
          <w:rPr>
            <w:rStyle w:val="Hyperlink"/>
          </w:rPr>
          <w:t>Haemodialysis</w:t>
        </w:r>
        <w:r w:rsidR="008B789B">
          <w:rPr>
            <w:webHidden/>
          </w:rPr>
          <w:tab/>
        </w:r>
        <w:r w:rsidR="008B789B">
          <w:rPr>
            <w:webHidden/>
          </w:rPr>
          <w:fldChar w:fldCharType="begin"/>
        </w:r>
        <w:r w:rsidR="008B789B">
          <w:rPr>
            <w:webHidden/>
          </w:rPr>
          <w:instrText xml:space="preserve"> PAGEREF _Toc128376721 \h </w:instrText>
        </w:r>
        <w:r w:rsidR="008B789B">
          <w:rPr>
            <w:webHidden/>
          </w:rPr>
        </w:r>
        <w:r w:rsidR="008B789B">
          <w:rPr>
            <w:webHidden/>
          </w:rPr>
          <w:fldChar w:fldCharType="separate"/>
        </w:r>
        <w:r w:rsidR="007E2ACB">
          <w:rPr>
            <w:webHidden/>
          </w:rPr>
          <w:t>25</w:t>
        </w:r>
        <w:r w:rsidR="008B789B">
          <w:rPr>
            <w:webHidden/>
          </w:rPr>
          <w:fldChar w:fldCharType="end"/>
        </w:r>
      </w:hyperlink>
    </w:p>
    <w:p w14:paraId="15F80BB9" w14:textId="58B9C1D9" w:rsidR="008B789B" w:rsidRDefault="00B7462B">
      <w:pPr>
        <w:pStyle w:val="TOC2"/>
        <w:rPr>
          <w:rFonts w:asciiTheme="minorHAnsi" w:eastAsiaTheme="minorEastAsia" w:hAnsiTheme="minorHAnsi"/>
          <w:lang w:eastAsia="en-AU"/>
        </w:rPr>
      </w:pPr>
      <w:hyperlink w:anchor="_Toc128376722" w:history="1">
        <w:r w:rsidR="008B789B" w:rsidRPr="00417CFB">
          <w:rPr>
            <w:rStyle w:val="Hyperlink"/>
            <w:rFonts w:cs="Arial"/>
          </w:rPr>
          <w:t>3.2</w:t>
        </w:r>
        <w:r w:rsidR="008B789B">
          <w:rPr>
            <w:rFonts w:asciiTheme="minorHAnsi" w:eastAsiaTheme="minorEastAsia" w:hAnsiTheme="minorHAnsi"/>
            <w:lang w:eastAsia="en-AU"/>
          </w:rPr>
          <w:tab/>
        </w:r>
        <w:r w:rsidR="008B789B" w:rsidRPr="00417CFB">
          <w:rPr>
            <w:rStyle w:val="Hyperlink"/>
          </w:rPr>
          <w:t>Chemotherapy</w:t>
        </w:r>
        <w:r w:rsidR="008B789B">
          <w:rPr>
            <w:webHidden/>
          </w:rPr>
          <w:tab/>
        </w:r>
        <w:r w:rsidR="008B789B">
          <w:rPr>
            <w:webHidden/>
          </w:rPr>
          <w:fldChar w:fldCharType="begin"/>
        </w:r>
        <w:r w:rsidR="008B789B">
          <w:rPr>
            <w:webHidden/>
          </w:rPr>
          <w:instrText xml:space="preserve"> PAGEREF _Toc128376722 \h </w:instrText>
        </w:r>
        <w:r w:rsidR="008B789B">
          <w:rPr>
            <w:webHidden/>
          </w:rPr>
        </w:r>
        <w:r w:rsidR="008B789B">
          <w:rPr>
            <w:webHidden/>
          </w:rPr>
          <w:fldChar w:fldCharType="separate"/>
        </w:r>
        <w:r w:rsidR="007E2ACB">
          <w:rPr>
            <w:webHidden/>
          </w:rPr>
          <w:t>33</w:t>
        </w:r>
        <w:r w:rsidR="008B789B">
          <w:rPr>
            <w:webHidden/>
          </w:rPr>
          <w:fldChar w:fldCharType="end"/>
        </w:r>
      </w:hyperlink>
    </w:p>
    <w:p w14:paraId="67E66A2F" w14:textId="02E8674A" w:rsidR="008B789B" w:rsidRDefault="00B7462B">
      <w:pPr>
        <w:pStyle w:val="TOC1"/>
        <w:rPr>
          <w:rFonts w:asciiTheme="minorHAnsi" w:eastAsiaTheme="minorEastAsia" w:hAnsiTheme="minorHAnsi"/>
          <w:lang w:eastAsia="en-AU"/>
        </w:rPr>
      </w:pPr>
      <w:hyperlink w:anchor="_Toc128376723" w:history="1">
        <w:r w:rsidR="008B789B" w:rsidRPr="00417CFB">
          <w:rPr>
            <w:rStyle w:val="Hyperlink"/>
          </w:rPr>
          <w:t>4</w:t>
        </w:r>
        <w:r w:rsidR="008B789B">
          <w:rPr>
            <w:rFonts w:asciiTheme="minorHAnsi" w:eastAsiaTheme="minorEastAsia" w:hAnsiTheme="minorHAnsi"/>
            <w:lang w:eastAsia="en-AU"/>
          </w:rPr>
          <w:tab/>
        </w:r>
        <w:r w:rsidR="008B789B" w:rsidRPr="00417CFB">
          <w:rPr>
            <w:rStyle w:val="Hyperlink"/>
          </w:rPr>
          <w:t>Jurisdictional chapters</w:t>
        </w:r>
        <w:r w:rsidR="008B789B">
          <w:rPr>
            <w:webHidden/>
          </w:rPr>
          <w:tab/>
        </w:r>
        <w:r w:rsidR="008B789B">
          <w:rPr>
            <w:webHidden/>
          </w:rPr>
          <w:fldChar w:fldCharType="begin"/>
        </w:r>
        <w:r w:rsidR="008B789B">
          <w:rPr>
            <w:webHidden/>
          </w:rPr>
          <w:instrText xml:space="preserve"> PAGEREF _Toc128376723 \h </w:instrText>
        </w:r>
        <w:r w:rsidR="008B789B">
          <w:rPr>
            <w:webHidden/>
          </w:rPr>
        </w:r>
        <w:r w:rsidR="008B789B">
          <w:rPr>
            <w:webHidden/>
          </w:rPr>
          <w:fldChar w:fldCharType="separate"/>
        </w:r>
        <w:r w:rsidR="007E2ACB">
          <w:rPr>
            <w:webHidden/>
          </w:rPr>
          <w:t>42</w:t>
        </w:r>
        <w:r w:rsidR="008B789B">
          <w:rPr>
            <w:webHidden/>
          </w:rPr>
          <w:fldChar w:fldCharType="end"/>
        </w:r>
      </w:hyperlink>
    </w:p>
    <w:p w14:paraId="0D846CD6" w14:textId="30CBB5C3" w:rsidR="008B789B" w:rsidRDefault="00B7462B">
      <w:pPr>
        <w:pStyle w:val="TOC2"/>
        <w:rPr>
          <w:rFonts w:asciiTheme="minorHAnsi" w:eastAsiaTheme="minorEastAsia" w:hAnsiTheme="minorHAnsi"/>
          <w:lang w:eastAsia="en-AU"/>
        </w:rPr>
      </w:pPr>
      <w:hyperlink w:anchor="_Toc128376724" w:history="1">
        <w:r w:rsidR="008B789B" w:rsidRPr="00417CFB">
          <w:rPr>
            <w:rStyle w:val="Hyperlink"/>
            <w:rFonts w:cs="Arial"/>
          </w:rPr>
          <w:t>4.1</w:t>
        </w:r>
        <w:r w:rsidR="008B789B">
          <w:rPr>
            <w:rFonts w:asciiTheme="minorHAnsi" w:eastAsiaTheme="minorEastAsia" w:hAnsiTheme="minorHAnsi"/>
            <w:lang w:eastAsia="en-AU"/>
          </w:rPr>
          <w:tab/>
        </w:r>
        <w:r w:rsidR="008B789B" w:rsidRPr="00417CFB">
          <w:rPr>
            <w:rStyle w:val="Hyperlink"/>
          </w:rPr>
          <w:t>Australian Capital Territory</w:t>
        </w:r>
        <w:r w:rsidR="008B789B">
          <w:rPr>
            <w:webHidden/>
          </w:rPr>
          <w:tab/>
        </w:r>
        <w:r w:rsidR="008B789B">
          <w:rPr>
            <w:webHidden/>
          </w:rPr>
          <w:fldChar w:fldCharType="begin"/>
        </w:r>
        <w:r w:rsidR="008B789B">
          <w:rPr>
            <w:webHidden/>
          </w:rPr>
          <w:instrText xml:space="preserve"> PAGEREF _Toc128376724 \h </w:instrText>
        </w:r>
        <w:r w:rsidR="008B789B">
          <w:rPr>
            <w:webHidden/>
          </w:rPr>
        </w:r>
        <w:r w:rsidR="008B789B">
          <w:rPr>
            <w:webHidden/>
          </w:rPr>
          <w:fldChar w:fldCharType="separate"/>
        </w:r>
        <w:r w:rsidR="007E2ACB">
          <w:rPr>
            <w:webHidden/>
          </w:rPr>
          <w:t>44</w:t>
        </w:r>
        <w:r w:rsidR="008B789B">
          <w:rPr>
            <w:webHidden/>
          </w:rPr>
          <w:fldChar w:fldCharType="end"/>
        </w:r>
      </w:hyperlink>
    </w:p>
    <w:p w14:paraId="2C500677" w14:textId="73CAF8A0" w:rsidR="008B789B" w:rsidRDefault="00B7462B">
      <w:pPr>
        <w:pStyle w:val="TOC2"/>
        <w:rPr>
          <w:rFonts w:asciiTheme="minorHAnsi" w:eastAsiaTheme="minorEastAsia" w:hAnsiTheme="minorHAnsi"/>
          <w:lang w:eastAsia="en-AU"/>
        </w:rPr>
      </w:pPr>
      <w:hyperlink w:anchor="_Toc128376725" w:history="1">
        <w:r w:rsidR="008B789B" w:rsidRPr="00417CFB">
          <w:rPr>
            <w:rStyle w:val="Hyperlink"/>
            <w:rFonts w:cs="Arial"/>
          </w:rPr>
          <w:t>4.2</w:t>
        </w:r>
        <w:r w:rsidR="008B789B">
          <w:rPr>
            <w:rFonts w:asciiTheme="minorHAnsi" w:eastAsiaTheme="minorEastAsia" w:hAnsiTheme="minorHAnsi"/>
            <w:lang w:eastAsia="en-AU"/>
          </w:rPr>
          <w:tab/>
        </w:r>
        <w:r w:rsidR="008B789B" w:rsidRPr="00417CFB">
          <w:rPr>
            <w:rStyle w:val="Hyperlink"/>
          </w:rPr>
          <w:t>Tasmania</w:t>
        </w:r>
        <w:r w:rsidR="008B789B">
          <w:rPr>
            <w:webHidden/>
          </w:rPr>
          <w:tab/>
        </w:r>
        <w:r w:rsidR="008B789B">
          <w:rPr>
            <w:webHidden/>
          </w:rPr>
          <w:fldChar w:fldCharType="begin"/>
        </w:r>
        <w:r w:rsidR="008B789B">
          <w:rPr>
            <w:webHidden/>
          </w:rPr>
          <w:instrText xml:space="preserve"> PAGEREF _Toc128376725 \h </w:instrText>
        </w:r>
        <w:r w:rsidR="008B789B">
          <w:rPr>
            <w:webHidden/>
          </w:rPr>
        </w:r>
        <w:r w:rsidR="008B789B">
          <w:rPr>
            <w:webHidden/>
          </w:rPr>
          <w:fldChar w:fldCharType="separate"/>
        </w:r>
        <w:r w:rsidR="007E2ACB">
          <w:rPr>
            <w:webHidden/>
          </w:rPr>
          <w:t>49</w:t>
        </w:r>
        <w:r w:rsidR="008B789B">
          <w:rPr>
            <w:webHidden/>
          </w:rPr>
          <w:fldChar w:fldCharType="end"/>
        </w:r>
      </w:hyperlink>
    </w:p>
    <w:p w14:paraId="1514C9F7" w14:textId="40FEE7EB" w:rsidR="008B789B" w:rsidRDefault="00B7462B">
      <w:pPr>
        <w:pStyle w:val="TOC2"/>
        <w:rPr>
          <w:rFonts w:asciiTheme="minorHAnsi" w:eastAsiaTheme="minorEastAsia" w:hAnsiTheme="minorHAnsi"/>
          <w:lang w:eastAsia="en-AU"/>
        </w:rPr>
      </w:pPr>
      <w:hyperlink w:anchor="_Toc128376726" w:history="1">
        <w:r w:rsidR="008B789B" w:rsidRPr="00417CFB">
          <w:rPr>
            <w:rStyle w:val="Hyperlink"/>
            <w:rFonts w:cs="Arial"/>
          </w:rPr>
          <w:t>4.3</w:t>
        </w:r>
        <w:r w:rsidR="008B789B">
          <w:rPr>
            <w:rFonts w:asciiTheme="minorHAnsi" w:eastAsiaTheme="minorEastAsia" w:hAnsiTheme="minorHAnsi"/>
            <w:lang w:eastAsia="en-AU"/>
          </w:rPr>
          <w:tab/>
        </w:r>
        <w:r w:rsidR="008B789B" w:rsidRPr="00417CFB">
          <w:rPr>
            <w:rStyle w:val="Hyperlink"/>
          </w:rPr>
          <w:t>Northern Territory</w:t>
        </w:r>
        <w:r w:rsidR="008B789B">
          <w:rPr>
            <w:webHidden/>
          </w:rPr>
          <w:tab/>
        </w:r>
        <w:r w:rsidR="008B789B">
          <w:rPr>
            <w:webHidden/>
          </w:rPr>
          <w:fldChar w:fldCharType="begin"/>
        </w:r>
        <w:r w:rsidR="008B789B">
          <w:rPr>
            <w:webHidden/>
          </w:rPr>
          <w:instrText xml:space="preserve"> PAGEREF _Toc128376726 \h </w:instrText>
        </w:r>
        <w:r w:rsidR="008B789B">
          <w:rPr>
            <w:webHidden/>
          </w:rPr>
        </w:r>
        <w:r w:rsidR="008B789B">
          <w:rPr>
            <w:webHidden/>
          </w:rPr>
          <w:fldChar w:fldCharType="separate"/>
        </w:r>
        <w:r w:rsidR="007E2ACB">
          <w:rPr>
            <w:webHidden/>
          </w:rPr>
          <w:t>55</w:t>
        </w:r>
        <w:r w:rsidR="008B789B">
          <w:rPr>
            <w:webHidden/>
          </w:rPr>
          <w:fldChar w:fldCharType="end"/>
        </w:r>
      </w:hyperlink>
    </w:p>
    <w:p w14:paraId="5994CE30" w14:textId="2D4FB15B" w:rsidR="008B789B" w:rsidRDefault="00B7462B">
      <w:pPr>
        <w:pStyle w:val="TOC2"/>
        <w:rPr>
          <w:rFonts w:asciiTheme="minorHAnsi" w:eastAsiaTheme="minorEastAsia" w:hAnsiTheme="minorHAnsi"/>
          <w:lang w:eastAsia="en-AU"/>
        </w:rPr>
      </w:pPr>
      <w:hyperlink w:anchor="_Toc128376727" w:history="1">
        <w:r w:rsidR="008B789B" w:rsidRPr="00417CFB">
          <w:rPr>
            <w:rStyle w:val="Hyperlink"/>
            <w:rFonts w:cs="Arial"/>
          </w:rPr>
          <w:t>4.4</w:t>
        </w:r>
        <w:r w:rsidR="008B789B">
          <w:rPr>
            <w:rFonts w:asciiTheme="minorHAnsi" w:eastAsiaTheme="minorEastAsia" w:hAnsiTheme="minorHAnsi"/>
            <w:lang w:eastAsia="en-AU"/>
          </w:rPr>
          <w:tab/>
        </w:r>
        <w:r w:rsidR="008B789B" w:rsidRPr="00417CFB">
          <w:rPr>
            <w:rStyle w:val="Hyperlink"/>
          </w:rPr>
          <w:t>Queensland</w:t>
        </w:r>
        <w:r w:rsidR="008B789B">
          <w:rPr>
            <w:webHidden/>
          </w:rPr>
          <w:tab/>
        </w:r>
        <w:r w:rsidR="008B789B">
          <w:rPr>
            <w:webHidden/>
          </w:rPr>
          <w:fldChar w:fldCharType="begin"/>
        </w:r>
        <w:r w:rsidR="008B789B">
          <w:rPr>
            <w:webHidden/>
          </w:rPr>
          <w:instrText xml:space="preserve"> PAGEREF _Toc128376727 \h </w:instrText>
        </w:r>
        <w:r w:rsidR="008B789B">
          <w:rPr>
            <w:webHidden/>
          </w:rPr>
        </w:r>
        <w:r w:rsidR="008B789B">
          <w:rPr>
            <w:webHidden/>
          </w:rPr>
          <w:fldChar w:fldCharType="separate"/>
        </w:r>
        <w:r w:rsidR="007E2ACB">
          <w:rPr>
            <w:webHidden/>
          </w:rPr>
          <w:t>61</w:t>
        </w:r>
        <w:r w:rsidR="008B789B">
          <w:rPr>
            <w:webHidden/>
          </w:rPr>
          <w:fldChar w:fldCharType="end"/>
        </w:r>
      </w:hyperlink>
    </w:p>
    <w:p w14:paraId="3CB6EFE3" w14:textId="566D5CA7" w:rsidR="008B789B" w:rsidRDefault="00B7462B">
      <w:pPr>
        <w:pStyle w:val="TOC2"/>
        <w:rPr>
          <w:rFonts w:asciiTheme="minorHAnsi" w:eastAsiaTheme="minorEastAsia" w:hAnsiTheme="minorHAnsi"/>
          <w:lang w:eastAsia="en-AU"/>
        </w:rPr>
      </w:pPr>
      <w:hyperlink w:anchor="_Toc128376728" w:history="1">
        <w:r w:rsidR="008B789B" w:rsidRPr="00417CFB">
          <w:rPr>
            <w:rStyle w:val="Hyperlink"/>
            <w:rFonts w:cs="Arial"/>
          </w:rPr>
          <w:t>4.5</w:t>
        </w:r>
        <w:r w:rsidR="008B789B">
          <w:rPr>
            <w:rFonts w:asciiTheme="minorHAnsi" w:eastAsiaTheme="minorEastAsia" w:hAnsiTheme="minorHAnsi"/>
            <w:lang w:eastAsia="en-AU"/>
          </w:rPr>
          <w:tab/>
        </w:r>
        <w:r w:rsidR="008B789B" w:rsidRPr="00417CFB">
          <w:rPr>
            <w:rStyle w:val="Hyperlink"/>
          </w:rPr>
          <w:t>South Australia</w:t>
        </w:r>
        <w:r w:rsidR="008B789B">
          <w:rPr>
            <w:webHidden/>
          </w:rPr>
          <w:tab/>
        </w:r>
        <w:r w:rsidR="008B789B">
          <w:rPr>
            <w:webHidden/>
          </w:rPr>
          <w:fldChar w:fldCharType="begin"/>
        </w:r>
        <w:r w:rsidR="008B789B">
          <w:rPr>
            <w:webHidden/>
          </w:rPr>
          <w:instrText xml:space="preserve"> PAGEREF _Toc128376728 \h </w:instrText>
        </w:r>
        <w:r w:rsidR="008B789B">
          <w:rPr>
            <w:webHidden/>
          </w:rPr>
        </w:r>
        <w:r w:rsidR="008B789B">
          <w:rPr>
            <w:webHidden/>
          </w:rPr>
          <w:fldChar w:fldCharType="separate"/>
        </w:r>
        <w:r w:rsidR="007E2ACB">
          <w:rPr>
            <w:webHidden/>
          </w:rPr>
          <w:t>71</w:t>
        </w:r>
        <w:r w:rsidR="008B789B">
          <w:rPr>
            <w:webHidden/>
          </w:rPr>
          <w:fldChar w:fldCharType="end"/>
        </w:r>
      </w:hyperlink>
    </w:p>
    <w:p w14:paraId="511DB93F" w14:textId="5719644C" w:rsidR="008B789B" w:rsidRDefault="00B7462B">
      <w:pPr>
        <w:pStyle w:val="TOC2"/>
        <w:rPr>
          <w:rFonts w:asciiTheme="minorHAnsi" w:eastAsiaTheme="minorEastAsia" w:hAnsiTheme="minorHAnsi"/>
          <w:lang w:eastAsia="en-AU"/>
        </w:rPr>
      </w:pPr>
      <w:hyperlink w:anchor="_Toc128376729" w:history="1">
        <w:r w:rsidR="008B789B" w:rsidRPr="00417CFB">
          <w:rPr>
            <w:rStyle w:val="Hyperlink"/>
            <w:rFonts w:cs="Arial"/>
          </w:rPr>
          <w:t>4.6</w:t>
        </w:r>
        <w:r w:rsidR="008B789B">
          <w:rPr>
            <w:rFonts w:asciiTheme="minorHAnsi" w:eastAsiaTheme="minorEastAsia" w:hAnsiTheme="minorHAnsi"/>
            <w:lang w:eastAsia="en-AU"/>
          </w:rPr>
          <w:tab/>
        </w:r>
        <w:r w:rsidR="008B789B" w:rsidRPr="00417CFB">
          <w:rPr>
            <w:rStyle w:val="Hyperlink"/>
          </w:rPr>
          <w:t>Victoria</w:t>
        </w:r>
        <w:r w:rsidR="008B789B">
          <w:rPr>
            <w:webHidden/>
          </w:rPr>
          <w:tab/>
        </w:r>
        <w:r w:rsidR="008B789B">
          <w:rPr>
            <w:webHidden/>
          </w:rPr>
          <w:fldChar w:fldCharType="begin"/>
        </w:r>
        <w:r w:rsidR="008B789B">
          <w:rPr>
            <w:webHidden/>
          </w:rPr>
          <w:instrText xml:space="preserve"> PAGEREF _Toc128376729 \h </w:instrText>
        </w:r>
        <w:r w:rsidR="008B789B">
          <w:rPr>
            <w:webHidden/>
          </w:rPr>
        </w:r>
        <w:r w:rsidR="008B789B">
          <w:rPr>
            <w:webHidden/>
          </w:rPr>
          <w:fldChar w:fldCharType="separate"/>
        </w:r>
        <w:r w:rsidR="007E2ACB">
          <w:rPr>
            <w:webHidden/>
          </w:rPr>
          <w:t>78</w:t>
        </w:r>
        <w:r w:rsidR="008B789B">
          <w:rPr>
            <w:webHidden/>
          </w:rPr>
          <w:fldChar w:fldCharType="end"/>
        </w:r>
      </w:hyperlink>
    </w:p>
    <w:p w14:paraId="7C58814C" w14:textId="4D1EF386" w:rsidR="008B789B" w:rsidRDefault="00B7462B">
      <w:pPr>
        <w:pStyle w:val="TOC2"/>
        <w:rPr>
          <w:rFonts w:asciiTheme="minorHAnsi" w:eastAsiaTheme="minorEastAsia" w:hAnsiTheme="minorHAnsi"/>
          <w:lang w:eastAsia="en-AU"/>
        </w:rPr>
      </w:pPr>
      <w:hyperlink w:anchor="_Toc128376730" w:history="1">
        <w:r w:rsidR="008B789B" w:rsidRPr="00417CFB">
          <w:rPr>
            <w:rStyle w:val="Hyperlink"/>
            <w:rFonts w:cs="Arial"/>
          </w:rPr>
          <w:t>4.7</w:t>
        </w:r>
        <w:r w:rsidR="008B789B">
          <w:rPr>
            <w:rFonts w:asciiTheme="minorHAnsi" w:eastAsiaTheme="minorEastAsia" w:hAnsiTheme="minorHAnsi"/>
            <w:lang w:eastAsia="en-AU"/>
          </w:rPr>
          <w:tab/>
        </w:r>
        <w:r w:rsidR="008B789B" w:rsidRPr="00417CFB">
          <w:rPr>
            <w:rStyle w:val="Hyperlink"/>
          </w:rPr>
          <w:t>Western Australia</w:t>
        </w:r>
        <w:r w:rsidR="008B789B">
          <w:rPr>
            <w:webHidden/>
          </w:rPr>
          <w:tab/>
        </w:r>
        <w:r w:rsidR="008B789B">
          <w:rPr>
            <w:webHidden/>
          </w:rPr>
          <w:fldChar w:fldCharType="begin"/>
        </w:r>
        <w:r w:rsidR="008B789B">
          <w:rPr>
            <w:webHidden/>
          </w:rPr>
          <w:instrText xml:space="preserve"> PAGEREF _Toc128376730 \h </w:instrText>
        </w:r>
        <w:r w:rsidR="008B789B">
          <w:rPr>
            <w:webHidden/>
          </w:rPr>
        </w:r>
        <w:r w:rsidR="008B789B">
          <w:rPr>
            <w:webHidden/>
          </w:rPr>
          <w:fldChar w:fldCharType="separate"/>
        </w:r>
        <w:r w:rsidR="007E2ACB">
          <w:rPr>
            <w:webHidden/>
          </w:rPr>
          <w:t>89</w:t>
        </w:r>
        <w:r w:rsidR="008B789B">
          <w:rPr>
            <w:webHidden/>
          </w:rPr>
          <w:fldChar w:fldCharType="end"/>
        </w:r>
      </w:hyperlink>
    </w:p>
    <w:p w14:paraId="6A653186" w14:textId="0B2237E2" w:rsidR="008B789B" w:rsidRDefault="00B7462B">
      <w:pPr>
        <w:pStyle w:val="TOC1"/>
        <w:rPr>
          <w:rFonts w:asciiTheme="minorHAnsi" w:eastAsiaTheme="minorEastAsia" w:hAnsiTheme="minorHAnsi"/>
          <w:lang w:eastAsia="en-AU"/>
        </w:rPr>
      </w:pPr>
      <w:hyperlink w:anchor="_Toc128376731" w:history="1">
        <w:r w:rsidR="008B789B" w:rsidRPr="00417CFB">
          <w:rPr>
            <w:rStyle w:val="Hyperlink"/>
          </w:rPr>
          <w:t>5</w:t>
        </w:r>
        <w:r w:rsidR="008B789B">
          <w:rPr>
            <w:rFonts w:asciiTheme="minorHAnsi" w:eastAsiaTheme="minorEastAsia" w:hAnsiTheme="minorHAnsi"/>
            <w:lang w:eastAsia="en-AU"/>
          </w:rPr>
          <w:tab/>
        </w:r>
        <w:r w:rsidR="008B789B" w:rsidRPr="00417CFB">
          <w:rPr>
            <w:rStyle w:val="Hyperlink"/>
          </w:rPr>
          <w:t>IHACPA Review</w:t>
        </w:r>
        <w:r w:rsidR="008B789B">
          <w:rPr>
            <w:webHidden/>
          </w:rPr>
          <w:tab/>
        </w:r>
        <w:r w:rsidR="008B789B">
          <w:rPr>
            <w:webHidden/>
          </w:rPr>
          <w:fldChar w:fldCharType="begin"/>
        </w:r>
        <w:r w:rsidR="008B789B">
          <w:rPr>
            <w:webHidden/>
          </w:rPr>
          <w:instrText xml:space="preserve"> PAGEREF _Toc128376731 \h </w:instrText>
        </w:r>
        <w:r w:rsidR="008B789B">
          <w:rPr>
            <w:webHidden/>
          </w:rPr>
        </w:r>
        <w:r w:rsidR="008B789B">
          <w:rPr>
            <w:webHidden/>
          </w:rPr>
          <w:fldChar w:fldCharType="separate"/>
        </w:r>
        <w:r w:rsidR="007E2ACB">
          <w:rPr>
            <w:webHidden/>
          </w:rPr>
          <w:t>99</w:t>
        </w:r>
        <w:r w:rsidR="008B789B">
          <w:rPr>
            <w:webHidden/>
          </w:rPr>
          <w:fldChar w:fldCharType="end"/>
        </w:r>
      </w:hyperlink>
    </w:p>
    <w:p w14:paraId="4729D7B1" w14:textId="6E0EBB4E" w:rsidR="008B789B" w:rsidRDefault="00B7462B">
      <w:pPr>
        <w:pStyle w:val="TOC2"/>
        <w:rPr>
          <w:rFonts w:asciiTheme="minorHAnsi" w:eastAsiaTheme="minorEastAsia" w:hAnsiTheme="minorHAnsi"/>
          <w:lang w:eastAsia="en-AU"/>
        </w:rPr>
      </w:pPr>
      <w:hyperlink w:anchor="_Toc128376732" w:history="1">
        <w:r w:rsidR="008B789B" w:rsidRPr="00417CFB">
          <w:rPr>
            <w:rStyle w:val="Hyperlink"/>
            <w:rFonts w:cs="Arial"/>
          </w:rPr>
          <w:t>5.1</w:t>
        </w:r>
        <w:r w:rsidR="008B789B">
          <w:rPr>
            <w:rFonts w:asciiTheme="minorHAnsi" w:eastAsiaTheme="minorEastAsia" w:hAnsiTheme="minorHAnsi"/>
            <w:lang w:eastAsia="en-AU"/>
          </w:rPr>
          <w:tab/>
        </w:r>
        <w:r w:rsidR="008B789B" w:rsidRPr="00417CFB">
          <w:rPr>
            <w:rStyle w:val="Hyperlink"/>
          </w:rPr>
          <w:t>IHACPA process for the NHCDC</w:t>
        </w:r>
        <w:r w:rsidR="008B789B">
          <w:rPr>
            <w:webHidden/>
          </w:rPr>
          <w:tab/>
        </w:r>
        <w:r w:rsidR="008B789B">
          <w:rPr>
            <w:webHidden/>
          </w:rPr>
          <w:fldChar w:fldCharType="begin"/>
        </w:r>
        <w:r w:rsidR="008B789B">
          <w:rPr>
            <w:webHidden/>
          </w:rPr>
          <w:instrText xml:space="preserve"> PAGEREF _Toc128376732 \h </w:instrText>
        </w:r>
        <w:r w:rsidR="008B789B">
          <w:rPr>
            <w:webHidden/>
          </w:rPr>
        </w:r>
        <w:r w:rsidR="008B789B">
          <w:rPr>
            <w:webHidden/>
          </w:rPr>
          <w:fldChar w:fldCharType="separate"/>
        </w:r>
        <w:r w:rsidR="007E2ACB">
          <w:rPr>
            <w:webHidden/>
          </w:rPr>
          <w:t>99</w:t>
        </w:r>
        <w:r w:rsidR="008B789B">
          <w:rPr>
            <w:webHidden/>
          </w:rPr>
          <w:fldChar w:fldCharType="end"/>
        </w:r>
      </w:hyperlink>
    </w:p>
    <w:p w14:paraId="2B447E5D" w14:textId="6B29EAD7" w:rsidR="008B789B" w:rsidRDefault="00B7462B">
      <w:pPr>
        <w:pStyle w:val="TOC2"/>
        <w:rPr>
          <w:rFonts w:asciiTheme="minorHAnsi" w:eastAsiaTheme="minorEastAsia" w:hAnsiTheme="minorHAnsi"/>
          <w:lang w:eastAsia="en-AU"/>
        </w:rPr>
      </w:pPr>
      <w:hyperlink w:anchor="_Toc128376733" w:history="1">
        <w:r w:rsidR="008B789B" w:rsidRPr="00417CFB">
          <w:rPr>
            <w:rStyle w:val="Hyperlink"/>
            <w:rFonts w:cs="Arial"/>
          </w:rPr>
          <w:t>5.2</w:t>
        </w:r>
        <w:r w:rsidR="008B789B">
          <w:rPr>
            <w:rFonts w:asciiTheme="minorHAnsi" w:eastAsiaTheme="minorEastAsia" w:hAnsiTheme="minorHAnsi"/>
            <w:lang w:eastAsia="en-AU"/>
          </w:rPr>
          <w:tab/>
        </w:r>
        <w:r w:rsidR="008B789B" w:rsidRPr="00417CFB">
          <w:rPr>
            <w:rStyle w:val="Hyperlink"/>
          </w:rPr>
          <w:t>Improvements</w:t>
        </w:r>
        <w:r w:rsidR="008B789B">
          <w:rPr>
            <w:webHidden/>
          </w:rPr>
          <w:tab/>
        </w:r>
        <w:r w:rsidR="008B789B">
          <w:rPr>
            <w:webHidden/>
          </w:rPr>
          <w:fldChar w:fldCharType="begin"/>
        </w:r>
        <w:r w:rsidR="008B789B">
          <w:rPr>
            <w:webHidden/>
          </w:rPr>
          <w:instrText xml:space="preserve"> PAGEREF _Toc128376733 \h </w:instrText>
        </w:r>
        <w:r w:rsidR="008B789B">
          <w:rPr>
            <w:webHidden/>
          </w:rPr>
        </w:r>
        <w:r w:rsidR="008B789B">
          <w:rPr>
            <w:webHidden/>
          </w:rPr>
          <w:fldChar w:fldCharType="separate"/>
        </w:r>
        <w:r w:rsidR="007E2ACB">
          <w:rPr>
            <w:webHidden/>
          </w:rPr>
          <w:t>100</w:t>
        </w:r>
        <w:r w:rsidR="008B789B">
          <w:rPr>
            <w:webHidden/>
          </w:rPr>
          <w:fldChar w:fldCharType="end"/>
        </w:r>
      </w:hyperlink>
    </w:p>
    <w:p w14:paraId="7DB0802F" w14:textId="5BF3E0DB" w:rsidR="008B789B" w:rsidRDefault="00B7462B">
      <w:pPr>
        <w:pStyle w:val="TOC1"/>
        <w:rPr>
          <w:rFonts w:asciiTheme="minorHAnsi" w:eastAsiaTheme="minorEastAsia" w:hAnsiTheme="minorHAnsi"/>
          <w:lang w:eastAsia="en-AU"/>
        </w:rPr>
      </w:pPr>
      <w:hyperlink w:anchor="_Toc128376734" w:history="1">
        <w:r w:rsidR="008B789B" w:rsidRPr="00417CFB">
          <w:rPr>
            <w:rStyle w:val="Hyperlink"/>
          </w:rPr>
          <w:t>Appendix A . Acronym/Abbreviation</w:t>
        </w:r>
        <w:r w:rsidR="008B789B">
          <w:rPr>
            <w:webHidden/>
          </w:rPr>
          <w:tab/>
        </w:r>
        <w:r w:rsidR="008B789B">
          <w:rPr>
            <w:webHidden/>
          </w:rPr>
          <w:fldChar w:fldCharType="begin"/>
        </w:r>
        <w:r w:rsidR="008B789B">
          <w:rPr>
            <w:webHidden/>
          </w:rPr>
          <w:instrText xml:space="preserve"> PAGEREF _Toc128376734 \h </w:instrText>
        </w:r>
        <w:r w:rsidR="008B789B">
          <w:rPr>
            <w:webHidden/>
          </w:rPr>
        </w:r>
        <w:r w:rsidR="008B789B">
          <w:rPr>
            <w:webHidden/>
          </w:rPr>
          <w:fldChar w:fldCharType="separate"/>
        </w:r>
        <w:r w:rsidR="007E2ACB">
          <w:rPr>
            <w:webHidden/>
          </w:rPr>
          <w:t>102</w:t>
        </w:r>
        <w:r w:rsidR="008B789B">
          <w:rPr>
            <w:webHidden/>
          </w:rPr>
          <w:fldChar w:fldCharType="end"/>
        </w:r>
      </w:hyperlink>
    </w:p>
    <w:p w14:paraId="5FB2998C" w14:textId="6046BCB0" w:rsidR="0082170F" w:rsidRDefault="00245405" w:rsidP="00071405">
      <w:pPr>
        <w:pStyle w:val="BodyText"/>
        <w:rPr>
          <w:noProof/>
        </w:rPr>
      </w:pPr>
      <w:r>
        <w:rPr>
          <w:noProof/>
        </w:rPr>
        <w:fldChar w:fldCharType="end"/>
      </w:r>
    </w:p>
    <w:p w14:paraId="1661B7A6" w14:textId="77777777" w:rsidR="001A5CFC" w:rsidRDefault="001A5CFC" w:rsidP="00071405">
      <w:pPr>
        <w:pStyle w:val="BodyText"/>
        <w:rPr>
          <w:noProof/>
        </w:rPr>
      </w:pPr>
    </w:p>
    <w:p w14:paraId="210980EB" w14:textId="77777777" w:rsidR="001A5CFC" w:rsidRPr="00630A55" w:rsidRDefault="001A5CFC" w:rsidP="00071405">
      <w:pPr>
        <w:pStyle w:val="BodyText"/>
      </w:pPr>
    </w:p>
    <w:p w14:paraId="6FB017A7" w14:textId="77777777" w:rsidR="00F611EA" w:rsidRDefault="00F611EA" w:rsidP="0061570B">
      <w:pPr>
        <w:pStyle w:val="HeadingLevel1NoNumber"/>
        <w:sectPr w:rsidR="00F611EA" w:rsidSect="00F611EA">
          <w:headerReference w:type="default" r:id="rId12"/>
          <w:footerReference w:type="default" r:id="rId13"/>
          <w:pgSz w:w="11906" w:h="16838"/>
          <w:pgMar w:top="1134" w:right="1418" w:bottom="1418" w:left="1418" w:header="709" w:footer="454" w:gutter="0"/>
          <w:pgNumType w:fmt="lowerRoman" w:start="1"/>
          <w:cols w:space="708"/>
          <w:docGrid w:linePitch="360"/>
        </w:sectPr>
      </w:pPr>
    </w:p>
    <w:p w14:paraId="226FFBFE" w14:textId="3E3AC54E" w:rsidR="009633A2" w:rsidRPr="00DD4007" w:rsidRDefault="004A3F32" w:rsidP="00B3357C">
      <w:pPr>
        <w:pStyle w:val="Heading1"/>
        <w:numPr>
          <w:ilvl w:val="0"/>
          <w:numId w:val="0"/>
        </w:numPr>
        <w:ind w:left="720" w:hanging="720"/>
      </w:pPr>
      <w:bookmarkStart w:id="1" w:name="_Toc128376711"/>
      <w:r w:rsidRPr="00DD4007">
        <w:lastRenderedPageBreak/>
        <w:t>Executive summary</w:t>
      </w:r>
      <w:bookmarkEnd w:id="1"/>
    </w:p>
    <w:p w14:paraId="45787F90" w14:textId="02D6C601" w:rsidR="00DD4007" w:rsidRDefault="00276353" w:rsidP="00E10AE9">
      <w:pPr>
        <w:pStyle w:val="BodyText"/>
      </w:pPr>
      <w:r>
        <w:t>The National Hospital Cost Data Collection (NHCDC) is the annual collection of public hospital cost</w:t>
      </w:r>
      <w:r w:rsidR="001910A6">
        <w:t>ing</w:t>
      </w:r>
      <w:r>
        <w:t xml:space="preserve"> data and is the primary data collection</w:t>
      </w:r>
      <w:r w:rsidR="001910A6">
        <w:t xml:space="preserve"> </w:t>
      </w:r>
      <w:r>
        <w:t>used to inform the national efficient price (NEP)</w:t>
      </w:r>
      <w:r w:rsidR="001910A6">
        <w:t xml:space="preserve"> each year</w:t>
      </w:r>
      <w:r>
        <w:t xml:space="preserve">. For the </w:t>
      </w:r>
      <w:r w:rsidR="009751A0">
        <w:t>f</w:t>
      </w:r>
      <w:r w:rsidR="00D165A3">
        <w:t xml:space="preserve">inancial </w:t>
      </w:r>
      <w:r w:rsidR="009751A0">
        <w:t>y</w:t>
      </w:r>
      <w:r w:rsidR="00D165A3">
        <w:t xml:space="preserve">ear </w:t>
      </w:r>
      <w:r>
        <w:t>20</w:t>
      </w:r>
      <w:r w:rsidR="001910A6">
        <w:t>20-21</w:t>
      </w:r>
      <w:r w:rsidR="00927B69">
        <w:t xml:space="preserve"> (FY20/21)</w:t>
      </w:r>
      <w:r w:rsidR="00212CFA">
        <w:t>,</w:t>
      </w:r>
      <w:r>
        <w:t xml:space="preserve"> NHCDC cost data was submitted from </w:t>
      </w:r>
      <w:r w:rsidR="00685763">
        <w:t xml:space="preserve">680 </w:t>
      </w:r>
      <w:r>
        <w:t>hospitals across all jurisdictions. The NHCDC provides an avenue for cost measurement across public hospitals. To ensure that the quality of NHCDC data is robust and fit-for-purpose,</w:t>
      </w:r>
      <w:r w:rsidR="005178ED">
        <w:t xml:space="preserve"> the Independent Health and Aged Care Pricing Authority (</w:t>
      </w:r>
      <w:r>
        <w:t>IH</w:t>
      </w:r>
      <w:r w:rsidR="0039796A">
        <w:t>AC</w:t>
      </w:r>
      <w:r>
        <w:t>PA</w:t>
      </w:r>
      <w:r w:rsidR="005178ED">
        <w:t>)</w:t>
      </w:r>
      <w:r>
        <w:t xml:space="preserve"> commission</w:t>
      </w:r>
      <w:r w:rsidR="00212CFA">
        <w:t>ed</w:t>
      </w:r>
      <w:r>
        <w:t xml:space="preserve"> an annual validation process to verify that all participating hospitals have included appropriate costs and patient activity.</w:t>
      </w:r>
      <w:r w:rsidR="007D3BE3">
        <w:t xml:space="preserve"> </w:t>
      </w:r>
      <w:r>
        <w:t>IH</w:t>
      </w:r>
      <w:r w:rsidR="0039796A">
        <w:t>AC</w:t>
      </w:r>
      <w:r>
        <w:t>PA engaged KPMG to conduct the Independent Financial Review (IFR) of the Public Sector NHCDC for the 20</w:t>
      </w:r>
      <w:r w:rsidR="0039796A">
        <w:t>20</w:t>
      </w:r>
      <w:r>
        <w:t>-2</w:t>
      </w:r>
      <w:r w:rsidR="0039796A">
        <w:t>1</w:t>
      </w:r>
      <w:r>
        <w:t xml:space="preserve"> year.</w:t>
      </w:r>
      <w:r w:rsidR="00F32A18">
        <w:t xml:space="preserve"> A key objective of the IFR is to assess the</w:t>
      </w:r>
      <w:r w:rsidR="00F32A18" w:rsidRPr="00F32A18">
        <w:t xml:space="preserve"> consistency between jurisdictions sampled for the application of Version 4.1 of the Australian Hospital Patient Costing Standards (AHPCS) for selected standards</w:t>
      </w:r>
      <w:r w:rsidR="00212CFA">
        <w:t>.</w:t>
      </w:r>
    </w:p>
    <w:p w14:paraId="46897351" w14:textId="0476CD63" w:rsidR="00F32A18" w:rsidRDefault="00F32A18" w:rsidP="00E10AE9">
      <w:pPr>
        <w:pStyle w:val="BodyText"/>
      </w:pPr>
      <w:r>
        <w:t xml:space="preserve">The AHPCS provide direction for hospital patient costing through the development of standards for specific elements of the costing process and reporting requirements. The AHPCS Version 4.1 </w:t>
      </w:r>
      <w:r w:rsidR="00212CFA">
        <w:t xml:space="preserve">is </w:t>
      </w:r>
      <w:r>
        <w:t>comprise</w:t>
      </w:r>
      <w:r w:rsidR="00212CFA">
        <w:t>d</w:t>
      </w:r>
      <w:r>
        <w:t xml:space="preserve"> of</w:t>
      </w:r>
      <w:r>
        <w:rPr>
          <w:rStyle w:val="FootnoteReference"/>
        </w:rPr>
        <w:footnoteReference w:id="2"/>
      </w:r>
      <w:r>
        <w:t>:</w:t>
      </w:r>
    </w:p>
    <w:p w14:paraId="54C5FB2A" w14:textId="77777777" w:rsidR="00F32A18" w:rsidRDefault="00F32A18" w:rsidP="00212CFA">
      <w:pPr>
        <w:pStyle w:val="Bullet1stlevel"/>
      </w:pPr>
      <w:r>
        <w:t>Part 1: Standards – provides costing principles.</w:t>
      </w:r>
    </w:p>
    <w:p w14:paraId="3E5B2450" w14:textId="4A41657B" w:rsidR="00F32A18" w:rsidRDefault="00F32A18" w:rsidP="00212CFA">
      <w:pPr>
        <w:pStyle w:val="Bullet1stlevel"/>
      </w:pPr>
      <w:r>
        <w:t>Part 2: Business Rules – provides practical guidance on how Standards are translated into action.</w:t>
      </w:r>
    </w:p>
    <w:p w14:paraId="49DEF6C0" w14:textId="7334589A" w:rsidR="00F32A18" w:rsidRDefault="00F32A18" w:rsidP="00212CFA">
      <w:pPr>
        <w:pStyle w:val="Bullet1stlevel"/>
      </w:pPr>
      <w:r>
        <w:t xml:space="preserve">Part 3: Costing Guidelines – provides step-by-step guidance on how to cost particular services. </w:t>
      </w:r>
    </w:p>
    <w:p w14:paraId="2C9FB6D2" w14:textId="77777777" w:rsidR="00CD2DFF" w:rsidRPr="00630A55" w:rsidRDefault="00CD2DFF" w:rsidP="00E10AE9">
      <w:pPr>
        <w:pStyle w:val="BodyText"/>
      </w:pPr>
      <w:r w:rsidRPr="00630A55">
        <w:t>In line with previous years, the IFR seeks to address:</w:t>
      </w:r>
    </w:p>
    <w:p w14:paraId="06356352" w14:textId="77777777" w:rsidR="00CD2DFF" w:rsidRPr="00A64543" w:rsidRDefault="00CD2DFF" w:rsidP="00E10AE9">
      <w:pPr>
        <w:pStyle w:val="BodyText"/>
        <w:numPr>
          <w:ilvl w:val="0"/>
          <w:numId w:val="19"/>
        </w:numPr>
        <w:ind w:left="357" w:hanging="357"/>
        <w:rPr>
          <w:b/>
        </w:rPr>
      </w:pPr>
      <w:r w:rsidRPr="00A64543">
        <w:rPr>
          <w:b/>
        </w:rPr>
        <w:t xml:space="preserve">The accuracy and completeness of the FY20/21 NHCDC for participating health services, including an expenditure reconciliation between financial and costing systems </w:t>
      </w:r>
    </w:p>
    <w:p w14:paraId="492FE9C6" w14:textId="3BB0F896" w:rsidR="00CD2DFF" w:rsidRPr="00630A55" w:rsidRDefault="00CD2DFF" w:rsidP="00E10AE9">
      <w:pPr>
        <w:pStyle w:val="BodyTextIndent"/>
        <w:jc w:val="both"/>
      </w:pPr>
      <w:r w:rsidRPr="00630A55">
        <w:t xml:space="preserve">Based upon the findings and observations contained in section </w:t>
      </w:r>
      <w:r>
        <w:fldChar w:fldCharType="begin"/>
      </w:r>
      <w:r>
        <w:instrText xml:space="preserve"> REF _Ref90370846 \w \h </w:instrText>
      </w:r>
      <w:r w:rsidR="00E10AE9">
        <w:instrText xml:space="preserve"> \* MERGEFORMAT </w:instrText>
      </w:r>
      <w:r>
        <w:fldChar w:fldCharType="separate"/>
      </w:r>
      <w:r w:rsidR="007E2ACB">
        <w:t>2</w:t>
      </w:r>
      <w:r>
        <w:fldChar w:fldCharType="end"/>
      </w:r>
      <w:r>
        <w:t>,</w:t>
      </w:r>
      <w:r w:rsidRPr="00630A55">
        <w:t xml:space="preserve"> participating jurisdictions have provided reconciling data and source information to support the accuracy of submitted data</w:t>
      </w:r>
      <w:r>
        <w:t>.</w:t>
      </w:r>
    </w:p>
    <w:p w14:paraId="4E28387B" w14:textId="77777777" w:rsidR="00CD2DFF" w:rsidRPr="00A64543" w:rsidRDefault="00CD2DFF" w:rsidP="00E10AE9">
      <w:pPr>
        <w:pStyle w:val="BodyText"/>
        <w:numPr>
          <w:ilvl w:val="0"/>
          <w:numId w:val="19"/>
        </w:numPr>
        <w:ind w:left="357" w:hanging="357"/>
        <w:rPr>
          <w:b/>
        </w:rPr>
      </w:pPr>
      <w:r w:rsidRPr="00A64543">
        <w:rPr>
          <w:b/>
        </w:rPr>
        <w:t>Assessment of the consistency between jurisdictions sampled for the application of Version 4.1 of the Australian Hospital Patient Costing Standards (AHPCS) for selected standards</w:t>
      </w:r>
    </w:p>
    <w:p w14:paraId="780BA192" w14:textId="56A6E1DE" w:rsidR="008413FD" w:rsidRDefault="00CD2DFF" w:rsidP="00E10AE9">
      <w:pPr>
        <w:pStyle w:val="BodyTextIndent"/>
        <w:jc w:val="both"/>
      </w:pPr>
      <w:r w:rsidRPr="00630A55">
        <w:rPr>
          <w:szCs w:val="24"/>
        </w:rPr>
        <w:t xml:space="preserve">The application of the selected standards from AHPCS Version </w:t>
      </w:r>
      <w:r w:rsidRPr="00630A55">
        <w:t xml:space="preserve">4.1 across the jurisdictions was mostly consistent as outlined in the various data quality statements received by </w:t>
      </w:r>
      <w:r>
        <w:t>IHACPA</w:t>
      </w:r>
      <w:r w:rsidRPr="00630A55">
        <w:t>. Jurisdictions noted partial compliance with various standards</w:t>
      </w:r>
      <w:r>
        <w:t xml:space="preserve"> (e.g. Mental Health phase of care and blood products)</w:t>
      </w:r>
      <w:r w:rsidRPr="00630A55">
        <w:t>. Whil</w:t>
      </w:r>
      <w:r>
        <w:t>e</w:t>
      </w:r>
      <w:r w:rsidRPr="00630A55">
        <w:t xml:space="preserve"> the process of applying standards is consistent</w:t>
      </w:r>
      <w:r>
        <w:t>,</w:t>
      </w:r>
      <w:r w:rsidRPr="00630A55">
        <w:t xml:space="preserve"> it was noted that the impacts of COVID</w:t>
      </w:r>
      <w:r>
        <w:noBreakHyphen/>
      </w:r>
      <w:r w:rsidRPr="00630A55">
        <w:t xml:space="preserve">19 are still resulting in </w:t>
      </w:r>
      <w:r>
        <w:t xml:space="preserve">a </w:t>
      </w:r>
      <w:r w:rsidRPr="00630A55">
        <w:t>variation of treatment of general ledger costs</w:t>
      </w:r>
      <w:r>
        <w:t>. Whilst detailed analysis was not conducted</w:t>
      </w:r>
      <w:r w:rsidR="00212CFA">
        <w:t>,</w:t>
      </w:r>
      <w:r>
        <w:t xml:space="preserve"> discussions indicated</w:t>
      </w:r>
      <w:r w:rsidRPr="00630A55">
        <w:t xml:space="preserve"> the isolation of these costs appears to be comprehensive and robust.</w:t>
      </w:r>
    </w:p>
    <w:p w14:paraId="073FB1AE" w14:textId="77777777" w:rsidR="008413FD" w:rsidRDefault="008413FD">
      <w:pPr>
        <w:spacing w:before="0" w:after="160" w:line="259" w:lineRule="auto"/>
      </w:pPr>
      <w:r>
        <w:br w:type="page"/>
      </w:r>
    </w:p>
    <w:p w14:paraId="7142448A" w14:textId="787F27B3" w:rsidR="00CD2DFF" w:rsidRPr="00A64543" w:rsidRDefault="00CD2DFF" w:rsidP="00E10AE9">
      <w:pPr>
        <w:pStyle w:val="BodyText"/>
        <w:numPr>
          <w:ilvl w:val="0"/>
          <w:numId w:val="19"/>
        </w:numPr>
        <w:ind w:left="357" w:hanging="357"/>
        <w:rPr>
          <w:b/>
        </w:rPr>
      </w:pPr>
      <w:r w:rsidRPr="00A64543">
        <w:rPr>
          <w:b/>
        </w:rPr>
        <w:lastRenderedPageBreak/>
        <w:t>Assess the degree to which the NHCDC data is robust and fit for purpose</w:t>
      </w:r>
    </w:p>
    <w:p w14:paraId="164C4E8F" w14:textId="35233C90" w:rsidR="00CD2DFF" w:rsidRDefault="00CD2DFF" w:rsidP="00E10AE9">
      <w:pPr>
        <w:pStyle w:val="BodyTextIndent"/>
        <w:jc w:val="both"/>
      </w:pPr>
      <w:r w:rsidRPr="002474C2">
        <w:t xml:space="preserve">As outlined above while the data submissions are reconciled and complete, the impact of COVID-19 on expenditure and activity varied across the jurisdictions, i.e. </w:t>
      </w:r>
      <w:r>
        <w:t>COVID</w:t>
      </w:r>
      <w:r w:rsidR="00212CFA">
        <w:t>-19</w:t>
      </w:r>
      <w:r>
        <w:t xml:space="preserve"> impacts varied significantly in terms of timing and </w:t>
      </w:r>
      <w:r w:rsidRPr="002474C2">
        <w:t xml:space="preserve">the </w:t>
      </w:r>
      <w:r>
        <w:t xml:space="preserve">relevant State Government </w:t>
      </w:r>
      <w:r w:rsidRPr="002474C2">
        <w:t>response</w:t>
      </w:r>
      <w:r>
        <w:t>s</w:t>
      </w:r>
      <w:r w:rsidRPr="002474C2">
        <w:t xml:space="preserve"> </w:t>
      </w:r>
      <w:r>
        <w:t>to address COVID-19</w:t>
      </w:r>
      <w:r w:rsidRPr="002474C2">
        <w:t xml:space="preserve">, e.g. Western Australia </w:t>
      </w:r>
      <w:r>
        <w:t xml:space="preserve">(WA) </w:t>
      </w:r>
      <w:r w:rsidRPr="002474C2">
        <w:t xml:space="preserve">experienced almost no impact for </w:t>
      </w:r>
      <w:r w:rsidR="00CC36E0">
        <w:t>FY</w:t>
      </w:r>
      <w:r w:rsidR="005F2167">
        <w:t>20/21</w:t>
      </w:r>
      <w:r w:rsidRPr="002474C2">
        <w:t>.</w:t>
      </w:r>
      <w:r w:rsidRPr="00630A55">
        <w:t xml:space="preserve"> </w:t>
      </w:r>
    </w:p>
    <w:p w14:paraId="0035284F" w14:textId="0871442E" w:rsidR="00647E46" w:rsidRDefault="00647E46" w:rsidP="00E10AE9">
      <w:pPr>
        <w:pStyle w:val="BodyText"/>
        <w:numPr>
          <w:ilvl w:val="0"/>
          <w:numId w:val="19"/>
        </w:numPr>
        <w:ind w:left="357" w:hanging="357"/>
        <w:rPr>
          <w:b/>
        </w:rPr>
      </w:pPr>
      <w:r w:rsidRPr="00E87D65">
        <w:rPr>
          <w:b/>
        </w:rPr>
        <w:t>Review the data flow from the health service to the jurisdictional upload of hospital information, to the data submission portal, through to the storing of data in IHACPA’s national database, through a selected sample</w:t>
      </w:r>
    </w:p>
    <w:p w14:paraId="7C5157B9" w14:textId="29809F14" w:rsidR="00F75891" w:rsidRPr="002433B8" w:rsidRDefault="002433B8" w:rsidP="00E10AE9">
      <w:pPr>
        <w:pStyle w:val="BodyTextIndent"/>
        <w:jc w:val="both"/>
      </w:pPr>
      <w:r>
        <w:t xml:space="preserve">A sample </w:t>
      </w:r>
      <w:r w:rsidR="00706FC2">
        <w:t xml:space="preserve">of </w:t>
      </w:r>
      <w:r>
        <w:t>five patient records from each hospital was taken to test the transfer of patient cost data from the hospital, via the jurisdiction, to IHACPA</w:t>
      </w:r>
      <w:r w:rsidR="00706FC2">
        <w:t xml:space="preserve"> and</w:t>
      </w:r>
      <w:r w:rsidR="00212CFA">
        <w:t xml:space="preserve"> to</w:t>
      </w:r>
      <w:r w:rsidR="00706FC2">
        <w:t xml:space="preserve"> identify any cost variance. </w:t>
      </w:r>
      <w:r w:rsidR="00E92C99">
        <w:t>There were no material variances across any of the jurisdictional samples</w:t>
      </w:r>
      <w:r w:rsidR="00894364">
        <w:t xml:space="preserve"> indicating appropriate data flow from the health service through to IHACPA</w:t>
      </w:r>
      <w:r w:rsidR="001E2D60">
        <w:t>. T</w:t>
      </w:r>
      <w:r w:rsidR="00894364">
        <w:t>he</w:t>
      </w:r>
      <w:r w:rsidR="001E2D60">
        <w:t xml:space="preserve"> individual sample</w:t>
      </w:r>
      <w:r w:rsidR="00894364">
        <w:t xml:space="preserve"> results are provided within </w:t>
      </w:r>
      <w:r w:rsidR="00557C23">
        <w:t xml:space="preserve">each jurisdictional chapter. </w:t>
      </w:r>
    </w:p>
    <w:p w14:paraId="33D31602" w14:textId="4F232189" w:rsidR="00647E46" w:rsidRPr="00E87D65" w:rsidRDefault="0071124E" w:rsidP="00E10AE9">
      <w:pPr>
        <w:pStyle w:val="BodyText"/>
        <w:numPr>
          <w:ilvl w:val="0"/>
          <w:numId w:val="19"/>
        </w:numPr>
        <w:ind w:left="357" w:hanging="357"/>
        <w:rPr>
          <w:b/>
        </w:rPr>
      </w:pPr>
      <w:r w:rsidRPr="00E87D65">
        <w:rPr>
          <w:b/>
        </w:rPr>
        <w:t>Identification of improvements implemented at the health service and/or jurisdictional level as compared to FY19/20 and address any developments made in response to the findings in the FY</w:t>
      </w:r>
      <w:r w:rsidR="00F31211" w:rsidRPr="00E87D65">
        <w:rPr>
          <w:b/>
        </w:rPr>
        <w:t xml:space="preserve">19/20 IFR Final Report </w:t>
      </w:r>
    </w:p>
    <w:p w14:paraId="151481BA" w14:textId="5CDE45DA" w:rsidR="00F75891" w:rsidRPr="00E87D65" w:rsidRDefault="00E10AE9" w:rsidP="00E10AE9">
      <w:pPr>
        <w:pStyle w:val="BodyText"/>
        <w:ind w:left="357"/>
        <w:rPr>
          <w:bCs/>
        </w:rPr>
      </w:pPr>
      <w:r>
        <w:rPr>
          <w:bCs/>
        </w:rPr>
        <w:t>Several</w:t>
      </w:r>
      <w:r w:rsidR="00B13A02">
        <w:rPr>
          <w:bCs/>
        </w:rPr>
        <w:t xml:space="preserve"> improvements to FY19/20 costing processes were identified through the discussions with each jurisdiction and are highlighted within the jurisdictional chapters, alongside </w:t>
      </w:r>
      <w:r w:rsidR="004E07B7">
        <w:rPr>
          <w:bCs/>
        </w:rPr>
        <w:t xml:space="preserve">additional areas for improvement that are being considered for FY21/22 and beyond. </w:t>
      </w:r>
    </w:p>
    <w:p w14:paraId="11CA6B59" w14:textId="46637A29" w:rsidR="00F31211" w:rsidRDefault="00F31211" w:rsidP="00E10AE9">
      <w:pPr>
        <w:pStyle w:val="BodyText"/>
        <w:numPr>
          <w:ilvl w:val="0"/>
          <w:numId w:val="19"/>
        </w:numPr>
        <w:ind w:left="357" w:hanging="357"/>
        <w:rPr>
          <w:b/>
        </w:rPr>
      </w:pPr>
      <w:r w:rsidRPr="00E87D65">
        <w:rPr>
          <w:b/>
        </w:rPr>
        <w:t>Review the cost allocation methodology utilised by different hospitals for two selected diagnosis related groups (DRGs), i.e. haemodialysis and chemotherapy</w:t>
      </w:r>
    </w:p>
    <w:p w14:paraId="35AFBADD" w14:textId="41D0D1CB" w:rsidR="00FF769F" w:rsidRDefault="000F0905" w:rsidP="00E10AE9">
      <w:pPr>
        <w:pStyle w:val="BodyText"/>
        <w:ind w:left="357"/>
      </w:pPr>
      <w:r>
        <w:rPr>
          <w:bCs/>
        </w:rPr>
        <w:t>A review of the costing allocation and service delivery methods for haemodialysis and chemotherapy across jurisdictions i</w:t>
      </w:r>
      <w:r w:rsidR="00CE1302">
        <w:rPr>
          <w:bCs/>
        </w:rPr>
        <w:t>s</w:t>
      </w:r>
      <w:r>
        <w:rPr>
          <w:bCs/>
        </w:rPr>
        <w:t xml:space="preserve"> provided in </w:t>
      </w:r>
      <w:r w:rsidR="00E92C99">
        <w:rPr>
          <w:bCs/>
        </w:rPr>
        <w:t>s</w:t>
      </w:r>
      <w:r>
        <w:rPr>
          <w:bCs/>
        </w:rPr>
        <w:t>ection</w:t>
      </w:r>
      <w:r w:rsidR="00E92C99">
        <w:rPr>
          <w:bCs/>
        </w:rPr>
        <w:t xml:space="preserve"> </w:t>
      </w:r>
      <w:r w:rsidR="00212CFA">
        <w:rPr>
          <w:bCs/>
        </w:rPr>
        <w:fldChar w:fldCharType="begin"/>
      </w:r>
      <w:r w:rsidR="00212CFA">
        <w:rPr>
          <w:bCs/>
        </w:rPr>
        <w:instrText xml:space="preserve"> REF _Ref119933966 \w \h </w:instrText>
      </w:r>
      <w:r w:rsidR="00212CFA">
        <w:rPr>
          <w:bCs/>
        </w:rPr>
      </w:r>
      <w:r w:rsidR="00212CFA">
        <w:rPr>
          <w:bCs/>
        </w:rPr>
        <w:fldChar w:fldCharType="separate"/>
      </w:r>
      <w:r w:rsidR="007E2ACB">
        <w:rPr>
          <w:bCs/>
        </w:rPr>
        <w:t>3</w:t>
      </w:r>
      <w:r w:rsidR="00212CFA">
        <w:rPr>
          <w:bCs/>
        </w:rPr>
        <w:fldChar w:fldCharType="end"/>
      </w:r>
      <w:r w:rsidR="008D5F83">
        <w:rPr>
          <w:bCs/>
        </w:rPr>
        <w:t xml:space="preserve">, with comparative highlights also provided within this Executive Summary. </w:t>
      </w:r>
    </w:p>
    <w:p w14:paraId="31A0742C" w14:textId="2C6035E8" w:rsidR="00FF769F" w:rsidRDefault="00FF769F" w:rsidP="00E10AE9">
      <w:pPr>
        <w:pStyle w:val="BodyText1"/>
        <w:jc w:val="both"/>
      </w:pPr>
      <w:r w:rsidRPr="00C2785D">
        <w:t xml:space="preserve">Specific observations from the </w:t>
      </w:r>
      <w:r>
        <w:t>FY</w:t>
      </w:r>
      <w:r w:rsidRPr="00C2785D">
        <w:t>20</w:t>
      </w:r>
      <w:r>
        <w:t>/</w:t>
      </w:r>
      <w:r w:rsidRPr="00C2785D">
        <w:t xml:space="preserve">21 IFR are detailed in section </w:t>
      </w:r>
      <w:r w:rsidRPr="00C2785D">
        <w:fldChar w:fldCharType="begin"/>
      </w:r>
      <w:r w:rsidRPr="00C2785D">
        <w:instrText xml:space="preserve"> REF _Ref83282446 \r \h  \* MERGEFORMAT </w:instrText>
      </w:r>
      <w:r w:rsidRPr="00C2785D">
        <w:fldChar w:fldCharType="separate"/>
      </w:r>
      <w:r w:rsidR="007E2ACB">
        <w:t>2.1</w:t>
      </w:r>
      <w:r w:rsidRPr="00C2785D">
        <w:fldChar w:fldCharType="end"/>
      </w:r>
      <w:r w:rsidR="001C1E4C">
        <w:t>. W</w:t>
      </w:r>
      <w:r w:rsidRPr="00C2785D">
        <w:t>hile one jurisdiction did not participate this year, the IFR was well received by all participating jurisdictions with robust conversations throughout the consultation process.</w:t>
      </w:r>
    </w:p>
    <w:p w14:paraId="73958530" w14:textId="77777777" w:rsidR="00FF769F" w:rsidRDefault="00FF769F" w:rsidP="00E10AE9">
      <w:pPr>
        <w:pStyle w:val="BodyText1"/>
        <w:jc w:val="both"/>
      </w:pPr>
      <w:r>
        <w:t>As a result of previous recommendations, data collection</w:t>
      </w:r>
      <w:r w:rsidRPr="00630A55">
        <w:t xml:space="preserve"> templates were adjusted to </w:t>
      </w:r>
      <w:r>
        <w:t xml:space="preserve">gather relevant information </w:t>
      </w:r>
      <w:r w:rsidRPr="00630A55">
        <w:t>and</w:t>
      </w:r>
      <w:r>
        <w:t xml:space="preserve"> </w:t>
      </w:r>
      <w:r w:rsidRPr="00630A55">
        <w:t xml:space="preserve">utilise information </w:t>
      </w:r>
      <w:r>
        <w:t xml:space="preserve">that had </w:t>
      </w:r>
      <w:r w:rsidRPr="00630A55">
        <w:t xml:space="preserve">already </w:t>
      </w:r>
      <w:r>
        <w:t xml:space="preserve">been </w:t>
      </w:r>
      <w:r w:rsidRPr="00630A55">
        <w:t xml:space="preserve">provided </w:t>
      </w:r>
      <w:r>
        <w:t xml:space="preserve">by health services </w:t>
      </w:r>
      <w:r w:rsidRPr="00630A55">
        <w:t xml:space="preserve">through the data quality statements and </w:t>
      </w:r>
      <w:r>
        <w:t xml:space="preserve">jurisdictional </w:t>
      </w:r>
      <w:r w:rsidRPr="00630A55">
        <w:t>submission process</w:t>
      </w:r>
      <w:r>
        <w:t xml:space="preserve">. The template also collected prior year data that was used to facilitate discussions on potential emerging trends or process changes from FY19/20. </w:t>
      </w:r>
    </w:p>
    <w:p w14:paraId="4A236E09" w14:textId="09B88397" w:rsidR="00FF769F" w:rsidRPr="00630A55" w:rsidRDefault="00FF769F" w:rsidP="00E10AE9">
      <w:pPr>
        <w:pStyle w:val="BodyText1"/>
        <w:jc w:val="both"/>
      </w:pPr>
      <w:r>
        <w:t xml:space="preserve">Focus areas included for the FY20/21 year and agreed through the NHCDC Advisory Committee (NAC) were </w:t>
      </w:r>
      <w:r w:rsidR="00212CFA">
        <w:t>h</w:t>
      </w:r>
      <w:r w:rsidRPr="00630A55">
        <w:t xml:space="preserve">aemodialysis and </w:t>
      </w:r>
      <w:r w:rsidR="00212CFA">
        <w:t>c</w:t>
      </w:r>
      <w:r w:rsidRPr="00630A55">
        <w:t xml:space="preserve">hemotherapy, selected </w:t>
      </w:r>
      <w:r>
        <w:t xml:space="preserve">due to their </w:t>
      </w:r>
      <w:r w:rsidRPr="00630A55">
        <w:t xml:space="preserve">high volume </w:t>
      </w:r>
      <w:r>
        <w:t>services nationally</w:t>
      </w:r>
      <w:r w:rsidRPr="00630A55">
        <w:t xml:space="preserve">. </w:t>
      </w:r>
    </w:p>
    <w:p w14:paraId="086E7122" w14:textId="752F1FEF" w:rsidR="00CD2DFF" w:rsidRDefault="00CD2DFF" w:rsidP="00E10AE9">
      <w:pPr>
        <w:pStyle w:val="BodyText"/>
      </w:pPr>
      <w:r>
        <w:t xml:space="preserve">The following table provides a summary of the recommendations for </w:t>
      </w:r>
      <w:r w:rsidRPr="00FD7878">
        <w:t xml:space="preserve">the </w:t>
      </w:r>
      <w:r>
        <w:t>FY</w:t>
      </w:r>
      <w:r w:rsidRPr="00FD7878">
        <w:t>20</w:t>
      </w:r>
      <w:r w:rsidR="00F95411">
        <w:t>/</w:t>
      </w:r>
      <w:r w:rsidRPr="00FD7878">
        <w:t>2</w:t>
      </w:r>
      <w:r>
        <w:t>1</w:t>
      </w:r>
      <w:r w:rsidRPr="00FD7878">
        <w:t xml:space="preserve"> IFR</w:t>
      </w:r>
      <w:r>
        <w:t xml:space="preserve">, with further detail outlined in </w:t>
      </w:r>
      <w:r w:rsidR="00212CFA">
        <w:t>s</w:t>
      </w:r>
      <w:r>
        <w:t xml:space="preserve">ection </w:t>
      </w:r>
      <w:r>
        <w:fldChar w:fldCharType="begin"/>
      </w:r>
      <w:r>
        <w:instrText xml:space="preserve"> REF _Ref114829184 \r \h </w:instrText>
      </w:r>
      <w:r w:rsidR="00E10AE9">
        <w:instrText xml:space="preserve"> \* MERGEFORMAT </w:instrText>
      </w:r>
      <w:r>
        <w:fldChar w:fldCharType="separate"/>
      </w:r>
      <w:r w:rsidR="007E2ACB">
        <w:t>2.2</w:t>
      </w:r>
      <w:r>
        <w:fldChar w:fldCharType="end"/>
      </w:r>
      <w:r>
        <w:t>.</w:t>
      </w:r>
    </w:p>
    <w:p w14:paraId="0FF6ED23" w14:textId="335AA42A" w:rsidR="00CD2DFF" w:rsidRPr="00630A55" w:rsidRDefault="00CD2DFF" w:rsidP="00CD2DFF">
      <w:pPr>
        <w:pStyle w:val="Caption"/>
      </w:pPr>
      <w:r w:rsidRPr="001B50F5">
        <w:rPr>
          <w:b/>
          <w:bCs/>
        </w:rPr>
        <w:t xml:space="preserve">Table </w:t>
      </w:r>
      <w:r w:rsidR="00D91CB1" w:rsidRPr="001B50F5">
        <w:rPr>
          <w:b/>
          <w:bCs/>
        </w:rPr>
        <w:fldChar w:fldCharType="begin"/>
      </w:r>
      <w:r w:rsidR="00D91CB1" w:rsidRPr="001B50F5">
        <w:rPr>
          <w:b/>
          <w:bCs/>
        </w:rPr>
        <w:instrText xml:space="preserve"> SEQ Table \* ARABIC </w:instrText>
      </w:r>
      <w:r w:rsidR="00D91CB1" w:rsidRPr="001B50F5">
        <w:rPr>
          <w:b/>
          <w:bCs/>
        </w:rPr>
        <w:fldChar w:fldCharType="separate"/>
      </w:r>
      <w:r w:rsidR="007E2ACB">
        <w:rPr>
          <w:b/>
          <w:bCs/>
          <w:noProof/>
        </w:rPr>
        <w:t>1</w:t>
      </w:r>
      <w:r w:rsidR="00D91CB1" w:rsidRPr="001B50F5">
        <w:rPr>
          <w:b/>
          <w:bCs/>
          <w:noProof/>
        </w:rPr>
        <w:fldChar w:fldCharType="end"/>
      </w:r>
      <w:r w:rsidRPr="001B50F5">
        <w:rPr>
          <w:b/>
          <w:bCs/>
        </w:rPr>
        <w:t>:</w:t>
      </w:r>
      <w:r>
        <w:t xml:space="preserve"> </w:t>
      </w:r>
      <w:r w:rsidRPr="00FD7878">
        <w:t xml:space="preserve">Recommendations from the </w:t>
      </w:r>
      <w:r>
        <w:t>FY</w:t>
      </w:r>
      <w:r w:rsidRPr="00FD7878">
        <w:t>20</w:t>
      </w:r>
      <w:r w:rsidR="00A855EF">
        <w:t>/</w:t>
      </w:r>
      <w:r w:rsidRPr="00FD7878">
        <w:t>2</w:t>
      </w:r>
      <w:r>
        <w:t>1</w:t>
      </w:r>
      <w:r w:rsidRPr="00FD7878">
        <w:t xml:space="preserve"> IFR</w:t>
      </w:r>
    </w:p>
    <w:tbl>
      <w:tblPr>
        <w:tblStyle w:val="ListTable4-Accent11"/>
        <w:tblW w:w="4772"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Caption w:val="Round 21 IFR participating hospitals/LHNs"/>
        <w:tblDescription w:val="This table lists the jurisdictions and hospitals/LHNs that participated in the Round 21 IFR.  There are 2 columns. The first column is the jurisdiction and the second column is the hospital/LHN."/>
      </w:tblPr>
      <w:tblGrid>
        <w:gridCol w:w="885"/>
        <w:gridCol w:w="7762"/>
      </w:tblGrid>
      <w:tr w:rsidR="008F6754" w:rsidRPr="00647E46" w14:paraId="23E9FEB1" w14:textId="77777777" w:rsidTr="00E2105E">
        <w:trPr>
          <w:cnfStyle w:val="100000000000" w:firstRow="1" w:lastRow="0" w:firstColumn="0" w:lastColumn="0" w:oddVBand="0" w:evenVBand="0" w:oddHBand="0" w:evenHBand="0" w:firstRowFirstColumn="0" w:firstRowLastColumn="0" w:lastRowFirstColumn="0" w:lastRowLastColumn="0"/>
          <w:cantSplit/>
          <w:tblHeader/>
        </w:trPr>
        <w:tc>
          <w:tcPr>
            <w:tcW w:w="328" w:type="pct"/>
            <w:shd w:val="clear" w:color="auto" w:fill="002060"/>
            <w:noWrap/>
            <w:tcMar>
              <w:top w:w="0" w:type="dxa"/>
              <w:left w:w="108" w:type="dxa"/>
              <w:bottom w:w="0" w:type="dxa"/>
              <w:right w:w="28" w:type="dxa"/>
            </w:tcMar>
            <w:hideMark/>
          </w:tcPr>
          <w:p w14:paraId="0EF40BA5" w14:textId="77777777" w:rsidR="00CD2DFF" w:rsidRPr="00E87D65" w:rsidRDefault="00CD2DFF" w:rsidP="00374C3F">
            <w:pPr>
              <w:spacing w:before="40" w:after="40"/>
              <w:ind w:right="426"/>
              <w:rPr>
                <w:rFonts w:cs="Arial"/>
              </w:rPr>
            </w:pPr>
            <w:r w:rsidRPr="00E87D65">
              <w:rPr>
                <w:rFonts w:cs="Arial"/>
              </w:rPr>
              <w:t>No.</w:t>
            </w:r>
          </w:p>
        </w:tc>
        <w:tc>
          <w:tcPr>
            <w:tcW w:w="4672" w:type="pct"/>
            <w:shd w:val="clear" w:color="auto" w:fill="002060"/>
            <w:hideMark/>
          </w:tcPr>
          <w:p w14:paraId="436F67B2" w14:textId="77777777" w:rsidR="00CD2DFF" w:rsidRPr="00E87D65" w:rsidRDefault="00CD2DFF" w:rsidP="00374C3F">
            <w:pPr>
              <w:spacing w:before="40" w:after="40"/>
              <w:rPr>
                <w:rFonts w:cs="Arial"/>
              </w:rPr>
            </w:pPr>
            <w:r w:rsidRPr="00E87D65">
              <w:rPr>
                <w:rFonts w:cs="Arial"/>
              </w:rPr>
              <w:t>Recommendation</w:t>
            </w:r>
          </w:p>
        </w:tc>
      </w:tr>
      <w:tr w:rsidR="00CD2DFF" w:rsidRPr="00647E46" w14:paraId="174744F7" w14:textId="77777777" w:rsidTr="00E2105E">
        <w:trPr>
          <w:cantSplit/>
        </w:trPr>
        <w:tc>
          <w:tcPr>
            <w:tcW w:w="328" w:type="pct"/>
            <w:noWrap/>
          </w:tcPr>
          <w:p w14:paraId="62DC9CC6" w14:textId="77777777" w:rsidR="00CD2DFF" w:rsidRPr="00647E46" w:rsidRDefault="00CD2DFF" w:rsidP="00374C3F">
            <w:pPr>
              <w:pStyle w:val="BodyText"/>
              <w:spacing w:before="40" w:after="40"/>
              <w:rPr>
                <w:rFonts w:cs="Arial"/>
                <w:b/>
                <w:bCs/>
              </w:rPr>
            </w:pPr>
            <w:r w:rsidRPr="00647E46">
              <w:rPr>
                <w:rFonts w:cs="Arial"/>
                <w:b/>
                <w:bCs/>
              </w:rPr>
              <w:t>1</w:t>
            </w:r>
          </w:p>
        </w:tc>
        <w:tc>
          <w:tcPr>
            <w:tcW w:w="4672" w:type="pct"/>
          </w:tcPr>
          <w:p w14:paraId="447734EA" w14:textId="77777777" w:rsidR="00CD2DFF" w:rsidRPr="00E87D65" w:rsidRDefault="00CD2DFF" w:rsidP="00374C3F">
            <w:pPr>
              <w:pStyle w:val="Heading4"/>
              <w:spacing w:before="40" w:after="40"/>
              <w:outlineLvl w:val="3"/>
              <w:rPr>
                <w:rFonts w:cs="Arial"/>
                <w:sz w:val="20"/>
              </w:rPr>
            </w:pPr>
            <w:r w:rsidRPr="00E87D65">
              <w:rPr>
                <w:rFonts w:cs="Arial"/>
                <w:sz w:val="20"/>
              </w:rPr>
              <w:t>Structure and approach for future IFRs</w:t>
            </w:r>
          </w:p>
          <w:p w14:paraId="29B170F6" w14:textId="7B3ED3DF" w:rsidR="00CD2DFF" w:rsidRPr="00A25B85" w:rsidRDefault="00CD2DFF" w:rsidP="00A77EA3">
            <w:pPr>
              <w:pStyle w:val="TabletextJustified"/>
            </w:pPr>
            <w:r w:rsidRPr="00647E46">
              <w:t xml:space="preserve">Changes did occur for FY20/21 with the simplification of the data collection templates </w:t>
            </w:r>
            <w:r w:rsidRPr="004E07B7">
              <w:t>and further discussions on focus areas. However, the opportunity for further enhancements to the templates and the overall process were discussed during the site and jur</w:t>
            </w:r>
            <w:r w:rsidRPr="00472381">
              <w:t>isdictional consultations. Templates should be further enhanced for ease of completion for FY21</w:t>
            </w:r>
            <w:r w:rsidR="00C925F5" w:rsidRPr="00472381">
              <w:t>/</w:t>
            </w:r>
            <w:r w:rsidRPr="00472381">
              <w:t>22.</w:t>
            </w:r>
          </w:p>
        </w:tc>
      </w:tr>
      <w:tr w:rsidR="00CD2DFF" w:rsidRPr="00647E46" w14:paraId="36BA13D5" w14:textId="77777777" w:rsidTr="00E2105E">
        <w:trPr>
          <w:cantSplit/>
          <w:trHeight w:val="1455"/>
        </w:trPr>
        <w:tc>
          <w:tcPr>
            <w:tcW w:w="328" w:type="pct"/>
            <w:noWrap/>
          </w:tcPr>
          <w:p w14:paraId="242D8908" w14:textId="77777777" w:rsidR="00CD2DFF" w:rsidRPr="00647E46" w:rsidRDefault="00CD2DFF" w:rsidP="00374C3F">
            <w:pPr>
              <w:pStyle w:val="BodyText"/>
              <w:spacing w:before="40" w:after="40"/>
              <w:rPr>
                <w:rFonts w:cs="Arial"/>
                <w:b/>
                <w:bCs/>
              </w:rPr>
            </w:pPr>
            <w:r w:rsidRPr="00647E46">
              <w:rPr>
                <w:rFonts w:cs="Arial"/>
                <w:b/>
                <w:bCs/>
              </w:rPr>
              <w:lastRenderedPageBreak/>
              <w:t>2</w:t>
            </w:r>
          </w:p>
        </w:tc>
        <w:tc>
          <w:tcPr>
            <w:tcW w:w="4672" w:type="pct"/>
          </w:tcPr>
          <w:p w14:paraId="01EEAE75" w14:textId="77777777" w:rsidR="00CD2DFF" w:rsidRPr="00E87D65" w:rsidRDefault="00CD2DFF" w:rsidP="00E10AE9">
            <w:pPr>
              <w:pStyle w:val="Heading4"/>
              <w:spacing w:before="40" w:after="40"/>
              <w:jc w:val="both"/>
              <w:outlineLvl w:val="3"/>
              <w:rPr>
                <w:rFonts w:cs="Arial"/>
                <w:sz w:val="20"/>
              </w:rPr>
            </w:pPr>
            <w:r w:rsidRPr="00E87D65">
              <w:rPr>
                <w:rFonts w:cs="Arial"/>
                <w:sz w:val="20"/>
              </w:rPr>
              <w:t>Developing and promoting cost practitioner knowledge</w:t>
            </w:r>
          </w:p>
          <w:p w14:paraId="00256C58" w14:textId="34530960" w:rsidR="00CD2DFF" w:rsidRPr="00D7744B" w:rsidRDefault="00CD2DFF" w:rsidP="00A77EA3">
            <w:pPr>
              <w:pStyle w:val="TabletextJustified"/>
            </w:pPr>
            <w:r w:rsidRPr="00647E46">
              <w:t xml:space="preserve">During the consultation phase, it was evident that the impact of departing cost </w:t>
            </w:r>
            <w:r w:rsidRPr="004E07B7">
              <w:t>practitioners was significant for several jurisdictions. This recommendation was proposed last year and sh</w:t>
            </w:r>
            <w:r w:rsidRPr="00472381">
              <w:t>ould again be a focus for the costing community. Recommendations range</w:t>
            </w:r>
            <w:r w:rsidRPr="00A25B85">
              <w:t xml:space="preserve"> from formal knowledge sharing, costing internships through to formal discussions with a relevant professional body (HFMA).</w:t>
            </w:r>
          </w:p>
        </w:tc>
      </w:tr>
      <w:tr w:rsidR="00CD2DFF" w:rsidRPr="00647E46" w14:paraId="5ED7E948" w14:textId="77777777" w:rsidTr="00E2105E">
        <w:trPr>
          <w:cantSplit/>
        </w:trPr>
        <w:tc>
          <w:tcPr>
            <w:tcW w:w="328" w:type="pct"/>
            <w:noWrap/>
          </w:tcPr>
          <w:p w14:paraId="1B979E23" w14:textId="77777777" w:rsidR="00CD2DFF" w:rsidRPr="00647E46" w:rsidRDefault="00CD2DFF" w:rsidP="00374C3F">
            <w:pPr>
              <w:pStyle w:val="BodyText"/>
              <w:spacing w:before="40" w:after="40"/>
              <w:rPr>
                <w:rFonts w:cs="Arial"/>
                <w:b/>
                <w:bCs/>
              </w:rPr>
            </w:pPr>
            <w:r w:rsidRPr="00647E46">
              <w:rPr>
                <w:rFonts w:cs="Arial"/>
                <w:b/>
                <w:bCs/>
              </w:rPr>
              <w:t>3</w:t>
            </w:r>
          </w:p>
        </w:tc>
        <w:tc>
          <w:tcPr>
            <w:tcW w:w="4672" w:type="pct"/>
          </w:tcPr>
          <w:p w14:paraId="229A58B8" w14:textId="77777777" w:rsidR="00CD2DFF" w:rsidRPr="00E87D65" w:rsidRDefault="00CD2DFF" w:rsidP="00374C3F">
            <w:pPr>
              <w:pStyle w:val="Heading4"/>
              <w:spacing w:before="40" w:after="40"/>
              <w:outlineLvl w:val="3"/>
              <w:rPr>
                <w:rFonts w:cs="Arial"/>
                <w:sz w:val="20"/>
              </w:rPr>
            </w:pPr>
            <w:r w:rsidRPr="00E87D65">
              <w:rPr>
                <w:rFonts w:cs="Arial"/>
                <w:sz w:val="20"/>
              </w:rPr>
              <w:t>Focus areas</w:t>
            </w:r>
          </w:p>
          <w:p w14:paraId="2B906DFA" w14:textId="44035943" w:rsidR="00CD2DFF" w:rsidRPr="00D7744B" w:rsidRDefault="00CD2DFF" w:rsidP="00A77EA3">
            <w:pPr>
              <w:pStyle w:val="TabletextJustified"/>
            </w:pPr>
            <w:r w:rsidRPr="00647E46">
              <w:t xml:space="preserve">During the consultations, the discussion of the selected focus areas provided good context for how the services were run and highlighted any changes in practice that </w:t>
            </w:r>
            <w:r w:rsidRPr="004E07B7">
              <w:t xml:space="preserve">may have impacted costs. </w:t>
            </w:r>
            <w:r w:rsidRPr="00472381">
              <w:t>Focus area discussions should tie into a costing standard with a</w:t>
            </w:r>
            <w:r w:rsidRPr="00A25B85">
              <w:t xml:space="preserve"> deep dive into the costing methods, feeder systems and data capture undertaken for the area. This would support focused improvement of standards.</w:t>
            </w:r>
          </w:p>
        </w:tc>
      </w:tr>
      <w:tr w:rsidR="00CD2DFF" w:rsidRPr="00647E46" w14:paraId="0AB613EF" w14:textId="77777777" w:rsidTr="00E2105E">
        <w:trPr>
          <w:cantSplit/>
        </w:trPr>
        <w:tc>
          <w:tcPr>
            <w:tcW w:w="328" w:type="pct"/>
            <w:noWrap/>
          </w:tcPr>
          <w:p w14:paraId="1C1D6AB7" w14:textId="77777777" w:rsidR="00CD2DFF" w:rsidRPr="00647E46" w:rsidRDefault="00CD2DFF" w:rsidP="00374C3F">
            <w:pPr>
              <w:pStyle w:val="BodyText"/>
              <w:spacing w:before="40" w:after="40"/>
              <w:rPr>
                <w:rFonts w:cs="Arial"/>
                <w:b/>
                <w:bCs/>
              </w:rPr>
            </w:pPr>
            <w:r w:rsidRPr="00647E46">
              <w:rPr>
                <w:rFonts w:cs="Arial"/>
                <w:b/>
                <w:bCs/>
              </w:rPr>
              <w:t>4</w:t>
            </w:r>
          </w:p>
        </w:tc>
        <w:tc>
          <w:tcPr>
            <w:tcW w:w="4672" w:type="pct"/>
          </w:tcPr>
          <w:p w14:paraId="2F93B61D" w14:textId="77777777" w:rsidR="00CD2DFF" w:rsidRPr="00E87D65" w:rsidRDefault="00CD2DFF" w:rsidP="00374C3F">
            <w:pPr>
              <w:pStyle w:val="Heading4"/>
              <w:spacing w:before="40" w:after="40"/>
              <w:outlineLvl w:val="3"/>
              <w:rPr>
                <w:rFonts w:cs="Arial"/>
                <w:sz w:val="20"/>
              </w:rPr>
            </w:pPr>
            <w:r w:rsidRPr="00E87D65">
              <w:rPr>
                <w:rFonts w:cs="Arial"/>
                <w:sz w:val="20"/>
              </w:rPr>
              <w:t>Scope of the IFR – Sampling Local Health Networks (LHNs)</w:t>
            </w:r>
          </w:p>
          <w:p w14:paraId="2E18DBD4" w14:textId="151785D5" w:rsidR="00CD2DFF" w:rsidRPr="00D7744B" w:rsidRDefault="00CD2DFF" w:rsidP="00A77EA3">
            <w:pPr>
              <w:pStyle w:val="TabletextJustified"/>
            </w:pPr>
            <w:r w:rsidRPr="00647E46">
              <w:t>The absence of any one particular jurisdiction may impact the robustness of the IFR. In additi</w:t>
            </w:r>
            <w:r w:rsidRPr="004E07B7">
              <w:t>on to the sampling framework, the selection of sites should consider the size and breadth of the final sampling size.</w:t>
            </w:r>
            <w:r w:rsidRPr="00472381">
              <w:t xml:space="preserve"> Notwithstanding the need to alternate sites in smaller jurisdictions, the fina</w:t>
            </w:r>
            <w:r w:rsidRPr="00A25B85">
              <w:t xml:space="preserve">l sample sites selected should be a robust representative of total NHCDC costs. </w:t>
            </w:r>
          </w:p>
        </w:tc>
      </w:tr>
      <w:tr w:rsidR="00CD2DFF" w:rsidRPr="00647E46" w14:paraId="399D9D10" w14:textId="77777777" w:rsidTr="00E2105E">
        <w:trPr>
          <w:cantSplit/>
        </w:trPr>
        <w:tc>
          <w:tcPr>
            <w:tcW w:w="328" w:type="pct"/>
            <w:noWrap/>
          </w:tcPr>
          <w:p w14:paraId="062768FB" w14:textId="77777777" w:rsidR="00CD2DFF" w:rsidRPr="00647E46" w:rsidRDefault="00CD2DFF" w:rsidP="00374C3F">
            <w:pPr>
              <w:pStyle w:val="BodyText"/>
              <w:spacing w:before="40" w:after="40"/>
              <w:rPr>
                <w:rFonts w:cs="Arial"/>
                <w:b/>
                <w:bCs/>
              </w:rPr>
            </w:pPr>
            <w:r w:rsidRPr="00647E46">
              <w:rPr>
                <w:rFonts w:cs="Arial"/>
                <w:b/>
                <w:bCs/>
              </w:rPr>
              <w:t>5</w:t>
            </w:r>
          </w:p>
        </w:tc>
        <w:tc>
          <w:tcPr>
            <w:tcW w:w="4672" w:type="pct"/>
          </w:tcPr>
          <w:p w14:paraId="30F31EA8" w14:textId="5813D06D" w:rsidR="00CD2DFF" w:rsidRPr="00E2105E" w:rsidRDefault="00BD7BA2" w:rsidP="00374C3F">
            <w:pPr>
              <w:pStyle w:val="Heading4"/>
              <w:spacing w:before="40" w:after="40"/>
              <w:outlineLvl w:val="3"/>
              <w:rPr>
                <w:rFonts w:cs="Arial"/>
                <w:sz w:val="20"/>
              </w:rPr>
            </w:pPr>
            <w:r w:rsidRPr="00E2105E">
              <w:rPr>
                <w:rFonts w:cs="Arial"/>
                <w:sz w:val="20"/>
              </w:rPr>
              <w:t>Sharing jurisdictional lessons and insights</w:t>
            </w:r>
          </w:p>
          <w:p w14:paraId="79EBD2B8" w14:textId="6C50AE24" w:rsidR="00CD2DFF" w:rsidRPr="005F18FF" w:rsidRDefault="00CD2DFF" w:rsidP="00A77EA3">
            <w:pPr>
              <w:pStyle w:val="TabletextJustified"/>
            </w:pPr>
            <w:r w:rsidRPr="00647E46">
              <w:t xml:space="preserve">Building on the appetite of jurisdictions to discuss and debrief consolidated findings, consideration should be given to </w:t>
            </w:r>
            <w:r w:rsidRPr="004E07B7">
              <w:t xml:space="preserve">a formal follow-up process into DRGs or specialties </w:t>
            </w:r>
            <w:r w:rsidRPr="00472381">
              <w:t>where there</w:t>
            </w:r>
            <w:r w:rsidR="008F0DB1" w:rsidRPr="00472381">
              <w:t xml:space="preserve"> are </w:t>
            </w:r>
            <w:r w:rsidR="009F4356" w:rsidRPr="00472381">
              <w:t>material variations in</w:t>
            </w:r>
            <w:r w:rsidR="00EE5C90" w:rsidRPr="00A25B85">
              <w:t xml:space="preserve"> either the</w:t>
            </w:r>
            <w:r w:rsidR="009F4356" w:rsidRPr="00A25B85">
              <w:t xml:space="preserve"> </w:t>
            </w:r>
            <w:r w:rsidRPr="005F18FF">
              <w:t>average cost or length of stay</w:t>
            </w:r>
            <w:r w:rsidR="004D387C" w:rsidRPr="005F18FF">
              <w:t xml:space="preserve"> or the costing allocation </w:t>
            </w:r>
            <w:r w:rsidR="008F6754" w:rsidRPr="005F18FF">
              <w:t>methodologies</w:t>
            </w:r>
            <w:r w:rsidR="008F6754">
              <w:t>.</w:t>
            </w:r>
            <w:r w:rsidRPr="005F18FF">
              <w:t xml:space="preserve"> </w:t>
            </w:r>
          </w:p>
          <w:p w14:paraId="7D54CF32" w14:textId="7C00D822" w:rsidR="00CD2DFF" w:rsidRPr="005F18FF" w:rsidRDefault="00CD2DFF" w:rsidP="00A77EA3">
            <w:pPr>
              <w:pStyle w:val="TabletextJustified"/>
            </w:pPr>
            <w:r w:rsidRPr="005F18FF">
              <w:t xml:space="preserve">Identifying </w:t>
            </w:r>
            <w:r w:rsidR="00FA5C77">
              <w:t>one</w:t>
            </w:r>
            <w:r w:rsidRPr="005F18FF">
              <w:t xml:space="preserve"> or </w:t>
            </w:r>
            <w:r w:rsidR="00FA5C77">
              <w:t>two</w:t>
            </w:r>
            <w:r w:rsidRPr="005F18FF">
              <w:t xml:space="preserve"> exemplars during the Q</w:t>
            </w:r>
            <w:r w:rsidR="005178ED">
              <w:t xml:space="preserve">uality </w:t>
            </w:r>
            <w:r w:rsidRPr="005F18FF">
              <w:t>A</w:t>
            </w:r>
            <w:r w:rsidR="005178ED">
              <w:t>ssurance (QA)</w:t>
            </w:r>
            <w:r w:rsidRPr="005F18FF">
              <w:t xml:space="preserve"> process as case studies for </w:t>
            </w:r>
            <w:r w:rsidR="00EA31AD" w:rsidRPr="005F18FF">
              <w:t>discussion and</w:t>
            </w:r>
            <w:r w:rsidRPr="005F18FF">
              <w:t xml:space="preserve"> inclusion in the IFR report would increase the value of the IFR to jurisdictions. For in depth analysis, selecting areas of excellence a</w:t>
            </w:r>
            <w:r w:rsidR="00EA31AD" w:rsidRPr="005F18FF">
              <w:t>s</w:t>
            </w:r>
            <w:r w:rsidRPr="005F18FF">
              <w:t xml:space="preserve"> focus area</w:t>
            </w:r>
            <w:r w:rsidR="00EB630D" w:rsidRPr="005F18FF">
              <w:t>s</w:t>
            </w:r>
            <w:r w:rsidRPr="005F18FF">
              <w:t xml:space="preserve"> in future IFRs would help other jurisdictions learn what good looks like and how to practically implement similar practices and costing methodologies.</w:t>
            </w:r>
          </w:p>
        </w:tc>
      </w:tr>
    </w:tbl>
    <w:p w14:paraId="26F336CB" w14:textId="169247BA" w:rsidR="00924EC7" w:rsidRDefault="00924EC7" w:rsidP="0094163C">
      <w:pPr>
        <w:pStyle w:val="Heading4"/>
      </w:pPr>
      <w:r w:rsidRPr="00924EC7">
        <w:t>Focus areas</w:t>
      </w:r>
    </w:p>
    <w:p w14:paraId="41C6B260" w14:textId="0A43D0AD" w:rsidR="000F7438" w:rsidRDefault="00DA0AD8" w:rsidP="00E10AE9">
      <w:pPr>
        <w:pStyle w:val="BodyText"/>
      </w:pPr>
      <w:r>
        <w:t xml:space="preserve">For the FY20/21 IFR, the two focus areas selected were </w:t>
      </w:r>
      <w:r w:rsidR="00212CFA">
        <w:t>h</w:t>
      </w:r>
      <w:r>
        <w:t>aemodialysis (</w:t>
      </w:r>
      <w:r w:rsidRPr="0035644E">
        <w:t>AR</w:t>
      </w:r>
      <w:r>
        <w:noBreakHyphen/>
      </w:r>
      <w:r w:rsidRPr="0035644E">
        <w:t>DRG L61Z</w:t>
      </w:r>
      <w:r>
        <w:t xml:space="preserve">) and </w:t>
      </w:r>
      <w:r w:rsidR="00212CFA">
        <w:t>c</w:t>
      </w:r>
      <w:r>
        <w:t>hemotherapy (</w:t>
      </w:r>
      <w:r w:rsidRPr="003D0BA5">
        <w:t>AR-DRG R63Z</w:t>
      </w:r>
      <w:r>
        <w:t>). The purpose of analysing the focus areas was to understand the approach and allocation methods employed by each health service for the identification of variation and learning. The outcome was a discussion on how to achieve greater consistency in applying the standards in respect of the two focus areas</w:t>
      </w:r>
      <w:r w:rsidR="000F7438">
        <w:t xml:space="preserve"> and to </w:t>
      </w:r>
      <w:r>
        <w:t xml:space="preserve">provide a basis for further discussion regarding service models. </w:t>
      </w:r>
    </w:p>
    <w:p w14:paraId="54D07800" w14:textId="02B3AB7E" w:rsidR="00DA0AD8" w:rsidRDefault="00DA0AD8" w:rsidP="00E10AE9">
      <w:pPr>
        <w:pStyle w:val="BodyText"/>
      </w:pPr>
      <w:r w:rsidRPr="00630A55">
        <w:t>The opportunity for peer participation also provided the jurisdictions</w:t>
      </w:r>
      <w:r>
        <w:t xml:space="preserve"> with</w:t>
      </w:r>
      <w:r w:rsidRPr="00630A55">
        <w:t xml:space="preserve"> visibility of practices and data capture in these focus areas. Haemodialysis and </w:t>
      </w:r>
      <w:r>
        <w:t>c</w:t>
      </w:r>
      <w:r w:rsidRPr="00630A55">
        <w:t xml:space="preserve">hemotherapy were chosen as the focus areas this year given </w:t>
      </w:r>
      <w:r>
        <w:t>that</w:t>
      </w:r>
      <w:r w:rsidRPr="00630A55">
        <w:t xml:space="preserve"> they are both high volume services, with the scope for multiple service delivery models</w:t>
      </w:r>
      <w:r>
        <w:t xml:space="preserve"> in order to deliver appropriate care</w:t>
      </w:r>
      <w:r w:rsidRPr="00630A55">
        <w:t xml:space="preserve">. </w:t>
      </w:r>
    </w:p>
    <w:p w14:paraId="1D5F4514" w14:textId="11AD1B61" w:rsidR="00260F49" w:rsidRDefault="00E7591F" w:rsidP="00E7591F">
      <w:pPr>
        <w:pStyle w:val="Caption"/>
      </w:pPr>
      <w:bookmarkStart w:id="2" w:name="_Ref115083230"/>
      <w:r w:rsidRPr="001B50F5">
        <w:rPr>
          <w:b/>
          <w:bCs/>
        </w:rPr>
        <w:lastRenderedPageBreak/>
        <w:t xml:space="preserve">Figure </w:t>
      </w:r>
      <w:r w:rsidR="00D91CB1" w:rsidRPr="001B50F5">
        <w:rPr>
          <w:b/>
          <w:bCs/>
        </w:rPr>
        <w:fldChar w:fldCharType="begin"/>
      </w:r>
      <w:r w:rsidR="00D91CB1" w:rsidRPr="001B50F5">
        <w:rPr>
          <w:b/>
          <w:bCs/>
        </w:rPr>
        <w:instrText xml:space="preserve"> SEQ Figure \* ARABIC </w:instrText>
      </w:r>
      <w:r w:rsidR="00D91CB1" w:rsidRPr="001B50F5">
        <w:rPr>
          <w:b/>
          <w:bCs/>
        </w:rPr>
        <w:fldChar w:fldCharType="separate"/>
      </w:r>
      <w:r w:rsidR="007E2ACB">
        <w:rPr>
          <w:b/>
          <w:bCs/>
          <w:noProof/>
        </w:rPr>
        <w:t>1</w:t>
      </w:r>
      <w:r w:rsidR="00D91CB1" w:rsidRPr="001B50F5">
        <w:rPr>
          <w:b/>
          <w:bCs/>
          <w:noProof/>
        </w:rPr>
        <w:fldChar w:fldCharType="end"/>
      </w:r>
      <w:bookmarkEnd w:id="2"/>
      <w:r w:rsidRPr="001B50F5">
        <w:rPr>
          <w:b/>
          <w:bCs/>
        </w:rPr>
        <w:t>:</w:t>
      </w:r>
      <w:r>
        <w:t xml:space="preserve"> Average cost and activity for haemodialysis services across jurisdictions and sample sites</w:t>
      </w:r>
    </w:p>
    <w:p w14:paraId="27AAA34E" w14:textId="57315FA0" w:rsidR="00260F49" w:rsidRDefault="00F2044D" w:rsidP="00DA0AD8">
      <w:pPr>
        <w:pStyle w:val="BodyText"/>
      </w:pPr>
      <w:r>
        <w:rPr>
          <w:noProof/>
        </w:rPr>
        <w:drawing>
          <wp:inline distT="0" distB="0" distL="0" distR="0" wp14:anchorId="1C2E6893" wp14:editId="35C19CDA">
            <wp:extent cx="5759450" cy="3394710"/>
            <wp:effectExtent l="0" t="0" r="12700" b="15240"/>
            <wp:docPr id="35" name="Chart 35" descr="The figure shows average cost and activity for haemodialysis services using a combination chart for each hospital/health service with a line for average costs overlayed with a column for activity.">
              <a:extLst xmlns:a="http://schemas.openxmlformats.org/drawingml/2006/main">
                <a:ext uri="{FF2B5EF4-FFF2-40B4-BE49-F238E27FC236}">
                  <a16:creationId xmlns:a16="http://schemas.microsoft.com/office/drawing/2014/main" id="{3D73375E-2EF1-4926-A751-E44707412C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8A8C5C9" w14:textId="77777777" w:rsidR="00203E85" w:rsidRPr="00630A55" w:rsidRDefault="00203E85" w:rsidP="00203E85">
      <w:pPr>
        <w:pStyle w:val="Source"/>
      </w:pPr>
      <w:r w:rsidRPr="00630A55">
        <w:t xml:space="preserve">Source: Jurisdictional consultations and </w:t>
      </w:r>
      <w:r>
        <w:t>templates</w:t>
      </w:r>
    </w:p>
    <w:p w14:paraId="28A4B14A" w14:textId="7219433C" w:rsidR="00260F49" w:rsidRDefault="00260F49" w:rsidP="00E10AE9">
      <w:pPr>
        <w:jc w:val="both"/>
      </w:pPr>
      <w:r>
        <w:t>The majority of hospitals and health services sampled had in-house haemodialysis</w:t>
      </w:r>
      <w:r w:rsidR="00804DE7">
        <w:t xml:space="preserve"> wards</w:t>
      </w:r>
      <w:r>
        <w:t>; m</w:t>
      </w:r>
      <w:r w:rsidRPr="00630A55">
        <w:t>ost services would run 2-3 patient rotations throughout the ward each day</w:t>
      </w:r>
      <w:r>
        <w:t>. Services sampled</w:t>
      </w:r>
      <w:r w:rsidRPr="00630A55">
        <w:t xml:space="preserve"> highlighted that haemodialysis </w:t>
      </w:r>
      <w:r>
        <w:t>is</w:t>
      </w:r>
      <w:r w:rsidRPr="00630A55">
        <w:t xml:space="preserve"> relatively straightforward</w:t>
      </w:r>
      <w:r>
        <w:t xml:space="preserve"> to cost</w:t>
      </w:r>
      <w:r w:rsidRPr="00630A55">
        <w:t>, with all staffing and consumable costs able to be allocated down to the patient level</w:t>
      </w:r>
      <w:r>
        <w:t xml:space="preserve">. </w:t>
      </w:r>
      <w:r w:rsidR="00B45207">
        <w:fldChar w:fldCharType="begin"/>
      </w:r>
      <w:r w:rsidR="00B45207">
        <w:instrText xml:space="preserve"> REF _Ref115083230 \h </w:instrText>
      </w:r>
      <w:r w:rsidR="00E10AE9">
        <w:instrText xml:space="preserve"> \* MERGEFORMAT </w:instrText>
      </w:r>
      <w:r w:rsidR="00B45207">
        <w:fldChar w:fldCharType="separate"/>
      </w:r>
      <w:r w:rsidR="007E2ACB" w:rsidRPr="007E2ACB">
        <w:t xml:space="preserve">Figure </w:t>
      </w:r>
      <w:r w:rsidR="007E2ACB" w:rsidRPr="007E2ACB">
        <w:rPr>
          <w:noProof/>
        </w:rPr>
        <w:t>1</w:t>
      </w:r>
      <w:r w:rsidR="00B45207">
        <w:fldChar w:fldCharType="end"/>
      </w:r>
      <w:r w:rsidR="00B45207">
        <w:t xml:space="preserve"> highlights relative consistency of average costs </w:t>
      </w:r>
      <w:r w:rsidR="006C172D">
        <w:t xml:space="preserve">in haemodialysis, despite varying </w:t>
      </w:r>
      <w:r w:rsidR="00EC6D67">
        <w:t xml:space="preserve">activity levels across different jurisdictions </w:t>
      </w:r>
      <w:r w:rsidR="00E10AE9">
        <w:t xml:space="preserve">except for </w:t>
      </w:r>
      <w:r w:rsidR="00EC6D67">
        <w:t>paediatric haemodialysis at Perth Children’s Hospital</w:t>
      </w:r>
      <w:r w:rsidR="00791E0B">
        <w:t>,</w:t>
      </w:r>
      <w:r w:rsidR="00EC6D67">
        <w:t xml:space="preserve"> for which average costs</w:t>
      </w:r>
      <w:r w:rsidR="00791E0B">
        <w:t xml:space="preserve"> for paediatric services</w:t>
      </w:r>
      <w:r w:rsidR="00EC6D67">
        <w:t xml:space="preserve"> are typically higher. </w:t>
      </w:r>
    </w:p>
    <w:p w14:paraId="5B5B6ABF" w14:textId="77777777" w:rsidR="001B50F5" w:rsidRDefault="000C5F7B" w:rsidP="00E10AE9">
      <w:pPr>
        <w:pStyle w:val="BodyText"/>
      </w:pPr>
      <w:r>
        <w:t xml:space="preserve">From the sites sampled, WA, NT and VIC </w:t>
      </w:r>
      <w:r w:rsidR="006238DB">
        <w:t>apply</w:t>
      </w:r>
      <w:r>
        <w:t xml:space="preserve"> contracted </w:t>
      </w:r>
      <w:r w:rsidRPr="008E6BAF">
        <w:t xml:space="preserve">models </w:t>
      </w:r>
      <w:r w:rsidR="00472381" w:rsidRPr="008E6BAF">
        <w:t xml:space="preserve">for </w:t>
      </w:r>
      <w:r w:rsidRPr="008E6BAF">
        <w:t>parts of the</w:t>
      </w:r>
      <w:r w:rsidR="00472381" w:rsidRPr="008E6BAF">
        <w:t xml:space="preserve"> haemodialysis</w:t>
      </w:r>
      <w:r w:rsidRPr="008E6BAF">
        <w:t xml:space="preserve"> service. However, all still retain in-house capabilities and services</w:t>
      </w:r>
      <w:r w:rsidR="006238DB" w:rsidRPr="008E6BAF">
        <w:t xml:space="preserve">, </w:t>
      </w:r>
      <w:r w:rsidR="008E6BAF" w:rsidRPr="008E6BAF">
        <w:t>t</w:t>
      </w:r>
      <w:r w:rsidRPr="008E6BAF">
        <w:t>ending to use contracted models for more remote locations where in-house services are not economical and/or patient travel to locations with in-house facilities is not appropriate. There</w:t>
      </w:r>
      <w:r w:rsidR="00260F49" w:rsidRPr="008E6BAF">
        <w:t xml:space="preserve"> were </w:t>
      </w:r>
      <w:r w:rsidRPr="008E6BAF">
        <w:t xml:space="preserve">also </w:t>
      </w:r>
      <w:r w:rsidR="00260F49" w:rsidRPr="008E6BAF">
        <w:t>some differences in service models between metropoli</w:t>
      </w:r>
      <w:r w:rsidR="00260F49" w:rsidRPr="00630A55">
        <w:t xml:space="preserve">tan and remote sites sampled with respect to outreach services, particularly for remote </w:t>
      </w:r>
      <w:r w:rsidR="00260F49">
        <w:t>Aboriginal</w:t>
      </w:r>
      <w:r w:rsidR="00260F49" w:rsidRPr="00630A55">
        <w:t xml:space="preserve"> communities (as demonstrated in the summary for </w:t>
      </w:r>
      <w:r w:rsidR="00260F49">
        <w:t>NT</w:t>
      </w:r>
      <w:r w:rsidR="00260F49" w:rsidRPr="00630A55">
        <w:t xml:space="preserve">). </w:t>
      </w:r>
    </w:p>
    <w:p w14:paraId="463EBEA8" w14:textId="5CDB1257" w:rsidR="00320D5E" w:rsidRDefault="00260F49" w:rsidP="00E10AE9">
      <w:pPr>
        <w:pStyle w:val="BodyText"/>
      </w:pPr>
      <w:r w:rsidRPr="00630A55">
        <w:t>Th</w:t>
      </w:r>
      <w:r w:rsidR="00B95C0E">
        <w:t xml:space="preserve">e outreach services </w:t>
      </w:r>
      <w:r w:rsidR="008E6BAF">
        <w:t>highlighted</w:t>
      </w:r>
      <w:r w:rsidRPr="00630A55">
        <w:t xml:space="preserve"> the importance of understand</w:t>
      </w:r>
      <w:r>
        <w:t>ing</w:t>
      </w:r>
      <w:r w:rsidRPr="00630A55">
        <w:t xml:space="preserve"> the context of care needs across different jurisdictions and their demographic cohorts</w:t>
      </w:r>
      <w:r>
        <w:t xml:space="preserve"> and the possibility for further discussion across jurisdictions with similarly remote and/or rural communities with limited access to services</w:t>
      </w:r>
      <w:r w:rsidRPr="00630A55">
        <w:t xml:space="preserve">. </w:t>
      </w:r>
      <w:bookmarkStart w:id="3" w:name="_Hlk119503467"/>
      <w:r w:rsidR="00320D5E">
        <w:t xml:space="preserve">This is particularly relevant for haemodialysis where patients may need dialysis 3-4 times per week in perpetuity; such that, without outreach services, those patients </w:t>
      </w:r>
      <w:r w:rsidR="00472381">
        <w:t>may</w:t>
      </w:r>
      <w:r w:rsidR="00320D5E">
        <w:t xml:space="preserve"> be required to move permanently to the location for ongoing treatment.</w:t>
      </w:r>
    </w:p>
    <w:bookmarkEnd w:id="3"/>
    <w:p w14:paraId="37AE8499" w14:textId="77777777" w:rsidR="00724CC4" w:rsidRDefault="00724CC4">
      <w:pPr>
        <w:spacing w:before="0" w:after="160" w:line="259" w:lineRule="auto"/>
      </w:pPr>
      <w:r>
        <w:br w:type="page"/>
      </w:r>
    </w:p>
    <w:p w14:paraId="283C882F" w14:textId="66A92E26" w:rsidR="0061573B" w:rsidRDefault="00061850" w:rsidP="00E10AE9">
      <w:pPr>
        <w:pStyle w:val="BodyText"/>
      </w:pPr>
      <w:r>
        <w:lastRenderedPageBreak/>
        <w:t>For chemotherapy, t</w:t>
      </w:r>
      <w:r w:rsidRPr="00630A55">
        <w:t xml:space="preserve">he majority of hospitals and health services sampled had in-house chemotherapy </w:t>
      </w:r>
      <w:r w:rsidR="00804DE7">
        <w:t>wards</w:t>
      </w:r>
      <w:r w:rsidRPr="00630A55">
        <w:t xml:space="preserve">, with </w:t>
      </w:r>
      <w:r>
        <w:t>many also hosting</w:t>
      </w:r>
      <w:r w:rsidRPr="00630A55">
        <w:t xml:space="preserve"> in-house pharmacy capabilities for compounding of chemotherapy drugs. </w:t>
      </w:r>
      <w:r>
        <w:t xml:space="preserve">Canberra Hospital provides medical oncology as an outpatient service, </w:t>
      </w:r>
      <w:r w:rsidR="002E0EFC">
        <w:t xml:space="preserve">which </w:t>
      </w:r>
      <w:r>
        <w:t xml:space="preserve">explained their lower average costs. </w:t>
      </w:r>
      <w:r w:rsidRPr="00630A55">
        <w:t xml:space="preserve">All </w:t>
      </w:r>
      <w:r>
        <w:t xml:space="preserve">but one of these </w:t>
      </w:r>
      <w:r w:rsidR="00804DE7">
        <w:t>wards</w:t>
      </w:r>
      <w:r w:rsidR="00136734">
        <w:t>,</w:t>
      </w:r>
      <w:r w:rsidR="00804DE7">
        <w:t xml:space="preserve"> </w:t>
      </w:r>
      <w:r w:rsidR="005178ED">
        <w:t xml:space="preserve">the Royal Perth Hospital </w:t>
      </w:r>
      <w:r>
        <w:t>(RPH)</w:t>
      </w:r>
      <w:r w:rsidR="005605A1">
        <w:t>,</w:t>
      </w:r>
      <w:r w:rsidRPr="00630A55">
        <w:t xml:space="preserve"> provided services for other infusions (e.g. for the treatment of Crohn’s Disease)</w:t>
      </w:r>
      <w:r>
        <w:t>.</w:t>
      </w:r>
      <w:r w:rsidR="00C7393A">
        <w:t xml:space="preserve"> </w:t>
      </w:r>
    </w:p>
    <w:p w14:paraId="4A988265" w14:textId="3091D1B3" w:rsidR="00FF769F" w:rsidRDefault="00FF769F" w:rsidP="00FF769F">
      <w:pPr>
        <w:pStyle w:val="Caption"/>
      </w:pPr>
      <w:bookmarkStart w:id="4" w:name="_Ref119935521"/>
      <w:r w:rsidRPr="001B50F5">
        <w:rPr>
          <w:b/>
          <w:bCs/>
        </w:rPr>
        <w:t xml:space="preserve">Figure </w:t>
      </w:r>
      <w:r w:rsidR="00D91CB1" w:rsidRPr="001B50F5">
        <w:rPr>
          <w:b/>
          <w:bCs/>
        </w:rPr>
        <w:fldChar w:fldCharType="begin"/>
      </w:r>
      <w:r w:rsidR="00D91CB1" w:rsidRPr="001B50F5">
        <w:rPr>
          <w:b/>
          <w:bCs/>
        </w:rPr>
        <w:instrText xml:space="preserve"> SEQ Figure \* ARABIC </w:instrText>
      </w:r>
      <w:r w:rsidR="00D91CB1" w:rsidRPr="001B50F5">
        <w:rPr>
          <w:b/>
          <w:bCs/>
        </w:rPr>
        <w:fldChar w:fldCharType="separate"/>
      </w:r>
      <w:r w:rsidR="007E2ACB">
        <w:rPr>
          <w:b/>
          <w:bCs/>
          <w:noProof/>
        </w:rPr>
        <w:t>2</w:t>
      </w:r>
      <w:r w:rsidR="00D91CB1" w:rsidRPr="001B50F5">
        <w:rPr>
          <w:b/>
          <w:bCs/>
          <w:noProof/>
        </w:rPr>
        <w:fldChar w:fldCharType="end"/>
      </w:r>
      <w:bookmarkEnd w:id="4"/>
      <w:r w:rsidRPr="001B50F5">
        <w:rPr>
          <w:b/>
          <w:bCs/>
        </w:rPr>
        <w:t>:</w:t>
      </w:r>
      <w:r>
        <w:t xml:space="preserve"> Average cost and activity for chemotherapy services across jurisdictions and sample sites</w:t>
      </w:r>
    </w:p>
    <w:p w14:paraId="57CF3B40" w14:textId="77777777" w:rsidR="00FF769F" w:rsidRDefault="00FF769F" w:rsidP="00FF769F">
      <w:r>
        <w:rPr>
          <w:noProof/>
        </w:rPr>
        <w:drawing>
          <wp:inline distT="0" distB="0" distL="0" distR="0" wp14:anchorId="3D94D4C4" wp14:editId="0E32D1C1">
            <wp:extent cx="5768975" cy="3352800"/>
            <wp:effectExtent l="0" t="0" r="3175" b="0"/>
            <wp:docPr id="2" name="Chart 2" descr="The figure shows average cost and activity for chemptherapy services using a combination chart for each hospital/health service with a line for average costs overlayed with a column for activity.">
              <a:extLst xmlns:a="http://schemas.openxmlformats.org/drawingml/2006/main">
                <a:ext uri="{FF2B5EF4-FFF2-40B4-BE49-F238E27FC236}">
                  <a16:creationId xmlns:a16="http://schemas.microsoft.com/office/drawing/2014/main" id="{749184D5-5D98-4A20-B8FD-6C52F6C599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420E8EE" w14:textId="77777777" w:rsidR="00FF769F" w:rsidRPr="00630A55" w:rsidRDefault="00FF769F" w:rsidP="00FF769F">
      <w:pPr>
        <w:pStyle w:val="Source"/>
      </w:pPr>
      <w:r w:rsidRPr="00630A55">
        <w:t xml:space="preserve">Source: Jurisdictional consultations and </w:t>
      </w:r>
      <w:r>
        <w:t>templates</w:t>
      </w:r>
    </w:p>
    <w:p w14:paraId="4D869FED" w14:textId="365765C8" w:rsidR="00E10AE9" w:rsidRDefault="00061850" w:rsidP="00E10AE9">
      <w:pPr>
        <w:jc w:val="both"/>
      </w:pPr>
      <w:r w:rsidRPr="00630A55">
        <w:t>All jurisdictions flagged drug costs as the major contributor to high</w:t>
      </w:r>
      <w:r>
        <w:t>-</w:t>
      </w:r>
      <w:r w:rsidRPr="00630A55">
        <w:t>cost episodes</w:t>
      </w:r>
      <w:r>
        <w:t xml:space="preserve"> and overall average cost increases in chemotherapy</w:t>
      </w:r>
      <w:r w:rsidRPr="00630A55">
        <w:t xml:space="preserve">, particularly for patients </w:t>
      </w:r>
      <w:r>
        <w:t>who are administered</w:t>
      </w:r>
      <w:r w:rsidRPr="00630A55">
        <w:t xml:space="preserve"> non</w:t>
      </w:r>
      <w:r>
        <w:noBreakHyphen/>
      </w:r>
      <w:r w:rsidR="005178ED">
        <w:t>Pharmaceutical Benefit</w:t>
      </w:r>
      <w:r w:rsidR="00F33B7E">
        <w:t>s</w:t>
      </w:r>
      <w:r w:rsidR="005178ED">
        <w:t xml:space="preserve"> Scheme (</w:t>
      </w:r>
      <w:r w:rsidRPr="00630A55">
        <w:t>PBS</w:t>
      </w:r>
      <w:r w:rsidR="005178ED">
        <w:t xml:space="preserve">) </w:t>
      </w:r>
      <w:r w:rsidRPr="00630A55">
        <w:t>drugs</w:t>
      </w:r>
      <w:r>
        <w:t xml:space="preserve"> or are participating in drug trials, </w:t>
      </w:r>
      <w:r w:rsidR="00AF22CA">
        <w:t xml:space="preserve">that </w:t>
      </w:r>
      <w:r w:rsidR="00C12663">
        <w:t xml:space="preserve">is </w:t>
      </w:r>
      <w:r>
        <w:t xml:space="preserve">common </w:t>
      </w:r>
      <w:r w:rsidR="00C12663">
        <w:t>for</w:t>
      </w:r>
      <w:r>
        <w:t xml:space="preserve"> this service. </w:t>
      </w:r>
      <w:r w:rsidR="00BF1FB0" w:rsidRPr="007A5CD0">
        <w:fldChar w:fldCharType="begin"/>
      </w:r>
      <w:r w:rsidR="00BF1FB0" w:rsidRPr="007A5CD0">
        <w:instrText xml:space="preserve"> REF _Ref119935521 \h </w:instrText>
      </w:r>
      <w:r w:rsidR="00F80289" w:rsidRPr="007A5CD0">
        <w:instrText xml:space="preserve"> \* MERGEFORMAT </w:instrText>
      </w:r>
      <w:r w:rsidR="00BF1FB0" w:rsidRPr="007A5CD0">
        <w:fldChar w:fldCharType="separate"/>
      </w:r>
      <w:r w:rsidR="007E2ACB" w:rsidRPr="007E2ACB">
        <w:t xml:space="preserve">Figure </w:t>
      </w:r>
      <w:r w:rsidR="007E2ACB" w:rsidRPr="007E2ACB">
        <w:rPr>
          <w:noProof/>
        </w:rPr>
        <w:t>2</w:t>
      </w:r>
      <w:r w:rsidR="00BF1FB0" w:rsidRPr="007A5CD0">
        <w:fldChar w:fldCharType="end"/>
      </w:r>
      <w:r>
        <w:t xml:space="preserve"> demonstrates that variability of average costs in chemotherapy across sample sites, predominantly driven by the usage and additional costs associated with non-PBS drugs in the delivery of this service. </w:t>
      </w:r>
    </w:p>
    <w:p w14:paraId="09500AFB" w14:textId="084BC637" w:rsidR="00DA0AD8" w:rsidRPr="00DA0AD8" w:rsidRDefault="006C203C" w:rsidP="00E10AE9">
      <w:pPr>
        <w:jc w:val="both"/>
      </w:pPr>
      <w:r>
        <w:t>Almost all hospitals and health services sampled</w:t>
      </w:r>
      <w:r w:rsidR="00020FAE">
        <w:t xml:space="preserve"> experienced </w:t>
      </w:r>
      <w:r w:rsidR="00240258">
        <w:t>an increase</w:t>
      </w:r>
      <w:r w:rsidR="00193600">
        <w:t xml:space="preserve"> </w:t>
      </w:r>
      <w:r w:rsidR="00240258">
        <w:t xml:space="preserve">in the cost </w:t>
      </w:r>
      <w:r w:rsidR="00020FAE">
        <w:t>of non</w:t>
      </w:r>
      <w:r w:rsidR="00763BE8">
        <w:noBreakHyphen/>
      </w:r>
      <w:r w:rsidR="00020FAE">
        <w:t>PBS drugs</w:t>
      </w:r>
      <w:r w:rsidR="00193600">
        <w:t xml:space="preserve"> </w:t>
      </w:r>
      <w:r w:rsidR="00E10AE9">
        <w:t>ranging</w:t>
      </w:r>
      <w:r w:rsidR="00C404AF">
        <w:t xml:space="preserve"> between </w:t>
      </w:r>
      <w:r w:rsidR="00553E84">
        <w:t>10 and 65 per cent</w:t>
      </w:r>
      <w:r w:rsidR="00193600">
        <w:t>, with the highest examples being the Royal Hobart Hospital (368 per cent increase on FY19/20)</w:t>
      </w:r>
      <w:r w:rsidR="004901ED">
        <w:t xml:space="preserve"> and Latrobe Regional Hospital (424</w:t>
      </w:r>
      <w:r w:rsidR="00763BE8">
        <w:t> </w:t>
      </w:r>
      <w:r w:rsidR="004901ED">
        <w:t xml:space="preserve">per cent increase on FY19/20). Royal Melbourne Hospital also </w:t>
      </w:r>
      <w:r w:rsidR="00A519D9">
        <w:t xml:space="preserve">experienced a 1,751 per cent increase in the costs of non-PBS drugs from FY19/20, however they have </w:t>
      </w:r>
      <w:r w:rsidR="00C1200B">
        <w:t xml:space="preserve">much </w:t>
      </w:r>
      <w:r w:rsidR="00A519D9">
        <w:t>low</w:t>
      </w:r>
      <w:r w:rsidR="00C1200B">
        <w:t>er</w:t>
      </w:r>
      <w:r w:rsidR="00A519D9">
        <w:t xml:space="preserve"> volumes of chemotherapy</w:t>
      </w:r>
      <w:r w:rsidR="00C1200B">
        <w:t xml:space="preserve"> than other sites</w:t>
      </w:r>
      <w:r w:rsidR="00A519D9">
        <w:t xml:space="preserve"> due to the</w:t>
      </w:r>
      <w:r w:rsidR="00C1200B">
        <w:t>ir</w:t>
      </w:r>
      <w:r w:rsidR="00A519D9">
        <w:t xml:space="preserve"> partnership with the Peter MacCallum Cancer Centre within the same health precinct.</w:t>
      </w:r>
    </w:p>
    <w:p w14:paraId="1BE90D85" w14:textId="1E560BAF" w:rsidR="00924EC7" w:rsidRPr="00595F36" w:rsidRDefault="00A62AEA" w:rsidP="0094163C">
      <w:pPr>
        <w:pStyle w:val="Heading4"/>
      </w:pPr>
      <w:r>
        <w:t>S</w:t>
      </w:r>
      <w:r w:rsidRPr="00595F36">
        <w:t xml:space="preserve">ummary of jurisdictional </w:t>
      </w:r>
      <w:r w:rsidR="00023EA3" w:rsidRPr="00595F36">
        <w:t>NHCDC submissions</w:t>
      </w:r>
    </w:p>
    <w:p w14:paraId="51164675" w14:textId="4D9F7704" w:rsidR="00023EA3" w:rsidRPr="00023EA3" w:rsidRDefault="00023EA3" w:rsidP="00CF2F20">
      <w:pPr>
        <w:pStyle w:val="BodyText"/>
      </w:pPr>
      <w:r w:rsidRPr="005E7C91">
        <w:t xml:space="preserve">The following </w:t>
      </w:r>
      <w:r w:rsidR="00E06C9D" w:rsidRPr="005E7C91">
        <w:t>one-page summaries</w:t>
      </w:r>
      <w:r w:rsidR="00E07D0A" w:rsidRPr="005E7C91">
        <w:t xml:space="preserve"> for each jurisdiction </w:t>
      </w:r>
      <w:r w:rsidR="00D7135C">
        <w:t>summarise</w:t>
      </w:r>
      <w:r w:rsidR="00E07D0A" w:rsidRPr="005E7C91">
        <w:t xml:space="preserve"> the</w:t>
      </w:r>
      <w:r w:rsidR="005E7C91" w:rsidRPr="005E7C91">
        <w:t>ir</w:t>
      </w:r>
      <w:r w:rsidRPr="005E7C91">
        <w:t xml:space="preserve"> final NHCDC submissions</w:t>
      </w:r>
      <w:r w:rsidR="005E7C91">
        <w:t xml:space="preserve"> and demonstrate the flow of data from audited financial statements to the final submission to IHACPA.</w:t>
      </w:r>
      <w:r w:rsidR="00F6528F">
        <w:t xml:space="preserve"> </w:t>
      </w:r>
    </w:p>
    <w:p w14:paraId="76708F11" w14:textId="77777777" w:rsidR="000547E4" w:rsidRDefault="000547E4">
      <w:pPr>
        <w:spacing w:before="0" w:after="160" w:line="259" w:lineRule="auto"/>
        <w:rPr>
          <w:rFonts w:ascii="Arial Bold" w:eastAsiaTheme="majorEastAsia" w:hAnsi="Arial Bold" w:cstheme="majorBidi"/>
          <w:b/>
          <w:i/>
          <w:color w:val="0091DA" w:themeColor="accent2"/>
          <w:sz w:val="24"/>
          <w:szCs w:val="24"/>
        </w:rPr>
      </w:pPr>
      <w:r>
        <w:br w:type="page"/>
      </w:r>
    </w:p>
    <w:p w14:paraId="6B55DFEA" w14:textId="76269CF7" w:rsidR="00BE687C" w:rsidRDefault="008C7536">
      <w:pPr>
        <w:spacing w:before="0" w:after="160" w:line="259" w:lineRule="auto"/>
      </w:pPr>
      <w:r>
        <w:rPr>
          <w:noProof/>
        </w:rPr>
        <w:lastRenderedPageBreak/>
        <w:drawing>
          <wp:inline distT="0" distB="0" distL="0" distR="0" wp14:anchorId="23731A92" wp14:editId="1FBAE258">
            <wp:extent cx="5875531" cy="8136255"/>
            <wp:effectExtent l="0" t="0" r="0" b="0"/>
            <wp:docPr id="4" name="Picture 4" descr="A summary page for ACT, highlighting the key information presented in each jurisdictions chapter, such as general ledger totals, submissions to the jurisdiction and final cost submitted to IHAC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ummary page for ACT, highlighting the key information presented in each jurisdictions chapter, such as general ledger totals, submissions to the jurisdiction and final cost submitted to IHACP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7139" cy="8166177"/>
                    </a:xfrm>
                    <a:prstGeom prst="rect">
                      <a:avLst/>
                    </a:prstGeom>
                    <a:noFill/>
                  </pic:spPr>
                </pic:pic>
              </a:graphicData>
            </a:graphic>
          </wp:inline>
        </w:drawing>
      </w:r>
      <w:r w:rsidR="00054EBA">
        <w:br w:type="page"/>
      </w:r>
      <w:r w:rsidR="00280B3A">
        <w:rPr>
          <w:noProof/>
        </w:rPr>
        <w:lastRenderedPageBreak/>
        <w:drawing>
          <wp:inline distT="0" distB="0" distL="0" distR="0" wp14:anchorId="1F31D79D" wp14:editId="67953663">
            <wp:extent cx="5764492" cy="7926070"/>
            <wp:effectExtent l="0" t="0" r="8255" b="0"/>
            <wp:docPr id="7" name="Picture 7" descr="A summary page for TAS, highlighting the key information presented in each jurisdictions chapter, such as general ledger totals, submissions to the jurisdiction and final cost submitted to IHACP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ummary page for TAS, highlighting the key information presented in each jurisdictions chapter, such as general ledger totals, submissions to the jurisdiction and final cost submitted to IHACPA.&#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79836" cy="7947167"/>
                    </a:xfrm>
                    <a:prstGeom prst="rect">
                      <a:avLst/>
                    </a:prstGeom>
                    <a:noFill/>
                  </pic:spPr>
                </pic:pic>
              </a:graphicData>
            </a:graphic>
          </wp:inline>
        </w:drawing>
      </w:r>
      <w:r w:rsidR="00BE687C">
        <w:br w:type="page"/>
      </w:r>
    </w:p>
    <w:p w14:paraId="0A123882" w14:textId="6FCEF175" w:rsidR="00BE687C" w:rsidRDefault="00C1214C" w:rsidP="006B0C33">
      <w:pPr>
        <w:pStyle w:val="BodyText1"/>
      </w:pPr>
      <w:r>
        <w:rPr>
          <w:noProof/>
        </w:rPr>
        <w:lastRenderedPageBreak/>
        <w:drawing>
          <wp:inline distT="0" distB="0" distL="0" distR="0" wp14:anchorId="0DE087AF" wp14:editId="328C13D8">
            <wp:extent cx="5849612" cy="7926705"/>
            <wp:effectExtent l="0" t="0" r="0" b="0"/>
            <wp:docPr id="8" name="Picture 8" descr="A summary page for the Northern Territory, highlighting the key information presented in each jurisdictions chapter, such as general ledger totals, submissions to the jurisdiction and final cost submitted to IHACP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ummary page for the Northern Territory, highlighting the key information presented in each jurisdictions chapter, such as general ledger totals, submissions to the jurisdiction and final cost submitted to IHACPA.&#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66954" cy="7950205"/>
                    </a:xfrm>
                    <a:prstGeom prst="rect">
                      <a:avLst/>
                    </a:prstGeom>
                    <a:noFill/>
                  </pic:spPr>
                </pic:pic>
              </a:graphicData>
            </a:graphic>
          </wp:inline>
        </w:drawing>
      </w:r>
      <w:r w:rsidR="00BE687C">
        <w:br w:type="page"/>
      </w:r>
    </w:p>
    <w:p w14:paraId="5F2A6662" w14:textId="6A90B3E0" w:rsidR="00BE687C" w:rsidRDefault="00D25C9E" w:rsidP="00D25C9E">
      <w:pPr>
        <w:pStyle w:val="BodyText1"/>
      </w:pPr>
      <w:r>
        <w:rPr>
          <w:noProof/>
        </w:rPr>
        <w:lastRenderedPageBreak/>
        <w:drawing>
          <wp:inline distT="0" distB="0" distL="0" distR="0" wp14:anchorId="4C8A72DF" wp14:editId="6F23D36D">
            <wp:extent cx="5966021" cy="8103870"/>
            <wp:effectExtent l="0" t="0" r="0" b="0"/>
            <wp:docPr id="9" name="Picture 9" descr="A summary page for QLD, highlighting the key information presented in each jurisdictions chapter, such as general ledger totals, submissions to the jurisdiction and final cost submitted to IHACP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ummary page for QLD, highlighting the key information presented in each jurisdictions chapter, such as general ledger totals, submissions to the jurisdiction and final cost submitted to IHACPA.&#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83311" cy="8127355"/>
                    </a:xfrm>
                    <a:prstGeom prst="rect">
                      <a:avLst/>
                    </a:prstGeom>
                    <a:noFill/>
                  </pic:spPr>
                </pic:pic>
              </a:graphicData>
            </a:graphic>
          </wp:inline>
        </w:drawing>
      </w:r>
      <w:r w:rsidR="00BE687C">
        <w:br w:type="page"/>
      </w:r>
    </w:p>
    <w:p w14:paraId="2A5D181A" w14:textId="767D4A8F" w:rsidR="00BE687C" w:rsidRDefault="00986628">
      <w:pPr>
        <w:spacing w:before="0" w:after="160" w:line="259" w:lineRule="auto"/>
        <w:rPr>
          <w:rFonts w:ascii="Arial Bold" w:eastAsiaTheme="majorEastAsia" w:hAnsi="Arial Bold" w:cstheme="majorBidi"/>
          <w:b/>
          <w:i/>
          <w:color w:val="0091DA" w:themeColor="accent2"/>
          <w:sz w:val="24"/>
          <w:szCs w:val="24"/>
        </w:rPr>
      </w:pPr>
      <w:r>
        <w:rPr>
          <w:rFonts w:ascii="Arial Bold" w:eastAsiaTheme="majorEastAsia" w:hAnsi="Arial Bold" w:cstheme="majorBidi"/>
          <w:b/>
          <w:i/>
          <w:noProof/>
          <w:color w:val="0091DA" w:themeColor="accent2"/>
          <w:sz w:val="24"/>
          <w:szCs w:val="24"/>
        </w:rPr>
        <w:lastRenderedPageBreak/>
        <w:drawing>
          <wp:inline distT="0" distB="0" distL="0" distR="0" wp14:anchorId="6F82B64C" wp14:editId="077B687E">
            <wp:extent cx="5928080" cy="8077200"/>
            <wp:effectExtent l="0" t="0" r="0" b="0"/>
            <wp:docPr id="19" name="Picture 19" descr="A summary page for SA, highlighting the key information presented in each jurisdictions chapter, such as general ledger totals, submissions to the jurisdiction and final cost submitted to IHACP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ummary page for SA, highlighting the key information presented in each jurisdictions chapter, such as general ledger totals, submissions to the jurisdiction and final cost submitted to IHACPA.&#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1200" cy="8095076"/>
                    </a:xfrm>
                    <a:prstGeom prst="rect">
                      <a:avLst/>
                    </a:prstGeom>
                    <a:noFill/>
                  </pic:spPr>
                </pic:pic>
              </a:graphicData>
            </a:graphic>
          </wp:inline>
        </w:drawing>
      </w:r>
      <w:r w:rsidR="00BE687C">
        <w:rPr>
          <w:rFonts w:ascii="Arial Bold" w:eastAsiaTheme="majorEastAsia" w:hAnsi="Arial Bold" w:cstheme="majorBidi"/>
          <w:b/>
          <w:i/>
          <w:color w:val="0091DA" w:themeColor="accent2"/>
          <w:sz w:val="24"/>
          <w:szCs w:val="24"/>
        </w:rPr>
        <w:br w:type="page"/>
      </w:r>
    </w:p>
    <w:p w14:paraId="523FFE3A" w14:textId="1F4840DD" w:rsidR="00BE687C" w:rsidRDefault="00DB2F08">
      <w:pPr>
        <w:spacing w:before="0" w:after="160" w:line="259" w:lineRule="auto"/>
        <w:rPr>
          <w:rFonts w:ascii="Arial Bold" w:eastAsiaTheme="majorEastAsia" w:hAnsi="Arial Bold" w:cstheme="majorBidi"/>
          <w:b/>
          <w:i/>
          <w:color w:val="0091DA" w:themeColor="accent2"/>
          <w:sz w:val="24"/>
          <w:szCs w:val="24"/>
        </w:rPr>
      </w:pPr>
      <w:r>
        <w:rPr>
          <w:rFonts w:ascii="Arial Bold" w:eastAsiaTheme="majorEastAsia" w:hAnsi="Arial Bold" w:cstheme="majorBidi"/>
          <w:b/>
          <w:i/>
          <w:noProof/>
          <w:color w:val="0091DA" w:themeColor="accent2"/>
          <w:sz w:val="24"/>
          <w:szCs w:val="24"/>
        </w:rPr>
        <w:lastRenderedPageBreak/>
        <w:drawing>
          <wp:inline distT="0" distB="0" distL="0" distR="0" wp14:anchorId="3CDF12AF" wp14:editId="1AACC37B">
            <wp:extent cx="5827059" cy="8105775"/>
            <wp:effectExtent l="0" t="0" r="0" b="0"/>
            <wp:docPr id="22" name="Picture 22" descr="A summary page for VIC, highlighting the key information presented in each jurisdictions chapter, such as general ledger totals, submissions to the jurisdiction and final cost submitted to IHACP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ummary page for VIC, highlighting the key information presented in each jurisdictions chapter, such as general ledger totals, submissions to the jurisdiction and final cost submitted to IHACPA.&#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37987" cy="8120976"/>
                    </a:xfrm>
                    <a:prstGeom prst="rect">
                      <a:avLst/>
                    </a:prstGeom>
                    <a:noFill/>
                  </pic:spPr>
                </pic:pic>
              </a:graphicData>
            </a:graphic>
          </wp:inline>
        </w:drawing>
      </w:r>
      <w:r w:rsidR="00BE687C">
        <w:rPr>
          <w:rFonts w:ascii="Arial Bold" w:eastAsiaTheme="majorEastAsia" w:hAnsi="Arial Bold" w:cstheme="majorBidi"/>
          <w:b/>
          <w:i/>
          <w:color w:val="0091DA" w:themeColor="accent2"/>
          <w:sz w:val="24"/>
          <w:szCs w:val="24"/>
        </w:rPr>
        <w:br w:type="page"/>
      </w:r>
    </w:p>
    <w:p w14:paraId="4059E869" w14:textId="1CF4A705" w:rsidR="00054EBA" w:rsidRDefault="00077008" w:rsidP="00F33271">
      <w:pPr>
        <w:spacing w:before="0" w:after="160" w:line="259" w:lineRule="auto"/>
        <w:rPr>
          <w:rFonts w:ascii="Arial Bold" w:eastAsiaTheme="majorEastAsia" w:hAnsi="Arial Bold" w:cstheme="majorBidi"/>
          <w:b/>
          <w:i/>
          <w:color w:val="0091DA" w:themeColor="accent2"/>
          <w:sz w:val="24"/>
          <w:szCs w:val="24"/>
        </w:rPr>
      </w:pPr>
      <w:r>
        <w:rPr>
          <w:rFonts w:ascii="Arial Bold" w:eastAsiaTheme="majorEastAsia" w:hAnsi="Arial Bold" w:cstheme="majorBidi"/>
          <w:b/>
          <w:i/>
          <w:noProof/>
          <w:color w:val="0091DA" w:themeColor="accent2"/>
          <w:sz w:val="24"/>
          <w:szCs w:val="24"/>
        </w:rPr>
        <w:lastRenderedPageBreak/>
        <w:drawing>
          <wp:inline distT="0" distB="0" distL="0" distR="0" wp14:anchorId="16BB5066" wp14:editId="3B1AD415">
            <wp:extent cx="5900487" cy="8058785"/>
            <wp:effectExtent l="0" t="0" r="0" b="0"/>
            <wp:docPr id="21" name="Picture 21" descr="A summary page for WA, highlighting the key information presented in each jurisdictions chapter, such as general ledger totals, submissions to the jurisdiction and final cost submitted to IHACP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ummary page for WA, highlighting the key information presented in each jurisdictions chapter, such as general ledger totals, submissions to the jurisdiction and final cost submitted to IHACPA.&#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15971" cy="8079933"/>
                    </a:xfrm>
                    <a:prstGeom prst="rect">
                      <a:avLst/>
                    </a:prstGeom>
                    <a:noFill/>
                  </pic:spPr>
                </pic:pic>
              </a:graphicData>
            </a:graphic>
          </wp:inline>
        </w:drawing>
      </w:r>
      <w:r w:rsidR="00BE687C">
        <w:rPr>
          <w:rFonts w:ascii="Arial Bold" w:eastAsiaTheme="majorEastAsia" w:hAnsi="Arial Bold" w:cstheme="majorBidi"/>
          <w:b/>
          <w:i/>
          <w:color w:val="0091DA" w:themeColor="accent2"/>
          <w:sz w:val="24"/>
          <w:szCs w:val="24"/>
        </w:rPr>
        <w:br w:type="page"/>
      </w:r>
    </w:p>
    <w:p w14:paraId="226FFC0C" w14:textId="64AC8F73" w:rsidR="009633A2" w:rsidRPr="00DD4007" w:rsidRDefault="00572374" w:rsidP="00554F35">
      <w:pPr>
        <w:pStyle w:val="Heading1"/>
        <w:numPr>
          <w:ilvl w:val="0"/>
          <w:numId w:val="25"/>
        </w:numPr>
      </w:pPr>
      <w:bookmarkStart w:id="5" w:name="_Toc128376712"/>
      <w:r w:rsidRPr="00DD4007">
        <w:lastRenderedPageBreak/>
        <w:t>Introduction</w:t>
      </w:r>
      <w:bookmarkEnd w:id="5"/>
      <w:r w:rsidR="00C556A3" w:rsidRPr="00DD4007">
        <w:t xml:space="preserve"> </w:t>
      </w:r>
    </w:p>
    <w:p w14:paraId="226FFC0D" w14:textId="4B5B06FA" w:rsidR="009633A2" w:rsidRPr="00DD4007" w:rsidRDefault="00267F60" w:rsidP="00410551">
      <w:pPr>
        <w:pStyle w:val="Heading2"/>
      </w:pPr>
      <w:bookmarkStart w:id="6" w:name="_Toc128376713"/>
      <w:r w:rsidRPr="00DD4007">
        <w:t>Scope of the Independent Financial Review</w:t>
      </w:r>
      <w:bookmarkEnd w:id="6"/>
      <w:r w:rsidR="00E857EA" w:rsidRPr="00DD4007">
        <w:t xml:space="preserve"> </w:t>
      </w:r>
    </w:p>
    <w:p w14:paraId="33E950A4" w14:textId="6D2BC230" w:rsidR="00247ACD" w:rsidRDefault="00247ACD" w:rsidP="00E10AE9">
      <w:pPr>
        <w:jc w:val="both"/>
      </w:pPr>
      <w:r>
        <w:t>The Independent Health and Aged Care Pricing Authority (IHACPA)</w:t>
      </w:r>
      <w:r w:rsidR="0086429C">
        <w:t xml:space="preserve"> engaged KPMG to undertake a sample of </w:t>
      </w:r>
      <w:r w:rsidR="00DD7AE7">
        <w:t xml:space="preserve">the </w:t>
      </w:r>
      <w:r w:rsidR="00FB61B4">
        <w:t>National Hospital Cost Data Collection (NHCDC)</w:t>
      </w:r>
      <w:r w:rsidR="0086429C">
        <w:t xml:space="preserve"> data submitted by </w:t>
      </w:r>
      <w:r w:rsidR="00DD7AE7">
        <w:t>states</w:t>
      </w:r>
      <w:r w:rsidR="0086429C">
        <w:t xml:space="preserve"> and </w:t>
      </w:r>
      <w:r w:rsidR="00DD7AE7">
        <w:t>territories for</w:t>
      </w:r>
      <w:r w:rsidR="0086429C">
        <w:t xml:space="preserve"> </w:t>
      </w:r>
      <w:r w:rsidR="005B41E4">
        <w:t xml:space="preserve">the Financial Year </w:t>
      </w:r>
      <w:r w:rsidR="00690E99">
        <w:t>2020-21</w:t>
      </w:r>
      <w:r w:rsidR="005B41E4">
        <w:t xml:space="preserve"> (FY20</w:t>
      </w:r>
      <w:r w:rsidR="00B16346">
        <w:t>/21</w:t>
      </w:r>
      <w:r w:rsidR="00FB61B4">
        <w:t xml:space="preserve">) of the NHCDC. The Independent Financial Review (IFR) of </w:t>
      </w:r>
      <w:r w:rsidR="00B16346">
        <w:t>FY20/21</w:t>
      </w:r>
      <w:r w:rsidR="00FB61B4">
        <w:t xml:space="preserve"> includes: </w:t>
      </w:r>
    </w:p>
    <w:p w14:paraId="043DB50D" w14:textId="4CB8A513" w:rsidR="00FB61B4" w:rsidRDefault="008147A6" w:rsidP="00E10AE9">
      <w:pPr>
        <w:pStyle w:val="ListParagraph"/>
        <w:numPr>
          <w:ilvl w:val="0"/>
          <w:numId w:val="14"/>
        </w:numPr>
        <w:jc w:val="both"/>
      </w:pPr>
      <w:r>
        <w:t>A</w:t>
      </w:r>
      <w:r w:rsidR="00FB61B4">
        <w:t xml:space="preserve">n assessment of the accuracy and completeness of the NHCDC participating health services provided for </w:t>
      </w:r>
      <w:r w:rsidR="00595A9F">
        <w:t>FY20/21</w:t>
      </w:r>
      <w:r w:rsidR="00FB61B4">
        <w:t>, including a reconciliation between the financial and costing systems</w:t>
      </w:r>
    </w:p>
    <w:p w14:paraId="0FCA7431" w14:textId="62A1A204" w:rsidR="00FB61B4" w:rsidRDefault="008147A6" w:rsidP="00E10AE9">
      <w:pPr>
        <w:pStyle w:val="ListParagraph"/>
        <w:numPr>
          <w:ilvl w:val="0"/>
          <w:numId w:val="14"/>
        </w:numPr>
        <w:jc w:val="both"/>
      </w:pPr>
      <w:r>
        <w:t>A</w:t>
      </w:r>
      <w:r w:rsidR="00FB61B4">
        <w:t>n assessment of the consistency between jurisdictions sampled of the application of Version 4.1 of the Australian Hospital Patient Costing Standards (AHPCS)</w:t>
      </w:r>
    </w:p>
    <w:p w14:paraId="35352877" w14:textId="6DD164AB" w:rsidR="00C13427" w:rsidRDefault="008147A6" w:rsidP="00E10AE9">
      <w:pPr>
        <w:pStyle w:val="ListParagraph"/>
        <w:numPr>
          <w:ilvl w:val="0"/>
          <w:numId w:val="14"/>
        </w:numPr>
        <w:jc w:val="both"/>
      </w:pPr>
      <w:r>
        <w:t>A</w:t>
      </w:r>
      <w:r w:rsidR="00C13427">
        <w:t>n assessment of the degree to which the NHCDC data is robust and fit for purpose</w:t>
      </w:r>
    </w:p>
    <w:p w14:paraId="6D05BF1B" w14:textId="150FDF92" w:rsidR="00D73313" w:rsidRPr="007551E2" w:rsidRDefault="008147A6" w:rsidP="00E10AE9">
      <w:pPr>
        <w:pStyle w:val="ListParagraph"/>
        <w:numPr>
          <w:ilvl w:val="0"/>
          <w:numId w:val="14"/>
        </w:numPr>
        <w:jc w:val="both"/>
      </w:pPr>
      <w:r>
        <w:t>A</w:t>
      </w:r>
      <w:r w:rsidR="007B774D">
        <w:t xml:space="preserve"> review of the data flow from the health service to the jurisdictional upload of hospital information, to the data submission portal, through to the storing of data in </w:t>
      </w:r>
      <w:r w:rsidR="00BE235C">
        <w:t>IHACPA</w:t>
      </w:r>
      <w:r w:rsidR="007B774D">
        <w:t>’s national database</w:t>
      </w:r>
      <w:r w:rsidR="00335115">
        <w:t>, through a selected sample</w:t>
      </w:r>
      <w:r w:rsidR="007B774D">
        <w:t xml:space="preserve"> </w:t>
      </w:r>
    </w:p>
    <w:p w14:paraId="13560840" w14:textId="1D00A9CD" w:rsidR="001C1077" w:rsidRDefault="008147A6" w:rsidP="00E10AE9">
      <w:pPr>
        <w:pStyle w:val="ListParagraph"/>
        <w:numPr>
          <w:ilvl w:val="0"/>
          <w:numId w:val="14"/>
        </w:numPr>
        <w:jc w:val="both"/>
      </w:pPr>
      <w:r>
        <w:t>A</w:t>
      </w:r>
      <w:r w:rsidR="001C1077">
        <w:t>n identification of improvements implemented at the health service and/or jurisdictional level as compared to the previous round</w:t>
      </w:r>
      <w:r w:rsidR="005C759B">
        <w:t> </w:t>
      </w:r>
      <w:r w:rsidR="001C1077">
        <w:t>(</w:t>
      </w:r>
      <w:r w:rsidR="00595A9F">
        <w:t>FY19/20</w:t>
      </w:r>
      <w:r w:rsidR="001C1077">
        <w:t>)</w:t>
      </w:r>
      <w:r w:rsidR="00446D73">
        <w:t xml:space="preserve"> and </w:t>
      </w:r>
      <w:r w:rsidR="00024D4E">
        <w:t xml:space="preserve">address any developments made in response to the findings in the </w:t>
      </w:r>
      <w:r w:rsidR="00595A9F">
        <w:t>FY19/20</w:t>
      </w:r>
      <w:r w:rsidR="00024D4E">
        <w:t xml:space="preserve"> IFR Final Report. </w:t>
      </w:r>
    </w:p>
    <w:p w14:paraId="658E1E9E" w14:textId="79323D1B" w:rsidR="00024D4E" w:rsidRDefault="00024D4E" w:rsidP="00E10AE9">
      <w:pPr>
        <w:jc w:val="both"/>
      </w:pPr>
      <w:r>
        <w:t xml:space="preserve">Following a workshop held at the commencement of the review, the </w:t>
      </w:r>
      <w:r w:rsidR="00595A9F">
        <w:t>FY20/21</w:t>
      </w:r>
      <w:r>
        <w:t xml:space="preserve"> IFR also included </w:t>
      </w:r>
      <w:r w:rsidR="00E91A0E">
        <w:t>an additional focus area</w:t>
      </w:r>
      <w:r w:rsidR="00D73313">
        <w:t xml:space="preserve">: </w:t>
      </w:r>
    </w:p>
    <w:p w14:paraId="420AFB32" w14:textId="45C0E4D6" w:rsidR="00D73313" w:rsidRPr="00D73313" w:rsidRDefault="008147A6" w:rsidP="00E10AE9">
      <w:pPr>
        <w:pStyle w:val="ListParagraph"/>
        <w:numPr>
          <w:ilvl w:val="0"/>
          <w:numId w:val="18"/>
        </w:numPr>
        <w:jc w:val="both"/>
      </w:pPr>
      <w:r>
        <w:t>A</w:t>
      </w:r>
      <w:r w:rsidR="00D73313">
        <w:t xml:space="preserve"> review of the cost allocation methodology utilised by different hospitals for two </w:t>
      </w:r>
      <w:r w:rsidR="003E33F2">
        <w:t xml:space="preserve">selected </w:t>
      </w:r>
      <w:r w:rsidR="007271D9">
        <w:rPr>
          <w:lang w:val="en"/>
        </w:rPr>
        <w:t>d</w:t>
      </w:r>
      <w:r w:rsidR="007271D9" w:rsidRPr="00630A55">
        <w:rPr>
          <w:lang w:val="en"/>
        </w:rPr>
        <w:t xml:space="preserve">iagnosis </w:t>
      </w:r>
      <w:r w:rsidR="007271D9">
        <w:rPr>
          <w:lang w:val="en"/>
        </w:rPr>
        <w:t>r</w:t>
      </w:r>
      <w:r w:rsidR="007271D9" w:rsidRPr="00630A55">
        <w:rPr>
          <w:lang w:val="en"/>
        </w:rPr>
        <w:t xml:space="preserve">elated </w:t>
      </w:r>
      <w:r w:rsidR="007271D9">
        <w:rPr>
          <w:lang w:val="en"/>
        </w:rPr>
        <w:t>g</w:t>
      </w:r>
      <w:r w:rsidR="007271D9" w:rsidRPr="00630A55">
        <w:rPr>
          <w:lang w:val="en"/>
        </w:rPr>
        <w:t>roup</w:t>
      </w:r>
      <w:r w:rsidR="007271D9">
        <w:rPr>
          <w:lang w:val="en"/>
        </w:rPr>
        <w:t>s</w:t>
      </w:r>
      <w:r w:rsidR="007271D9">
        <w:t xml:space="preserve"> (</w:t>
      </w:r>
      <w:r w:rsidR="003E33F2">
        <w:t>DRGs</w:t>
      </w:r>
      <w:r w:rsidR="007271D9">
        <w:t>)</w:t>
      </w:r>
      <w:r w:rsidR="003E33F2">
        <w:t xml:space="preserve">, </w:t>
      </w:r>
      <w:r w:rsidR="00AA16AE">
        <w:t>i.e.</w:t>
      </w:r>
      <w:r w:rsidR="00D73313">
        <w:t xml:space="preserve"> haemodialysis and chemotherapy. </w:t>
      </w:r>
    </w:p>
    <w:p w14:paraId="73D87EBF" w14:textId="5D0FB314" w:rsidR="0029742A" w:rsidRPr="00630A55" w:rsidRDefault="00772A73" w:rsidP="00E10AE9">
      <w:pPr>
        <w:jc w:val="both"/>
      </w:pPr>
      <w:r>
        <w:t xml:space="preserve">This review </w:t>
      </w:r>
      <w:r w:rsidR="00F9696E">
        <w:t xml:space="preserve">assessed the completeness and accuracy of jurisdictional data against the NHCDC </w:t>
      </w:r>
      <w:r w:rsidR="00CA6B9C">
        <w:t>standards</w:t>
      </w:r>
      <w:r w:rsidR="005B2836">
        <w:t>, through a process agreed with IHACPA,</w:t>
      </w:r>
      <w:r w:rsidR="00CA6B9C">
        <w:t xml:space="preserve"> but</w:t>
      </w:r>
      <w:r w:rsidR="00F9696E">
        <w:t xml:space="preserve"> does not constitute </w:t>
      </w:r>
      <w:r w:rsidR="00CA6B9C">
        <w:t>a formal audit or assuranc</w:t>
      </w:r>
      <w:r w:rsidR="00DA404E">
        <w:t>e</w:t>
      </w:r>
      <w:r w:rsidR="00F416AD">
        <w:t xml:space="preserve"> process</w:t>
      </w:r>
      <w:r w:rsidR="00DA404E">
        <w:t>.</w:t>
      </w:r>
      <w:r w:rsidR="006727A4">
        <w:t xml:space="preserve"> </w:t>
      </w:r>
      <w:r w:rsidR="006727A4" w:rsidRPr="00630A55">
        <w:t>KPMG relied upon the assertions made by hospital/</w:t>
      </w:r>
      <w:r w:rsidR="005B19A7">
        <w:t>local health network (</w:t>
      </w:r>
      <w:r w:rsidR="006727A4" w:rsidRPr="00630A55">
        <w:t>LHN</w:t>
      </w:r>
      <w:r w:rsidR="005B19A7">
        <w:t>)</w:t>
      </w:r>
      <w:r w:rsidR="006727A4" w:rsidRPr="00630A55">
        <w:t xml:space="preserve"> costing staff and jurisdictional representatives (and the information presented in the templates) in forming a view as to the reasonableness of the basis of the adjustments.</w:t>
      </w:r>
      <w:r w:rsidR="0029742A">
        <w:t xml:space="preserve"> </w:t>
      </w:r>
      <w:r w:rsidR="0029742A" w:rsidRPr="00630A55">
        <w:t xml:space="preserve">Noting these adjustments and variances discussed during the consultations and in accordance with the review methodology detailed in section </w:t>
      </w:r>
      <w:r w:rsidR="0029742A" w:rsidRPr="008D17BA">
        <w:fldChar w:fldCharType="begin"/>
      </w:r>
      <w:r w:rsidR="0029742A" w:rsidRPr="008D17BA">
        <w:instrText xml:space="preserve"> REF _Ref83900575 \r \h  \* MERGEFORMAT </w:instrText>
      </w:r>
      <w:r w:rsidR="0029742A" w:rsidRPr="008D17BA">
        <w:fldChar w:fldCharType="separate"/>
      </w:r>
      <w:r w:rsidR="007E2ACB">
        <w:t>1.2</w:t>
      </w:r>
      <w:r w:rsidR="0029742A" w:rsidRPr="008D17BA">
        <w:fldChar w:fldCharType="end"/>
      </w:r>
      <w:r w:rsidR="0029742A" w:rsidRPr="00630A55">
        <w:t xml:space="preserve"> of this report, jurisdictions have suitable reconciliation processes in place and the financial data is considered fit for </w:t>
      </w:r>
      <w:r w:rsidR="0029742A">
        <w:t xml:space="preserve">purpose for the </w:t>
      </w:r>
      <w:r w:rsidR="0029742A" w:rsidRPr="00630A55">
        <w:t xml:space="preserve">NHCDC submission for </w:t>
      </w:r>
      <w:r w:rsidR="0029742A">
        <w:t>FY20/21</w:t>
      </w:r>
      <w:r w:rsidR="0029742A" w:rsidRPr="00630A55">
        <w:t>.</w:t>
      </w:r>
    </w:p>
    <w:p w14:paraId="73166885" w14:textId="3E8DC1C2" w:rsidR="00BE1926" w:rsidRPr="00024D4E" w:rsidRDefault="00BE1926" w:rsidP="00E10AE9">
      <w:pPr>
        <w:pStyle w:val="BodyText1"/>
        <w:jc w:val="both"/>
      </w:pPr>
      <w:r>
        <w:t xml:space="preserve">Procedures performed were limited to the </w:t>
      </w:r>
      <w:r w:rsidR="0023044B">
        <w:t>sample hospitals selected in agreement with IHACPA</w:t>
      </w:r>
      <w:r w:rsidR="00564A37">
        <w:t xml:space="preserve"> and </w:t>
      </w:r>
      <w:r w:rsidR="0023044B">
        <w:t xml:space="preserve">utilising the </w:t>
      </w:r>
      <w:r w:rsidR="00564A37">
        <w:t xml:space="preserve">KPMG </w:t>
      </w:r>
      <w:r w:rsidR="0023044B">
        <w:t>sampling framework</w:t>
      </w:r>
      <w:r w:rsidR="00E10AE9">
        <w:t xml:space="preserve"> that </w:t>
      </w:r>
      <w:r w:rsidR="003E3232">
        <w:t>considered,</w:t>
      </w:r>
      <w:r w:rsidR="002A51A7">
        <w:t xml:space="preserve"> volume, </w:t>
      </w:r>
      <w:r w:rsidR="00E10AE9">
        <w:t>complexity,</w:t>
      </w:r>
      <w:r w:rsidR="002A51A7">
        <w:t xml:space="preserve"> and remoteness</w:t>
      </w:r>
      <w:r w:rsidR="006E3CC9">
        <w:t>.</w:t>
      </w:r>
      <w:r w:rsidR="00564A37">
        <w:t xml:space="preserve"> A review</w:t>
      </w:r>
      <w:r w:rsidR="00580EFD">
        <w:t xml:space="preserve"> was conducted</w:t>
      </w:r>
      <w:r w:rsidR="00564A37">
        <w:t xml:space="preserve"> of</w:t>
      </w:r>
      <w:r>
        <w:t xml:space="preserve"> supporting data agreeing to source documentation (where possible), discussions with </w:t>
      </w:r>
      <w:r w:rsidR="007138D9">
        <w:t>C</w:t>
      </w:r>
      <w:r w:rsidR="00420A72">
        <w:t>osting</w:t>
      </w:r>
      <w:r>
        <w:t xml:space="preserve"> teams and obtaining extracts from costing systems</w:t>
      </w:r>
      <w:r w:rsidR="00420A72">
        <w:t xml:space="preserve"> for the sample health services selected</w:t>
      </w:r>
      <w:r>
        <w:t>. The outcomes and results rely on the representations, assertions and data submissions made by the hospital or LHN</w:t>
      </w:r>
      <w:r w:rsidR="005750FF">
        <w:rPr>
          <w:rStyle w:val="FootnoteReference"/>
          <w:rFonts w:ascii="Univers 45 Light" w:hAnsi="Univers 45 Light"/>
        </w:rPr>
        <w:footnoteReference w:id="3"/>
      </w:r>
      <w:r>
        <w:t xml:space="preserve"> </w:t>
      </w:r>
      <w:r w:rsidR="007138D9">
        <w:t>C</w:t>
      </w:r>
      <w:r>
        <w:t xml:space="preserve">osting teams and jurisdiction representatives and no work has been undertaken to verify the underlying data. </w:t>
      </w:r>
    </w:p>
    <w:p w14:paraId="21DE46EA" w14:textId="12876466" w:rsidR="00715BB3" w:rsidRPr="00BE1926" w:rsidRDefault="00715BB3" w:rsidP="00715BB3">
      <w:pPr>
        <w:pStyle w:val="Heading2"/>
      </w:pPr>
      <w:bookmarkStart w:id="7" w:name="_Ref83900575"/>
      <w:bookmarkStart w:id="8" w:name="_Toc128376714"/>
      <w:r w:rsidRPr="00BE1926">
        <w:lastRenderedPageBreak/>
        <w:t>Methodology</w:t>
      </w:r>
      <w:bookmarkEnd w:id="7"/>
      <w:bookmarkEnd w:id="8"/>
      <w:r w:rsidR="00E857EA" w:rsidRPr="00BE1926">
        <w:t xml:space="preserve"> </w:t>
      </w:r>
    </w:p>
    <w:p w14:paraId="35ED140F" w14:textId="0B437608" w:rsidR="00A16465" w:rsidRDefault="00A16465" w:rsidP="003E3232">
      <w:pPr>
        <w:pStyle w:val="BodyTextkeepwithnext"/>
      </w:pPr>
      <w:r>
        <w:t xml:space="preserve">The </w:t>
      </w:r>
      <w:r w:rsidR="007138D9">
        <w:t>R</w:t>
      </w:r>
      <w:r>
        <w:t xml:space="preserve">eview team gathered information required for the IFR through the following methods: </w:t>
      </w:r>
    </w:p>
    <w:p w14:paraId="63274ADB" w14:textId="77616BDE" w:rsidR="00A16465" w:rsidRDefault="00694FEC" w:rsidP="003E3232">
      <w:pPr>
        <w:pStyle w:val="ListParagraph"/>
        <w:numPr>
          <w:ilvl w:val="0"/>
          <w:numId w:val="15"/>
        </w:numPr>
        <w:jc w:val="both"/>
      </w:pPr>
      <w:r>
        <w:t xml:space="preserve">A </w:t>
      </w:r>
      <w:r w:rsidR="00A16465">
        <w:t xml:space="preserve">data (financial and activity) collection template (revised for </w:t>
      </w:r>
      <w:r w:rsidR="00595A9F">
        <w:t>FY20/21</w:t>
      </w:r>
      <w:r w:rsidR="00A16465">
        <w:t>) distributed to hospitals and jurisdictions and tailored to provide the required information to assess the application of selected standards from AHPCS Version 4.1 collection of data</w:t>
      </w:r>
    </w:p>
    <w:p w14:paraId="756F915E" w14:textId="6F742A71" w:rsidR="00A16465" w:rsidRDefault="00694FEC" w:rsidP="003E3232">
      <w:pPr>
        <w:pStyle w:val="ListParagraph"/>
        <w:numPr>
          <w:ilvl w:val="0"/>
          <w:numId w:val="15"/>
        </w:numPr>
        <w:jc w:val="both"/>
      </w:pPr>
      <w:r>
        <w:t>C</w:t>
      </w:r>
      <w:r w:rsidR="00A16465">
        <w:t>ollection of data, both quantitative and qualitative, relating to the two focus areas (i.e.</w:t>
      </w:r>
      <w:r w:rsidR="007271D9">
        <w:t> </w:t>
      </w:r>
      <w:r w:rsidR="00A16465">
        <w:t>haemodialysis and chemotherapy)</w:t>
      </w:r>
    </w:p>
    <w:p w14:paraId="5428ACDF" w14:textId="568D288F" w:rsidR="00A16465" w:rsidRDefault="00244848" w:rsidP="003E3232">
      <w:pPr>
        <w:pStyle w:val="ListParagraph"/>
        <w:numPr>
          <w:ilvl w:val="0"/>
          <w:numId w:val="15"/>
        </w:numPr>
        <w:jc w:val="both"/>
      </w:pPr>
      <w:r>
        <w:t>V</w:t>
      </w:r>
      <w:r w:rsidR="00A16465">
        <w:t xml:space="preserve">irtual and face-to-face site visits (where possible) with the hospital/LHN </w:t>
      </w:r>
      <w:r w:rsidR="007138D9">
        <w:t>C</w:t>
      </w:r>
      <w:r w:rsidR="00A16465">
        <w:t>osting team and jurisdictional representatives and follow-up discussions to address feedback and outstanding issues</w:t>
      </w:r>
    </w:p>
    <w:p w14:paraId="377CCC3E" w14:textId="0059EB5E" w:rsidR="00A16465" w:rsidRDefault="00244848" w:rsidP="003E3232">
      <w:pPr>
        <w:pStyle w:val="ListParagraph"/>
        <w:numPr>
          <w:ilvl w:val="0"/>
          <w:numId w:val="15"/>
        </w:numPr>
        <w:jc w:val="both"/>
      </w:pPr>
      <w:r>
        <w:t>S</w:t>
      </w:r>
      <w:r w:rsidR="00A16465">
        <w:t>ample testing of fiv</w:t>
      </w:r>
      <w:r w:rsidR="006C587B">
        <w:t>e</w:t>
      </w:r>
      <w:r w:rsidR="00A16465">
        <w:t xml:space="preserve"> patients from each hospital to test the transfer of patient cost data from the hospital, via the jurisdiction, to IHACPA</w:t>
      </w:r>
    </w:p>
    <w:p w14:paraId="49B42936" w14:textId="14A71A77" w:rsidR="00A16465" w:rsidRPr="00F91F8B" w:rsidRDefault="00244848" w:rsidP="003E3232">
      <w:pPr>
        <w:pStyle w:val="ListParagraph"/>
        <w:numPr>
          <w:ilvl w:val="0"/>
          <w:numId w:val="15"/>
        </w:numPr>
        <w:jc w:val="both"/>
      </w:pPr>
      <w:r>
        <w:t>R</w:t>
      </w:r>
      <w:r w:rsidR="00A16465">
        <w:t>eview of IHACPA processes to understand the methods in place for the collection, amendments and collation of financial and activity data received from jurisdictions</w:t>
      </w:r>
    </w:p>
    <w:p w14:paraId="1F9DC96C" w14:textId="69AF0C3D" w:rsidR="00A16465" w:rsidRPr="00361703" w:rsidRDefault="0059269F" w:rsidP="003E3232">
      <w:pPr>
        <w:pStyle w:val="ListParagraph"/>
        <w:numPr>
          <w:ilvl w:val="0"/>
          <w:numId w:val="15"/>
        </w:numPr>
        <w:jc w:val="both"/>
      </w:pPr>
      <w:r>
        <w:t>A</w:t>
      </w:r>
      <w:r w:rsidR="00A16465">
        <w:t xml:space="preserve"> peer review process to enable peers from other jurisdictions to share information, processes, challenges and solutions through open invitations to attend any of the site visits. </w:t>
      </w:r>
    </w:p>
    <w:p w14:paraId="6E42BDD8" w14:textId="6239B7C8" w:rsidR="00F91F8B" w:rsidRDefault="00F91F8B" w:rsidP="00F91F8B">
      <w:pPr>
        <w:pStyle w:val="Heading2"/>
      </w:pPr>
      <w:bookmarkStart w:id="9" w:name="_Toc128376715"/>
      <w:r w:rsidRPr="00F91F8B">
        <w:t>Participating sites</w:t>
      </w:r>
      <w:bookmarkEnd w:id="9"/>
    </w:p>
    <w:p w14:paraId="62E5A2FD" w14:textId="493520E8" w:rsidR="00A6477B" w:rsidRPr="006C3371" w:rsidRDefault="00F91F8B" w:rsidP="003E3232">
      <w:pPr>
        <w:jc w:val="both"/>
      </w:pPr>
      <w:r w:rsidRPr="00F91F8B">
        <w:t xml:space="preserve">Seven of the eight jurisdictions participated in the IFR for </w:t>
      </w:r>
      <w:r w:rsidR="00595A9F">
        <w:t>FY20/21</w:t>
      </w:r>
      <w:r w:rsidR="00A66035">
        <w:t xml:space="preserve">; New South Wales </w:t>
      </w:r>
      <w:r w:rsidR="00710D0C">
        <w:t xml:space="preserve">(NSW) </w:t>
      </w:r>
      <w:r w:rsidR="00A33C8B">
        <w:t>elected</w:t>
      </w:r>
      <w:r w:rsidR="00A66035">
        <w:t xml:space="preserve"> not </w:t>
      </w:r>
      <w:r w:rsidR="00640432">
        <w:t xml:space="preserve">to </w:t>
      </w:r>
      <w:r w:rsidR="00A66035">
        <w:t xml:space="preserve">participate in the </w:t>
      </w:r>
      <w:r w:rsidR="00464A43">
        <w:t>latest</w:t>
      </w:r>
      <w:r w:rsidR="00A66035">
        <w:t xml:space="preserve"> IFR.</w:t>
      </w:r>
      <w:r w:rsidR="00CF5F9B">
        <w:t xml:space="preserve"> </w:t>
      </w:r>
      <w:r w:rsidR="00CF5F9B" w:rsidRPr="00CF5F9B">
        <w:t>T</w:t>
      </w:r>
      <w:r w:rsidR="00A66035" w:rsidRPr="00CF5F9B">
        <w:t xml:space="preserve">he sample </w:t>
      </w:r>
      <w:r w:rsidR="004537BE">
        <w:t xml:space="preserve">selected </w:t>
      </w:r>
      <w:r w:rsidR="004537BE" w:rsidRPr="00CF5F9B">
        <w:t xml:space="preserve">for </w:t>
      </w:r>
      <w:r w:rsidR="004537BE">
        <w:t>this</w:t>
      </w:r>
      <w:r w:rsidR="00A66035">
        <w:t xml:space="preserve"> </w:t>
      </w:r>
      <w:r w:rsidR="00A66035" w:rsidRPr="00CF5F9B">
        <w:t>review was consistent with the pragmatic approach of previous rounds</w:t>
      </w:r>
      <w:r w:rsidR="009B54B4" w:rsidRPr="00CF5F9B">
        <w:t xml:space="preserve"> that recognises the need for jurisdictional support for the IFR, resource constraints and a desire to obtain a geographical spread across the </w:t>
      </w:r>
      <w:r w:rsidR="00A6477B" w:rsidRPr="00CF5F9B">
        <w:t>jurisdictions</w:t>
      </w:r>
      <w:r w:rsidR="00152F9A">
        <w:t>,</w:t>
      </w:r>
      <w:r w:rsidR="00110C23">
        <w:t xml:space="preserve"> and</w:t>
      </w:r>
      <w:r w:rsidR="00152F9A">
        <w:t xml:space="preserve"> the KPMG sampling framework</w:t>
      </w:r>
      <w:r w:rsidR="003E3232">
        <w:t xml:space="preserve"> considering</w:t>
      </w:r>
      <w:r w:rsidR="00152F9A">
        <w:t xml:space="preserve"> volume, </w:t>
      </w:r>
      <w:r w:rsidR="003E3232">
        <w:t>complexity,</w:t>
      </w:r>
      <w:r w:rsidR="00152F9A">
        <w:t xml:space="preserve"> and remoteness</w:t>
      </w:r>
      <w:r w:rsidR="00B32006">
        <w:t>.</w:t>
      </w:r>
      <w:r w:rsidR="00A6477B">
        <w:t xml:space="preserve"> The selection of the sample </w:t>
      </w:r>
      <w:r w:rsidR="00D50DD9">
        <w:t xml:space="preserve">sites </w:t>
      </w:r>
      <w:r w:rsidR="00A6477B">
        <w:t>was undertaken by each jurisdiction with consideration of when the health service or hospital last participated in the IFR process.</w:t>
      </w:r>
      <w:r w:rsidR="00010625">
        <w:t xml:space="preserve">    </w:t>
      </w:r>
      <w:r w:rsidR="00166ABC">
        <w:t xml:space="preserve"> </w:t>
      </w:r>
      <w:r w:rsidR="008E6BAF">
        <w:fldChar w:fldCharType="begin"/>
      </w:r>
      <w:r w:rsidR="008E6BAF">
        <w:instrText xml:space="preserve"> REF _Ref115014868 \h  \* MERGEFORMAT </w:instrText>
      </w:r>
      <w:r w:rsidR="008E6BAF">
        <w:fldChar w:fldCharType="separate"/>
      </w:r>
      <w:r w:rsidR="007E2ACB" w:rsidRPr="007E2ACB">
        <w:t xml:space="preserve">Table </w:t>
      </w:r>
      <w:r w:rsidR="007E2ACB" w:rsidRPr="007E2ACB">
        <w:rPr>
          <w:rFonts w:cs="Arial"/>
          <w:noProof/>
        </w:rPr>
        <w:t>2</w:t>
      </w:r>
      <w:r w:rsidR="008E6BAF">
        <w:fldChar w:fldCharType="end"/>
      </w:r>
      <w:r w:rsidR="008E6BAF">
        <w:t xml:space="preserve"> </w:t>
      </w:r>
      <w:r w:rsidR="00A6477B">
        <w:t>identifies these participating hospitals and health services</w:t>
      </w:r>
      <w:r w:rsidR="00E032F1">
        <w:t xml:space="preserve"> for </w:t>
      </w:r>
      <w:r w:rsidR="00595A9F">
        <w:t>FY20/21</w:t>
      </w:r>
      <w:r w:rsidR="00E032F1">
        <w:t xml:space="preserve"> IFR</w:t>
      </w:r>
      <w:r w:rsidR="00A6477B">
        <w:t xml:space="preserve">. </w:t>
      </w:r>
    </w:p>
    <w:p w14:paraId="5901F4B5" w14:textId="1FA5B360" w:rsidR="00A6477B" w:rsidRPr="00630A55" w:rsidRDefault="00DA0A8C" w:rsidP="00DA0A8C">
      <w:pPr>
        <w:pStyle w:val="Caption"/>
      </w:pPr>
      <w:bookmarkStart w:id="10" w:name="_Ref115014868"/>
      <w:r w:rsidRPr="001B50F5">
        <w:rPr>
          <w:b/>
          <w:bCs/>
        </w:rPr>
        <w:t xml:space="preserve">Table </w:t>
      </w:r>
      <w:r w:rsidR="009E5129" w:rsidRPr="001B50F5">
        <w:rPr>
          <w:rFonts w:cs="Arial"/>
          <w:b/>
          <w:bCs/>
        </w:rPr>
        <w:fldChar w:fldCharType="begin"/>
      </w:r>
      <w:r w:rsidR="009E5129" w:rsidRPr="001B50F5">
        <w:rPr>
          <w:rFonts w:cs="Arial"/>
          <w:b/>
          <w:bCs/>
        </w:rPr>
        <w:instrText xml:space="preserve"> SEQ Table \* ARABIC </w:instrText>
      </w:r>
      <w:r w:rsidR="009E5129" w:rsidRPr="001B50F5">
        <w:rPr>
          <w:rFonts w:cs="Arial"/>
          <w:b/>
          <w:bCs/>
        </w:rPr>
        <w:fldChar w:fldCharType="separate"/>
      </w:r>
      <w:r w:rsidR="007E2ACB">
        <w:rPr>
          <w:rFonts w:cs="Arial"/>
          <w:b/>
          <w:bCs/>
          <w:noProof/>
        </w:rPr>
        <w:t>2</w:t>
      </w:r>
      <w:r w:rsidR="009E5129" w:rsidRPr="001B50F5">
        <w:rPr>
          <w:rFonts w:cs="Arial"/>
          <w:b/>
          <w:bCs/>
          <w:noProof/>
        </w:rPr>
        <w:fldChar w:fldCharType="end"/>
      </w:r>
      <w:bookmarkEnd w:id="10"/>
      <w:r w:rsidRPr="001B50F5">
        <w:rPr>
          <w:rFonts w:cs="Arial"/>
          <w:b/>
          <w:bCs/>
        </w:rPr>
        <w:t>:</w:t>
      </w:r>
      <w:r w:rsidR="00AE6977">
        <w:t xml:space="preserve"> </w:t>
      </w:r>
      <w:r w:rsidR="00595A9F">
        <w:t>FY20/21</w:t>
      </w:r>
      <w:r w:rsidR="00A6477B" w:rsidRPr="00630A55">
        <w:t xml:space="preserve"> participating hospitals </w:t>
      </w:r>
      <w:r w:rsidR="00166ABC" w:rsidRPr="00630A55">
        <w:t>and LHNs</w:t>
      </w:r>
    </w:p>
    <w:tbl>
      <w:tblPr>
        <w:tblStyle w:val="TableGrid"/>
        <w:tblW w:w="0" w:type="auto"/>
        <w:tblLook w:val="04A0" w:firstRow="1" w:lastRow="0" w:firstColumn="1" w:lastColumn="0" w:noHBand="0" w:noVBand="1"/>
      </w:tblPr>
      <w:tblGrid>
        <w:gridCol w:w="1555"/>
        <w:gridCol w:w="4110"/>
        <w:gridCol w:w="3395"/>
      </w:tblGrid>
      <w:tr w:rsidR="00330574" w:rsidRPr="00630A55" w14:paraId="5212EB32" w14:textId="77777777" w:rsidTr="005B7221">
        <w:tc>
          <w:tcPr>
            <w:tcW w:w="1555" w:type="dxa"/>
            <w:shd w:val="clear" w:color="auto" w:fill="00338D"/>
          </w:tcPr>
          <w:p w14:paraId="76FEB9A6" w14:textId="2D6D7ECB" w:rsidR="00330574" w:rsidRPr="00221ED0" w:rsidRDefault="00330574" w:rsidP="00E21EC6">
            <w:pPr>
              <w:pStyle w:val="Tableheading"/>
              <w:rPr>
                <w:rFonts w:ascii="Arial" w:hAnsi="Arial" w:cs="Arial"/>
                <w:szCs w:val="20"/>
              </w:rPr>
            </w:pPr>
            <w:r w:rsidRPr="00221ED0">
              <w:rPr>
                <w:rFonts w:ascii="Arial" w:hAnsi="Arial" w:cs="Arial"/>
                <w:szCs w:val="20"/>
              </w:rPr>
              <w:t>Jurisdiction</w:t>
            </w:r>
          </w:p>
        </w:tc>
        <w:tc>
          <w:tcPr>
            <w:tcW w:w="4110" w:type="dxa"/>
            <w:shd w:val="clear" w:color="auto" w:fill="00338D"/>
          </w:tcPr>
          <w:p w14:paraId="2524FA9C" w14:textId="0221341B" w:rsidR="00330574" w:rsidRPr="00221ED0" w:rsidRDefault="00330574" w:rsidP="00E21EC6">
            <w:pPr>
              <w:pStyle w:val="Tableheading"/>
              <w:rPr>
                <w:rFonts w:ascii="Arial" w:hAnsi="Arial" w:cs="Arial"/>
                <w:szCs w:val="20"/>
              </w:rPr>
            </w:pPr>
            <w:r w:rsidRPr="00221ED0">
              <w:rPr>
                <w:rFonts w:ascii="Arial" w:hAnsi="Arial" w:cs="Arial"/>
                <w:szCs w:val="20"/>
              </w:rPr>
              <w:t>LHN (if applicable)</w:t>
            </w:r>
          </w:p>
        </w:tc>
        <w:tc>
          <w:tcPr>
            <w:tcW w:w="3395" w:type="dxa"/>
            <w:shd w:val="clear" w:color="auto" w:fill="00338D"/>
          </w:tcPr>
          <w:p w14:paraId="16AEFC54" w14:textId="7CE32123" w:rsidR="00330574" w:rsidRPr="00221ED0" w:rsidRDefault="00330574" w:rsidP="00E21EC6">
            <w:pPr>
              <w:pStyle w:val="Tableheading"/>
              <w:rPr>
                <w:rFonts w:ascii="Arial" w:hAnsi="Arial" w:cs="Arial"/>
                <w:szCs w:val="20"/>
              </w:rPr>
            </w:pPr>
            <w:r w:rsidRPr="00221ED0">
              <w:rPr>
                <w:rFonts w:ascii="Arial" w:hAnsi="Arial" w:cs="Arial"/>
                <w:szCs w:val="20"/>
              </w:rPr>
              <w:t>Hospital(s)</w:t>
            </w:r>
          </w:p>
        </w:tc>
      </w:tr>
      <w:tr w:rsidR="00330574" w:rsidRPr="00630A55" w14:paraId="185C4A7E" w14:textId="77777777" w:rsidTr="00690E99">
        <w:tc>
          <w:tcPr>
            <w:tcW w:w="1555" w:type="dxa"/>
          </w:tcPr>
          <w:p w14:paraId="3AD5BE59" w14:textId="0904092D" w:rsidR="00330574" w:rsidRPr="00221ED0" w:rsidRDefault="00330574" w:rsidP="00E21EC6">
            <w:pPr>
              <w:pStyle w:val="Tabletext"/>
              <w:rPr>
                <w:rFonts w:cs="Arial"/>
                <w:szCs w:val="20"/>
              </w:rPr>
            </w:pPr>
            <w:r w:rsidRPr="00221ED0">
              <w:rPr>
                <w:rFonts w:cs="Arial"/>
                <w:szCs w:val="20"/>
              </w:rPr>
              <w:t>ACT</w:t>
            </w:r>
          </w:p>
        </w:tc>
        <w:tc>
          <w:tcPr>
            <w:tcW w:w="4110" w:type="dxa"/>
          </w:tcPr>
          <w:p w14:paraId="34F4265D" w14:textId="20AE2EBA" w:rsidR="00330574" w:rsidRPr="00221ED0" w:rsidRDefault="00F02D9B" w:rsidP="00E21EC6">
            <w:pPr>
              <w:pStyle w:val="Tabletext"/>
              <w:rPr>
                <w:rFonts w:cs="Arial"/>
                <w:szCs w:val="20"/>
              </w:rPr>
            </w:pPr>
            <w:r w:rsidRPr="00221ED0">
              <w:rPr>
                <w:rFonts w:cs="Arial"/>
                <w:szCs w:val="20"/>
              </w:rPr>
              <w:t>ACT Health Service</w:t>
            </w:r>
          </w:p>
        </w:tc>
        <w:tc>
          <w:tcPr>
            <w:tcW w:w="3395" w:type="dxa"/>
          </w:tcPr>
          <w:p w14:paraId="157082F2" w14:textId="6101A2B8" w:rsidR="00330574" w:rsidRPr="00221ED0" w:rsidRDefault="00363AB1" w:rsidP="00E21EC6">
            <w:pPr>
              <w:pStyle w:val="Tabletext"/>
              <w:rPr>
                <w:rFonts w:cs="Arial"/>
                <w:szCs w:val="20"/>
              </w:rPr>
            </w:pPr>
            <w:r w:rsidRPr="00221ED0">
              <w:rPr>
                <w:rFonts w:cs="Arial"/>
                <w:szCs w:val="20"/>
              </w:rPr>
              <w:t>Canberra Hospital</w:t>
            </w:r>
          </w:p>
        </w:tc>
      </w:tr>
      <w:tr w:rsidR="00330574" w:rsidRPr="00630A55" w14:paraId="0671B1F5" w14:textId="77777777" w:rsidTr="00A23B47">
        <w:tc>
          <w:tcPr>
            <w:tcW w:w="1555" w:type="dxa"/>
          </w:tcPr>
          <w:p w14:paraId="27A28FAD" w14:textId="7E601782" w:rsidR="00330574" w:rsidRPr="00221ED0" w:rsidRDefault="00330574" w:rsidP="00E21EC6">
            <w:pPr>
              <w:pStyle w:val="Tabletext"/>
              <w:rPr>
                <w:rFonts w:cs="Arial"/>
                <w:szCs w:val="20"/>
              </w:rPr>
            </w:pPr>
            <w:r w:rsidRPr="00221ED0">
              <w:rPr>
                <w:rFonts w:cs="Arial"/>
                <w:szCs w:val="20"/>
              </w:rPr>
              <w:t>NSW</w:t>
            </w:r>
          </w:p>
        </w:tc>
        <w:tc>
          <w:tcPr>
            <w:tcW w:w="7505" w:type="dxa"/>
            <w:gridSpan w:val="2"/>
          </w:tcPr>
          <w:p w14:paraId="0CD9467C" w14:textId="62161987" w:rsidR="00330574" w:rsidRPr="00221ED0" w:rsidRDefault="00947EF5" w:rsidP="00E21EC6">
            <w:pPr>
              <w:pStyle w:val="Tabletext"/>
              <w:rPr>
                <w:rFonts w:cs="Arial"/>
                <w:i/>
                <w:szCs w:val="20"/>
              </w:rPr>
            </w:pPr>
            <w:r w:rsidRPr="00221ED0">
              <w:rPr>
                <w:rFonts w:cs="Arial"/>
                <w:i/>
                <w:szCs w:val="20"/>
              </w:rPr>
              <w:t>Did not participate</w:t>
            </w:r>
          </w:p>
        </w:tc>
      </w:tr>
      <w:tr w:rsidR="00330574" w:rsidRPr="00630A55" w14:paraId="3306EA97" w14:textId="77777777" w:rsidTr="00690E99">
        <w:tc>
          <w:tcPr>
            <w:tcW w:w="1555" w:type="dxa"/>
          </w:tcPr>
          <w:p w14:paraId="52C4AC3D" w14:textId="44E78FD8" w:rsidR="00330574" w:rsidRPr="00221ED0" w:rsidRDefault="00052D1E" w:rsidP="00E21EC6">
            <w:pPr>
              <w:pStyle w:val="Tabletext"/>
              <w:rPr>
                <w:rFonts w:cs="Arial"/>
                <w:szCs w:val="20"/>
              </w:rPr>
            </w:pPr>
            <w:r w:rsidRPr="00221ED0">
              <w:rPr>
                <w:rFonts w:cs="Arial"/>
                <w:szCs w:val="20"/>
              </w:rPr>
              <w:t>QLD</w:t>
            </w:r>
          </w:p>
        </w:tc>
        <w:tc>
          <w:tcPr>
            <w:tcW w:w="4110" w:type="dxa"/>
          </w:tcPr>
          <w:p w14:paraId="5BE2D47E" w14:textId="77777777" w:rsidR="00330574" w:rsidRPr="00221ED0" w:rsidRDefault="002878B0" w:rsidP="00E21EC6">
            <w:pPr>
              <w:pStyle w:val="Tabletext"/>
              <w:rPr>
                <w:rFonts w:cs="Arial"/>
                <w:szCs w:val="20"/>
              </w:rPr>
            </w:pPr>
            <w:r w:rsidRPr="00221ED0">
              <w:rPr>
                <w:rFonts w:cs="Arial"/>
                <w:szCs w:val="20"/>
              </w:rPr>
              <w:t>Central Queensland Health Service</w:t>
            </w:r>
          </w:p>
          <w:p w14:paraId="3BB5F480" w14:textId="77777777" w:rsidR="002878B0" w:rsidRPr="00221ED0" w:rsidRDefault="002878B0" w:rsidP="00E21EC6">
            <w:pPr>
              <w:pStyle w:val="Tabletext"/>
              <w:rPr>
                <w:rFonts w:cs="Arial"/>
                <w:szCs w:val="20"/>
              </w:rPr>
            </w:pPr>
            <w:r w:rsidRPr="00221ED0">
              <w:rPr>
                <w:rFonts w:cs="Arial"/>
                <w:szCs w:val="20"/>
              </w:rPr>
              <w:t>Mackay Health Service</w:t>
            </w:r>
          </w:p>
          <w:p w14:paraId="5E108EC1" w14:textId="56473572" w:rsidR="002878B0" w:rsidRPr="00221ED0" w:rsidRDefault="002878B0" w:rsidP="00E21EC6">
            <w:pPr>
              <w:pStyle w:val="Tabletext"/>
              <w:rPr>
                <w:rFonts w:cs="Arial"/>
                <w:szCs w:val="20"/>
              </w:rPr>
            </w:pPr>
            <w:r w:rsidRPr="00221ED0">
              <w:rPr>
                <w:rFonts w:cs="Arial"/>
                <w:szCs w:val="20"/>
              </w:rPr>
              <w:t>Metro South Health Service</w:t>
            </w:r>
          </w:p>
        </w:tc>
        <w:tc>
          <w:tcPr>
            <w:tcW w:w="3395" w:type="dxa"/>
          </w:tcPr>
          <w:p w14:paraId="3C415FD9" w14:textId="77777777" w:rsidR="00330574" w:rsidRPr="00221ED0" w:rsidRDefault="00330574" w:rsidP="00E21EC6">
            <w:pPr>
              <w:pStyle w:val="Tabletext"/>
              <w:rPr>
                <w:rFonts w:cs="Arial"/>
                <w:szCs w:val="20"/>
              </w:rPr>
            </w:pPr>
          </w:p>
        </w:tc>
      </w:tr>
      <w:tr w:rsidR="00330574" w:rsidRPr="00630A55" w14:paraId="4E02DD1B" w14:textId="77777777" w:rsidTr="00690E99">
        <w:tc>
          <w:tcPr>
            <w:tcW w:w="1555" w:type="dxa"/>
          </w:tcPr>
          <w:p w14:paraId="2B6265C5" w14:textId="71159D69" w:rsidR="00330574" w:rsidRPr="00221ED0" w:rsidRDefault="00052D1E" w:rsidP="00E21EC6">
            <w:pPr>
              <w:pStyle w:val="Tabletext"/>
              <w:rPr>
                <w:rFonts w:cs="Arial"/>
                <w:szCs w:val="20"/>
              </w:rPr>
            </w:pPr>
            <w:r w:rsidRPr="00221ED0">
              <w:rPr>
                <w:rFonts w:cs="Arial"/>
                <w:szCs w:val="20"/>
              </w:rPr>
              <w:t>SA</w:t>
            </w:r>
          </w:p>
        </w:tc>
        <w:tc>
          <w:tcPr>
            <w:tcW w:w="4110" w:type="dxa"/>
          </w:tcPr>
          <w:p w14:paraId="79655AE1" w14:textId="0C4BB2C6" w:rsidR="00330574" w:rsidRPr="00221ED0" w:rsidRDefault="00993DD4" w:rsidP="00E21EC6">
            <w:pPr>
              <w:pStyle w:val="Tabletext"/>
              <w:rPr>
                <w:rFonts w:cs="Arial"/>
                <w:szCs w:val="20"/>
              </w:rPr>
            </w:pPr>
            <w:r w:rsidRPr="00221ED0">
              <w:rPr>
                <w:rFonts w:cs="Arial"/>
                <w:szCs w:val="20"/>
              </w:rPr>
              <w:t>Flinders and Upper North</w:t>
            </w:r>
            <w:r w:rsidR="00A23B47" w:rsidRPr="00221ED0">
              <w:rPr>
                <w:rFonts w:cs="Arial"/>
                <w:szCs w:val="20"/>
              </w:rPr>
              <w:t xml:space="preserve"> LHN</w:t>
            </w:r>
            <w:r w:rsidRPr="00221ED0">
              <w:rPr>
                <w:rFonts w:cs="Arial"/>
                <w:szCs w:val="20"/>
              </w:rPr>
              <w:t xml:space="preserve"> </w:t>
            </w:r>
          </w:p>
          <w:p w14:paraId="78E6F1E8" w14:textId="2AE1DC79" w:rsidR="00A23B47" w:rsidRPr="00221ED0" w:rsidRDefault="00A23B47" w:rsidP="00E21EC6">
            <w:pPr>
              <w:pStyle w:val="Tabletext"/>
              <w:rPr>
                <w:rFonts w:cs="Arial"/>
                <w:szCs w:val="20"/>
              </w:rPr>
            </w:pPr>
            <w:r w:rsidRPr="00221ED0">
              <w:rPr>
                <w:rFonts w:cs="Arial"/>
                <w:szCs w:val="20"/>
              </w:rPr>
              <w:t>Northern Adelaide LHN</w:t>
            </w:r>
          </w:p>
        </w:tc>
        <w:tc>
          <w:tcPr>
            <w:tcW w:w="3395" w:type="dxa"/>
          </w:tcPr>
          <w:p w14:paraId="41D23DE2" w14:textId="77777777" w:rsidR="00330574" w:rsidRPr="00221ED0" w:rsidRDefault="00405EAC" w:rsidP="00E21EC6">
            <w:pPr>
              <w:pStyle w:val="Tabletext"/>
              <w:rPr>
                <w:rFonts w:cs="Arial"/>
                <w:szCs w:val="20"/>
              </w:rPr>
            </w:pPr>
            <w:r w:rsidRPr="00221ED0">
              <w:rPr>
                <w:rFonts w:cs="Arial"/>
                <w:szCs w:val="20"/>
              </w:rPr>
              <w:t>Port Augusta Hospital</w:t>
            </w:r>
          </w:p>
          <w:p w14:paraId="4EDB4C17" w14:textId="750981A6" w:rsidR="00405EAC" w:rsidRPr="00221ED0" w:rsidRDefault="00405EAC" w:rsidP="00E21EC6">
            <w:pPr>
              <w:pStyle w:val="Tabletext"/>
              <w:rPr>
                <w:rFonts w:cs="Arial"/>
                <w:szCs w:val="20"/>
              </w:rPr>
            </w:pPr>
            <w:r w:rsidRPr="00221ED0">
              <w:rPr>
                <w:rFonts w:cs="Arial"/>
                <w:szCs w:val="20"/>
              </w:rPr>
              <w:t>Lyell McEwin Hospital</w:t>
            </w:r>
          </w:p>
        </w:tc>
      </w:tr>
      <w:tr w:rsidR="00330574" w:rsidRPr="00630A55" w14:paraId="76637AE7" w14:textId="77777777" w:rsidTr="00690E99">
        <w:tc>
          <w:tcPr>
            <w:tcW w:w="1555" w:type="dxa"/>
          </w:tcPr>
          <w:p w14:paraId="5EE92AF9" w14:textId="268092C7" w:rsidR="00330574" w:rsidRPr="00221ED0" w:rsidRDefault="00052D1E" w:rsidP="00E21EC6">
            <w:pPr>
              <w:pStyle w:val="Tabletext"/>
              <w:rPr>
                <w:rFonts w:cs="Arial"/>
                <w:szCs w:val="20"/>
              </w:rPr>
            </w:pPr>
            <w:r w:rsidRPr="00221ED0">
              <w:rPr>
                <w:rFonts w:cs="Arial"/>
                <w:szCs w:val="20"/>
              </w:rPr>
              <w:t>TAS</w:t>
            </w:r>
          </w:p>
        </w:tc>
        <w:tc>
          <w:tcPr>
            <w:tcW w:w="4110" w:type="dxa"/>
          </w:tcPr>
          <w:p w14:paraId="32228E51" w14:textId="12541815" w:rsidR="00330574" w:rsidRPr="00221ED0" w:rsidRDefault="00F02D9B" w:rsidP="00E21EC6">
            <w:pPr>
              <w:pStyle w:val="Tabletext"/>
              <w:rPr>
                <w:rFonts w:cs="Arial"/>
                <w:szCs w:val="20"/>
              </w:rPr>
            </w:pPr>
            <w:r w:rsidRPr="00221ED0">
              <w:rPr>
                <w:rFonts w:cs="Arial"/>
                <w:szCs w:val="20"/>
              </w:rPr>
              <w:t>Tasmanian Health Service</w:t>
            </w:r>
          </w:p>
        </w:tc>
        <w:tc>
          <w:tcPr>
            <w:tcW w:w="3395" w:type="dxa"/>
          </w:tcPr>
          <w:p w14:paraId="72BA7691" w14:textId="54A566B8" w:rsidR="00330574" w:rsidRPr="00221ED0" w:rsidRDefault="00052D1E" w:rsidP="00E21EC6">
            <w:pPr>
              <w:pStyle w:val="Tabletext"/>
              <w:rPr>
                <w:rFonts w:cs="Arial"/>
                <w:szCs w:val="20"/>
              </w:rPr>
            </w:pPr>
            <w:r w:rsidRPr="00221ED0">
              <w:rPr>
                <w:rFonts w:cs="Arial"/>
                <w:szCs w:val="20"/>
              </w:rPr>
              <w:t>Royal Hobart Hospital</w:t>
            </w:r>
          </w:p>
        </w:tc>
      </w:tr>
      <w:tr w:rsidR="00330574" w:rsidRPr="00630A55" w14:paraId="1508DC0A" w14:textId="77777777" w:rsidTr="00690E99">
        <w:tc>
          <w:tcPr>
            <w:tcW w:w="1555" w:type="dxa"/>
          </w:tcPr>
          <w:p w14:paraId="616EF537" w14:textId="49E500A7" w:rsidR="00330574" w:rsidRPr="00221ED0" w:rsidRDefault="00052D1E" w:rsidP="00E21EC6">
            <w:pPr>
              <w:pStyle w:val="Tabletext"/>
              <w:rPr>
                <w:rFonts w:cs="Arial"/>
                <w:szCs w:val="20"/>
              </w:rPr>
            </w:pPr>
            <w:r w:rsidRPr="00221ED0">
              <w:rPr>
                <w:rFonts w:cs="Arial"/>
                <w:szCs w:val="20"/>
              </w:rPr>
              <w:t>VIC</w:t>
            </w:r>
          </w:p>
        </w:tc>
        <w:tc>
          <w:tcPr>
            <w:tcW w:w="4110" w:type="dxa"/>
          </w:tcPr>
          <w:p w14:paraId="78C21E36" w14:textId="3E56B65F" w:rsidR="00330574" w:rsidRPr="00221ED0" w:rsidRDefault="00330574" w:rsidP="00E21EC6">
            <w:pPr>
              <w:pStyle w:val="Tabletext"/>
              <w:rPr>
                <w:rFonts w:cs="Arial"/>
                <w:szCs w:val="20"/>
              </w:rPr>
            </w:pPr>
          </w:p>
        </w:tc>
        <w:tc>
          <w:tcPr>
            <w:tcW w:w="3395" w:type="dxa"/>
          </w:tcPr>
          <w:p w14:paraId="4F12DD57" w14:textId="77777777" w:rsidR="00330574" w:rsidRPr="00221ED0" w:rsidRDefault="00993DD4" w:rsidP="00E21EC6">
            <w:pPr>
              <w:pStyle w:val="Tabletext"/>
              <w:rPr>
                <w:rFonts w:cs="Arial"/>
                <w:szCs w:val="20"/>
              </w:rPr>
            </w:pPr>
            <w:r w:rsidRPr="00221ED0">
              <w:rPr>
                <w:rFonts w:cs="Arial"/>
                <w:szCs w:val="20"/>
              </w:rPr>
              <w:t>Latrobe Regional Hospital</w:t>
            </w:r>
          </w:p>
          <w:p w14:paraId="36643996" w14:textId="2F48B165" w:rsidR="00993DD4" w:rsidRPr="00221ED0" w:rsidRDefault="00993DD4" w:rsidP="00E21EC6">
            <w:pPr>
              <w:pStyle w:val="Tabletext"/>
              <w:rPr>
                <w:rFonts w:cs="Arial"/>
                <w:szCs w:val="20"/>
              </w:rPr>
            </w:pPr>
            <w:r w:rsidRPr="00221ED0">
              <w:rPr>
                <w:rFonts w:cs="Arial"/>
                <w:szCs w:val="20"/>
              </w:rPr>
              <w:t>Ballarat Health Service</w:t>
            </w:r>
            <w:r w:rsidR="00257ED7">
              <w:rPr>
                <w:rStyle w:val="FootnoteReference"/>
                <w:rFonts w:cs="Arial"/>
                <w:szCs w:val="20"/>
              </w:rPr>
              <w:footnoteReference w:id="4"/>
            </w:r>
          </w:p>
          <w:p w14:paraId="4A0DF8A6" w14:textId="722861B0" w:rsidR="00993DD4" w:rsidRPr="00221ED0" w:rsidRDefault="00A23B47" w:rsidP="00E21EC6">
            <w:pPr>
              <w:pStyle w:val="Tabletext"/>
              <w:rPr>
                <w:rFonts w:cs="Arial"/>
                <w:szCs w:val="20"/>
              </w:rPr>
            </w:pPr>
            <w:r w:rsidRPr="00221ED0">
              <w:rPr>
                <w:rFonts w:cs="Arial"/>
                <w:szCs w:val="20"/>
              </w:rPr>
              <w:t>Royal Melbourne Hospital</w:t>
            </w:r>
          </w:p>
        </w:tc>
      </w:tr>
      <w:tr w:rsidR="00330574" w:rsidRPr="00630A55" w14:paraId="1323CE9E" w14:textId="77777777" w:rsidTr="00690E99">
        <w:tc>
          <w:tcPr>
            <w:tcW w:w="1555" w:type="dxa"/>
          </w:tcPr>
          <w:p w14:paraId="0FEE160C" w14:textId="3C66555A" w:rsidR="00330574" w:rsidRPr="00221ED0" w:rsidRDefault="00993DD4" w:rsidP="00E21EC6">
            <w:pPr>
              <w:pStyle w:val="Tabletext"/>
              <w:rPr>
                <w:rFonts w:cs="Arial"/>
                <w:szCs w:val="20"/>
              </w:rPr>
            </w:pPr>
            <w:r w:rsidRPr="00221ED0">
              <w:rPr>
                <w:rFonts w:cs="Arial"/>
                <w:szCs w:val="20"/>
              </w:rPr>
              <w:t>WA</w:t>
            </w:r>
          </w:p>
        </w:tc>
        <w:tc>
          <w:tcPr>
            <w:tcW w:w="4110" w:type="dxa"/>
          </w:tcPr>
          <w:p w14:paraId="47D2B2C5" w14:textId="77777777" w:rsidR="00330574" w:rsidRPr="00221ED0" w:rsidRDefault="00A23B47" w:rsidP="00E21EC6">
            <w:pPr>
              <w:pStyle w:val="Tabletext"/>
              <w:rPr>
                <w:rFonts w:cs="Arial"/>
                <w:szCs w:val="20"/>
              </w:rPr>
            </w:pPr>
            <w:r w:rsidRPr="00221ED0">
              <w:rPr>
                <w:rFonts w:cs="Arial"/>
                <w:szCs w:val="20"/>
              </w:rPr>
              <w:t>East Metro Health Service</w:t>
            </w:r>
          </w:p>
          <w:p w14:paraId="4D50BEAD" w14:textId="7C62EB98" w:rsidR="00A23B47" w:rsidRPr="00221ED0" w:rsidRDefault="00A23B47" w:rsidP="00E21EC6">
            <w:pPr>
              <w:pStyle w:val="Tabletext"/>
              <w:rPr>
                <w:rFonts w:cs="Arial"/>
                <w:szCs w:val="20"/>
              </w:rPr>
            </w:pPr>
            <w:r w:rsidRPr="00221ED0">
              <w:rPr>
                <w:rFonts w:cs="Arial"/>
                <w:szCs w:val="20"/>
              </w:rPr>
              <w:t>Child and Adolescent Health Service</w:t>
            </w:r>
          </w:p>
          <w:p w14:paraId="3BD0767E" w14:textId="67F6E5B1" w:rsidR="00A23B47" w:rsidRPr="00221ED0" w:rsidRDefault="00A23B47" w:rsidP="00E21EC6">
            <w:pPr>
              <w:pStyle w:val="Tabletext"/>
              <w:rPr>
                <w:rFonts w:cs="Arial"/>
                <w:szCs w:val="20"/>
              </w:rPr>
            </w:pPr>
            <w:r w:rsidRPr="00221ED0">
              <w:rPr>
                <w:rFonts w:cs="Arial"/>
                <w:szCs w:val="20"/>
              </w:rPr>
              <w:t>WA Country</w:t>
            </w:r>
            <w:r w:rsidR="00DB7D19" w:rsidRPr="00221ED0">
              <w:rPr>
                <w:rFonts w:cs="Arial"/>
                <w:szCs w:val="20"/>
              </w:rPr>
              <w:t xml:space="preserve"> Health Service</w:t>
            </w:r>
          </w:p>
        </w:tc>
        <w:tc>
          <w:tcPr>
            <w:tcW w:w="3395" w:type="dxa"/>
          </w:tcPr>
          <w:p w14:paraId="3D3C7410" w14:textId="77777777" w:rsidR="00330574" w:rsidRPr="00221ED0" w:rsidRDefault="00EC5E21" w:rsidP="00E21EC6">
            <w:pPr>
              <w:pStyle w:val="Tabletext"/>
              <w:rPr>
                <w:rFonts w:cs="Arial"/>
                <w:szCs w:val="20"/>
              </w:rPr>
            </w:pPr>
            <w:r w:rsidRPr="00221ED0">
              <w:rPr>
                <w:rFonts w:cs="Arial"/>
                <w:szCs w:val="20"/>
              </w:rPr>
              <w:t>Royal Perth Hospital</w:t>
            </w:r>
          </w:p>
          <w:p w14:paraId="005D5AA7" w14:textId="77777777" w:rsidR="00EC5E21" w:rsidRPr="00221ED0" w:rsidRDefault="00EC5E21" w:rsidP="00E21EC6">
            <w:pPr>
              <w:pStyle w:val="Tabletext"/>
              <w:rPr>
                <w:rFonts w:cs="Arial"/>
                <w:szCs w:val="20"/>
              </w:rPr>
            </w:pPr>
            <w:r w:rsidRPr="00221ED0">
              <w:rPr>
                <w:rFonts w:cs="Arial"/>
                <w:szCs w:val="20"/>
              </w:rPr>
              <w:t>Perth Children’s Hospital</w:t>
            </w:r>
          </w:p>
          <w:p w14:paraId="475E9916" w14:textId="58F22290" w:rsidR="00EC5E21" w:rsidRPr="00221ED0" w:rsidRDefault="00EC5E21" w:rsidP="00E21EC6">
            <w:pPr>
              <w:pStyle w:val="Tabletext"/>
              <w:rPr>
                <w:rFonts w:cs="Arial"/>
                <w:szCs w:val="20"/>
              </w:rPr>
            </w:pPr>
            <w:r w:rsidRPr="00221ED0">
              <w:rPr>
                <w:rFonts w:cs="Arial"/>
                <w:szCs w:val="20"/>
              </w:rPr>
              <w:t>Albany Hospital</w:t>
            </w:r>
          </w:p>
        </w:tc>
      </w:tr>
    </w:tbl>
    <w:p w14:paraId="395B5D63" w14:textId="5A5C92B1" w:rsidR="00A332C5" w:rsidRPr="00630A55" w:rsidRDefault="00A332C5" w:rsidP="00A332C5">
      <w:pPr>
        <w:pStyle w:val="Source"/>
      </w:pPr>
      <w:r w:rsidRPr="00630A55">
        <w:t xml:space="preserve">Source: </w:t>
      </w:r>
      <w:r w:rsidR="00453470">
        <w:t>KPMG project planning</w:t>
      </w:r>
    </w:p>
    <w:p w14:paraId="5304DB84" w14:textId="05C49CF0" w:rsidR="004416BF" w:rsidRPr="00690E99" w:rsidRDefault="00C05DB3" w:rsidP="005F2048">
      <w:pPr>
        <w:pStyle w:val="Heading2"/>
      </w:pPr>
      <w:bookmarkStart w:id="11" w:name="_Toc128376716"/>
      <w:r w:rsidRPr="00690E99">
        <w:lastRenderedPageBreak/>
        <w:t>Challenges</w:t>
      </w:r>
      <w:bookmarkEnd w:id="11"/>
      <w:r w:rsidR="00C92D96" w:rsidRPr="00690E99">
        <w:t xml:space="preserve"> </w:t>
      </w:r>
    </w:p>
    <w:p w14:paraId="656B5949" w14:textId="7FA27EFB" w:rsidR="00690E99" w:rsidRDefault="00690E99" w:rsidP="003E3232">
      <w:pPr>
        <w:pStyle w:val="BodyTextkeepwithnext"/>
      </w:pPr>
      <w:r>
        <w:t>During the</w:t>
      </w:r>
      <w:r w:rsidRPr="003E3232">
        <w:t xml:space="preserve"> IFR</w:t>
      </w:r>
      <w:r>
        <w:t xml:space="preserve"> for </w:t>
      </w:r>
      <w:r w:rsidR="00595A9F">
        <w:t>FY20/21</w:t>
      </w:r>
      <w:r>
        <w:t xml:space="preserve"> (2020-21), the following challenges were identified in the planning and delivery of the IFR</w:t>
      </w:r>
      <w:r w:rsidR="00EA01EB">
        <w:t>:</w:t>
      </w:r>
      <w:r>
        <w:t xml:space="preserve"> </w:t>
      </w:r>
    </w:p>
    <w:p w14:paraId="0E629821" w14:textId="5ADC0289" w:rsidR="00690E99" w:rsidRDefault="00690E99" w:rsidP="003E3232">
      <w:pPr>
        <w:pStyle w:val="ListParagraph"/>
        <w:numPr>
          <w:ilvl w:val="0"/>
          <w:numId w:val="16"/>
        </w:numPr>
        <w:jc w:val="both"/>
      </w:pPr>
      <w:r w:rsidRPr="00C85152">
        <w:t xml:space="preserve">COVID-19 restrictions </w:t>
      </w:r>
      <w:r w:rsidR="00700ABD" w:rsidRPr="00C85152">
        <w:t xml:space="preserve">limited the number of </w:t>
      </w:r>
      <w:r w:rsidR="001749B8">
        <w:t>in-person</w:t>
      </w:r>
      <w:r w:rsidR="00700ABD" w:rsidRPr="00C85152">
        <w:t xml:space="preserve"> site visits</w:t>
      </w:r>
      <w:r w:rsidR="0047525F" w:rsidRPr="00C85152">
        <w:t xml:space="preserve">. </w:t>
      </w:r>
      <w:r w:rsidR="003716E9" w:rsidRPr="00C85152">
        <w:t>Whil</w:t>
      </w:r>
      <w:r w:rsidR="003716E9">
        <w:t>e</w:t>
      </w:r>
      <w:r w:rsidR="0047525F" w:rsidRPr="00C85152">
        <w:t xml:space="preserve"> the majority of site visits were able to occur in person (compared with only one in-person site visit in </w:t>
      </w:r>
      <w:r w:rsidR="00595A9F">
        <w:t>FY19/20</w:t>
      </w:r>
      <w:r w:rsidR="0047525F" w:rsidRPr="00C85152">
        <w:t xml:space="preserve">), two </w:t>
      </w:r>
      <w:r w:rsidR="003716E9">
        <w:t xml:space="preserve">jurisdictional consultations </w:t>
      </w:r>
      <w:r w:rsidR="0047525F" w:rsidRPr="00C85152">
        <w:t xml:space="preserve">were still conducted virtually due to COVID-19 policies within hospitals and health facilities. </w:t>
      </w:r>
    </w:p>
    <w:p w14:paraId="7F014D96" w14:textId="7C3856E5" w:rsidR="001749B8" w:rsidRDefault="00F02BF6" w:rsidP="003E3232">
      <w:pPr>
        <w:pStyle w:val="ListParagraph"/>
        <w:numPr>
          <w:ilvl w:val="0"/>
          <w:numId w:val="16"/>
        </w:numPr>
        <w:jc w:val="both"/>
      </w:pPr>
      <w:r>
        <w:t>Based on</w:t>
      </w:r>
      <w:r w:rsidR="009D5055">
        <w:t xml:space="preserve"> the feedback from </w:t>
      </w:r>
      <w:r w:rsidR="00595A9F">
        <w:t>FY19/20</w:t>
      </w:r>
      <w:r w:rsidR="009D5055">
        <w:t xml:space="preserve">, new </w:t>
      </w:r>
      <w:r w:rsidR="001845FA">
        <w:t xml:space="preserve">IFR </w:t>
      </w:r>
      <w:r w:rsidR="009D5055">
        <w:t xml:space="preserve">jurisdictional data templates were developed to streamline data collection and improve </w:t>
      </w:r>
      <w:r w:rsidR="00D73587">
        <w:t xml:space="preserve">usability. </w:t>
      </w:r>
      <w:r w:rsidR="001253CD">
        <w:t>The pilot process</w:t>
      </w:r>
      <w:r w:rsidR="00AF22CA">
        <w:t xml:space="preserve"> </w:t>
      </w:r>
      <w:r w:rsidR="001253CD">
        <w:t xml:space="preserve">for Tasmania was an important component to ensuring that the template and data flow was working correctly, however </w:t>
      </w:r>
      <w:r w:rsidR="00570F00">
        <w:t xml:space="preserve">user testing </w:t>
      </w:r>
      <w:r w:rsidR="005058FD">
        <w:t>was not</w:t>
      </w:r>
      <w:r w:rsidR="00570F00">
        <w:t xml:space="preserve"> conducted</w:t>
      </w:r>
      <w:r w:rsidR="002D700E">
        <w:t xml:space="preserve"> across all jurisdictions and</w:t>
      </w:r>
      <w:r w:rsidR="001253CD">
        <w:t xml:space="preserve"> there were some</w:t>
      </w:r>
      <w:r w:rsidR="00E95042">
        <w:t xml:space="preserve"> initial issues</w:t>
      </w:r>
      <w:r w:rsidR="001253CD">
        <w:t xml:space="preserve"> experienced with the new template</w:t>
      </w:r>
      <w:r w:rsidR="003539E2">
        <w:t>.</w:t>
      </w:r>
      <w:r w:rsidR="001253CD">
        <w:t xml:space="preserve"> </w:t>
      </w:r>
      <w:r w:rsidR="003539E2">
        <w:t>As a result</w:t>
      </w:r>
      <w:r w:rsidR="005058FD">
        <w:t>,</w:t>
      </w:r>
      <w:r w:rsidR="003539E2">
        <w:t xml:space="preserve"> there was</w:t>
      </w:r>
      <w:r w:rsidR="001253CD">
        <w:t xml:space="preserve"> some delay in </w:t>
      </w:r>
      <w:r w:rsidR="00591F91">
        <w:t xml:space="preserve">finalising the templates for submission </w:t>
      </w:r>
      <w:r w:rsidR="00FD0E03">
        <w:t>with</w:t>
      </w:r>
      <w:r w:rsidR="00591F91">
        <w:t xml:space="preserve"> </w:t>
      </w:r>
      <w:r w:rsidR="005058FD">
        <w:t xml:space="preserve">the </w:t>
      </w:r>
      <w:r w:rsidR="00591F91">
        <w:t>remaining jurisdictions</w:t>
      </w:r>
      <w:r w:rsidR="005574F2">
        <w:t>. During the discussions</w:t>
      </w:r>
      <w:r w:rsidR="005058FD">
        <w:t>,</w:t>
      </w:r>
      <w:r w:rsidR="00FD0E03">
        <w:t xml:space="preserve"> improvement opportunities were identified to streamline the process for future IFRs.</w:t>
      </w:r>
    </w:p>
    <w:p w14:paraId="5F0010C8" w14:textId="6096E432" w:rsidR="002C1271" w:rsidRDefault="002C1271" w:rsidP="003E3232">
      <w:pPr>
        <w:pStyle w:val="ListParagraph"/>
        <w:numPr>
          <w:ilvl w:val="0"/>
          <w:numId w:val="16"/>
        </w:numPr>
        <w:jc w:val="both"/>
      </w:pPr>
      <w:r>
        <w:t>There are nuanced governance arrangements across the jurisdictions</w:t>
      </w:r>
      <w:r w:rsidR="005058FD">
        <w:t>;</w:t>
      </w:r>
      <w:r>
        <w:t xml:space="preserve"> some have multiple LHNs / health services (HSs), comprising multiple hospital facilities and services (e.g. community health, mental health), while some smaller jurisdictions (e.g. Tasmania, ACT) have only one LHN </w:t>
      </w:r>
      <w:r w:rsidR="00AF22CA">
        <w:t xml:space="preserve">that </w:t>
      </w:r>
      <w:r>
        <w:t>encompasses the entire jurisdictional health network. These differences caused some challenges with the IFR jurisdictional data template</w:t>
      </w:r>
      <w:r w:rsidR="002931BE">
        <w:t>,</w:t>
      </w:r>
      <w:r>
        <w:t xml:space="preserve"> </w:t>
      </w:r>
      <w:r w:rsidR="001D4ACD">
        <w:t>that</w:t>
      </w:r>
      <w:r>
        <w:t xml:space="preserve"> sought information at both the LHN and hospital level and therefore</w:t>
      </w:r>
      <w:r w:rsidR="00A52E4E">
        <w:t xml:space="preserve"> caused challenges with</w:t>
      </w:r>
      <w:r>
        <w:t xml:space="preserve"> the corresponding interpretation and comparison of data at the aggregate level across jurisdictions. </w:t>
      </w:r>
    </w:p>
    <w:p w14:paraId="2AC1D3A3" w14:textId="606F6F76" w:rsidR="00B16272" w:rsidRDefault="00607EBD" w:rsidP="003E3232">
      <w:pPr>
        <w:pStyle w:val="ListParagraph"/>
        <w:numPr>
          <w:ilvl w:val="0"/>
          <w:numId w:val="16"/>
        </w:numPr>
        <w:jc w:val="both"/>
      </w:pPr>
      <w:r>
        <w:t>Scheduling of</w:t>
      </w:r>
      <w:r w:rsidR="00F83BA2">
        <w:t xml:space="preserve"> jurisdictional consultations</w:t>
      </w:r>
      <w:r w:rsidR="005842AF">
        <w:t xml:space="preserve"> back-to-back</w:t>
      </w:r>
      <w:r w:rsidR="001845FA">
        <w:t xml:space="preserve"> during the IFR process</w:t>
      </w:r>
      <w:r w:rsidR="005842AF">
        <w:t xml:space="preserve"> caused some bottlenecks in the </w:t>
      </w:r>
      <w:r w:rsidR="00746918">
        <w:t xml:space="preserve">drafting and feedback </w:t>
      </w:r>
      <w:r w:rsidR="00B16272">
        <w:t>process associated with the jurisdictional chapters.</w:t>
      </w:r>
      <w:r w:rsidR="007F0DFF">
        <w:t xml:space="preserve"> Timing in between </w:t>
      </w:r>
      <w:r w:rsidR="00371E82">
        <w:t>consultations would allow for drafting to occur immediately but is reliant on an earlier start to the consultation period.</w:t>
      </w:r>
    </w:p>
    <w:p w14:paraId="541C69E3" w14:textId="2B10D436" w:rsidR="00C85152" w:rsidRDefault="00B6082E" w:rsidP="003E3232">
      <w:pPr>
        <w:pStyle w:val="ListParagraph"/>
        <w:numPr>
          <w:ilvl w:val="0"/>
          <w:numId w:val="16"/>
        </w:numPr>
        <w:jc w:val="both"/>
      </w:pPr>
      <w:r>
        <w:t xml:space="preserve">Staff turnover and significant capacity issues in some jurisdictions made it more difficult for them to complete </w:t>
      </w:r>
      <w:r w:rsidR="003F72EF">
        <w:t xml:space="preserve">the IFR jurisdictional templates where resourcing was constrained, or where corporate knowledge had been lost. </w:t>
      </w:r>
    </w:p>
    <w:p w14:paraId="664D3103" w14:textId="5289FB5C" w:rsidR="00EA01EB" w:rsidRDefault="00EA01EB" w:rsidP="003E3232">
      <w:pPr>
        <w:jc w:val="both"/>
        <w:rPr>
          <w:rFonts w:cs="Arial"/>
        </w:rPr>
      </w:pPr>
      <w:r w:rsidRPr="005776D7">
        <w:rPr>
          <w:rFonts w:cs="Arial"/>
        </w:rPr>
        <w:t xml:space="preserve">Please refer to the </w:t>
      </w:r>
      <w:hyperlink w:anchor="_Findings_and_Recommendations" w:history="1">
        <w:r w:rsidR="00412ED6" w:rsidRPr="00412ED6">
          <w:rPr>
            <w:rStyle w:val="Hyperlink"/>
            <w:rFonts w:cs="Arial"/>
            <w:u w:val="none"/>
          </w:rPr>
          <w:t>r</w:t>
        </w:r>
        <w:r w:rsidRPr="00412ED6">
          <w:rPr>
            <w:rStyle w:val="Hyperlink"/>
            <w:rFonts w:cs="Arial"/>
            <w:u w:val="none"/>
          </w:rPr>
          <w:t>ecommendations</w:t>
        </w:r>
      </w:hyperlink>
      <w:r w:rsidRPr="005776D7">
        <w:rPr>
          <w:rFonts w:cs="Arial"/>
        </w:rPr>
        <w:t xml:space="preserve"> section</w:t>
      </w:r>
      <w:r w:rsidR="00412ED6">
        <w:rPr>
          <w:rFonts w:cs="Arial"/>
        </w:rPr>
        <w:t xml:space="preserve"> (</w:t>
      </w:r>
      <w:r w:rsidR="0043541E">
        <w:rPr>
          <w:rFonts w:cs="Arial"/>
        </w:rPr>
        <w:fldChar w:fldCharType="begin"/>
      </w:r>
      <w:r w:rsidR="0043541E">
        <w:rPr>
          <w:rFonts w:cs="Arial"/>
        </w:rPr>
        <w:instrText xml:space="preserve"> REF _Ref120089874 \r \h </w:instrText>
      </w:r>
      <w:r w:rsidR="0043541E">
        <w:rPr>
          <w:rFonts w:cs="Arial"/>
        </w:rPr>
      </w:r>
      <w:r w:rsidR="0043541E">
        <w:rPr>
          <w:rFonts w:cs="Arial"/>
        </w:rPr>
        <w:fldChar w:fldCharType="separate"/>
      </w:r>
      <w:r w:rsidR="007E2ACB">
        <w:rPr>
          <w:rFonts w:cs="Arial"/>
        </w:rPr>
        <w:t>2.2</w:t>
      </w:r>
      <w:r w:rsidR="0043541E">
        <w:rPr>
          <w:rFonts w:cs="Arial"/>
        </w:rPr>
        <w:fldChar w:fldCharType="end"/>
      </w:r>
      <w:r w:rsidR="0043541E">
        <w:rPr>
          <w:rFonts w:cs="Arial"/>
        </w:rPr>
        <w:t>)</w:t>
      </w:r>
      <w:r w:rsidRPr="005776D7">
        <w:rPr>
          <w:rFonts w:cs="Arial"/>
        </w:rPr>
        <w:t xml:space="preserve"> regarding poten</w:t>
      </w:r>
      <w:r w:rsidR="001D558E" w:rsidRPr="005776D7">
        <w:rPr>
          <w:rFonts w:cs="Arial"/>
        </w:rPr>
        <w:t>tial</w:t>
      </w:r>
      <w:r w:rsidR="003F72EF" w:rsidRPr="005776D7">
        <w:rPr>
          <w:rFonts w:cs="Arial"/>
        </w:rPr>
        <w:t xml:space="preserve"> changes and</w:t>
      </w:r>
      <w:r w:rsidR="00736CEA" w:rsidRPr="005776D7">
        <w:rPr>
          <w:rFonts w:cs="Arial"/>
        </w:rPr>
        <w:t xml:space="preserve"> improvements to address some of these challenges for the </w:t>
      </w:r>
      <w:r w:rsidR="00AC2316">
        <w:rPr>
          <w:rFonts w:cs="Arial"/>
        </w:rPr>
        <w:t>FY21/22</w:t>
      </w:r>
      <w:r w:rsidR="00736CEA" w:rsidRPr="005776D7">
        <w:rPr>
          <w:rFonts w:cs="Arial"/>
        </w:rPr>
        <w:t xml:space="preserve"> IFR. </w:t>
      </w:r>
    </w:p>
    <w:p w14:paraId="26209C72" w14:textId="77777777" w:rsidR="005776D7" w:rsidRPr="005776D7" w:rsidRDefault="005776D7" w:rsidP="003E3232">
      <w:pPr>
        <w:jc w:val="both"/>
        <w:rPr>
          <w:rFonts w:cs="Arial"/>
        </w:rPr>
      </w:pPr>
    </w:p>
    <w:p w14:paraId="4367BA4C" w14:textId="620CDCED" w:rsidR="00400396" w:rsidRPr="00A16B1D" w:rsidRDefault="00400396" w:rsidP="00DD4007">
      <w:pPr>
        <w:pStyle w:val="Heading1"/>
      </w:pPr>
      <w:bookmarkStart w:id="12" w:name="_Findings_and_Recommendations"/>
      <w:bookmarkStart w:id="13" w:name="_Ref90370846"/>
      <w:bookmarkStart w:id="14" w:name="_Ref90371732"/>
      <w:bookmarkStart w:id="15" w:name="_Toc128376717"/>
      <w:bookmarkEnd w:id="12"/>
      <w:r w:rsidRPr="00A16B1D">
        <w:lastRenderedPageBreak/>
        <w:t xml:space="preserve">Findings </w:t>
      </w:r>
      <w:r w:rsidR="002C3AB8" w:rsidRPr="00A16B1D">
        <w:t>and Recommendations</w:t>
      </w:r>
      <w:bookmarkEnd w:id="13"/>
      <w:bookmarkEnd w:id="14"/>
      <w:bookmarkEnd w:id="15"/>
    </w:p>
    <w:p w14:paraId="6452B102" w14:textId="2CAD1E10" w:rsidR="00B64858" w:rsidRPr="00A16B1D" w:rsidRDefault="00C50A1C" w:rsidP="0002354B">
      <w:pPr>
        <w:pStyle w:val="Heading2"/>
      </w:pPr>
      <w:bookmarkStart w:id="16" w:name="_Ref83282446"/>
      <w:bookmarkStart w:id="17" w:name="_Toc128376718"/>
      <w:r w:rsidRPr="00A16B1D">
        <w:t xml:space="preserve">Observations from </w:t>
      </w:r>
      <w:bookmarkEnd w:id="16"/>
      <w:r w:rsidR="00595A9F">
        <w:t>FY20/21</w:t>
      </w:r>
      <w:bookmarkEnd w:id="17"/>
    </w:p>
    <w:p w14:paraId="333F19AB" w14:textId="59E8C285" w:rsidR="00D275A4" w:rsidRDefault="00D275A4" w:rsidP="003E3232">
      <w:pPr>
        <w:pStyle w:val="BodyText1"/>
        <w:jc w:val="both"/>
      </w:pPr>
      <w:r w:rsidRPr="00C2785D">
        <w:t xml:space="preserve">Specific observations from the </w:t>
      </w:r>
      <w:r>
        <w:t>FY</w:t>
      </w:r>
      <w:r w:rsidRPr="00C2785D">
        <w:t>20</w:t>
      </w:r>
      <w:r>
        <w:t>/</w:t>
      </w:r>
      <w:r w:rsidRPr="00C2785D">
        <w:t xml:space="preserve">21 IFR are detailed in section </w:t>
      </w:r>
      <w:r w:rsidRPr="00C2785D">
        <w:fldChar w:fldCharType="begin"/>
      </w:r>
      <w:r w:rsidRPr="00C2785D">
        <w:instrText xml:space="preserve"> REF _Ref83282446 \r \h  \* MERGEFORMAT </w:instrText>
      </w:r>
      <w:r w:rsidRPr="00C2785D">
        <w:fldChar w:fldCharType="separate"/>
      </w:r>
      <w:r w:rsidR="007E2ACB">
        <w:t>2.1</w:t>
      </w:r>
      <w:r w:rsidRPr="00C2785D">
        <w:fldChar w:fldCharType="end"/>
      </w:r>
      <w:r w:rsidR="004364A1">
        <w:t>.</w:t>
      </w:r>
      <w:r w:rsidRPr="00C2785D">
        <w:t xml:space="preserve"> </w:t>
      </w:r>
      <w:r w:rsidR="004364A1">
        <w:t>While</w:t>
      </w:r>
      <w:r w:rsidRPr="00C2785D">
        <w:t xml:space="preserve"> one jurisdiction did not participate this year, the IFR was well received by all participating jurisdictions with robust conversations throughout the consultation process.</w:t>
      </w:r>
    </w:p>
    <w:p w14:paraId="16C881A0" w14:textId="77777777" w:rsidR="00D275A4" w:rsidRDefault="00D275A4" w:rsidP="003E3232">
      <w:pPr>
        <w:pStyle w:val="BodyText1"/>
        <w:jc w:val="both"/>
      </w:pPr>
      <w:r>
        <w:t>As a result of previous recommendations, data collection</w:t>
      </w:r>
      <w:r w:rsidRPr="00630A55">
        <w:t xml:space="preserve"> templates were adjusted to </w:t>
      </w:r>
      <w:r>
        <w:t xml:space="preserve">gather relevant information </w:t>
      </w:r>
      <w:r w:rsidRPr="00630A55">
        <w:t>and</w:t>
      </w:r>
      <w:r>
        <w:t xml:space="preserve"> </w:t>
      </w:r>
      <w:r w:rsidRPr="00630A55">
        <w:t xml:space="preserve">utilise information </w:t>
      </w:r>
      <w:r>
        <w:t xml:space="preserve">that had </w:t>
      </w:r>
      <w:r w:rsidRPr="00630A55">
        <w:t xml:space="preserve">already </w:t>
      </w:r>
      <w:r>
        <w:t xml:space="preserve">been </w:t>
      </w:r>
      <w:r w:rsidRPr="00630A55">
        <w:t xml:space="preserve">provided </w:t>
      </w:r>
      <w:r>
        <w:t xml:space="preserve">by health services </w:t>
      </w:r>
      <w:r w:rsidRPr="00630A55">
        <w:t xml:space="preserve">through the data quality statements and </w:t>
      </w:r>
      <w:r>
        <w:t xml:space="preserve">jurisdictional </w:t>
      </w:r>
      <w:r w:rsidRPr="00630A55">
        <w:t>submission process</w:t>
      </w:r>
      <w:r>
        <w:t xml:space="preserve">. The template also collected prior year data that was used to facilitate discussions on potential emerging trends or process changes from FY19/20. </w:t>
      </w:r>
    </w:p>
    <w:p w14:paraId="25219C10" w14:textId="15C287BD" w:rsidR="00D275A4" w:rsidRPr="00630A55" w:rsidRDefault="00D275A4" w:rsidP="003E3232">
      <w:pPr>
        <w:pStyle w:val="BodyText1"/>
        <w:jc w:val="both"/>
      </w:pPr>
      <w:r>
        <w:t xml:space="preserve">Focus areas included for the 2020-21 financial year and agreed through the NHCDC Advisory Committee (NAC) were </w:t>
      </w:r>
      <w:r w:rsidR="00212CFA">
        <w:t>h</w:t>
      </w:r>
      <w:r w:rsidRPr="00630A55">
        <w:t xml:space="preserve">aemodialysis and </w:t>
      </w:r>
      <w:r w:rsidR="00212CFA">
        <w:t>c</w:t>
      </w:r>
      <w:r w:rsidRPr="00630A55">
        <w:t xml:space="preserve">hemotherapy, selected </w:t>
      </w:r>
      <w:r>
        <w:t xml:space="preserve">due to their </w:t>
      </w:r>
      <w:r w:rsidRPr="00630A55">
        <w:t xml:space="preserve">high volume </w:t>
      </w:r>
      <w:r>
        <w:t>services nationally</w:t>
      </w:r>
      <w:r w:rsidRPr="00630A55">
        <w:t xml:space="preserve">. </w:t>
      </w:r>
    </w:p>
    <w:p w14:paraId="32BF5CB8" w14:textId="5B6E1C64" w:rsidR="00611585" w:rsidRPr="00630A55" w:rsidRDefault="00611585" w:rsidP="003E3232">
      <w:pPr>
        <w:pStyle w:val="BodyText1"/>
        <w:jc w:val="both"/>
      </w:pPr>
      <w:r w:rsidRPr="00630A55">
        <w:t xml:space="preserve">The general feedback on the templates and the reconciliation </w:t>
      </w:r>
      <w:r>
        <w:t>was</w:t>
      </w:r>
      <w:r w:rsidRPr="00630A55">
        <w:t xml:space="preserve"> that they were more user friendly than previous iterations</w:t>
      </w:r>
      <w:r w:rsidR="00DC2A9B">
        <w:t>.</w:t>
      </w:r>
      <w:r w:rsidRPr="00630A55">
        <w:t xml:space="preserve"> </w:t>
      </w:r>
      <w:r w:rsidR="00DC2A9B">
        <w:t>H</w:t>
      </w:r>
      <w:r>
        <w:t>owever</w:t>
      </w:r>
      <w:r w:rsidR="00DC2A9B">
        <w:t>,</w:t>
      </w:r>
      <w:r w:rsidRPr="00630A55">
        <w:t xml:space="preserve"> there was some confusion between the LHN (network level) and Hospital level tabs, particularly as </w:t>
      </w:r>
      <w:r w:rsidR="00214D8B" w:rsidRPr="00630A55">
        <w:t>most</w:t>
      </w:r>
      <w:r w:rsidRPr="00630A55">
        <w:t xml:space="preserve"> adjustments occur at the network level, with only the final output (submission to IHACPA) being at the hospital level. </w:t>
      </w:r>
      <w:r>
        <w:t>G</w:t>
      </w:r>
      <w:r w:rsidRPr="00630A55">
        <w:t xml:space="preserve">iven the current maturity </w:t>
      </w:r>
      <w:r>
        <w:t>of</w:t>
      </w:r>
      <w:r w:rsidRPr="00630A55">
        <w:t xml:space="preserve"> cost collection processes and data validation from IHACPA during the submission process, the </w:t>
      </w:r>
      <w:r w:rsidR="007138D9">
        <w:t>R</w:t>
      </w:r>
      <w:r>
        <w:t xml:space="preserve">eview </w:t>
      </w:r>
      <w:r w:rsidRPr="00630A55">
        <w:t xml:space="preserve">team should look to pre-populate the templates with data </w:t>
      </w:r>
      <w:r w:rsidR="00DC2A9B">
        <w:t>previously</w:t>
      </w:r>
      <w:r w:rsidR="00DC2A9B" w:rsidRPr="00630A55">
        <w:t xml:space="preserve"> </w:t>
      </w:r>
      <w:r w:rsidRPr="00630A55">
        <w:t>provided.</w:t>
      </w:r>
    </w:p>
    <w:p w14:paraId="5C5D26BA" w14:textId="765A5BD3" w:rsidR="00FE01C6" w:rsidRPr="00630A55" w:rsidRDefault="00FE01C6" w:rsidP="003E3232">
      <w:pPr>
        <w:pStyle w:val="BodyText"/>
      </w:pPr>
      <w:r w:rsidRPr="00630A55">
        <w:t>In line with previous years, the IFR seeks to address:</w:t>
      </w:r>
    </w:p>
    <w:p w14:paraId="7CA39258" w14:textId="78A36342" w:rsidR="00FE01C6" w:rsidRPr="00725472" w:rsidRDefault="00D76F14" w:rsidP="003E3232">
      <w:pPr>
        <w:pStyle w:val="BodyText"/>
        <w:numPr>
          <w:ilvl w:val="0"/>
          <w:numId w:val="43"/>
        </w:numPr>
        <w:ind w:left="357" w:hanging="357"/>
        <w:rPr>
          <w:b/>
        </w:rPr>
      </w:pPr>
      <w:r w:rsidRPr="00725472">
        <w:rPr>
          <w:b/>
        </w:rPr>
        <w:t>The a</w:t>
      </w:r>
      <w:r w:rsidR="00FE01C6" w:rsidRPr="00725472">
        <w:rPr>
          <w:b/>
        </w:rPr>
        <w:t xml:space="preserve">ccuracy and completeness of the </w:t>
      </w:r>
      <w:r w:rsidR="00595A9F" w:rsidRPr="00725472">
        <w:rPr>
          <w:b/>
        </w:rPr>
        <w:t>FY20/21</w:t>
      </w:r>
      <w:r w:rsidR="00FE01C6" w:rsidRPr="00725472">
        <w:rPr>
          <w:b/>
        </w:rPr>
        <w:t xml:space="preserve"> NHCDC </w:t>
      </w:r>
      <w:r w:rsidR="00D2727A" w:rsidRPr="00725472">
        <w:rPr>
          <w:b/>
        </w:rPr>
        <w:t xml:space="preserve">for </w:t>
      </w:r>
      <w:r w:rsidR="00FE01C6" w:rsidRPr="00725472">
        <w:rPr>
          <w:b/>
        </w:rPr>
        <w:t>participating health services, including a</w:t>
      </w:r>
      <w:r w:rsidR="00813357" w:rsidRPr="00725472">
        <w:rPr>
          <w:b/>
        </w:rPr>
        <w:t>n expenditure</w:t>
      </w:r>
      <w:r w:rsidR="00FE01C6" w:rsidRPr="00725472">
        <w:rPr>
          <w:b/>
        </w:rPr>
        <w:t xml:space="preserve"> reconciliation between the financial and costing systems </w:t>
      </w:r>
    </w:p>
    <w:p w14:paraId="2A3245F0" w14:textId="01272463" w:rsidR="00FE01C6" w:rsidRPr="00630A55" w:rsidRDefault="00FE01C6" w:rsidP="003E3232">
      <w:pPr>
        <w:pStyle w:val="BodyTextIndent"/>
        <w:jc w:val="both"/>
      </w:pPr>
      <w:r w:rsidRPr="00630A55">
        <w:t xml:space="preserve">Based upon the findings and observations contained in section </w:t>
      </w:r>
      <w:r w:rsidR="00DD6725">
        <w:fldChar w:fldCharType="begin"/>
      </w:r>
      <w:r w:rsidR="00DD6725">
        <w:instrText xml:space="preserve"> REF _Ref90370846 \w \h </w:instrText>
      </w:r>
      <w:r w:rsidR="003E3232">
        <w:instrText xml:space="preserve"> \* MERGEFORMAT </w:instrText>
      </w:r>
      <w:r w:rsidR="00DD6725">
        <w:fldChar w:fldCharType="separate"/>
      </w:r>
      <w:r w:rsidR="007E2ACB">
        <w:t>2</w:t>
      </w:r>
      <w:r w:rsidR="00DD6725">
        <w:fldChar w:fldCharType="end"/>
      </w:r>
      <w:r w:rsidR="00DD6725">
        <w:t>,</w:t>
      </w:r>
      <w:r w:rsidRPr="00630A55">
        <w:t xml:space="preserve"> participating jurisdictions have provided reconciling data and source information to support the accuracy of submitted data</w:t>
      </w:r>
      <w:r w:rsidR="001561C2">
        <w:t>.</w:t>
      </w:r>
    </w:p>
    <w:p w14:paraId="2EAB37B2" w14:textId="77777777" w:rsidR="00FD5F69" w:rsidRPr="00725472" w:rsidRDefault="00FD5F69" w:rsidP="003E3232">
      <w:pPr>
        <w:pStyle w:val="BodyText"/>
        <w:numPr>
          <w:ilvl w:val="0"/>
          <w:numId w:val="43"/>
        </w:numPr>
        <w:ind w:left="357" w:hanging="357"/>
        <w:rPr>
          <w:b/>
        </w:rPr>
      </w:pPr>
      <w:r w:rsidRPr="00725472">
        <w:rPr>
          <w:b/>
        </w:rPr>
        <w:t>Assessment of the consistency between jurisdictions sampled for the application of Version 4.1 of the Australian Hospital Patient Costing Standards (AHPCS) for selected standards</w:t>
      </w:r>
    </w:p>
    <w:p w14:paraId="79848638" w14:textId="4B4BA729" w:rsidR="00FD5F69" w:rsidRPr="00725472" w:rsidRDefault="00FD5F69" w:rsidP="003E3232">
      <w:pPr>
        <w:pStyle w:val="BodyTextIndent"/>
        <w:jc w:val="both"/>
        <w:rPr>
          <w:b/>
        </w:rPr>
      </w:pPr>
      <w:r w:rsidRPr="00630A55">
        <w:rPr>
          <w:szCs w:val="24"/>
        </w:rPr>
        <w:t xml:space="preserve">The application of the selected standards from AHPCS Version </w:t>
      </w:r>
      <w:r w:rsidRPr="00630A55">
        <w:t>4.1 across the jurisdictions was mostly consistent</w:t>
      </w:r>
      <w:r w:rsidR="00CB3DCF">
        <w:t>,</w:t>
      </w:r>
      <w:r w:rsidRPr="00630A55">
        <w:t xml:space="preserve"> as outlined in the various data quality statements received by </w:t>
      </w:r>
      <w:r>
        <w:t>IHACPA</w:t>
      </w:r>
      <w:r w:rsidRPr="00630A55">
        <w:t>. Jurisdictions noted partial compliance with various standards</w:t>
      </w:r>
      <w:r>
        <w:t xml:space="preserve"> (e.g. Mental Health phase of care and blood products)</w:t>
      </w:r>
      <w:r w:rsidRPr="00630A55">
        <w:t>. Whil</w:t>
      </w:r>
      <w:r>
        <w:t>e</w:t>
      </w:r>
      <w:r w:rsidRPr="00630A55">
        <w:t xml:space="preserve"> the process of applying standards is consistent</w:t>
      </w:r>
      <w:r>
        <w:t>,</w:t>
      </w:r>
      <w:r w:rsidRPr="00630A55">
        <w:t xml:space="preserve"> it was noted that the impacts of COVID</w:t>
      </w:r>
      <w:r>
        <w:noBreakHyphen/>
      </w:r>
      <w:r w:rsidRPr="00630A55">
        <w:t xml:space="preserve">19 are still resulting in </w:t>
      </w:r>
      <w:r>
        <w:t xml:space="preserve">a </w:t>
      </w:r>
      <w:r w:rsidRPr="00630A55">
        <w:t>variation of treatment of general ledger costs</w:t>
      </w:r>
      <w:r>
        <w:t>. Whilst detailed analysis was not conducted</w:t>
      </w:r>
      <w:r w:rsidR="00523307">
        <w:t>,</w:t>
      </w:r>
      <w:r>
        <w:t xml:space="preserve"> discussions indicated</w:t>
      </w:r>
      <w:r w:rsidRPr="00630A55">
        <w:t xml:space="preserve"> the isolation of these costs appears to be comprehensive and robust.</w:t>
      </w:r>
    </w:p>
    <w:p w14:paraId="54E195A0" w14:textId="78A7A32F" w:rsidR="00FE01C6" w:rsidRPr="00725472" w:rsidRDefault="00FE01C6" w:rsidP="003E3232">
      <w:pPr>
        <w:pStyle w:val="BodyText"/>
        <w:numPr>
          <w:ilvl w:val="0"/>
          <w:numId w:val="43"/>
        </w:numPr>
        <w:ind w:left="357" w:hanging="357"/>
        <w:rPr>
          <w:b/>
        </w:rPr>
      </w:pPr>
      <w:r w:rsidRPr="00725472">
        <w:rPr>
          <w:b/>
        </w:rPr>
        <w:t>Assess the degree to which the NHCDC data is robust and fit for purpose</w:t>
      </w:r>
    </w:p>
    <w:p w14:paraId="4021896A" w14:textId="287FAF48" w:rsidR="00F64A26" w:rsidRDefault="00F64A26" w:rsidP="003E3232">
      <w:pPr>
        <w:pStyle w:val="BodyTextIndent"/>
        <w:jc w:val="both"/>
      </w:pPr>
      <w:r w:rsidRPr="002474C2">
        <w:t xml:space="preserve">As outlined above while the data submissions are reconciled and complete, the impact of COVID-19 on expenditure and activity varied across the jurisdictions, i.e. </w:t>
      </w:r>
      <w:r>
        <w:t>COVID impacts</w:t>
      </w:r>
      <w:r w:rsidR="00F213FB">
        <w:t>,</w:t>
      </w:r>
      <w:r>
        <w:t xml:space="preserve"> varied significantly in terms of timing and </w:t>
      </w:r>
      <w:r w:rsidRPr="002474C2">
        <w:t xml:space="preserve">the </w:t>
      </w:r>
      <w:r>
        <w:t xml:space="preserve">relevant State Government </w:t>
      </w:r>
      <w:r w:rsidRPr="002474C2">
        <w:t>response</w:t>
      </w:r>
      <w:r>
        <w:t>s</w:t>
      </w:r>
      <w:r w:rsidRPr="002474C2">
        <w:t xml:space="preserve"> </w:t>
      </w:r>
      <w:r>
        <w:t>to address COVID-19</w:t>
      </w:r>
      <w:r w:rsidRPr="002474C2">
        <w:t xml:space="preserve">, e.g. Western Australia </w:t>
      </w:r>
      <w:r>
        <w:t xml:space="preserve">(WA) </w:t>
      </w:r>
      <w:r w:rsidRPr="002474C2">
        <w:t xml:space="preserve">experienced almost no impact for </w:t>
      </w:r>
      <w:r w:rsidR="00152751">
        <w:t>FY20/21</w:t>
      </w:r>
      <w:r w:rsidRPr="002474C2">
        <w:t>.</w:t>
      </w:r>
      <w:r w:rsidRPr="00630A55">
        <w:t xml:space="preserve"> </w:t>
      </w:r>
    </w:p>
    <w:p w14:paraId="26491345" w14:textId="77777777" w:rsidR="00307F37" w:rsidRDefault="00307F37" w:rsidP="003E3232">
      <w:pPr>
        <w:pStyle w:val="BodyText"/>
        <w:numPr>
          <w:ilvl w:val="0"/>
          <w:numId w:val="49"/>
        </w:numPr>
        <w:rPr>
          <w:b/>
        </w:rPr>
      </w:pPr>
      <w:r w:rsidRPr="003E6DC5">
        <w:rPr>
          <w:b/>
        </w:rPr>
        <w:lastRenderedPageBreak/>
        <w:t>Review the data flow from the health service to the jurisdictional upload of hospital information, to the data submission portal, through to the storing of data in IHACPA’s national database, through a selected sample</w:t>
      </w:r>
    </w:p>
    <w:p w14:paraId="5C75083E" w14:textId="62DE0B4A" w:rsidR="00307F37" w:rsidRPr="002433B8" w:rsidRDefault="00307F37" w:rsidP="003E3232">
      <w:pPr>
        <w:pStyle w:val="BodyTextIndent"/>
        <w:jc w:val="both"/>
      </w:pPr>
      <w:r>
        <w:t xml:space="preserve">A sample of five patient records from each hospital was taken to test the transfer of patient cost data from the hospital, via the jurisdiction, to IHACPA and </w:t>
      </w:r>
      <w:r w:rsidR="003F64EA">
        <w:t xml:space="preserve">to </w:t>
      </w:r>
      <w:r>
        <w:t xml:space="preserve">identify any cost variance. There were no material variances across any of the jurisdictional samples indicating appropriate data flow from the health service through to IHACPA. The individual sample results are provided within each jurisdictional chapter. </w:t>
      </w:r>
    </w:p>
    <w:p w14:paraId="10CA2BFC" w14:textId="77777777" w:rsidR="00307F37" w:rsidRPr="003E6DC5" w:rsidRDefault="00307F37" w:rsidP="003E3232">
      <w:pPr>
        <w:pStyle w:val="BodyText"/>
        <w:numPr>
          <w:ilvl w:val="0"/>
          <w:numId w:val="49"/>
        </w:numPr>
        <w:ind w:left="357" w:hanging="357"/>
        <w:rPr>
          <w:b/>
        </w:rPr>
      </w:pPr>
      <w:r w:rsidRPr="003E6DC5">
        <w:rPr>
          <w:b/>
        </w:rPr>
        <w:t xml:space="preserve">Identification of improvements implemented at the health service and/or jurisdictional level as compared to FY19/20 and address any developments made in response to the findings in the FY19/20 IFR Final Report </w:t>
      </w:r>
    </w:p>
    <w:p w14:paraId="370626E2" w14:textId="1C0FFA9F" w:rsidR="00307F37" w:rsidRPr="003E6DC5" w:rsidRDefault="003E3232" w:rsidP="003E3232">
      <w:pPr>
        <w:pStyle w:val="BodyText"/>
        <w:ind w:left="357"/>
        <w:rPr>
          <w:bCs/>
        </w:rPr>
      </w:pPr>
      <w:r>
        <w:rPr>
          <w:bCs/>
        </w:rPr>
        <w:t>Several</w:t>
      </w:r>
      <w:r w:rsidR="00307F37">
        <w:rPr>
          <w:bCs/>
        </w:rPr>
        <w:t xml:space="preserve"> improvements to FY19/20 costing processes were identified through the discussions with each jurisdiction and are highlighted within the jurisdictional chapters, alongside additional areas for improvement that are being considered for FY21/22 and beyond. </w:t>
      </w:r>
    </w:p>
    <w:p w14:paraId="020E78C2" w14:textId="7B640779" w:rsidR="00307F37" w:rsidRDefault="00307F37" w:rsidP="003E3232">
      <w:pPr>
        <w:pStyle w:val="BodyText"/>
        <w:numPr>
          <w:ilvl w:val="0"/>
          <w:numId w:val="49"/>
        </w:numPr>
        <w:ind w:left="357" w:hanging="357"/>
        <w:rPr>
          <w:b/>
        </w:rPr>
      </w:pPr>
      <w:r w:rsidRPr="003E6DC5">
        <w:rPr>
          <w:b/>
        </w:rPr>
        <w:t>Review the cost allocation methodology utilised by different hospitals for two selected diagnosis related groups (DRGs), i.e. haemodialysis and chemotherapy</w:t>
      </w:r>
    </w:p>
    <w:p w14:paraId="003B56FD" w14:textId="047F798C" w:rsidR="00307F37" w:rsidRPr="00F75891" w:rsidRDefault="00307F37" w:rsidP="003E3232">
      <w:pPr>
        <w:pStyle w:val="BodyText"/>
        <w:ind w:left="357"/>
        <w:rPr>
          <w:bCs/>
        </w:rPr>
      </w:pPr>
      <w:r>
        <w:rPr>
          <w:bCs/>
        </w:rPr>
        <w:t>A review of the costing allocation and service delivery methods for haemodialysis and chemotherapy across jurisdictions i</w:t>
      </w:r>
      <w:r w:rsidR="00413856">
        <w:rPr>
          <w:bCs/>
        </w:rPr>
        <w:t>s</w:t>
      </w:r>
      <w:r>
        <w:rPr>
          <w:bCs/>
        </w:rPr>
        <w:t xml:space="preserve"> provided in section 3, with comparative highlights also provided within th</w:t>
      </w:r>
      <w:r w:rsidR="00070483">
        <w:rPr>
          <w:bCs/>
        </w:rPr>
        <w:t>e</w:t>
      </w:r>
      <w:bookmarkStart w:id="18" w:name="start"/>
      <w:bookmarkEnd w:id="18"/>
      <w:r>
        <w:rPr>
          <w:bCs/>
        </w:rPr>
        <w:t xml:space="preserve"> Executive Summary. </w:t>
      </w:r>
    </w:p>
    <w:p w14:paraId="6C324E09" w14:textId="77777777" w:rsidR="00C50A1C" w:rsidRPr="00A16B1D" w:rsidRDefault="00C317F0" w:rsidP="003E3232">
      <w:pPr>
        <w:pStyle w:val="Heading3"/>
        <w:jc w:val="both"/>
      </w:pPr>
      <w:r w:rsidRPr="00A16B1D">
        <w:t>Continuous improvement</w:t>
      </w:r>
    </w:p>
    <w:p w14:paraId="60E88FED" w14:textId="3A756236" w:rsidR="00FE01C6" w:rsidRPr="00630A55" w:rsidRDefault="00FE01C6" w:rsidP="003E3232">
      <w:pPr>
        <w:pStyle w:val="BodyText1"/>
        <w:jc w:val="both"/>
      </w:pPr>
      <w:r w:rsidRPr="00630A55">
        <w:t xml:space="preserve">Throughout the consultations, the </w:t>
      </w:r>
      <w:r w:rsidR="00313ED2">
        <w:t xml:space="preserve">level of </w:t>
      </w:r>
      <w:r w:rsidRPr="00630A55">
        <w:t>continuous improvement by participants was evidenced. The prevailing theme</w:t>
      </w:r>
      <w:r w:rsidR="00EE0DC2">
        <w:t xml:space="preserve"> for the jurisdictions and health services</w:t>
      </w:r>
      <w:r w:rsidRPr="00630A55">
        <w:t xml:space="preserve"> was the continuous pursuit of improving the matching of costs with activity </w:t>
      </w:r>
      <w:r w:rsidR="007A453A">
        <w:t xml:space="preserve">by </w:t>
      </w:r>
      <w:r w:rsidR="00EC15F1" w:rsidRPr="00630A55">
        <w:t>captur</w:t>
      </w:r>
      <w:r w:rsidR="007A453A">
        <w:t>ing information</w:t>
      </w:r>
      <w:r w:rsidR="00EC15F1" w:rsidRPr="00630A55">
        <w:t xml:space="preserve"> </w:t>
      </w:r>
      <w:r w:rsidR="007079C9">
        <w:t>from</w:t>
      </w:r>
      <w:r w:rsidR="00EC15F1" w:rsidRPr="00630A55">
        <w:t xml:space="preserve"> hospital systems</w:t>
      </w:r>
      <w:r w:rsidRPr="00630A55">
        <w:t xml:space="preserve"> and increasing the percentage of </w:t>
      </w:r>
      <w:r w:rsidR="007A453A">
        <w:t xml:space="preserve">direct </w:t>
      </w:r>
      <w:r w:rsidRPr="00630A55">
        <w:t xml:space="preserve">costs. </w:t>
      </w:r>
      <w:r w:rsidR="00D1777A" w:rsidRPr="00630A55">
        <w:t xml:space="preserve">There was also a focus on </w:t>
      </w:r>
      <w:r w:rsidR="008F315B">
        <w:t>the</w:t>
      </w:r>
      <w:r w:rsidR="00D1777A" w:rsidRPr="00630A55">
        <w:t xml:space="preserve"> education of business users and </w:t>
      </w:r>
      <w:r w:rsidR="00B123E8" w:rsidRPr="00630A55">
        <w:t xml:space="preserve">continued use of costing data for purposes other than the NHCDC submission. </w:t>
      </w:r>
      <w:r w:rsidRPr="00630A55">
        <w:t>Set out below is a summary of the key improvements by participant</w:t>
      </w:r>
      <w:r w:rsidR="003E71BE">
        <w:t xml:space="preserve">s </w:t>
      </w:r>
      <w:r w:rsidR="004D74A3">
        <w:t xml:space="preserve">during </w:t>
      </w:r>
      <w:r w:rsidR="00D06F73">
        <w:t>FY</w:t>
      </w:r>
      <w:r w:rsidR="004D74A3">
        <w:t>20</w:t>
      </w:r>
      <w:r w:rsidR="00D06F73">
        <w:t>/</w:t>
      </w:r>
      <w:r w:rsidR="004D74A3">
        <w:t>21</w:t>
      </w:r>
      <w:r w:rsidRPr="00630A55">
        <w:t>.</w:t>
      </w:r>
    </w:p>
    <w:p w14:paraId="54E65D39" w14:textId="77777777" w:rsidR="00FE01C6" w:rsidRPr="00630A55" w:rsidRDefault="00FE01C6" w:rsidP="003E3232">
      <w:pPr>
        <w:pStyle w:val="Heading4"/>
        <w:jc w:val="both"/>
      </w:pPr>
      <w:r w:rsidRPr="00630A55">
        <w:t xml:space="preserve">Health </w:t>
      </w:r>
      <w:r w:rsidRPr="00630A55">
        <w:rPr>
          <w:bCs/>
        </w:rPr>
        <w:t>Services</w:t>
      </w:r>
    </w:p>
    <w:p w14:paraId="6455FCBB" w14:textId="77777777" w:rsidR="003F2F5C" w:rsidRPr="00630A55" w:rsidRDefault="003F2F5C" w:rsidP="003E3232">
      <w:pPr>
        <w:pStyle w:val="BodyText"/>
      </w:pPr>
      <w:r w:rsidRPr="00630A55">
        <w:t xml:space="preserve">Health services continue to demonstrate a deep understanding of the data available to them by continuing to </w:t>
      </w:r>
      <w:r>
        <w:t>introduce additional and/or improved</w:t>
      </w:r>
      <w:r w:rsidRPr="00630A55">
        <w:t xml:space="preserve"> feeder files to the costing pro</w:t>
      </w:r>
      <w:r>
        <w:t>cess</w:t>
      </w:r>
      <w:r w:rsidRPr="00630A55">
        <w:t xml:space="preserve"> to ensure strong matching of activity to costs.</w:t>
      </w:r>
    </w:p>
    <w:p w14:paraId="40971F61" w14:textId="77777777" w:rsidR="00FE01C6" w:rsidRPr="00630A55" w:rsidRDefault="00FE01C6" w:rsidP="003E3232">
      <w:pPr>
        <w:pStyle w:val="Heading4"/>
        <w:jc w:val="both"/>
      </w:pPr>
      <w:r w:rsidRPr="00630A55">
        <w:t>Jurisdictions</w:t>
      </w:r>
    </w:p>
    <w:p w14:paraId="740308ED" w14:textId="763D1B42" w:rsidR="003D7F97" w:rsidRPr="00630A55" w:rsidRDefault="003D7F97" w:rsidP="003E3232">
      <w:pPr>
        <w:pStyle w:val="BodyText"/>
      </w:pPr>
      <w:r w:rsidRPr="00630A55">
        <w:t>Jurisdictions continue to invest time in initiatives that improve</w:t>
      </w:r>
      <w:r>
        <w:t xml:space="preserve"> the quality of the</w:t>
      </w:r>
      <w:r w:rsidRPr="00630A55">
        <w:t xml:space="preserve"> data </w:t>
      </w:r>
      <w:r>
        <w:t xml:space="preserve">submitted by health services by introducing improved </w:t>
      </w:r>
      <w:r w:rsidR="006A710B">
        <w:t>quality assurance (</w:t>
      </w:r>
      <w:r>
        <w:t>QA</w:t>
      </w:r>
      <w:r w:rsidR="006A710B">
        <w:t>)</w:t>
      </w:r>
      <w:r>
        <w:t xml:space="preserve"> processes, e.g. </w:t>
      </w:r>
      <w:r w:rsidRPr="00630A55">
        <w:t xml:space="preserve">automated reports highlighting data errors prior to submission to the IHACPA portal, </w:t>
      </w:r>
      <w:r w:rsidR="001D4ACD">
        <w:t>that</w:t>
      </w:r>
      <w:r w:rsidRPr="00630A55">
        <w:t xml:space="preserve"> saves time and effort during the submission period.</w:t>
      </w:r>
    </w:p>
    <w:p w14:paraId="7BF363D6" w14:textId="4FADE25D" w:rsidR="001644AD" w:rsidRDefault="00595A9F" w:rsidP="003E3232">
      <w:pPr>
        <w:pStyle w:val="Heading5"/>
        <w:jc w:val="both"/>
      </w:pPr>
      <w:r>
        <w:rPr>
          <w:lang w:val="en"/>
        </w:rPr>
        <w:t>FY19/20</w:t>
      </w:r>
      <w:r w:rsidR="001644AD">
        <w:rPr>
          <w:lang w:val="en"/>
        </w:rPr>
        <w:t xml:space="preserve"> Recommendations</w:t>
      </w:r>
    </w:p>
    <w:p w14:paraId="63EA11F3" w14:textId="02697AA7" w:rsidR="0027149B" w:rsidRPr="00630A55" w:rsidRDefault="00E01AFD" w:rsidP="003E3232">
      <w:pPr>
        <w:pStyle w:val="BodyText"/>
      </w:pPr>
      <w:r>
        <w:t>Improvements made by IHACPA</w:t>
      </w:r>
      <w:r w:rsidR="00154283">
        <w:t xml:space="preserve"> predominately</w:t>
      </w:r>
      <w:r>
        <w:t xml:space="preserve"> relate to </w:t>
      </w:r>
      <w:r w:rsidR="00595A9F">
        <w:rPr>
          <w:lang w:val="en"/>
        </w:rPr>
        <w:t>FY19/20</w:t>
      </w:r>
      <w:r w:rsidR="00154283">
        <w:rPr>
          <w:lang w:val="en"/>
        </w:rPr>
        <w:t xml:space="preserve"> recommendations, the commentary below relates to </w:t>
      </w:r>
      <w:r w:rsidR="004D30F4">
        <w:rPr>
          <w:lang w:val="en"/>
        </w:rPr>
        <w:t>these improvements</w:t>
      </w:r>
      <w:r w:rsidR="00C35ED3">
        <w:rPr>
          <w:lang w:val="en"/>
        </w:rPr>
        <w:t xml:space="preserve"> and the table provides a summary of the progress of the </w:t>
      </w:r>
      <w:r w:rsidR="00595A9F">
        <w:rPr>
          <w:lang w:val="en"/>
        </w:rPr>
        <w:t>FY19/20</w:t>
      </w:r>
      <w:r w:rsidR="001644AD">
        <w:rPr>
          <w:lang w:val="en"/>
        </w:rPr>
        <w:t xml:space="preserve"> recommendations.</w:t>
      </w:r>
    </w:p>
    <w:p w14:paraId="6FF6EB26" w14:textId="70037CBE" w:rsidR="00FE01C6" w:rsidRPr="00630A55" w:rsidRDefault="00FE01C6" w:rsidP="003E3232">
      <w:pPr>
        <w:pStyle w:val="Heading4"/>
        <w:jc w:val="both"/>
      </w:pPr>
      <w:r w:rsidRPr="00630A55">
        <w:lastRenderedPageBreak/>
        <w:t>IH</w:t>
      </w:r>
      <w:r w:rsidR="005B0DBA" w:rsidRPr="00630A55">
        <w:t>AC</w:t>
      </w:r>
      <w:r w:rsidRPr="00630A55">
        <w:t>PA</w:t>
      </w:r>
    </w:p>
    <w:p w14:paraId="12F8AD14" w14:textId="1BD8A342" w:rsidR="00FE01C6" w:rsidRPr="00630A55" w:rsidRDefault="005B0DBA" w:rsidP="002D61D2">
      <w:pPr>
        <w:pStyle w:val="BodyText"/>
        <w:rPr>
          <w:lang w:val="en"/>
        </w:rPr>
      </w:pPr>
      <w:r w:rsidRPr="00630A55">
        <w:rPr>
          <w:lang w:val="en"/>
        </w:rPr>
        <w:t xml:space="preserve">IHACPA </w:t>
      </w:r>
      <w:r w:rsidR="007328AD">
        <w:rPr>
          <w:lang w:val="en"/>
        </w:rPr>
        <w:t xml:space="preserve">publicly </w:t>
      </w:r>
      <w:r w:rsidRPr="00630A55">
        <w:rPr>
          <w:lang w:val="en"/>
        </w:rPr>
        <w:t xml:space="preserve">released the </w:t>
      </w:r>
      <w:r w:rsidR="001223BF" w:rsidRPr="00630A55">
        <w:rPr>
          <w:lang w:val="en"/>
        </w:rPr>
        <w:t xml:space="preserve">National Benchmarking Portal </w:t>
      </w:r>
      <w:r w:rsidR="007328AD">
        <w:rPr>
          <w:lang w:val="en"/>
        </w:rPr>
        <w:t>in 2022</w:t>
      </w:r>
      <w:r w:rsidR="00AF22CA">
        <w:rPr>
          <w:lang w:val="en"/>
        </w:rPr>
        <w:t xml:space="preserve">. The </w:t>
      </w:r>
      <w:r w:rsidR="002931BE">
        <w:rPr>
          <w:lang w:val="en"/>
        </w:rPr>
        <w:t>portal contains</w:t>
      </w:r>
      <w:r w:rsidR="007C6F08" w:rsidRPr="00630A55">
        <w:rPr>
          <w:lang w:val="en"/>
        </w:rPr>
        <w:t xml:space="preserve"> costing data</w:t>
      </w:r>
      <w:r w:rsidR="007C6F08">
        <w:rPr>
          <w:lang w:val="en"/>
        </w:rPr>
        <w:t xml:space="preserve"> </w:t>
      </w:r>
      <w:r w:rsidR="00CA1C82">
        <w:rPr>
          <w:lang w:val="en"/>
        </w:rPr>
        <w:t>for the three rounds</w:t>
      </w:r>
      <w:r w:rsidR="007C6F08" w:rsidRPr="00630A55">
        <w:rPr>
          <w:lang w:val="en"/>
        </w:rPr>
        <w:t xml:space="preserve"> up to </w:t>
      </w:r>
      <w:r w:rsidR="00595A9F">
        <w:rPr>
          <w:lang w:val="en"/>
        </w:rPr>
        <w:t>FY19/20</w:t>
      </w:r>
      <w:r w:rsidR="00F36227" w:rsidRPr="00630A55">
        <w:rPr>
          <w:lang w:val="en"/>
        </w:rPr>
        <w:t xml:space="preserve">. IHACPA believes </w:t>
      </w:r>
      <w:r w:rsidR="0000772D" w:rsidRPr="00630A55">
        <w:rPr>
          <w:lang w:val="en"/>
        </w:rPr>
        <w:t>that open access to data will help enable policy decisions and improve patient outcomes.</w:t>
      </w:r>
      <w:r w:rsidR="0000772D" w:rsidRPr="00630A55">
        <w:rPr>
          <w:rStyle w:val="FootnoteReference"/>
          <w:rFonts w:ascii="Univers 45 Light" w:hAnsi="Univers 45 Light"/>
          <w:lang w:val="en"/>
        </w:rPr>
        <w:footnoteReference w:id="5"/>
      </w:r>
      <w:r w:rsidR="007C6F08" w:rsidRPr="00630A55">
        <w:rPr>
          <w:lang w:val="en"/>
        </w:rPr>
        <w:t xml:space="preserve"> </w:t>
      </w:r>
    </w:p>
    <w:p w14:paraId="69148B11" w14:textId="70ADD2E3" w:rsidR="00825EC3" w:rsidRDefault="00712A62" w:rsidP="002D61D2">
      <w:pPr>
        <w:pStyle w:val="BodyText"/>
      </w:pPr>
      <w:r w:rsidRPr="00630A55">
        <w:t xml:space="preserve">A </w:t>
      </w:r>
      <w:r w:rsidR="002F2F30" w:rsidRPr="00630A55">
        <w:t>workshop facilitated by the IFR reviewers for all jurisdictions and IH</w:t>
      </w:r>
      <w:r w:rsidRPr="00630A55">
        <w:t>AC</w:t>
      </w:r>
      <w:r w:rsidR="002F2F30" w:rsidRPr="00630A55">
        <w:t>PA to review the key observations and findings from the IFR</w:t>
      </w:r>
      <w:r w:rsidRPr="00630A55">
        <w:t xml:space="preserve"> has been implemented for </w:t>
      </w:r>
      <w:r w:rsidR="00595A9F">
        <w:t>FY20/21</w:t>
      </w:r>
      <w:r w:rsidR="007328AD">
        <w:t xml:space="preserve">. This </w:t>
      </w:r>
      <w:r w:rsidR="007328AD" w:rsidRPr="00630A55">
        <w:t xml:space="preserve">was a recommendation from </w:t>
      </w:r>
      <w:r w:rsidR="007328AD">
        <w:t xml:space="preserve">the </w:t>
      </w:r>
      <w:r w:rsidR="00595A9F">
        <w:t>FY19/20</w:t>
      </w:r>
      <w:r w:rsidR="007328AD">
        <w:t xml:space="preserve"> review</w:t>
      </w:r>
      <w:r w:rsidR="002F2F30" w:rsidRPr="00630A55">
        <w:t>.</w:t>
      </w:r>
    </w:p>
    <w:p w14:paraId="3383B827" w14:textId="2BEF230A" w:rsidR="0041510C" w:rsidRPr="00630A55" w:rsidRDefault="0041510C" w:rsidP="0041510C">
      <w:pPr>
        <w:pStyle w:val="Caption"/>
      </w:pPr>
      <w:r w:rsidRPr="001B50F5">
        <w:rPr>
          <w:b/>
          <w:bCs/>
        </w:rPr>
        <w:t xml:space="preserve">Table </w:t>
      </w:r>
      <w:r w:rsidR="00D91CB1" w:rsidRPr="001B50F5">
        <w:rPr>
          <w:b/>
          <w:bCs/>
        </w:rPr>
        <w:fldChar w:fldCharType="begin"/>
      </w:r>
      <w:r w:rsidR="00D91CB1" w:rsidRPr="001B50F5">
        <w:rPr>
          <w:b/>
          <w:bCs/>
        </w:rPr>
        <w:instrText xml:space="preserve"> SEQ Table \* ARABIC </w:instrText>
      </w:r>
      <w:r w:rsidR="00D91CB1" w:rsidRPr="001B50F5">
        <w:rPr>
          <w:b/>
          <w:bCs/>
        </w:rPr>
        <w:fldChar w:fldCharType="separate"/>
      </w:r>
      <w:r w:rsidR="007E2ACB">
        <w:rPr>
          <w:b/>
          <w:bCs/>
          <w:noProof/>
        </w:rPr>
        <w:t>3</w:t>
      </w:r>
      <w:r w:rsidR="00D91CB1" w:rsidRPr="001B50F5">
        <w:rPr>
          <w:b/>
          <w:bCs/>
          <w:noProof/>
        </w:rPr>
        <w:fldChar w:fldCharType="end"/>
      </w:r>
      <w:r w:rsidRPr="001B50F5">
        <w:rPr>
          <w:b/>
          <w:bCs/>
        </w:rPr>
        <w:t>:</w:t>
      </w:r>
      <w:r>
        <w:t xml:space="preserve"> </w:t>
      </w:r>
      <w:r w:rsidR="00FD7878" w:rsidRPr="00FD7878">
        <w:t xml:space="preserve">Recommendations from the </w:t>
      </w:r>
      <w:r w:rsidR="00595A9F">
        <w:t>FY19/20</w:t>
      </w:r>
      <w:r w:rsidR="00FD7878" w:rsidRPr="00FD7878">
        <w:t xml:space="preserve"> IFR</w:t>
      </w:r>
    </w:p>
    <w:tbl>
      <w:tblPr>
        <w:tblStyle w:val="ListTable4-Accent11"/>
        <w:tblW w:w="5194" w:type="pct"/>
        <w:tblInd w:w="137" w:type="dxa"/>
        <w:tblLook w:val="0620" w:firstRow="1" w:lastRow="0" w:firstColumn="0" w:lastColumn="0" w:noHBand="1" w:noVBand="1"/>
        <w:tblCaption w:val="Round 21 IFR participating hospitals/LHNs"/>
        <w:tblDescription w:val="This table lists the jurisdictions and hospitals/LHNs that participated in the Round 21 IFR.  There are 2 columns. The first column is the jurisdiction and the second column is the hospital/LHN."/>
      </w:tblPr>
      <w:tblGrid>
        <w:gridCol w:w="904"/>
        <w:gridCol w:w="6752"/>
        <w:gridCol w:w="1756"/>
      </w:tblGrid>
      <w:tr w:rsidR="004E5ECA" w14:paraId="48BB669F" w14:textId="54E06288" w:rsidTr="005B7221">
        <w:trPr>
          <w:cnfStyle w:val="100000000000" w:firstRow="1" w:lastRow="0" w:firstColumn="0" w:lastColumn="0" w:oddVBand="0" w:evenVBand="0" w:oddHBand="0" w:evenHBand="0" w:firstRowFirstColumn="0" w:firstRowLastColumn="0" w:lastRowFirstColumn="0" w:lastRowLastColumn="0"/>
          <w:cantSplit/>
          <w:tblHeader/>
        </w:trPr>
        <w:tc>
          <w:tcPr>
            <w:tcW w:w="480" w:type="pct"/>
            <w:tcBorders>
              <w:top w:val="nil"/>
              <w:bottom w:val="single" w:sz="4" w:space="0" w:color="auto"/>
              <w:right w:val="single" w:sz="4" w:space="0" w:color="8496B0" w:themeColor="text2" w:themeTint="99"/>
            </w:tcBorders>
            <w:shd w:val="clear" w:color="auto" w:fill="00338D"/>
            <w:noWrap/>
            <w:tcMar>
              <w:top w:w="0" w:type="dxa"/>
              <w:left w:w="108" w:type="dxa"/>
              <w:bottom w:w="0" w:type="dxa"/>
              <w:right w:w="28" w:type="dxa"/>
            </w:tcMar>
            <w:hideMark/>
          </w:tcPr>
          <w:p w14:paraId="2ACCF0B1" w14:textId="77777777" w:rsidR="00AF422E" w:rsidRPr="005F18FF" w:rsidRDefault="00AF422E" w:rsidP="000E5645">
            <w:pPr>
              <w:spacing w:before="40" w:after="40"/>
              <w:ind w:right="426"/>
              <w:rPr>
                <w:rFonts w:cs="Arial"/>
              </w:rPr>
            </w:pPr>
            <w:r w:rsidRPr="005F18FF">
              <w:rPr>
                <w:rFonts w:cs="Arial"/>
              </w:rPr>
              <w:t>No.</w:t>
            </w:r>
          </w:p>
        </w:tc>
        <w:tc>
          <w:tcPr>
            <w:tcW w:w="3587" w:type="pct"/>
            <w:tcBorders>
              <w:top w:val="nil"/>
              <w:left w:val="single" w:sz="4" w:space="0" w:color="8496B0" w:themeColor="text2" w:themeTint="99"/>
              <w:bottom w:val="single" w:sz="4" w:space="0" w:color="auto"/>
            </w:tcBorders>
            <w:shd w:val="clear" w:color="auto" w:fill="00338D"/>
            <w:hideMark/>
          </w:tcPr>
          <w:p w14:paraId="133A9038" w14:textId="0E93EA43" w:rsidR="00AF422E" w:rsidRPr="005F18FF" w:rsidRDefault="00AF422E" w:rsidP="000E5645">
            <w:pPr>
              <w:spacing w:before="40" w:after="40"/>
              <w:rPr>
                <w:rFonts w:cs="Arial"/>
              </w:rPr>
            </w:pPr>
            <w:r w:rsidRPr="005F18FF">
              <w:rPr>
                <w:rFonts w:cs="Arial"/>
              </w:rPr>
              <w:t>Recommendation</w:t>
            </w:r>
            <w:r w:rsidR="00987C50" w:rsidRPr="005F18FF">
              <w:rPr>
                <w:rFonts w:cs="Arial"/>
              </w:rPr>
              <w:t xml:space="preserve"> from FY19/20 IFR</w:t>
            </w:r>
          </w:p>
        </w:tc>
        <w:tc>
          <w:tcPr>
            <w:tcW w:w="933" w:type="pct"/>
            <w:tcBorders>
              <w:top w:val="nil"/>
              <w:left w:val="single" w:sz="4" w:space="0" w:color="8496B0" w:themeColor="text2" w:themeTint="99"/>
              <w:bottom w:val="single" w:sz="4" w:space="0" w:color="auto"/>
            </w:tcBorders>
            <w:shd w:val="clear" w:color="auto" w:fill="00338D"/>
          </w:tcPr>
          <w:p w14:paraId="3F30CB81" w14:textId="3ED47A98" w:rsidR="00AF422E" w:rsidRPr="005F18FF" w:rsidRDefault="004E5ECA" w:rsidP="000E5645">
            <w:pPr>
              <w:spacing w:before="40" w:after="40"/>
              <w:rPr>
                <w:rFonts w:cs="Arial"/>
              </w:rPr>
            </w:pPr>
            <w:r w:rsidRPr="005F18FF">
              <w:rPr>
                <w:rFonts w:cs="Arial"/>
              </w:rPr>
              <w:t>Progress</w:t>
            </w:r>
            <w:r w:rsidR="00987C50" w:rsidRPr="005F18FF">
              <w:rPr>
                <w:rFonts w:cs="Arial"/>
              </w:rPr>
              <w:t xml:space="preserve"> to date</w:t>
            </w:r>
          </w:p>
        </w:tc>
      </w:tr>
      <w:tr w:rsidR="004E5ECA" w14:paraId="2F711BEB" w14:textId="42E6E379" w:rsidTr="005B7221">
        <w:trPr>
          <w:cantSplit/>
        </w:trPr>
        <w:tc>
          <w:tcPr>
            <w:tcW w:w="480" w:type="pct"/>
            <w:tcBorders>
              <w:top w:val="single" w:sz="4" w:space="0" w:color="auto"/>
              <w:left w:val="single" w:sz="4" w:space="0" w:color="auto"/>
              <w:bottom w:val="single" w:sz="4" w:space="0" w:color="auto"/>
              <w:right w:val="single" w:sz="4" w:space="0" w:color="auto"/>
            </w:tcBorders>
            <w:noWrap/>
          </w:tcPr>
          <w:p w14:paraId="585CB707" w14:textId="77777777" w:rsidR="00AF422E" w:rsidRPr="003A0D88" w:rsidRDefault="00AF422E" w:rsidP="000E5645">
            <w:pPr>
              <w:pStyle w:val="BodyText"/>
              <w:spacing w:before="40" w:after="40"/>
              <w:rPr>
                <w:b/>
                <w:bCs/>
              </w:rPr>
            </w:pPr>
            <w:r w:rsidRPr="003A0D88">
              <w:rPr>
                <w:b/>
                <w:bCs/>
              </w:rPr>
              <w:t>1</w:t>
            </w:r>
          </w:p>
        </w:tc>
        <w:tc>
          <w:tcPr>
            <w:tcW w:w="3587" w:type="pct"/>
            <w:tcBorders>
              <w:top w:val="single" w:sz="4" w:space="0" w:color="auto"/>
              <w:left w:val="single" w:sz="4" w:space="0" w:color="auto"/>
              <w:bottom w:val="single" w:sz="4" w:space="0" w:color="auto"/>
              <w:right w:val="single" w:sz="4" w:space="0" w:color="auto"/>
            </w:tcBorders>
          </w:tcPr>
          <w:p w14:paraId="77E67C81" w14:textId="77777777" w:rsidR="00AF422E" w:rsidRPr="005F18FF" w:rsidRDefault="00AF422E" w:rsidP="000E5645">
            <w:pPr>
              <w:pStyle w:val="Heading4"/>
              <w:spacing w:before="40" w:after="40"/>
              <w:outlineLvl w:val="3"/>
              <w:rPr>
                <w:sz w:val="20"/>
              </w:rPr>
            </w:pPr>
            <w:r w:rsidRPr="005F18FF">
              <w:rPr>
                <w:sz w:val="20"/>
              </w:rPr>
              <w:t>Structure and approach for future IFRs</w:t>
            </w:r>
          </w:p>
          <w:p w14:paraId="6D77D5BD" w14:textId="4B34D748" w:rsidR="00E40710" w:rsidRPr="0027545B" w:rsidRDefault="00AF422E" w:rsidP="00373A83">
            <w:pPr>
              <w:pStyle w:val="BodyText"/>
            </w:pPr>
            <w:r w:rsidRPr="003A0D88">
              <w:t xml:space="preserve">Change the current focus from completing the current structured template to a review of key supporting </w:t>
            </w:r>
            <w:r w:rsidRPr="00ED71EF">
              <w:t>documentation as evidence to support the reconciliation process.</w:t>
            </w:r>
          </w:p>
          <w:p w14:paraId="114C193E" w14:textId="2966A25D" w:rsidR="00AF422E" w:rsidRPr="003A0D88" w:rsidRDefault="00AF422E" w:rsidP="00373A83">
            <w:pPr>
              <w:pStyle w:val="BodyText"/>
            </w:pPr>
            <w:r w:rsidRPr="003A0D88">
              <w:t xml:space="preserve">Documentation would be required at all key steps in the process to demonstrate adherence to costing standards. Key to this revised focus will be the </w:t>
            </w:r>
            <w:r w:rsidR="008F537E">
              <w:t xml:space="preserve">QA </w:t>
            </w:r>
            <w:r w:rsidRPr="003A0D88">
              <w:t xml:space="preserve">processes that are in place in the health network, the jurisdictions and </w:t>
            </w:r>
            <w:r w:rsidR="00D7744B">
              <w:t>IHACPA</w:t>
            </w:r>
            <w:r w:rsidR="003E3232">
              <w:t>.</w:t>
            </w:r>
          </w:p>
        </w:tc>
        <w:tc>
          <w:tcPr>
            <w:tcW w:w="933" w:type="pct"/>
            <w:tcBorders>
              <w:top w:val="single" w:sz="4" w:space="0" w:color="auto"/>
              <w:left w:val="single" w:sz="4" w:space="0" w:color="auto"/>
              <w:bottom w:val="single" w:sz="4" w:space="0" w:color="auto"/>
              <w:right w:val="single" w:sz="4" w:space="0" w:color="auto"/>
            </w:tcBorders>
          </w:tcPr>
          <w:p w14:paraId="5372BED2" w14:textId="33844DD2" w:rsidR="008447C0" w:rsidRPr="005F18FF" w:rsidRDefault="00C84F7F" w:rsidP="00203B0A">
            <w:pPr>
              <w:pStyle w:val="Heading4"/>
              <w:spacing w:before="40" w:after="40"/>
              <w:jc w:val="center"/>
              <w:outlineLvl w:val="3"/>
              <w:rPr>
                <w:sz w:val="20"/>
              </w:rPr>
            </w:pPr>
            <w:r w:rsidRPr="005F18FF">
              <w:rPr>
                <w:sz w:val="20"/>
              </w:rPr>
              <w:t>Complete</w:t>
            </w:r>
          </w:p>
          <w:p w14:paraId="02D3FBC6" w14:textId="68C85DC2" w:rsidR="00BB4641" w:rsidRPr="00B84B05" w:rsidRDefault="00BB4641" w:rsidP="00203B0A">
            <w:pPr>
              <w:jc w:val="center"/>
            </w:pPr>
            <w:r w:rsidRPr="003A0D88">
              <w:t xml:space="preserve">(Noting opportunity to </w:t>
            </w:r>
            <w:r w:rsidR="0054199A" w:rsidRPr="00ED71EF">
              <w:t>refine fur</w:t>
            </w:r>
            <w:r w:rsidR="0054199A" w:rsidRPr="00B84B05">
              <w:t>ther)</w:t>
            </w:r>
          </w:p>
          <w:p w14:paraId="2EB1622A" w14:textId="1D7593A2" w:rsidR="00626324" w:rsidRPr="0027545B" w:rsidRDefault="00626324" w:rsidP="00203B0A">
            <w:pPr>
              <w:jc w:val="center"/>
            </w:pPr>
          </w:p>
        </w:tc>
      </w:tr>
      <w:tr w:rsidR="004E5ECA" w14:paraId="4F0DEE9C" w14:textId="334A4C92" w:rsidTr="005B7221">
        <w:trPr>
          <w:cantSplit/>
          <w:trHeight w:val="1455"/>
        </w:trPr>
        <w:tc>
          <w:tcPr>
            <w:tcW w:w="480" w:type="pct"/>
            <w:tcBorders>
              <w:top w:val="single" w:sz="4" w:space="0" w:color="auto"/>
              <w:left w:val="single" w:sz="4" w:space="0" w:color="auto"/>
              <w:bottom w:val="single" w:sz="4" w:space="0" w:color="auto"/>
              <w:right w:val="single" w:sz="4" w:space="0" w:color="auto"/>
            </w:tcBorders>
            <w:noWrap/>
          </w:tcPr>
          <w:p w14:paraId="2148C949" w14:textId="77777777" w:rsidR="00AF422E" w:rsidRPr="003A0D88" w:rsidRDefault="00AF422E" w:rsidP="000E5645">
            <w:pPr>
              <w:pStyle w:val="BodyText"/>
              <w:spacing w:before="40" w:after="40"/>
              <w:rPr>
                <w:b/>
                <w:bCs/>
              </w:rPr>
            </w:pPr>
            <w:r w:rsidRPr="003A0D88">
              <w:rPr>
                <w:b/>
                <w:bCs/>
              </w:rPr>
              <w:t>2</w:t>
            </w:r>
          </w:p>
        </w:tc>
        <w:tc>
          <w:tcPr>
            <w:tcW w:w="3587" w:type="pct"/>
            <w:tcBorders>
              <w:top w:val="single" w:sz="4" w:space="0" w:color="auto"/>
              <w:left w:val="single" w:sz="4" w:space="0" w:color="auto"/>
              <w:bottom w:val="single" w:sz="4" w:space="0" w:color="auto"/>
              <w:right w:val="single" w:sz="4" w:space="0" w:color="auto"/>
            </w:tcBorders>
          </w:tcPr>
          <w:p w14:paraId="005EB0DE" w14:textId="77777777" w:rsidR="00AF422E" w:rsidRPr="005F18FF" w:rsidRDefault="00AF422E" w:rsidP="000E5645">
            <w:pPr>
              <w:pStyle w:val="Heading4"/>
              <w:spacing w:before="40" w:after="40"/>
              <w:outlineLvl w:val="3"/>
              <w:rPr>
                <w:sz w:val="20"/>
              </w:rPr>
            </w:pPr>
            <w:r w:rsidRPr="005F18FF">
              <w:rPr>
                <w:sz w:val="20"/>
              </w:rPr>
              <w:t>Implementation of IFR recommendations</w:t>
            </w:r>
          </w:p>
          <w:p w14:paraId="4BB3E2BB" w14:textId="4E309EB0" w:rsidR="00AF422E" w:rsidRPr="003A0D88" w:rsidRDefault="00AF422E" w:rsidP="000E5645">
            <w:pPr>
              <w:pStyle w:val="BodyText"/>
              <w:spacing w:before="40" w:after="40"/>
            </w:pPr>
            <w:r w:rsidRPr="003A0D88">
              <w:t>To ensure there is greater focus on the outcomes from future IFRs</w:t>
            </w:r>
            <w:r w:rsidR="008F537E">
              <w:t>,</w:t>
            </w:r>
            <w:r w:rsidRPr="003A0D88">
              <w:t xml:space="preserve"> it is recommended that a process be established for </w:t>
            </w:r>
            <w:r w:rsidRPr="00ED71EF">
              <w:t xml:space="preserve">reporting progress of recommendations to </w:t>
            </w:r>
            <w:r w:rsidRPr="0027545B">
              <w:t>the NAC with engagement from jurisdictions on pro</w:t>
            </w:r>
            <w:r w:rsidRPr="003A0D88">
              <w:t>gress of implementation</w:t>
            </w:r>
            <w:r w:rsidR="008F537E">
              <w:t>,</w:t>
            </w:r>
            <w:r w:rsidRPr="003A0D88">
              <w:t xml:space="preserve"> where applicable.</w:t>
            </w:r>
          </w:p>
        </w:tc>
        <w:tc>
          <w:tcPr>
            <w:tcW w:w="933" w:type="pct"/>
            <w:tcBorders>
              <w:top w:val="single" w:sz="4" w:space="0" w:color="auto"/>
              <w:left w:val="single" w:sz="4" w:space="0" w:color="auto"/>
              <w:bottom w:val="single" w:sz="4" w:space="0" w:color="auto"/>
              <w:right w:val="single" w:sz="4" w:space="0" w:color="auto"/>
            </w:tcBorders>
          </w:tcPr>
          <w:p w14:paraId="1C8D9F00" w14:textId="77777777" w:rsidR="00AF422E" w:rsidRPr="005F18FF" w:rsidRDefault="00A17D2C" w:rsidP="00203B0A">
            <w:pPr>
              <w:pStyle w:val="Heading4"/>
              <w:spacing w:before="40" w:after="40"/>
              <w:jc w:val="center"/>
              <w:outlineLvl w:val="3"/>
              <w:rPr>
                <w:sz w:val="20"/>
              </w:rPr>
            </w:pPr>
            <w:r w:rsidRPr="005F18FF">
              <w:rPr>
                <w:sz w:val="20"/>
              </w:rPr>
              <w:t>Complete</w:t>
            </w:r>
          </w:p>
          <w:p w14:paraId="44685754" w14:textId="117C545A" w:rsidR="00AF422E" w:rsidRPr="00ED71EF" w:rsidRDefault="00A17D2C" w:rsidP="00203B0A">
            <w:pPr>
              <w:jc w:val="center"/>
            </w:pPr>
            <w:r w:rsidRPr="003A0D88">
              <w:t>(</w:t>
            </w:r>
            <w:r w:rsidR="00CA2038">
              <w:t>P</w:t>
            </w:r>
            <w:r w:rsidRPr="003A0D88">
              <w:t>resentation at NAC)</w:t>
            </w:r>
          </w:p>
        </w:tc>
      </w:tr>
      <w:tr w:rsidR="004E5ECA" w14:paraId="139AB04D" w14:textId="29C493CC" w:rsidTr="005B7221">
        <w:trPr>
          <w:cantSplit/>
        </w:trPr>
        <w:tc>
          <w:tcPr>
            <w:tcW w:w="480" w:type="pct"/>
            <w:tcBorders>
              <w:top w:val="single" w:sz="4" w:space="0" w:color="auto"/>
              <w:left w:val="single" w:sz="4" w:space="0" w:color="auto"/>
              <w:bottom w:val="single" w:sz="4" w:space="0" w:color="auto"/>
              <w:right w:val="single" w:sz="4" w:space="0" w:color="auto"/>
            </w:tcBorders>
            <w:noWrap/>
          </w:tcPr>
          <w:p w14:paraId="6487B441" w14:textId="77777777" w:rsidR="00AF422E" w:rsidRPr="003A0D88" w:rsidRDefault="00AF422E" w:rsidP="000E5645">
            <w:pPr>
              <w:pStyle w:val="BodyText"/>
              <w:spacing w:before="40" w:after="40"/>
              <w:rPr>
                <w:b/>
                <w:bCs/>
              </w:rPr>
            </w:pPr>
            <w:r w:rsidRPr="003A0D88">
              <w:rPr>
                <w:b/>
                <w:bCs/>
              </w:rPr>
              <w:t>3</w:t>
            </w:r>
          </w:p>
        </w:tc>
        <w:tc>
          <w:tcPr>
            <w:tcW w:w="3587" w:type="pct"/>
            <w:tcBorders>
              <w:top w:val="single" w:sz="4" w:space="0" w:color="auto"/>
              <w:left w:val="single" w:sz="4" w:space="0" w:color="auto"/>
              <w:bottom w:val="single" w:sz="4" w:space="0" w:color="auto"/>
              <w:right w:val="single" w:sz="4" w:space="0" w:color="auto"/>
            </w:tcBorders>
          </w:tcPr>
          <w:p w14:paraId="451B1CCC" w14:textId="77777777" w:rsidR="00AF422E" w:rsidRPr="005F18FF" w:rsidRDefault="00AF422E" w:rsidP="000E5645">
            <w:pPr>
              <w:pStyle w:val="Heading4"/>
              <w:spacing w:before="40" w:after="40"/>
              <w:outlineLvl w:val="3"/>
              <w:rPr>
                <w:sz w:val="20"/>
              </w:rPr>
            </w:pPr>
            <w:r w:rsidRPr="005F18FF">
              <w:rPr>
                <w:sz w:val="20"/>
              </w:rPr>
              <w:t>Developing and promoting cost practitioner knowledge</w:t>
            </w:r>
          </w:p>
          <w:p w14:paraId="3C2C8943" w14:textId="3A449A62" w:rsidR="00AF422E" w:rsidRPr="003A0D88" w:rsidRDefault="00AF422E" w:rsidP="000E5645">
            <w:pPr>
              <w:pStyle w:val="BodyText"/>
              <w:spacing w:before="40" w:after="40"/>
            </w:pPr>
            <w:r w:rsidRPr="003A0D88">
              <w:t>To elevate and sustain the role of the costing practitioner</w:t>
            </w:r>
            <w:r w:rsidR="008F537E">
              <w:t>,</w:t>
            </w:r>
            <w:r w:rsidRPr="003A0D88">
              <w:t xml:space="preserve"> it is recommended that discussions be held with a relevant professi</w:t>
            </w:r>
            <w:r w:rsidRPr="00ED71EF">
              <w:t xml:space="preserve">onal body, for example the </w:t>
            </w:r>
            <w:r w:rsidRPr="0027545B">
              <w:t>Health Finance Management Association (HFMA), regarding hosting a costing focus group as part of its broader remit</w:t>
            </w:r>
            <w:r w:rsidRPr="003A0D88">
              <w:t xml:space="preserve"> or tertiary institutions incorporating health costing into curricula. </w:t>
            </w:r>
          </w:p>
        </w:tc>
        <w:tc>
          <w:tcPr>
            <w:tcW w:w="933" w:type="pct"/>
            <w:tcBorders>
              <w:top w:val="single" w:sz="4" w:space="0" w:color="auto"/>
              <w:left w:val="single" w:sz="4" w:space="0" w:color="auto"/>
              <w:bottom w:val="single" w:sz="4" w:space="0" w:color="auto"/>
              <w:right w:val="single" w:sz="4" w:space="0" w:color="auto"/>
            </w:tcBorders>
          </w:tcPr>
          <w:p w14:paraId="7566BD97" w14:textId="4015DADA" w:rsidR="00AF422E" w:rsidRPr="005F18FF" w:rsidRDefault="00D968BA" w:rsidP="00203B0A">
            <w:pPr>
              <w:pStyle w:val="Heading4"/>
              <w:spacing w:before="40" w:after="40"/>
              <w:jc w:val="center"/>
              <w:outlineLvl w:val="3"/>
              <w:rPr>
                <w:sz w:val="20"/>
              </w:rPr>
            </w:pPr>
            <w:r w:rsidRPr="005F18FF">
              <w:rPr>
                <w:sz w:val="20"/>
              </w:rPr>
              <w:t>Not commenced</w:t>
            </w:r>
          </w:p>
        </w:tc>
      </w:tr>
      <w:tr w:rsidR="004E5ECA" w14:paraId="5E19DB61" w14:textId="0C53C86F" w:rsidTr="005B7221">
        <w:trPr>
          <w:cantSplit/>
        </w:trPr>
        <w:tc>
          <w:tcPr>
            <w:tcW w:w="480" w:type="pct"/>
            <w:tcBorders>
              <w:top w:val="single" w:sz="4" w:space="0" w:color="auto"/>
              <w:left w:val="single" w:sz="4" w:space="0" w:color="auto"/>
              <w:bottom w:val="single" w:sz="4" w:space="0" w:color="auto"/>
              <w:right w:val="single" w:sz="4" w:space="0" w:color="auto"/>
            </w:tcBorders>
            <w:noWrap/>
          </w:tcPr>
          <w:p w14:paraId="306A2F19" w14:textId="77777777" w:rsidR="00AF422E" w:rsidRPr="003A0D88" w:rsidRDefault="00AF422E" w:rsidP="000E5645">
            <w:pPr>
              <w:pStyle w:val="BodyText"/>
              <w:spacing w:before="40" w:after="40"/>
              <w:rPr>
                <w:b/>
                <w:bCs/>
              </w:rPr>
            </w:pPr>
            <w:r w:rsidRPr="003A0D88">
              <w:rPr>
                <w:b/>
                <w:bCs/>
              </w:rPr>
              <w:t>4</w:t>
            </w:r>
          </w:p>
        </w:tc>
        <w:tc>
          <w:tcPr>
            <w:tcW w:w="3587" w:type="pct"/>
            <w:tcBorders>
              <w:top w:val="single" w:sz="4" w:space="0" w:color="auto"/>
              <w:left w:val="single" w:sz="4" w:space="0" w:color="auto"/>
              <w:bottom w:val="single" w:sz="4" w:space="0" w:color="auto"/>
              <w:right w:val="single" w:sz="4" w:space="0" w:color="auto"/>
            </w:tcBorders>
          </w:tcPr>
          <w:p w14:paraId="749DA39A" w14:textId="77777777" w:rsidR="00AF422E" w:rsidRPr="005F18FF" w:rsidRDefault="00AF422E" w:rsidP="000E5645">
            <w:pPr>
              <w:pStyle w:val="Heading4"/>
              <w:spacing w:before="40" w:after="40"/>
              <w:outlineLvl w:val="3"/>
              <w:rPr>
                <w:sz w:val="20"/>
              </w:rPr>
            </w:pPr>
            <w:r w:rsidRPr="005F18FF">
              <w:rPr>
                <w:sz w:val="20"/>
              </w:rPr>
              <w:t>Focus areas</w:t>
            </w:r>
          </w:p>
          <w:p w14:paraId="5E9A3CC3" w14:textId="616F8D98" w:rsidR="00AF422E" w:rsidRPr="0029742A" w:rsidRDefault="00AF422E" w:rsidP="000E5645">
            <w:pPr>
              <w:pStyle w:val="BodyText"/>
              <w:spacing w:before="40" w:after="40"/>
            </w:pPr>
            <w:r w:rsidRPr="003A0D88">
              <w:t xml:space="preserve">The change in the approach to the IFR will enable future reviews to have a greater focus on key costing processes such as continued deep dives on how costs are allocated by health networks, national consistency of cost allocations, </w:t>
            </w:r>
            <w:r w:rsidRPr="00ED71EF">
              <w:t>consistency of approach and opportunit</w:t>
            </w:r>
            <w:r w:rsidRPr="00B84B05">
              <w:t>ies for future improvement</w:t>
            </w:r>
            <w:r w:rsidRPr="0027545B">
              <w:t xml:space="preserve"> and promot</w:t>
            </w:r>
            <w:r w:rsidR="008F537E">
              <w:t>ing</w:t>
            </w:r>
            <w:r w:rsidRPr="0027545B">
              <w:t xml:space="preserve"> innovation and good practice.</w:t>
            </w:r>
          </w:p>
        </w:tc>
        <w:tc>
          <w:tcPr>
            <w:tcW w:w="933" w:type="pct"/>
            <w:tcBorders>
              <w:top w:val="single" w:sz="4" w:space="0" w:color="auto"/>
              <w:left w:val="single" w:sz="4" w:space="0" w:color="auto"/>
              <w:bottom w:val="single" w:sz="4" w:space="0" w:color="auto"/>
              <w:right w:val="single" w:sz="4" w:space="0" w:color="auto"/>
            </w:tcBorders>
          </w:tcPr>
          <w:p w14:paraId="11411B06" w14:textId="75AA4787" w:rsidR="0081075A" w:rsidRPr="005F18FF" w:rsidRDefault="0081075A" w:rsidP="00203B0A">
            <w:pPr>
              <w:pStyle w:val="Heading4"/>
              <w:spacing w:before="40" w:after="40"/>
              <w:jc w:val="center"/>
              <w:outlineLvl w:val="3"/>
              <w:rPr>
                <w:sz w:val="20"/>
              </w:rPr>
            </w:pPr>
            <w:r w:rsidRPr="005F18FF">
              <w:rPr>
                <w:sz w:val="20"/>
              </w:rPr>
              <w:t>Complete</w:t>
            </w:r>
          </w:p>
          <w:p w14:paraId="09B680A3" w14:textId="77777777" w:rsidR="0081075A" w:rsidRPr="00ED71EF" w:rsidRDefault="0081075A" w:rsidP="00203B0A">
            <w:pPr>
              <w:jc w:val="center"/>
            </w:pPr>
            <w:r w:rsidRPr="003A0D88">
              <w:t>(Noting opportunity to refine further)</w:t>
            </w:r>
          </w:p>
          <w:p w14:paraId="053CFD48" w14:textId="5CFDD77F" w:rsidR="00AF422E" w:rsidRPr="0027545B" w:rsidRDefault="00AF422E" w:rsidP="00203B0A">
            <w:pPr>
              <w:pStyle w:val="BodyText1"/>
              <w:jc w:val="center"/>
            </w:pPr>
          </w:p>
        </w:tc>
      </w:tr>
      <w:tr w:rsidR="004E5ECA" w14:paraId="35261885" w14:textId="4B87272F" w:rsidTr="005B7221">
        <w:trPr>
          <w:cantSplit/>
        </w:trPr>
        <w:tc>
          <w:tcPr>
            <w:tcW w:w="480" w:type="pct"/>
            <w:tcBorders>
              <w:top w:val="single" w:sz="4" w:space="0" w:color="auto"/>
              <w:left w:val="single" w:sz="4" w:space="0" w:color="auto"/>
              <w:bottom w:val="single" w:sz="4" w:space="0" w:color="auto"/>
              <w:right w:val="single" w:sz="4" w:space="0" w:color="auto"/>
            </w:tcBorders>
            <w:noWrap/>
          </w:tcPr>
          <w:p w14:paraId="21021093" w14:textId="77777777" w:rsidR="00AF422E" w:rsidRPr="003A0D88" w:rsidRDefault="00AF422E" w:rsidP="000E5645">
            <w:pPr>
              <w:pStyle w:val="BodyText"/>
              <w:spacing w:before="40" w:after="40"/>
              <w:rPr>
                <w:b/>
                <w:bCs/>
              </w:rPr>
            </w:pPr>
            <w:r w:rsidRPr="003A0D88">
              <w:rPr>
                <w:b/>
                <w:bCs/>
              </w:rPr>
              <w:t>5</w:t>
            </w:r>
          </w:p>
        </w:tc>
        <w:tc>
          <w:tcPr>
            <w:tcW w:w="3587" w:type="pct"/>
            <w:tcBorders>
              <w:top w:val="single" w:sz="4" w:space="0" w:color="auto"/>
              <w:left w:val="single" w:sz="4" w:space="0" w:color="auto"/>
              <w:bottom w:val="single" w:sz="4" w:space="0" w:color="auto"/>
              <w:right w:val="single" w:sz="4" w:space="0" w:color="auto"/>
            </w:tcBorders>
          </w:tcPr>
          <w:p w14:paraId="6742A64D" w14:textId="77777777" w:rsidR="00AF422E" w:rsidRPr="005F18FF" w:rsidRDefault="00AF422E" w:rsidP="000E5645">
            <w:pPr>
              <w:pStyle w:val="Heading4"/>
              <w:spacing w:before="40" w:after="40"/>
              <w:outlineLvl w:val="3"/>
              <w:rPr>
                <w:sz w:val="20"/>
              </w:rPr>
            </w:pPr>
            <w:r w:rsidRPr="005F18FF">
              <w:rPr>
                <w:sz w:val="20"/>
              </w:rPr>
              <w:t>Use of NHCDC data</w:t>
            </w:r>
          </w:p>
          <w:p w14:paraId="02F2BC15" w14:textId="77777777" w:rsidR="00AF422E" w:rsidRPr="003A0D88" w:rsidRDefault="00AF422E" w:rsidP="000E5645">
            <w:pPr>
              <w:pStyle w:val="BodyText"/>
              <w:spacing w:before="40" w:after="40"/>
            </w:pPr>
            <w:r w:rsidRPr="003A0D88">
              <w:t>It was observed during the consultation phase that there are still opportunities to increase the utility of the cost</w:t>
            </w:r>
            <w:r w:rsidRPr="00ED71EF">
              <w:t xml:space="preserve">ing data produced by </w:t>
            </w:r>
            <w:r w:rsidRPr="00B84B05">
              <w:t>health networks and the jurisdictions</w:t>
            </w:r>
            <w:r w:rsidRPr="0027545B">
              <w:t xml:space="preserve">. While all jurisdictions refer to developing a portal of some kind, the </w:t>
            </w:r>
            <w:r w:rsidRPr="003A0D88">
              <w:t>National Benchmarking Portal already in place could be further developed for these purposes.</w:t>
            </w:r>
          </w:p>
        </w:tc>
        <w:tc>
          <w:tcPr>
            <w:tcW w:w="933" w:type="pct"/>
            <w:tcBorders>
              <w:top w:val="single" w:sz="4" w:space="0" w:color="auto"/>
              <w:left w:val="single" w:sz="4" w:space="0" w:color="auto"/>
              <w:bottom w:val="single" w:sz="4" w:space="0" w:color="auto"/>
              <w:right w:val="single" w:sz="4" w:space="0" w:color="auto"/>
            </w:tcBorders>
          </w:tcPr>
          <w:p w14:paraId="1AF71A7B" w14:textId="0AA8BA51" w:rsidR="00AF422E" w:rsidRPr="005F18FF" w:rsidRDefault="00CC17E6" w:rsidP="00203B0A">
            <w:pPr>
              <w:pStyle w:val="Heading4"/>
              <w:spacing w:before="40" w:after="40"/>
              <w:jc w:val="center"/>
              <w:outlineLvl w:val="3"/>
              <w:rPr>
                <w:sz w:val="20"/>
              </w:rPr>
            </w:pPr>
            <w:r w:rsidRPr="005F18FF">
              <w:rPr>
                <w:sz w:val="20"/>
              </w:rPr>
              <w:t>Complete</w:t>
            </w:r>
          </w:p>
        </w:tc>
      </w:tr>
      <w:tr w:rsidR="004E5ECA" w14:paraId="52FDC44A" w14:textId="485587C3" w:rsidTr="005B7221">
        <w:trPr>
          <w:cantSplit/>
        </w:trPr>
        <w:tc>
          <w:tcPr>
            <w:tcW w:w="480" w:type="pct"/>
            <w:tcBorders>
              <w:top w:val="single" w:sz="4" w:space="0" w:color="auto"/>
              <w:left w:val="single" w:sz="4" w:space="0" w:color="auto"/>
              <w:bottom w:val="single" w:sz="4" w:space="0" w:color="auto"/>
              <w:right w:val="single" w:sz="4" w:space="0" w:color="auto"/>
            </w:tcBorders>
            <w:noWrap/>
          </w:tcPr>
          <w:p w14:paraId="11876436" w14:textId="77777777" w:rsidR="00AF422E" w:rsidRPr="003A0D88" w:rsidRDefault="00AF422E" w:rsidP="000E5645">
            <w:pPr>
              <w:pStyle w:val="BodyText"/>
              <w:spacing w:before="40" w:after="40"/>
              <w:rPr>
                <w:b/>
                <w:bCs/>
              </w:rPr>
            </w:pPr>
            <w:r w:rsidRPr="003A0D88">
              <w:rPr>
                <w:b/>
                <w:bCs/>
              </w:rPr>
              <w:lastRenderedPageBreak/>
              <w:t>6</w:t>
            </w:r>
          </w:p>
        </w:tc>
        <w:tc>
          <w:tcPr>
            <w:tcW w:w="3587" w:type="pct"/>
            <w:tcBorders>
              <w:top w:val="single" w:sz="4" w:space="0" w:color="auto"/>
              <w:left w:val="single" w:sz="4" w:space="0" w:color="auto"/>
              <w:bottom w:val="single" w:sz="4" w:space="0" w:color="auto"/>
              <w:right w:val="single" w:sz="4" w:space="0" w:color="auto"/>
            </w:tcBorders>
          </w:tcPr>
          <w:p w14:paraId="121C3773" w14:textId="77777777" w:rsidR="00AF422E" w:rsidRPr="005F18FF" w:rsidRDefault="00AF422E" w:rsidP="000E5645">
            <w:pPr>
              <w:pStyle w:val="Heading4"/>
              <w:spacing w:before="40" w:after="40"/>
              <w:outlineLvl w:val="3"/>
              <w:rPr>
                <w:sz w:val="20"/>
              </w:rPr>
            </w:pPr>
            <w:r w:rsidRPr="005F18FF">
              <w:rPr>
                <w:sz w:val="20"/>
              </w:rPr>
              <w:t>Scope of the IFR – Health Service Selections</w:t>
            </w:r>
          </w:p>
          <w:p w14:paraId="60D8DC94" w14:textId="0F97E8D2" w:rsidR="00A40243" w:rsidRPr="00B84B05" w:rsidRDefault="00D7744B" w:rsidP="00373A83">
            <w:pPr>
              <w:pStyle w:val="BodyText"/>
            </w:pPr>
            <w:bookmarkStart w:id="19" w:name="_Hlk115938130"/>
            <w:r>
              <w:t>IHACPA</w:t>
            </w:r>
            <w:bookmarkEnd w:id="19"/>
            <w:r w:rsidRPr="003A0D88">
              <w:t xml:space="preserve"> </w:t>
            </w:r>
            <w:r w:rsidR="00AF422E" w:rsidRPr="003A0D88">
              <w:t>should consider re-implementing a risk</w:t>
            </w:r>
            <w:r w:rsidR="008F537E">
              <w:t>-</w:t>
            </w:r>
            <w:r w:rsidR="00AF422E" w:rsidRPr="003A0D88">
              <w:t xml:space="preserve">based approach to the identification of the number and mix of participants per jurisdiction in the </w:t>
            </w:r>
            <w:r w:rsidR="00595A9F" w:rsidRPr="00ED71EF">
              <w:t>FY20/21</w:t>
            </w:r>
            <w:r w:rsidR="00AF422E" w:rsidRPr="00B84B05">
              <w:t xml:space="preserve"> IFR and beyond.</w:t>
            </w:r>
          </w:p>
          <w:p w14:paraId="7B2A1D2E" w14:textId="7B9AC681" w:rsidR="00AF422E" w:rsidRPr="003A0D88" w:rsidRDefault="00AF422E" w:rsidP="00373A83">
            <w:pPr>
              <w:pStyle w:val="BodyText"/>
            </w:pPr>
            <w:r w:rsidRPr="0027545B">
              <w:t>It should be noted that the revised approach described above should be less onerous on smaller jurisdictions (whi</w:t>
            </w:r>
            <w:r w:rsidRPr="003A0D88">
              <w:t>lst still be</w:t>
            </w:r>
            <w:r w:rsidR="008F537E">
              <w:t>ing</w:t>
            </w:r>
            <w:r w:rsidRPr="003A0D88">
              <w:t xml:space="preserve"> representative) and is expected to provide benefits from an increased focus on key focus areas.</w:t>
            </w:r>
          </w:p>
          <w:p w14:paraId="19AE68F8" w14:textId="455A1B75" w:rsidR="00AF422E" w:rsidRPr="003A0D88" w:rsidRDefault="00AF422E" w:rsidP="00373A83">
            <w:pPr>
              <w:pStyle w:val="BodyText"/>
            </w:pPr>
            <w:r w:rsidRPr="003A0D88">
              <w:t xml:space="preserve">Data Quality Statements (DQS) and </w:t>
            </w:r>
            <w:r w:rsidR="00001F55" w:rsidRPr="003A0D88">
              <w:t>self-assessment</w:t>
            </w:r>
            <w:r w:rsidRPr="003A0D88">
              <w:t xml:space="preserve"> submitted by jurisdictions could be utilised in the sampling approach to both inform sample selection and potentially focus areas. Submission for the costing entity would be required by February or March to inform the IFR approach. </w:t>
            </w:r>
          </w:p>
        </w:tc>
        <w:tc>
          <w:tcPr>
            <w:tcW w:w="933" w:type="pct"/>
            <w:tcBorders>
              <w:top w:val="single" w:sz="4" w:space="0" w:color="auto"/>
              <w:left w:val="single" w:sz="4" w:space="0" w:color="auto"/>
              <w:bottom w:val="single" w:sz="4" w:space="0" w:color="auto"/>
              <w:right w:val="single" w:sz="4" w:space="0" w:color="auto"/>
            </w:tcBorders>
          </w:tcPr>
          <w:p w14:paraId="360A0EEA" w14:textId="77777777" w:rsidR="00AF422E" w:rsidRPr="005F18FF" w:rsidRDefault="00CA1980" w:rsidP="00203B0A">
            <w:pPr>
              <w:pStyle w:val="Heading4"/>
              <w:spacing w:before="40" w:after="40"/>
              <w:jc w:val="center"/>
              <w:outlineLvl w:val="3"/>
              <w:rPr>
                <w:sz w:val="20"/>
              </w:rPr>
            </w:pPr>
            <w:r w:rsidRPr="005F18FF">
              <w:rPr>
                <w:sz w:val="20"/>
              </w:rPr>
              <w:t>Part Progress</w:t>
            </w:r>
          </w:p>
          <w:p w14:paraId="3AEAF66F" w14:textId="77777777" w:rsidR="00A17D2C" w:rsidRPr="00ED71EF" w:rsidRDefault="00A17D2C" w:rsidP="00203B0A">
            <w:pPr>
              <w:jc w:val="center"/>
            </w:pPr>
            <w:r w:rsidRPr="003A0D88">
              <w:t>(Noting opportunity to refine further)</w:t>
            </w:r>
          </w:p>
          <w:p w14:paraId="144611C5" w14:textId="1AEDF62E" w:rsidR="00AF422E" w:rsidRPr="0027545B" w:rsidRDefault="00AF422E" w:rsidP="00203B0A">
            <w:pPr>
              <w:jc w:val="center"/>
            </w:pPr>
          </w:p>
        </w:tc>
      </w:tr>
    </w:tbl>
    <w:p w14:paraId="159DDF11" w14:textId="63E90BC1" w:rsidR="00465E38" w:rsidRPr="00630A55" w:rsidRDefault="00465E38" w:rsidP="00465E38">
      <w:pPr>
        <w:pStyle w:val="Source"/>
      </w:pPr>
      <w:r w:rsidRPr="00630A55">
        <w:t xml:space="preserve">Source: </w:t>
      </w:r>
      <w:r w:rsidR="00595A9F">
        <w:t>FY19/20</w:t>
      </w:r>
      <w:r w:rsidR="00B86836" w:rsidRPr="00B86836">
        <w:t xml:space="preserve"> Independent Financial Review Report</w:t>
      </w:r>
    </w:p>
    <w:p w14:paraId="4BD55BDF" w14:textId="4BFD8638" w:rsidR="007E3F51" w:rsidRPr="00A16B1D" w:rsidRDefault="005F70A0" w:rsidP="008F21F4">
      <w:pPr>
        <w:pStyle w:val="Heading3"/>
      </w:pPr>
      <w:r w:rsidRPr="00A16B1D">
        <w:t>COVID</w:t>
      </w:r>
      <w:r w:rsidR="008C45B8" w:rsidRPr="00A16B1D">
        <w:t>-19</w:t>
      </w:r>
      <w:r w:rsidR="002B733D" w:rsidRPr="00A16B1D">
        <w:t xml:space="preserve"> impact</w:t>
      </w:r>
    </w:p>
    <w:p w14:paraId="40CA1822" w14:textId="6CEDB021" w:rsidR="008A1CC8" w:rsidRPr="00630A55" w:rsidRDefault="008A1CC8" w:rsidP="003E3232">
      <w:pPr>
        <w:jc w:val="both"/>
      </w:pPr>
      <w:r w:rsidRPr="00630A55">
        <w:t>The impact of COVID-19 on the jurisdictions</w:t>
      </w:r>
      <w:r w:rsidR="002D61D2">
        <w:t>’</w:t>
      </w:r>
      <w:r w:rsidRPr="00630A55">
        <w:t xml:space="preserve"> </w:t>
      </w:r>
      <w:r>
        <w:t>and health services</w:t>
      </w:r>
      <w:r w:rsidR="002D61D2">
        <w:t>’</w:t>
      </w:r>
      <w:r>
        <w:t xml:space="preserve"> </w:t>
      </w:r>
      <w:r w:rsidRPr="00630A55">
        <w:t xml:space="preserve">respective finance and </w:t>
      </w:r>
      <w:r w:rsidR="007138D9">
        <w:t>C</w:t>
      </w:r>
      <w:r w:rsidRPr="00630A55">
        <w:t xml:space="preserve">osting teams continued in </w:t>
      </w:r>
      <w:r w:rsidR="00595A9F">
        <w:t>FY20/21</w:t>
      </w:r>
      <w:r w:rsidRPr="00630A55">
        <w:t xml:space="preserve">. Discussions regarding COVID-19 were </w:t>
      </w:r>
      <w:r>
        <w:t xml:space="preserve">conducted </w:t>
      </w:r>
      <w:r w:rsidRPr="00630A55">
        <w:t>in the context of the IFR and not for any broader purpose</w:t>
      </w:r>
      <w:r>
        <w:t xml:space="preserve">. The </w:t>
      </w:r>
      <w:r w:rsidRPr="00630A55">
        <w:t>summaries in the jurisdictional chapter</w:t>
      </w:r>
      <w:r>
        <w:t>s</w:t>
      </w:r>
      <w:r w:rsidRPr="00630A55">
        <w:t xml:space="preserve"> provide a summary of the discussions and any impacts on costing. The impact across jurisdictions varied significantly depending on how the relevant </w:t>
      </w:r>
      <w:r w:rsidR="00D82C1C">
        <w:t>s</w:t>
      </w:r>
      <w:r w:rsidRPr="00630A55">
        <w:t xml:space="preserve">tate </w:t>
      </w:r>
      <w:r w:rsidR="00D82C1C">
        <w:t>g</w:t>
      </w:r>
      <w:r w:rsidRPr="00630A55">
        <w:t>overnment managed the response</w:t>
      </w:r>
      <w:r w:rsidR="00CA2038">
        <w:t xml:space="preserve"> and </w:t>
      </w:r>
      <w:r w:rsidR="00FC6CA3">
        <w:t xml:space="preserve">COVID-19 </w:t>
      </w:r>
      <w:r w:rsidR="00CA2038">
        <w:t>case numbers</w:t>
      </w:r>
      <w:r w:rsidRPr="00630A55">
        <w:t xml:space="preserve">. </w:t>
      </w:r>
      <w:r>
        <w:t>The key e</w:t>
      </w:r>
      <w:r w:rsidRPr="00630A55">
        <w:t xml:space="preserve">merging </w:t>
      </w:r>
      <w:r>
        <w:t>issues identified d</w:t>
      </w:r>
      <w:r w:rsidRPr="00630A55">
        <w:t>uring the consult</w:t>
      </w:r>
      <w:r w:rsidR="008F537E">
        <w:t>ation</w:t>
      </w:r>
      <w:r w:rsidRPr="00630A55">
        <w:t xml:space="preserve">s </w:t>
      </w:r>
      <w:r>
        <w:t>were</w:t>
      </w:r>
      <w:r w:rsidRPr="00630A55">
        <w:t>:</w:t>
      </w:r>
    </w:p>
    <w:p w14:paraId="4E379350" w14:textId="086C521E" w:rsidR="00FE01C6" w:rsidRPr="00630A55" w:rsidRDefault="008F537E" w:rsidP="003E3232">
      <w:pPr>
        <w:pStyle w:val="Bullet1stlevel"/>
        <w:jc w:val="both"/>
      </w:pPr>
      <w:r>
        <w:t>T</w:t>
      </w:r>
      <w:r w:rsidR="00FE01C6" w:rsidRPr="00630A55">
        <w:t>he need for clear guidelines and processes at the jurisdiction level, regarding how COVID</w:t>
      </w:r>
      <w:r w:rsidR="004104E3">
        <w:noBreakHyphen/>
      </w:r>
      <w:r w:rsidR="00FE01C6" w:rsidRPr="00630A55">
        <w:t>19 costs should be treated</w:t>
      </w:r>
      <w:r w:rsidR="00597892">
        <w:t xml:space="preserve"> </w:t>
      </w:r>
      <w:r w:rsidR="001216EF">
        <w:t>at the health service level</w:t>
      </w:r>
      <w:r w:rsidR="00537681">
        <w:t xml:space="preserve">, noting that </w:t>
      </w:r>
      <w:r w:rsidR="00442E1E">
        <w:t>IHACPA have drafted a standard for COVID-19</w:t>
      </w:r>
      <w:r w:rsidR="001216EF">
        <w:t xml:space="preserve"> to assist with the costing of this information</w:t>
      </w:r>
    </w:p>
    <w:p w14:paraId="451B470B" w14:textId="3E96EDD7" w:rsidR="00FE01C6" w:rsidRPr="00630A55" w:rsidRDefault="008F537E" w:rsidP="003E3232">
      <w:pPr>
        <w:pStyle w:val="Bullet1stlevel"/>
        <w:jc w:val="both"/>
      </w:pPr>
      <w:r>
        <w:t>M</w:t>
      </w:r>
      <w:r w:rsidR="00FE01C6" w:rsidRPr="00630A55">
        <w:t>oving forward</w:t>
      </w:r>
      <w:r>
        <w:t>,</w:t>
      </w:r>
      <w:r w:rsidR="00FE01C6" w:rsidRPr="00630A55">
        <w:t xml:space="preserve"> for consistency</w:t>
      </w:r>
      <w:r>
        <w:t>,</w:t>
      </w:r>
      <w:r w:rsidR="00FE01C6" w:rsidRPr="00630A55">
        <w:t xml:space="preserve"> a set of business rules that reflect current practice </w:t>
      </w:r>
      <w:r>
        <w:t xml:space="preserve">that </w:t>
      </w:r>
      <w:r w:rsidR="00FE01C6" w:rsidRPr="00630A55">
        <w:t>should be considered</w:t>
      </w:r>
      <w:r w:rsidR="00D82C1C">
        <w:t>,</w:t>
      </w:r>
      <w:r w:rsidR="00FE01C6" w:rsidRPr="00630A55">
        <w:t xml:space="preserve"> i.e. do COVID-19 costs constitute business as usual</w:t>
      </w:r>
      <w:r w:rsidR="00FD76F8">
        <w:t xml:space="preserve"> in the post</w:t>
      </w:r>
      <w:r>
        <w:noBreakHyphen/>
      </w:r>
      <w:r w:rsidR="00FD76F8">
        <w:t>pandemic context</w:t>
      </w:r>
      <w:r w:rsidR="00FE01C6" w:rsidRPr="00630A55">
        <w:t xml:space="preserve"> or are they to be always </w:t>
      </w:r>
      <w:r w:rsidR="003A0D88">
        <w:t xml:space="preserve">isolated within different </w:t>
      </w:r>
      <w:r w:rsidR="00FD76F8">
        <w:t>cost centres</w:t>
      </w:r>
      <w:r w:rsidR="00FE01C6" w:rsidRPr="00630A55">
        <w:t>?</w:t>
      </w:r>
    </w:p>
    <w:p w14:paraId="428148D0" w14:textId="525285C3" w:rsidR="008C55E0" w:rsidRPr="00A16B1D" w:rsidRDefault="009C533A" w:rsidP="008F21F4">
      <w:pPr>
        <w:pStyle w:val="Heading3"/>
      </w:pPr>
      <w:r w:rsidRPr="00A16B1D">
        <w:t>Reconciliation from LHN/</w:t>
      </w:r>
      <w:r w:rsidR="005147D2" w:rsidRPr="00A16B1D">
        <w:t>h</w:t>
      </w:r>
      <w:r w:rsidRPr="00A16B1D">
        <w:t xml:space="preserve">ospital </w:t>
      </w:r>
      <w:r w:rsidR="00E96FE9" w:rsidRPr="00A16B1D">
        <w:t xml:space="preserve">to </w:t>
      </w:r>
      <w:r w:rsidRPr="00A16B1D">
        <w:t>jurisdictions to IH</w:t>
      </w:r>
      <w:r w:rsidR="00771697">
        <w:t>AC</w:t>
      </w:r>
      <w:r w:rsidRPr="00A16B1D">
        <w:t>PA</w:t>
      </w:r>
    </w:p>
    <w:p w14:paraId="03C6F008" w14:textId="1AE1743B" w:rsidR="00730218" w:rsidRPr="00630A55" w:rsidRDefault="00730218" w:rsidP="003E3232">
      <w:pPr>
        <w:jc w:val="both"/>
      </w:pPr>
      <w:r w:rsidRPr="00630A55">
        <w:t xml:space="preserve">The templates completed </w:t>
      </w:r>
      <w:r>
        <w:t>for the IFR</w:t>
      </w:r>
      <w:r w:rsidRPr="00630A55">
        <w:t xml:space="preserve"> demonstrate the reconciliation of the respective network</w:t>
      </w:r>
      <w:r w:rsidR="008D17BA">
        <w:t>’</w:t>
      </w:r>
      <w:r w:rsidRPr="00630A55">
        <w:t>s source</w:t>
      </w:r>
      <w:r w:rsidR="008D17BA">
        <w:t xml:space="preserve"> of</w:t>
      </w:r>
      <w:r w:rsidRPr="00630A55">
        <w:t xml:space="preserve"> </w:t>
      </w:r>
      <w:r>
        <w:t xml:space="preserve">financial </w:t>
      </w:r>
      <w:r w:rsidRPr="00630A55">
        <w:t>data (</w:t>
      </w:r>
      <w:r>
        <w:t xml:space="preserve">as reflected in their </w:t>
      </w:r>
      <w:r w:rsidRPr="00630A55">
        <w:t>Audited Financial Statements) through to the submissions to the jurisdiction and finally to IHACPA. During the site visits</w:t>
      </w:r>
      <w:r w:rsidR="008D17BA">
        <w:t>,</w:t>
      </w:r>
      <w:r w:rsidRPr="00630A55">
        <w:t xml:space="preserve"> discussions </w:t>
      </w:r>
      <w:r>
        <w:t xml:space="preserve">occurred </w:t>
      </w:r>
      <w:r w:rsidRPr="00630A55">
        <w:t xml:space="preserve">regarding the various adjustments for out of scope </w:t>
      </w:r>
      <w:r>
        <w:t xml:space="preserve">or excluded </w:t>
      </w:r>
      <w:r w:rsidRPr="00630A55">
        <w:t>costs</w:t>
      </w:r>
      <w:r>
        <w:t xml:space="preserve">, that </w:t>
      </w:r>
      <w:r w:rsidRPr="00630A55">
        <w:t>demonstrat</w:t>
      </w:r>
      <w:r>
        <w:t>ed</w:t>
      </w:r>
      <w:r w:rsidRPr="00630A55">
        <w:t xml:space="preserve"> the efforts undertaken</w:t>
      </w:r>
      <w:r>
        <w:t xml:space="preserve"> to reconcile data</w:t>
      </w:r>
      <w:r w:rsidRPr="00630A55">
        <w:t xml:space="preserve"> throughout the submission process.</w:t>
      </w:r>
    </w:p>
    <w:p w14:paraId="01F30B4C" w14:textId="3F2F19A3" w:rsidR="004B3DBF" w:rsidRPr="00630A55" w:rsidRDefault="00CC4AF7" w:rsidP="003E3232">
      <w:pPr>
        <w:pStyle w:val="BodyText1"/>
        <w:jc w:val="both"/>
      </w:pPr>
      <w:r>
        <w:t>Costing practitioners demonstrated in the templates</w:t>
      </w:r>
      <w:r w:rsidR="004B3DBF">
        <w:t xml:space="preserve"> and </w:t>
      </w:r>
      <w:r w:rsidR="00A75EBB">
        <w:t xml:space="preserve">discussions </w:t>
      </w:r>
      <w:r w:rsidR="004B3DBF" w:rsidRPr="00630A55">
        <w:t xml:space="preserve">adjustments </w:t>
      </w:r>
      <w:r w:rsidR="002A6EBD">
        <w:t xml:space="preserve">made </w:t>
      </w:r>
      <w:r w:rsidR="004B3DBF" w:rsidRPr="00630A55">
        <w:t>to the financial data</w:t>
      </w:r>
      <w:r w:rsidR="002A6EBD">
        <w:t>,</w:t>
      </w:r>
      <w:r w:rsidR="00730218" w:rsidRPr="00630A55">
        <w:t xml:space="preserve"> both pre and post allocation of costs to patients.</w:t>
      </w:r>
      <w:r w:rsidR="004B3DBF" w:rsidRPr="00630A55">
        <w:t xml:space="preserve"> KPMG relied upon the assertions made by hospital/LHN </w:t>
      </w:r>
      <w:r w:rsidR="000B7243" w:rsidRPr="00630A55">
        <w:t xml:space="preserve">costing </w:t>
      </w:r>
      <w:r w:rsidR="004B3DBF" w:rsidRPr="00630A55">
        <w:t>staff and jurisdictional representatives (and the information presented in the templates) in forming a view as to the reasonableness of the basis of the adjustments.</w:t>
      </w:r>
    </w:p>
    <w:p w14:paraId="64051269" w14:textId="77777777" w:rsidR="004B3DBF" w:rsidRPr="00630A55" w:rsidRDefault="004B3DBF" w:rsidP="003E3232">
      <w:pPr>
        <w:pStyle w:val="BodyText1"/>
        <w:jc w:val="both"/>
      </w:pPr>
      <w:r w:rsidRPr="00630A55">
        <w:t>The review of the data flow from the jurisdiction to IH</w:t>
      </w:r>
      <w:r w:rsidR="000227C4" w:rsidRPr="00630A55">
        <w:t>AC</w:t>
      </w:r>
      <w:r w:rsidRPr="00630A55">
        <w:t>PA identified no material variances between the jurisdictional data submitted to IH</w:t>
      </w:r>
      <w:r w:rsidR="00F87803" w:rsidRPr="00630A55">
        <w:t>AC</w:t>
      </w:r>
      <w:r w:rsidRPr="00630A55">
        <w:t>PA and the data contained in the national reconciliation file provided by IH</w:t>
      </w:r>
      <w:r w:rsidR="00F87803" w:rsidRPr="00630A55">
        <w:t>AC</w:t>
      </w:r>
      <w:r w:rsidRPr="00630A55">
        <w:t xml:space="preserve">PA. </w:t>
      </w:r>
    </w:p>
    <w:p w14:paraId="31A04201" w14:textId="38D452C1" w:rsidR="00FE01C6" w:rsidRPr="00630A55" w:rsidRDefault="00FE01C6" w:rsidP="003E3232">
      <w:pPr>
        <w:jc w:val="both"/>
      </w:pPr>
      <w:r w:rsidRPr="00630A55">
        <w:t xml:space="preserve">Noting these adjustments and variances </w:t>
      </w:r>
      <w:r w:rsidR="00260F4E" w:rsidRPr="00630A55">
        <w:t xml:space="preserve">discussed during the consultations </w:t>
      </w:r>
      <w:r w:rsidRPr="00630A55">
        <w:t xml:space="preserve">and in accordance with the review methodology detailed in section </w:t>
      </w:r>
      <w:r w:rsidRPr="008D17BA">
        <w:fldChar w:fldCharType="begin"/>
      </w:r>
      <w:r w:rsidRPr="008D17BA">
        <w:instrText xml:space="preserve"> REF _Ref83900575 \r \h  \* MERGEFORMAT </w:instrText>
      </w:r>
      <w:r w:rsidRPr="008D17BA">
        <w:fldChar w:fldCharType="separate"/>
      </w:r>
      <w:r w:rsidR="007E2ACB">
        <w:t>1.2</w:t>
      </w:r>
      <w:r w:rsidRPr="008D17BA">
        <w:fldChar w:fldCharType="end"/>
      </w:r>
      <w:r w:rsidRPr="00630A55">
        <w:t xml:space="preserve"> of this report, jurisdictions have suitable reconciliation processes in place and the financial data is considered fit for </w:t>
      </w:r>
      <w:r w:rsidR="00730218">
        <w:t xml:space="preserve">purpose for the </w:t>
      </w:r>
      <w:r w:rsidR="00730218" w:rsidRPr="00630A55">
        <w:t xml:space="preserve">NHCDC submission for </w:t>
      </w:r>
      <w:r w:rsidR="00595A9F">
        <w:t>FY20/21</w:t>
      </w:r>
      <w:r w:rsidR="00730218" w:rsidRPr="00630A55">
        <w:t>.</w:t>
      </w:r>
    </w:p>
    <w:p w14:paraId="2BD7AA62" w14:textId="046FED47" w:rsidR="00385658" w:rsidRPr="00A16B1D" w:rsidRDefault="00385658" w:rsidP="008F21F4">
      <w:pPr>
        <w:pStyle w:val="Heading3"/>
      </w:pPr>
      <w:r w:rsidRPr="00A16B1D">
        <w:lastRenderedPageBreak/>
        <w:t>Testing data flow at patient level to IH</w:t>
      </w:r>
      <w:r w:rsidR="00BB4A8E">
        <w:t>AC</w:t>
      </w:r>
      <w:r w:rsidRPr="00A16B1D">
        <w:t>PA</w:t>
      </w:r>
    </w:p>
    <w:p w14:paraId="5C1CAFFC" w14:textId="54F01898" w:rsidR="00277378" w:rsidRPr="00630A55" w:rsidRDefault="00277378" w:rsidP="003E3232">
      <w:pPr>
        <w:jc w:val="both"/>
      </w:pPr>
      <w:r w:rsidRPr="00630A55">
        <w:t xml:space="preserve">IHACPA selected a sample of five patients from each </w:t>
      </w:r>
      <w:r>
        <w:t xml:space="preserve">sample </w:t>
      </w:r>
      <w:r w:rsidRPr="00630A55">
        <w:t xml:space="preserve">site for the purposes of testing the </w:t>
      </w:r>
      <w:r>
        <w:t xml:space="preserve">patient level </w:t>
      </w:r>
      <w:r w:rsidRPr="00630A55">
        <w:t xml:space="preserve">data flow from </w:t>
      </w:r>
      <w:r>
        <w:t xml:space="preserve">the </w:t>
      </w:r>
      <w:r w:rsidRPr="00630A55">
        <w:t>jurisdiction to IH</w:t>
      </w:r>
      <w:r>
        <w:t>AC</w:t>
      </w:r>
      <w:r w:rsidRPr="00630A55">
        <w:t>PA. This was a simple test conducted at the total cost level</w:t>
      </w:r>
      <w:r w:rsidR="008D17BA">
        <w:t>,</w:t>
      </w:r>
      <w:r w:rsidRPr="00630A55">
        <w:t xml:space="preserve"> sampling each patient care stream to provide comfort that the records sent by the jurisdiction were received wholly by IHACPA. There were no variances between </w:t>
      </w:r>
      <w:r>
        <w:t xml:space="preserve">any of </w:t>
      </w:r>
      <w:r w:rsidRPr="00630A55">
        <w:t xml:space="preserve">the sample patient records tested during this process. </w:t>
      </w:r>
    </w:p>
    <w:p w14:paraId="0456AAB8" w14:textId="77777777" w:rsidR="0002314C" w:rsidRPr="00A16B1D" w:rsidRDefault="002C3AB8" w:rsidP="008F21F4">
      <w:pPr>
        <w:pStyle w:val="Heading3"/>
      </w:pPr>
      <w:r w:rsidRPr="00A16B1D">
        <w:t xml:space="preserve">Peer </w:t>
      </w:r>
      <w:r w:rsidR="003A01B0" w:rsidRPr="00A16B1D">
        <w:t>r</w:t>
      </w:r>
      <w:r w:rsidRPr="00A16B1D">
        <w:t>eviews</w:t>
      </w:r>
    </w:p>
    <w:p w14:paraId="7C35A135" w14:textId="0CF75577" w:rsidR="00C86F6C" w:rsidRDefault="00606FEF" w:rsidP="00C86F6C">
      <w:pPr>
        <w:jc w:val="both"/>
      </w:pPr>
      <w:r w:rsidRPr="00630A55">
        <w:t xml:space="preserve">The </w:t>
      </w:r>
      <w:r>
        <w:t xml:space="preserve">opportunity to participate in the </w:t>
      </w:r>
      <w:r w:rsidRPr="00630A55">
        <w:t>peer review continues to be offered to all jurisdictions</w:t>
      </w:r>
      <w:r>
        <w:t xml:space="preserve">. The level of participation </w:t>
      </w:r>
      <w:r w:rsidRPr="00630A55">
        <w:t>has varied since the break in the IFR</w:t>
      </w:r>
      <w:r w:rsidRPr="00AE4D69">
        <w:t xml:space="preserve"> </w:t>
      </w:r>
      <w:r w:rsidRPr="00630A55">
        <w:t>due to COVID-19 (</w:t>
      </w:r>
      <w:r>
        <w:t>i.e. Round</w:t>
      </w:r>
      <w:r w:rsidR="005C759B">
        <w:t> </w:t>
      </w:r>
      <w:r w:rsidRPr="00630A55">
        <w:t>23 did not occur)</w:t>
      </w:r>
      <w:r w:rsidR="008F537E">
        <w:t>;</w:t>
      </w:r>
      <w:r w:rsidRPr="00630A55">
        <w:t xml:space="preserve"> feedback from </w:t>
      </w:r>
      <w:r>
        <w:t xml:space="preserve">those </w:t>
      </w:r>
      <w:r w:rsidR="008D17BA">
        <w:t xml:space="preserve">who </w:t>
      </w:r>
      <w:r w:rsidRPr="00630A55">
        <w:t>participa</w:t>
      </w:r>
      <w:r>
        <w:t>ted</w:t>
      </w:r>
      <w:r w:rsidRPr="00630A55">
        <w:t xml:space="preserve"> </w:t>
      </w:r>
      <w:r>
        <w:t xml:space="preserve">in </w:t>
      </w:r>
      <w:r w:rsidRPr="00630A55">
        <w:t>the consult</w:t>
      </w:r>
      <w:r w:rsidR="00A24807">
        <w:t>ation</w:t>
      </w:r>
      <w:r w:rsidRPr="00630A55">
        <w:t xml:space="preserve">s </w:t>
      </w:r>
      <w:r>
        <w:t xml:space="preserve">as peer reviewers </w:t>
      </w:r>
      <w:r w:rsidRPr="00630A55">
        <w:t xml:space="preserve">was overwhelmingly positive and continues to be </w:t>
      </w:r>
      <w:r>
        <w:t xml:space="preserve">considered </w:t>
      </w:r>
      <w:r w:rsidRPr="00630A55">
        <w:t xml:space="preserve">a beneficial component of the IFR. </w:t>
      </w:r>
    </w:p>
    <w:p w14:paraId="53ACBA4D" w14:textId="3646CE8B" w:rsidR="00606FEF" w:rsidRPr="00630A55" w:rsidRDefault="00606FEF" w:rsidP="00C86F6C">
      <w:pPr>
        <w:jc w:val="both"/>
      </w:pPr>
      <w:r w:rsidRPr="00630A55">
        <w:t xml:space="preserve">Noting that </w:t>
      </w:r>
      <w:r w:rsidR="00595A9F">
        <w:t>FY19/20</w:t>
      </w:r>
      <w:r w:rsidRPr="00630A55">
        <w:t xml:space="preserve"> was the first year the peer review was open to all participants (there were no limitations on space as </w:t>
      </w:r>
      <w:r>
        <w:t xml:space="preserve">site </w:t>
      </w:r>
      <w:r w:rsidRPr="00630A55">
        <w:t>visits were conducted virtually)</w:t>
      </w:r>
      <w:r w:rsidR="008D17BA">
        <w:t>,</w:t>
      </w:r>
      <w:r w:rsidRPr="00630A55">
        <w:t xml:space="preserve"> the take up this year was not as </w:t>
      </w:r>
      <w:r>
        <w:t>exten</w:t>
      </w:r>
      <w:r w:rsidRPr="00630A55">
        <w:t>sive</w:t>
      </w:r>
      <w:r>
        <w:t>. Su</w:t>
      </w:r>
      <w:r w:rsidRPr="00630A55">
        <w:t xml:space="preserve">ggestions for improving </w:t>
      </w:r>
      <w:r>
        <w:t>future</w:t>
      </w:r>
      <w:r w:rsidR="00086888">
        <w:t xml:space="preserve"> peer</w:t>
      </w:r>
      <w:r>
        <w:t xml:space="preserve"> </w:t>
      </w:r>
      <w:r w:rsidRPr="00630A55">
        <w:t>participa</w:t>
      </w:r>
      <w:r>
        <w:t xml:space="preserve">tion </w:t>
      </w:r>
      <w:r w:rsidR="006D1B13">
        <w:t>have been</w:t>
      </w:r>
      <w:r>
        <w:t xml:space="preserve"> </w:t>
      </w:r>
      <w:r w:rsidRPr="00630A55">
        <w:t>considered</w:t>
      </w:r>
      <w:r w:rsidR="006D1B13">
        <w:t xml:space="preserve"> in the recommendation section</w:t>
      </w:r>
      <w:r w:rsidR="00CB246C">
        <w:t xml:space="preserve"> (</w:t>
      </w:r>
      <w:r w:rsidR="00CB246C">
        <w:fldChar w:fldCharType="begin"/>
      </w:r>
      <w:r w:rsidR="00CB246C">
        <w:instrText xml:space="preserve"> REF _Ref120089910 \r \h </w:instrText>
      </w:r>
      <w:r w:rsidR="00CB246C">
        <w:fldChar w:fldCharType="separate"/>
      </w:r>
      <w:r w:rsidR="007E2ACB">
        <w:t>2.2</w:t>
      </w:r>
      <w:r w:rsidR="00CB246C">
        <w:fldChar w:fldCharType="end"/>
      </w:r>
      <w:r w:rsidR="00CB246C">
        <w:t>)</w:t>
      </w:r>
      <w:r w:rsidRPr="00630A55">
        <w:t>.</w:t>
      </w:r>
    </w:p>
    <w:p w14:paraId="2D5B5B93" w14:textId="5148EA39" w:rsidR="00FE01C6" w:rsidRPr="009E1907" w:rsidRDefault="00FE01C6" w:rsidP="008F21F4">
      <w:pPr>
        <w:pStyle w:val="Heading3"/>
      </w:pPr>
      <w:r>
        <w:t xml:space="preserve">Increase in attendance by </w:t>
      </w:r>
      <w:r w:rsidR="007138D9">
        <w:t>C</w:t>
      </w:r>
      <w:r>
        <w:t>osting teams</w:t>
      </w:r>
    </w:p>
    <w:p w14:paraId="02DF6EA6" w14:textId="071C3142" w:rsidR="003A395C" w:rsidRPr="00630A55" w:rsidRDefault="003A395C" w:rsidP="003E3232">
      <w:pPr>
        <w:jc w:val="both"/>
      </w:pPr>
      <w:r w:rsidRPr="00630A55">
        <w:t xml:space="preserve">Although the peer review attendances were lower in </w:t>
      </w:r>
      <w:r w:rsidR="00595A9F">
        <w:t>FY20/21</w:t>
      </w:r>
      <w:r w:rsidRPr="00630A55">
        <w:t xml:space="preserve">, there was an increase in attendance of the </w:t>
      </w:r>
      <w:r w:rsidR="007138D9">
        <w:t>C</w:t>
      </w:r>
      <w:r w:rsidRPr="00630A55">
        <w:t>osting teams in each jurisdiction</w:t>
      </w:r>
      <w:r w:rsidR="008D17BA">
        <w:t>,</w:t>
      </w:r>
      <w:r w:rsidRPr="00630A55">
        <w:t xml:space="preserve"> both from a </w:t>
      </w:r>
      <w:r w:rsidR="00203B0A">
        <w:t>department</w:t>
      </w:r>
      <w:r w:rsidRPr="00630A55">
        <w:t xml:space="preserve"> and hospital/LHN level. The </w:t>
      </w:r>
      <w:r>
        <w:t xml:space="preserve">increased attendance </w:t>
      </w:r>
      <w:r w:rsidRPr="00630A55">
        <w:t xml:space="preserve">of </w:t>
      </w:r>
      <w:r w:rsidR="007138D9">
        <w:t>C</w:t>
      </w:r>
      <w:r w:rsidRPr="00630A55">
        <w:t>osting team</w:t>
      </w:r>
      <w:r>
        <w:t xml:space="preserve"> members</w:t>
      </w:r>
      <w:r w:rsidRPr="00630A55">
        <w:t xml:space="preserve"> from previous rounds is evident and highlights the desire of </w:t>
      </w:r>
      <w:r>
        <w:t xml:space="preserve">both groups </w:t>
      </w:r>
      <w:r w:rsidRPr="00630A55">
        <w:t xml:space="preserve">to continue to build both the numbers and education of their costing workforce, while </w:t>
      </w:r>
      <w:r>
        <w:t>increasing</w:t>
      </w:r>
      <w:r w:rsidRPr="00630A55">
        <w:t xml:space="preserve"> local transparency in the costing process and the submission to IHACPA.</w:t>
      </w:r>
    </w:p>
    <w:p w14:paraId="14D29193" w14:textId="77777777" w:rsidR="002F09B0" w:rsidRPr="00A16B1D" w:rsidRDefault="009F73EC" w:rsidP="008F21F4">
      <w:pPr>
        <w:pStyle w:val="Heading3"/>
      </w:pPr>
      <w:r w:rsidRPr="00A16B1D">
        <w:t>Application of AHPCS</w:t>
      </w:r>
      <w:r w:rsidR="008B6F54" w:rsidRPr="00A16B1D">
        <w:t xml:space="preserve"> (v4.</w:t>
      </w:r>
      <w:r w:rsidR="00A3336B" w:rsidRPr="00A16B1D">
        <w:t>1</w:t>
      </w:r>
      <w:r w:rsidR="008B6F54" w:rsidRPr="00A16B1D">
        <w:t>)</w:t>
      </w:r>
    </w:p>
    <w:p w14:paraId="4AF30DAD" w14:textId="634BF14B" w:rsidR="008C3D0D" w:rsidRPr="00630A55" w:rsidRDefault="008C3D0D" w:rsidP="003E3232">
      <w:pPr>
        <w:pStyle w:val="BodyText"/>
      </w:pPr>
      <w:r w:rsidRPr="00630A55">
        <w:rPr>
          <w:szCs w:val="24"/>
        </w:rPr>
        <w:t>The application of the selected</w:t>
      </w:r>
      <w:r w:rsidRPr="006433B7">
        <w:rPr>
          <w:szCs w:val="24"/>
        </w:rPr>
        <w:t xml:space="preserve"> </w:t>
      </w:r>
      <w:r w:rsidRPr="00630A55">
        <w:rPr>
          <w:szCs w:val="24"/>
        </w:rPr>
        <w:t xml:space="preserve">AHPCS Version </w:t>
      </w:r>
      <w:r w:rsidRPr="00630A55">
        <w:t xml:space="preserve">4.1 </w:t>
      </w:r>
      <w:r w:rsidRPr="00630A55">
        <w:rPr>
          <w:szCs w:val="24"/>
        </w:rPr>
        <w:t xml:space="preserve">standards from </w:t>
      </w:r>
      <w:r w:rsidRPr="00630A55">
        <w:t>across the jurisdictions was mostly consistent</w:t>
      </w:r>
      <w:r>
        <w:t>,</w:t>
      </w:r>
      <w:r w:rsidRPr="00630A55">
        <w:t xml:space="preserve"> as outlined in the </w:t>
      </w:r>
      <w:r>
        <w:t xml:space="preserve">respective </w:t>
      </w:r>
      <w:r w:rsidRPr="00630A55">
        <w:t xml:space="preserve">jurisdictional chapters and </w:t>
      </w:r>
      <w:r>
        <w:t xml:space="preserve">reflected in the </w:t>
      </w:r>
      <w:r w:rsidRPr="00630A55">
        <w:t>data quality statements received by IH</w:t>
      </w:r>
      <w:r>
        <w:t>AC</w:t>
      </w:r>
      <w:r w:rsidRPr="00630A55">
        <w:t xml:space="preserve">PA. Jurisdictions noted partial or full compliance with various standards and noted their exceptions. </w:t>
      </w:r>
      <w:r>
        <w:t>S</w:t>
      </w:r>
      <w:r w:rsidRPr="00630A55">
        <w:t xml:space="preserve">pecific exceptions to the standards were outlined in the </w:t>
      </w:r>
      <w:r>
        <w:t xml:space="preserve">relevant </w:t>
      </w:r>
      <w:r w:rsidRPr="00630A55">
        <w:t>data quality statements</w:t>
      </w:r>
      <w:r w:rsidR="008F2390">
        <w:t>. A</w:t>
      </w:r>
      <w:r w:rsidRPr="00630A55">
        <w:t xml:space="preserve"> sample of these is outlined below:</w:t>
      </w:r>
    </w:p>
    <w:p w14:paraId="69607BB7" w14:textId="76785353" w:rsidR="00995513" w:rsidRPr="00630A55" w:rsidRDefault="001B404D" w:rsidP="003E3232">
      <w:pPr>
        <w:pStyle w:val="Bullet1stlevel"/>
        <w:numPr>
          <w:ilvl w:val="0"/>
          <w:numId w:val="17"/>
        </w:numPr>
        <w:jc w:val="both"/>
      </w:pPr>
      <w:r w:rsidRPr="00630A55">
        <w:t>D</w:t>
      </w:r>
      <w:r w:rsidR="00995513" w:rsidRPr="00630A55">
        <w:t xml:space="preserve">epreciation is </w:t>
      </w:r>
      <w:r w:rsidR="009F6627" w:rsidRPr="00630A55">
        <w:t>excluded from some jurisdictional</w:t>
      </w:r>
      <w:r w:rsidR="00995513" w:rsidRPr="00630A55">
        <w:t xml:space="preserve"> submissions.</w:t>
      </w:r>
    </w:p>
    <w:p w14:paraId="3576FB77" w14:textId="6E0C98BD" w:rsidR="00995513" w:rsidRPr="00630A55" w:rsidRDefault="00995513" w:rsidP="003E3232">
      <w:pPr>
        <w:pStyle w:val="Bullet1stlevel"/>
        <w:numPr>
          <w:ilvl w:val="0"/>
          <w:numId w:val="17"/>
        </w:numPr>
        <w:jc w:val="both"/>
      </w:pPr>
      <w:r w:rsidRPr="00630A55">
        <w:t>Research costs are excluded from some jurisdictional submissions.</w:t>
      </w:r>
    </w:p>
    <w:p w14:paraId="3099D1DC" w14:textId="07966224" w:rsidR="00995513" w:rsidRPr="00630A55" w:rsidRDefault="00995513" w:rsidP="003E3232">
      <w:pPr>
        <w:pStyle w:val="Bullet1stlevel"/>
        <w:numPr>
          <w:ilvl w:val="0"/>
          <w:numId w:val="17"/>
        </w:numPr>
        <w:jc w:val="both"/>
      </w:pPr>
      <w:r w:rsidRPr="00630A55">
        <w:t>Posthumous organ donation</w:t>
      </w:r>
      <w:r w:rsidR="008F537E">
        <w:t xml:space="preserve"> </w:t>
      </w:r>
      <w:r w:rsidR="008F537E">
        <w:rPr>
          <w:rFonts w:ascii="Univers 45 Light" w:hAnsi="Univers 45 Light"/>
        </w:rPr>
        <w:t>–</w:t>
      </w:r>
      <w:r w:rsidRPr="00630A55">
        <w:t xml:space="preserve"> the application of this standard varies across the jurisdictions.</w:t>
      </w:r>
    </w:p>
    <w:p w14:paraId="18149F4B" w14:textId="744C6F49" w:rsidR="003B257C" w:rsidRPr="003B257C" w:rsidRDefault="00995513" w:rsidP="003E3232">
      <w:pPr>
        <w:pStyle w:val="Bullet1stlevel"/>
        <w:numPr>
          <w:ilvl w:val="0"/>
          <w:numId w:val="17"/>
        </w:numPr>
        <w:jc w:val="both"/>
      </w:pPr>
      <w:r w:rsidRPr="00630A55">
        <w:t>Blood products are not costed at a patient level as data matching is not accurate enough to provide robust costings.</w:t>
      </w:r>
    </w:p>
    <w:p w14:paraId="00D68ED9" w14:textId="49EDA3AC" w:rsidR="00AC3A73" w:rsidRPr="00630A55" w:rsidRDefault="00032909" w:rsidP="003E3232">
      <w:pPr>
        <w:pStyle w:val="Bullet1stlevel"/>
        <w:numPr>
          <w:ilvl w:val="0"/>
          <w:numId w:val="17"/>
        </w:numPr>
        <w:jc w:val="both"/>
      </w:pPr>
      <w:r>
        <w:t xml:space="preserve">Not all jurisdictions </w:t>
      </w:r>
      <w:r w:rsidR="00B35FBE">
        <w:t>provided</w:t>
      </w:r>
      <w:r w:rsidR="00D31E7E">
        <w:t xml:space="preserve"> costings for </w:t>
      </w:r>
      <w:r>
        <w:t>Mental Health Care at the phase level</w:t>
      </w:r>
      <w:r w:rsidR="00D31E7E">
        <w:t>.</w:t>
      </w:r>
    </w:p>
    <w:p w14:paraId="6A2FC6D4" w14:textId="2F3FC37D" w:rsidR="008C3D0D" w:rsidRPr="00630A55" w:rsidRDefault="008C3D0D" w:rsidP="003E3232">
      <w:pPr>
        <w:pStyle w:val="Bullet1stlevel"/>
        <w:jc w:val="both"/>
      </w:pPr>
      <w:r w:rsidRPr="00630A55">
        <w:t xml:space="preserve">All jurisdictions provided commentary on the impact COVID-19 had on </w:t>
      </w:r>
      <w:r>
        <w:t xml:space="preserve">their financials </w:t>
      </w:r>
      <w:r w:rsidRPr="00630A55">
        <w:t>during th</w:t>
      </w:r>
      <w:r>
        <w:t>e</w:t>
      </w:r>
      <w:r w:rsidRPr="00630A55">
        <w:t xml:space="preserve"> period. It was noted that inclusion and exclusion of various costs was not consistent and may not reflect all applicable costs (regardless of funding source) for the purpose of the NHCDC. As a result, </w:t>
      </w:r>
      <w:r w:rsidR="00595A9F">
        <w:t>FY20/21</w:t>
      </w:r>
      <w:r w:rsidRPr="00630A55">
        <w:t xml:space="preserve"> data may not be fit for purpose</w:t>
      </w:r>
      <w:r w:rsidR="00B97476">
        <w:t>,</w:t>
      </w:r>
      <w:r w:rsidRPr="00630A55">
        <w:t xml:space="preserve"> such as setting </w:t>
      </w:r>
      <w:r w:rsidR="008F2390">
        <w:t xml:space="preserve">a </w:t>
      </w:r>
      <w:r w:rsidRPr="00630A55">
        <w:t>national efficient price without further quality assurance being conducted</w:t>
      </w:r>
      <w:r w:rsidR="009E43B0">
        <w:t xml:space="preserve"> regarding the application of the COVID-19 standard</w:t>
      </w:r>
      <w:r w:rsidRPr="00630A55">
        <w:t>.</w:t>
      </w:r>
    </w:p>
    <w:p w14:paraId="1BF9D237" w14:textId="3B602622" w:rsidR="00FE01C6" w:rsidRPr="009E1907" w:rsidRDefault="00FE01C6" w:rsidP="008F21F4">
      <w:pPr>
        <w:pStyle w:val="Heading3"/>
      </w:pPr>
      <w:r w:rsidRPr="009E1907">
        <w:lastRenderedPageBreak/>
        <w:t xml:space="preserve">Sampling </w:t>
      </w:r>
      <w:r w:rsidR="00697B46">
        <w:t>approach</w:t>
      </w:r>
    </w:p>
    <w:p w14:paraId="54DEA45F" w14:textId="02AF3ED8" w:rsidR="00C86F6C" w:rsidRDefault="00000534" w:rsidP="00290C23">
      <w:pPr>
        <w:pStyle w:val="BodyTextkeepwithnext"/>
        <w:keepLines/>
      </w:pPr>
      <w:r w:rsidRPr="00630A55">
        <w:t xml:space="preserve">Considering the purpose of the IFR and the sampling methodology </w:t>
      </w:r>
      <w:r>
        <w:t xml:space="preserve">used to select </w:t>
      </w:r>
      <w:r w:rsidRPr="00630A55">
        <w:t xml:space="preserve">the respective sites within each jurisdiction, the absence of any one jurisdiction may impact the robustness of the IFR. During </w:t>
      </w:r>
      <w:r w:rsidR="00595A9F">
        <w:t>FY19/20</w:t>
      </w:r>
      <w:r w:rsidR="00B97476">
        <w:t>,</w:t>
      </w:r>
      <w:r w:rsidRPr="00630A55">
        <w:t xml:space="preserve"> Tasmania were unable to participate, while in </w:t>
      </w:r>
      <w:r w:rsidR="00595A9F">
        <w:t>FY20/21</w:t>
      </w:r>
      <w:r w:rsidRPr="00630A55">
        <w:t xml:space="preserve"> NSW were unable to participate</w:t>
      </w:r>
      <w:r>
        <w:t>. C</w:t>
      </w:r>
      <w:r w:rsidRPr="00630A55">
        <w:t xml:space="preserve">onsidering the percentage of </w:t>
      </w:r>
      <w:r>
        <w:t xml:space="preserve">the total </w:t>
      </w:r>
      <w:r w:rsidRPr="00630A55">
        <w:t>NHCDC costs the respective jurisdiction</w:t>
      </w:r>
      <w:r>
        <w:t>s</w:t>
      </w:r>
      <w:r w:rsidRPr="00630A55">
        <w:t xml:space="preserve"> represent, </w:t>
      </w:r>
      <w:r>
        <w:t xml:space="preserve">i.e. </w:t>
      </w:r>
      <w:r w:rsidRPr="00630A55">
        <w:t>2.5</w:t>
      </w:r>
      <w:r w:rsidR="00B97476">
        <w:t xml:space="preserve"> per cent</w:t>
      </w:r>
      <w:r w:rsidRPr="00630A55">
        <w:t xml:space="preserve"> for Tasmania and 28.6</w:t>
      </w:r>
      <w:r w:rsidR="00B97476">
        <w:t xml:space="preserve"> per cent</w:t>
      </w:r>
      <w:r w:rsidRPr="00630A55">
        <w:t xml:space="preserve"> for NSW, </w:t>
      </w:r>
      <w:r>
        <w:t xml:space="preserve">non-participation by a jurisdiction </w:t>
      </w:r>
      <w:r w:rsidRPr="00630A55">
        <w:t xml:space="preserve">can </w:t>
      </w:r>
      <w:r>
        <w:t>have a material impact on the objectives of the IFR. The ability for all jurisdictions to be able participate s</w:t>
      </w:r>
      <w:r w:rsidRPr="00630A55">
        <w:t xml:space="preserve">hould be considered when planning and scheduling </w:t>
      </w:r>
      <w:r>
        <w:t xml:space="preserve">future </w:t>
      </w:r>
      <w:r w:rsidRPr="00630A55">
        <w:t>IFR</w:t>
      </w:r>
      <w:r>
        <w:t>s</w:t>
      </w:r>
      <w:r w:rsidRPr="00630A55">
        <w:t>.</w:t>
      </w:r>
    </w:p>
    <w:p w14:paraId="159D28D8" w14:textId="5EFF64A0" w:rsidR="00A837F8" w:rsidRPr="00615002" w:rsidRDefault="00766E3C" w:rsidP="00615002">
      <w:pPr>
        <w:pStyle w:val="Heading2"/>
      </w:pPr>
      <w:bookmarkStart w:id="20" w:name="_Ref114829184"/>
      <w:bookmarkStart w:id="21" w:name="_Ref120089874"/>
      <w:bookmarkStart w:id="22" w:name="_Ref120089910"/>
      <w:bookmarkStart w:id="23" w:name="_Toc128376719"/>
      <w:r w:rsidRPr="00615002">
        <w:t>Recommendations</w:t>
      </w:r>
      <w:bookmarkEnd w:id="20"/>
      <w:r w:rsidR="00BB3A91">
        <w:t xml:space="preserve"> </w:t>
      </w:r>
      <w:r w:rsidR="00C6316A">
        <w:t>for future IFRs</w:t>
      </w:r>
      <w:bookmarkEnd w:id="21"/>
      <w:bookmarkEnd w:id="22"/>
      <w:bookmarkEnd w:id="23"/>
    </w:p>
    <w:p w14:paraId="07F83BA0" w14:textId="16EA5806" w:rsidR="00455953" w:rsidRDefault="00455953" w:rsidP="003E3232">
      <w:pPr>
        <w:pStyle w:val="BodyText1"/>
        <w:jc w:val="both"/>
      </w:pPr>
      <w:r w:rsidRPr="00630A55">
        <w:t xml:space="preserve">The recommendations from the </w:t>
      </w:r>
      <w:r w:rsidR="00595A9F">
        <w:t>FY20/21</w:t>
      </w:r>
      <w:r w:rsidRPr="00630A55">
        <w:t xml:space="preserve"> IFR focus on opportunities to further refine future IFRs. Feedback during the consult</w:t>
      </w:r>
      <w:r w:rsidR="00A24807">
        <w:t>ation</w:t>
      </w:r>
      <w:r w:rsidRPr="00630A55">
        <w:t>s highlighted that</w:t>
      </w:r>
      <w:r w:rsidR="00B97476">
        <w:t>,</w:t>
      </w:r>
      <w:r w:rsidRPr="00630A55">
        <w:t xml:space="preserve"> although the structure of the templates was </w:t>
      </w:r>
      <w:r>
        <w:t>modified</w:t>
      </w:r>
      <w:r w:rsidRPr="00630A55">
        <w:t xml:space="preserve"> from </w:t>
      </w:r>
      <w:r w:rsidR="00595A9F">
        <w:t>FY19/20</w:t>
      </w:r>
      <w:r w:rsidRPr="00630A55">
        <w:t xml:space="preserve">, there is still </w:t>
      </w:r>
      <w:r>
        <w:t>further opportunity to improve on</w:t>
      </w:r>
      <w:r w:rsidRPr="00630A55">
        <w:t xml:space="preserve"> the approach</w:t>
      </w:r>
      <w:r>
        <w:t xml:space="preserve">. </w:t>
      </w:r>
      <w:r w:rsidR="00203B0A">
        <w:t>O</w:t>
      </w:r>
      <w:r>
        <w:t xml:space="preserve">pportunities need to be considered that reflect the </w:t>
      </w:r>
      <w:r w:rsidRPr="00630A55">
        <w:t xml:space="preserve">maturity of costing across jurisdictions and </w:t>
      </w:r>
      <w:r>
        <w:t xml:space="preserve">improvements in </w:t>
      </w:r>
      <w:r w:rsidRPr="00630A55">
        <w:t>IHACPA’s data collection</w:t>
      </w:r>
      <w:r>
        <w:t xml:space="preserve"> processes. Future IFRs should look to leverage off current and future QA and data submission </w:t>
      </w:r>
      <w:r w:rsidRPr="00630A55">
        <w:t>processes, outputs and systems. The purpose and veracity of the IFR remain</w:t>
      </w:r>
      <w:r>
        <w:t>s</w:t>
      </w:r>
      <w:r w:rsidRPr="00630A55">
        <w:t xml:space="preserve"> of primary importance to all stakeholders.</w:t>
      </w:r>
    </w:p>
    <w:p w14:paraId="5AA7C5C5" w14:textId="6F9C468A" w:rsidR="00DA1C7B" w:rsidRDefault="001939D7" w:rsidP="003E3232">
      <w:pPr>
        <w:pStyle w:val="BodyText1"/>
        <w:jc w:val="both"/>
      </w:pPr>
      <w:r>
        <w:t>Key recommendations for future IFRs include</w:t>
      </w:r>
      <w:r w:rsidR="00D13876">
        <w:t xml:space="preserve"> additional improvements to</w:t>
      </w:r>
      <w:r w:rsidR="00EE6C99">
        <w:t xml:space="preserve"> the</w:t>
      </w:r>
      <w:r w:rsidR="00D13876">
        <w:t>:</w:t>
      </w:r>
    </w:p>
    <w:p w14:paraId="1CC8FB37" w14:textId="30B6DA6C" w:rsidR="00D13876" w:rsidRDefault="00290C23" w:rsidP="003E3232">
      <w:pPr>
        <w:pStyle w:val="Bullet1stlevel"/>
        <w:numPr>
          <w:ilvl w:val="0"/>
          <w:numId w:val="17"/>
        </w:numPr>
        <w:jc w:val="both"/>
      </w:pPr>
      <w:r>
        <w:t>S</w:t>
      </w:r>
      <w:r w:rsidR="00D13876">
        <w:t xml:space="preserve">tructure and approach taken </w:t>
      </w:r>
      <w:r w:rsidR="004A5D41">
        <w:t>to validate jurisdictional costing processes and data flow</w:t>
      </w:r>
    </w:p>
    <w:p w14:paraId="0D180DD4" w14:textId="7B7E2ED6" w:rsidR="00B63375" w:rsidRDefault="00290C23" w:rsidP="003E3232">
      <w:pPr>
        <w:pStyle w:val="Bullet1stlevel"/>
        <w:numPr>
          <w:ilvl w:val="0"/>
          <w:numId w:val="17"/>
        </w:numPr>
        <w:jc w:val="both"/>
      </w:pPr>
      <w:r>
        <w:t>D</w:t>
      </w:r>
      <w:r w:rsidR="00B63375">
        <w:t>evelop</w:t>
      </w:r>
      <w:r w:rsidR="00EE6C99">
        <w:t>ment</w:t>
      </w:r>
      <w:r w:rsidR="00B63375">
        <w:t xml:space="preserve"> and promot</w:t>
      </w:r>
      <w:r w:rsidR="00EE6C99">
        <w:t>ion of</w:t>
      </w:r>
      <w:r w:rsidR="00B63375">
        <w:t xml:space="preserve"> cost practitioner knowledge</w:t>
      </w:r>
    </w:p>
    <w:p w14:paraId="5A81B82A" w14:textId="5039B92E" w:rsidR="00B63375" w:rsidRDefault="00290C23" w:rsidP="003E3232">
      <w:pPr>
        <w:pStyle w:val="Bullet1stlevel"/>
        <w:numPr>
          <w:ilvl w:val="0"/>
          <w:numId w:val="17"/>
        </w:numPr>
        <w:jc w:val="both"/>
      </w:pPr>
      <w:r>
        <w:t>S</w:t>
      </w:r>
      <w:r w:rsidR="00EE6C99">
        <w:t>election and discussion of outcomes from review of focus areas</w:t>
      </w:r>
    </w:p>
    <w:p w14:paraId="1CDC72F2" w14:textId="742ACAB0" w:rsidR="00EE6C99" w:rsidRDefault="00290C23" w:rsidP="003E3232">
      <w:pPr>
        <w:pStyle w:val="Bullet1stlevel"/>
        <w:numPr>
          <w:ilvl w:val="0"/>
          <w:numId w:val="17"/>
        </w:numPr>
        <w:jc w:val="both"/>
      </w:pPr>
      <w:r>
        <w:t>S</w:t>
      </w:r>
      <w:r w:rsidR="00EE6C99">
        <w:t xml:space="preserve">cope of the </w:t>
      </w:r>
      <w:r w:rsidR="00B15233">
        <w:t>IFR with respect to sampling LHNs</w:t>
      </w:r>
    </w:p>
    <w:p w14:paraId="64B6E00F" w14:textId="527697D2" w:rsidR="00B15233" w:rsidRPr="00630A55" w:rsidRDefault="00290C23" w:rsidP="003E3232">
      <w:pPr>
        <w:pStyle w:val="Bullet1stlevel"/>
        <w:numPr>
          <w:ilvl w:val="0"/>
          <w:numId w:val="17"/>
        </w:numPr>
        <w:jc w:val="both"/>
      </w:pPr>
      <w:r>
        <w:t>S</w:t>
      </w:r>
      <w:r w:rsidR="00B15233">
        <w:t xml:space="preserve">haring of jurisdictional lessons and insights. </w:t>
      </w:r>
    </w:p>
    <w:p w14:paraId="5A408640" w14:textId="77777777" w:rsidR="007F51A8" w:rsidRDefault="00D35E9D" w:rsidP="00987AFD">
      <w:pPr>
        <w:pStyle w:val="Heading3"/>
      </w:pPr>
      <w:r w:rsidRPr="00A16B1D">
        <w:t>Structure and approach for</w:t>
      </w:r>
      <w:r w:rsidR="007F51A8" w:rsidRPr="00A16B1D">
        <w:t xml:space="preserve"> future IFRs</w:t>
      </w:r>
    </w:p>
    <w:p w14:paraId="2CBDE64B" w14:textId="77777777" w:rsidR="00041640" w:rsidRPr="00630A55" w:rsidRDefault="00041640" w:rsidP="003E3232">
      <w:pPr>
        <w:pStyle w:val="BodyText"/>
      </w:pPr>
      <w:r w:rsidRPr="00630A55">
        <w:t xml:space="preserve">The current approach to the IFR is focused on ‘stepping through’ the costing process to validate the data (financial and activity) used by the hospitals or health networks, from the source </w:t>
      </w:r>
      <w:r w:rsidR="005D0B08">
        <w:t>systems to</w:t>
      </w:r>
      <w:r w:rsidR="005D0B08" w:rsidRPr="00630A55">
        <w:t xml:space="preserve"> the final submission to IHACPA. This process is achieved by the participants </w:t>
      </w:r>
      <w:r w:rsidR="005D0B08">
        <w:t xml:space="preserve">in </w:t>
      </w:r>
      <w:r w:rsidR="005D0B08" w:rsidRPr="00630A55">
        <w:t xml:space="preserve">the review completing a template that replicates the </w:t>
      </w:r>
      <w:r w:rsidR="005D0B08">
        <w:t>key steps in</w:t>
      </w:r>
      <w:r>
        <w:t xml:space="preserve"> the </w:t>
      </w:r>
      <w:r w:rsidRPr="00630A55">
        <w:t>costing process.</w:t>
      </w:r>
    </w:p>
    <w:p w14:paraId="4B851A61" w14:textId="703F9007" w:rsidR="001A2E17" w:rsidRPr="00630A55" w:rsidRDefault="001A2E17" w:rsidP="003E3232">
      <w:pPr>
        <w:jc w:val="both"/>
      </w:pPr>
      <w:r w:rsidRPr="00630A55">
        <w:t xml:space="preserve">Consistent with a recommendation </w:t>
      </w:r>
      <w:r>
        <w:t xml:space="preserve">from the </w:t>
      </w:r>
      <w:r w:rsidR="00595A9F">
        <w:t>FY19/20</w:t>
      </w:r>
      <w:r w:rsidRPr="00630A55">
        <w:t xml:space="preserve"> IFR, the review process should continue, however it is </w:t>
      </w:r>
      <w:r>
        <w:t xml:space="preserve">was </w:t>
      </w:r>
      <w:r w:rsidRPr="00630A55">
        <w:t xml:space="preserve">recommended that the approach and focus of future IFRs should change. </w:t>
      </w:r>
      <w:r>
        <w:t xml:space="preserve">Changes </w:t>
      </w:r>
      <w:r w:rsidRPr="00630A55">
        <w:t xml:space="preserve">did occur for </w:t>
      </w:r>
      <w:r w:rsidR="00595A9F">
        <w:t>FY20/21</w:t>
      </w:r>
      <w:r w:rsidRPr="00630A55">
        <w:t xml:space="preserve"> with the simplification of the </w:t>
      </w:r>
      <w:r>
        <w:t xml:space="preserve">data collection </w:t>
      </w:r>
      <w:r w:rsidRPr="00630A55">
        <w:t>templates and further discussion on focus areas. However</w:t>
      </w:r>
      <w:r w:rsidR="00F76521">
        <w:t>,</w:t>
      </w:r>
      <w:r w:rsidRPr="00630A55">
        <w:t xml:space="preserve"> </w:t>
      </w:r>
      <w:r>
        <w:t xml:space="preserve">the opportunity for </w:t>
      </w:r>
      <w:r w:rsidRPr="00630A55">
        <w:t>further enhancements to the template</w:t>
      </w:r>
      <w:r>
        <w:t>s</w:t>
      </w:r>
      <w:r w:rsidRPr="00630A55">
        <w:t xml:space="preserve"> and the </w:t>
      </w:r>
      <w:r>
        <w:t xml:space="preserve">overall </w:t>
      </w:r>
      <w:r w:rsidRPr="00630A55">
        <w:t xml:space="preserve">process were discussed during the </w:t>
      </w:r>
      <w:r>
        <w:t xml:space="preserve">site and jurisdictional </w:t>
      </w:r>
      <w:r w:rsidRPr="00630A55">
        <w:t xml:space="preserve">consultations, specifically </w:t>
      </w:r>
      <w:r w:rsidR="00F76521">
        <w:t xml:space="preserve">that </w:t>
      </w:r>
      <w:r w:rsidRPr="00630A55">
        <w:t>future IFRs should consider:</w:t>
      </w:r>
    </w:p>
    <w:p w14:paraId="4C51E7BC" w14:textId="70BC00F2" w:rsidR="001A2E17" w:rsidRPr="00630A55" w:rsidRDefault="00C86F6C" w:rsidP="003E3232">
      <w:pPr>
        <w:pStyle w:val="Bullet1stlevel"/>
        <w:jc w:val="both"/>
      </w:pPr>
      <w:r>
        <w:t>U</w:t>
      </w:r>
      <w:r w:rsidR="001A2E17" w:rsidRPr="00630A55">
        <w:t xml:space="preserve">sing more of the information </w:t>
      </w:r>
      <w:r w:rsidR="001A2E17">
        <w:t xml:space="preserve">that is already </w:t>
      </w:r>
      <w:r w:rsidR="001A2E17" w:rsidRPr="00630A55">
        <w:t xml:space="preserve">available and provided by jurisdictions by either pre-populating the template or discussing the various </w:t>
      </w:r>
      <w:r w:rsidR="001A2E17">
        <w:t>reports submitted</w:t>
      </w:r>
      <w:r>
        <w:t>.</w:t>
      </w:r>
    </w:p>
    <w:p w14:paraId="7D33F1BB" w14:textId="18EDA434" w:rsidR="001A2E17" w:rsidRDefault="00C86F6C" w:rsidP="003E3232">
      <w:pPr>
        <w:pStyle w:val="Bullet1stlevel"/>
        <w:jc w:val="both"/>
      </w:pPr>
      <w:r>
        <w:t>E</w:t>
      </w:r>
      <w:r w:rsidR="001A2E17" w:rsidRPr="00630A55">
        <w:t>arly engagement with the</w:t>
      </w:r>
      <w:r w:rsidR="005106CF">
        <w:t xml:space="preserve"> </w:t>
      </w:r>
      <w:r w:rsidR="005106CF" w:rsidRPr="00630A55">
        <w:rPr>
          <w:rFonts w:cs="Arial"/>
          <w:color w:val="000000"/>
          <w:lang w:eastAsia="en-AU"/>
        </w:rPr>
        <w:t>NHCDC Advisory Committee</w:t>
      </w:r>
      <w:r w:rsidR="001A2E17" w:rsidRPr="00630A55">
        <w:t xml:space="preserve"> </w:t>
      </w:r>
      <w:r w:rsidR="005106CF">
        <w:t>(</w:t>
      </w:r>
      <w:r w:rsidR="001A2E17" w:rsidRPr="00630A55">
        <w:t>NAC</w:t>
      </w:r>
      <w:r w:rsidR="005106CF">
        <w:t>)</w:t>
      </w:r>
      <w:r w:rsidR="001A2E17" w:rsidRPr="00630A55">
        <w:t xml:space="preserve"> </w:t>
      </w:r>
      <w:r w:rsidR="001A2E17">
        <w:t>including a p</w:t>
      </w:r>
      <w:r w:rsidR="001A2E17" w:rsidRPr="00630A55">
        <w:t>re-briefing o</w:t>
      </w:r>
      <w:r w:rsidR="001A2E17">
        <w:t>n the process proposed for the next I</w:t>
      </w:r>
      <w:r w:rsidR="001A2E17" w:rsidRPr="00630A55">
        <w:t>FR</w:t>
      </w:r>
      <w:r w:rsidR="001A2E17">
        <w:t xml:space="preserve">, e.g. </w:t>
      </w:r>
      <w:r w:rsidR="001A2E17" w:rsidRPr="00630A55">
        <w:t xml:space="preserve">data requirements </w:t>
      </w:r>
      <w:r w:rsidR="001A2E17">
        <w:t>and proposed focus areas</w:t>
      </w:r>
      <w:r>
        <w:t>.</w:t>
      </w:r>
    </w:p>
    <w:p w14:paraId="505C08CA" w14:textId="5F1DD879" w:rsidR="00612E96" w:rsidRDefault="00C86F6C" w:rsidP="003E3232">
      <w:pPr>
        <w:pStyle w:val="Bullet1stlevel"/>
        <w:jc w:val="both"/>
      </w:pPr>
      <w:r>
        <w:t>F</w:t>
      </w:r>
      <w:r w:rsidR="00612E96">
        <w:t xml:space="preserve">ace to face and virtual options should be available for all future IFRs to increase peer group </w:t>
      </w:r>
      <w:r w:rsidR="006F1873">
        <w:t>participation</w:t>
      </w:r>
      <w:r>
        <w:t>.</w:t>
      </w:r>
    </w:p>
    <w:p w14:paraId="4CCD9C5A" w14:textId="2BDF6379" w:rsidR="001A2E17" w:rsidRPr="00630A55" w:rsidRDefault="0020066F" w:rsidP="003E3232">
      <w:pPr>
        <w:pStyle w:val="Bullet1stlevel"/>
        <w:jc w:val="both"/>
      </w:pPr>
      <w:r>
        <w:lastRenderedPageBreak/>
        <w:t>A</w:t>
      </w:r>
      <w:r w:rsidR="001A2E17">
        <w:t xml:space="preserve">ligning the timing of the </w:t>
      </w:r>
      <w:r w:rsidR="001A2E17" w:rsidRPr="00630A55">
        <w:t xml:space="preserve">IFR </w:t>
      </w:r>
      <w:r w:rsidR="001A2E17">
        <w:t xml:space="preserve">more </w:t>
      </w:r>
      <w:r w:rsidR="001A2E17" w:rsidRPr="00630A55">
        <w:t>close</w:t>
      </w:r>
      <w:r w:rsidR="001A2E17">
        <w:t xml:space="preserve">ly with the timing of the </w:t>
      </w:r>
      <w:r w:rsidR="001A2E17" w:rsidRPr="00630A55">
        <w:t xml:space="preserve">submission </w:t>
      </w:r>
      <w:r w:rsidR="001A2E17">
        <w:t xml:space="preserve">of data by health services to jurisdictions and jurisdictions to IHACPA to </w:t>
      </w:r>
      <w:r w:rsidR="001A2E17" w:rsidRPr="00630A55">
        <w:t>make data capture for the IFR timely and relevant</w:t>
      </w:r>
      <w:r w:rsidR="00C86F6C">
        <w:t>.</w:t>
      </w:r>
    </w:p>
    <w:p w14:paraId="06F407A2" w14:textId="1A2CEEB2" w:rsidR="001A2E17" w:rsidRPr="00630A55" w:rsidRDefault="001A2E17" w:rsidP="003E3232">
      <w:pPr>
        <w:pStyle w:val="Bullet1stlevel"/>
        <w:jc w:val="both"/>
      </w:pPr>
      <w:r w:rsidRPr="00630A55">
        <w:t xml:space="preserve">LHNs should be more involved in </w:t>
      </w:r>
      <w:r w:rsidR="0018733A">
        <w:t xml:space="preserve">the jurisdiction end to end process </w:t>
      </w:r>
      <w:r w:rsidR="004159EC">
        <w:t>for</w:t>
      </w:r>
      <w:r w:rsidRPr="00630A55">
        <w:t xml:space="preserve"> data submission</w:t>
      </w:r>
      <w:r>
        <w:t>s to IHACPA</w:t>
      </w:r>
      <w:r w:rsidRPr="00630A55">
        <w:t xml:space="preserve"> and receive </w:t>
      </w:r>
      <w:r>
        <w:t xml:space="preserve">the </w:t>
      </w:r>
      <w:r w:rsidRPr="00630A55">
        <w:t>QA reports provided by IHACPA</w:t>
      </w:r>
      <w:r w:rsidR="00E908D7">
        <w:t>;</w:t>
      </w:r>
      <w:r w:rsidRPr="00630A55">
        <w:t xml:space="preserve"> this data should be utilised in the IFR</w:t>
      </w:r>
      <w:r w:rsidR="00C86F6C">
        <w:t>.</w:t>
      </w:r>
    </w:p>
    <w:p w14:paraId="5AD58AA5" w14:textId="52DB6CC3" w:rsidR="001A2E17" w:rsidRPr="00630A55" w:rsidRDefault="003C448A" w:rsidP="003E3232">
      <w:pPr>
        <w:pStyle w:val="Bullet1stlevel"/>
        <w:jc w:val="both"/>
      </w:pPr>
      <w:r w:rsidRPr="003C448A">
        <w:t>Templates should be further enhanced for ease of completion for FY20</w:t>
      </w:r>
      <w:r>
        <w:t>/21</w:t>
      </w:r>
      <w:r w:rsidR="00A24807">
        <w:t>,</w:t>
      </w:r>
      <w:r w:rsidR="0018733A">
        <w:t xml:space="preserve"> and </w:t>
      </w:r>
      <w:r w:rsidR="00E908D7">
        <w:t>f</w:t>
      </w:r>
      <w:r w:rsidR="001A2E17" w:rsidRPr="00630A55">
        <w:t xml:space="preserve">uture templates should </w:t>
      </w:r>
      <w:r w:rsidR="001A2E17">
        <w:t>only be completed by an</w:t>
      </w:r>
      <w:r w:rsidR="001A2E17" w:rsidRPr="00630A55">
        <w:t xml:space="preserve"> LHN, </w:t>
      </w:r>
      <w:r w:rsidR="001A2E17">
        <w:t xml:space="preserve">to </w:t>
      </w:r>
      <w:r w:rsidR="001A2E17" w:rsidRPr="00630A55">
        <w:t xml:space="preserve">align with the Audited Financial Statements, the starting point for the </w:t>
      </w:r>
      <w:r w:rsidR="001A2E17">
        <w:t xml:space="preserve">financial </w:t>
      </w:r>
      <w:r w:rsidR="001A2E17" w:rsidRPr="00630A55">
        <w:t>reconciliations</w:t>
      </w:r>
      <w:r w:rsidR="00C86F6C">
        <w:t>.</w:t>
      </w:r>
    </w:p>
    <w:p w14:paraId="4D34D001" w14:textId="6D392EEB" w:rsidR="001A2E17" w:rsidRPr="00630A55" w:rsidRDefault="00C86F6C" w:rsidP="003E3232">
      <w:pPr>
        <w:pStyle w:val="Bullet1stlevel"/>
        <w:jc w:val="both"/>
      </w:pPr>
      <w:r>
        <w:t>T</w:t>
      </w:r>
      <w:r w:rsidR="001A2E17" w:rsidRPr="00630A55">
        <w:t xml:space="preserve">he potential to extend </w:t>
      </w:r>
      <w:r w:rsidR="001A2E17">
        <w:t xml:space="preserve">or redesign the </w:t>
      </w:r>
      <w:r w:rsidR="001A2E17" w:rsidRPr="00630A55">
        <w:t xml:space="preserve">site visits to </w:t>
      </w:r>
      <w:r w:rsidR="001A2E17">
        <w:t>enable the</w:t>
      </w:r>
      <w:r w:rsidR="001A2E17" w:rsidRPr="00630A55">
        <w:t xml:space="preserve"> early drafting of the </w:t>
      </w:r>
      <w:r w:rsidR="001A2E17">
        <w:t xml:space="preserve">health service and jurisdictional </w:t>
      </w:r>
      <w:r w:rsidR="001A2E17" w:rsidRPr="00630A55">
        <w:t>chapter and validation of data closer to the consultations, removing timing issues between waiting for data and responses</w:t>
      </w:r>
      <w:r w:rsidR="001A2E17">
        <w:t>.</w:t>
      </w:r>
    </w:p>
    <w:p w14:paraId="2CFFFD3F" w14:textId="4A26AB02" w:rsidR="00DF7739" w:rsidRDefault="00DF7739" w:rsidP="00DF7739">
      <w:pPr>
        <w:pStyle w:val="Heading3"/>
      </w:pPr>
      <w:r w:rsidRPr="00A16B1D">
        <w:t>Developing and promoting cost practitioner knowledge</w:t>
      </w:r>
    </w:p>
    <w:p w14:paraId="724094E1" w14:textId="3472309D" w:rsidR="008C264F" w:rsidRPr="00630A55" w:rsidRDefault="008C264F" w:rsidP="003E3232">
      <w:pPr>
        <w:jc w:val="both"/>
      </w:pPr>
      <w:r w:rsidRPr="00630A55">
        <w:t xml:space="preserve">During </w:t>
      </w:r>
      <w:r>
        <w:t xml:space="preserve">the </w:t>
      </w:r>
      <w:r w:rsidRPr="00630A55">
        <w:t>consultation</w:t>
      </w:r>
      <w:r>
        <w:t xml:space="preserve"> phase</w:t>
      </w:r>
      <w:r w:rsidR="00DE7EEE">
        <w:t>,</w:t>
      </w:r>
      <w:r w:rsidRPr="00630A55">
        <w:t xml:space="preserve"> it was evident that the impact of departing cost practitioners was significant for several jurisdictions. This recommendation was proposed last year and should again be </w:t>
      </w:r>
      <w:r>
        <w:t>a f</w:t>
      </w:r>
      <w:r w:rsidRPr="00630A55">
        <w:t>ocus for the costing community. The following should be considered:</w:t>
      </w:r>
    </w:p>
    <w:p w14:paraId="329C823C" w14:textId="40D5B232" w:rsidR="008C264F" w:rsidRPr="00630A55" w:rsidRDefault="008C264F" w:rsidP="003E3232">
      <w:pPr>
        <w:pStyle w:val="Bullet1stlevel"/>
        <w:jc w:val="both"/>
      </w:pPr>
      <w:r w:rsidRPr="00630A55">
        <w:t xml:space="preserve">The IFR is a good introduction to the full costing process for those practitioners </w:t>
      </w:r>
      <w:r w:rsidR="0049328B">
        <w:t>who</w:t>
      </w:r>
      <w:r w:rsidR="0049328B" w:rsidRPr="00630A55">
        <w:t xml:space="preserve"> </w:t>
      </w:r>
      <w:r w:rsidRPr="00630A55">
        <w:t>do</w:t>
      </w:r>
      <w:r>
        <w:t xml:space="preserve"> </w:t>
      </w:r>
      <w:r w:rsidRPr="00630A55">
        <w:t>n</w:t>
      </w:r>
      <w:r>
        <w:t>o</w:t>
      </w:r>
      <w:r w:rsidRPr="00630A55">
        <w:t xml:space="preserve">t </w:t>
      </w:r>
      <w:r>
        <w:t xml:space="preserve">have </w:t>
      </w:r>
      <w:r w:rsidRPr="00630A55">
        <w:t>visibility beyond their hospital/LHN</w:t>
      </w:r>
      <w:r w:rsidR="0049328B">
        <w:t>.</w:t>
      </w:r>
      <w:r w:rsidRPr="00630A55">
        <w:t xml:space="preserve"> </w:t>
      </w:r>
      <w:r w:rsidR="0049328B">
        <w:t>E</w:t>
      </w:r>
      <w:r w:rsidRPr="00630A55">
        <w:t xml:space="preserve">arlier engagement via the NAC with local </w:t>
      </w:r>
      <w:r w:rsidR="007138D9">
        <w:t>C</w:t>
      </w:r>
      <w:r w:rsidRPr="00630A55">
        <w:t>osting teams could encourage further participation in the IFR especially considering the virtual nature of recent IFRs.</w:t>
      </w:r>
    </w:p>
    <w:p w14:paraId="137049C0" w14:textId="08FB1D7E" w:rsidR="00B52FCF" w:rsidRPr="00630A55" w:rsidRDefault="009B1D55" w:rsidP="003E3232">
      <w:pPr>
        <w:pStyle w:val="Bullet1stlevel"/>
        <w:jc w:val="both"/>
      </w:pPr>
      <w:r w:rsidRPr="00630A55">
        <w:t>Beyond the IFR, m</w:t>
      </w:r>
      <w:r w:rsidR="00DF7739" w:rsidRPr="00630A55">
        <w:t>ore formal knowledge sharing</w:t>
      </w:r>
      <w:r w:rsidRPr="00630A55">
        <w:t xml:space="preserve"> or </w:t>
      </w:r>
      <w:r w:rsidR="00DF7739" w:rsidRPr="00630A55">
        <w:t>forum</w:t>
      </w:r>
      <w:r w:rsidRPr="00630A55">
        <w:t>s</w:t>
      </w:r>
      <w:r w:rsidR="00DF7739" w:rsidRPr="00630A55">
        <w:t xml:space="preserve"> to showcase how </w:t>
      </w:r>
      <w:r w:rsidR="00690B72" w:rsidRPr="00630A55">
        <w:t xml:space="preserve">different </w:t>
      </w:r>
      <w:r w:rsidR="007138D9">
        <w:t>C</w:t>
      </w:r>
      <w:r w:rsidR="00690B72" w:rsidRPr="00630A55">
        <w:t xml:space="preserve">osting teams </w:t>
      </w:r>
      <w:r w:rsidR="00DF7739" w:rsidRPr="00630A55">
        <w:t>use the data</w:t>
      </w:r>
      <w:r w:rsidR="00690B72" w:rsidRPr="00630A55">
        <w:t xml:space="preserve"> or any new developments in </w:t>
      </w:r>
      <w:r w:rsidR="00B52FCF" w:rsidRPr="00630A55">
        <w:t xml:space="preserve">activity </w:t>
      </w:r>
      <w:r w:rsidR="00690B72" w:rsidRPr="00630A55">
        <w:t>feeder files</w:t>
      </w:r>
      <w:r w:rsidR="00B52FCF" w:rsidRPr="00630A55">
        <w:t xml:space="preserve"> can be valuable for all levels of costing practitioners.</w:t>
      </w:r>
    </w:p>
    <w:p w14:paraId="135BEEFA" w14:textId="373F9B52" w:rsidR="00A669FD" w:rsidRPr="00630A55" w:rsidRDefault="00A669FD" w:rsidP="003E3232">
      <w:pPr>
        <w:pStyle w:val="Bullet1stlevel"/>
        <w:jc w:val="both"/>
      </w:pPr>
      <w:r w:rsidRPr="00630A55">
        <w:t>At a jurisdictional level</w:t>
      </w:r>
      <w:r w:rsidR="000A6FB9">
        <w:t>,</w:t>
      </w:r>
      <w:r w:rsidRPr="00630A55">
        <w:t xml:space="preserve"> there is a strong appetite </w:t>
      </w:r>
      <w:r w:rsidR="00B11CFA" w:rsidRPr="00630A55">
        <w:t xml:space="preserve">for contacts to meet and go through the consolidated findings (IHACPA QA reports </w:t>
      </w:r>
      <w:r w:rsidR="00A0739B" w:rsidRPr="00630A55">
        <w:t>could be a starting point) and learn from one another</w:t>
      </w:r>
      <w:r w:rsidR="00A24807">
        <w:t>;</w:t>
      </w:r>
      <w:r w:rsidR="009C2604">
        <w:t xml:space="preserve"> a </w:t>
      </w:r>
      <w:r w:rsidR="0004478E">
        <w:t>structured</w:t>
      </w:r>
      <w:r w:rsidR="009C2604">
        <w:t xml:space="preserve"> forum </w:t>
      </w:r>
      <w:r w:rsidR="00993F35">
        <w:t>for these discussions should be implemented</w:t>
      </w:r>
      <w:r w:rsidR="00A0739B" w:rsidRPr="00630A55">
        <w:t>.</w:t>
      </w:r>
    </w:p>
    <w:p w14:paraId="6B8EF629" w14:textId="2B1A4DAD" w:rsidR="00DF7739" w:rsidRPr="00630A55" w:rsidRDefault="00870A41" w:rsidP="003E3232">
      <w:pPr>
        <w:pStyle w:val="Bullet1stlevel"/>
        <w:jc w:val="both"/>
      </w:pPr>
      <w:r>
        <w:t xml:space="preserve">A number of </w:t>
      </w:r>
      <w:r w:rsidR="00D35B6B">
        <w:t>smaller jurisdictions were</w:t>
      </w:r>
      <w:r w:rsidR="00C43843">
        <w:t xml:space="preserve"> </w:t>
      </w:r>
      <w:r w:rsidR="00C43843" w:rsidRPr="00630A55">
        <w:t xml:space="preserve">impacted by the loss of </w:t>
      </w:r>
      <w:r w:rsidR="005632A9" w:rsidRPr="00630A55">
        <w:t xml:space="preserve">key </w:t>
      </w:r>
      <w:r w:rsidR="00C43843" w:rsidRPr="00630A55">
        <w:t>costing</w:t>
      </w:r>
      <w:r w:rsidR="005632A9" w:rsidRPr="00630A55">
        <w:t xml:space="preserve"> personnel</w:t>
      </w:r>
      <w:r w:rsidR="001A6F93">
        <w:t xml:space="preserve"> for </w:t>
      </w:r>
      <w:r w:rsidR="00B84B05">
        <w:t>FY20/21</w:t>
      </w:r>
      <w:r w:rsidR="006D0353">
        <w:t>.</w:t>
      </w:r>
      <w:r w:rsidR="008C039C" w:rsidRPr="00630A55">
        <w:t xml:space="preserve"> </w:t>
      </w:r>
      <w:r w:rsidR="00203B0A">
        <w:t>T</w:t>
      </w:r>
      <w:r w:rsidR="005632A9" w:rsidRPr="00630A55">
        <w:t xml:space="preserve">he </w:t>
      </w:r>
      <w:r w:rsidR="001A6F93">
        <w:t>Northern Territory (NT)</w:t>
      </w:r>
      <w:r w:rsidR="00F92A34">
        <w:t xml:space="preserve"> aligned </w:t>
      </w:r>
      <w:r w:rsidR="00FC1D9B">
        <w:t xml:space="preserve">the </w:t>
      </w:r>
      <w:r w:rsidR="00D03819">
        <w:t xml:space="preserve">costing and health information </w:t>
      </w:r>
      <w:r w:rsidR="00FC1D9B">
        <w:t>team</w:t>
      </w:r>
      <w:r w:rsidR="00D03819">
        <w:t xml:space="preserve"> to the finance function</w:t>
      </w:r>
      <w:r w:rsidR="00203B0A">
        <w:t xml:space="preserve"> to improve longer term sustainability</w:t>
      </w:r>
      <w:r w:rsidR="00FC1D9B">
        <w:t>,</w:t>
      </w:r>
      <w:r w:rsidR="00D03819">
        <w:t xml:space="preserve"> together with</w:t>
      </w:r>
      <w:r w:rsidR="005632A9">
        <w:t xml:space="preserve"> </w:t>
      </w:r>
      <w:r w:rsidR="005632A9" w:rsidRPr="00630A55">
        <w:t>developing a formal ‘internshi</w:t>
      </w:r>
      <w:r w:rsidR="00A1239B" w:rsidRPr="00630A55">
        <w:t xml:space="preserve">p’ for costing practitioners and those interested in costing </w:t>
      </w:r>
      <w:r w:rsidR="001D4ACD">
        <w:t>that</w:t>
      </w:r>
      <w:r w:rsidR="00A1239B" w:rsidRPr="00630A55">
        <w:t xml:space="preserve"> involves training, </w:t>
      </w:r>
      <w:r w:rsidR="00203B0A" w:rsidRPr="00630A55">
        <w:t>rotations,</w:t>
      </w:r>
      <w:r w:rsidR="00125BBC" w:rsidRPr="00630A55">
        <w:t xml:space="preserve"> and forums. The </w:t>
      </w:r>
      <w:r w:rsidR="009A4FC2">
        <w:t>a</w:t>
      </w:r>
      <w:r w:rsidR="003D0E4A">
        <w:t>mbition</w:t>
      </w:r>
      <w:r w:rsidR="00125BBC" w:rsidRPr="00630A55">
        <w:t xml:space="preserve"> is </w:t>
      </w:r>
      <w:r w:rsidR="007E4071" w:rsidRPr="00630A55">
        <w:t xml:space="preserve">that </w:t>
      </w:r>
      <w:r w:rsidR="00125BBC" w:rsidRPr="00630A55">
        <w:t>this will</w:t>
      </w:r>
      <w:r w:rsidR="00BC1BFE">
        <w:t xml:space="preserve"> provide alternative career paths for</w:t>
      </w:r>
      <w:r w:rsidR="00A6637C">
        <w:t xml:space="preserve"> costing and finance staff alike, </w:t>
      </w:r>
      <w:r w:rsidR="00125BBC" w:rsidRPr="00630A55">
        <w:t>broaden</w:t>
      </w:r>
      <w:r w:rsidR="00A6637C">
        <w:t>ing</w:t>
      </w:r>
      <w:r w:rsidR="00125BBC" w:rsidRPr="00630A55">
        <w:t xml:space="preserve"> the pool </w:t>
      </w:r>
      <w:r w:rsidR="007E4071" w:rsidRPr="00630A55">
        <w:t xml:space="preserve">of </w:t>
      </w:r>
      <w:r w:rsidR="00A6637C">
        <w:t xml:space="preserve">costing </w:t>
      </w:r>
      <w:r w:rsidR="007E4071" w:rsidRPr="00630A55">
        <w:t xml:space="preserve">staff </w:t>
      </w:r>
      <w:r w:rsidR="00A6637C">
        <w:t>i</w:t>
      </w:r>
      <w:r w:rsidR="007E4071" w:rsidRPr="00630A55">
        <w:t>n the future</w:t>
      </w:r>
      <w:r w:rsidR="00294C76">
        <w:t>, something other jurisdictions should cons</w:t>
      </w:r>
      <w:r w:rsidR="00F6709E">
        <w:t>ider implementing</w:t>
      </w:r>
      <w:r w:rsidR="007E4071" w:rsidRPr="00630A55">
        <w:t>.</w:t>
      </w:r>
    </w:p>
    <w:p w14:paraId="46E43854" w14:textId="7FC610DC" w:rsidR="00A669FD" w:rsidRPr="00630A55" w:rsidRDefault="00A0739B" w:rsidP="003E3232">
      <w:pPr>
        <w:pStyle w:val="Bullet1stlevel"/>
        <w:jc w:val="both"/>
      </w:pPr>
      <w:r w:rsidRPr="00630A55">
        <w:t xml:space="preserve">A </w:t>
      </w:r>
      <w:r w:rsidR="00C94B5D" w:rsidRPr="00630A55">
        <w:t>recommendation</w:t>
      </w:r>
      <w:r w:rsidRPr="00630A55">
        <w:t xml:space="preserve"> from </w:t>
      </w:r>
      <w:r w:rsidR="00595A9F">
        <w:t>FY19/20</w:t>
      </w:r>
      <w:r w:rsidR="00C803D2">
        <w:t xml:space="preserve"> was</w:t>
      </w:r>
      <w:r w:rsidR="00C94B5D" w:rsidRPr="00630A55">
        <w:t xml:space="preserve"> the idea to </w:t>
      </w:r>
      <w:r w:rsidR="00A669FD" w:rsidRPr="00630A55">
        <w:t xml:space="preserve">elevate the role of the costing practitioner </w:t>
      </w:r>
      <w:r w:rsidR="00C12A50" w:rsidRPr="00630A55">
        <w:t xml:space="preserve">through a professional body. </w:t>
      </w:r>
      <w:r w:rsidR="00C803D2">
        <w:t>Formal d</w:t>
      </w:r>
      <w:r w:rsidR="00A669FD" w:rsidRPr="00630A55">
        <w:t xml:space="preserve">iscussions </w:t>
      </w:r>
      <w:r w:rsidR="00C12A50" w:rsidRPr="00630A55">
        <w:t xml:space="preserve">should </w:t>
      </w:r>
      <w:r w:rsidR="00A669FD" w:rsidRPr="00630A55">
        <w:t>be held with a relevant professional body, for example the Health Finance Management Association (HFMA), regarding hosting a costing focus group as part of its broader remit.</w:t>
      </w:r>
    </w:p>
    <w:p w14:paraId="1B4185F8" w14:textId="2410836E" w:rsidR="007F51A8" w:rsidRPr="00A16B1D" w:rsidRDefault="007F51A8" w:rsidP="00987AFD">
      <w:pPr>
        <w:pStyle w:val="Heading3"/>
      </w:pPr>
      <w:r w:rsidRPr="00A16B1D">
        <w:t>Focus areas</w:t>
      </w:r>
    </w:p>
    <w:p w14:paraId="582CED25" w14:textId="16CA5DE4" w:rsidR="003436EB" w:rsidRPr="00630A55" w:rsidRDefault="003436EB" w:rsidP="003E3232">
      <w:pPr>
        <w:pStyle w:val="BodyText"/>
      </w:pPr>
      <w:r w:rsidRPr="00630A55">
        <w:t>During the consultations</w:t>
      </w:r>
      <w:r w:rsidR="00CD196D">
        <w:t>,</w:t>
      </w:r>
      <w:r w:rsidRPr="00630A55">
        <w:t xml:space="preserve"> the discussion of the </w:t>
      </w:r>
      <w:r>
        <w:t xml:space="preserve">selected </w:t>
      </w:r>
      <w:r w:rsidRPr="00630A55">
        <w:t xml:space="preserve">focus areas provided context for how the services were run and highlighted any changes in practice that </w:t>
      </w:r>
      <w:r>
        <w:t xml:space="preserve">may have </w:t>
      </w:r>
      <w:r w:rsidRPr="00630A55">
        <w:t>impacted costs</w:t>
      </w:r>
      <w:r w:rsidR="00CD196D">
        <w:t>. H</w:t>
      </w:r>
      <w:r w:rsidRPr="00630A55">
        <w:t>owever</w:t>
      </w:r>
      <w:r w:rsidR="00CD196D">
        <w:t>,</w:t>
      </w:r>
      <w:r w:rsidRPr="00630A55">
        <w:t xml:space="preserve"> the following changes were suggested:</w:t>
      </w:r>
    </w:p>
    <w:p w14:paraId="38C9C396" w14:textId="3BBAA9FE" w:rsidR="00B6520A" w:rsidRPr="00630A55" w:rsidRDefault="00871DB5" w:rsidP="003E3232">
      <w:pPr>
        <w:pStyle w:val="Bullet1stlevel"/>
        <w:jc w:val="both"/>
      </w:pPr>
      <w:r w:rsidRPr="00630A55">
        <w:t>T</w:t>
      </w:r>
      <w:r w:rsidR="00C45872" w:rsidRPr="00630A55">
        <w:t xml:space="preserve">here should be a clear reason </w:t>
      </w:r>
      <w:r w:rsidR="00104718" w:rsidRPr="00630A55">
        <w:t>i</w:t>
      </w:r>
      <w:r w:rsidR="00816745" w:rsidRPr="00630A55">
        <w:t xml:space="preserve">n determining </w:t>
      </w:r>
      <w:r w:rsidR="00104718" w:rsidRPr="00630A55">
        <w:t>and select</w:t>
      </w:r>
      <w:r w:rsidR="00135F27">
        <w:t>ing</w:t>
      </w:r>
      <w:r w:rsidR="00104718" w:rsidRPr="00630A55">
        <w:t xml:space="preserve"> </w:t>
      </w:r>
      <w:r w:rsidR="00816745" w:rsidRPr="00630A55">
        <w:t>focus areas</w:t>
      </w:r>
      <w:r w:rsidR="003C7F20" w:rsidRPr="00630A55">
        <w:t xml:space="preserve"> </w:t>
      </w:r>
      <w:r w:rsidR="005178ED">
        <w:t>that</w:t>
      </w:r>
      <w:r w:rsidR="005178ED" w:rsidRPr="00630A55">
        <w:t xml:space="preserve"> </w:t>
      </w:r>
      <w:r w:rsidR="003C7F20" w:rsidRPr="00630A55">
        <w:t xml:space="preserve">should be communicated </w:t>
      </w:r>
      <w:r w:rsidR="001A6D44" w:rsidRPr="00630A55">
        <w:t>to jurisdictions and hospital/LHNs</w:t>
      </w:r>
      <w:r w:rsidR="00C45872" w:rsidRPr="00630A55">
        <w:t>.</w:t>
      </w:r>
    </w:p>
    <w:p w14:paraId="5CE5FA13" w14:textId="61DE0159" w:rsidR="000C5C84" w:rsidRPr="00630A55" w:rsidRDefault="001A6D44" w:rsidP="003E3232">
      <w:pPr>
        <w:pStyle w:val="Bullet1stlevel"/>
        <w:jc w:val="both"/>
      </w:pPr>
      <w:r w:rsidRPr="00630A55">
        <w:lastRenderedPageBreak/>
        <w:t>F</w:t>
      </w:r>
      <w:r w:rsidR="000C5C84" w:rsidRPr="00630A55">
        <w:t xml:space="preserve">ocus area </w:t>
      </w:r>
      <w:r w:rsidRPr="00630A55">
        <w:t xml:space="preserve">discussions should tie </w:t>
      </w:r>
      <w:r w:rsidR="001105EC" w:rsidRPr="00630A55">
        <w:t>into</w:t>
      </w:r>
      <w:r w:rsidR="000C5C84" w:rsidRPr="00630A55">
        <w:t xml:space="preserve"> a costing standard</w:t>
      </w:r>
      <w:r w:rsidR="00C41F5C" w:rsidRPr="00630A55">
        <w:t xml:space="preserve"> with a deep dive into the costing </w:t>
      </w:r>
      <w:r w:rsidR="00553DD1" w:rsidRPr="00630A55">
        <w:t>methods</w:t>
      </w:r>
      <w:r w:rsidR="00CE1FE5" w:rsidRPr="00630A55">
        <w:t xml:space="preserve">, feeder systems </w:t>
      </w:r>
      <w:r w:rsidR="004656C4" w:rsidRPr="00630A55">
        <w:t>and data capture</w:t>
      </w:r>
      <w:r w:rsidR="006C323E" w:rsidRPr="00630A55">
        <w:t xml:space="preserve"> </w:t>
      </w:r>
      <w:r w:rsidR="00553DD1" w:rsidRPr="00630A55">
        <w:t>undertaken</w:t>
      </w:r>
      <w:r w:rsidR="006C323E" w:rsidRPr="00630A55">
        <w:t xml:space="preserve"> for the area.</w:t>
      </w:r>
      <w:r w:rsidR="00953E3E">
        <w:t xml:space="preserve"> This would support </w:t>
      </w:r>
      <w:r w:rsidR="00C00CF3">
        <w:t>focused improvement of standards</w:t>
      </w:r>
      <w:r w:rsidR="00CD196D">
        <w:t>.</w:t>
      </w:r>
    </w:p>
    <w:p w14:paraId="79BDFC1C" w14:textId="55E4E477" w:rsidR="000C5C84" w:rsidRPr="00630A55" w:rsidRDefault="006C323E" w:rsidP="003E3232">
      <w:pPr>
        <w:pStyle w:val="Bullet1stlevel"/>
        <w:jc w:val="both"/>
      </w:pPr>
      <w:r w:rsidRPr="00630A55">
        <w:t xml:space="preserve">In the focus areas selected for </w:t>
      </w:r>
      <w:r w:rsidR="00595A9F">
        <w:t>FY20/21</w:t>
      </w:r>
      <w:r w:rsidRPr="00630A55">
        <w:t>, the s</w:t>
      </w:r>
      <w:r w:rsidR="000C5C84" w:rsidRPr="00630A55">
        <w:t>cope</w:t>
      </w:r>
      <w:r w:rsidRPr="00630A55">
        <w:t xml:space="preserve"> was</w:t>
      </w:r>
      <w:r w:rsidR="000C5C84" w:rsidRPr="00630A55">
        <w:t xml:space="preserve"> limited </w:t>
      </w:r>
      <w:r w:rsidRPr="00630A55">
        <w:t>to</w:t>
      </w:r>
      <w:r w:rsidR="000C5C84" w:rsidRPr="00630A55">
        <w:t xml:space="preserve"> DRG</w:t>
      </w:r>
      <w:r w:rsidR="008A375C" w:rsidRPr="00630A55">
        <w:t xml:space="preserve"> </w:t>
      </w:r>
      <w:r w:rsidR="00203B0A" w:rsidRPr="00630A55">
        <w:t>activity,</w:t>
      </w:r>
      <w:r w:rsidR="008A375C" w:rsidRPr="00630A55">
        <w:t xml:space="preserve"> and </w:t>
      </w:r>
      <w:r w:rsidR="00E75C79" w:rsidRPr="00630A55">
        <w:t>all</w:t>
      </w:r>
      <w:r w:rsidR="000C5C84" w:rsidRPr="00630A55">
        <w:t xml:space="preserve"> non</w:t>
      </w:r>
      <w:r w:rsidR="00A24807">
        <w:noBreakHyphen/>
      </w:r>
      <w:r w:rsidR="000C5C84" w:rsidRPr="00630A55">
        <w:t>admitted</w:t>
      </w:r>
      <w:r w:rsidR="00E75C79" w:rsidRPr="00630A55">
        <w:t xml:space="preserve"> activity was excluded from the discussion</w:t>
      </w:r>
      <w:r w:rsidR="00CD196D">
        <w:t>. M</w:t>
      </w:r>
      <w:r w:rsidR="00F57066" w:rsidRPr="00630A55">
        <w:t xml:space="preserve">ore time should be considered on </w:t>
      </w:r>
      <w:r w:rsidR="00370FA0" w:rsidRPr="00630A55">
        <w:t xml:space="preserve">the </w:t>
      </w:r>
      <w:r w:rsidR="00F57066" w:rsidRPr="00630A55">
        <w:t>purpose of</w:t>
      </w:r>
      <w:r w:rsidR="00370FA0" w:rsidRPr="00630A55">
        <w:t xml:space="preserve"> the</w:t>
      </w:r>
      <w:r w:rsidR="00F57066" w:rsidRPr="00630A55">
        <w:t xml:space="preserve"> </w:t>
      </w:r>
      <w:r w:rsidR="00F816BA" w:rsidRPr="00630A55">
        <w:t>discussion</w:t>
      </w:r>
      <w:r w:rsidR="003F23C3" w:rsidRPr="00630A55">
        <w:t xml:space="preserve"> for full transparency.</w:t>
      </w:r>
      <w:r w:rsidR="0053715D">
        <w:t xml:space="preserve"> In some instances, focus areas of </w:t>
      </w:r>
      <w:r w:rsidR="00212CFA">
        <w:t>c</w:t>
      </w:r>
      <w:r w:rsidR="0053715D">
        <w:t xml:space="preserve">hemotherapy and </w:t>
      </w:r>
      <w:r w:rsidR="00212CFA">
        <w:t>h</w:t>
      </w:r>
      <w:r w:rsidR="0053715D">
        <w:t xml:space="preserve">aemodialysis were considered non-admitted depending upon the </w:t>
      </w:r>
      <w:r w:rsidR="003112E8">
        <w:t xml:space="preserve">service models adopted. </w:t>
      </w:r>
    </w:p>
    <w:p w14:paraId="3E0F2F3D" w14:textId="3523BB57" w:rsidR="00071EF5" w:rsidRPr="00071EF5" w:rsidRDefault="00071EF5" w:rsidP="00071EF5">
      <w:pPr>
        <w:pStyle w:val="Heading3"/>
      </w:pPr>
      <w:r w:rsidRPr="00071EF5">
        <w:t>Scope of the IFR – Sampling Local Health Networks (LHNs)</w:t>
      </w:r>
    </w:p>
    <w:p w14:paraId="353DF43E" w14:textId="35B779DD" w:rsidR="001D5891" w:rsidRPr="00630A55" w:rsidRDefault="00E33E5D" w:rsidP="003E3232">
      <w:pPr>
        <w:jc w:val="both"/>
      </w:pPr>
      <w:r w:rsidRPr="00630A55">
        <w:t xml:space="preserve">As outlined </w:t>
      </w:r>
      <w:r w:rsidR="004F4187" w:rsidRPr="00630A55">
        <w:t xml:space="preserve">above, </w:t>
      </w:r>
      <w:r w:rsidR="001D5891" w:rsidRPr="00630A55">
        <w:t>the absence of any one particular jurisdiction may impact the robustness of the IFR.</w:t>
      </w:r>
      <w:r w:rsidR="004F4187" w:rsidRPr="00630A55">
        <w:t xml:space="preserve"> </w:t>
      </w:r>
      <w:r w:rsidR="00E22B2A" w:rsidRPr="00630A55">
        <w:t>Similarly,</w:t>
      </w:r>
      <w:r w:rsidR="004F4187" w:rsidRPr="00630A55">
        <w:t xml:space="preserve"> the selection of sites should consider</w:t>
      </w:r>
      <w:r w:rsidR="000106E3" w:rsidRPr="00630A55">
        <w:t xml:space="preserve"> </w:t>
      </w:r>
      <w:r w:rsidR="00ED29F6" w:rsidRPr="00630A55">
        <w:t xml:space="preserve">the size and breadth of the </w:t>
      </w:r>
      <w:r w:rsidR="00B50E9A" w:rsidRPr="00630A55">
        <w:t>final sampling size.</w:t>
      </w:r>
      <w:r w:rsidR="00711AF0" w:rsidRPr="00630A55">
        <w:t xml:space="preserve"> </w:t>
      </w:r>
      <w:r w:rsidR="00F8251F" w:rsidRPr="00630A55">
        <w:t xml:space="preserve">The following </w:t>
      </w:r>
      <w:r w:rsidR="00E54B4C" w:rsidRPr="00630A55">
        <w:t xml:space="preserve">recommendations </w:t>
      </w:r>
      <w:r w:rsidR="00F8251F" w:rsidRPr="00630A55">
        <w:t xml:space="preserve">should be </w:t>
      </w:r>
      <w:r w:rsidR="00234D42" w:rsidRPr="00630A55">
        <w:t>considered:</w:t>
      </w:r>
    </w:p>
    <w:p w14:paraId="4129F7E8" w14:textId="331035D8" w:rsidR="007C2EC8" w:rsidRPr="00630A55" w:rsidRDefault="00853CA0" w:rsidP="003E3232">
      <w:pPr>
        <w:pStyle w:val="Bullet1stlevel"/>
        <w:jc w:val="both"/>
      </w:pPr>
      <w:r w:rsidRPr="00630A55">
        <w:t>Notwithstanding</w:t>
      </w:r>
      <w:r w:rsidR="00E22B2A" w:rsidRPr="00630A55">
        <w:t xml:space="preserve"> the need to </w:t>
      </w:r>
      <w:r w:rsidR="000B66AC" w:rsidRPr="00630A55">
        <w:t xml:space="preserve">alternate sites </w:t>
      </w:r>
      <w:r w:rsidR="00610C2A" w:rsidRPr="00630A55">
        <w:t xml:space="preserve">in smaller </w:t>
      </w:r>
      <w:r w:rsidRPr="00630A55">
        <w:t xml:space="preserve">jurisdictions, the </w:t>
      </w:r>
      <w:r w:rsidR="004F17DC" w:rsidRPr="00630A55">
        <w:t>final sample</w:t>
      </w:r>
      <w:r w:rsidR="00E12846" w:rsidRPr="00630A55">
        <w:t xml:space="preserve"> sites selected</w:t>
      </w:r>
      <w:r w:rsidR="004F17DC" w:rsidRPr="00630A55">
        <w:t xml:space="preserve"> should be a robust representative of total NHCDC </w:t>
      </w:r>
      <w:r w:rsidR="00BD781F" w:rsidRPr="00630A55">
        <w:t>costs</w:t>
      </w:r>
      <w:r w:rsidR="005C0F08" w:rsidRPr="00630A55">
        <w:t>,</w:t>
      </w:r>
      <w:r w:rsidR="001B1449" w:rsidRPr="00630A55">
        <w:t xml:space="preserve"> for example </w:t>
      </w:r>
      <w:r w:rsidR="003C010D">
        <w:t>5-</w:t>
      </w:r>
      <w:r w:rsidR="007B7709" w:rsidRPr="00630A55">
        <w:t>1</w:t>
      </w:r>
      <w:r w:rsidR="001B1449" w:rsidRPr="00630A55">
        <w:t>0</w:t>
      </w:r>
      <w:r w:rsidR="009007DA">
        <w:t> per cent</w:t>
      </w:r>
      <w:r w:rsidR="001B1449" w:rsidRPr="00630A55">
        <w:t xml:space="preserve"> of total</w:t>
      </w:r>
      <w:r w:rsidR="001B1449">
        <w:t xml:space="preserve"> </w:t>
      </w:r>
      <w:r w:rsidR="00A67189">
        <w:t>jurisdictional</w:t>
      </w:r>
      <w:r w:rsidR="001B1449" w:rsidRPr="00630A55">
        <w:t xml:space="preserve"> costs</w:t>
      </w:r>
      <w:r w:rsidR="00CD196D">
        <w:t>. A</w:t>
      </w:r>
      <w:r w:rsidR="00753EA5">
        <w:t>gain</w:t>
      </w:r>
      <w:r w:rsidR="00CD196D">
        <w:t>,</w:t>
      </w:r>
      <w:r w:rsidR="00753EA5">
        <w:t xml:space="preserve"> this relies on timely submission and </w:t>
      </w:r>
      <w:r w:rsidR="009E4E19">
        <w:t xml:space="preserve">the </w:t>
      </w:r>
      <w:r w:rsidR="00DB59EE" w:rsidRPr="00630A55">
        <w:rPr>
          <w:lang w:val="en" w:eastAsia="en-AU"/>
        </w:rPr>
        <w:t xml:space="preserve">Data Quality Statement </w:t>
      </w:r>
      <w:r w:rsidR="00DB59EE">
        <w:rPr>
          <w:lang w:val="en" w:eastAsia="en-AU"/>
        </w:rPr>
        <w:t>(</w:t>
      </w:r>
      <w:r w:rsidR="00753EA5">
        <w:t>DQS</w:t>
      </w:r>
      <w:r w:rsidR="00DB59EE">
        <w:t>)</w:t>
      </w:r>
      <w:r w:rsidR="00753EA5">
        <w:t xml:space="preserve"> for the sampling to occur </w:t>
      </w:r>
      <w:r w:rsidR="000F54F1">
        <w:t>effectivel</w:t>
      </w:r>
      <w:r w:rsidR="0014639F">
        <w:t>y.</w:t>
      </w:r>
    </w:p>
    <w:p w14:paraId="5C3F9C1F" w14:textId="1B384117" w:rsidR="00033020" w:rsidRPr="00630A55" w:rsidRDefault="00A439E1" w:rsidP="003E3232">
      <w:pPr>
        <w:pStyle w:val="Bullet1stlevel"/>
        <w:jc w:val="both"/>
      </w:pPr>
      <w:r w:rsidRPr="00630A55">
        <w:t xml:space="preserve">If the timing of the </w:t>
      </w:r>
      <w:r w:rsidR="00BD2863" w:rsidRPr="00630A55">
        <w:t xml:space="preserve">IFR </w:t>
      </w:r>
      <w:r w:rsidR="00374623" w:rsidRPr="00630A55">
        <w:t xml:space="preserve">is causing participation issues, </w:t>
      </w:r>
      <w:r w:rsidR="006C3814" w:rsidRPr="00630A55">
        <w:t xml:space="preserve">perhaps </w:t>
      </w:r>
      <w:r w:rsidR="00297B8D" w:rsidRPr="00630A55">
        <w:t xml:space="preserve">allowing jurisdictions to test load submissions in </w:t>
      </w:r>
      <w:r w:rsidR="00092F56" w:rsidRPr="00630A55">
        <w:t xml:space="preserve">December </w:t>
      </w:r>
      <w:r w:rsidR="00913EF5" w:rsidRPr="00630A55">
        <w:t xml:space="preserve">to allow </w:t>
      </w:r>
      <w:r w:rsidR="00DD42CA" w:rsidRPr="00630A55">
        <w:t xml:space="preserve">them to address issues earlier </w:t>
      </w:r>
      <w:r w:rsidR="00203B0A">
        <w:t>would enable them to</w:t>
      </w:r>
      <w:r w:rsidR="00DB59EE">
        <w:t xml:space="preserve"> be </w:t>
      </w:r>
      <w:r w:rsidR="003C1F3D" w:rsidRPr="00630A55">
        <w:t>ready for full submission in February</w:t>
      </w:r>
      <w:r w:rsidR="003C0BAF" w:rsidRPr="00630A55">
        <w:t xml:space="preserve">. This could align with </w:t>
      </w:r>
      <w:r w:rsidR="008D377F" w:rsidRPr="00630A55">
        <w:t xml:space="preserve">a pre-briefing of requirements </w:t>
      </w:r>
      <w:r w:rsidR="00262BFD">
        <w:t xml:space="preserve">to the NAC </w:t>
      </w:r>
      <w:r w:rsidR="008D377F" w:rsidRPr="00630A55">
        <w:t>for the IFR and</w:t>
      </w:r>
      <w:r w:rsidR="00525D64" w:rsidRPr="00630A55">
        <w:t xml:space="preserve"> </w:t>
      </w:r>
      <w:r w:rsidR="00262BFD">
        <w:t xml:space="preserve">the completion of </w:t>
      </w:r>
      <w:r w:rsidR="00AF7046" w:rsidRPr="00630A55">
        <w:t xml:space="preserve">templates </w:t>
      </w:r>
      <w:r w:rsidR="00F66F90" w:rsidRPr="00630A55">
        <w:t>at the same time</w:t>
      </w:r>
      <w:r w:rsidR="00033020" w:rsidRPr="00630A55">
        <w:t>.</w:t>
      </w:r>
    </w:p>
    <w:p w14:paraId="78C9E6D5" w14:textId="13E16E5A" w:rsidR="007C2EC8" w:rsidRPr="00630A55" w:rsidRDefault="001E5F90" w:rsidP="003E3232">
      <w:pPr>
        <w:pStyle w:val="Bullet1stlevel"/>
        <w:jc w:val="both"/>
      </w:pPr>
      <w:r w:rsidRPr="00630A55">
        <w:t>During the consul</w:t>
      </w:r>
      <w:r w:rsidR="00783301">
        <w:t>t</w:t>
      </w:r>
      <w:r w:rsidR="00A24807">
        <w:t>ation</w:t>
      </w:r>
      <w:r w:rsidRPr="00630A55">
        <w:t>s</w:t>
      </w:r>
      <w:r w:rsidR="00DB59EE">
        <w:t>,</w:t>
      </w:r>
      <w:r w:rsidRPr="00630A55">
        <w:t xml:space="preserve"> it became clear that completing the templates at </w:t>
      </w:r>
      <w:r w:rsidR="00A24807">
        <w:t xml:space="preserve">the </w:t>
      </w:r>
      <w:r w:rsidR="00031A6E" w:rsidRPr="00630A55">
        <w:t>ho</w:t>
      </w:r>
      <w:r w:rsidRPr="00630A55">
        <w:t>spital level was difficult as the submissions occur at the LHN level</w:t>
      </w:r>
      <w:r w:rsidR="00DB59EE">
        <w:t>. I</w:t>
      </w:r>
      <w:r w:rsidR="00437CDA" w:rsidRPr="00630A55">
        <w:t>t is recommended that future IFR</w:t>
      </w:r>
      <w:r w:rsidR="000B3807" w:rsidRPr="00630A55">
        <w:t xml:space="preserve"> templates are </w:t>
      </w:r>
      <w:r w:rsidR="000553B3">
        <w:t>only</w:t>
      </w:r>
      <w:r w:rsidR="00C61066">
        <w:t xml:space="preserve"> </w:t>
      </w:r>
      <w:r w:rsidR="000B3807" w:rsidRPr="00630A55">
        <w:t xml:space="preserve">completed at </w:t>
      </w:r>
      <w:r w:rsidR="00A24807">
        <w:t>the</w:t>
      </w:r>
      <w:r w:rsidR="000B3807" w:rsidRPr="00630A55">
        <w:t xml:space="preserve"> LHN</w:t>
      </w:r>
      <w:r w:rsidR="004B259A">
        <w:t xml:space="preserve"> level (with hospital sites sampled informing LHNs in scope)</w:t>
      </w:r>
      <w:r w:rsidR="00282AA5" w:rsidRPr="00630A55">
        <w:t xml:space="preserve">, allowing for </w:t>
      </w:r>
      <w:r w:rsidR="00272268" w:rsidRPr="00630A55">
        <w:t xml:space="preserve">better links with </w:t>
      </w:r>
      <w:r w:rsidR="0043798F">
        <w:t>supporting information for reconciliation purposes (e.g.</w:t>
      </w:r>
      <w:r w:rsidR="0020066F">
        <w:t> </w:t>
      </w:r>
      <w:r w:rsidR="00272268" w:rsidRPr="00630A55">
        <w:t>Audited Financial Statements</w:t>
      </w:r>
      <w:r w:rsidR="0043798F">
        <w:t>)</w:t>
      </w:r>
      <w:r w:rsidR="00282AA5" w:rsidRPr="00630A55">
        <w:t xml:space="preserve"> and IHACPA submissions</w:t>
      </w:r>
      <w:r w:rsidR="005E208D" w:rsidRPr="00630A55">
        <w:t>.</w:t>
      </w:r>
    </w:p>
    <w:p w14:paraId="74A95FF5" w14:textId="102F6740" w:rsidR="007C2EC8" w:rsidRPr="00955BFE" w:rsidRDefault="00657196" w:rsidP="007C2EC8">
      <w:pPr>
        <w:pStyle w:val="Heading3"/>
      </w:pPr>
      <w:r>
        <w:t>Sharing jurisdictional lessons and insights</w:t>
      </w:r>
    </w:p>
    <w:p w14:paraId="7CDF6335" w14:textId="067484CE" w:rsidR="005B3740" w:rsidRDefault="005B3740" w:rsidP="003E3232">
      <w:pPr>
        <w:jc w:val="both"/>
      </w:pPr>
      <w:r w:rsidRPr="00630A55">
        <w:t xml:space="preserve">Building on the appetite of jurisdictions </w:t>
      </w:r>
      <w:r>
        <w:t xml:space="preserve">to </w:t>
      </w:r>
      <w:r w:rsidR="00A602F1">
        <w:t xml:space="preserve">discuss and debrief </w:t>
      </w:r>
      <w:r w:rsidRPr="00630A55">
        <w:t>consolidated findings</w:t>
      </w:r>
      <w:r w:rsidR="00242E61">
        <w:t xml:space="preserve">, consideration should be given to </w:t>
      </w:r>
      <w:r w:rsidRPr="00630A55">
        <w:t>a formal follow</w:t>
      </w:r>
      <w:r w:rsidR="00DB59EE">
        <w:t>-</w:t>
      </w:r>
      <w:r w:rsidRPr="00630A55">
        <w:t xml:space="preserve">up process into DRGs or specialties </w:t>
      </w:r>
      <w:r>
        <w:t>where there has either</w:t>
      </w:r>
      <w:r w:rsidR="00FF63CE">
        <w:t xml:space="preserve"> </w:t>
      </w:r>
      <w:r>
        <w:t xml:space="preserve">been </w:t>
      </w:r>
      <w:r w:rsidR="00657196">
        <w:t>material variation</w:t>
      </w:r>
      <w:r w:rsidRPr="00630A55">
        <w:t xml:space="preserve"> in</w:t>
      </w:r>
      <w:r w:rsidR="00657196">
        <w:t xml:space="preserve"> either the</w:t>
      </w:r>
      <w:r w:rsidRPr="00630A55">
        <w:t xml:space="preserve"> </w:t>
      </w:r>
      <w:r w:rsidR="00224CF9">
        <w:t xml:space="preserve">average </w:t>
      </w:r>
      <w:r w:rsidRPr="00630A55">
        <w:t>cost or length of stay</w:t>
      </w:r>
      <w:r w:rsidR="00657196">
        <w:t xml:space="preserve"> for those services or the costing methodologies for same</w:t>
      </w:r>
      <w:r w:rsidRPr="00630A55">
        <w:t xml:space="preserve">. </w:t>
      </w:r>
      <w:r>
        <w:t>Identifyi</w:t>
      </w:r>
      <w:r w:rsidRPr="00630A55">
        <w:t xml:space="preserve">ng </w:t>
      </w:r>
      <w:r>
        <w:t xml:space="preserve">areas </w:t>
      </w:r>
      <w:r w:rsidRPr="00630A55">
        <w:t xml:space="preserve">of excellence and selecting them </w:t>
      </w:r>
      <w:r>
        <w:t>as</w:t>
      </w:r>
      <w:r w:rsidRPr="00630A55">
        <w:t xml:space="preserve"> a focus area in a</w:t>
      </w:r>
      <w:r>
        <w:t xml:space="preserve"> future</w:t>
      </w:r>
      <w:r w:rsidRPr="00630A55">
        <w:t xml:space="preserve"> IFR or a costing workshop would help other jurisdictions learn what good looks like and how to practically implement similar practices and costing methodologies.</w:t>
      </w:r>
    </w:p>
    <w:p w14:paraId="163F2077" w14:textId="22513505" w:rsidR="008E70D9" w:rsidRPr="00A16B1D" w:rsidRDefault="005B39C3" w:rsidP="00DD4007">
      <w:pPr>
        <w:pStyle w:val="Heading1"/>
      </w:pPr>
      <w:bookmarkStart w:id="24" w:name="_Ref119933966"/>
      <w:bookmarkStart w:id="25" w:name="_Toc128376720"/>
      <w:r w:rsidRPr="00A16B1D">
        <w:lastRenderedPageBreak/>
        <w:t xml:space="preserve">Focus </w:t>
      </w:r>
      <w:r w:rsidR="003429E0">
        <w:t>a</w:t>
      </w:r>
      <w:r w:rsidR="00F377B9" w:rsidRPr="00A16B1D">
        <w:t>r</w:t>
      </w:r>
      <w:r w:rsidRPr="00A16B1D">
        <w:t>eas</w:t>
      </w:r>
      <w:bookmarkEnd w:id="24"/>
      <w:bookmarkEnd w:id="25"/>
    </w:p>
    <w:p w14:paraId="40D289C9" w14:textId="0F02FB24" w:rsidR="002F5E80" w:rsidRPr="00630A55" w:rsidRDefault="0037630E" w:rsidP="003E3232">
      <w:pPr>
        <w:pStyle w:val="BodyText"/>
      </w:pPr>
      <w:r>
        <w:t xml:space="preserve">For the </w:t>
      </w:r>
      <w:r w:rsidR="00595A9F">
        <w:t>FY20/21</w:t>
      </w:r>
      <w:r>
        <w:t xml:space="preserve"> IFR, the two focus areas selected were </w:t>
      </w:r>
      <w:r w:rsidR="00212CFA">
        <w:t>h</w:t>
      </w:r>
      <w:r>
        <w:t>aemodialysis</w:t>
      </w:r>
      <w:r w:rsidR="0035644E">
        <w:t xml:space="preserve"> (</w:t>
      </w:r>
      <w:r w:rsidR="0035644E" w:rsidRPr="0035644E">
        <w:t>AR</w:t>
      </w:r>
      <w:r w:rsidR="003429E0">
        <w:noBreakHyphen/>
      </w:r>
      <w:r w:rsidR="0035644E" w:rsidRPr="0035644E">
        <w:t>DRG L61Z</w:t>
      </w:r>
      <w:r w:rsidR="0035644E">
        <w:t>)</w:t>
      </w:r>
      <w:r>
        <w:t xml:space="preserve"> and </w:t>
      </w:r>
      <w:r w:rsidR="00212CFA">
        <w:t>c</w:t>
      </w:r>
      <w:r>
        <w:t xml:space="preserve">hemotherapy </w:t>
      </w:r>
      <w:r w:rsidR="003D0BA5">
        <w:t>(</w:t>
      </w:r>
      <w:r w:rsidR="003D0BA5" w:rsidRPr="003D0BA5">
        <w:t>AR-DRG R63Z</w:t>
      </w:r>
      <w:r w:rsidR="003D0BA5">
        <w:t xml:space="preserve">). The purpose of analysing the focus areas was to understand the approach </w:t>
      </w:r>
      <w:r w:rsidR="00A927BB">
        <w:t xml:space="preserve">and </w:t>
      </w:r>
      <w:r w:rsidR="003D0BA5">
        <w:t xml:space="preserve">allocation methods </w:t>
      </w:r>
      <w:r w:rsidR="00893D6E">
        <w:t>employed by each</w:t>
      </w:r>
      <w:r w:rsidR="003D0BA5">
        <w:t xml:space="preserve"> health service for </w:t>
      </w:r>
      <w:r w:rsidR="001F4107">
        <w:t xml:space="preserve">the identification of </w:t>
      </w:r>
      <w:r w:rsidR="003D0BA5">
        <w:t>variation</w:t>
      </w:r>
      <w:r w:rsidR="001F4107">
        <w:t xml:space="preserve"> and learning</w:t>
      </w:r>
      <w:r w:rsidR="00893D6E">
        <w:t xml:space="preserve">. The outcome was a discussion on how to achieve greater consistency in applying the standards in respect of the two focus areas in particular, but also </w:t>
      </w:r>
      <w:r w:rsidR="00106B5D">
        <w:t>to</w:t>
      </w:r>
      <w:r w:rsidR="00893D6E">
        <w:t xml:space="preserve"> provide a basis for further discussion regarding service models. </w:t>
      </w:r>
      <w:r w:rsidR="002F5E80" w:rsidRPr="00630A55">
        <w:t>The opportunity for peer participation also provided the jurisdictions</w:t>
      </w:r>
      <w:r w:rsidR="0093050B">
        <w:t xml:space="preserve"> with</w:t>
      </w:r>
      <w:r w:rsidR="002F5E80" w:rsidRPr="00630A55">
        <w:t xml:space="preserve"> visibility of practices and data capture in these focus areas. </w:t>
      </w:r>
    </w:p>
    <w:p w14:paraId="2D1580D7" w14:textId="2BFE23A1" w:rsidR="002F5E80" w:rsidRPr="00630A55" w:rsidRDefault="002F5E80" w:rsidP="003E3232">
      <w:pPr>
        <w:pStyle w:val="BodyText"/>
      </w:pPr>
      <w:r w:rsidRPr="00630A55">
        <w:t xml:space="preserve">Haemodialysis and </w:t>
      </w:r>
      <w:r>
        <w:t>c</w:t>
      </w:r>
      <w:r w:rsidRPr="00630A55">
        <w:t xml:space="preserve">hemotherapy were chosen as the focus areas this year given </w:t>
      </w:r>
      <w:r w:rsidR="0093050B">
        <w:t>that</w:t>
      </w:r>
      <w:r w:rsidRPr="00630A55">
        <w:t xml:space="preserve"> they are both high volume services, with the scope for multiple service delivery models</w:t>
      </w:r>
      <w:r w:rsidR="00F364FA">
        <w:t xml:space="preserve"> in order to deliver appropriate care</w:t>
      </w:r>
      <w:r w:rsidRPr="00630A55">
        <w:t>.</w:t>
      </w:r>
      <w:r w:rsidR="009C5143" w:rsidRPr="00630A55">
        <w:t xml:space="preserve"> </w:t>
      </w:r>
    </w:p>
    <w:p w14:paraId="551079D9" w14:textId="0B0E9C52" w:rsidR="00AB6D82" w:rsidRDefault="00893D6E" w:rsidP="003E3232">
      <w:pPr>
        <w:pStyle w:val="BodyText"/>
      </w:pPr>
      <w:r>
        <w:t>System and data limitations will always apply at varying levels across the health services</w:t>
      </w:r>
      <w:r w:rsidR="003F2BBA">
        <w:t xml:space="preserve"> within and across jurisdictions</w:t>
      </w:r>
      <w:r>
        <w:t xml:space="preserve">, but understanding those variations </w:t>
      </w:r>
      <w:r w:rsidR="00743E97">
        <w:t xml:space="preserve">is the first step in creating consistency </w:t>
      </w:r>
      <w:r w:rsidR="00F71C0B">
        <w:t xml:space="preserve">for application of costing standards </w:t>
      </w:r>
      <w:r w:rsidR="00743E97">
        <w:t xml:space="preserve">where possible. </w:t>
      </w:r>
      <w:r w:rsidR="00AB6D82">
        <w:t>For example, the</w:t>
      </w:r>
      <w:r w:rsidR="00333E8F">
        <w:t xml:space="preserve"> scale and importance of outreach haemodialysis is </w:t>
      </w:r>
      <w:r w:rsidR="003F2BBA">
        <w:t>even more pronounced for Alice Springs Hospital than it is for the Royal Darwin Hospital</w:t>
      </w:r>
      <w:r w:rsidR="001B7111">
        <w:t xml:space="preserve"> due to the high number of remote </w:t>
      </w:r>
      <w:r w:rsidR="00C76DAA">
        <w:t xml:space="preserve">communities within its catchment. </w:t>
      </w:r>
    </w:p>
    <w:p w14:paraId="77BD0D78" w14:textId="03AB26B2" w:rsidR="00100D0C" w:rsidRDefault="00100D0C" w:rsidP="003E3232">
      <w:pPr>
        <w:pStyle w:val="BodyText"/>
      </w:pPr>
      <w:r w:rsidRPr="00630A55">
        <w:t>Key metrics included total cost, highest and lowest episode cost, average cost</w:t>
      </w:r>
      <w:r w:rsidR="004321F6" w:rsidRPr="00630A55">
        <w:t>, activity and length of stay. Length of stay metrics were largely uninformative</w:t>
      </w:r>
      <w:r w:rsidR="002F5E80" w:rsidRPr="00630A55">
        <w:t xml:space="preserve"> for both haemodialysis and chemotherapy</w:t>
      </w:r>
      <w:r w:rsidR="004321F6" w:rsidRPr="00630A55">
        <w:t xml:space="preserve">, as </w:t>
      </w:r>
      <w:r w:rsidR="00CF0423" w:rsidRPr="00630A55">
        <w:t xml:space="preserve">most jurisdictions were unable to refine this metric beyond 1.00 days – when </w:t>
      </w:r>
      <w:r w:rsidR="002F5E80" w:rsidRPr="00630A55">
        <w:t>it was noted there were</w:t>
      </w:r>
      <w:r w:rsidR="00CF0423" w:rsidRPr="00630A55">
        <w:t xml:space="preserve"> typically 2-4 rounds of patients seen per day, </w:t>
      </w:r>
      <w:r w:rsidR="005178ED">
        <w:t>that</w:t>
      </w:r>
      <w:r w:rsidR="005178ED" w:rsidRPr="00630A55">
        <w:t xml:space="preserve"> </w:t>
      </w:r>
      <w:r w:rsidR="00CF0423" w:rsidRPr="00630A55">
        <w:t>provides an opportunity for future refinement of data across jurisdictions. S</w:t>
      </w:r>
      <w:r w:rsidR="005A038D">
        <w:t xml:space="preserve">outh </w:t>
      </w:r>
      <w:r w:rsidR="00CF0423" w:rsidRPr="00630A55">
        <w:t>A</w:t>
      </w:r>
      <w:r w:rsidR="005A038D">
        <w:t>ustralia</w:t>
      </w:r>
      <w:r w:rsidR="00CF0423" w:rsidRPr="00630A55">
        <w:t xml:space="preserve"> </w:t>
      </w:r>
      <w:r w:rsidR="00655B88">
        <w:t>(</w:t>
      </w:r>
      <w:r w:rsidR="00CF0423">
        <w:t>SA</w:t>
      </w:r>
      <w:r w:rsidR="00655B88">
        <w:t>)</w:t>
      </w:r>
      <w:r w:rsidR="00CF0423">
        <w:t xml:space="preserve"> </w:t>
      </w:r>
      <w:r w:rsidR="00CF0423" w:rsidRPr="00630A55">
        <w:t xml:space="preserve">was </w:t>
      </w:r>
      <w:r w:rsidR="006F6367" w:rsidRPr="00630A55">
        <w:t>able to refine this figure to 0.</w:t>
      </w:r>
      <w:r w:rsidR="001C4A23" w:rsidRPr="00630A55">
        <w:t>22</w:t>
      </w:r>
      <w:r w:rsidR="006F6367" w:rsidRPr="00630A55">
        <w:t xml:space="preserve"> days</w:t>
      </w:r>
      <w:r w:rsidR="002F5E80" w:rsidRPr="00630A55">
        <w:t xml:space="preserve"> for haemodialysis</w:t>
      </w:r>
      <w:r w:rsidR="006F6367" w:rsidRPr="00630A55">
        <w:t xml:space="preserve"> (approx</w:t>
      </w:r>
      <w:r w:rsidR="005A038D">
        <w:t>imately</w:t>
      </w:r>
      <w:r w:rsidR="006F6367" w:rsidRPr="00630A55">
        <w:t xml:space="preserve"> </w:t>
      </w:r>
      <w:r w:rsidR="005A038D">
        <w:t>five</w:t>
      </w:r>
      <w:r w:rsidR="006F6367" w:rsidRPr="00630A55">
        <w:t xml:space="preserve"> hours)</w:t>
      </w:r>
      <w:r w:rsidR="001C4A23" w:rsidRPr="00630A55">
        <w:t xml:space="preserve"> and 0.17 days for chemotherapy (approx</w:t>
      </w:r>
      <w:r w:rsidR="005A038D">
        <w:t>imately four</w:t>
      </w:r>
      <w:r w:rsidR="001C4A23" w:rsidRPr="00630A55">
        <w:t xml:space="preserve"> hours)</w:t>
      </w:r>
      <w:r w:rsidR="006F6367" w:rsidRPr="00630A55">
        <w:t>.</w:t>
      </w:r>
      <w:r w:rsidR="004321F6" w:rsidRPr="00630A55">
        <w:t xml:space="preserve"> </w:t>
      </w:r>
      <w:r w:rsidR="00A54778" w:rsidRPr="00630A55">
        <w:t xml:space="preserve">This outcome provides an opportunity for all jurisdictions to consider how they can refine </w:t>
      </w:r>
      <w:r w:rsidR="008E5F2D" w:rsidRPr="00630A55">
        <w:t xml:space="preserve">length of stay </w:t>
      </w:r>
      <w:r w:rsidR="008E5F2D">
        <w:t>(</w:t>
      </w:r>
      <w:r w:rsidR="00A54778" w:rsidRPr="00630A55">
        <w:t>LOS</w:t>
      </w:r>
      <w:r w:rsidR="008E5F2D">
        <w:t>)</w:t>
      </w:r>
      <w:r w:rsidR="00A54778" w:rsidRPr="00630A55">
        <w:t xml:space="preserve"> metrics for services that </w:t>
      </w:r>
      <w:r w:rsidR="00D47F85" w:rsidRPr="00630A55">
        <w:t>are less than one day</w:t>
      </w:r>
      <w:r w:rsidR="008E5F2D">
        <w:t>’</w:t>
      </w:r>
      <w:r w:rsidR="00D47F85" w:rsidRPr="00630A55">
        <w:t xml:space="preserve">s duration. </w:t>
      </w:r>
    </w:p>
    <w:p w14:paraId="7AE18BDC" w14:textId="23E32833" w:rsidR="00101F50" w:rsidRPr="00630A55" w:rsidRDefault="00101F50" w:rsidP="00D46DE9">
      <w:pPr>
        <w:pStyle w:val="BodyText"/>
        <w:sectPr w:rsidR="00101F50" w:rsidRPr="00630A55" w:rsidSect="0056358C">
          <w:pgSz w:w="11906" w:h="16838"/>
          <w:pgMar w:top="1134" w:right="1418" w:bottom="1418" w:left="1418" w:header="709" w:footer="454" w:gutter="0"/>
          <w:pgNumType w:start="1"/>
          <w:cols w:space="708"/>
          <w:docGrid w:linePitch="360"/>
        </w:sectPr>
      </w:pPr>
    </w:p>
    <w:p w14:paraId="4B787C39" w14:textId="6A048C75" w:rsidR="00372542" w:rsidRPr="00A16B1D" w:rsidRDefault="00657A7A" w:rsidP="00DD4007">
      <w:pPr>
        <w:pStyle w:val="Heading2"/>
      </w:pPr>
      <w:bookmarkStart w:id="26" w:name="_Toc128376721"/>
      <w:r w:rsidRPr="00A16B1D">
        <w:lastRenderedPageBreak/>
        <w:t>Haemodialysis</w:t>
      </w:r>
      <w:bookmarkEnd w:id="26"/>
    </w:p>
    <w:p w14:paraId="7F7ED98A" w14:textId="77777777" w:rsidR="00CD4135" w:rsidRDefault="00CD4135" w:rsidP="00CD4135">
      <w:pPr>
        <w:pStyle w:val="Heading3"/>
      </w:pPr>
      <w:r>
        <w:t>Haemodialysis service models</w:t>
      </w:r>
      <w:r w:rsidRPr="00630A55">
        <w:t xml:space="preserve"> and costing methods</w:t>
      </w:r>
    </w:p>
    <w:p w14:paraId="406C7600" w14:textId="654A9DA2" w:rsidR="00CD4135" w:rsidRDefault="00CD4135" w:rsidP="003E3232">
      <w:pPr>
        <w:jc w:val="both"/>
      </w:pPr>
      <w:r>
        <w:t xml:space="preserve">The majority of hospitals and health services sampled had in-house dialysis </w:t>
      </w:r>
      <w:r w:rsidR="00412235">
        <w:t xml:space="preserve">wards </w:t>
      </w:r>
      <w:r w:rsidR="00535083">
        <w:t xml:space="preserve">– </w:t>
      </w:r>
      <w:r w:rsidR="005178ED">
        <w:t xml:space="preserve">this </w:t>
      </w:r>
      <w:r w:rsidR="00535083">
        <w:t xml:space="preserve">is defined as a </w:t>
      </w:r>
      <w:r w:rsidR="00B73758">
        <w:t xml:space="preserve">service that is owned and </w:t>
      </w:r>
      <w:r w:rsidR="00014C07">
        <w:t>delivered</w:t>
      </w:r>
      <w:r w:rsidR="00B73758">
        <w:t xml:space="preserve"> by the health service</w:t>
      </w:r>
      <w:r>
        <w:t>; m</w:t>
      </w:r>
      <w:r w:rsidRPr="00630A55">
        <w:t>ost services would run 2-3 patient rotations throughout the ward each day</w:t>
      </w:r>
      <w:r>
        <w:t>. Services sampled</w:t>
      </w:r>
      <w:r w:rsidRPr="00630A55">
        <w:t xml:space="preserve"> highlighted that haemodialysis </w:t>
      </w:r>
      <w:r>
        <w:t>is</w:t>
      </w:r>
      <w:r w:rsidRPr="00630A55">
        <w:t xml:space="preserve"> relatively straightforward</w:t>
      </w:r>
      <w:r>
        <w:t xml:space="preserve"> to cost</w:t>
      </w:r>
      <w:r w:rsidRPr="00630A55">
        <w:t>, with all staffing and consumable costs able to be allocated down to the patient level</w:t>
      </w:r>
      <w:r>
        <w:t>. In most cases, any i</w:t>
      </w:r>
      <w:r w:rsidRPr="00630A55">
        <w:t xml:space="preserve">npatients </w:t>
      </w:r>
      <w:r>
        <w:t>were</w:t>
      </w:r>
      <w:r w:rsidRPr="00630A55">
        <w:t xml:space="preserve"> typically admitted to </w:t>
      </w:r>
      <w:r>
        <w:t xml:space="preserve">the haemodialysis </w:t>
      </w:r>
      <w:r w:rsidRPr="00630A55">
        <w:t xml:space="preserve">ward, </w:t>
      </w:r>
      <w:r>
        <w:t>with</w:t>
      </w:r>
      <w:r w:rsidRPr="00630A55">
        <w:t xml:space="preserve"> dialysis services allocated to </w:t>
      </w:r>
      <w:r>
        <w:t xml:space="preserve">the </w:t>
      </w:r>
      <w:r w:rsidRPr="00630A55">
        <w:t xml:space="preserve">patient </w:t>
      </w:r>
      <w:r>
        <w:t>and tracked using</w:t>
      </w:r>
      <w:r w:rsidRPr="00630A55">
        <w:t xml:space="preserve"> ward movement reports. </w:t>
      </w:r>
    </w:p>
    <w:p w14:paraId="1BF7A303" w14:textId="68C190CB" w:rsidR="00CD4135" w:rsidRDefault="003052B4" w:rsidP="003E3232">
      <w:pPr>
        <w:pStyle w:val="BodyText"/>
      </w:pPr>
      <w:r>
        <w:t>From the sites sampled, WA, NT and VIC are known to be applying contracted models</w:t>
      </w:r>
      <w:r w:rsidR="001B4728">
        <w:t xml:space="preserve"> for part</w:t>
      </w:r>
      <w:r w:rsidR="00472381">
        <w:t>s</w:t>
      </w:r>
      <w:r w:rsidR="001B4728">
        <w:t xml:space="preserve"> of the service</w:t>
      </w:r>
      <w:r>
        <w:t>. However, all still retain in-house capabilities and services</w:t>
      </w:r>
      <w:r w:rsidR="001B4728">
        <w:t xml:space="preserve"> too</w:t>
      </w:r>
      <w:r w:rsidR="00763DE8">
        <w:t xml:space="preserve">, </w:t>
      </w:r>
      <w:r w:rsidR="005178ED">
        <w:t xml:space="preserve">and they </w:t>
      </w:r>
      <w:r w:rsidR="00763DE8">
        <w:t>are defined as those services owned and delivered by the health service</w:t>
      </w:r>
      <w:r>
        <w:t>, tending to use contracted models for more remote locations where in-house services are not economical and/or patient travel to locations with in-house facilities is not appropriate.</w:t>
      </w:r>
      <w:r w:rsidR="00C90FD7">
        <w:t xml:space="preserve"> </w:t>
      </w:r>
      <w:r w:rsidR="00CD4135" w:rsidRPr="00630A55">
        <w:t xml:space="preserve">There were </w:t>
      </w:r>
      <w:r w:rsidR="00C90FD7">
        <w:t xml:space="preserve">also </w:t>
      </w:r>
      <w:r w:rsidR="00CD4135" w:rsidRPr="00630A55">
        <w:t xml:space="preserve">some differences in service models between metropolitan and </w:t>
      </w:r>
      <w:r w:rsidR="00056F46">
        <w:t>regional/</w:t>
      </w:r>
      <w:r w:rsidR="00CD4135" w:rsidRPr="00630A55">
        <w:t xml:space="preserve">remote sites sampled with respect to outreach services, particularly for remote </w:t>
      </w:r>
      <w:r w:rsidR="00CD4135">
        <w:t>Aboriginal</w:t>
      </w:r>
      <w:r w:rsidR="00CD4135" w:rsidRPr="00630A55">
        <w:t xml:space="preserve"> communities (as demonstrated in the summary for </w:t>
      </w:r>
      <w:r w:rsidR="00CD4135">
        <w:t>NT</w:t>
      </w:r>
      <w:r w:rsidR="00CD4135" w:rsidRPr="00630A55">
        <w:t xml:space="preserve">). </w:t>
      </w:r>
      <w:r w:rsidR="00ED71EF">
        <w:t xml:space="preserve">This is particularly relevant for haemodialysis where patients may need dialysis 3-4 times per week in perpetuity; such that, without outreach services, those patients </w:t>
      </w:r>
      <w:r w:rsidR="00472381">
        <w:t>may</w:t>
      </w:r>
      <w:r w:rsidR="00ED71EF">
        <w:t xml:space="preserve"> be required to move permanently to the location for ongoing treatment. </w:t>
      </w:r>
      <w:r w:rsidR="00CD4135" w:rsidRPr="00630A55">
        <w:t>This highlighted the importance of understand</w:t>
      </w:r>
      <w:r w:rsidR="00CD4135">
        <w:t>ing</w:t>
      </w:r>
      <w:r w:rsidR="00CD4135" w:rsidRPr="00630A55">
        <w:t xml:space="preserve"> the context of care needs across different jurisdictions and their demographic cohorts</w:t>
      </w:r>
      <w:r w:rsidR="00CD4135">
        <w:t xml:space="preserve"> and the possibility for further discussion across jurisdictions with similarly remote and/or rural communities with limited access to services</w:t>
      </w:r>
      <w:r w:rsidR="00CD4135" w:rsidRPr="00630A55">
        <w:t xml:space="preserve">. </w:t>
      </w:r>
    </w:p>
    <w:p w14:paraId="49FFA214" w14:textId="77777777" w:rsidR="00CD4135" w:rsidRPr="00DA3901" w:rsidRDefault="00CD4135" w:rsidP="003E3232">
      <w:pPr>
        <w:pStyle w:val="BodyText"/>
      </w:pPr>
      <w:r>
        <w:t xml:space="preserve">There were some differences across jurisdictions with respect to the allocation of blood costs, being either at the point of service (the dialysis event) or the point of order (typically the outpatient consult). To improve consistency of costing allocation methods for blood, this could be a point of discussion across the jurisdictions in the future. </w:t>
      </w:r>
    </w:p>
    <w:p w14:paraId="6EF9B26E" w14:textId="08A47392" w:rsidR="00CD4135" w:rsidRDefault="00CD4135" w:rsidP="003E3232">
      <w:pPr>
        <w:pStyle w:val="BodyText"/>
      </w:pPr>
      <w:r>
        <w:t xml:space="preserve">Most jurisdictions did not, or were not able to, refine the average length of stay to less than a day, when treatments typically take 2-4 hours. To improve the granularity of costing data and allow sites to compare models of service, further work could be undertaken to identify methods for refining this metric across this and similar services. </w:t>
      </w:r>
    </w:p>
    <w:p w14:paraId="27F260D6" w14:textId="77777777" w:rsidR="004930DB" w:rsidRPr="00630A55" w:rsidRDefault="004930DB" w:rsidP="003E3232">
      <w:pPr>
        <w:pStyle w:val="BodyText"/>
      </w:pPr>
    </w:p>
    <w:p w14:paraId="69A1F91A" w14:textId="77777777" w:rsidR="00825EC3" w:rsidRDefault="00825EC3">
      <w:pPr>
        <w:spacing w:before="0" w:after="160" w:line="259" w:lineRule="auto"/>
        <w:rPr>
          <w:iCs/>
          <w:sz w:val="20"/>
          <w:szCs w:val="16"/>
        </w:rPr>
      </w:pPr>
      <w:r>
        <w:br w:type="page"/>
      </w:r>
    </w:p>
    <w:p w14:paraId="5E9EEBB2" w14:textId="49B197E1" w:rsidR="009831FF" w:rsidRPr="00630A55" w:rsidRDefault="00DA0A8C" w:rsidP="00DA0A8C">
      <w:pPr>
        <w:pStyle w:val="Caption"/>
        <w:rPr>
          <w:rFonts w:ascii="Univers 45 Light" w:hAnsi="Univers 45 Light"/>
          <w:i/>
          <w:szCs w:val="20"/>
        </w:rPr>
      </w:pPr>
      <w:r w:rsidRPr="001B50F5">
        <w:rPr>
          <w:b/>
          <w:bCs/>
        </w:rPr>
        <w:lastRenderedPageBreak/>
        <w:t xml:space="preserve">Table </w:t>
      </w:r>
      <w:r w:rsidR="00D91CB1" w:rsidRPr="001B50F5">
        <w:rPr>
          <w:b/>
          <w:bCs/>
        </w:rPr>
        <w:fldChar w:fldCharType="begin"/>
      </w:r>
      <w:r w:rsidR="00D91CB1" w:rsidRPr="001B50F5">
        <w:rPr>
          <w:b/>
          <w:bCs/>
        </w:rPr>
        <w:instrText xml:space="preserve"> SEQ Table \* ARABIC </w:instrText>
      </w:r>
      <w:r w:rsidR="00D91CB1" w:rsidRPr="001B50F5">
        <w:rPr>
          <w:b/>
          <w:bCs/>
        </w:rPr>
        <w:fldChar w:fldCharType="separate"/>
      </w:r>
      <w:r w:rsidR="007E2ACB">
        <w:rPr>
          <w:b/>
          <w:bCs/>
          <w:noProof/>
        </w:rPr>
        <w:t>4</w:t>
      </w:r>
      <w:r w:rsidR="00D91CB1" w:rsidRPr="001B50F5">
        <w:rPr>
          <w:b/>
          <w:bCs/>
          <w:noProof/>
        </w:rPr>
        <w:fldChar w:fldCharType="end"/>
      </w:r>
      <w:r>
        <w:t>:</w:t>
      </w:r>
      <w:r w:rsidR="009831FF">
        <w:t xml:space="preserve"> </w:t>
      </w:r>
      <w:r w:rsidR="009831FF" w:rsidRPr="00630A55">
        <w:t xml:space="preserve">Summary of IFR </w:t>
      </w:r>
      <w:r w:rsidR="00595A9F">
        <w:t>FY20/21</w:t>
      </w:r>
      <w:r w:rsidR="009831FF" w:rsidRPr="00630A55">
        <w:t xml:space="preserve"> costing and activity data for haemodialysis</w:t>
      </w:r>
      <w:r w:rsidR="00A13D19" w:rsidRPr="00630A55">
        <w:t xml:space="preserve">, with </w:t>
      </w:r>
      <w:r w:rsidR="00595A9F">
        <w:t>FY19/20</w:t>
      </w:r>
      <w:r w:rsidR="00A13D19" w:rsidRPr="00630A55">
        <w:t xml:space="preserve"> variances for average cost and activity,</w:t>
      </w:r>
      <w:r w:rsidR="009831FF" w:rsidRPr="00630A55">
        <w:rPr>
          <w:rFonts w:ascii="Univers 45 Light" w:hAnsi="Univers 45 Light"/>
          <w:i/>
          <w:szCs w:val="20"/>
        </w:rPr>
        <w:t xml:space="preserve"> </w:t>
      </w:r>
      <w:r w:rsidR="009831FF" w:rsidRPr="007C041E">
        <w:rPr>
          <w:rFonts w:cs="Arial"/>
          <w:szCs w:val="20"/>
        </w:rPr>
        <w:t>by jurisdiction and sample site</w:t>
      </w:r>
      <w:bookmarkStart w:id="27" w:name="table"/>
      <w:bookmarkEnd w:id="27"/>
    </w:p>
    <w:tbl>
      <w:tblPr>
        <w:tblW w:w="4757" w:type="pct"/>
        <w:tblCellMar>
          <w:left w:w="28" w:type="dxa"/>
          <w:right w:w="28" w:type="dxa"/>
        </w:tblCellMar>
        <w:tblLook w:val="04A0" w:firstRow="1" w:lastRow="0" w:firstColumn="1" w:lastColumn="0" w:noHBand="0" w:noVBand="1"/>
      </w:tblPr>
      <w:tblGrid>
        <w:gridCol w:w="562"/>
        <w:gridCol w:w="1319"/>
        <w:gridCol w:w="1217"/>
        <w:gridCol w:w="917"/>
        <w:gridCol w:w="917"/>
        <w:gridCol w:w="927"/>
        <w:gridCol w:w="947"/>
        <w:gridCol w:w="867"/>
        <w:gridCol w:w="947"/>
      </w:tblGrid>
      <w:tr w:rsidR="008E3B7B" w:rsidRPr="00630A55" w14:paraId="6535E3AF" w14:textId="755727D1" w:rsidTr="004A0EBA">
        <w:trPr>
          <w:cantSplit/>
          <w:trHeight w:val="20"/>
          <w:tblHeader/>
        </w:trPr>
        <w:tc>
          <w:tcPr>
            <w:tcW w:w="562" w:type="dxa"/>
            <w:tcBorders>
              <w:top w:val="single" w:sz="4" w:space="0" w:color="auto"/>
              <w:left w:val="single" w:sz="4" w:space="0" w:color="auto"/>
              <w:bottom w:val="single" w:sz="4" w:space="0" w:color="auto"/>
              <w:right w:val="single" w:sz="4" w:space="0" w:color="auto"/>
            </w:tcBorders>
            <w:shd w:val="clear" w:color="auto" w:fill="00338D"/>
            <w:vAlign w:val="center"/>
          </w:tcPr>
          <w:p w14:paraId="7AC99C9B" w14:textId="081D282C" w:rsidR="00C5501B" w:rsidRPr="005F18FF" w:rsidRDefault="00C5501B" w:rsidP="00F77BBB">
            <w:pPr>
              <w:pStyle w:val="Tableheading"/>
              <w:spacing w:before="0" w:after="0"/>
              <w:rPr>
                <w:rFonts w:ascii="Arial" w:hAnsi="Arial" w:cs="Arial"/>
                <w:color w:val="auto"/>
                <w:szCs w:val="20"/>
                <w:lang w:eastAsia="en-AU"/>
              </w:rPr>
            </w:pPr>
          </w:p>
        </w:tc>
        <w:tc>
          <w:tcPr>
            <w:tcW w:w="1319" w:type="dxa"/>
            <w:tcBorders>
              <w:top w:val="single" w:sz="4" w:space="0" w:color="auto"/>
              <w:left w:val="nil"/>
              <w:bottom w:val="single" w:sz="4" w:space="0" w:color="auto"/>
              <w:right w:val="single" w:sz="4" w:space="0" w:color="auto"/>
            </w:tcBorders>
            <w:shd w:val="clear" w:color="auto" w:fill="00338D"/>
            <w:vAlign w:val="center"/>
            <w:hideMark/>
          </w:tcPr>
          <w:p w14:paraId="4B7142D8" w14:textId="77777777" w:rsidR="00C5501B" w:rsidRPr="005F18FF" w:rsidRDefault="00C5501B" w:rsidP="00F77BBB">
            <w:pPr>
              <w:pStyle w:val="Tableheading"/>
              <w:spacing w:before="0" w:after="0"/>
              <w:rPr>
                <w:rFonts w:ascii="Arial" w:hAnsi="Arial" w:cs="Arial"/>
                <w:color w:val="auto"/>
                <w:szCs w:val="20"/>
                <w:lang w:eastAsia="en-AU"/>
              </w:rPr>
            </w:pPr>
            <w:r w:rsidRPr="005F18FF">
              <w:rPr>
                <w:rFonts w:ascii="Arial" w:hAnsi="Arial" w:cs="Arial"/>
                <w:color w:val="auto"/>
                <w:szCs w:val="20"/>
                <w:lang w:eastAsia="en-AU"/>
              </w:rPr>
              <w:t>Site</w:t>
            </w:r>
          </w:p>
        </w:tc>
        <w:tc>
          <w:tcPr>
            <w:tcW w:w="1217" w:type="dxa"/>
            <w:tcBorders>
              <w:top w:val="single" w:sz="4" w:space="0" w:color="auto"/>
              <w:left w:val="nil"/>
              <w:bottom w:val="single" w:sz="4" w:space="0" w:color="auto"/>
              <w:right w:val="single" w:sz="4" w:space="0" w:color="auto"/>
            </w:tcBorders>
            <w:shd w:val="clear" w:color="auto" w:fill="00338D"/>
            <w:vAlign w:val="center"/>
            <w:hideMark/>
          </w:tcPr>
          <w:p w14:paraId="531E2AAA" w14:textId="77777777" w:rsidR="00C5501B" w:rsidRPr="005F18FF" w:rsidRDefault="00C5501B" w:rsidP="00F77BBB">
            <w:pPr>
              <w:pStyle w:val="Tableheading"/>
              <w:spacing w:before="0" w:after="0"/>
              <w:rPr>
                <w:rFonts w:ascii="Arial" w:hAnsi="Arial" w:cs="Arial"/>
                <w:color w:val="auto"/>
                <w:szCs w:val="20"/>
                <w:lang w:eastAsia="en-AU"/>
              </w:rPr>
            </w:pPr>
            <w:r w:rsidRPr="005F18FF">
              <w:rPr>
                <w:rFonts w:ascii="Arial" w:hAnsi="Arial" w:cs="Arial"/>
                <w:color w:val="auto"/>
                <w:szCs w:val="20"/>
                <w:lang w:eastAsia="en-AU"/>
              </w:rPr>
              <w:t>Total Cost</w:t>
            </w:r>
          </w:p>
        </w:tc>
        <w:tc>
          <w:tcPr>
            <w:tcW w:w="917" w:type="dxa"/>
            <w:tcBorders>
              <w:top w:val="single" w:sz="4" w:space="0" w:color="auto"/>
              <w:left w:val="nil"/>
              <w:bottom w:val="single" w:sz="4" w:space="0" w:color="auto"/>
              <w:right w:val="single" w:sz="4" w:space="0" w:color="auto"/>
            </w:tcBorders>
            <w:shd w:val="clear" w:color="auto" w:fill="00338D"/>
            <w:vAlign w:val="center"/>
            <w:hideMark/>
          </w:tcPr>
          <w:p w14:paraId="47579F90" w14:textId="77777777" w:rsidR="00C5501B" w:rsidRPr="005F18FF" w:rsidRDefault="00C5501B" w:rsidP="00F77BBB">
            <w:pPr>
              <w:pStyle w:val="Tableheading"/>
              <w:spacing w:before="0" w:after="0"/>
              <w:rPr>
                <w:rFonts w:ascii="Arial" w:hAnsi="Arial" w:cs="Arial"/>
                <w:color w:val="auto"/>
                <w:szCs w:val="20"/>
                <w:lang w:eastAsia="en-AU"/>
              </w:rPr>
            </w:pPr>
            <w:r w:rsidRPr="005F18FF">
              <w:rPr>
                <w:rFonts w:ascii="Arial" w:hAnsi="Arial" w:cs="Arial"/>
                <w:color w:val="auto"/>
                <w:szCs w:val="20"/>
                <w:lang w:eastAsia="en-AU"/>
              </w:rPr>
              <w:t>Highest Cost Episode</w:t>
            </w:r>
          </w:p>
        </w:tc>
        <w:tc>
          <w:tcPr>
            <w:tcW w:w="917" w:type="dxa"/>
            <w:tcBorders>
              <w:top w:val="single" w:sz="4" w:space="0" w:color="auto"/>
              <w:left w:val="nil"/>
              <w:bottom w:val="single" w:sz="4" w:space="0" w:color="auto"/>
              <w:right w:val="single" w:sz="4" w:space="0" w:color="auto"/>
            </w:tcBorders>
            <w:shd w:val="clear" w:color="auto" w:fill="00338D"/>
            <w:vAlign w:val="center"/>
            <w:hideMark/>
          </w:tcPr>
          <w:p w14:paraId="07912F0F" w14:textId="77777777" w:rsidR="00C5501B" w:rsidRPr="005F18FF" w:rsidRDefault="00C5501B" w:rsidP="00F77BBB">
            <w:pPr>
              <w:pStyle w:val="Tableheading"/>
              <w:spacing w:before="0" w:after="0"/>
              <w:rPr>
                <w:rFonts w:ascii="Arial" w:hAnsi="Arial" w:cs="Arial"/>
                <w:color w:val="auto"/>
                <w:szCs w:val="20"/>
                <w:lang w:eastAsia="en-AU"/>
              </w:rPr>
            </w:pPr>
            <w:r w:rsidRPr="005F18FF">
              <w:rPr>
                <w:rFonts w:ascii="Arial" w:hAnsi="Arial" w:cs="Arial"/>
                <w:color w:val="auto"/>
                <w:szCs w:val="20"/>
                <w:lang w:eastAsia="en-AU"/>
              </w:rPr>
              <w:t>Lowest Cost Episode</w:t>
            </w:r>
          </w:p>
        </w:tc>
        <w:tc>
          <w:tcPr>
            <w:tcW w:w="927" w:type="dxa"/>
            <w:tcBorders>
              <w:top w:val="single" w:sz="4" w:space="0" w:color="auto"/>
              <w:left w:val="nil"/>
              <w:bottom w:val="single" w:sz="4" w:space="0" w:color="auto"/>
              <w:right w:val="single" w:sz="4" w:space="0" w:color="auto"/>
            </w:tcBorders>
            <w:shd w:val="clear" w:color="auto" w:fill="00338D"/>
            <w:vAlign w:val="center"/>
            <w:hideMark/>
          </w:tcPr>
          <w:p w14:paraId="67C6FA75" w14:textId="6E17932F" w:rsidR="00C5501B" w:rsidRPr="005F18FF" w:rsidRDefault="00D521E1" w:rsidP="00F77BBB">
            <w:pPr>
              <w:pStyle w:val="Tableheading"/>
              <w:spacing w:before="0" w:after="0"/>
              <w:rPr>
                <w:rFonts w:ascii="Arial" w:hAnsi="Arial" w:cs="Arial"/>
                <w:color w:val="auto"/>
                <w:szCs w:val="20"/>
                <w:lang w:eastAsia="en-AU"/>
              </w:rPr>
            </w:pPr>
            <w:r w:rsidRPr="005F18FF">
              <w:rPr>
                <w:rFonts w:ascii="Arial" w:hAnsi="Arial" w:cs="Arial"/>
                <w:color w:val="auto"/>
                <w:szCs w:val="20"/>
                <w:lang w:eastAsia="en-AU"/>
              </w:rPr>
              <w:t>R</w:t>
            </w:r>
            <w:r w:rsidR="005F6602" w:rsidRPr="005F18FF">
              <w:rPr>
                <w:rFonts w:ascii="Arial" w:hAnsi="Arial" w:cs="Arial"/>
                <w:color w:val="auto"/>
                <w:szCs w:val="20"/>
                <w:lang w:eastAsia="en-AU"/>
              </w:rPr>
              <w:t>2</w:t>
            </w:r>
            <w:r w:rsidRPr="005F18FF">
              <w:rPr>
                <w:rFonts w:ascii="Arial" w:hAnsi="Arial" w:cs="Arial"/>
                <w:color w:val="auto"/>
                <w:szCs w:val="20"/>
                <w:lang w:eastAsia="en-AU"/>
              </w:rPr>
              <w:t xml:space="preserve">5 </w:t>
            </w:r>
            <w:r w:rsidR="00C5501B" w:rsidRPr="005F18FF">
              <w:rPr>
                <w:rFonts w:ascii="Arial" w:hAnsi="Arial" w:cs="Arial"/>
                <w:color w:val="auto"/>
                <w:szCs w:val="20"/>
                <w:lang w:eastAsia="en-AU"/>
              </w:rPr>
              <w:t xml:space="preserve">Average Cost </w:t>
            </w:r>
          </w:p>
        </w:tc>
        <w:tc>
          <w:tcPr>
            <w:tcW w:w="947" w:type="dxa"/>
            <w:tcBorders>
              <w:top w:val="single" w:sz="4" w:space="0" w:color="auto"/>
              <w:left w:val="nil"/>
              <w:bottom w:val="single" w:sz="4" w:space="0" w:color="auto"/>
              <w:right w:val="single" w:sz="4" w:space="0" w:color="auto"/>
            </w:tcBorders>
            <w:shd w:val="clear" w:color="auto" w:fill="00338D"/>
          </w:tcPr>
          <w:p w14:paraId="0522EBDC" w14:textId="42F11273" w:rsidR="00C5501B" w:rsidRPr="005F18FF" w:rsidRDefault="00C5501B" w:rsidP="00F77BBB">
            <w:pPr>
              <w:pStyle w:val="Tableheading"/>
              <w:spacing w:before="0" w:after="0"/>
              <w:rPr>
                <w:rFonts w:ascii="Arial" w:hAnsi="Arial" w:cs="Arial"/>
                <w:color w:val="auto"/>
                <w:szCs w:val="20"/>
                <w:lang w:eastAsia="en-AU"/>
              </w:rPr>
            </w:pPr>
            <w:r w:rsidRPr="005F18FF">
              <w:rPr>
                <w:rFonts w:ascii="Arial" w:hAnsi="Arial" w:cs="Arial"/>
                <w:color w:val="auto"/>
                <w:szCs w:val="20"/>
                <w:lang w:eastAsia="en-AU"/>
              </w:rPr>
              <w:t>Average cost variance (</w:t>
            </w:r>
            <w:r w:rsidR="00D521E1" w:rsidRPr="005F18FF">
              <w:rPr>
                <w:rFonts w:ascii="Arial" w:hAnsi="Arial" w:cs="Arial"/>
                <w:color w:val="auto"/>
                <w:szCs w:val="20"/>
                <w:lang w:eastAsia="en-AU"/>
              </w:rPr>
              <w:t>R25 to R24</w:t>
            </w:r>
            <w:r w:rsidRPr="005F18FF">
              <w:rPr>
                <w:rFonts w:ascii="Arial" w:hAnsi="Arial" w:cs="Arial"/>
                <w:color w:val="auto"/>
                <w:szCs w:val="20"/>
                <w:lang w:eastAsia="en-AU"/>
              </w:rPr>
              <w:t>)</w:t>
            </w:r>
          </w:p>
        </w:tc>
        <w:tc>
          <w:tcPr>
            <w:tcW w:w="867" w:type="dxa"/>
            <w:tcBorders>
              <w:top w:val="single" w:sz="4" w:space="0" w:color="auto"/>
              <w:left w:val="single" w:sz="4" w:space="0" w:color="auto"/>
              <w:bottom w:val="single" w:sz="4" w:space="0" w:color="auto"/>
              <w:right w:val="single" w:sz="4" w:space="0" w:color="auto"/>
            </w:tcBorders>
            <w:shd w:val="clear" w:color="auto" w:fill="00338D"/>
            <w:vAlign w:val="center"/>
            <w:hideMark/>
          </w:tcPr>
          <w:p w14:paraId="57835A8E" w14:textId="186735B3" w:rsidR="00C5501B" w:rsidRPr="005F18FF" w:rsidRDefault="00D521E1" w:rsidP="00F77BBB">
            <w:pPr>
              <w:pStyle w:val="Tableheading"/>
              <w:spacing w:before="0" w:after="0"/>
              <w:rPr>
                <w:rFonts w:ascii="Arial" w:hAnsi="Arial" w:cs="Arial"/>
                <w:color w:val="auto"/>
                <w:szCs w:val="20"/>
                <w:lang w:eastAsia="en-AU"/>
              </w:rPr>
            </w:pPr>
            <w:r w:rsidRPr="005F18FF">
              <w:rPr>
                <w:rFonts w:ascii="Arial" w:hAnsi="Arial" w:cs="Arial"/>
                <w:color w:val="auto"/>
                <w:szCs w:val="20"/>
                <w:lang w:eastAsia="en-AU"/>
              </w:rPr>
              <w:t xml:space="preserve">R25 </w:t>
            </w:r>
            <w:r w:rsidR="00C5501B" w:rsidRPr="005F18FF">
              <w:rPr>
                <w:rFonts w:ascii="Arial" w:hAnsi="Arial" w:cs="Arial"/>
                <w:color w:val="auto"/>
                <w:szCs w:val="20"/>
                <w:lang w:eastAsia="en-AU"/>
              </w:rPr>
              <w:t>Activity</w:t>
            </w:r>
          </w:p>
        </w:tc>
        <w:tc>
          <w:tcPr>
            <w:tcW w:w="947" w:type="dxa"/>
            <w:tcBorders>
              <w:top w:val="single" w:sz="4" w:space="0" w:color="auto"/>
              <w:left w:val="single" w:sz="4" w:space="0" w:color="auto"/>
              <w:bottom w:val="single" w:sz="4" w:space="0" w:color="auto"/>
              <w:right w:val="single" w:sz="4" w:space="0" w:color="auto"/>
            </w:tcBorders>
            <w:shd w:val="clear" w:color="auto" w:fill="00338D"/>
            <w:vAlign w:val="center"/>
          </w:tcPr>
          <w:p w14:paraId="2B9F6860" w14:textId="5C1EE052" w:rsidR="00C5501B" w:rsidRPr="005F18FF" w:rsidRDefault="00C5501B" w:rsidP="00F77BBB">
            <w:pPr>
              <w:pStyle w:val="Tableheading"/>
              <w:spacing w:before="0" w:after="0"/>
              <w:rPr>
                <w:rFonts w:ascii="Arial" w:hAnsi="Arial" w:cs="Arial"/>
                <w:color w:val="auto"/>
                <w:szCs w:val="20"/>
                <w:lang w:eastAsia="en-AU"/>
              </w:rPr>
            </w:pPr>
            <w:r w:rsidRPr="005F18FF">
              <w:rPr>
                <w:rFonts w:ascii="Arial" w:hAnsi="Arial" w:cs="Arial"/>
                <w:color w:val="auto"/>
                <w:szCs w:val="20"/>
                <w:lang w:eastAsia="en-AU"/>
              </w:rPr>
              <w:t xml:space="preserve">Activity variance </w:t>
            </w:r>
            <w:r w:rsidR="00D521E1" w:rsidRPr="005F18FF">
              <w:rPr>
                <w:rFonts w:ascii="Arial" w:hAnsi="Arial" w:cs="Arial"/>
                <w:color w:val="auto"/>
                <w:szCs w:val="20"/>
                <w:lang w:eastAsia="en-AU"/>
              </w:rPr>
              <w:t>(</w:t>
            </w:r>
            <w:r w:rsidRPr="005F18FF">
              <w:rPr>
                <w:rFonts w:ascii="Arial" w:hAnsi="Arial" w:cs="Arial"/>
                <w:color w:val="auto"/>
                <w:szCs w:val="20"/>
                <w:lang w:eastAsia="en-AU"/>
              </w:rPr>
              <w:t>R</w:t>
            </w:r>
            <w:r w:rsidR="00D521E1" w:rsidRPr="005F18FF">
              <w:rPr>
                <w:rFonts w:ascii="Arial" w:hAnsi="Arial" w:cs="Arial"/>
                <w:color w:val="auto"/>
                <w:szCs w:val="20"/>
                <w:lang w:eastAsia="en-AU"/>
              </w:rPr>
              <w:t>25 to R24</w:t>
            </w:r>
            <w:r w:rsidRPr="005F18FF">
              <w:rPr>
                <w:rFonts w:ascii="Arial" w:hAnsi="Arial" w:cs="Arial"/>
                <w:color w:val="auto"/>
                <w:szCs w:val="20"/>
                <w:lang w:eastAsia="en-AU"/>
              </w:rPr>
              <w:t>)</w:t>
            </w:r>
          </w:p>
        </w:tc>
      </w:tr>
      <w:tr w:rsidR="006F3A19" w:rsidRPr="00630A55" w14:paraId="59EC7E1A" w14:textId="433980DC" w:rsidTr="004A0EBA">
        <w:trPr>
          <w:cantSplit/>
          <w:trHeight w:val="20"/>
        </w:trPr>
        <w:tc>
          <w:tcPr>
            <w:tcW w:w="562" w:type="dxa"/>
            <w:tcBorders>
              <w:top w:val="nil"/>
              <w:left w:val="single" w:sz="4" w:space="0" w:color="auto"/>
              <w:bottom w:val="single" w:sz="4" w:space="0" w:color="auto"/>
              <w:right w:val="single" w:sz="4" w:space="0" w:color="auto"/>
            </w:tcBorders>
            <w:shd w:val="clear" w:color="auto" w:fill="auto"/>
            <w:vAlign w:val="center"/>
          </w:tcPr>
          <w:p w14:paraId="6B0553C1" w14:textId="44E8E150" w:rsidR="006F3A19" w:rsidRPr="005F18FF" w:rsidRDefault="006F3A19" w:rsidP="006F3A19">
            <w:pPr>
              <w:pStyle w:val="Tableheading"/>
              <w:rPr>
                <w:rFonts w:ascii="Arial" w:hAnsi="Arial" w:cs="Arial"/>
                <w:color w:val="000000" w:themeColor="text1"/>
                <w:szCs w:val="20"/>
                <w:lang w:eastAsia="en-AU"/>
              </w:rPr>
            </w:pPr>
            <w:r w:rsidRPr="005F18FF">
              <w:rPr>
                <w:rFonts w:ascii="Arial" w:hAnsi="Arial" w:cs="Arial"/>
                <w:color w:val="000000" w:themeColor="text1"/>
                <w:szCs w:val="20"/>
                <w:lang w:eastAsia="en-AU"/>
              </w:rPr>
              <w:t>ACT</w:t>
            </w:r>
          </w:p>
        </w:tc>
        <w:tc>
          <w:tcPr>
            <w:tcW w:w="1319" w:type="dxa"/>
            <w:tcBorders>
              <w:top w:val="nil"/>
              <w:left w:val="nil"/>
              <w:bottom w:val="single" w:sz="4" w:space="0" w:color="auto"/>
              <w:right w:val="single" w:sz="4" w:space="0" w:color="auto"/>
            </w:tcBorders>
            <w:shd w:val="clear" w:color="auto" w:fill="auto"/>
            <w:vAlign w:val="center"/>
            <w:hideMark/>
          </w:tcPr>
          <w:p w14:paraId="6331C8BA" w14:textId="20055BCD" w:rsidR="006F3A19" w:rsidRPr="005F18FF" w:rsidRDefault="006F3A19" w:rsidP="006F3A19">
            <w:pPr>
              <w:pStyle w:val="TableText8Font"/>
              <w:rPr>
                <w:rFonts w:cs="Arial"/>
                <w:sz w:val="20"/>
                <w:szCs w:val="20"/>
              </w:rPr>
            </w:pPr>
            <w:r w:rsidRPr="005F18FF">
              <w:rPr>
                <w:rFonts w:cs="Arial"/>
                <w:sz w:val="20"/>
                <w:szCs w:val="20"/>
              </w:rPr>
              <w:t xml:space="preserve">Canberra Hospital </w:t>
            </w:r>
          </w:p>
        </w:tc>
        <w:tc>
          <w:tcPr>
            <w:tcW w:w="1217" w:type="dxa"/>
            <w:tcBorders>
              <w:top w:val="nil"/>
              <w:left w:val="nil"/>
              <w:bottom w:val="single" w:sz="4" w:space="0" w:color="auto"/>
              <w:right w:val="single" w:sz="4" w:space="0" w:color="auto"/>
            </w:tcBorders>
            <w:shd w:val="clear" w:color="auto" w:fill="auto"/>
            <w:vAlign w:val="center"/>
            <w:hideMark/>
          </w:tcPr>
          <w:p w14:paraId="07EE80BC" w14:textId="77777777" w:rsidR="006F3A19" w:rsidRPr="005F18FF" w:rsidRDefault="006F3A19" w:rsidP="001B50F5">
            <w:pPr>
              <w:pStyle w:val="TableText8FontRightAlign"/>
              <w:jc w:val="center"/>
              <w:rPr>
                <w:rFonts w:cs="Arial"/>
                <w:sz w:val="20"/>
                <w:szCs w:val="20"/>
              </w:rPr>
            </w:pPr>
            <w:r w:rsidRPr="005F18FF">
              <w:rPr>
                <w:rFonts w:cs="Arial"/>
                <w:sz w:val="20"/>
                <w:szCs w:val="20"/>
              </w:rPr>
              <w:t>$10,301,960</w:t>
            </w:r>
          </w:p>
        </w:tc>
        <w:tc>
          <w:tcPr>
            <w:tcW w:w="917" w:type="dxa"/>
            <w:tcBorders>
              <w:top w:val="nil"/>
              <w:left w:val="nil"/>
              <w:bottom w:val="single" w:sz="4" w:space="0" w:color="auto"/>
              <w:right w:val="single" w:sz="4" w:space="0" w:color="auto"/>
            </w:tcBorders>
            <w:shd w:val="clear" w:color="auto" w:fill="auto"/>
            <w:vAlign w:val="center"/>
            <w:hideMark/>
          </w:tcPr>
          <w:p w14:paraId="63CD54C2" w14:textId="77777777" w:rsidR="006F3A19" w:rsidRPr="005F18FF" w:rsidRDefault="006F3A19" w:rsidP="001B50F5">
            <w:pPr>
              <w:pStyle w:val="TableText8FontRightAlign"/>
              <w:jc w:val="center"/>
              <w:rPr>
                <w:rFonts w:cs="Arial"/>
                <w:sz w:val="20"/>
                <w:szCs w:val="20"/>
              </w:rPr>
            </w:pPr>
            <w:r w:rsidRPr="005F18FF">
              <w:rPr>
                <w:rFonts w:cs="Arial"/>
                <w:sz w:val="20"/>
                <w:szCs w:val="20"/>
              </w:rPr>
              <w:t>$50,438</w:t>
            </w:r>
          </w:p>
        </w:tc>
        <w:tc>
          <w:tcPr>
            <w:tcW w:w="917" w:type="dxa"/>
            <w:tcBorders>
              <w:top w:val="nil"/>
              <w:left w:val="nil"/>
              <w:bottom w:val="single" w:sz="4" w:space="0" w:color="auto"/>
              <w:right w:val="single" w:sz="4" w:space="0" w:color="auto"/>
            </w:tcBorders>
            <w:shd w:val="clear" w:color="auto" w:fill="auto"/>
            <w:vAlign w:val="center"/>
            <w:hideMark/>
          </w:tcPr>
          <w:p w14:paraId="5739739D" w14:textId="77777777" w:rsidR="006F3A19" w:rsidRPr="005F18FF" w:rsidRDefault="006F3A19" w:rsidP="001B50F5">
            <w:pPr>
              <w:pStyle w:val="TableText8FontRightAlign"/>
              <w:jc w:val="center"/>
              <w:rPr>
                <w:rFonts w:cs="Arial"/>
                <w:sz w:val="20"/>
                <w:szCs w:val="20"/>
              </w:rPr>
            </w:pPr>
            <w:r w:rsidRPr="005F18FF">
              <w:rPr>
                <w:rFonts w:cs="Arial"/>
                <w:sz w:val="20"/>
                <w:szCs w:val="20"/>
              </w:rPr>
              <w:t>$94</w:t>
            </w:r>
          </w:p>
        </w:tc>
        <w:tc>
          <w:tcPr>
            <w:tcW w:w="927" w:type="dxa"/>
            <w:tcBorders>
              <w:top w:val="nil"/>
              <w:left w:val="nil"/>
              <w:bottom w:val="single" w:sz="4" w:space="0" w:color="auto"/>
              <w:right w:val="single" w:sz="4" w:space="0" w:color="auto"/>
            </w:tcBorders>
            <w:shd w:val="clear" w:color="auto" w:fill="auto"/>
            <w:vAlign w:val="center"/>
            <w:hideMark/>
          </w:tcPr>
          <w:p w14:paraId="52151F68" w14:textId="77777777" w:rsidR="006F3A19" w:rsidRPr="005F18FF" w:rsidRDefault="006F3A19" w:rsidP="001B50F5">
            <w:pPr>
              <w:pStyle w:val="TableText8FontRightAlign"/>
              <w:jc w:val="center"/>
              <w:rPr>
                <w:rFonts w:cs="Arial"/>
                <w:sz w:val="20"/>
                <w:szCs w:val="20"/>
              </w:rPr>
            </w:pPr>
            <w:r w:rsidRPr="005F18FF">
              <w:rPr>
                <w:rFonts w:cs="Arial"/>
                <w:sz w:val="20"/>
                <w:szCs w:val="20"/>
              </w:rPr>
              <w:t>$481</w:t>
            </w:r>
          </w:p>
        </w:tc>
        <w:tc>
          <w:tcPr>
            <w:tcW w:w="947" w:type="dxa"/>
            <w:tcBorders>
              <w:top w:val="single" w:sz="4" w:space="0" w:color="auto"/>
              <w:left w:val="nil"/>
              <w:bottom w:val="single" w:sz="4" w:space="0" w:color="auto"/>
              <w:right w:val="single" w:sz="4" w:space="0" w:color="auto"/>
            </w:tcBorders>
            <w:vAlign w:val="center"/>
          </w:tcPr>
          <w:p w14:paraId="2D6067A6" w14:textId="08318CD4" w:rsidR="006F3A19" w:rsidRPr="005F18FF" w:rsidRDefault="006F3A19" w:rsidP="001B50F5">
            <w:pPr>
              <w:pStyle w:val="TableText8FontRightAlign"/>
              <w:jc w:val="center"/>
              <w:rPr>
                <w:rFonts w:eastAsia="Times New Roman" w:cs="Arial"/>
                <w:sz w:val="20"/>
                <w:szCs w:val="20"/>
              </w:rPr>
            </w:pPr>
            <w:r w:rsidRPr="005F18FF">
              <w:rPr>
                <w:rFonts w:cs="Arial"/>
                <w:sz w:val="20"/>
                <w:szCs w:val="20"/>
              </w:rPr>
              <w:t>9.1%</w:t>
            </w: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62BCAA" w14:textId="796B887F" w:rsidR="006F3A19" w:rsidRPr="005F18FF" w:rsidRDefault="006F3A19" w:rsidP="001B50F5">
            <w:pPr>
              <w:pStyle w:val="TableText8FontRightAlign"/>
              <w:jc w:val="center"/>
              <w:rPr>
                <w:rFonts w:cs="Arial"/>
                <w:sz w:val="20"/>
                <w:szCs w:val="20"/>
              </w:rPr>
            </w:pPr>
            <w:r w:rsidRPr="005F18FF">
              <w:rPr>
                <w:rFonts w:cs="Arial"/>
                <w:sz w:val="20"/>
                <w:szCs w:val="20"/>
              </w:rPr>
              <w:t>21,396</w:t>
            </w:r>
          </w:p>
        </w:tc>
        <w:tc>
          <w:tcPr>
            <w:tcW w:w="947" w:type="dxa"/>
            <w:tcBorders>
              <w:top w:val="single" w:sz="4" w:space="0" w:color="auto"/>
              <w:left w:val="single" w:sz="4" w:space="0" w:color="auto"/>
              <w:bottom w:val="single" w:sz="4" w:space="0" w:color="auto"/>
              <w:right w:val="single" w:sz="4" w:space="0" w:color="auto"/>
            </w:tcBorders>
            <w:vAlign w:val="center"/>
          </w:tcPr>
          <w:p w14:paraId="101154D6" w14:textId="3EFB5496" w:rsidR="006F3A19" w:rsidRPr="005F18FF" w:rsidRDefault="006F3A19" w:rsidP="001B50F5">
            <w:pPr>
              <w:pStyle w:val="TableText8FontRightAlign"/>
              <w:jc w:val="center"/>
              <w:rPr>
                <w:rFonts w:eastAsia="Times New Roman" w:cs="Arial"/>
                <w:sz w:val="20"/>
                <w:szCs w:val="20"/>
              </w:rPr>
            </w:pPr>
            <w:r w:rsidRPr="005F18FF">
              <w:rPr>
                <w:rFonts w:cs="Arial"/>
                <w:sz w:val="20"/>
                <w:szCs w:val="20"/>
              </w:rPr>
              <w:t>2.5%</w:t>
            </w:r>
          </w:p>
        </w:tc>
      </w:tr>
      <w:tr w:rsidR="006F3A19" w:rsidRPr="00630A55" w14:paraId="1B7FFC05" w14:textId="3D5604B9" w:rsidTr="004A0EBA">
        <w:trPr>
          <w:cantSplit/>
          <w:trHeight w:val="20"/>
        </w:trPr>
        <w:tc>
          <w:tcPr>
            <w:tcW w:w="562" w:type="dxa"/>
            <w:tcBorders>
              <w:top w:val="nil"/>
              <w:left w:val="single" w:sz="4" w:space="0" w:color="auto"/>
              <w:bottom w:val="single" w:sz="4" w:space="0" w:color="auto"/>
              <w:right w:val="single" w:sz="4" w:space="0" w:color="auto"/>
            </w:tcBorders>
            <w:shd w:val="clear" w:color="auto" w:fill="auto"/>
            <w:vAlign w:val="center"/>
          </w:tcPr>
          <w:p w14:paraId="343DC935" w14:textId="0898F17E" w:rsidR="006F3A19" w:rsidRPr="005F18FF" w:rsidRDefault="006F3A19" w:rsidP="006F3A19">
            <w:pPr>
              <w:pStyle w:val="Tableheading"/>
              <w:rPr>
                <w:rFonts w:ascii="Arial" w:hAnsi="Arial" w:cs="Arial"/>
                <w:color w:val="000000" w:themeColor="text1"/>
                <w:szCs w:val="20"/>
                <w:lang w:eastAsia="en-AU"/>
              </w:rPr>
            </w:pPr>
            <w:r w:rsidRPr="005F18FF">
              <w:rPr>
                <w:rFonts w:ascii="Arial" w:hAnsi="Arial" w:cs="Arial"/>
                <w:color w:val="000000" w:themeColor="text1"/>
                <w:szCs w:val="20"/>
                <w:lang w:eastAsia="en-AU"/>
              </w:rPr>
              <w:t>NT</w:t>
            </w:r>
          </w:p>
        </w:tc>
        <w:tc>
          <w:tcPr>
            <w:tcW w:w="1319" w:type="dxa"/>
            <w:tcBorders>
              <w:top w:val="nil"/>
              <w:left w:val="nil"/>
              <w:bottom w:val="single" w:sz="4" w:space="0" w:color="auto"/>
              <w:right w:val="single" w:sz="4" w:space="0" w:color="auto"/>
            </w:tcBorders>
            <w:shd w:val="clear" w:color="auto" w:fill="auto"/>
            <w:vAlign w:val="center"/>
            <w:hideMark/>
          </w:tcPr>
          <w:p w14:paraId="25A5EBE1" w14:textId="089F7ED9" w:rsidR="006F3A19" w:rsidRPr="005F18FF" w:rsidRDefault="006F3A19" w:rsidP="006F3A19">
            <w:pPr>
              <w:pStyle w:val="TableText8Font"/>
              <w:rPr>
                <w:rFonts w:cs="Arial"/>
                <w:sz w:val="20"/>
                <w:szCs w:val="20"/>
              </w:rPr>
            </w:pPr>
            <w:r w:rsidRPr="005F18FF">
              <w:rPr>
                <w:rFonts w:cs="Arial"/>
                <w:sz w:val="20"/>
                <w:szCs w:val="20"/>
              </w:rPr>
              <w:t xml:space="preserve">Alice Springs Hospital </w:t>
            </w:r>
          </w:p>
        </w:tc>
        <w:tc>
          <w:tcPr>
            <w:tcW w:w="1217" w:type="dxa"/>
            <w:tcBorders>
              <w:top w:val="nil"/>
              <w:left w:val="nil"/>
              <w:bottom w:val="single" w:sz="4" w:space="0" w:color="auto"/>
              <w:right w:val="single" w:sz="4" w:space="0" w:color="auto"/>
            </w:tcBorders>
            <w:shd w:val="clear" w:color="auto" w:fill="auto"/>
            <w:vAlign w:val="center"/>
            <w:hideMark/>
          </w:tcPr>
          <w:p w14:paraId="6956D6F3" w14:textId="77777777" w:rsidR="006F3A19" w:rsidRPr="005F18FF" w:rsidRDefault="006F3A19" w:rsidP="001B50F5">
            <w:pPr>
              <w:pStyle w:val="TableText8FontRightAlign"/>
              <w:jc w:val="center"/>
              <w:rPr>
                <w:rFonts w:cs="Arial"/>
                <w:sz w:val="20"/>
                <w:szCs w:val="20"/>
              </w:rPr>
            </w:pPr>
            <w:r w:rsidRPr="005F18FF">
              <w:rPr>
                <w:rFonts w:cs="Arial"/>
                <w:sz w:val="20"/>
                <w:szCs w:val="20"/>
              </w:rPr>
              <w:t>$24,253,790</w:t>
            </w:r>
          </w:p>
        </w:tc>
        <w:tc>
          <w:tcPr>
            <w:tcW w:w="917" w:type="dxa"/>
            <w:tcBorders>
              <w:top w:val="nil"/>
              <w:left w:val="nil"/>
              <w:bottom w:val="single" w:sz="4" w:space="0" w:color="auto"/>
              <w:right w:val="single" w:sz="4" w:space="0" w:color="auto"/>
            </w:tcBorders>
            <w:shd w:val="clear" w:color="auto" w:fill="auto"/>
            <w:vAlign w:val="center"/>
            <w:hideMark/>
          </w:tcPr>
          <w:p w14:paraId="43811BAB" w14:textId="77777777" w:rsidR="006F3A19" w:rsidRPr="005F18FF" w:rsidRDefault="006F3A19" w:rsidP="001B50F5">
            <w:pPr>
              <w:pStyle w:val="TableText8FontRightAlign"/>
              <w:jc w:val="center"/>
              <w:rPr>
                <w:rFonts w:cs="Arial"/>
                <w:sz w:val="20"/>
                <w:szCs w:val="20"/>
              </w:rPr>
            </w:pPr>
            <w:r w:rsidRPr="005F18FF">
              <w:rPr>
                <w:rFonts w:cs="Arial"/>
                <w:sz w:val="20"/>
                <w:szCs w:val="20"/>
              </w:rPr>
              <w:t>$17,435</w:t>
            </w:r>
          </w:p>
        </w:tc>
        <w:tc>
          <w:tcPr>
            <w:tcW w:w="917" w:type="dxa"/>
            <w:tcBorders>
              <w:top w:val="nil"/>
              <w:left w:val="nil"/>
              <w:bottom w:val="single" w:sz="4" w:space="0" w:color="auto"/>
              <w:right w:val="single" w:sz="4" w:space="0" w:color="auto"/>
            </w:tcBorders>
            <w:shd w:val="clear" w:color="auto" w:fill="auto"/>
            <w:vAlign w:val="center"/>
            <w:hideMark/>
          </w:tcPr>
          <w:p w14:paraId="4B0F3E78" w14:textId="77777777" w:rsidR="006F3A19" w:rsidRPr="005F18FF" w:rsidRDefault="006F3A19" w:rsidP="001B50F5">
            <w:pPr>
              <w:pStyle w:val="TableText8FontRightAlign"/>
              <w:jc w:val="center"/>
              <w:rPr>
                <w:rFonts w:cs="Arial"/>
                <w:sz w:val="20"/>
                <w:szCs w:val="20"/>
              </w:rPr>
            </w:pPr>
            <w:r w:rsidRPr="005F18FF">
              <w:rPr>
                <w:rFonts w:cs="Arial"/>
                <w:sz w:val="20"/>
                <w:szCs w:val="20"/>
              </w:rPr>
              <w:t>$106</w:t>
            </w:r>
          </w:p>
        </w:tc>
        <w:tc>
          <w:tcPr>
            <w:tcW w:w="927" w:type="dxa"/>
            <w:tcBorders>
              <w:top w:val="nil"/>
              <w:left w:val="nil"/>
              <w:bottom w:val="single" w:sz="4" w:space="0" w:color="auto"/>
              <w:right w:val="single" w:sz="4" w:space="0" w:color="auto"/>
            </w:tcBorders>
            <w:shd w:val="clear" w:color="auto" w:fill="auto"/>
            <w:vAlign w:val="center"/>
            <w:hideMark/>
          </w:tcPr>
          <w:p w14:paraId="22DC6926" w14:textId="77777777" w:rsidR="006F3A19" w:rsidRPr="005F18FF" w:rsidRDefault="006F3A19" w:rsidP="001B50F5">
            <w:pPr>
              <w:pStyle w:val="TableText8FontRightAlign"/>
              <w:jc w:val="center"/>
              <w:rPr>
                <w:rFonts w:cs="Arial"/>
                <w:sz w:val="20"/>
                <w:szCs w:val="20"/>
              </w:rPr>
            </w:pPr>
            <w:r w:rsidRPr="005F18FF">
              <w:rPr>
                <w:rFonts w:cs="Arial"/>
                <w:sz w:val="20"/>
                <w:szCs w:val="20"/>
              </w:rPr>
              <w:t>$684</w:t>
            </w:r>
          </w:p>
        </w:tc>
        <w:tc>
          <w:tcPr>
            <w:tcW w:w="947" w:type="dxa"/>
            <w:tcBorders>
              <w:top w:val="single" w:sz="4" w:space="0" w:color="auto"/>
              <w:left w:val="nil"/>
              <w:bottom w:val="single" w:sz="4" w:space="0" w:color="auto"/>
              <w:right w:val="single" w:sz="4" w:space="0" w:color="auto"/>
            </w:tcBorders>
            <w:vAlign w:val="center"/>
          </w:tcPr>
          <w:p w14:paraId="5A0DC020" w14:textId="6FF45311" w:rsidR="006F3A19" w:rsidRPr="005F18FF" w:rsidRDefault="006F3A19" w:rsidP="001B50F5">
            <w:pPr>
              <w:pStyle w:val="TableText8FontRightAlign"/>
              <w:jc w:val="center"/>
              <w:rPr>
                <w:rFonts w:eastAsia="Times New Roman" w:cs="Arial"/>
                <w:sz w:val="20"/>
                <w:szCs w:val="20"/>
              </w:rPr>
            </w:pPr>
            <w:r w:rsidRPr="005F18FF">
              <w:rPr>
                <w:rFonts w:cs="Arial"/>
                <w:sz w:val="20"/>
                <w:szCs w:val="20"/>
              </w:rPr>
              <w:t>18.3%</w:t>
            </w: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BA8B53" w14:textId="2C3A77AC" w:rsidR="006F3A19" w:rsidRPr="005F18FF" w:rsidRDefault="006F3A19" w:rsidP="001B50F5">
            <w:pPr>
              <w:pStyle w:val="TableText8FontRightAlign"/>
              <w:jc w:val="center"/>
              <w:rPr>
                <w:rFonts w:cs="Arial"/>
                <w:sz w:val="20"/>
                <w:szCs w:val="20"/>
              </w:rPr>
            </w:pPr>
            <w:r w:rsidRPr="005F18FF">
              <w:rPr>
                <w:rFonts w:cs="Arial"/>
                <w:sz w:val="20"/>
                <w:szCs w:val="20"/>
              </w:rPr>
              <w:t>35,464</w:t>
            </w:r>
          </w:p>
        </w:tc>
        <w:tc>
          <w:tcPr>
            <w:tcW w:w="947" w:type="dxa"/>
            <w:tcBorders>
              <w:top w:val="single" w:sz="4" w:space="0" w:color="auto"/>
              <w:left w:val="single" w:sz="4" w:space="0" w:color="auto"/>
              <w:bottom w:val="single" w:sz="4" w:space="0" w:color="auto"/>
              <w:right w:val="single" w:sz="4" w:space="0" w:color="auto"/>
            </w:tcBorders>
            <w:vAlign w:val="center"/>
          </w:tcPr>
          <w:p w14:paraId="28000207" w14:textId="4AE8CBE5" w:rsidR="006F3A19" w:rsidRPr="005F18FF" w:rsidRDefault="006F3A19" w:rsidP="001B50F5">
            <w:pPr>
              <w:pStyle w:val="TableText8FontRightAlign"/>
              <w:jc w:val="center"/>
              <w:rPr>
                <w:rFonts w:eastAsia="Times New Roman" w:cs="Arial"/>
                <w:sz w:val="20"/>
                <w:szCs w:val="20"/>
              </w:rPr>
            </w:pPr>
            <w:r w:rsidRPr="005F18FF">
              <w:rPr>
                <w:rFonts w:cs="Arial"/>
                <w:sz w:val="20"/>
                <w:szCs w:val="20"/>
              </w:rPr>
              <w:t>0.3%</w:t>
            </w:r>
          </w:p>
        </w:tc>
      </w:tr>
      <w:tr w:rsidR="006F3A19" w:rsidRPr="00630A55" w14:paraId="7C6BC88F" w14:textId="2599C140" w:rsidTr="004A0EBA">
        <w:trPr>
          <w:cantSplit/>
          <w:trHeight w:val="20"/>
        </w:trPr>
        <w:tc>
          <w:tcPr>
            <w:tcW w:w="562" w:type="dxa"/>
            <w:vMerge w:val="restart"/>
            <w:tcBorders>
              <w:top w:val="nil"/>
              <w:left w:val="single" w:sz="4" w:space="0" w:color="auto"/>
              <w:right w:val="single" w:sz="4" w:space="0" w:color="auto"/>
            </w:tcBorders>
            <w:shd w:val="clear" w:color="auto" w:fill="auto"/>
            <w:vAlign w:val="center"/>
          </w:tcPr>
          <w:p w14:paraId="3ECB4C0D" w14:textId="20986CF0" w:rsidR="006F3A19" w:rsidRPr="005F18FF" w:rsidRDefault="006F3A19" w:rsidP="006F3A19">
            <w:pPr>
              <w:pStyle w:val="Tableheading"/>
              <w:rPr>
                <w:rFonts w:ascii="Arial" w:hAnsi="Arial" w:cs="Arial"/>
                <w:color w:val="000000" w:themeColor="text1"/>
                <w:szCs w:val="20"/>
                <w:lang w:eastAsia="en-AU"/>
              </w:rPr>
            </w:pPr>
            <w:r w:rsidRPr="005F18FF">
              <w:rPr>
                <w:rFonts w:ascii="Arial" w:hAnsi="Arial" w:cs="Arial"/>
                <w:color w:val="000000" w:themeColor="text1"/>
                <w:szCs w:val="20"/>
                <w:lang w:eastAsia="en-AU"/>
              </w:rPr>
              <w:t>SA</w:t>
            </w:r>
          </w:p>
        </w:tc>
        <w:tc>
          <w:tcPr>
            <w:tcW w:w="1319" w:type="dxa"/>
            <w:tcBorders>
              <w:top w:val="nil"/>
              <w:left w:val="nil"/>
              <w:bottom w:val="single" w:sz="4" w:space="0" w:color="auto"/>
              <w:right w:val="single" w:sz="4" w:space="0" w:color="auto"/>
            </w:tcBorders>
            <w:shd w:val="clear" w:color="auto" w:fill="auto"/>
            <w:vAlign w:val="center"/>
            <w:hideMark/>
          </w:tcPr>
          <w:p w14:paraId="095E91D9" w14:textId="69D20739" w:rsidR="006F3A19" w:rsidRPr="005F18FF" w:rsidRDefault="006F3A19" w:rsidP="006F3A19">
            <w:pPr>
              <w:pStyle w:val="TableText8Font"/>
              <w:rPr>
                <w:rFonts w:cs="Arial"/>
                <w:sz w:val="20"/>
                <w:szCs w:val="20"/>
              </w:rPr>
            </w:pPr>
            <w:r w:rsidRPr="005F18FF">
              <w:rPr>
                <w:rFonts w:cs="Arial"/>
                <w:sz w:val="20"/>
                <w:szCs w:val="20"/>
              </w:rPr>
              <w:t xml:space="preserve">Port Augusta Hospital </w:t>
            </w:r>
          </w:p>
        </w:tc>
        <w:tc>
          <w:tcPr>
            <w:tcW w:w="1217" w:type="dxa"/>
            <w:tcBorders>
              <w:top w:val="nil"/>
              <w:left w:val="nil"/>
              <w:bottom w:val="single" w:sz="4" w:space="0" w:color="auto"/>
              <w:right w:val="single" w:sz="4" w:space="0" w:color="auto"/>
            </w:tcBorders>
            <w:shd w:val="clear" w:color="auto" w:fill="auto"/>
            <w:vAlign w:val="center"/>
            <w:hideMark/>
          </w:tcPr>
          <w:p w14:paraId="0C0DF2A6" w14:textId="77777777" w:rsidR="006F3A19" w:rsidRPr="005F18FF" w:rsidRDefault="006F3A19" w:rsidP="001B50F5">
            <w:pPr>
              <w:pStyle w:val="TableText8FontRightAlign"/>
              <w:jc w:val="center"/>
              <w:rPr>
                <w:rFonts w:cs="Arial"/>
                <w:sz w:val="20"/>
                <w:szCs w:val="20"/>
              </w:rPr>
            </w:pPr>
            <w:r w:rsidRPr="005F18FF">
              <w:rPr>
                <w:rFonts w:cs="Arial"/>
                <w:sz w:val="20"/>
                <w:szCs w:val="20"/>
              </w:rPr>
              <w:t>$3,248,402</w:t>
            </w:r>
          </w:p>
        </w:tc>
        <w:tc>
          <w:tcPr>
            <w:tcW w:w="917" w:type="dxa"/>
            <w:tcBorders>
              <w:top w:val="nil"/>
              <w:left w:val="nil"/>
              <w:bottom w:val="single" w:sz="4" w:space="0" w:color="auto"/>
              <w:right w:val="single" w:sz="4" w:space="0" w:color="auto"/>
            </w:tcBorders>
            <w:shd w:val="clear" w:color="auto" w:fill="auto"/>
            <w:vAlign w:val="center"/>
            <w:hideMark/>
          </w:tcPr>
          <w:p w14:paraId="0E22825B" w14:textId="77777777" w:rsidR="006F3A19" w:rsidRPr="005F18FF" w:rsidRDefault="006F3A19" w:rsidP="001B50F5">
            <w:pPr>
              <w:pStyle w:val="TableText8FontRightAlign"/>
              <w:jc w:val="center"/>
              <w:rPr>
                <w:rFonts w:cs="Arial"/>
                <w:sz w:val="20"/>
                <w:szCs w:val="20"/>
              </w:rPr>
            </w:pPr>
            <w:r w:rsidRPr="005F18FF">
              <w:rPr>
                <w:rFonts w:cs="Arial"/>
                <w:sz w:val="20"/>
                <w:szCs w:val="20"/>
              </w:rPr>
              <w:t>$5,676</w:t>
            </w:r>
          </w:p>
        </w:tc>
        <w:tc>
          <w:tcPr>
            <w:tcW w:w="917" w:type="dxa"/>
            <w:tcBorders>
              <w:top w:val="nil"/>
              <w:left w:val="nil"/>
              <w:bottom w:val="single" w:sz="4" w:space="0" w:color="auto"/>
              <w:right w:val="single" w:sz="4" w:space="0" w:color="auto"/>
            </w:tcBorders>
            <w:shd w:val="clear" w:color="auto" w:fill="auto"/>
            <w:vAlign w:val="center"/>
            <w:hideMark/>
          </w:tcPr>
          <w:p w14:paraId="5CEF8B70" w14:textId="77777777" w:rsidR="006F3A19" w:rsidRPr="005F18FF" w:rsidRDefault="006F3A19" w:rsidP="001B50F5">
            <w:pPr>
              <w:pStyle w:val="TableText8FontRightAlign"/>
              <w:jc w:val="center"/>
              <w:rPr>
                <w:rFonts w:cs="Arial"/>
                <w:sz w:val="20"/>
                <w:szCs w:val="20"/>
              </w:rPr>
            </w:pPr>
            <w:r w:rsidRPr="005F18FF">
              <w:rPr>
                <w:rFonts w:cs="Arial"/>
                <w:sz w:val="20"/>
                <w:szCs w:val="20"/>
              </w:rPr>
              <w:t>$121</w:t>
            </w:r>
          </w:p>
        </w:tc>
        <w:tc>
          <w:tcPr>
            <w:tcW w:w="927" w:type="dxa"/>
            <w:tcBorders>
              <w:top w:val="nil"/>
              <w:left w:val="nil"/>
              <w:bottom w:val="single" w:sz="4" w:space="0" w:color="auto"/>
              <w:right w:val="single" w:sz="4" w:space="0" w:color="auto"/>
            </w:tcBorders>
            <w:shd w:val="clear" w:color="auto" w:fill="auto"/>
            <w:vAlign w:val="center"/>
            <w:hideMark/>
          </w:tcPr>
          <w:p w14:paraId="6CC5323C" w14:textId="77777777" w:rsidR="006F3A19" w:rsidRPr="005F18FF" w:rsidRDefault="006F3A19" w:rsidP="001B50F5">
            <w:pPr>
              <w:pStyle w:val="TableText8FontRightAlign"/>
              <w:jc w:val="center"/>
              <w:rPr>
                <w:rFonts w:cs="Arial"/>
                <w:sz w:val="20"/>
                <w:szCs w:val="20"/>
              </w:rPr>
            </w:pPr>
            <w:r w:rsidRPr="005F18FF">
              <w:rPr>
                <w:rFonts w:cs="Arial"/>
                <w:sz w:val="20"/>
                <w:szCs w:val="20"/>
              </w:rPr>
              <w:t>$638</w:t>
            </w:r>
          </w:p>
        </w:tc>
        <w:tc>
          <w:tcPr>
            <w:tcW w:w="947" w:type="dxa"/>
            <w:tcBorders>
              <w:top w:val="single" w:sz="4" w:space="0" w:color="auto"/>
              <w:left w:val="nil"/>
              <w:bottom w:val="single" w:sz="4" w:space="0" w:color="auto"/>
              <w:right w:val="single" w:sz="4" w:space="0" w:color="auto"/>
            </w:tcBorders>
            <w:vAlign w:val="center"/>
          </w:tcPr>
          <w:p w14:paraId="2EB15F84" w14:textId="0B23B0E6" w:rsidR="006F3A19" w:rsidRPr="005F18FF" w:rsidRDefault="006F3A19" w:rsidP="001B50F5">
            <w:pPr>
              <w:pStyle w:val="TableText8FontRightAlign"/>
              <w:jc w:val="center"/>
              <w:rPr>
                <w:rFonts w:eastAsia="Times New Roman" w:cs="Arial"/>
                <w:sz w:val="20"/>
                <w:szCs w:val="20"/>
              </w:rPr>
            </w:pPr>
            <w:r w:rsidRPr="005F18FF">
              <w:rPr>
                <w:rFonts w:cs="Arial"/>
                <w:sz w:val="20"/>
                <w:szCs w:val="20"/>
              </w:rPr>
              <w:t>4.6%</w:t>
            </w: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250CE0" w14:textId="67FEA29D" w:rsidR="006F3A19" w:rsidRPr="005F18FF" w:rsidRDefault="006F3A19" w:rsidP="001B50F5">
            <w:pPr>
              <w:pStyle w:val="TableText8FontRightAlign"/>
              <w:jc w:val="center"/>
              <w:rPr>
                <w:rFonts w:cs="Arial"/>
                <w:sz w:val="20"/>
                <w:szCs w:val="20"/>
              </w:rPr>
            </w:pPr>
            <w:r w:rsidRPr="005F18FF">
              <w:rPr>
                <w:rFonts w:cs="Arial"/>
                <w:sz w:val="20"/>
                <w:szCs w:val="20"/>
              </w:rPr>
              <w:t>5,093</w:t>
            </w:r>
          </w:p>
        </w:tc>
        <w:tc>
          <w:tcPr>
            <w:tcW w:w="947" w:type="dxa"/>
            <w:tcBorders>
              <w:top w:val="single" w:sz="4" w:space="0" w:color="auto"/>
              <w:left w:val="single" w:sz="4" w:space="0" w:color="auto"/>
              <w:bottom w:val="single" w:sz="4" w:space="0" w:color="auto"/>
              <w:right w:val="single" w:sz="4" w:space="0" w:color="auto"/>
            </w:tcBorders>
            <w:vAlign w:val="center"/>
          </w:tcPr>
          <w:p w14:paraId="169785C6" w14:textId="09573BFC" w:rsidR="006F3A19" w:rsidRPr="005F18FF" w:rsidRDefault="006F3A19" w:rsidP="001B50F5">
            <w:pPr>
              <w:pStyle w:val="TableText8FontRightAlign"/>
              <w:jc w:val="center"/>
              <w:rPr>
                <w:rFonts w:eastAsia="Times New Roman" w:cs="Arial"/>
                <w:color w:val="000000"/>
                <w:sz w:val="20"/>
                <w:szCs w:val="20"/>
              </w:rPr>
            </w:pPr>
            <w:r w:rsidRPr="005F18FF">
              <w:rPr>
                <w:rFonts w:cs="Arial"/>
                <w:sz w:val="20"/>
                <w:szCs w:val="20"/>
              </w:rPr>
              <w:t>(2.0%)</w:t>
            </w:r>
          </w:p>
        </w:tc>
      </w:tr>
      <w:tr w:rsidR="006F3A19" w:rsidRPr="00630A55" w14:paraId="42DCEE94" w14:textId="7103338A" w:rsidTr="004A0EBA">
        <w:trPr>
          <w:cantSplit/>
          <w:trHeight w:val="20"/>
        </w:trPr>
        <w:tc>
          <w:tcPr>
            <w:tcW w:w="562" w:type="dxa"/>
            <w:vMerge/>
            <w:tcBorders>
              <w:left w:val="single" w:sz="4" w:space="0" w:color="auto"/>
              <w:bottom w:val="single" w:sz="4" w:space="0" w:color="auto"/>
              <w:right w:val="single" w:sz="4" w:space="0" w:color="auto"/>
            </w:tcBorders>
            <w:shd w:val="clear" w:color="auto" w:fill="auto"/>
          </w:tcPr>
          <w:p w14:paraId="14EE4A74" w14:textId="77777777" w:rsidR="006F3A19" w:rsidRPr="005F18FF" w:rsidRDefault="006F3A19" w:rsidP="006F3A19">
            <w:pPr>
              <w:pStyle w:val="Tableheading"/>
              <w:rPr>
                <w:rFonts w:ascii="Arial" w:hAnsi="Arial" w:cs="Arial"/>
                <w:color w:val="000000" w:themeColor="text1"/>
                <w:szCs w:val="20"/>
                <w:lang w:eastAsia="en-AU"/>
              </w:rPr>
            </w:pPr>
          </w:p>
        </w:tc>
        <w:tc>
          <w:tcPr>
            <w:tcW w:w="1319" w:type="dxa"/>
            <w:tcBorders>
              <w:top w:val="nil"/>
              <w:left w:val="nil"/>
              <w:bottom w:val="single" w:sz="4" w:space="0" w:color="auto"/>
              <w:right w:val="single" w:sz="4" w:space="0" w:color="auto"/>
            </w:tcBorders>
            <w:shd w:val="clear" w:color="auto" w:fill="auto"/>
            <w:vAlign w:val="center"/>
            <w:hideMark/>
          </w:tcPr>
          <w:p w14:paraId="0E840418" w14:textId="396BFEFB" w:rsidR="006F3A19" w:rsidRPr="005F18FF" w:rsidRDefault="006F3A19" w:rsidP="006F3A19">
            <w:pPr>
              <w:pStyle w:val="TableText8Font"/>
              <w:rPr>
                <w:rFonts w:cs="Arial"/>
                <w:sz w:val="20"/>
                <w:szCs w:val="20"/>
              </w:rPr>
            </w:pPr>
            <w:r w:rsidRPr="005F18FF">
              <w:rPr>
                <w:rFonts w:cs="Arial"/>
                <w:sz w:val="20"/>
                <w:szCs w:val="20"/>
              </w:rPr>
              <w:t xml:space="preserve">Lyell McEwin Hospital </w:t>
            </w:r>
          </w:p>
        </w:tc>
        <w:tc>
          <w:tcPr>
            <w:tcW w:w="1217" w:type="dxa"/>
            <w:tcBorders>
              <w:top w:val="nil"/>
              <w:left w:val="nil"/>
              <w:bottom w:val="single" w:sz="4" w:space="0" w:color="auto"/>
              <w:right w:val="single" w:sz="4" w:space="0" w:color="auto"/>
            </w:tcBorders>
            <w:shd w:val="clear" w:color="auto" w:fill="auto"/>
            <w:vAlign w:val="center"/>
            <w:hideMark/>
          </w:tcPr>
          <w:p w14:paraId="799DBB52" w14:textId="77777777" w:rsidR="006F3A19" w:rsidRPr="005F18FF" w:rsidRDefault="006F3A19" w:rsidP="001B50F5">
            <w:pPr>
              <w:pStyle w:val="TableText8FontRightAlign"/>
              <w:jc w:val="center"/>
              <w:rPr>
                <w:rFonts w:cs="Arial"/>
                <w:sz w:val="20"/>
                <w:szCs w:val="20"/>
              </w:rPr>
            </w:pPr>
            <w:r w:rsidRPr="005F18FF">
              <w:rPr>
                <w:rFonts w:cs="Arial"/>
                <w:sz w:val="20"/>
                <w:szCs w:val="20"/>
              </w:rPr>
              <w:t>$3,861,685</w:t>
            </w:r>
          </w:p>
        </w:tc>
        <w:tc>
          <w:tcPr>
            <w:tcW w:w="917" w:type="dxa"/>
            <w:tcBorders>
              <w:top w:val="nil"/>
              <w:left w:val="nil"/>
              <w:bottom w:val="single" w:sz="4" w:space="0" w:color="auto"/>
              <w:right w:val="single" w:sz="4" w:space="0" w:color="auto"/>
            </w:tcBorders>
            <w:shd w:val="clear" w:color="auto" w:fill="auto"/>
            <w:vAlign w:val="center"/>
            <w:hideMark/>
          </w:tcPr>
          <w:p w14:paraId="3328383E" w14:textId="77777777" w:rsidR="006F3A19" w:rsidRPr="005F18FF" w:rsidRDefault="006F3A19" w:rsidP="001B50F5">
            <w:pPr>
              <w:pStyle w:val="TableText8FontRightAlign"/>
              <w:jc w:val="center"/>
              <w:rPr>
                <w:rFonts w:cs="Arial"/>
                <w:sz w:val="20"/>
                <w:szCs w:val="20"/>
              </w:rPr>
            </w:pPr>
            <w:r w:rsidRPr="005F18FF">
              <w:rPr>
                <w:rFonts w:cs="Arial"/>
                <w:sz w:val="20"/>
                <w:szCs w:val="20"/>
              </w:rPr>
              <w:t>$11,894</w:t>
            </w:r>
          </w:p>
        </w:tc>
        <w:tc>
          <w:tcPr>
            <w:tcW w:w="917" w:type="dxa"/>
            <w:tcBorders>
              <w:top w:val="nil"/>
              <w:left w:val="nil"/>
              <w:bottom w:val="single" w:sz="4" w:space="0" w:color="auto"/>
              <w:right w:val="single" w:sz="4" w:space="0" w:color="auto"/>
            </w:tcBorders>
            <w:shd w:val="clear" w:color="auto" w:fill="auto"/>
            <w:vAlign w:val="center"/>
            <w:hideMark/>
          </w:tcPr>
          <w:p w14:paraId="29027B51" w14:textId="77777777" w:rsidR="006F3A19" w:rsidRPr="005F18FF" w:rsidRDefault="006F3A19" w:rsidP="001B50F5">
            <w:pPr>
              <w:pStyle w:val="TableText8FontRightAlign"/>
              <w:jc w:val="center"/>
              <w:rPr>
                <w:rFonts w:cs="Arial"/>
                <w:sz w:val="20"/>
                <w:szCs w:val="20"/>
              </w:rPr>
            </w:pPr>
            <w:r w:rsidRPr="005F18FF">
              <w:rPr>
                <w:rFonts w:cs="Arial"/>
                <w:sz w:val="20"/>
                <w:szCs w:val="20"/>
              </w:rPr>
              <w:t>$78</w:t>
            </w:r>
          </w:p>
        </w:tc>
        <w:tc>
          <w:tcPr>
            <w:tcW w:w="927" w:type="dxa"/>
            <w:tcBorders>
              <w:top w:val="nil"/>
              <w:left w:val="nil"/>
              <w:bottom w:val="single" w:sz="4" w:space="0" w:color="auto"/>
              <w:right w:val="single" w:sz="4" w:space="0" w:color="auto"/>
            </w:tcBorders>
            <w:shd w:val="clear" w:color="auto" w:fill="auto"/>
            <w:vAlign w:val="center"/>
            <w:hideMark/>
          </w:tcPr>
          <w:p w14:paraId="5F418F44" w14:textId="77777777" w:rsidR="006F3A19" w:rsidRPr="005F18FF" w:rsidRDefault="006F3A19" w:rsidP="001B50F5">
            <w:pPr>
              <w:pStyle w:val="TableText8FontRightAlign"/>
              <w:jc w:val="center"/>
              <w:rPr>
                <w:rFonts w:cs="Arial"/>
                <w:sz w:val="20"/>
                <w:szCs w:val="20"/>
              </w:rPr>
            </w:pPr>
            <w:r w:rsidRPr="005F18FF">
              <w:rPr>
                <w:rFonts w:cs="Arial"/>
                <w:sz w:val="20"/>
                <w:szCs w:val="20"/>
              </w:rPr>
              <w:t>$519</w:t>
            </w:r>
          </w:p>
        </w:tc>
        <w:tc>
          <w:tcPr>
            <w:tcW w:w="947" w:type="dxa"/>
            <w:tcBorders>
              <w:top w:val="single" w:sz="4" w:space="0" w:color="auto"/>
              <w:left w:val="nil"/>
              <w:bottom w:val="single" w:sz="4" w:space="0" w:color="auto"/>
              <w:right w:val="single" w:sz="4" w:space="0" w:color="auto"/>
            </w:tcBorders>
            <w:vAlign w:val="center"/>
          </w:tcPr>
          <w:p w14:paraId="02F0E304" w14:textId="73462A50" w:rsidR="006F3A19" w:rsidRPr="005F18FF" w:rsidRDefault="006F3A19" w:rsidP="001B50F5">
            <w:pPr>
              <w:pStyle w:val="TableText8FontRightAlign"/>
              <w:jc w:val="center"/>
              <w:rPr>
                <w:rFonts w:eastAsia="Times New Roman" w:cs="Arial"/>
                <w:sz w:val="20"/>
                <w:szCs w:val="20"/>
              </w:rPr>
            </w:pPr>
            <w:r w:rsidRPr="005F18FF">
              <w:rPr>
                <w:rFonts w:cs="Arial"/>
                <w:sz w:val="20"/>
                <w:szCs w:val="20"/>
              </w:rPr>
              <w:t>6.8%</w:t>
            </w: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22106C" w14:textId="09079522" w:rsidR="006F3A19" w:rsidRPr="005F18FF" w:rsidRDefault="006F3A19" w:rsidP="001B50F5">
            <w:pPr>
              <w:pStyle w:val="TableText8FontRightAlign"/>
              <w:jc w:val="center"/>
              <w:rPr>
                <w:rFonts w:cs="Arial"/>
                <w:sz w:val="20"/>
                <w:szCs w:val="20"/>
              </w:rPr>
            </w:pPr>
            <w:r w:rsidRPr="005F18FF">
              <w:rPr>
                <w:rFonts w:cs="Arial"/>
                <w:sz w:val="20"/>
                <w:szCs w:val="20"/>
              </w:rPr>
              <w:t>7,438</w:t>
            </w:r>
          </w:p>
        </w:tc>
        <w:tc>
          <w:tcPr>
            <w:tcW w:w="947" w:type="dxa"/>
            <w:tcBorders>
              <w:top w:val="single" w:sz="4" w:space="0" w:color="auto"/>
              <w:left w:val="single" w:sz="4" w:space="0" w:color="auto"/>
              <w:bottom w:val="single" w:sz="4" w:space="0" w:color="auto"/>
              <w:right w:val="single" w:sz="4" w:space="0" w:color="auto"/>
            </w:tcBorders>
            <w:vAlign w:val="center"/>
          </w:tcPr>
          <w:p w14:paraId="22DD2E85" w14:textId="1D1F7EC4" w:rsidR="006F3A19" w:rsidRPr="005F18FF" w:rsidRDefault="006F3A19" w:rsidP="001B50F5">
            <w:pPr>
              <w:pStyle w:val="TableText8FontRightAlign"/>
              <w:jc w:val="center"/>
              <w:rPr>
                <w:rFonts w:eastAsia="Times New Roman" w:cs="Arial"/>
                <w:sz w:val="20"/>
                <w:szCs w:val="20"/>
              </w:rPr>
            </w:pPr>
            <w:r w:rsidRPr="005F18FF">
              <w:rPr>
                <w:rFonts w:cs="Arial"/>
                <w:sz w:val="20"/>
                <w:szCs w:val="20"/>
              </w:rPr>
              <w:t>0.5%</w:t>
            </w:r>
          </w:p>
        </w:tc>
      </w:tr>
      <w:tr w:rsidR="006F3A19" w:rsidRPr="00630A55" w14:paraId="6B3DB516" w14:textId="27EBF3D4" w:rsidTr="004A0EBA">
        <w:trPr>
          <w:cantSplit/>
          <w:trHeight w:val="20"/>
        </w:trPr>
        <w:tc>
          <w:tcPr>
            <w:tcW w:w="562" w:type="dxa"/>
            <w:tcBorders>
              <w:top w:val="nil"/>
              <w:left w:val="single" w:sz="4" w:space="0" w:color="auto"/>
              <w:bottom w:val="single" w:sz="4" w:space="0" w:color="auto"/>
              <w:right w:val="single" w:sz="4" w:space="0" w:color="auto"/>
            </w:tcBorders>
            <w:shd w:val="clear" w:color="auto" w:fill="auto"/>
            <w:vAlign w:val="center"/>
          </w:tcPr>
          <w:p w14:paraId="20A556E8" w14:textId="6CA62951" w:rsidR="006F3A19" w:rsidRPr="005F18FF" w:rsidRDefault="006F3A19" w:rsidP="006F3A19">
            <w:pPr>
              <w:pStyle w:val="Tableheading"/>
              <w:rPr>
                <w:rFonts w:ascii="Arial" w:hAnsi="Arial" w:cs="Arial"/>
                <w:color w:val="000000" w:themeColor="text1"/>
                <w:szCs w:val="20"/>
                <w:lang w:eastAsia="en-AU"/>
              </w:rPr>
            </w:pPr>
            <w:r w:rsidRPr="005F18FF">
              <w:rPr>
                <w:rFonts w:ascii="Arial" w:hAnsi="Arial" w:cs="Arial"/>
                <w:color w:val="000000" w:themeColor="text1"/>
                <w:szCs w:val="20"/>
                <w:lang w:eastAsia="en-AU"/>
              </w:rPr>
              <w:t>TAS</w:t>
            </w:r>
          </w:p>
        </w:tc>
        <w:tc>
          <w:tcPr>
            <w:tcW w:w="1319" w:type="dxa"/>
            <w:tcBorders>
              <w:top w:val="nil"/>
              <w:left w:val="nil"/>
              <w:bottom w:val="single" w:sz="4" w:space="0" w:color="auto"/>
              <w:right w:val="single" w:sz="4" w:space="0" w:color="auto"/>
            </w:tcBorders>
            <w:shd w:val="clear" w:color="auto" w:fill="auto"/>
            <w:vAlign w:val="center"/>
            <w:hideMark/>
          </w:tcPr>
          <w:p w14:paraId="56A17A27" w14:textId="7F21C4E3" w:rsidR="006F3A19" w:rsidRPr="005F18FF" w:rsidRDefault="006F3A19" w:rsidP="006F3A19">
            <w:pPr>
              <w:pStyle w:val="TableText8Font"/>
              <w:rPr>
                <w:rFonts w:cs="Arial"/>
                <w:sz w:val="20"/>
                <w:szCs w:val="20"/>
              </w:rPr>
            </w:pPr>
            <w:r w:rsidRPr="005F18FF">
              <w:rPr>
                <w:rFonts w:cs="Arial"/>
                <w:sz w:val="20"/>
                <w:szCs w:val="20"/>
              </w:rPr>
              <w:t xml:space="preserve">Royal Hobart Hospital </w:t>
            </w:r>
          </w:p>
        </w:tc>
        <w:tc>
          <w:tcPr>
            <w:tcW w:w="1217" w:type="dxa"/>
            <w:tcBorders>
              <w:top w:val="nil"/>
              <w:left w:val="nil"/>
              <w:bottom w:val="single" w:sz="4" w:space="0" w:color="auto"/>
              <w:right w:val="single" w:sz="4" w:space="0" w:color="auto"/>
            </w:tcBorders>
            <w:shd w:val="clear" w:color="auto" w:fill="auto"/>
            <w:vAlign w:val="center"/>
            <w:hideMark/>
          </w:tcPr>
          <w:p w14:paraId="0BD80EF3" w14:textId="77777777" w:rsidR="006F3A19" w:rsidRPr="005F18FF" w:rsidRDefault="006F3A19" w:rsidP="001B50F5">
            <w:pPr>
              <w:pStyle w:val="TableText8FontRightAlign"/>
              <w:jc w:val="center"/>
              <w:rPr>
                <w:rFonts w:cs="Arial"/>
                <w:sz w:val="20"/>
                <w:szCs w:val="20"/>
              </w:rPr>
            </w:pPr>
            <w:r w:rsidRPr="005F18FF">
              <w:rPr>
                <w:rFonts w:cs="Arial"/>
                <w:sz w:val="20"/>
                <w:szCs w:val="20"/>
              </w:rPr>
              <w:t>$10,273,708</w:t>
            </w:r>
          </w:p>
        </w:tc>
        <w:tc>
          <w:tcPr>
            <w:tcW w:w="917" w:type="dxa"/>
            <w:tcBorders>
              <w:top w:val="nil"/>
              <w:left w:val="nil"/>
              <w:bottom w:val="single" w:sz="4" w:space="0" w:color="auto"/>
              <w:right w:val="single" w:sz="4" w:space="0" w:color="auto"/>
            </w:tcBorders>
            <w:shd w:val="clear" w:color="auto" w:fill="auto"/>
            <w:vAlign w:val="center"/>
            <w:hideMark/>
          </w:tcPr>
          <w:p w14:paraId="7AC23F83" w14:textId="77777777" w:rsidR="006F3A19" w:rsidRPr="005F18FF" w:rsidRDefault="006F3A19" w:rsidP="001B50F5">
            <w:pPr>
              <w:pStyle w:val="TableText8FontRightAlign"/>
              <w:jc w:val="center"/>
              <w:rPr>
                <w:rFonts w:cs="Arial"/>
                <w:sz w:val="20"/>
                <w:szCs w:val="20"/>
              </w:rPr>
            </w:pPr>
            <w:r w:rsidRPr="005F18FF">
              <w:rPr>
                <w:rFonts w:cs="Arial"/>
                <w:sz w:val="20"/>
                <w:szCs w:val="20"/>
              </w:rPr>
              <w:t>$68,381</w:t>
            </w:r>
          </w:p>
        </w:tc>
        <w:tc>
          <w:tcPr>
            <w:tcW w:w="917" w:type="dxa"/>
            <w:tcBorders>
              <w:top w:val="nil"/>
              <w:left w:val="nil"/>
              <w:bottom w:val="single" w:sz="4" w:space="0" w:color="auto"/>
              <w:right w:val="single" w:sz="4" w:space="0" w:color="auto"/>
            </w:tcBorders>
            <w:shd w:val="clear" w:color="auto" w:fill="auto"/>
            <w:vAlign w:val="center"/>
            <w:hideMark/>
          </w:tcPr>
          <w:p w14:paraId="090B907C" w14:textId="77777777" w:rsidR="006F3A19" w:rsidRPr="005F18FF" w:rsidRDefault="006F3A19" w:rsidP="001B50F5">
            <w:pPr>
              <w:pStyle w:val="TableText8FontRightAlign"/>
              <w:jc w:val="center"/>
              <w:rPr>
                <w:rFonts w:cs="Arial"/>
                <w:sz w:val="20"/>
                <w:szCs w:val="20"/>
              </w:rPr>
            </w:pPr>
            <w:r w:rsidRPr="005F18FF">
              <w:rPr>
                <w:rFonts w:cs="Arial"/>
                <w:sz w:val="20"/>
                <w:szCs w:val="20"/>
              </w:rPr>
              <w:t>$266</w:t>
            </w:r>
          </w:p>
        </w:tc>
        <w:tc>
          <w:tcPr>
            <w:tcW w:w="927" w:type="dxa"/>
            <w:tcBorders>
              <w:top w:val="nil"/>
              <w:left w:val="nil"/>
              <w:bottom w:val="single" w:sz="4" w:space="0" w:color="auto"/>
              <w:right w:val="single" w:sz="4" w:space="0" w:color="auto"/>
            </w:tcBorders>
            <w:shd w:val="clear" w:color="auto" w:fill="auto"/>
            <w:vAlign w:val="center"/>
            <w:hideMark/>
          </w:tcPr>
          <w:p w14:paraId="1BB29D52" w14:textId="77777777" w:rsidR="006F3A19" w:rsidRPr="005F18FF" w:rsidRDefault="006F3A19" w:rsidP="001B50F5">
            <w:pPr>
              <w:pStyle w:val="TableText8FontRightAlign"/>
              <w:jc w:val="center"/>
              <w:rPr>
                <w:rFonts w:cs="Arial"/>
                <w:sz w:val="20"/>
                <w:szCs w:val="20"/>
              </w:rPr>
            </w:pPr>
            <w:r w:rsidRPr="005F18FF">
              <w:rPr>
                <w:rFonts w:cs="Arial"/>
                <w:sz w:val="20"/>
                <w:szCs w:val="20"/>
              </w:rPr>
              <w:t>$900</w:t>
            </w:r>
          </w:p>
        </w:tc>
        <w:tc>
          <w:tcPr>
            <w:tcW w:w="947" w:type="dxa"/>
            <w:tcBorders>
              <w:top w:val="single" w:sz="4" w:space="0" w:color="auto"/>
              <w:left w:val="nil"/>
              <w:bottom w:val="single" w:sz="4" w:space="0" w:color="auto"/>
              <w:right w:val="single" w:sz="4" w:space="0" w:color="auto"/>
            </w:tcBorders>
            <w:vAlign w:val="center"/>
          </w:tcPr>
          <w:p w14:paraId="79F616AD" w14:textId="65D23932" w:rsidR="006F3A19" w:rsidRPr="005F18FF" w:rsidRDefault="006F3A19" w:rsidP="001B50F5">
            <w:pPr>
              <w:pStyle w:val="TableText8FontRightAlign"/>
              <w:jc w:val="center"/>
              <w:rPr>
                <w:rFonts w:eastAsia="Times New Roman" w:cs="Arial"/>
                <w:sz w:val="20"/>
                <w:szCs w:val="20"/>
              </w:rPr>
            </w:pPr>
            <w:r w:rsidRPr="005F18FF">
              <w:rPr>
                <w:rFonts w:cs="Arial"/>
                <w:sz w:val="20"/>
                <w:szCs w:val="20"/>
              </w:rPr>
              <w:t>1.5%</w:t>
            </w: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4A1613" w14:textId="10968842" w:rsidR="006F3A19" w:rsidRPr="005F18FF" w:rsidRDefault="006F3A19" w:rsidP="001B50F5">
            <w:pPr>
              <w:pStyle w:val="TableText8FontRightAlign"/>
              <w:jc w:val="center"/>
              <w:rPr>
                <w:rFonts w:cs="Arial"/>
                <w:sz w:val="20"/>
                <w:szCs w:val="20"/>
              </w:rPr>
            </w:pPr>
            <w:r w:rsidRPr="005F18FF">
              <w:rPr>
                <w:rFonts w:cs="Arial"/>
                <w:sz w:val="20"/>
                <w:szCs w:val="20"/>
              </w:rPr>
              <w:t>11,414</w:t>
            </w:r>
          </w:p>
        </w:tc>
        <w:tc>
          <w:tcPr>
            <w:tcW w:w="947" w:type="dxa"/>
            <w:tcBorders>
              <w:top w:val="single" w:sz="4" w:space="0" w:color="auto"/>
              <w:left w:val="single" w:sz="4" w:space="0" w:color="auto"/>
              <w:bottom w:val="single" w:sz="4" w:space="0" w:color="auto"/>
              <w:right w:val="single" w:sz="4" w:space="0" w:color="auto"/>
            </w:tcBorders>
            <w:vAlign w:val="center"/>
          </w:tcPr>
          <w:p w14:paraId="21F5E555" w14:textId="308F8E48" w:rsidR="006F3A19" w:rsidRPr="005F18FF" w:rsidRDefault="006F3A19" w:rsidP="001B50F5">
            <w:pPr>
              <w:pStyle w:val="TableText8FontRightAlign"/>
              <w:jc w:val="center"/>
              <w:rPr>
                <w:rFonts w:eastAsia="Times New Roman" w:cs="Arial"/>
                <w:color w:val="000000"/>
                <w:sz w:val="20"/>
                <w:szCs w:val="20"/>
              </w:rPr>
            </w:pPr>
            <w:r w:rsidRPr="005F18FF">
              <w:rPr>
                <w:rFonts w:cs="Arial"/>
                <w:sz w:val="20"/>
                <w:szCs w:val="20"/>
              </w:rPr>
              <w:t>(4.1%)</w:t>
            </w:r>
          </w:p>
        </w:tc>
      </w:tr>
      <w:tr w:rsidR="006F3A19" w:rsidRPr="00630A55" w14:paraId="695D9C64" w14:textId="3BF89F9C" w:rsidTr="004A0EBA">
        <w:trPr>
          <w:cantSplit/>
          <w:trHeight w:val="20"/>
        </w:trPr>
        <w:tc>
          <w:tcPr>
            <w:tcW w:w="562" w:type="dxa"/>
            <w:vMerge w:val="restart"/>
            <w:tcBorders>
              <w:top w:val="nil"/>
              <w:left w:val="single" w:sz="4" w:space="0" w:color="auto"/>
              <w:right w:val="single" w:sz="4" w:space="0" w:color="auto"/>
            </w:tcBorders>
            <w:shd w:val="clear" w:color="auto" w:fill="auto"/>
            <w:vAlign w:val="center"/>
          </w:tcPr>
          <w:p w14:paraId="4D29E82F" w14:textId="405C186D" w:rsidR="006F3A19" w:rsidRPr="005F18FF" w:rsidRDefault="006F3A19" w:rsidP="006F3A19">
            <w:pPr>
              <w:pStyle w:val="Tableheading"/>
              <w:rPr>
                <w:rFonts w:ascii="Arial" w:hAnsi="Arial" w:cs="Arial"/>
                <w:color w:val="000000" w:themeColor="text1"/>
                <w:szCs w:val="20"/>
                <w:lang w:eastAsia="en-AU"/>
              </w:rPr>
            </w:pPr>
            <w:r w:rsidRPr="005F18FF">
              <w:rPr>
                <w:rFonts w:ascii="Arial" w:hAnsi="Arial" w:cs="Arial"/>
                <w:color w:val="000000" w:themeColor="text1"/>
                <w:szCs w:val="20"/>
                <w:lang w:eastAsia="en-AU"/>
              </w:rPr>
              <w:t>QLD</w:t>
            </w:r>
          </w:p>
        </w:tc>
        <w:tc>
          <w:tcPr>
            <w:tcW w:w="1319" w:type="dxa"/>
            <w:tcBorders>
              <w:top w:val="nil"/>
              <w:left w:val="nil"/>
              <w:bottom w:val="single" w:sz="4" w:space="0" w:color="auto"/>
              <w:right w:val="single" w:sz="4" w:space="0" w:color="auto"/>
            </w:tcBorders>
            <w:shd w:val="clear" w:color="auto" w:fill="auto"/>
            <w:vAlign w:val="center"/>
            <w:hideMark/>
          </w:tcPr>
          <w:p w14:paraId="247695B7" w14:textId="4D8B3346" w:rsidR="006F3A19" w:rsidRPr="005F18FF" w:rsidRDefault="006F3A19" w:rsidP="006F3A19">
            <w:pPr>
              <w:pStyle w:val="TableText8Font"/>
              <w:rPr>
                <w:rFonts w:cs="Arial"/>
                <w:sz w:val="20"/>
                <w:szCs w:val="20"/>
              </w:rPr>
            </w:pPr>
            <w:r w:rsidRPr="005F18FF">
              <w:rPr>
                <w:rFonts w:cs="Arial"/>
                <w:sz w:val="20"/>
                <w:szCs w:val="20"/>
              </w:rPr>
              <w:t xml:space="preserve">Central Queensland Health Service </w:t>
            </w:r>
          </w:p>
        </w:tc>
        <w:tc>
          <w:tcPr>
            <w:tcW w:w="1217" w:type="dxa"/>
            <w:tcBorders>
              <w:top w:val="nil"/>
              <w:left w:val="nil"/>
              <w:bottom w:val="single" w:sz="4" w:space="0" w:color="auto"/>
              <w:right w:val="single" w:sz="4" w:space="0" w:color="auto"/>
            </w:tcBorders>
            <w:shd w:val="clear" w:color="auto" w:fill="auto"/>
            <w:vAlign w:val="center"/>
            <w:hideMark/>
          </w:tcPr>
          <w:p w14:paraId="745A4B12" w14:textId="77777777" w:rsidR="006F3A19" w:rsidRPr="005F18FF" w:rsidRDefault="006F3A19" w:rsidP="001B50F5">
            <w:pPr>
              <w:pStyle w:val="TableText8FontRightAlign"/>
              <w:jc w:val="center"/>
              <w:rPr>
                <w:rFonts w:cs="Arial"/>
                <w:sz w:val="20"/>
                <w:szCs w:val="20"/>
              </w:rPr>
            </w:pPr>
            <w:r w:rsidRPr="005F18FF">
              <w:rPr>
                <w:rFonts w:cs="Arial"/>
                <w:sz w:val="20"/>
                <w:szCs w:val="20"/>
              </w:rPr>
              <w:t>$9,452,425</w:t>
            </w:r>
          </w:p>
        </w:tc>
        <w:tc>
          <w:tcPr>
            <w:tcW w:w="917" w:type="dxa"/>
            <w:tcBorders>
              <w:top w:val="nil"/>
              <w:left w:val="nil"/>
              <w:bottom w:val="single" w:sz="4" w:space="0" w:color="auto"/>
              <w:right w:val="single" w:sz="4" w:space="0" w:color="auto"/>
            </w:tcBorders>
            <w:shd w:val="clear" w:color="auto" w:fill="auto"/>
            <w:vAlign w:val="center"/>
            <w:hideMark/>
          </w:tcPr>
          <w:p w14:paraId="46FED737" w14:textId="77777777" w:rsidR="006F3A19" w:rsidRPr="005F18FF" w:rsidRDefault="006F3A19" w:rsidP="001B50F5">
            <w:pPr>
              <w:pStyle w:val="TableText8FontRightAlign"/>
              <w:jc w:val="center"/>
              <w:rPr>
                <w:rFonts w:cs="Arial"/>
                <w:sz w:val="20"/>
                <w:szCs w:val="20"/>
              </w:rPr>
            </w:pPr>
            <w:r w:rsidRPr="005F18FF">
              <w:rPr>
                <w:rFonts w:cs="Arial"/>
                <w:sz w:val="20"/>
                <w:szCs w:val="20"/>
              </w:rPr>
              <w:t>$13,979</w:t>
            </w:r>
          </w:p>
        </w:tc>
        <w:tc>
          <w:tcPr>
            <w:tcW w:w="917" w:type="dxa"/>
            <w:tcBorders>
              <w:top w:val="nil"/>
              <w:left w:val="nil"/>
              <w:bottom w:val="single" w:sz="4" w:space="0" w:color="auto"/>
              <w:right w:val="single" w:sz="4" w:space="0" w:color="auto"/>
            </w:tcBorders>
            <w:shd w:val="clear" w:color="auto" w:fill="auto"/>
            <w:vAlign w:val="center"/>
            <w:hideMark/>
          </w:tcPr>
          <w:p w14:paraId="3993458D" w14:textId="77777777" w:rsidR="006F3A19" w:rsidRPr="005F18FF" w:rsidRDefault="006F3A19" w:rsidP="001B50F5">
            <w:pPr>
              <w:pStyle w:val="TableText8FontRightAlign"/>
              <w:jc w:val="center"/>
              <w:rPr>
                <w:rFonts w:cs="Arial"/>
                <w:sz w:val="20"/>
                <w:szCs w:val="20"/>
              </w:rPr>
            </w:pPr>
            <w:r w:rsidRPr="005F18FF">
              <w:rPr>
                <w:rFonts w:cs="Arial"/>
                <w:sz w:val="20"/>
                <w:szCs w:val="20"/>
              </w:rPr>
              <w:t>$110</w:t>
            </w:r>
          </w:p>
        </w:tc>
        <w:tc>
          <w:tcPr>
            <w:tcW w:w="927" w:type="dxa"/>
            <w:tcBorders>
              <w:top w:val="nil"/>
              <w:left w:val="nil"/>
              <w:bottom w:val="single" w:sz="4" w:space="0" w:color="auto"/>
              <w:right w:val="single" w:sz="4" w:space="0" w:color="auto"/>
            </w:tcBorders>
            <w:shd w:val="clear" w:color="auto" w:fill="auto"/>
            <w:vAlign w:val="center"/>
            <w:hideMark/>
          </w:tcPr>
          <w:p w14:paraId="61E013A1" w14:textId="77777777" w:rsidR="006F3A19" w:rsidRPr="005F18FF" w:rsidRDefault="006F3A19" w:rsidP="001B50F5">
            <w:pPr>
              <w:pStyle w:val="TableText8FontRightAlign"/>
              <w:jc w:val="center"/>
              <w:rPr>
                <w:rFonts w:cs="Arial"/>
                <w:sz w:val="20"/>
                <w:szCs w:val="20"/>
              </w:rPr>
            </w:pPr>
            <w:r w:rsidRPr="005F18FF">
              <w:rPr>
                <w:rFonts w:cs="Arial"/>
                <w:sz w:val="20"/>
                <w:szCs w:val="20"/>
              </w:rPr>
              <w:t>$725</w:t>
            </w:r>
          </w:p>
        </w:tc>
        <w:tc>
          <w:tcPr>
            <w:tcW w:w="947" w:type="dxa"/>
            <w:tcBorders>
              <w:top w:val="single" w:sz="4" w:space="0" w:color="auto"/>
              <w:left w:val="nil"/>
              <w:bottom w:val="single" w:sz="4" w:space="0" w:color="auto"/>
              <w:right w:val="single" w:sz="4" w:space="0" w:color="auto"/>
            </w:tcBorders>
            <w:vAlign w:val="center"/>
          </w:tcPr>
          <w:p w14:paraId="3B3934A9" w14:textId="3DA17A96" w:rsidR="006F3A19" w:rsidRPr="005F18FF" w:rsidRDefault="006F3A19" w:rsidP="001B50F5">
            <w:pPr>
              <w:pStyle w:val="TableText8FontRightAlign"/>
              <w:jc w:val="center"/>
              <w:rPr>
                <w:rFonts w:eastAsia="Times New Roman" w:cs="Arial"/>
                <w:sz w:val="20"/>
                <w:szCs w:val="20"/>
              </w:rPr>
            </w:pPr>
            <w:r w:rsidRPr="005F18FF">
              <w:rPr>
                <w:rFonts w:cs="Arial"/>
                <w:sz w:val="20"/>
                <w:szCs w:val="20"/>
              </w:rPr>
              <w:t>8.</w:t>
            </w:r>
            <w:r w:rsidR="001B1343">
              <w:rPr>
                <w:rFonts w:cs="Arial"/>
                <w:sz w:val="20"/>
                <w:szCs w:val="20"/>
              </w:rPr>
              <w:t>3</w:t>
            </w:r>
            <w:r w:rsidRPr="005F18FF">
              <w:rPr>
                <w:rFonts w:cs="Arial"/>
                <w:sz w:val="20"/>
                <w:szCs w:val="20"/>
              </w:rPr>
              <w:t>%</w:t>
            </w: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5DE66C" w14:textId="6292F7CC" w:rsidR="006F3A19" w:rsidRPr="005F18FF" w:rsidRDefault="006F3A19" w:rsidP="001B50F5">
            <w:pPr>
              <w:pStyle w:val="TableText8FontRightAlign"/>
              <w:jc w:val="center"/>
              <w:rPr>
                <w:rFonts w:cs="Arial"/>
                <w:sz w:val="20"/>
                <w:szCs w:val="20"/>
              </w:rPr>
            </w:pPr>
            <w:r w:rsidRPr="005F18FF">
              <w:rPr>
                <w:rFonts w:cs="Arial"/>
                <w:sz w:val="20"/>
                <w:szCs w:val="20"/>
              </w:rPr>
              <w:t>13,033</w:t>
            </w:r>
          </w:p>
        </w:tc>
        <w:tc>
          <w:tcPr>
            <w:tcW w:w="947" w:type="dxa"/>
            <w:tcBorders>
              <w:top w:val="single" w:sz="4" w:space="0" w:color="auto"/>
              <w:left w:val="single" w:sz="4" w:space="0" w:color="auto"/>
              <w:bottom w:val="single" w:sz="4" w:space="0" w:color="auto"/>
              <w:right w:val="single" w:sz="4" w:space="0" w:color="auto"/>
            </w:tcBorders>
            <w:vAlign w:val="center"/>
          </w:tcPr>
          <w:p w14:paraId="4C0FEFA6" w14:textId="584B77D7" w:rsidR="006F3A19" w:rsidRPr="005F18FF" w:rsidRDefault="006F3A19" w:rsidP="001B50F5">
            <w:pPr>
              <w:pStyle w:val="TableText8FontRightAlign"/>
              <w:jc w:val="center"/>
              <w:rPr>
                <w:rFonts w:eastAsia="Times New Roman" w:cs="Arial"/>
                <w:sz w:val="20"/>
                <w:szCs w:val="20"/>
              </w:rPr>
            </w:pPr>
            <w:r w:rsidRPr="005F18FF">
              <w:rPr>
                <w:rFonts w:cs="Arial"/>
                <w:sz w:val="20"/>
                <w:szCs w:val="20"/>
              </w:rPr>
              <w:t>3.9%</w:t>
            </w:r>
          </w:p>
        </w:tc>
      </w:tr>
      <w:tr w:rsidR="006F3A19" w:rsidRPr="00630A55" w14:paraId="53DCE4DD" w14:textId="055E91A7" w:rsidTr="004A0EBA">
        <w:trPr>
          <w:cantSplit/>
          <w:trHeight w:val="20"/>
        </w:trPr>
        <w:tc>
          <w:tcPr>
            <w:tcW w:w="562" w:type="dxa"/>
            <w:vMerge/>
            <w:tcBorders>
              <w:left w:val="single" w:sz="4" w:space="0" w:color="auto"/>
              <w:right w:val="single" w:sz="4" w:space="0" w:color="auto"/>
            </w:tcBorders>
            <w:shd w:val="clear" w:color="auto" w:fill="auto"/>
            <w:vAlign w:val="center"/>
          </w:tcPr>
          <w:p w14:paraId="5232B9FF" w14:textId="77777777" w:rsidR="006F3A19" w:rsidRPr="005F18FF" w:rsidRDefault="006F3A19" w:rsidP="006F3A19">
            <w:pPr>
              <w:pStyle w:val="Tableheading"/>
              <w:rPr>
                <w:rFonts w:ascii="Arial" w:hAnsi="Arial" w:cs="Arial"/>
                <w:color w:val="000000" w:themeColor="text1"/>
                <w:szCs w:val="20"/>
                <w:lang w:eastAsia="en-AU"/>
              </w:rPr>
            </w:pPr>
          </w:p>
        </w:tc>
        <w:tc>
          <w:tcPr>
            <w:tcW w:w="1319" w:type="dxa"/>
            <w:tcBorders>
              <w:top w:val="nil"/>
              <w:left w:val="nil"/>
              <w:bottom w:val="single" w:sz="4" w:space="0" w:color="auto"/>
              <w:right w:val="single" w:sz="4" w:space="0" w:color="auto"/>
            </w:tcBorders>
            <w:shd w:val="clear" w:color="auto" w:fill="auto"/>
            <w:vAlign w:val="center"/>
            <w:hideMark/>
          </w:tcPr>
          <w:p w14:paraId="54934FC5" w14:textId="703AD32D" w:rsidR="006F3A19" w:rsidRPr="005F18FF" w:rsidRDefault="006F3A19" w:rsidP="006F3A19">
            <w:pPr>
              <w:pStyle w:val="TableText8Font"/>
              <w:rPr>
                <w:rFonts w:cs="Arial"/>
                <w:sz w:val="20"/>
                <w:szCs w:val="20"/>
              </w:rPr>
            </w:pPr>
            <w:r w:rsidRPr="005F18FF">
              <w:rPr>
                <w:rFonts w:cs="Arial"/>
                <w:sz w:val="20"/>
                <w:szCs w:val="20"/>
              </w:rPr>
              <w:t xml:space="preserve">Mackay Health Service </w:t>
            </w:r>
          </w:p>
        </w:tc>
        <w:tc>
          <w:tcPr>
            <w:tcW w:w="1217" w:type="dxa"/>
            <w:tcBorders>
              <w:top w:val="nil"/>
              <w:left w:val="nil"/>
              <w:bottom w:val="single" w:sz="4" w:space="0" w:color="auto"/>
              <w:right w:val="single" w:sz="4" w:space="0" w:color="auto"/>
            </w:tcBorders>
            <w:shd w:val="clear" w:color="auto" w:fill="auto"/>
            <w:vAlign w:val="center"/>
            <w:hideMark/>
          </w:tcPr>
          <w:p w14:paraId="32681926" w14:textId="77777777" w:rsidR="006F3A19" w:rsidRPr="005F18FF" w:rsidRDefault="006F3A19" w:rsidP="001B50F5">
            <w:pPr>
              <w:pStyle w:val="TableText8FontRightAlign"/>
              <w:jc w:val="center"/>
              <w:rPr>
                <w:rFonts w:cs="Arial"/>
                <w:sz w:val="20"/>
                <w:szCs w:val="20"/>
              </w:rPr>
            </w:pPr>
            <w:r w:rsidRPr="005F18FF">
              <w:rPr>
                <w:rFonts w:cs="Arial"/>
                <w:sz w:val="20"/>
                <w:szCs w:val="20"/>
              </w:rPr>
              <w:t>$7,522,966</w:t>
            </w:r>
          </w:p>
        </w:tc>
        <w:tc>
          <w:tcPr>
            <w:tcW w:w="917" w:type="dxa"/>
            <w:tcBorders>
              <w:top w:val="nil"/>
              <w:left w:val="nil"/>
              <w:bottom w:val="single" w:sz="4" w:space="0" w:color="auto"/>
              <w:right w:val="single" w:sz="4" w:space="0" w:color="auto"/>
            </w:tcBorders>
            <w:shd w:val="clear" w:color="auto" w:fill="auto"/>
            <w:vAlign w:val="center"/>
            <w:hideMark/>
          </w:tcPr>
          <w:p w14:paraId="5E99A5D0" w14:textId="77777777" w:rsidR="006F3A19" w:rsidRPr="005F18FF" w:rsidRDefault="006F3A19" w:rsidP="001B50F5">
            <w:pPr>
              <w:pStyle w:val="TableText8FontRightAlign"/>
              <w:jc w:val="center"/>
              <w:rPr>
                <w:rFonts w:cs="Arial"/>
                <w:sz w:val="20"/>
                <w:szCs w:val="20"/>
              </w:rPr>
            </w:pPr>
            <w:r w:rsidRPr="005F18FF">
              <w:rPr>
                <w:rFonts w:cs="Arial"/>
                <w:sz w:val="20"/>
                <w:szCs w:val="20"/>
              </w:rPr>
              <w:t>$20,420</w:t>
            </w:r>
          </w:p>
        </w:tc>
        <w:tc>
          <w:tcPr>
            <w:tcW w:w="917" w:type="dxa"/>
            <w:tcBorders>
              <w:top w:val="nil"/>
              <w:left w:val="nil"/>
              <w:bottom w:val="single" w:sz="4" w:space="0" w:color="auto"/>
              <w:right w:val="single" w:sz="4" w:space="0" w:color="auto"/>
            </w:tcBorders>
            <w:shd w:val="clear" w:color="auto" w:fill="auto"/>
            <w:vAlign w:val="center"/>
            <w:hideMark/>
          </w:tcPr>
          <w:p w14:paraId="477B02B1" w14:textId="228DED16" w:rsidR="006F3A19" w:rsidRPr="005F18FF" w:rsidRDefault="006F3A19" w:rsidP="001B50F5">
            <w:pPr>
              <w:pStyle w:val="TableText8FontRightAlign"/>
              <w:jc w:val="center"/>
              <w:rPr>
                <w:rFonts w:cs="Arial"/>
                <w:sz w:val="20"/>
                <w:szCs w:val="20"/>
              </w:rPr>
            </w:pPr>
            <w:r w:rsidRPr="005F18FF">
              <w:rPr>
                <w:rFonts w:cs="Arial"/>
                <w:sz w:val="20"/>
                <w:szCs w:val="20"/>
              </w:rPr>
              <w:t>($210)</w:t>
            </w:r>
          </w:p>
        </w:tc>
        <w:tc>
          <w:tcPr>
            <w:tcW w:w="927" w:type="dxa"/>
            <w:tcBorders>
              <w:top w:val="nil"/>
              <w:left w:val="nil"/>
              <w:bottom w:val="single" w:sz="4" w:space="0" w:color="auto"/>
              <w:right w:val="single" w:sz="4" w:space="0" w:color="auto"/>
            </w:tcBorders>
            <w:shd w:val="clear" w:color="auto" w:fill="auto"/>
            <w:vAlign w:val="center"/>
            <w:hideMark/>
          </w:tcPr>
          <w:p w14:paraId="552309E1" w14:textId="77777777" w:rsidR="006F3A19" w:rsidRPr="005F18FF" w:rsidRDefault="006F3A19" w:rsidP="001B50F5">
            <w:pPr>
              <w:pStyle w:val="TableText8FontRightAlign"/>
              <w:jc w:val="center"/>
              <w:rPr>
                <w:rFonts w:cs="Arial"/>
                <w:sz w:val="20"/>
                <w:szCs w:val="20"/>
              </w:rPr>
            </w:pPr>
            <w:r w:rsidRPr="005F18FF">
              <w:rPr>
                <w:rFonts w:cs="Arial"/>
                <w:sz w:val="20"/>
                <w:szCs w:val="20"/>
              </w:rPr>
              <w:t>$762</w:t>
            </w:r>
          </w:p>
        </w:tc>
        <w:tc>
          <w:tcPr>
            <w:tcW w:w="947" w:type="dxa"/>
            <w:tcBorders>
              <w:top w:val="single" w:sz="4" w:space="0" w:color="auto"/>
              <w:left w:val="nil"/>
              <w:bottom w:val="single" w:sz="4" w:space="0" w:color="auto"/>
              <w:right w:val="single" w:sz="4" w:space="0" w:color="auto"/>
            </w:tcBorders>
            <w:vAlign w:val="center"/>
          </w:tcPr>
          <w:p w14:paraId="5582D49C" w14:textId="637F35BC" w:rsidR="006F3A19" w:rsidRPr="005F18FF" w:rsidRDefault="006F3A19" w:rsidP="001B50F5">
            <w:pPr>
              <w:pStyle w:val="TableText8FontRightAlign"/>
              <w:jc w:val="center"/>
              <w:rPr>
                <w:rFonts w:eastAsia="Times New Roman" w:cs="Arial"/>
                <w:color w:val="000000"/>
                <w:sz w:val="20"/>
                <w:szCs w:val="20"/>
              </w:rPr>
            </w:pPr>
            <w:r w:rsidRPr="005F18FF">
              <w:rPr>
                <w:rFonts w:cs="Arial"/>
                <w:sz w:val="20"/>
                <w:szCs w:val="20"/>
              </w:rPr>
              <w:t>(9.2%)</w:t>
            </w: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3EE4D0" w14:textId="7E8F2B73" w:rsidR="006F3A19" w:rsidRPr="005F18FF" w:rsidRDefault="006F3A19" w:rsidP="001B50F5">
            <w:pPr>
              <w:pStyle w:val="TableText8FontRightAlign"/>
              <w:jc w:val="center"/>
              <w:rPr>
                <w:rFonts w:cs="Arial"/>
                <w:sz w:val="20"/>
                <w:szCs w:val="20"/>
              </w:rPr>
            </w:pPr>
            <w:r w:rsidRPr="005F18FF">
              <w:rPr>
                <w:rFonts w:cs="Arial"/>
                <w:sz w:val="20"/>
                <w:szCs w:val="20"/>
              </w:rPr>
              <w:t>9,875</w:t>
            </w:r>
          </w:p>
        </w:tc>
        <w:tc>
          <w:tcPr>
            <w:tcW w:w="947" w:type="dxa"/>
            <w:tcBorders>
              <w:top w:val="single" w:sz="4" w:space="0" w:color="auto"/>
              <w:left w:val="single" w:sz="4" w:space="0" w:color="auto"/>
              <w:bottom w:val="single" w:sz="4" w:space="0" w:color="auto"/>
              <w:right w:val="single" w:sz="4" w:space="0" w:color="auto"/>
            </w:tcBorders>
            <w:vAlign w:val="center"/>
          </w:tcPr>
          <w:p w14:paraId="18065863" w14:textId="6241453A" w:rsidR="006F3A19" w:rsidRPr="005F18FF" w:rsidRDefault="006F3A19" w:rsidP="001B50F5">
            <w:pPr>
              <w:pStyle w:val="TableText8FontRightAlign"/>
              <w:jc w:val="center"/>
              <w:rPr>
                <w:rFonts w:eastAsia="Times New Roman" w:cs="Arial"/>
                <w:sz w:val="20"/>
                <w:szCs w:val="20"/>
              </w:rPr>
            </w:pPr>
            <w:r w:rsidRPr="005F18FF">
              <w:rPr>
                <w:rFonts w:cs="Arial"/>
                <w:sz w:val="20"/>
                <w:szCs w:val="20"/>
              </w:rPr>
              <w:t>14.6%</w:t>
            </w:r>
          </w:p>
        </w:tc>
      </w:tr>
      <w:tr w:rsidR="006F3A19" w:rsidRPr="00630A55" w14:paraId="0EF9272A" w14:textId="04A76F62" w:rsidTr="004A0EBA">
        <w:trPr>
          <w:cantSplit/>
          <w:trHeight w:val="20"/>
        </w:trPr>
        <w:tc>
          <w:tcPr>
            <w:tcW w:w="562" w:type="dxa"/>
            <w:vMerge/>
            <w:tcBorders>
              <w:left w:val="single" w:sz="4" w:space="0" w:color="auto"/>
              <w:bottom w:val="single" w:sz="4" w:space="0" w:color="auto"/>
              <w:right w:val="single" w:sz="4" w:space="0" w:color="auto"/>
            </w:tcBorders>
            <w:shd w:val="clear" w:color="auto" w:fill="auto"/>
            <w:vAlign w:val="center"/>
          </w:tcPr>
          <w:p w14:paraId="7AC61B5E" w14:textId="77777777" w:rsidR="006F3A19" w:rsidRPr="005F18FF" w:rsidRDefault="006F3A19" w:rsidP="006F3A19">
            <w:pPr>
              <w:pStyle w:val="Tableheading"/>
              <w:rPr>
                <w:rFonts w:ascii="Arial" w:hAnsi="Arial" w:cs="Arial"/>
                <w:color w:val="000000" w:themeColor="text1"/>
                <w:szCs w:val="20"/>
                <w:lang w:eastAsia="en-AU"/>
              </w:rPr>
            </w:pPr>
          </w:p>
        </w:tc>
        <w:tc>
          <w:tcPr>
            <w:tcW w:w="1319" w:type="dxa"/>
            <w:tcBorders>
              <w:top w:val="nil"/>
              <w:left w:val="nil"/>
              <w:bottom w:val="single" w:sz="4" w:space="0" w:color="auto"/>
              <w:right w:val="single" w:sz="4" w:space="0" w:color="auto"/>
            </w:tcBorders>
            <w:shd w:val="clear" w:color="auto" w:fill="auto"/>
            <w:vAlign w:val="center"/>
            <w:hideMark/>
          </w:tcPr>
          <w:p w14:paraId="59AA9304" w14:textId="1BC461E2" w:rsidR="006F3A19" w:rsidRPr="005F18FF" w:rsidRDefault="006F3A19" w:rsidP="006F3A19">
            <w:pPr>
              <w:pStyle w:val="TableText8Font"/>
              <w:rPr>
                <w:rFonts w:cs="Arial"/>
                <w:sz w:val="20"/>
                <w:szCs w:val="20"/>
              </w:rPr>
            </w:pPr>
            <w:r w:rsidRPr="005F18FF">
              <w:rPr>
                <w:rFonts w:cs="Arial"/>
                <w:sz w:val="20"/>
                <w:szCs w:val="20"/>
              </w:rPr>
              <w:t xml:space="preserve">Metro South Health Service </w:t>
            </w:r>
          </w:p>
        </w:tc>
        <w:tc>
          <w:tcPr>
            <w:tcW w:w="1217" w:type="dxa"/>
            <w:tcBorders>
              <w:top w:val="nil"/>
              <w:left w:val="nil"/>
              <w:bottom w:val="single" w:sz="4" w:space="0" w:color="auto"/>
              <w:right w:val="single" w:sz="4" w:space="0" w:color="auto"/>
            </w:tcBorders>
            <w:shd w:val="clear" w:color="auto" w:fill="auto"/>
            <w:vAlign w:val="center"/>
            <w:hideMark/>
          </w:tcPr>
          <w:p w14:paraId="7FD6E1A2" w14:textId="77777777" w:rsidR="006F3A19" w:rsidRPr="005F18FF" w:rsidRDefault="006F3A19" w:rsidP="001B50F5">
            <w:pPr>
              <w:pStyle w:val="TableText8FontRightAlign"/>
              <w:jc w:val="center"/>
              <w:rPr>
                <w:rFonts w:cs="Arial"/>
                <w:sz w:val="20"/>
                <w:szCs w:val="20"/>
              </w:rPr>
            </w:pPr>
            <w:r w:rsidRPr="005F18FF">
              <w:rPr>
                <w:rFonts w:cs="Arial"/>
                <w:sz w:val="20"/>
                <w:szCs w:val="20"/>
              </w:rPr>
              <w:t>$27,488,939</w:t>
            </w:r>
          </w:p>
        </w:tc>
        <w:tc>
          <w:tcPr>
            <w:tcW w:w="917" w:type="dxa"/>
            <w:tcBorders>
              <w:top w:val="nil"/>
              <w:left w:val="nil"/>
              <w:bottom w:val="single" w:sz="4" w:space="0" w:color="auto"/>
              <w:right w:val="single" w:sz="4" w:space="0" w:color="auto"/>
            </w:tcBorders>
            <w:shd w:val="clear" w:color="auto" w:fill="auto"/>
            <w:vAlign w:val="center"/>
            <w:hideMark/>
          </w:tcPr>
          <w:p w14:paraId="719AF43E" w14:textId="77777777" w:rsidR="006F3A19" w:rsidRPr="005F18FF" w:rsidRDefault="006F3A19" w:rsidP="001B50F5">
            <w:pPr>
              <w:pStyle w:val="TableText8FontRightAlign"/>
              <w:jc w:val="center"/>
              <w:rPr>
                <w:rFonts w:cs="Arial"/>
                <w:sz w:val="20"/>
                <w:szCs w:val="20"/>
              </w:rPr>
            </w:pPr>
            <w:r w:rsidRPr="005F18FF">
              <w:rPr>
                <w:rFonts w:cs="Arial"/>
                <w:sz w:val="20"/>
                <w:szCs w:val="20"/>
              </w:rPr>
              <w:t>$61,881</w:t>
            </w:r>
          </w:p>
        </w:tc>
        <w:tc>
          <w:tcPr>
            <w:tcW w:w="917" w:type="dxa"/>
            <w:tcBorders>
              <w:top w:val="nil"/>
              <w:left w:val="nil"/>
              <w:bottom w:val="single" w:sz="4" w:space="0" w:color="auto"/>
              <w:right w:val="single" w:sz="4" w:space="0" w:color="auto"/>
            </w:tcBorders>
            <w:shd w:val="clear" w:color="auto" w:fill="auto"/>
            <w:vAlign w:val="center"/>
            <w:hideMark/>
          </w:tcPr>
          <w:p w14:paraId="6098DA0B" w14:textId="27A33D7C" w:rsidR="006F3A19" w:rsidRPr="005F18FF" w:rsidRDefault="006F3A19" w:rsidP="001B50F5">
            <w:pPr>
              <w:pStyle w:val="TableText8FontRightAlign"/>
              <w:jc w:val="center"/>
              <w:rPr>
                <w:rFonts w:cs="Arial"/>
                <w:sz w:val="20"/>
                <w:szCs w:val="20"/>
              </w:rPr>
            </w:pPr>
            <w:r w:rsidRPr="005F18FF">
              <w:rPr>
                <w:rFonts w:cs="Arial"/>
                <w:sz w:val="20"/>
                <w:szCs w:val="20"/>
              </w:rPr>
              <w:t>$-</w:t>
            </w:r>
          </w:p>
        </w:tc>
        <w:tc>
          <w:tcPr>
            <w:tcW w:w="927" w:type="dxa"/>
            <w:tcBorders>
              <w:top w:val="nil"/>
              <w:left w:val="nil"/>
              <w:bottom w:val="single" w:sz="4" w:space="0" w:color="auto"/>
              <w:right w:val="single" w:sz="4" w:space="0" w:color="auto"/>
            </w:tcBorders>
            <w:shd w:val="clear" w:color="auto" w:fill="auto"/>
            <w:vAlign w:val="center"/>
            <w:hideMark/>
          </w:tcPr>
          <w:p w14:paraId="62F1CB02" w14:textId="77777777" w:rsidR="006F3A19" w:rsidRPr="005F18FF" w:rsidRDefault="006F3A19" w:rsidP="001B50F5">
            <w:pPr>
              <w:pStyle w:val="TableText8FontRightAlign"/>
              <w:jc w:val="center"/>
              <w:rPr>
                <w:rFonts w:cs="Arial"/>
                <w:sz w:val="20"/>
                <w:szCs w:val="20"/>
              </w:rPr>
            </w:pPr>
            <w:r w:rsidRPr="005F18FF">
              <w:rPr>
                <w:rFonts w:cs="Arial"/>
                <w:sz w:val="20"/>
                <w:szCs w:val="20"/>
              </w:rPr>
              <w:t>$681</w:t>
            </w:r>
          </w:p>
        </w:tc>
        <w:tc>
          <w:tcPr>
            <w:tcW w:w="947" w:type="dxa"/>
            <w:tcBorders>
              <w:top w:val="single" w:sz="4" w:space="0" w:color="auto"/>
              <w:left w:val="nil"/>
              <w:bottom w:val="single" w:sz="4" w:space="0" w:color="auto"/>
              <w:right w:val="single" w:sz="4" w:space="0" w:color="auto"/>
            </w:tcBorders>
            <w:vAlign w:val="center"/>
          </w:tcPr>
          <w:p w14:paraId="4E5530A8" w14:textId="0B6C7BEC" w:rsidR="006F3A19" w:rsidRPr="005F18FF" w:rsidRDefault="006F3A19" w:rsidP="001B50F5">
            <w:pPr>
              <w:pStyle w:val="TableText8FontRightAlign"/>
              <w:jc w:val="center"/>
              <w:rPr>
                <w:rFonts w:eastAsia="Times New Roman" w:cs="Arial"/>
                <w:color w:val="000000"/>
                <w:sz w:val="20"/>
                <w:szCs w:val="20"/>
              </w:rPr>
            </w:pPr>
            <w:r w:rsidRPr="005F18FF">
              <w:rPr>
                <w:rFonts w:cs="Arial"/>
                <w:sz w:val="20"/>
                <w:szCs w:val="20"/>
              </w:rPr>
              <w:t>(7.6%)</w:t>
            </w: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0604F5" w14:textId="41E6CD0D" w:rsidR="006F3A19" w:rsidRPr="005F18FF" w:rsidRDefault="006F3A19" w:rsidP="001B50F5">
            <w:pPr>
              <w:pStyle w:val="TableText8FontRightAlign"/>
              <w:jc w:val="center"/>
              <w:rPr>
                <w:rFonts w:cs="Arial"/>
                <w:sz w:val="20"/>
                <w:szCs w:val="20"/>
              </w:rPr>
            </w:pPr>
            <w:r w:rsidRPr="005F18FF">
              <w:rPr>
                <w:rFonts w:cs="Arial"/>
                <w:sz w:val="20"/>
                <w:szCs w:val="20"/>
              </w:rPr>
              <w:t>40,373</w:t>
            </w:r>
          </w:p>
        </w:tc>
        <w:tc>
          <w:tcPr>
            <w:tcW w:w="947" w:type="dxa"/>
            <w:tcBorders>
              <w:top w:val="single" w:sz="4" w:space="0" w:color="auto"/>
              <w:left w:val="single" w:sz="4" w:space="0" w:color="auto"/>
              <w:bottom w:val="single" w:sz="4" w:space="0" w:color="auto"/>
              <w:right w:val="single" w:sz="4" w:space="0" w:color="auto"/>
            </w:tcBorders>
            <w:vAlign w:val="center"/>
          </w:tcPr>
          <w:p w14:paraId="2668AB37" w14:textId="7D099EE7" w:rsidR="006F3A19" w:rsidRPr="005F18FF" w:rsidRDefault="006F3A19" w:rsidP="001B50F5">
            <w:pPr>
              <w:pStyle w:val="TableText8FontRightAlign"/>
              <w:jc w:val="center"/>
              <w:rPr>
                <w:rFonts w:eastAsia="Times New Roman" w:cs="Arial"/>
                <w:sz w:val="20"/>
                <w:szCs w:val="20"/>
              </w:rPr>
            </w:pPr>
            <w:r w:rsidRPr="005F18FF">
              <w:rPr>
                <w:rFonts w:cs="Arial"/>
                <w:sz w:val="20"/>
                <w:szCs w:val="20"/>
              </w:rPr>
              <w:t>7.7%</w:t>
            </w:r>
          </w:p>
        </w:tc>
      </w:tr>
      <w:tr w:rsidR="006F3A19" w:rsidRPr="00630A55" w14:paraId="2D17DC99" w14:textId="08BAFC98" w:rsidTr="004A0EBA">
        <w:trPr>
          <w:cantSplit/>
          <w:trHeight w:val="20"/>
        </w:trPr>
        <w:tc>
          <w:tcPr>
            <w:tcW w:w="562" w:type="dxa"/>
            <w:vMerge w:val="restart"/>
            <w:tcBorders>
              <w:top w:val="nil"/>
              <w:left w:val="single" w:sz="4" w:space="0" w:color="auto"/>
              <w:right w:val="single" w:sz="4" w:space="0" w:color="auto"/>
            </w:tcBorders>
            <w:shd w:val="clear" w:color="auto" w:fill="auto"/>
            <w:vAlign w:val="center"/>
          </w:tcPr>
          <w:p w14:paraId="00D9A26D" w14:textId="35CCFB7A" w:rsidR="006F3A19" w:rsidRPr="005F18FF" w:rsidRDefault="006F3A19" w:rsidP="006F3A19">
            <w:pPr>
              <w:pStyle w:val="Tableheading"/>
              <w:rPr>
                <w:rFonts w:ascii="Arial" w:hAnsi="Arial" w:cs="Arial"/>
                <w:color w:val="000000" w:themeColor="text1"/>
                <w:szCs w:val="20"/>
                <w:lang w:eastAsia="en-AU"/>
              </w:rPr>
            </w:pPr>
            <w:r w:rsidRPr="005F18FF">
              <w:rPr>
                <w:rFonts w:ascii="Arial" w:hAnsi="Arial" w:cs="Arial"/>
                <w:color w:val="000000" w:themeColor="text1"/>
                <w:szCs w:val="20"/>
                <w:lang w:eastAsia="en-AU"/>
              </w:rPr>
              <w:t>VIC</w:t>
            </w:r>
          </w:p>
        </w:tc>
        <w:tc>
          <w:tcPr>
            <w:tcW w:w="1319" w:type="dxa"/>
            <w:tcBorders>
              <w:top w:val="nil"/>
              <w:left w:val="nil"/>
              <w:bottom w:val="single" w:sz="4" w:space="0" w:color="auto"/>
              <w:right w:val="single" w:sz="4" w:space="0" w:color="auto"/>
            </w:tcBorders>
            <w:shd w:val="clear" w:color="auto" w:fill="auto"/>
            <w:vAlign w:val="center"/>
            <w:hideMark/>
          </w:tcPr>
          <w:p w14:paraId="0F112444" w14:textId="57EBCA61" w:rsidR="006F3A19" w:rsidRPr="005F18FF" w:rsidRDefault="006F3A19" w:rsidP="006F3A19">
            <w:pPr>
              <w:pStyle w:val="TableText8Font"/>
              <w:rPr>
                <w:rFonts w:cs="Arial"/>
                <w:sz w:val="20"/>
                <w:szCs w:val="20"/>
              </w:rPr>
            </w:pPr>
            <w:r w:rsidRPr="005F18FF">
              <w:rPr>
                <w:rFonts w:cs="Arial"/>
                <w:sz w:val="20"/>
                <w:szCs w:val="20"/>
              </w:rPr>
              <w:t xml:space="preserve">Latrobe Regional Hospital </w:t>
            </w:r>
          </w:p>
        </w:tc>
        <w:tc>
          <w:tcPr>
            <w:tcW w:w="1217" w:type="dxa"/>
            <w:tcBorders>
              <w:top w:val="nil"/>
              <w:left w:val="nil"/>
              <w:bottom w:val="single" w:sz="4" w:space="0" w:color="auto"/>
              <w:right w:val="single" w:sz="4" w:space="0" w:color="auto"/>
            </w:tcBorders>
            <w:shd w:val="clear" w:color="auto" w:fill="auto"/>
            <w:vAlign w:val="center"/>
            <w:hideMark/>
          </w:tcPr>
          <w:p w14:paraId="1FA8FA94" w14:textId="7FEC2E84" w:rsidR="006F3A19" w:rsidRPr="005F18FF" w:rsidRDefault="006F3A19" w:rsidP="001B50F5">
            <w:pPr>
              <w:pStyle w:val="TableText8FontRightAlign"/>
              <w:jc w:val="center"/>
              <w:rPr>
                <w:rFonts w:cs="Arial"/>
                <w:sz w:val="20"/>
                <w:szCs w:val="20"/>
              </w:rPr>
            </w:pPr>
            <w:r w:rsidRPr="005F18FF">
              <w:rPr>
                <w:rFonts w:cs="Arial"/>
                <w:sz w:val="20"/>
                <w:szCs w:val="20"/>
              </w:rPr>
              <w:t>$3,041,090</w:t>
            </w:r>
          </w:p>
        </w:tc>
        <w:tc>
          <w:tcPr>
            <w:tcW w:w="917" w:type="dxa"/>
            <w:tcBorders>
              <w:top w:val="nil"/>
              <w:left w:val="nil"/>
              <w:bottom w:val="single" w:sz="4" w:space="0" w:color="auto"/>
              <w:right w:val="single" w:sz="4" w:space="0" w:color="auto"/>
            </w:tcBorders>
            <w:shd w:val="clear" w:color="auto" w:fill="auto"/>
            <w:vAlign w:val="center"/>
            <w:hideMark/>
          </w:tcPr>
          <w:p w14:paraId="30A1CA3F" w14:textId="77777777" w:rsidR="006F3A19" w:rsidRPr="005F18FF" w:rsidRDefault="006F3A19" w:rsidP="001B50F5">
            <w:pPr>
              <w:pStyle w:val="TableText8FontRightAlign"/>
              <w:jc w:val="center"/>
              <w:rPr>
                <w:rFonts w:cs="Arial"/>
                <w:sz w:val="20"/>
                <w:szCs w:val="20"/>
              </w:rPr>
            </w:pPr>
            <w:r w:rsidRPr="005F18FF">
              <w:rPr>
                <w:rFonts w:cs="Arial"/>
                <w:sz w:val="20"/>
                <w:szCs w:val="20"/>
              </w:rPr>
              <w:t>$5,646</w:t>
            </w:r>
          </w:p>
        </w:tc>
        <w:tc>
          <w:tcPr>
            <w:tcW w:w="917" w:type="dxa"/>
            <w:tcBorders>
              <w:top w:val="nil"/>
              <w:left w:val="nil"/>
              <w:bottom w:val="single" w:sz="4" w:space="0" w:color="auto"/>
              <w:right w:val="single" w:sz="4" w:space="0" w:color="auto"/>
            </w:tcBorders>
            <w:shd w:val="clear" w:color="auto" w:fill="auto"/>
            <w:vAlign w:val="center"/>
            <w:hideMark/>
          </w:tcPr>
          <w:p w14:paraId="49D89B7E" w14:textId="77777777" w:rsidR="006F3A19" w:rsidRPr="005F18FF" w:rsidRDefault="006F3A19" w:rsidP="001B50F5">
            <w:pPr>
              <w:pStyle w:val="TableText8FontRightAlign"/>
              <w:jc w:val="center"/>
              <w:rPr>
                <w:rFonts w:cs="Arial"/>
                <w:sz w:val="20"/>
                <w:szCs w:val="20"/>
              </w:rPr>
            </w:pPr>
            <w:r w:rsidRPr="005F18FF">
              <w:rPr>
                <w:rFonts w:cs="Arial"/>
                <w:sz w:val="20"/>
                <w:szCs w:val="20"/>
              </w:rPr>
              <w:t>$58</w:t>
            </w:r>
          </w:p>
        </w:tc>
        <w:tc>
          <w:tcPr>
            <w:tcW w:w="927" w:type="dxa"/>
            <w:tcBorders>
              <w:top w:val="nil"/>
              <w:left w:val="nil"/>
              <w:bottom w:val="single" w:sz="4" w:space="0" w:color="auto"/>
              <w:right w:val="single" w:sz="4" w:space="0" w:color="auto"/>
            </w:tcBorders>
            <w:shd w:val="clear" w:color="auto" w:fill="auto"/>
            <w:vAlign w:val="center"/>
            <w:hideMark/>
          </w:tcPr>
          <w:p w14:paraId="15D20AFD" w14:textId="77777777" w:rsidR="006F3A19" w:rsidRPr="005F18FF" w:rsidRDefault="006F3A19" w:rsidP="001B50F5">
            <w:pPr>
              <w:pStyle w:val="TableText8FontRightAlign"/>
              <w:jc w:val="center"/>
              <w:rPr>
                <w:rFonts w:cs="Arial"/>
                <w:sz w:val="20"/>
                <w:szCs w:val="20"/>
              </w:rPr>
            </w:pPr>
            <w:r w:rsidRPr="005F18FF">
              <w:rPr>
                <w:rFonts w:cs="Arial"/>
                <w:sz w:val="20"/>
                <w:szCs w:val="20"/>
              </w:rPr>
              <w:t>$465</w:t>
            </w:r>
          </w:p>
        </w:tc>
        <w:tc>
          <w:tcPr>
            <w:tcW w:w="947" w:type="dxa"/>
            <w:tcBorders>
              <w:top w:val="single" w:sz="4" w:space="0" w:color="auto"/>
              <w:left w:val="nil"/>
              <w:bottom w:val="single" w:sz="4" w:space="0" w:color="auto"/>
              <w:right w:val="single" w:sz="4" w:space="0" w:color="auto"/>
            </w:tcBorders>
            <w:vAlign w:val="center"/>
          </w:tcPr>
          <w:p w14:paraId="23A45150" w14:textId="30A2CCBB" w:rsidR="006F3A19" w:rsidRPr="005F18FF" w:rsidRDefault="006F3A19" w:rsidP="001B50F5">
            <w:pPr>
              <w:pStyle w:val="TableText8FontRightAlign"/>
              <w:jc w:val="center"/>
              <w:rPr>
                <w:rFonts w:eastAsia="Times New Roman" w:cs="Arial"/>
                <w:sz w:val="20"/>
                <w:szCs w:val="20"/>
              </w:rPr>
            </w:pPr>
            <w:r w:rsidRPr="005F18FF">
              <w:rPr>
                <w:rFonts w:cs="Arial"/>
                <w:sz w:val="20"/>
                <w:szCs w:val="20"/>
              </w:rPr>
              <w:t>0.6%</w:t>
            </w: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FC5A10" w14:textId="79B4AED6" w:rsidR="006F3A19" w:rsidRPr="005F18FF" w:rsidRDefault="006F3A19" w:rsidP="001B50F5">
            <w:pPr>
              <w:pStyle w:val="TableText8FontRightAlign"/>
              <w:jc w:val="center"/>
              <w:rPr>
                <w:rFonts w:cs="Arial"/>
                <w:sz w:val="20"/>
                <w:szCs w:val="20"/>
              </w:rPr>
            </w:pPr>
            <w:r w:rsidRPr="005F18FF">
              <w:rPr>
                <w:rFonts w:cs="Arial"/>
                <w:sz w:val="20"/>
                <w:szCs w:val="20"/>
              </w:rPr>
              <w:t>6,546</w:t>
            </w:r>
          </w:p>
        </w:tc>
        <w:tc>
          <w:tcPr>
            <w:tcW w:w="947" w:type="dxa"/>
            <w:tcBorders>
              <w:top w:val="single" w:sz="4" w:space="0" w:color="auto"/>
              <w:left w:val="single" w:sz="4" w:space="0" w:color="auto"/>
              <w:bottom w:val="single" w:sz="4" w:space="0" w:color="auto"/>
              <w:right w:val="single" w:sz="4" w:space="0" w:color="auto"/>
            </w:tcBorders>
            <w:vAlign w:val="center"/>
          </w:tcPr>
          <w:p w14:paraId="08790486" w14:textId="75220624" w:rsidR="006F3A19" w:rsidRPr="005F18FF" w:rsidRDefault="006F3A19" w:rsidP="001B50F5">
            <w:pPr>
              <w:pStyle w:val="TableText8FontRightAlign"/>
              <w:jc w:val="center"/>
              <w:rPr>
                <w:rFonts w:eastAsia="Times New Roman" w:cs="Arial"/>
                <w:sz w:val="20"/>
                <w:szCs w:val="20"/>
              </w:rPr>
            </w:pPr>
            <w:r w:rsidRPr="005F18FF">
              <w:rPr>
                <w:rFonts w:cs="Arial"/>
                <w:sz w:val="20"/>
                <w:szCs w:val="20"/>
              </w:rPr>
              <w:t>2.8%</w:t>
            </w:r>
          </w:p>
        </w:tc>
      </w:tr>
      <w:tr w:rsidR="006F3A19" w:rsidRPr="00630A55" w14:paraId="5F43148F" w14:textId="0AD65733" w:rsidTr="004A0EBA">
        <w:trPr>
          <w:cantSplit/>
          <w:trHeight w:val="20"/>
        </w:trPr>
        <w:tc>
          <w:tcPr>
            <w:tcW w:w="562" w:type="dxa"/>
            <w:vMerge/>
            <w:tcBorders>
              <w:left w:val="single" w:sz="4" w:space="0" w:color="auto"/>
              <w:right w:val="single" w:sz="4" w:space="0" w:color="auto"/>
            </w:tcBorders>
            <w:shd w:val="clear" w:color="auto" w:fill="auto"/>
            <w:vAlign w:val="center"/>
          </w:tcPr>
          <w:p w14:paraId="7F63A79B" w14:textId="77777777" w:rsidR="006F3A19" w:rsidRPr="005F18FF" w:rsidRDefault="006F3A19" w:rsidP="006F3A19">
            <w:pPr>
              <w:pStyle w:val="Tableheading"/>
              <w:rPr>
                <w:rFonts w:ascii="Arial" w:hAnsi="Arial" w:cs="Arial"/>
                <w:color w:val="000000" w:themeColor="text1"/>
                <w:szCs w:val="20"/>
                <w:lang w:eastAsia="en-AU"/>
              </w:rPr>
            </w:pPr>
          </w:p>
        </w:tc>
        <w:tc>
          <w:tcPr>
            <w:tcW w:w="1319" w:type="dxa"/>
            <w:tcBorders>
              <w:top w:val="nil"/>
              <w:left w:val="nil"/>
              <w:bottom w:val="single" w:sz="4" w:space="0" w:color="auto"/>
              <w:right w:val="single" w:sz="4" w:space="0" w:color="auto"/>
            </w:tcBorders>
            <w:shd w:val="clear" w:color="auto" w:fill="auto"/>
            <w:vAlign w:val="center"/>
            <w:hideMark/>
          </w:tcPr>
          <w:p w14:paraId="6E5858B7" w14:textId="0BBFDCAF" w:rsidR="006F3A19" w:rsidRPr="005F18FF" w:rsidRDefault="006F3A19" w:rsidP="006F3A19">
            <w:pPr>
              <w:pStyle w:val="TableText8Font"/>
              <w:rPr>
                <w:rFonts w:cs="Arial"/>
                <w:sz w:val="20"/>
                <w:szCs w:val="20"/>
              </w:rPr>
            </w:pPr>
            <w:r w:rsidRPr="005F18FF">
              <w:rPr>
                <w:rFonts w:cs="Arial"/>
                <w:sz w:val="20"/>
                <w:szCs w:val="20"/>
              </w:rPr>
              <w:t xml:space="preserve">Ballarat Health Service </w:t>
            </w:r>
          </w:p>
        </w:tc>
        <w:tc>
          <w:tcPr>
            <w:tcW w:w="1217" w:type="dxa"/>
            <w:tcBorders>
              <w:top w:val="nil"/>
              <w:left w:val="nil"/>
              <w:bottom w:val="single" w:sz="4" w:space="0" w:color="auto"/>
              <w:right w:val="single" w:sz="4" w:space="0" w:color="auto"/>
            </w:tcBorders>
            <w:shd w:val="clear" w:color="auto" w:fill="auto"/>
            <w:vAlign w:val="center"/>
            <w:hideMark/>
          </w:tcPr>
          <w:p w14:paraId="4E5062E2" w14:textId="6A9D9681" w:rsidR="006F3A19" w:rsidRPr="005F18FF" w:rsidRDefault="006F3A19" w:rsidP="001B50F5">
            <w:pPr>
              <w:pStyle w:val="TableText8FontRightAlign"/>
              <w:jc w:val="center"/>
              <w:rPr>
                <w:rFonts w:cs="Arial"/>
                <w:sz w:val="20"/>
                <w:szCs w:val="20"/>
              </w:rPr>
            </w:pPr>
            <w:r w:rsidRPr="005F18FF">
              <w:rPr>
                <w:rFonts w:cs="Arial"/>
                <w:sz w:val="20"/>
                <w:szCs w:val="20"/>
              </w:rPr>
              <w:t>$5,726,699</w:t>
            </w:r>
          </w:p>
        </w:tc>
        <w:tc>
          <w:tcPr>
            <w:tcW w:w="917" w:type="dxa"/>
            <w:tcBorders>
              <w:top w:val="nil"/>
              <w:left w:val="nil"/>
              <w:bottom w:val="single" w:sz="4" w:space="0" w:color="auto"/>
              <w:right w:val="single" w:sz="4" w:space="0" w:color="auto"/>
            </w:tcBorders>
            <w:shd w:val="clear" w:color="auto" w:fill="auto"/>
            <w:vAlign w:val="center"/>
            <w:hideMark/>
          </w:tcPr>
          <w:p w14:paraId="7CEE626C" w14:textId="77777777" w:rsidR="006F3A19" w:rsidRPr="005F18FF" w:rsidRDefault="006F3A19" w:rsidP="001B50F5">
            <w:pPr>
              <w:pStyle w:val="TableText8FontRightAlign"/>
              <w:jc w:val="center"/>
              <w:rPr>
                <w:rFonts w:cs="Arial"/>
                <w:sz w:val="20"/>
                <w:szCs w:val="20"/>
              </w:rPr>
            </w:pPr>
            <w:r w:rsidRPr="005F18FF">
              <w:rPr>
                <w:rFonts w:cs="Arial"/>
                <w:sz w:val="20"/>
                <w:szCs w:val="20"/>
              </w:rPr>
              <w:t>$7,516</w:t>
            </w:r>
          </w:p>
        </w:tc>
        <w:tc>
          <w:tcPr>
            <w:tcW w:w="917" w:type="dxa"/>
            <w:tcBorders>
              <w:top w:val="nil"/>
              <w:left w:val="nil"/>
              <w:bottom w:val="single" w:sz="4" w:space="0" w:color="auto"/>
              <w:right w:val="single" w:sz="4" w:space="0" w:color="auto"/>
            </w:tcBorders>
            <w:shd w:val="clear" w:color="auto" w:fill="auto"/>
            <w:vAlign w:val="center"/>
            <w:hideMark/>
          </w:tcPr>
          <w:p w14:paraId="6042BFC5" w14:textId="77777777" w:rsidR="006F3A19" w:rsidRPr="005F18FF" w:rsidRDefault="006F3A19" w:rsidP="001B50F5">
            <w:pPr>
              <w:pStyle w:val="TableText8FontRightAlign"/>
              <w:jc w:val="center"/>
              <w:rPr>
                <w:rFonts w:cs="Arial"/>
                <w:sz w:val="20"/>
                <w:szCs w:val="20"/>
              </w:rPr>
            </w:pPr>
            <w:r w:rsidRPr="005F18FF">
              <w:rPr>
                <w:rFonts w:cs="Arial"/>
                <w:sz w:val="20"/>
                <w:szCs w:val="20"/>
              </w:rPr>
              <w:t>$29</w:t>
            </w:r>
          </w:p>
        </w:tc>
        <w:tc>
          <w:tcPr>
            <w:tcW w:w="927" w:type="dxa"/>
            <w:tcBorders>
              <w:top w:val="nil"/>
              <w:left w:val="nil"/>
              <w:bottom w:val="single" w:sz="4" w:space="0" w:color="auto"/>
              <w:right w:val="single" w:sz="4" w:space="0" w:color="auto"/>
            </w:tcBorders>
            <w:shd w:val="clear" w:color="auto" w:fill="auto"/>
            <w:vAlign w:val="center"/>
            <w:hideMark/>
          </w:tcPr>
          <w:p w14:paraId="7BC3D030" w14:textId="77777777" w:rsidR="006F3A19" w:rsidRPr="005F18FF" w:rsidRDefault="006F3A19" w:rsidP="001B50F5">
            <w:pPr>
              <w:pStyle w:val="TableText8FontRightAlign"/>
              <w:jc w:val="center"/>
              <w:rPr>
                <w:rFonts w:cs="Arial"/>
                <w:sz w:val="20"/>
                <w:szCs w:val="20"/>
              </w:rPr>
            </w:pPr>
            <w:r w:rsidRPr="005F18FF">
              <w:rPr>
                <w:rFonts w:cs="Arial"/>
                <w:sz w:val="20"/>
                <w:szCs w:val="20"/>
              </w:rPr>
              <w:t>$686</w:t>
            </w:r>
          </w:p>
        </w:tc>
        <w:tc>
          <w:tcPr>
            <w:tcW w:w="947" w:type="dxa"/>
            <w:tcBorders>
              <w:top w:val="single" w:sz="4" w:space="0" w:color="auto"/>
              <w:left w:val="nil"/>
              <w:bottom w:val="single" w:sz="4" w:space="0" w:color="auto"/>
              <w:right w:val="single" w:sz="4" w:space="0" w:color="auto"/>
            </w:tcBorders>
            <w:vAlign w:val="center"/>
          </w:tcPr>
          <w:p w14:paraId="36345223" w14:textId="7094FA45" w:rsidR="006F3A19" w:rsidRPr="005F18FF" w:rsidRDefault="006F3A19" w:rsidP="001B50F5">
            <w:pPr>
              <w:pStyle w:val="TableText8FontRightAlign"/>
              <w:jc w:val="center"/>
              <w:rPr>
                <w:rFonts w:eastAsia="Times New Roman" w:cs="Arial"/>
                <w:sz w:val="20"/>
                <w:szCs w:val="20"/>
              </w:rPr>
            </w:pPr>
            <w:r w:rsidRPr="005F18FF">
              <w:rPr>
                <w:rFonts w:cs="Arial"/>
                <w:sz w:val="20"/>
                <w:szCs w:val="20"/>
              </w:rPr>
              <w:t>4.3%</w:t>
            </w: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16C9A9" w14:textId="2150DCD3" w:rsidR="006F3A19" w:rsidRPr="005F18FF" w:rsidRDefault="006F3A19" w:rsidP="001B50F5">
            <w:pPr>
              <w:pStyle w:val="TableText8FontRightAlign"/>
              <w:jc w:val="center"/>
              <w:rPr>
                <w:rFonts w:cs="Arial"/>
                <w:sz w:val="20"/>
                <w:szCs w:val="20"/>
              </w:rPr>
            </w:pPr>
            <w:r w:rsidRPr="005F18FF">
              <w:rPr>
                <w:rFonts w:cs="Arial"/>
                <w:sz w:val="20"/>
                <w:szCs w:val="20"/>
              </w:rPr>
              <w:t>8,342</w:t>
            </w:r>
          </w:p>
        </w:tc>
        <w:tc>
          <w:tcPr>
            <w:tcW w:w="947" w:type="dxa"/>
            <w:tcBorders>
              <w:top w:val="single" w:sz="4" w:space="0" w:color="auto"/>
              <w:left w:val="single" w:sz="4" w:space="0" w:color="auto"/>
              <w:bottom w:val="single" w:sz="4" w:space="0" w:color="auto"/>
              <w:right w:val="single" w:sz="4" w:space="0" w:color="auto"/>
            </w:tcBorders>
            <w:vAlign w:val="center"/>
          </w:tcPr>
          <w:p w14:paraId="5BDBFE51" w14:textId="0E5BE700" w:rsidR="006F3A19" w:rsidRPr="005F18FF" w:rsidRDefault="006F3A19" w:rsidP="001B50F5">
            <w:pPr>
              <w:pStyle w:val="TableText8FontRightAlign"/>
              <w:jc w:val="center"/>
              <w:rPr>
                <w:rFonts w:eastAsia="Times New Roman" w:cs="Arial"/>
                <w:color w:val="000000"/>
                <w:sz w:val="20"/>
                <w:szCs w:val="20"/>
              </w:rPr>
            </w:pPr>
            <w:r w:rsidRPr="005F18FF">
              <w:rPr>
                <w:rFonts w:cs="Arial"/>
                <w:sz w:val="20"/>
                <w:szCs w:val="20"/>
              </w:rPr>
              <w:t>(1.1%)</w:t>
            </w:r>
          </w:p>
        </w:tc>
      </w:tr>
      <w:tr w:rsidR="006F3A19" w:rsidRPr="00630A55" w14:paraId="14D88439" w14:textId="3F28113D" w:rsidTr="004A0EBA">
        <w:trPr>
          <w:cantSplit/>
          <w:trHeight w:val="20"/>
        </w:trPr>
        <w:tc>
          <w:tcPr>
            <w:tcW w:w="562" w:type="dxa"/>
            <w:vMerge/>
            <w:tcBorders>
              <w:left w:val="single" w:sz="4" w:space="0" w:color="auto"/>
              <w:bottom w:val="single" w:sz="4" w:space="0" w:color="auto"/>
              <w:right w:val="single" w:sz="4" w:space="0" w:color="auto"/>
            </w:tcBorders>
            <w:shd w:val="clear" w:color="auto" w:fill="auto"/>
            <w:vAlign w:val="center"/>
          </w:tcPr>
          <w:p w14:paraId="2FAEA4D0" w14:textId="77777777" w:rsidR="006F3A19" w:rsidRPr="005F18FF" w:rsidRDefault="006F3A19" w:rsidP="006F3A19">
            <w:pPr>
              <w:pStyle w:val="Tableheading"/>
              <w:rPr>
                <w:rFonts w:ascii="Arial" w:hAnsi="Arial" w:cs="Arial"/>
                <w:color w:val="000000" w:themeColor="text1"/>
                <w:szCs w:val="20"/>
                <w:lang w:eastAsia="en-AU"/>
              </w:rPr>
            </w:pPr>
          </w:p>
        </w:tc>
        <w:tc>
          <w:tcPr>
            <w:tcW w:w="1319" w:type="dxa"/>
            <w:tcBorders>
              <w:top w:val="nil"/>
              <w:left w:val="nil"/>
              <w:bottom w:val="single" w:sz="4" w:space="0" w:color="auto"/>
              <w:right w:val="single" w:sz="4" w:space="0" w:color="auto"/>
            </w:tcBorders>
            <w:shd w:val="clear" w:color="auto" w:fill="auto"/>
            <w:vAlign w:val="center"/>
            <w:hideMark/>
          </w:tcPr>
          <w:p w14:paraId="4F857D48" w14:textId="300C6C0D" w:rsidR="006F3A19" w:rsidRPr="005F18FF" w:rsidRDefault="006F3A19" w:rsidP="006F3A19">
            <w:pPr>
              <w:pStyle w:val="TableText8Font"/>
              <w:rPr>
                <w:rFonts w:cs="Arial"/>
                <w:sz w:val="20"/>
                <w:szCs w:val="20"/>
              </w:rPr>
            </w:pPr>
            <w:r w:rsidRPr="005F18FF">
              <w:rPr>
                <w:rFonts w:cs="Arial"/>
                <w:sz w:val="20"/>
                <w:szCs w:val="20"/>
              </w:rPr>
              <w:t>Royal Melbourne Hospita</w:t>
            </w:r>
            <w:r w:rsidR="004A0EBA" w:rsidRPr="005F18FF">
              <w:rPr>
                <w:rFonts w:cs="Arial"/>
                <w:sz w:val="20"/>
                <w:szCs w:val="20"/>
              </w:rPr>
              <w:t>l</w:t>
            </w:r>
          </w:p>
        </w:tc>
        <w:tc>
          <w:tcPr>
            <w:tcW w:w="1217" w:type="dxa"/>
            <w:tcBorders>
              <w:top w:val="nil"/>
              <w:left w:val="nil"/>
              <w:bottom w:val="single" w:sz="4" w:space="0" w:color="auto"/>
              <w:right w:val="single" w:sz="4" w:space="0" w:color="auto"/>
            </w:tcBorders>
            <w:shd w:val="clear" w:color="auto" w:fill="auto"/>
            <w:vAlign w:val="center"/>
            <w:hideMark/>
          </w:tcPr>
          <w:p w14:paraId="4F24067A" w14:textId="77777777" w:rsidR="006F3A19" w:rsidRPr="005F18FF" w:rsidRDefault="006F3A19" w:rsidP="001B50F5">
            <w:pPr>
              <w:pStyle w:val="TableText8FontRightAlign"/>
              <w:jc w:val="center"/>
              <w:rPr>
                <w:rFonts w:cs="Arial"/>
                <w:sz w:val="20"/>
                <w:szCs w:val="20"/>
              </w:rPr>
            </w:pPr>
            <w:r w:rsidRPr="005F18FF">
              <w:rPr>
                <w:rFonts w:cs="Arial"/>
                <w:sz w:val="20"/>
                <w:szCs w:val="20"/>
              </w:rPr>
              <w:t>$12,927,815</w:t>
            </w:r>
          </w:p>
        </w:tc>
        <w:tc>
          <w:tcPr>
            <w:tcW w:w="917" w:type="dxa"/>
            <w:tcBorders>
              <w:top w:val="nil"/>
              <w:left w:val="nil"/>
              <w:bottom w:val="single" w:sz="4" w:space="0" w:color="auto"/>
              <w:right w:val="single" w:sz="4" w:space="0" w:color="auto"/>
            </w:tcBorders>
            <w:shd w:val="clear" w:color="auto" w:fill="auto"/>
            <w:vAlign w:val="center"/>
            <w:hideMark/>
          </w:tcPr>
          <w:p w14:paraId="34194F90" w14:textId="77777777" w:rsidR="006F3A19" w:rsidRPr="005F18FF" w:rsidRDefault="006F3A19" w:rsidP="001B50F5">
            <w:pPr>
              <w:pStyle w:val="TableText8FontRightAlign"/>
              <w:jc w:val="center"/>
              <w:rPr>
                <w:rFonts w:cs="Arial"/>
                <w:sz w:val="20"/>
                <w:szCs w:val="20"/>
              </w:rPr>
            </w:pPr>
            <w:r w:rsidRPr="005F18FF">
              <w:rPr>
                <w:rFonts w:cs="Arial"/>
                <w:sz w:val="20"/>
                <w:szCs w:val="20"/>
              </w:rPr>
              <w:t>$27,478</w:t>
            </w:r>
          </w:p>
        </w:tc>
        <w:tc>
          <w:tcPr>
            <w:tcW w:w="917" w:type="dxa"/>
            <w:tcBorders>
              <w:top w:val="nil"/>
              <w:left w:val="nil"/>
              <w:bottom w:val="single" w:sz="4" w:space="0" w:color="auto"/>
              <w:right w:val="single" w:sz="4" w:space="0" w:color="auto"/>
            </w:tcBorders>
            <w:shd w:val="clear" w:color="auto" w:fill="auto"/>
            <w:vAlign w:val="center"/>
            <w:hideMark/>
          </w:tcPr>
          <w:p w14:paraId="4A0E079A" w14:textId="77777777" w:rsidR="006F3A19" w:rsidRPr="005F18FF" w:rsidRDefault="006F3A19" w:rsidP="001B50F5">
            <w:pPr>
              <w:pStyle w:val="TableText8FontRightAlign"/>
              <w:jc w:val="center"/>
              <w:rPr>
                <w:rFonts w:cs="Arial"/>
                <w:sz w:val="20"/>
                <w:szCs w:val="20"/>
              </w:rPr>
            </w:pPr>
            <w:r w:rsidRPr="005F18FF">
              <w:rPr>
                <w:rFonts w:cs="Arial"/>
                <w:sz w:val="20"/>
                <w:szCs w:val="20"/>
              </w:rPr>
              <w:t>$106</w:t>
            </w:r>
          </w:p>
        </w:tc>
        <w:tc>
          <w:tcPr>
            <w:tcW w:w="927" w:type="dxa"/>
            <w:tcBorders>
              <w:top w:val="nil"/>
              <w:left w:val="nil"/>
              <w:bottom w:val="single" w:sz="4" w:space="0" w:color="auto"/>
              <w:right w:val="single" w:sz="4" w:space="0" w:color="auto"/>
            </w:tcBorders>
            <w:shd w:val="clear" w:color="auto" w:fill="auto"/>
            <w:vAlign w:val="center"/>
            <w:hideMark/>
          </w:tcPr>
          <w:p w14:paraId="174672F1" w14:textId="77777777" w:rsidR="006F3A19" w:rsidRPr="005F18FF" w:rsidRDefault="006F3A19" w:rsidP="001B50F5">
            <w:pPr>
              <w:pStyle w:val="TableText8FontRightAlign"/>
              <w:jc w:val="center"/>
              <w:rPr>
                <w:rFonts w:cs="Arial"/>
                <w:sz w:val="20"/>
                <w:szCs w:val="20"/>
              </w:rPr>
            </w:pPr>
            <w:r w:rsidRPr="005F18FF">
              <w:rPr>
                <w:rFonts w:cs="Arial"/>
                <w:sz w:val="20"/>
                <w:szCs w:val="20"/>
              </w:rPr>
              <w:t>$529</w:t>
            </w:r>
          </w:p>
        </w:tc>
        <w:tc>
          <w:tcPr>
            <w:tcW w:w="947" w:type="dxa"/>
            <w:tcBorders>
              <w:top w:val="single" w:sz="4" w:space="0" w:color="auto"/>
              <w:left w:val="nil"/>
              <w:bottom w:val="single" w:sz="4" w:space="0" w:color="auto"/>
              <w:right w:val="single" w:sz="4" w:space="0" w:color="auto"/>
            </w:tcBorders>
            <w:vAlign w:val="center"/>
          </w:tcPr>
          <w:p w14:paraId="3C5AEE3D" w14:textId="1E522F31" w:rsidR="006F3A19" w:rsidRPr="005F18FF" w:rsidRDefault="006F3A19" w:rsidP="001B50F5">
            <w:pPr>
              <w:pStyle w:val="TableText8FontRightAlign"/>
              <w:jc w:val="center"/>
              <w:rPr>
                <w:rFonts w:eastAsia="Times New Roman" w:cs="Arial"/>
                <w:sz w:val="20"/>
                <w:szCs w:val="20"/>
              </w:rPr>
            </w:pPr>
            <w:r w:rsidRPr="005F18FF">
              <w:rPr>
                <w:rFonts w:cs="Arial"/>
                <w:sz w:val="20"/>
                <w:szCs w:val="20"/>
              </w:rPr>
              <w:t>5.4%</w:t>
            </w: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B452C8" w14:textId="6786E062" w:rsidR="006F3A19" w:rsidRPr="005F18FF" w:rsidRDefault="006F3A19" w:rsidP="001B50F5">
            <w:pPr>
              <w:pStyle w:val="TableText8FontRightAlign"/>
              <w:jc w:val="center"/>
              <w:rPr>
                <w:rFonts w:cs="Arial"/>
                <w:sz w:val="20"/>
                <w:szCs w:val="20"/>
              </w:rPr>
            </w:pPr>
            <w:r w:rsidRPr="005F18FF">
              <w:rPr>
                <w:rFonts w:cs="Arial"/>
                <w:sz w:val="20"/>
                <w:szCs w:val="20"/>
              </w:rPr>
              <w:t>24,450</w:t>
            </w:r>
          </w:p>
        </w:tc>
        <w:tc>
          <w:tcPr>
            <w:tcW w:w="947" w:type="dxa"/>
            <w:tcBorders>
              <w:top w:val="single" w:sz="4" w:space="0" w:color="auto"/>
              <w:left w:val="single" w:sz="4" w:space="0" w:color="auto"/>
              <w:bottom w:val="single" w:sz="4" w:space="0" w:color="auto"/>
              <w:right w:val="single" w:sz="4" w:space="0" w:color="auto"/>
            </w:tcBorders>
            <w:vAlign w:val="center"/>
          </w:tcPr>
          <w:p w14:paraId="7F2A223B" w14:textId="3A289714" w:rsidR="006F3A19" w:rsidRPr="005F18FF" w:rsidRDefault="006F3A19" w:rsidP="001B50F5">
            <w:pPr>
              <w:pStyle w:val="TableText8FontRightAlign"/>
              <w:jc w:val="center"/>
              <w:rPr>
                <w:rFonts w:eastAsia="Times New Roman" w:cs="Arial"/>
                <w:sz w:val="20"/>
                <w:szCs w:val="20"/>
              </w:rPr>
            </w:pPr>
            <w:r w:rsidRPr="005F18FF">
              <w:rPr>
                <w:rFonts w:cs="Arial"/>
                <w:sz w:val="20"/>
                <w:szCs w:val="20"/>
              </w:rPr>
              <w:t>2.6%</w:t>
            </w:r>
          </w:p>
        </w:tc>
      </w:tr>
      <w:tr w:rsidR="006F3A19" w:rsidRPr="00630A55" w14:paraId="41E481CD" w14:textId="32BA4AC0" w:rsidTr="004A0EBA">
        <w:trPr>
          <w:cantSplit/>
          <w:trHeight w:val="20"/>
        </w:trPr>
        <w:tc>
          <w:tcPr>
            <w:tcW w:w="562" w:type="dxa"/>
            <w:vMerge w:val="restart"/>
            <w:tcBorders>
              <w:top w:val="nil"/>
              <w:left w:val="single" w:sz="4" w:space="0" w:color="auto"/>
              <w:right w:val="single" w:sz="4" w:space="0" w:color="auto"/>
            </w:tcBorders>
            <w:shd w:val="clear" w:color="auto" w:fill="auto"/>
            <w:vAlign w:val="center"/>
          </w:tcPr>
          <w:p w14:paraId="3CAD5BD9" w14:textId="13D83883" w:rsidR="006F3A19" w:rsidRPr="005F18FF" w:rsidRDefault="006F3A19" w:rsidP="006F3A19">
            <w:pPr>
              <w:pStyle w:val="Tableheading"/>
              <w:rPr>
                <w:rFonts w:ascii="Arial" w:hAnsi="Arial" w:cs="Arial"/>
                <w:color w:val="000000" w:themeColor="text1"/>
                <w:szCs w:val="20"/>
                <w:lang w:eastAsia="en-AU"/>
              </w:rPr>
            </w:pPr>
            <w:r w:rsidRPr="005F18FF">
              <w:rPr>
                <w:rFonts w:ascii="Arial" w:hAnsi="Arial" w:cs="Arial"/>
                <w:color w:val="000000" w:themeColor="text1"/>
                <w:szCs w:val="20"/>
                <w:lang w:eastAsia="en-AU"/>
              </w:rPr>
              <w:t>WA</w:t>
            </w:r>
          </w:p>
        </w:tc>
        <w:tc>
          <w:tcPr>
            <w:tcW w:w="1319" w:type="dxa"/>
            <w:tcBorders>
              <w:top w:val="nil"/>
              <w:left w:val="nil"/>
              <w:bottom w:val="single" w:sz="4" w:space="0" w:color="auto"/>
              <w:right w:val="single" w:sz="4" w:space="0" w:color="auto"/>
            </w:tcBorders>
            <w:shd w:val="clear" w:color="auto" w:fill="auto"/>
            <w:vAlign w:val="center"/>
            <w:hideMark/>
          </w:tcPr>
          <w:p w14:paraId="4C142B03" w14:textId="514664DD" w:rsidR="006F3A19" w:rsidRPr="005F18FF" w:rsidRDefault="006F3A19" w:rsidP="006F3A19">
            <w:pPr>
              <w:pStyle w:val="TableText8Font"/>
              <w:rPr>
                <w:rFonts w:cs="Arial"/>
                <w:sz w:val="20"/>
                <w:szCs w:val="20"/>
              </w:rPr>
            </w:pPr>
            <w:r w:rsidRPr="005F18FF">
              <w:rPr>
                <w:rFonts w:cs="Arial"/>
                <w:sz w:val="20"/>
                <w:szCs w:val="20"/>
              </w:rPr>
              <w:t xml:space="preserve">Royal Perth Hospital </w:t>
            </w:r>
          </w:p>
        </w:tc>
        <w:tc>
          <w:tcPr>
            <w:tcW w:w="1217" w:type="dxa"/>
            <w:tcBorders>
              <w:top w:val="nil"/>
              <w:left w:val="nil"/>
              <w:bottom w:val="single" w:sz="4" w:space="0" w:color="auto"/>
              <w:right w:val="single" w:sz="4" w:space="0" w:color="auto"/>
            </w:tcBorders>
            <w:shd w:val="clear" w:color="auto" w:fill="auto"/>
            <w:vAlign w:val="center"/>
            <w:hideMark/>
          </w:tcPr>
          <w:p w14:paraId="3CC30063" w14:textId="77777777" w:rsidR="006F3A19" w:rsidRPr="005F18FF" w:rsidRDefault="006F3A19" w:rsidP="001B50F5">
            <w:pPr>
              <w:pStyle w:val="TableText8FontRightAlign"/>
              <w:jc w:val="center"/>
              <w:rPr>
                <w:rFonts w:cs="Arial"/>
                <w:sz w:val="20"/>
                <w:szCs w:val="20"/>
              </w:rPr>
            </w:pPr>
            <w:r w:rsidRPr="005F18FF">
              <w:rPr>
                <w:rFonts w:cs="Arial"/>
                <w:sz w:val="20"/>
                <w:szCs w:val="20"/>
              </w:rPr>
              <w:t>$20,293,422</w:t>
            </w:r>
          </w:p>
        </w:tc>
        <w:tc>
          <w:tcPr>
            <w:tcW w:w="917" w:type="dxa"/>
            <w:tcBorders>
              <w:top w:val="nil"/>
              <w:left w:val="nil"/>
              <w:bottom w:val="single" w:sz="4" w:space="0" w:color="auto"/>
              <w:right w:val="single" w:sz="4" w:space="0" w:color="auto"/>
            </w:tcBorders>
            <w:shd w:val="clear" w:color="auto" w:fill="auto"/>
            <w:vAlign w:val="center"/>
            <w:hideMark/>
          </w:tcPr>
          <w:p w14:paraId="1FF297D4" w14:textId="77777777" w:rsidR="006F3A19" w:rsidRPr="005F18FF" w:rsidRDefault="006F3A19" w:rsidP="001B50F5">
            <w:pPr>
              <w:pStyle w:val="TableText8FontRightAlign"/>
              <w:jc w:val="center"/>
              <w:rPr>
                <w:rFonts w:cs="Arial"/>
                <w:sz w:val="20"/>
                <w:szCs w:val="20"/>
              </w:rPr>
            </w:pPr>
            <w:r w:rsidRPr="005F18FF">
              <w:rPr>
                <w:rFonts w:cs="Arial"/>
                <w:sz w:val="20"/>
                <w:szCs w:val="20"/>
              </w:rPr>
              <w:t>$10,173</w:t>
            </w:r>
          </w:p>
        </w:tc>
        <w:tc>
          <w:tcPr>
            <w:tcW w:w="917" w:type="dxa"/>
            <w:tcBorders>
              <w:top w:val="nil"/>
              <w:left w:val="nil"/>
              <w:bottom w:val="single" w:sz="4" w:space="0" w:color="auto"/>
              <w:right w:val="single" w:sz="4" w:space="0" w:color="auto"/>
            </w:tcBorders>
            <w:shd w:val="clear" w:color="auto" w:fill="auto"/>
            <w:vAlign w:val="center"/>
            <w:hideMark/>
          </w:tcPr>
          <w:p w14:paraId="38B76CE5" w14:textId="77777777" w:rsidR="006F3A19" w:rsidRPr="005F18FF" w:rsidRDefault="006F3A19" w:rsidP="001B50F5">
            <w:pPr>
              <w:pStyle w:val="TableText8FontRightAlign"/>
              <w:jc w:val="center"/>
              <w:rPr>
                <w:rFonts w:cs="Arial"/>
                <w:sz w:val="20"/>
                <w:szCs w:val="20"/>
              </w:rPr>
            </w:pPr>
            <w:r w:rsidRPr="005F18FF">
              <w:rPr>
                <w:rFonts w:cs="Arial"/>
                <w:sz w:val="20"/>
                <w:szCs w:val="20"/>
              </w:rPr>
              <w:t>$131</w:t>
            </w:r>
          </w:p>
        </w:tc>
        <w:tc>
          <w:tcPr>
            <w:tcW w:w="927" w:type="dxa"/>
            <w:tcBorders>
              <w:top w:val="nil"/>
              <w:left w:val="nil"/>
              <w:bottom w:val="single" w:sz="4" w:space="0" w:color="auto"/>
              <w:right w:val="single" w:sz="4" w:space="0" w:color="auto"/>
            </w:tcBorders>
            <w:shd w:val="clear" w:color="auto" w:fill="auto"/>
            <w:vAlign w:val="center"/>
            <w:hideMark/>
          </w:tcPr>
          <w:p w14:paraId="6FD94E9A" w14:textId="77777777" w:rsidR="006F3A19" w:rsidRPr="005F18FF" w:rsidRDefault="006F3A19" w:rsidP="001B50F5">
            <w:pPr>
              <w:pStyle w:val="TableText8FontRightAlign"/>
              <w:jc w:val="center"/>
              <w:rPr>
                <w:rFonts w:cs="Arial"/>
                <w:sz w:val="20"/>
                <w:szCs w:val="20"/>
              </w:rPr>
            </w:pPr>
            <w:r w:rsidRPr="005F18FF">
              <w:rPr>
                <w:rFonts w:cs="Arial"/>
                <w:sz w:val="20"/>
                <w:szCs w:val="20"/>
              </w:rPr>
              <w:t>$627</w:t>
            </w:r>
          </w:p>
        </w:tc>
        <w:tc>
          <w:tcPr>
            <w:tcW w:w="947" w:type="dxa"/>
            <w:tcBorders>
              <w:top w:val="single" w:sz="4" w:space="0" w:color="auto"/>
              <w:left w:val="nil"/>
              <w:bottom w:val="single" w:sz="4" w:space="0" w:color="auto"/>
              <w:right w:val="single" w:sz="4" w:space="0" w:color="auto"/>
            </w:tcBorders>
            <w:vAlign w:val="center"/>
          </w:tcPr>
          <w:p w14:paraId="214F3292" w14:textId="75F9AABD" w:rsidR="006F3A19" w:rsidRPr="005F18FF" w:rsidRDefault="006F3A19" w:rsidP="001B50F5">
            <w:pPr>
              <w:pStyle w:val="TableText8FontRightAlign"/>
              <w:jc w:val="center"/>
              <w:rPr>
                <w:rFonts w:eastAsia="Times New Roman" w:cs="Arial"/>
                <w:color w:val="000000"/>
                <w:sz w:val="20"/>
                <w:szCs w:val="20"/>
              </w:rPr>
            </w:pPr>
            <w:r w:rsidRPr="005F18FF">
              <w:rPr>
                <w:rFonts w:cs="Arial"/>
                <w:sz w:val="20"/>
                <w:szCs w:val="20"/>
              </w:rPr>
              <w:t>(4.3%)</w:t>
            </w: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A959BC" w14:textId="118B1FCA" w:rsidR="006F3A19" w:rsidRPr="005F18FF" w:rsidRDefault="006F3A19" w:rsidP="001B50F5">
            <w:pPr>
              <w:pStyle w:val="TableText8FontRightAlign"/>
              <w:jc w:val="center"/>
              <w:rPr>
                <w:rFonts w:cs="Arial"/>
                <w:sz w:val="20"/>
                <w:szCs w:val="20"/>
              </w:rPr>
            </w:pPr>
            <w:r w:rsidRPr="005F18FF">
              <w:rPr>
                <w:rFonts w:cs="Arial"/>
                <w:sz w:val="20"/>
                <w:szCs w:val="20"/>
              </w:rPr>
              <w:t>32,385</w:t>
            </w:r>
          </w:p>
        </w:tc>
        <w:tc>
          <w:tcPr>
            <w:tcW w:w="947" w:type="dxa"/>
            <w:tcBorders>
              <w:top w:val="single" w:sz="4" w:space="0" w:color="auto"/>
              <w:left w:val="single" w:sz="4" w:space="0" w:color="auto"/>
              <w:bottom w:val="single" w:sz="4" w:space="0" w:color="auto"/>
              <w:right w:val="single" w:sz="4" w:space="0" w:color="auto"/>
            </w:tcBorders>
            <w:vAlign w:val="center"/>
          </w:tcPr>
          <w:p w14:paraId="2FD2656B" w14:textId="4238B155" w:rsidR="006F3A19" w:rsidRPr="005F18FF" w:rsidRDefault="006F3A19" w:rsidP="001B50F5">
            <w:pPr>
              <w:pStyle w:val="TableText8FontRightAlign"/>
              <w:jc w:val="center"/>
              <w:rPr>
                <w:rFonts w:eastAsia="Times New Roman" w:cs="Arial"/>
                <w:sz w:val="20"/>
                <w:szCs w:val="20"/>
              </w:rPr>
            </w:pPr>
            <w:r w:rsidRPr="005F18FF">
              <w:rPr>
                <w:rFonts w:cs="Arial"/>
                <w:sz w:val="20"/>
                <w:szCs w:val="20"/>
              </w:rPr>
              <w:t>3.2%</w:t>
            </w:r>
          </w:p>
        </w:tc>
      </w:tr>
      <w:tr w:rsidR="006F3A19" w:rsidRPr="00630A55" w14:paraId="6ED3FFD9" w14:textId="45E6EF4F" w:rsidTr="004A0EBA">
        <w:trPr>
          <w:cantSplit/>
          <w:trHeight w:val="20"/>
        </w:trPr>
        <w:tc>
          <w:tcPr>
            <w:tcW w:w="562" w:type="dxa"/>
            <w:vMerge/>
            <w:tcBorders>
              <w:left w:val="single" w:sz="4" w:space="0" w:color="auto"/>
              <w:right w:val="single" w:sz="4" w:space="0" w:color="auto"/>
            </w:tcBorders>
            <w:shd w:val="clear" w:color="auto" w:fill="auto"/>
          </w:tcPr>
          <w:p w14:paraId="66DA1DE5" w14:textId="77777777" w:rsidR="00C5501B" w:rsidRPr="005F18FF" w:rsidRDefault="00C5501B" w:rsidP="008F21F4">
            <w:pPr>
              <w:rPr>
                <w:rFonts w:cs="Arial"/>
                <w:sz w:val="20"/>
                <w:szCs w:val="20"/>
                <w:lang w:eastAsia="en-AU"/>
              </w:rPr>
            </w:pPr>
          </w:p>
        </w:tc>
        <w:tc>
          <w:tcPr>
            <w:tcW w:w="1319" w:type="dxa"/>
            <w:tcBorders>
              <w:top w:val="nil"/>
              <w:left w:val="nil"/>
              <w:bottom w:val="single" w:sz="4" w:space="0" w:color="auto"/>
              <w:right w:val="single" w:sz="4" w:space="0" w:color="auto"/>
            </w:tcBorders>
            <w:shd w:val="clear" w:color="auto" w:fill="auto"/>
            <w:vAlign w:val="center"/>
            <w:hideMark/>
          </w:tcPr>
          <w:p w14:paraId="1D7641CF" w14:textId="4C949B6F" w:rsidR="00C5501B" w:rsidRPr="005F18FF" w:rsidRDefault="00C5501B" w:rsidP="00710D0C">
            <w:pPr>
              <w:pStyle w:val="TableText8Font"/>
              <w:rPr>
                <w:rFonts w:cs="Arial"/>
                <w:sz w:val="20"/>
                <w:szCs w:val="20"/>
              </w:rPr>
            </w:pPr>
            <w:r w:rsidRPr="005F18FF">
              <w:rPr>
                <w:rFonts w:cs="Arial"/>
                <w:sz w:val="20"/>
                <w:szCs w:val="20"/>
              </w:rPr>
              <w:t xml:space="preserve">Perth Children's Hospital </w:t>
            </w:r>
          </w:p>
        </w:tc>
        <w:tc>
          <w:tcPr>
            <w:tcW w:w="1217" w:type="dxa"/>
            <w:tcBorders>
              <w:top w:val="nil"/>
              <w:left w:val="nil"/>
              <w:bottom w:val="single" w:sz="4" w:space="0" w:color="auto"/>
              <w:right w:val="single" w:sz="4" w:space="0" w:color="auto"/>
            </w:tcBorders>
            <w:shd w:val="clear" w:color="auto" w:fill="auto"/>
            <w:vAlign w:val="center"/>
            <w:hideMark/>
          </w:tcPr>
          <w:p w14:paraId="5CC76DF3" w14:textId="77777777" w:rsidR="00C5501B" w:rsidRPr="005F18FF" w:rsidRDefault="00C5501B" w:rsidP="001B50F5">
            <w:pPr>
              <w:pStyle w:val="TableText8FontRightAlign"/>
              <w:jc w:val="center"/>
              <w:rPr>
                <w:rFonts w:cs="Arial"/>
                <w:sz w:val="20"/>
                <w:szCs w:val="20"/>
              </w:rPr>
            </w:pPr>
            <w:r w:rsidRPr="005F18FF">
              <w:rPr>
                <w:rFonts w:cs="Arial"/>
                <w:sz w:val="20"/>
                <w:szCs w:val="20"/>
              </w:rPr>
              <w:t>$624,743</w:t>
            </w:r>
          </w:p>
        </w:tc>
        <w:tc>
          <w:tcPr>
            <w:tcW w:w="917" w:type="dxa"/>
            <w:tcBorders>
              <w:top w:val="nil"/>
              <w:left w:val="nil"/>
              <w:bottom w:val="single" w:sz="4" w:space="0" w:color="auto"/>
              <w:right w:val="single" w:sz="4" w:space="0" w:color="auto"/>
            </w:tcBorders>
            <w:shd w:val="clear" w:color="auto" w:fill="auto"/>
            <w:vAlign w:val="center"/>
            <w:hideMark/>
          </w:tcPr>
          <w:p w14:paraId="69D1F59E" w14:textId="77777777" w:rsidR="00C5501B" w:rsidRPr="005F18FF" w:rsidRDefault="00C5501B" w:rsidP="001B50F5">
            <w:pPr>
              <w:pStyle w:val="TableText8FontRightAlign"/>
              <w:jc w:val="center"/>
              <w:rPr>
                <w:rFonts w:cs="Arial"/>
                <w:sz w:val="20"/>
                <w:szCs w:val="20"/>
              </w:rPr>
            </w:pPr>
            <w:r w:rsidRPr="005F18FF">
              <w:rPr>
                <w:rFonts w:cs="Arial"/>
                <w:sz w:val="20"/>
                <w:szCs w:val="20"/>
              </w:rPr>
              <w:t>$4,512</w:t>
            </w:r>
          </w:p>
        </w:tc>
        <w:tc>
          <w:tcPr>
            <w:tcW w:w="917" w:type="dxa"/>
            <w:tcBorders>
              <w:top w:val="nil"/>
              <w:left w:val="nil"/>
              <w:bottom w:val="single" w:sz="4" w:space="0" w:color="auto"/>
              <w:right w:val="single" w:sz="4" w:space="0" w:color="auto"/>
            </w:tcBorders>
            <w:shd w:val="clear" w:color="auto" w:fill="auto"/>
            <w:vAlign w:val="center"/>
            <w:hideMark/>
          </w:tcPr>
          <w:p w14:paraId="36C88F48" w14:textId="77777777" w:rsidR="00C5501B" w:rsidRPr="005F18FF" w:rsidRDefault="00C5501B" w:rsidP="001B50F5">
            <w:pPr>
              <w:pStyle w:val="TableText8FontRightAlign"/>
              <w:jc w:val="center"/>
              <w:rPr>
                <w:rFonts w:cs="Arial"/>
                <w:sz w:val="20"/>
                <w:szCs w:val="20"/>
              </w:rPr>
            </w:pPr>
            <w:r w:rsidRPr="005F18FF">
              <w:rPr>
                <w:rFonts w:cs="Arial"/>
                <w:sz w:val="20"/>
                <w:szCs w:val="20"/>
              </w:rPr>
              <w:t>$858</w:t>
            </w:r>
          </w:p>
        </w:tc>
        <w:tc>
          <w:tcPr>
            <w:tcW w:w="927" w:type="dxa"/>
            <w:tcBorders>
              <w:top w:val="nil"/>
              <w:left w:val="nil"/>
              <w:bottom w:val="single" w:sz="4" w:space="0" w:color="auto"/>
              <w:right w:val="single" w:sz="4" w:space="0" w:color="auto"/>
            </w:tcBorders>
            <w:shd w:val="clear" w:color="auto" w:fill="auto"/>
            <w:vAlign w:val="center"/>
            <w:hideMark/>
          </w:tcPr>
          <w:p w14:paraId="472D91AD" w14:textId="77777777" w:rsidR="00C5501B" w:rsidRPr="005F18FF" w:rsidRDefault="00C5501B" w:rsidP="001B50F5">
            <w:pPr>
              <w:pStyle w:val="TableText8FontRightAlign"/>
              <w:jc w:val="center"/>
              <w:rPr>
                <w:rFonts w:cs="Arial"/>
                <w:sz w:val="20"/>
                <w:szCs w:val="20"/>
              </w:rPr>
            </w:pPr>
            <w:r w:rsidRPr="005F18FF">
              <w:rPr>
                <w:rFonts w:cs="Arial"/>
                <w:sz w:val="20"/>
                <w:szCs w:val="20"/>
              </w:rPr>
              <w:t>$1,911</w:t>
            </w:r>
          </w:p>
        </w:tc>
        <w:tc>
          <w:tcPr>
            <w:tcW w:w="947" w:type="dxa"/>
            <w:tcBorders>
              <w:top w:val="single" w:sz="4" w:space="0" w:color="auto"/>
              <w:left w:val="nil"/>
              <w:bottom w:val="single" w:sz="4" w:space="0" w:color="auto"/>
              <w:right w:val="single" w:sz="4" w:space="0" w:color="auto"/>
            </w:tcBorders>
            <w:vAlign w:val="center"/>
          </w:tcPr>
          <w:p w14:paraId="06B43F6D" w14:textId="780A5226" w:rsidR="00C5501B" w:rsidRPr="005F18FF" w:rsidRDefault="00C5501B" w:rsidP="001B50F5">
            <w:pPr>
              <w:pStyle w:val="TableText8FontRightAlign"/>
              <w:jc w:val="center"/>
              <w:rPr>
                <w:rFonts w:eastAsia="Times New Roman" w:cs="Arial"/>
                <w:sz w:val="20"/>
                <w:szCs w:val="20"/>
              </w:rPr>
            </w:pPr>
            <w:r w:rsidRPr="005F18FF">
              <w:rPr>
                <w:rFonts w:cs="Arial"/>
                <w:sz w:val="20"/>
                <w:szCs w:val="20"/>
              </w:rPr>
              <w:t>21.2%</w:t>
            </w: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3A6F7E" w14:textId="70DA6DD4" w:rsidR="00C5501B" w:rsidRPr="005F18FF" w:rsidRDefault="00C5501B" w:rsidP="001B50F5">
            <w:pPr>
              <w:pStyle w:val="TableText8FontRightAlign"/>
              <w:jc w:val="center"/>
              <w:rPr>
                <w:rFonts w:cs="Arial"/>
                <w:sz w:val="20"/>
                <w:szCs w:val="20"/>
              </w:rPr>
            </w:pPr>
            <w:r w:rsidRPr="005F18FF">
              <w:rPr>
                <w:rFonts w:cs="Arial"/>
                <w:sz w:val="20"/>
                <w:szCs w:val="20"/>
              </w:rPr>
              <w:t>327</w:t>
            </w:r>
          </w:p>
        </w:tc>
        <w:tc>
          <w:tcPr>
            <w:tcW w:w="947" w:type="dxa"/>
            <w:tcBorders>
              <w:top w:val="single" w:sz="4" w:space="0" w:color="auto"/>
              <w:left w:val="single" w:sz="4" w:space="0" w:color="auto"/>
              <w:bottom w:val="single" w:sz="4" w:space="0" w:color="auto"/>
              <w:right w:val="single" w:sz="4" w:space="0" w:color="auto"/>
            </w:tcBorders>
            <w:vAlign w:val="center"/>
          </w:tcPr>
          <w:p w14:paraId="4777893C" w14:textId="13F7E645" w:rsidR="00C5501B" w:rsidRPr="005F18FF" w:rsidRDefault="00C5501B" w:rsidP="001B50F5">
            <w:pPr>
              <w:pStyle w:val="TableText8FontRightAlign"/>
              <w:jc w:val="center"/>
              <w:rPr>
                <w:rFonts w:eastAsia="Times New Roman" w:cs="Arial"/>
                <w:sz w:val="20"/>
                <w:szCs w:val="20"/>
              </w:rPr>
            </w:pPr>
            <w:r w:rsidRPr="005F18FF">
              <w:rPr>
                <w:rFonts w:cs="Arial"/>
                <w:sz w:val="20"/>
                <w:szCs w:val="20"/>
              </w:rPr>
              <w:t>31.9%</w:t>
            </w:r>
          </w:p>
        </w:tc>
      </w:tr>
      <w:tr w:rsidR="006F3A19" w:rsidRPr="00630A55" w14:paraId="60E95725" w14:textId="77AC6CB4" w:rsidTr="00DD4B6C">
        <w:trPr>
          <w:cantSplit/>
          <w:trHeight w:val="510"/>
        </w:trPr>
        <w:tc>
          <w:tcPr>
            <w:tcW w:w="562" w:type="dxa"/>
            <w:vMerge/>
            <w:tcBorders>
              <w:left w:val="single" w:sz="4" w:space="0" w:color="auto"/>
              <w:bottom w:val="single" w:sz="4" w:space="0" w:color="auto"/>
              <w:right w:val="single" w:sz="4" w:space="0" w:color="auto"/>
            </w:tcBorders>
            <w:shd w:val="clear" w:color="auto" w:fill="auto"/>
          </w:tcPr>
          <w:p w14:paraId="4564C56F" w14:textId="77777777" w:rsidR="00C5501B" w:rsidRPr="005F18FF" w:rsidRDefault="00C5501B" w:rsidP="008F21F4">
            <w:pPr>
              <w:rPr>
                <w:rFonts w:cs="Arial"/>
                <w:sz w:val="20"/>
                <w:szCs w:val="20"/>
                <w:lang w:eastAsia="en-AU"/>
              </w:rPr>
            </w:pPr>
          </w:p>
        </w:tc>
        <w:tc>
          <w:tcPr>
            <w:tcW w:w="1319" w:type="dxa"/>
            <w:tcBorders>
              <w:top w:val="nil"/>
              <w:left w:val="nil"/>
              <w:bottom w:val="single" w:sz="4" w:space="0" w:color="auto"/>
              <w:right w:val="single" w:sz="4" w:space="0" w:color="auto"/>
            </w:tcBorders>
            <w:shd w:val="clear" w:color="auto" w:fill="auto"/>
            <w:vAlign w:val="center"/>
            <w:hideMark/>
          </w:tcPr>
          <w:p w14:paraId="051172C3" w14:textId="7C1BE190" w:rsidR="00C5501B" w:rsidRPr="005F18FF" w:rsidRDefault="00C5501B" w:rsidP="00710D0C">
            <w:pPr>
              <w:pStyle w:val="TableText8Font"/>
              <w:rPr>
                <w:rFonts w:cs="Arial"/>
                <w:sz w:val="20"/>
                <w:szCs w:val="20"/>
              </w:rPr>
            </w:pPr>
            <w:r w:rsidRPr="005F18FF">
              <w:rPr>
                <w:rFonts w:cs="Arial"/>
                <w:sz w:val="20"/>
                <w:szCs w:val="20"/>
              </w:rPr>
              <w:t xml:space="preserve">Albany Hospital </w:t>
            </w:r>
          </w:p>
        </w:tc>
        <w:tc>
          <w:tcPr>
            <w:tcW w:w="1217" w:type="dxa"/>
            <w:tcBorders>
              <w:top w:val="nil"/>
              <w:left w:val="nil"/>
              <w:bottom w:val="single" w:sz="4" w:space="0" w:color="auto"/>
              <w:right w:val="single" w:sz="4" w:space="0" w:color="auto"/>
            </w:tcBorders>
            <w:shd w:val="clear" w:color="auto" w:fill="auto"/>
            <w:vAlign w:val="center"/>
            <w:hideMark/>
          </w:tcPr>
          <w:p w14:paraId="096C5499" w14:textId="77777777" w:rsidR="00C5501B" w:rsidRPr="005F18FF" w:rsidRDefault="00C5501B" w:rsidP="001B50F5">
            <w:pPr>
              <w:pStyle w:val="TableText8FontRightAlign"/>
              <w:jc w:val="center"/>
              <w:rPr>
                <w:rFonts w:cs="Arial"/>
                <w:sz w:val="20"/>
                <w:szCs w:val="20"/>
              </w:rPr>
            </w:pPr>
            <w:r w:rsidRPr="005F18FF">
              <w:rPr>
                <w:rFonts w:cs="Arial"/>
                <w:sz w:val="20"/>
                <w:szCs w:val="20"/>
              </w:rPr>
              <w:t>$1,728,977</w:t>
            </w:r>
          </w:p>
        </w:tc>
        <w:tc>
          <w:tcPr>
            <w:tcW w:w="917" w:type="dxa"/>
            <w:tcBorders>
              <w:top w:val="nil"/>
              <w:left w:val="nil"/>
              <w:bottom w:val="single" w:sz="4" w:space="0" w:color="auto"/>
              <w:right w:val="single" w:sz="4" w:space="0" w:color="auto"/>
            </w:tcBorders>
            <w:shd w:val="clear" w:color="auto" w:fill="auto"/>
            <w:vAlign w:val="center"/>
            <w:hideMark/>
          </w:tcPr>
          <w:p w14:paraId="1BF61613" w14:textId="77777777" w:rsidR="00C5501B" w:rsidRPr="005F18FF" w:rsidRDefault="00C5501B" w:rsidP="001B50F5">
            <w:pPr>
              <w:pStyle w:val="TableText8FontRightAlign"/>
              <w:jc w:val="center"/>
              <w:rPr>
                <w:rFonts w:cs="Arial"/>
                <w:sz w:val="20"/>
                <w:szCs w:val="20"/>
              </w:rPr>
            </w:pPr>
            <w:r w:rsidRPr="005F18FF">
              <w:rPr>
                <w:rFonts w:cs="Arial"/>
                <w:sz w:val="20"/>
                <w:szCs w:val="20"/>
              </w:rPr>
              <w:t>$1,983</w:t>
            </w:r>
          </w:p>
        </w:tc>
        <w:tc>
          <w:tcPr>
            <w:tcW w:w="917" w:type="dxa"/>
            <w:tcBorders>
              <w:top w:val="nil"/>
              <w:left w:val="nil"/>
              <w:bottom w:val="single" w:sz="4" w:space="0" w:color="auto"/>
              <w:right w:val="single" w:sz="4" w:space="0" w:color="auto"/>
            </w:tcBorders>
            <w:shd w:val="clear" w:color="auto" w:fill="auto"/>
            <w:vAlign w:val="center"/>
            <w:hideMark/>
          </w:tcPr>
          <w:p w14:paraId="4AB99BFC" w14:textId="77777777" w:rsidR="00C5501B" w:rsidRPr="005F18FF" w:rsidRDefault="00C5501B" w:rsidP="001B50F5">
            <w:pPr>
              <w:pStyle w:val="TableText8FontRightAlign"/>
              <w:jc w:val="center"/>
              <w:rPr>
                <w:rFonts w:cs="Arial"/>
                <w:sz w:val="20"/>
                <w:szCs w:val="20"/>
              </w:rPr>
            </w:pPr>
            <w:r w:rsidRPr="005F18FF">
              <w:rPr>
                <w:rFonts w:cs="Arial"/>
                <w:sz w:val="20"/>
                <w:szCs w:val="20"/>
              </w:rPr>
              <w:t>$228</w:t>
            </w:r>
          </w:p>
        </w:tc>
        <w:tc>
          <w:tcPr>
            <w:tcW w:w="927" w:type="dxa"/>
            <w:tcBorders>
              <w:top w:val="nil"/>
              <w:left w:val="nil"/>
              <w:bottom w:val="single" w:sz="4" w:space="0" w:color="auto"/>
              <w:right w:val="single" w:sz="4" w:space="0" w:color="auto"/>
            </w:tcBorders>
            <w:shd w:val="clear" w:color="auto" w:fill="auto"/>
            <w:vAlign w:val="center"/>
            <w:hideMark/>
          </w:tcPr>
          <w:p w14:paraId="4DA1FE85" w14:textId="77777777" w:rsidR="00C5501B" w:rsidRPr="005F18FF" w:rsidRDefault="00C5501B" w:rsidP="001B50F5">
            <w:pPr>
              <w:pStyle w:val="TableText8FontRightAlign"/>
              <w:jc w:val="center"/>
              <w:rPr>
                <w:rFonts w:cs="Arial"/>
                <w:sz w:val="20"/>
                <w:szCs w:val="20"/>
              </w:rPr>
            </w:pPr>
            <w:r w:rsidRPr="005F18FF">
              <w:rPr>
                <w:rFonts w:cs="Arial"/>
                <w:sz w:val="20"/>
                <w:szCs w:val="20"/>
              </w:rPr>
              <w:t>$720</w:t>
            </w:r>
          </w:p>
        </w:tc>
        <w:tc>
          <w:tcPr>
            <w:tcW w:w="947" w:type="dxa"/>
            <w:tcBorders>
              <w:top w:val="single" w:sz="4" w:space="0" w:color="auto"/>
              <w:left w:val="nil"/>
              <w:bottom w:val="single" w:sz="4" w:space="0" w:color="auto"/>
              <w:right w:val="single" w:sz="4" w:space="0" w:color="auto"/>
            </w:tcBorders>
            <w:vAlign w:val="center"/>
          </w:tcPr>
          <w:p w14:paraId="2A43FDC3" w14:textId="1E7CACEC" w:rsidR="00C5501B" w:rsidRPr="005F18FF" w:rsidRDefault="00C5501B" w:rsidP="001B50F5">
            <w:pPr>
              <w:pStyle w:val="TableText8FontRightAlign"/>
              <w:jc w:val="center"/>
              <w:rPr>
                <w:rFonts w:eastAsia="Times New Roman" w:cs="Arial"/>
                <w:color w:val="000000"/>
                <w:sz w:val="20"/>
                <w:szCs w:val="20"/>
              </w:rPr>
            </w:pPr>
            <w:r w:rsidRPr="005F18FF">
              <w:rPr>
                <w:rFonts w:cs="Arial"/>
                <w:sz w:val="20"/>
                <w:szCs w:val="20"/>
              </w:rPr>
              <w:t>(1.6%)</w:t>
            </w: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AE0457" w14:textId="5DF20F5B" w:rsidR="00C5501B" w:rsidRPr="005F18FF" w:rsidRDefault="00C5501B" w:rsidP="001B50F5">
            <w:pPr>
              <w:pStyle w:val="TableText8FontRightAlign"/>
              <w:jc w:val="center"/>
              <w:rPr>
                <w:rFonts w:cs="Arial"/>
                <w:sz w:val="20"/>
                <w:szCs w:val="20"/>
              </w:rPr>
            </w:pPr>
            <w:r w:rsidRPr="005F18FF">
              <w:rPr>
                <w:rFonts w:cs="Arial"/>
                <w:sz w:val="20"/>
                <w:szCs w:val="20"/>
              </w:rPr>
              <w:t>2,401</w:t>
            </w:r>
          </w:p>
        </w:tc>
        <w:tc>
          <w:tcPr>
            <w:tcW w:w="947" w:type="dxa"/>
            <w:tcBorders>
              <w:top w:val="single" w:sz="4" w:space="0" w:color="auto"/>
              <w:left w:val="single" w:sz="4" w:space="0" w:color="auto"/>
              <w:bottom w:val="single" w:sz="4" w:space="0" w:color="auto"/>
              <w:right w:val="single" w:sz="4" w:space="0" w:color="auto"/>
            </w:tcBorders>
            <w:vAlign w:val="center"/>
          </w:tcPr>
          <w:p w14:paraId="2CD32868" w14:textId="54CD8B49" w:rsidR="00C5501B" w:rsidRPr="005F18FF" w:rsidRDefault="00C5501B" w:rsidP="001B50F5">
            <w:pPr>
              <w:pStyle w:val="TableText8FontRightAlign"/>
              <w:jc w:val="center"/>
              <w:rPr>
                <w:rFonts w:eastAsia="Times New Roman" w:cs="Arial"/>
                <w:color w:val="000000"/>
                <w:sz w:val="20"/>
                <w:szCs w:val="20"/>
              </w:rPr>
            </w:pPr>
            <w:r w:rsidRPr="005F18FF">
              <w:rPr>
                <w:rFonts w:cs="Arial"/>
                <w:sz w:val="20"/>
                <w:szCs w:val="20"/>
              </w:rPr>
              <w:t>(3.0%)</w:t>
            </w:r>
          </w:p>
        </w:tc>
      </w:tr>
    </w:tbl>
    <w:p w14:paraId="3927E505" w14:textId="13D59B2B" w:rsidR="00E503EE" w:rsidRPr="00630A55" w:rsidRDefault="00E503EE" w:rsidP="00E503EE">
      <w:pPr>
        <w:pStyle w:val="Source"/>
      </w:pPr>
      <w:r w:rsidRPr="00630A55">
        <w:t xml:space="preserve">Source: Jurisdictional consultations and </w:t>
      </w:r>
      <w:r>
        <w:t>templates</w:t>
      </w:r>
    </w:p>
    <w:p w14:paraId="4D8505C0" w14:textId="67DE96E6" w:rsidR="00C86F6C" w:rsidRDefault="00F731EE" w:rsidP="00C86F6C">
      <w:pPr>
        <w:jc w:val="both"/>
      </w:pPr>
      <w:r>
        <w:t>The average cost of haemodialysis services ranged from a low of $</w:t>
      </w:r>
      <w:r w:rsidR="002E0B2E">
        <w:t>465 (Latrobe Regional Hospital, Victoria) to $1,911 (Perth Children’s Hospital, W</w:t>
      </w:r>
      <w:r w:rsidR="009D793E">
        <w:t>A), with an average of $738 across sampled sites</w:t>
      </w:r>
      <w:r w:rsidR="00431A59">
        <w:t xml:space="preserve"> (see </w:t>
      </w:r>
      <w:r w:rsidR="00257E93">
        <w:fldChar w:fldCharType="begin"/>
      </w:r>
      <w:r w:rsidR="00257E93">
        <w:instrText xml:space="preserve"> REF _Ref115084785 \h </w:instrText>
      </w:r>
      <w:r w:rsidR="003E3232">
        <w:instrText xml:space="preserve"> \* MERGEFORMAT </w:instrText>
      </w:r>
      <w:r w:rsidR="00257E93">
        <w:fldChar w:fldCharType="separate"/>
      </w:r>
      <w:r w:rsidR="007E2ACB" w:rsidRPr="007E2ACB">
        <w:t xml:space="preserve">Figure </w:t>
      </w:r>
      <w:r w:rsidR="007E2ACB" w:rsidRPr="007E2ACB">
        <w:rPr>
          <w:noProof/>
        </w:rPr>
        <w:t>3</w:t>
      </w:r>
      <w:r w:rsidR="00257E93">
        <w:fldChar w:fldCharType="end"/>
      </w:r>
      <w:r w:rsidR="00431A59">
        <w:t>)</w:t>
      </w:r>
      <w:r w:rsidR="009D793E">
        <w:t>.</w:t>
      </w:r>
      <w:r w:rsidR="007B2B32">
        <w:t xml:space="preserve"> </w:t>
      </w:r>
      <w:r w:rsidR="00146EC9">
        <w:t>The higher cost of service delivery in PCH in this instance is consistent with paediatrics services in genera</w:t>
      </w:r>
      <w:r w:rsidR="00D42FA6">
        <w:t>l</w:t>
      </w:r>
      <w:r w:rsidR="0023616B">
        <w:t>. D</w:t>
      </w:r>
      <w:r w:rsidR="00CA06C0">
        <w:t xml:space="preserve">espite this, </w:t>
      </w:r>
      <w:r w:rsidR="0023616B">
        <w:t>PCH</w:t>
      </w:r>
      <w:r w:rsidR="009F686F">
        <w:t xml:space="preserve"> the </w:t>
      </w:r>
      <w:r w:rsidR="00C95902">
        <w:t xml:space="preserve">second </w:t>
      </w:r>
      <w:r w:rsidR="009F686F">
        <w:t xml:space="preserve">lowest differential between its highest </w:t>
      </w:r>
      <w:r w:rsidR="00EB56A9">
        <w:t xml:space="preserve">and lowest cost episodes (variance of </w:t>
      </w:r>
      <w:r w:rsidR="00CA06C0">
        <w:t>$</w:t>
      </w:r>
      <w:r w:rsidR="007830EE">
        <w:t>3,654</w:t>
      </w:r>
      <w:r w:rsidR="00CA06C0">
        <w:t xml:space="preserve">) </w:t>
      </w:r>
      <w:r w:rsidR="0023616B">
        <w:t>reflects</w:t>
      </w:r>
      <w:r w:rsidR="00CA06C0">
        <w:t xml:space="preserve"> a relatively consistent service level within this cohort</w:t>
      </w:r>
      <w:r w:rsidR="0023616B">
        <w:t>, noting</w:t>
      </w:r>
      <w:r w:rsidR="004144CE">
        <w:t xml:space="preserve"> however that the lowest cost episode was </w:t>
      </w:r>
      <w:r w:rsidR="00E33207">
        <w:t>the highest across all sample sites ($858)</w:t>
      </w:r>
      <w:r w:rsidR="00CA06C0">
        <w:t xml:space="preserve">. </w:t>
      </w:r>
    </w:p>
    <w:p w14:paraId="4E18CA34" w14:textId="033A626E" w:rsidR="00101F50" w:rsidRDefault="00ED5B68" w:rsidP="00C86F6C">
      <w:pPr>
        <w:jc w:val="both"/>
      </w:pPr>
      <w:r>
        <w:lastRenderedPageBreak/>
        <w:t>A</w:t>
      </w:r>
      <w:r w:rsidR="00D42FA6">
        <w:t xml:space="preserve">s the only children’s hospital selected as a sample site in </w:t>
      </w:r>
      <w:r w:rsidR="00595A9F">
        <w:t>FY20/21</w:t>
      </w:r>
      <w:r w:rsidR="00D42FA6">
        <w:t>, t</w:t>
      </w:r>
      <w:r>
        <w:t>his</w:t>
      </w:r>
      <w:r w:rsidR="00D42FA6">
        <w:t xml:space="preserve"> highlights </w:t>
      </w:r>
      <w:r w:rsidR="00BB53B4">
        <w:t xml:space="preserve">the importance of </w:t>
      </w:r>
      <w:r w:rsidR="00D42FA6">
        <w:t xml:space="preserve">understanding site demographics prior to comparison. </w:t>
      </w:r>
      <w:r w:rsidR="005D7AAA">
        <w:t xml:space="preserve">The average variance between highest and lowest cost episodes across remaining hospitals was </w:t>
      </w:r>
      <w:r w:rsidR="0088031A">
        <w:t xml:space="preserve">$23,214, with Albany Hospital </w:t>
      </w:r>
      <w:r w:rsidR="00952920">
        <w:t xml:space="preserve">having the lowest variance of $1,755. </w:t>
      </w:r>
    </w:p>
    <w:p w14:paraId="626A8A19" w14:textId="4A45ACB4" w:rsidR="006C6D04" w:rsidRDefault="00F6496B" w:rsidP="00F6496B">
      <w:pPr>
        <w:pStyle w:val="Caption"/>
      </w:pPr>
      <w:bookmarkStart w:id="28" w:name="_Ref115084785"/>
      <w:bookmarkStart w:id="29" w:name="_Ref114757758"/>
      <w:r w:rsidRPr="00017473">
        <w:rPr>
          <w:b/>
          <w:bCs/>
        </w:rPr>
        <w:t xml:space="preserve">Figure </w:t>
      </w:r>
      <w:r w:rsidR="00D91CB1" w:rsidRPr="00017473">
        <w:rPr>
          <w:b/>
          <w:bCs/>
        </w:rPr>
        <w:fldChar w:fldCharType="begin"/>
      </w:r>
      <w:r w:rsidR="00D91CB1" w:rsidRPr="00017473">
        <w:rPr>
          <w:b/>
          <w:bCs/>
        </w:rPr>
        <w:instrText xml:space="preserve"> SEQ Figure \* ARABIC </w:instrText>
      </w:r>
      <w:r w:rsidR="00D91CB1" w:rsidRPr="00017473">
        <w:rPr>
          <w:b/>
          <w:bCs/>
        </w:rPr>
        <w:fldChar w:fldCharType="separate"/>
      </w:r>
      <w:r w:rsidR="007E2ACB">
        <w:rPr>
          <w:b/>
          <w:bCs/>
          <w:noProof/>
        </w:rPr>
        <w:t>3</w:t>
      </w:r>
      <w:r w:rsidR="00D91CB1" w:rsidRPr="00017473">
        <w:rPr>
          <w:b/>
          <w:bCs/>
          <w:noProof/>
        </w:rPr>
        <w:fldChar w:fldCharType="end"/>
      </w:r>
      <w:bookmarkEnd w:id="28"/>
      <w:r w:rsidR="006C6D04" w:rsidRPr="00017473">
        <w:rPr>
          <w:b/>
          <w:bCs/>
        </w:rPr>
        <w:t>:</w:t>
      </w:r>
      <w:r w:rsidR="006C6D04">
        <w:t xml:space="preserve"> </w:t>
      </w:r>
      <w:bookmarkEnd w:id="29"/>
      <w:r w:rsidR="001F5725">
        <w:t xml:space="preserve">Average cost and </w:t>
      </w:r>
      <w:r w:rsidR="002F22F9">
        <w:t>activity for FY20/21 IFR haemodialysis, by jurisdiction and sample site</w:t>
      </w:r>
    </w:p>
    <w:p w14:paraId="25650E37" w14:textId="083C6049" w:rsidR="002F22F9" w:rsidRPr="002F22F9" w:rsidRDefault="00C93763" w:rsidP="002F22F9">
      <w:r>
        <w:rPr>
          <w:noProof/>
        </w:rPr>
        <w:drawing>
          <wp:inline distT="0" distB="0" distL="0" distR="0" wp14:anchorId="0F468127" wp14:editId="2837AE1C">
            <wp:extent cx="5759450" cy="3267075"/>
            <wp:effectExtent l="0" t="0" r="0" b="0"/>
            <wp:docPr id="37" name="Chart 37" descr="The figure shows average cost and activity for haemodialysis services using a combination chart for each hospital/health service with a line for average costs overlayed with a column for activity.">
              <a:extLst xmlns:a="http://schemas.openxmlformats.org/drawingml/2006/main">
                <a:ext uri="{FF2B5EF4-FFF2-40B4-BE49-F238E27FC236}">
                  <a16:creationId xmlns:a16="http://schemas.microsoft.com/office/drawing/2014/main" id="{3D73375E-2EF1-4926-A751-E44707412C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86040AA" w14:textId="7D285EEC" w:rsidR="00251F8A" w:rsidRPr="00630A55" w:rsidRDefault="00251F8A" w:rsidP="00251F8A">
      <w:pPr>
        <w:pStyle w:val="Source"/>
      </w:pPr>
      <w:bookmarkStart w:id="30" w:name="_Ref114577140"/>
      <w:bookmarkStart w:id="31" w:name="_Ref114757742"/>
      <w:r w:rsidRPr="00630A55">
        <w:t xml:space="preserve">Source: Jurisdictional consultations and </w:t>
      </w:r>
      <w:r>
        <w:t>templates</w:t>
      </w:r>
    </w:p>
    <w:p w14:paraId="3A68A20B" w14:textId="2D0E0343" w:rsidR="00EC5407" w:rsidRDefault="00EC5407" w:rsidP="003E3232">
      <w:pPr>
        <w:jc w:val="both"/>
      </w:pPr>
      <w:r>
        <w:t xml:space="preserve">Comparisons of proportional direct and indirect costs (see </w:t>
      </w:r>
      <w:r w:rsidR="00C93763">
        <w:rPr>
          <w:b/>
          <w:bCs/>
        </w:rPr>
        <w:fldChar w:fldCharType="begin"/>
      </w:r>
      <w:r w:rsidR="00C93763" w:rsidRPr="008147A6">
        <w:rPr>
          <w:b/>
          <w:bCs/>
        </w:rPr>
        <w:instrText xml:space="preserve"> REF _Ref115084477 \h </w:instrText>
      </w:r>
      <w:r w:rsidR="003E3232" w:rsidRPr="008147A6">
        <w:rPr>
          <w:b/>
          <w:bCs/>
        </w:rPr>
        <w:instrText xml:space="preserve"> \* MERGEFORMAT </w:instrText>
      </w:r>
      <w:r w:rsidR="00C93763">
        <w:rPr>
          <w:b/>
          <w:bCs/>
        </w:rPr>
      </w:r>
      <w:r w:rsidR="00C93763">
        <w:rPr>
          <w:b/>
          <w:bCs/>
        </w:rPr>
        <w:fldChar w:fldCharType="separate"/>
      </w:r>
      <w:r w:rsidR="007E2ACB" w:rsidRPr="007E2ACB">
        <w:t xml:space="preserve">Figure </w:t>
      </w:r>
      <w:r w:rsidR="007E2ACB" w:rsidRPr="007E2ACB">
        <w:rPr>
          <w:noProof/>
        </w:rPr>
        <w:t>4</w:t>
      </w:r>
      <w:r w:rsidR="00C93763">
        <w:fldChar w:fldCharType="end"/>
      </w:r>
      <w:r>
        <w:t>) across sample sites highlighted a consistency of costing allocations across higher volume jurisdictions (i.e.</w:t>
      </w:r>
      <w:r w:rsidR="00A700CA">
        <w:t> </w:t>
      </w:r>
      <w:r>
        <w:t xml:space="preserve">Queensland and Victoria). </w:t>
      </w:r>
    </w:p>
    <w:p w14:paraId="386E3B96" w14:textId="214AA56E" w:rsidR="00835E1E" w:rsidRDefault="00DE24D7" w:rsidP="00835E1E">
      <w:pPr>
        <w:pStyle w:val="Caption"/>
        <w:rPr>
          <w:noProof/>
        </w:rPr>
      </w:pPr>
      <w:bookmarkStart w:id="32" w:name="_Ref115084477"/>
      <w:r w:rsidRPr="00017473">
        <w:rPr>
          <w:b/>
          <w:bCs/>
        </w:rPr>
        <w:t xml:space="preserve">Figure </w:t>
      </w:r>
      <w:r w:rsidR="00D91CB1" w:rsidRPr="00017473">
        <w:rPr>
          <w:b/>
          <w:bCs/>
        </w:rPr>
        <w:fldChar w:fldCharType="begin"/>
      </w:r>
      <w:r w:rsidR="00D91CB1" w:rsidRPr="00017473">
        <w:rPr>
          <w:b/>
          <w:bCs/>
        </w:rPr>
        <w:instrText xml:space="preserve"> SEQ Figure \* ARABIC </w:instrText>
      </w:r>
      <w:r w:rsidR="00D91CB1" w:rsidRPr="00017473">
        <w:rPr>
          <w:b/>
          <w:bCs/>
        </w:rPr>
        <w:fldChar w:fldCharType="separate"/>
      </w:r>
      <w:r w:rsidR="007E2ACB">
        <w:rPr>
          <w:b/>
          <w:bCs/>
          <w:noProof/>
        </w:rPr>
        <w:t>4</w:t>
      </w:r>
      <w:r w:rsidR="00D91CB1" w:rsidRPr="00017473">
        <w:rPr>
          <w:b/>
          <w:bCs/>
          <w:noProof/>
        </w:rPr>
        <w:fldChar w:fldCharType="end"/>
      </w:r>
      <w:bookmarkEnd w:id="30"/>
      <w:bookmarkEnd w:id="32"/>
      <w:r w:rsidRPr="00017473">
        <w:rPr>
          <w:b/>
          <w:bCs/>
        </w:rPr>
        <w:t>:</w:t>
      </w:r>
      <w:r>
        <w:t xml:space="preserve"> </w:t>
      </w:r>
      <w:r w:rsidR="00595A9F">
        <w:t>FY20/21</w:t>
      </w:r>
      <w:r>
        <w:t xml:space="preserve"> IFR </w:t>
      </w:r>
      <w:r w:rsidR="00551FF2">
        <w:t>direct and indirect proportional costs for haemodialysis, by jurisdiction and sample site.</w:t>
      </w:r>
      <w:bookmarkEnd w:id="31"/>
      <w:r w:rsidR="00551FF2">
        <w:t xml:space="preserve"> </w:t>
      </w:r>
    </w:p>
    <w:p w14:paraId="70EBD78B" w14:textId="231A063E" w:rsidR="00DE24D7" w:rsidRDefault="00835E1E" w:rsidP="00835E1E">
      <w:pPr>
        <w:pStyle w:val="Caption"/>
        <w:jc w:val="center"/>
      </w:pPr>
      <w:r w:rsidRPr="00630A55">
        <w:rPr>
          <w:noProof/>
        </w:rPr>
        <w:drawing>
          <wp:inline distT="0" distB="0" distL="0" distR="0" wp14:anchorId="2154AFEB" wp14:editId="3A5B48AA">
            <wp:extent cx="5410200" cy="2813050"/>
            <wp:effectExtent l="0" t="0" r="0" b="6350"/>
            <wp:docPr id="10" name="Chart 10" descr="A 100% stacked column chart showing the proportion split between direct and indirect costs for haemodialysis for each health service.">
              <a:extLst xmlns:a="http://schemas.openxmlformats.org/drawingml/2006/main">
                <a:ext uri="{FF2B5EF4-FFF2-40B4-BE49-F238E27FC236}">
                  <a16:creationId xmlns:a16="http://schemas.microsoft.com/office/drawing/2014/main" id="{9F8BB14C-4897-4B89-A029-6C30E0E25F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3F6F0FE" w14:textId="37A391BC" w:rsidR="00835E1E" w:rsidRPr="00630A55" w:rsidRDefault="00835E1E" w:rsidP="00835E1E">
      <w:pPr>
        <w:pStyle w:val="Source"/>
      </w:pPr>
      <w:r w:rsidRPr="00630A55">
        <w:t xml:space="preserve">Source: Jurisdictional consultations and </w:t>
      </w:r>
      <w:r>
        <w:t>templates</w:t>
      </w:r>
    </w:p>
    <w:p w14:paraId="3B61462B" w14:textId="7C35BFD4" w:rsidR="00AD2B8F" w:rsidRDefault="00AD2B8F" w:rsidP="00954D6A">
      <w:pPr>
        <w:pStyle w:val="Heading3"/>
      </w:pPr>
      <w:r w:rsidRPr="00630A55">
        <w:lastRenderedPageBreak/>
        <w:t xml:space="preserve">Haemodialysis </w:t>
      </w:r>
      <w:r>
        <w:t xml:space="preserve">jurisdictional </w:t>
      </w:r>
      <w:r w:rsidRPr="00630A55">
        <w:t>summar</w:t>
      </w:r>
      <w:r>
        <w:t>ies</w:t>
      </w:r>
    </w:p>
    <w:p w14:paraId="5168D83B" w14:textId="12291647" w:rsidR="008C58F3" w:rsidRDefault="00E3334D" w:rsidP="003E3232">
      <w:pPr>
        <w:pStyle w:val="BodyText"/>
      </w:pPr>
      <w:r w:rsidRPr="00630A55">
        <w:t>The following provides an overview of the service models and costing methods highlighted</w:t>
      </w:r>
      <w:r w:rsidR="00DD6E17" w:rsidRPr="00630A55">
        <w:t xml:space="preserve">, and comparison of key metrics to </w:t>
      </w:r>
      <w:r w:rsidR="00595A9F">
        <w:t>FY19/20</w:t>
      </w:r>
      <w:r w:rsidR="00DD6E17" w:rsidRPr="00630A55">
        <w:t>,</w:t>
      </w:r>
      <w:r w:rsidRPr="00630A55">
        <w:t xml:space="preserve"> by each of the sampled sites. </w:t>
      </w:r>
    </w:p>
    <w:p w14:paraId="223212FB" w14:textId="629D8174" w:rsidR="00E3334D" w:rsidRPr="00630A55" w:rsidRDefault="00C05BA5" w:rsidP="00C05BA5">
      <w:pPr>
        <w:pStyle w:val="Heading4"/>
      </w:pPr>
      <w:r w:rsidRPr="00630A55">
        <w:t>Australian Capital Territory</w:t>
      </w:r>
    </w:p>
    <w:p w14:paraId="4F7C1AED" w14:textId="0FF2DEFB" w:rsidR="00C05BA5" w:rsidRPr="00122F9B" w:rsidRDefault="00C05BA5" w:rsidP="00C05BA5">
      <w:pPr>
        <w:pStyle w:val="Heading5"/>
      </w:pPr>
      <w:r w:rsidRPr="00122F9B">
        <w:t>Canberra Hospital</w:t>
      </w:r>
    </w:p>
    <w:p w14:paraId="5898AE4B" w14:textId="411BC2F4" w:rsidR="0080074A" w:rsidRDefault="0074361D" w:rsidP="003E3232">
      <w:pPr>
        <w:pStyle w:val="BodyText"/>
      </w:pPr>
      <w:r>
        <w:t>Canberra Hospital</w:t>
      </w:r>
      <w:r w:rsidR="0080074A">
        <w:t xml:space="preserve"> (CH)</w:t>
      </w:r>
      <w:r>
        <w:t xml:space="preserve"> provides in-house dialysis</w:t>
      </w:r>
      <w:r w:rsidR="00412235">
        <w:t xml:space="preserve"> services</w:t>
      </w:r>
      <w:r>
        <w:t xml:space="preserve"> for all ACT patients</w:t>
      </w:r>
      <w:r w:rsidR="00122F9B">
        <w:t>, as well as those in neighbouring NSW communities – constituting 25</w:t>
      </w:r>
      <w:r w:rsidR="009007DA">
        <w:t> per cent</w:t>
      </w:r>
      <w:r w:rsidR="00122F9B">
        <w:t xml:space="preserve"> of inpatients. In </w:t>
      </w:r>
      <w:r w:rsidR="00595A9F">
        <w:t>FY20/21</w:t>
      </w:r>
      <w:r w:rsidR="009007DA">
        <w:t>,</w:t>
      </w:r>
      <w:r w:rsidR="00122F9B">
        <w:t xml:space="preserve"> </w:t>
      </w:r>
      <w:r w:rsidR="00710D0C">
        <w:t>Canberra Hospital (</w:t>
      </w:r>
      <w:r w:rsidR="00122F9B">
        <w:t>CH</w:t>
      </w:r>
      <w:r w:rsidR="00710D0C">
        <w:t>)</w:t>
      </w:r>
      <w:r w:rsidR="00122F9B">
        <w:t xml:space="preserve"> registered total activity of</w:t>
      </w:r>
      <w:r w:rsidR="00D26AEA">
        <w:t xml:space="preserve"> </w:t>
      </w:r>
      <w:r w:rsidR="00AB2D8F">
        <w:t>21</w:t>
      </w:r>
      <w:r w:rsidR="006B7956">
        <w:t>,396</w:t>
      </w:r>
      <w:r w:rsidR="000C77B9">
        <w:t xml:space="preserve"> with an average cost of $481, representing a </w:t>
      </w:r>
      <w:r w:rsidR="008A24DC">
        <w:t>9.2</w:t>
      </w:r>
      <w:r w:rsidR="009007DA">
        <w:t> per cent</w:t>
      </w:r>
      <w:r w:rsidR="008A24DC">
        <w:t xml:space="preserve"> increase in average cost from </w:t>
      </w:r>
      <w:r w:rsidR="00595A9F">
        <w:t>FY19/20</w:t>
      </w:r>
      <w:r w:rsidR="008A24DC">
        <w:t xml:space="preserve"> with a 2.5</w:t>
      </w:r>
      <w:r w:rsidR="009007DA">
        <w:t> per cent</w:t>
      </w:r>
      <w:r w:rsidR="008A24DC">
        <w:t xml:space="preserve"> increase in activity.</w:t>
      </w:r>
      <w:r w:rsidR="004B0587">
        <w:t xml:space="preserve"> </w:t>
      </w:r>
      <w:r w:rsidR="0080074A">
        <w:t xml:space="preserve">Medical oncology services are provided as outpatients within CH </w:t>
      </w:r>
      <w:r w:rsidR="008462C1">
        <w:t>that</w:t>
      </w:r>
      <w:r w:rsidR="0080074A">
        <w:t xml:space="preserve"> explains the lower average costs and overall activity when compared with other jurisdictions. </w:t>
      </w:r>
    </w:p>
    <w:p w14:paraId="7361062B" w14:textId="0D4030DD" w:rsidR="00C05BA5" w:rsidRDefault="00CC0245" w:rsidP="003E3232">
      <w:pPr>
        <w:pStyle w:val="BodyText"/>
      </w:pPr>
      <w:r>
        <w:t>Th</w:t>
      </w:r>
      <w:r w:rsidR="0080074A">
        <w:t>e year-on-year</w:t>
      </w:r>
      <w:r>
        <w:t xml:space="preserve"> increase</w:t>
      </w:r>
      <w:r w:rsidR="0080074A">
        <w:t xml:space="preserve"> in average cost within CH</w:t>
      </w:r>
      <w:r>
        <w:t xml:space="preserve"> was explained </w:t>
      </w:r>
      <w:r w:rsidR="00B7217A">
        <w:t>by</w:t>
      </w:r>
      <w:r>
        <w:t xml:space="preserve"> increased medical salaries and wages</w:t>
      </w:r>
      <w:r w:rsidR="00B7217A">
        <w:t xml:space="preserve"> costs</w:t>
      </w:r>
      <w:r>
        <w:t xml:space="preserve"> (194.5</w:t>
      </w:r>
      <w:r w:rsidR="009007DA">
        <w:t> per cent</w:t>
      </w:r>
      <w:r>
        <w:t xml:space="preserve"> increase on </w:t>
      </w:r>
      <w:r w:rsidR="00595A9F">
        <w:t>FY19/20</w:t>
      </w:r>
      <w:r>
        <w:t xml:space="preserve"> figures)</w:t>
      </w:r>
      <w:r w:rsidR="00D740C9">
        <w:t>. Non-</w:t>
      </w:r>
      <w:r w:rsidR="000940E7" w:rsidRPr="00630A55">
        <w:t>Pharmacy Benefit Schedule</w:t>
      </w:r>
      <w:r w:rsidR="000940E7">
        <w:t xml:space="preserve"> (</w:t>
      </w:r>
      <w:r w:rsidR="00D740C9">
        <w:t>PBS</w:t>
      </w:r>
      <w:r w:rsidR="000940E7">
        <w:t>)</w:t>
      </w:r>
      <w:r w:rsidR="00D740C9">
        <w:t xml:space="preserve"> drug costs decreased in </w:t>
      </w:r>
      <w:r w:rsidR="00595A9F">
        <w:t>FY20/21</w:t>
      </w:r>
      <w:r w:rsidR="00D740C9">
        <w:t xml:space="preserve"> by 30</w:t>
      </w:r>
      <w:r w:rsidR="009007DA">
        <w:t> per cent</w:t>
      </w:r>
      <w:r w:rsidR="005B683F">
        <w:t xml:space="preserve">. </w:t>
      </w:r>
    </w:p>
    <w:p w14:paraId="41C59173" w14:textId="451E6275" w:rsidR="00C05BA5" w:rsidRPr="00630A55" w:rsidRDefault="00C05BA5" w:rsidP="00C05BA5">
      <w:pPr>
        <w:pStyle w:val="Heading4"/>
      </w:pPr>
      <w:r w:rsidRPr="00630A55">
        <w:t>Northern Territory</w:t>
      </w:r>
    </w:p>
    <w:p w14:paraId="5369D25A" w14:textId="515E4907" w:rsidR="00C05BA5" w:rsidRPr="00630A55" w:rsidRDefault="00C05BA5" w:rsidP="00C05BA5">
      <w:pPr>
        <w:pStyle w:val="Heading5"/>
      </w:pPr>
      <w:r w:rsidRPr="00630A55">
        <w:t>Alice Springs Hospital</w:t>
      </w:r>
    </w:p>
    <w:p w14:paraId="41BCD195" w14:textId="2ED22A52" w:rsidR="005909D0" w:rsidRPr="009A42FD" w:rsidRDefault="009F6D59" w:rsidP="003E3232">
      <w:pPr>
        <w:pStyle w:val="BodyText"/>
      </w:pPr>
      <w:r w:rsidRPr="00630A55">
        <w:t xml:space="preserve">Haemodialysis is a critical service across the </w:t>
      </w:r>
      <w:r w:rsidR="00710D0C" w:rsidRPr="00630A55">
        <w:t xml:space="preserve">Alice Springs Hospital </w:t>
      </w:r>
      <w:r w:rsidR="00710D0C">
        <w:t>(</w:t>
      </w:r>
      <w:r w:rsidRPr="00630A55">
        <w:t>ASH</w:t>
      </w:r>
      <w:r w:rsidR="00710D0C">
        <w:t>)</w:t>
      </w:r>
      <w:r w:rsidRPr="00630A55">
        <w:t xml:space="preserve"> catchment area where kidney disease is prevalent across remote </w:t>
      </w:r>
      <w:r w:rsidR="004A32ED">
        <w:t>geographical regions</w:t>
      </w:r>
      <w:r w:rsidRPr="00630A55">
        <w:t xml:space="preserve">. </w:t>
      </w:r>
      <w:r w:rsidR="005909D0" w:rsidRPr="00630A55">
        <w:t xml:space="preserve">The </w:t>
      </w:r>
      <w:r w:rsidR="00411348" w:rsidRPr="00630A55">
        <w:t>h</w:t>
      </w:r>
      <w:r w:rsidR="005909D0" w:rsidRPr="00630A55">
        <w:t>aemodialysis process is complicated as</w:t>
      </w:r>
      <w:r w:rsidR="00995623">
        <w:t>,</w:t>
      </w:r>
      <w:r w:rsidR="005909D0" w:rsidRPr="00630A55">
        <w:t xml:space="preserve"> over time</w:t>
      </w:r>
      <w:r w:rsidR="00995623">
        <w:t>,</w:t>
      </w:r>
      <w:r w:rsidR="005909D0" w:rsidRPr="00630A55">
        <w:t xml:space="preserve"> the system keeps adding services and expansions. ASH has 70 chairs in </w:t>
      </w:r>
      <w:r w:rsidR="00C86F6C" w:rsidRPr="00630A55">
        <w:t>total,</w:t>
      </w:r>
      <w:r w:rsidR="005909D0" w:rsidRPr="00630A55">
        <w:t xml:space="preserve"> but </w:t>
      </w:r>
      <w:r w:rsidR="00995623">
        <w:t xml:space="preserve">these are </w:t>
      </w:r>
      <w:r w:rsidR="005909D0" w:rsidRPr="00630A55">
        <w:t>spread over numerous facilities with different operating models</w:t>
      </w:r>
      <w:r w:rsidR="00995623">
        <w:t>,</w:t>
      </w:r>
      <w:r w:rsidR="005909D0" w:rsidRPr="00630A55">
        <w:t xml:space="preserve"> for example a Kidney Dialysis Unit (KDU) ward in the </w:t>
      </w:r>
      <w:r w:rsidR="007A4A59">
        <w:t>ASH</w:t>
      </w:r>
      <w:r w:rsidR="005909D0" w:rsidRPr="00630A55">
        <w:t xml:space="preserve">. The KDU has </w:t>
      </w:r>
      <w:r w:rsidR="00995623">
        <w:t>eight</w:t>
      </w:r>
      <w:r w:rsidR="005909D0" w:rsidRPr="00630A55">
        <w:t xml:space="preserve"> chairs on </w:t>
      </w:r>
      <w:r w:rsidR="00237676">
        <w:t>the</w:t>
      </w:r>
      <w:r w:rsidR="00237676" w:rsidRPr="00630A55">
        <w:t xml:space="preserve"> </w:t>
      </w:r>
      <w:r w:rsidR="005909D0" w:rsidRPr="00630A55">
        <w:t>ward</w:t>
      </w:r>
      <w:r w:rsidR="00237676">
        <w:t>,</w:t>
      </w:r>
      <w:r w:rsidR="005909D0" w:rsidRPr="00630A55">
        <w:t xml:space="preserve"> </w:t>
      </w:r>
      <w:r w:rsidR="00237676">
        <w:t>that</w:t>
      </w:r>
      <w:r w:rsidR="00237676" w:rsidRPr="00630A55">
        <w:t xml:space="preserve"> operates</w:t>
      </w:r>
      <w:r w:rsidR="005909D0" w:rsidRPr="00630A55">
        <w:t xml:space="preserve"> as a dialysis ward for overnight patients but increasingly is an overflow ward for patients </w:t>
      </w:r>
      <w:r w:rsidR="00995623">
        <w:t>who</w:t>
      </w:r>
      <w:r w:rsidR="005909D0" w:rsidRPr="00630A55">
        <w:t xml:space="preserve"> need to be reallocated due to demand. </w:t>
      </w:r>
    </w:p>
    <w:p w14:paraId="4E0A49B8" w14:textId="4C29CE4F" w:rsidR="001B31D0" w:rsidRPr="00630A55" w:rsidRDefault="001B31D0" w:rsidP="003E3232">
      <w:pPr>
        <w:pStyle w:val="BodyText"/>
      </w:pPr>
      <w:r>
        <w:t xml:space="preserve">In </w:t>
      </w:r>
      <w:r w:rsidR="00595A9F">
        <w:t>FY20/21</w:t>
      </w:r>
      <w:r>
        <w:t xml:space="preserve">, ASH registered total activity of </w:t>
      </w:r>
      <w:r w:rsidR="005B77BC">
        <w:t>35,464 with an average cost of $684, representing an 18.3</w:t>
      </w:r>
      <w:r w:rsidR="009007DA">
        <w:t> per cent</w:t>
      </w:r>
      <w:r w:rsidR="005B77BC">
        <w:t xml:space="preserve"> increase </w:t>
      </w:r>
      <w:r w:rsidR="00CC13E8">
        <w:t xml:space="preserve">on average costs from </w:t>
      </w:r>
      <w:r w:rsidR="00595A9F">
        <w:t>FY19/20</w:t>
      </w:r>
      <w:r w:rsidR="00CC13E8">
        <w:t>, with an 0.3</w:t>
      </w:r>
      <w:r w:rsidR="009007DA">
        <w:t> per cent</w:t>
      </w:r>
      <w:r w:rsidR="00CC13E8">
        <w:t xml:space="preserve"> increase in activity. </w:t>
      </w:r>
      <w:r w:rsidR="00052E30">
        <w:t xml:space="preserve">This level of activity is </w:t>
      </w:r>
      <w:r w:rsidR="001D3CF8">
        <w:t>the third highest of all sampled sites</w:t>
      </w:r>
      <w:r w:rsidR="00E87BC8">
        <w:t>, with the two highest representing major metropolitan centres and</w:t>
      </w:r>
      <w:r w:rsidR="00444522">
        <w:t xml:space="preserve"> therefore</w:t>
      </w:r>
      <w:r w:rsidR="00E87BC8">
        <w:t xml:space="preserve"> higher population numbers</w:t>
      </w:r>
      <w:r w:rsidR="00444522">
        <w:t xml:space="preserve">. The increase in </w:t>
      </w:r>
      <w:r w:rsidR="00595A9F">
        <w:t>FY20/21</w:t>
      </w:r>
      <w:r w:rsidR="00B95C27">
        <w:t xml:space="preserve"> cost with only a minor increase in activity may be attributable to more patients dialysing on-country and/or issues with </w:t>
      </w:r>
      <w:r w:rsidR="00FE00BF">
        <w:t xml:space="preserve">data matching </w:t>
      </w:r>
      <w:r w:rsidR="001D4ACD">
        <w:t>th</w:t>
      </w:r>
      <w:r w:rsidR="008D5004">
        <w:t>at</w:t>
      </w:r>
      <w:r w:rsidR="001D4ACD">
        <w:t xml:space="preserve"> </w:t>
      </w:r>
      <w:r w:rsidR="00FE00BF">
        <w:t xml:space="preserve">the </w:t>
      </w:r>
      <w:r w:rsidR="007138D9">
        <w:t>C</w:t>
      </w:r>
      <w:r w:rsidR="00FE00BF">
        <w:t xml:space="preserve">osting team are continuing to address. </w:t>
      </w:r>
      <w:r w:rsidR="004166A5">
        <w:t xml:space="preserve">Non-PBS drugs also increased in </w:t>
      </w:r>
      <w:r w:rsidR="00595A9F">
        <w:t>FY20/21</w:t>
      </w:r>
      <w:r w:rsidR="004166A5">
        <w:t>, by 22.6</w:t>
      </w:r>
      <w:r w:rsidR="009007DA">
        <w:t> per cent</w:t>
      </w:r>
      <w:r w:rsidR="00A65051">
        <w:t xml:space="preserve"> on </w:t>
      </w:r>
      <w:r w:rsidR="00595A9F">
        <w:t>FY19/20</w:t>
      </w:r>
      <w:r w:rsidR="00A65051">
        <w:t xml:space="preserve"> figures. </w:t>
      </w:r>
    </w:p>
    <w:p w14:paraId="03C11B1F" w14:textId="2F5778DE" w:rsidR="005909D0" w:rsidRPr="00630A55" w:rsidRDefault="005909D0" w:rsidP="003E3232">
      <w:pPr>
        <w:pStyle w:val="BodyText"/>
      </w:pPr>
      <w:r w:rsidRPr="00630A55">
        <w:t>Demand is</w:t>
      </w:r>
      <w:r w:rsidRPr="00630A55" w:rsidDel="003E3B25">
        <w:t xml:space="preserve"> </w:t>
      </w:r>
      <w:r w:rsidR="003E3B25">
        <w:t>extremely</w:t>
      </w:r>
      <w:r w:rsidRPr="00630A55">
        <w:t xml:space="preserve"> challenging</w:t>
      </w:r>
      <w:r w:rsidR="00296B51">
        <w:t xml:space="preserve"> for</w:t>
      </w:r>
      <w:r w:rsidRPr="00630A55">
        <w:t xml:space="preserve"> supply in the system, hence the need for add-on services and sites such as Flynn Drive which is an inpatient ward (satellite – off campus), managed by ASH clinical specialists with patients treated as admitted acute</w:t>
      </w:r>
      <w:r w:rsidR="00B355AA">
        <w:t>. R</w:t>
      </w:r>
      <w:r w:rsidRPr="00630A55">
        <w:t>ecently</w:t>
      </w:r>
      <w:r w:rsidR="00B355AA">
        <w:t>,</w:t>
      </w:r>
      <w:r w:rsidRPr="00630A55">
        <w:t xml:space="preserve"> the service times have been expanded with an evening shift </w:t>
      </w:r>
      <w:r w:rsidR="00B355AA">
        <w:t>six</w:t>
      </w:r>
      <w:r w:rsidRPr="00630A55">
        <w:t xml:space="preserve"> days a week, </w:t>
      </w:r>
      <w:r w:rsidR="00B355AA">
        <w:t>three</w:t>
      </w:r>
      <w:r w:rsidRPr="00630A55">
        <w:t xml:space="preserve"> rounds in each chair. Gap Road is another satellite ward of </w:t>
      </w:r>
      <w:r w:rsidR="00C86F6C" w:rsidRPr="00630A55">
        <w:t>ASH,</w:t>
      </w:r>
      <w:r w:rsidRPr="00630A55">
        <w:t xml:space="preserve"> but </w:t>
      </w:r>
      <w:r w:rsidR="00B355AA">
        <w:t xml:space="preserve">it </w:t>
      </w:r>
      <w:r w:rsidRPr="00630A55">
        <w:t>is run as an outsource model</w:t>
      </w:r>
      <w:r w:rsidR="00B355AA">
        <w:t>.</w:t>
      </w:r>
      <w:r w:rsidRPr="00630A55">
        <w:t xml:space="preserve"> ASH provide the infrastructure and pay a price per treatment</w:t>
      </w:r>
      <w:r>
        <w:t xml:space="preserve">. </w:t>
      </w:r>
    </w:p>
    <w:p w14:paraId="15CB6270" w14:textId="77777777" w:rsidR="00C86F6C" w:rsidRDefault="005909D0" w:rsidP="003E3232">
      <w:pPr>
        <w:pStyle w:val="BodyText"/>
      </w:pPr>
      <w:r w:rsidRPr="00630A55">
        <w:t>Another operating model is</w:t>
      </w:r>
      <w:r w:rsidR="00BA4477">
        <w:t xml:space="preserve"> an outreach service</w:t>
      </w:r>
      <w:r w:rsidRPr="00630A55">
        <w:t xml:space="preserve"> facilitated by the NGO Purple House</w:t>
      </w:r>
      <w:r w:rsidR="001D4ACD">
        <w:t>,</w:t>
      </w:r>
      <w:r w:rsidRPr="00630A55">
        <w:t xml:space="preserve"> </w:t>
      </w:r>
      <w:r w:rsidR="001D4ACD">
        <w:t>that</w:t>
      </w:r>
      <w:r w:rsidRPr="00630A55">
        <w:t xml:space="preserve"> is culturally focused (mobile dialysis unit, </w:t>
      </w:r>
      <w:r w:rsidR="001D4ACD">
        <w:t>that</w:t>
      </w:r>
      <w:r w:rsidRPr="00630A55">
        <w:t xml:space="preserve"> provides the opportunity for remote </w:t>
      </w:r>
      <w:r w:rsidR="00B355AA">
        <w:t>Indigenous</w:t>
      </w:r>
      <w:r w:rsidRPr="00630A55">
        <w:t xml:space="preserve"> people to be home to country for treatment) and much loved by clients. </w:t>
      </w:r>
      <w:r w:rsidR="00436382">
        <w:t xml:space="preserve">The mobile unit is treated </w:t>
      </w:r>
      <w:r w:rsidR="00AB0619">
        <w:t>as a satellite ward for ASH</w:t>
      </w:r>
      <w:r w:rsidR="00820568">
        <w:t xml:space="preserve">, with patients captured as same-day admissions. </w:t>
      </w:r>
      <w:r w:rsidRPr="00630A55">
        <w:t>With recent changes by the Commonwealth to provide Medicare clinics for remote nursing assisted dialysis, their footprint has increased. For sites within 100kms of Alice Springs, ASH will capture the data as</w:t>
      </w:r>
      <w:r>
        <w:t xml:space="preserve"> </w:t>
      </w:r>
      <w:r w:rsidR="00B355AA" w:rsidRPr="00630A55">
        <w:t>Activity Based Funding</w:t>
      </w:r>
      <w:r w:rsidRPr="00630A55">
        <w:t xml:space="preserve"> </w:t>
      </w:r>
      <w:r w:rsidR="00B355AA">
        <w:t>(</w:t>
      </w:r>
      <w:r w:rsidRPr="00630A55">
        <w:t>ABF</w:t>
      </w:r>
      <w:r w:rsidR="00B355AA">
        <w:t>)</w:t>
      </w:r>
      <w:r w:rsidRPr="00630A55">
        <w:t xml:space="preserve"> and pay a price per treatment and share </w:t>
      </w:r>
      <w:r w:rsidR="0085502E">
        <w:t xml:space="preserve">activity data </w:t>
      </w:r>
      <w:r w:rsidR="003D3DC3">
        <w:t xml:space="preserve">with the respective </w:t>
      </w:r>
      <w:r w:rsidR="0085502E">
        <w:t>teams.</w:t>
      </w:r>
      <w:r w:rsidRPr="00630A55">
        <w:t xml:space="preserve"> </w:t>
      </w:r>
    </w:p>
    <w:p w14:paraId="223A2D82" w14:textId="368C14D1" w:rsidR="005909D0" w:rsidRPr="00630A55" w:rsidRDefault="005909D0" w:rsidP="003E3232">
      <w:pPr>
        <w:pStyle w:val="BodyText"/>
      </w:pPr>
      <w:r w:rsidRPr="00630A55">
        <w:lastRenderedPageBreak/>
        <w:t>Where sites are 100kms further out from Alice Springs, Purple House will bill Medicare direct</w:t>
      </w:r>
      <w:r w:rsidR="00D60468">
        <w:t>ly</w:t>
      </w:r>
      <w:r w:rsidR="003A5298">
        <w:t>.</w:t>
      </w:r>
      <w:r w:rsidRPr="00630A55">
        <w:t xml:space="preserve"> ASH attempt to capture the data so that ASH has visibility of the work. It is clinically important that ASH has visibility of kidney disease prevalence in the region by capturing this data. </w:t>
      </w:r>
    </w:p>
    <w:p w14:paraId="7A5EE148" w14:textId="588E2858" w:rsidR="00EA59DB" w:rsidRPr="00630A55" w:rsidRDefault="00C86F6C" w:rsidP="003E3232">
      <w:pPr>
        <w:pStyle w:val="BodyText"/>
      </w:pPr>
      <w:r w:rsidRPr="00630A55">
        <w:t>Regarding</w:t>
      </w:r>
      <w:r w:rsidR="005909D0" w:rsidRPr="00630A55">
        <w:t xml:space="preserve"> the costing process, all transactions link up through the various feeder systems in addition to specific costing rules in place</w:t>
      </w:r>
      <w:r w:rsidR="003A5298">
        <w:t>,</w:t>
      </w:r>
      <w:r w:rsidR="005909D0" w:rsidRPr="00630A55">
        <w:t xml:space="preserve"> such as a virtual ward not receiving depreciation charges</w:t>
      </w:r>
      <w:r w:rsidR="003A5298">
        <w:t>.</w:t>
      </w:r>
      <w:r w:rsidR="005909D0" w:rsidRPr="00630A55">
        <w:t xml:space="preserve"> </w:t>
      </w:r>
      <w:r w:rsidR="003A5298">
        <w:t>T</w:t>
      </w:r>
      <w:r w:rsidR="005909D0" w:rsidRPr="00630A55">
        <w:t>hese considered practices in the costing process are important given the different business models</w:t>
      </w:r>
      <w:r w:rsidR="005909D0">
        <w:t xml:space="preserve"> </w:t>
      </w:r>
      <w:r w:rsidR="003A5298">
        <w:t>that are</w:t>
      </w:r>
      <w:r w:rsidR="005909D0" w:rsidRPr="00630A55">
        <w:t xml:space="preserve"> in place. Similarly, the </w:t>
      </w:r>
      <w:r w:rsidR="007138D9">
        <w:t>C</w:t>
      </w:r>
      <w:r w:rsidR="005909D0" w:rsidRPr="00630A55">
        <w:t xml:space="preserve">oding team at ASH have a considered process for </w:t>
      </w:r>
      <w:r w:rsidR="003A5298">
        <w:t>h</w:t>
      </w:r>
      <w:r w:rsidR="005909D0" w:rsidRPr="00630A55">
        <w:t xml:space="preserve">aemodialysis such as adding specific codes to account for Allied Health or </w:t>
      </w:r>
      <w:r w:rsidR="003A5298">
        <w:t>m</w:t>
      </w:r>
      <w:r w:rsidR="005909D0" w:rsidRPr="00630A55">
        <w:t xml:space="preserve">edical support to patients </w:t>
      </w:r>
      <w:r w:rsidR="00104213">
        <w:t xml:space="preserve">receiving service </w:t>
      </w:r>
      <w:r w:rsidR="005909D0" w:rsidRPr="00630A55">
        <w:t>in</w:t>
      </w:r>
      <w:r w:rsidR="00104213">
        <w:t>-</w:t>
      </w:r>
      <w:r w:rsidR="005909D0" w:rsidRPr="00630A55">
        <w:t xml:space="preserve">chair. Patient travel is a </w:t>
      </w:r>
      <w:r w:rsidR="007930D3">
        <w:t>large</w:t>
      </w:r>
      <w:r w:rsidR="007930D3" w:rsidRPr="00630A55">
        <w:t xml:space="preserve"> </w:t>
      </w:r>
      <w:r w:rsidR="005909D0" w:rsidRPr="00630A55">
        <w:t>component of the work undertaken in the NT and this has increased recently through a few high-cost retrievals, where they were dialysing on country however had to be evacuated and brought into ASH. Having the ability to identify and allocate these costs signifies an improvement in how the linking of those retrieval costs has improved.</w:t>
      </w:r>
    </w:p>
    <w:p w14:paraId="1B189F4F" w14:textId="2CC28498" w:rsidR="00C05BA5" w:rsidRPr="00630A55" w:rsidRDefault="00C05BA5" w:rsidP="00C05BA5">
      <w:pPr>
        <w:pStyle w:val="Heading4"/>
      </w:pPr>
      <w:r w:rsidRPr="00630A55">
        <w:t>Queensland</w:t>
      </w:r>
    </w:p>
    <w:p w14:paraId="1AA458F1" w14:textId="1F0E9B36" w:rsidR="00C05BA5" w:rsidRPr="00FF39B5" w:rsidRDefault="00C05BA5" w:rsidP="00C05BA5">
      <w:pPr>
        <w:pStyle w:val="Heading5"/>
      </w:pPr>
      <w:r w:rsidRPr="00FF39B5">
        <w:t>Central Queensland</w:t>
      </w:r>
      <w:r w:rsidR="00D42680">
        <w:t xml:space="preserve"> Hospital and</w:t>
      </w:r>
      <w:r w:rsidRPr="00FF39B5">
        <w:t xml:space="preserve"> Health Service</w:t>
      </w:r>
    </w:p>
    <w:p w14:paraId="06DE6965" w14:textId="17187B72" w:rsidR="00DA3EE2" w:rsidRDefault="00DA3EE2" w:rsidP="003E3232">
      <w:pPr>
        <w:pStyle w:val="BodyText"/>
      </w:pPr>
      <w:r>
        <w:t xml:space="preserve">Central Queensland </w:t>
      </w:r>
      <w:r w:rsidR="00896569">
        <w:t xml:space="preserve">Hospital and </w:t>
      </w:r>
      <w:r>
        <w:t>Health Service (CQHHS) provides in-house haemodialysis service</w:t>
      </w:r>
      <w:r w:rsidR="00412235">
        <w:t>s</w:t>
      </w:r>
      <w:r>
        <w:t xml:space="preserve"> from Monday to Friday, with occasional weekend shifts – fully managed by the hospital and health services (HHS). In </w:t>
      </w:r>
      <w:r w:rsidR="00595A9F">
        <w:t>FY20/21</w:t>
      </w:r>
      <w:r>
        <w:t xml:space="preserve">, CQHHS registered total activity of 13,033 with an average cost of $725, </w:t>
      </w:r>
      <w:r w:rsidR="001D4ACD">
        <w:t>that</w:t>
      </w:r>
      <w:r>
        <w:t xml:space="preserve"> was an increase of 8.3 per cent on </w:t>
      </w:r>
      <w:r w:rsidR="00595A9F">
        <w:t>FY19/20</w:t>
      </w:r>
      <w:r>
        <w:t xml:space="preserve"> average cost from an increase of 3.9 per cent in activity. Some of this increase was underpinned by increases in medical supplies (MS), </w:t>
      </w:r>
      <w:r w:rsidR="001D4ACD">
        <w:t>that</w:t>
      </w:r>
      <w:r>
        <w:t xml:space="preserve"> increased by 45 per cent from </w:t>
      </w:r>
      <w:r w:rsidR="00595A9F">
        <w:t>FY19/20</w:t>
      </w:r>
      <w:r>
        <w:t xml:space="preserve">. PBS and non-PBS drugs also increased by 7.3 per cent in </w:t>
      </w:r>
      <w:r w:rsidR="00595A9F">
        <w:t>FY20/21</w:t>
      </w:r>
      <w:r>
        <w:t xml:space="preserve">. </w:t>
      </w:r>
    </w:p>
    <w:p w14:paraId="06A90052" w14:textId="25DFCF92" w:rsidR="00DA3EE2" w:rsidRDefault="00DA3EE2" w:rsidP="003E3232">
      <w:pPr>
        <w:pStyle w:val="BodyText"/>
      </w:pPr>
      <w:r>
        <w:t xml:space="preserve">CQHHS flagged that very low-cost episodes reflect some data quality errors relating to pharmacy return misalignments </w:t>
      </w:r>
      <w:r w:rsidR="001D4ACD">
        <w:t>that</w:t>
      </w:r>
      <w:r>
        <w:t xml:space="preserve"> were not statistically significant.</w:t>
      </w:r>
      <w:r w:rsidR="00C86F6C">
        <w:t xml:space="preserve"> </w:t>
      </w:r>
      <w:r>
        <w:t xml:space="preserve">CQHHS highlighted that the significant variances between some year-on-year line items for haemodialysis was attributable to reclassification of account codes from salary and wages to improve the accuracy on costing designations. </w:t>
      </w:r>
    </w:p>
    <w:p w14:paraId="2EAEE847" w14:textId="2681FF85" w:rsidR="00C05BA5" w:rsidRPr="00630A55" w:rsidRDefault="00C05BA5" w:rsidP="00085947">
      <w:pPr>
        <w:pStyle w:val="Heading5"/>
        <w:rPr>
          <w:rFonts w:ascii="Univers 45 Light" w:hAnsi="Univers 45 Light"/>
          <w:b w:val="0"/>
        </w:rPr>
      </w:pPr>
      <w:r w:rsidRPr="008249DF">
        <w:t>Mackay</w:t>
      </w:r>
      <w:r w:rsidR="00D42680">
        <w:t xml:space="preserve"> Hospital and</w:t>
      </w:r>
      <w:r w:rsidRPr="008249DF">
        <w:t xml:space="preserve"> Health Service</w:t>
      </w:r>
    </w:p>
    <w:p w14:paraId="314936F3" w14:textId="17F8A65F" w:rsidR="00824B13" w:rsidRDefault="00824B13" w:rsidP="003E3232">
      <w:pPr>
        <w:pStyle w:val="BodyText"/>
      </w:pPr>
      <w:r>
        <w:t xml:space="preserve">Mackay </w:t>
      </w:r>
      <w:r w:rsidR="00452CF9">
        <w:t>Hospital and</w:t>
      </w:r>
      <w:r>
        <w:t xml:space="preserve"> Health Service (MHHS) provides in-house haemodialysis services. In </w:t>
      </w:r>
      <w:r w:rsidR="00595A9F">
        <w:t>FY20/21</w:t>
      </w:r>
      <w:r>
        <w:t xml:space="preserve">, MHHS registered total activity of 9,875 with an average cost of $762, </w:t>
      </w:r>
      <w:r w:rsidR="001D4ACD">
        <w:t>that</w:t>
      </w:r>
      <w:r>
        <w:t xml:space="preserve"> represented a 9.2 per cent decrease on </w:t>
      </w:r>
      <w:r w:rsidR="00595A9F">
        <w:t>FY19/20</w:t>
      </w:r>
      <w:r>
        <w:t xml:space="preserve"> average costs amidst a 14.6 per cent increase in activity. PBS and non</w:t>
      </w:r>
      <w:r w:rsidR="00A700CA">
        <w:noBreakHyphen/>
      </w:r>
      <w:r>
        <w:t xml:space="preserve">PBS drug costs increased in </w:t>
      </w:r>
      <w:r w:rsidR="00595A9F">
        <w:t>FY20/21</w:t>
      </w:r>
      <w:r>
        <w:t xml:space="preserve"> by 22 per cent, with imaging costs also increasing by 1</w:t>
      </w:r>
      <w:r w:rsidR="000F2F6A">
        <w:t>,</w:t>
      </w:r>
      <w:r>
        <w:t xml:space="preserve">155 per cent on </w:t>
      </w:r>
      <w:r w:rsidR="00595A9F">
        <w:t>FY19/20</w:t>
      </w:r>
      <w:r>
        <w:t xml:space="preserve"> figures. </w:t>
      </w:r>
    </w:p>
    <w:p w14:paraId="60CDCF02" w14:textId="66B5BF0E" w:rsidR="00824B13" w:rsidRDefault="00824B13" w:rsidP="003E3232">
      <w:pPr>
        <w:pStyle w:val="BodyText"/>
      </w:pPr>
      <w:r>
        <w:t xml:space="preserve">MHHS flagged that the negative-cost episode reflected a data quality error relating to pharmacy return misalignments </w:t>
      </w:r>
      <w:r w:rsidR="001D4ACD">
        <w:t>that</w:t>
      </w:r>
      <w:r>
        <w:t xml:space="preserve"> were not statistically significant.</w:t>
      </w:r>
    </w:p>
    <w:p w14:paraId="217987F9" w14:textId="5E1ADBFF" w:rsidR="00C05BA5" w:rsidRPr="00630A55" w:rsidRDefault="00C05BA5" w:rsidP="00085947">
      <w:pPr>
        <w:pStyle w:val="Heading5"/>
        <w:rPr>
          <w:rFonts w:ascii="Univers 45 Light" w:hAnsi="Univers 45 Light"/>
          <w:b w:val="0"/>
        </w:rPr>
      </w:pPr>
      <w:r w:rsidRPr="005D02E1">
        <w:t>Metro South Health Service</w:t>
      </w:r>
    </w:p>
    <w:p w14:paraId="023B3E0D" w14:textId="0257DDF4" w:rsidR="002A0659" w:rsidRDefault="002A0659" w:rsidP="003E3232">
      <w:pPr>
        <w:pStyle w:val="BodyText"/>
      </w:pPr>
      <w:r>
        <w:t xml:space="preserve">Metro South </w:t>
      </w:r>
      <w:r w:rsidR="00896569">
        <w:t xml:space="preserve">Hospital and </w:t>
      </w:r>
      <w:r>
        <w:t xml:space="preserve">Health Service (MSHHS) provides in-house dialysis services across its hospital sites, the majority of which run 24/7. In </w:t>
      </w:r>
      <w:r w:rsidR="00595A9F">
        <w:t>FY20/21</w:t>
      </w:r>
      <w:r>
        <w:t xml:space="preserve">, MSHHS registered total activity of 40,373 at an average cost of $681, </w:t>
      </w:r>
      <w:r w:rsidR="001D4ACD">
        <w:t>that</w:t>
      </w:r>
      <w:r>
        <w:t xml:space="preserve"> represents a 7.6 per cent decrease in average cost from </w:t>
      </w:r>
      <w:r w:rsidR="00595A9F">
        <w:t>FY19/20</w:t>
      </w:r>
      <w:r>
        <w:t xml:space="preserve"> amidst a 7.7 per cent increase in activity. </w:t>
      </w:r>
    </w:p>
    <w:p w14:paraId="35C81E30" w14:textId="6518A34B" w:rsidR="002A0659" w:rsidRDefault="002A0659" w:rsidP="003E3232">
      <w:pPr>
        <w:pStyle w:val="BodyText"/>
      </w:pPr>
      <w:r>
        <w:t xml:space="preserve">The lowest cost episode for MSHHS was $0, </w:t>
      </w:r>
      <w:r w:rsidR="001D4ACD">
        <w:t>that</w:t>
      </w:r>
      <w:r>
        <w:t xml:space="preserve"> might be explained by the linking of records for long-term patients (with low imaging and pathology services) coupled with a data quality error relating to pharmacy return misalignments </w:t>
      </w:r>
      <w:r w:rsidR="001D4ACD">
        <w:t>that</w:t>
      </w:r>
      <w:r>
        <w:t xml:space="preserve"> were not statistically significant. In contrast, higher costs are explained by expensive renal drugs, as experienced by other Queensland HHSs and other jurisdictions. PBS and non-PBS drug costs increased in </w:t>
      </w:r>
      <w:r w:rsidR="00595A9F">
        <w:t>FY20/21</w:t>
      </w:r>
      <w:r>
        <w:t xml:space="preserve"> by 11.8 per cent. </w:t>
      </w:r>
    </w:p>
    <w:p w14:paraId="6308CBB4" w14:textId="7A68BEF7" w:rsidR="00C05BA5" w:rsidRPr="00630A55" w:rsidRDefault="00C05BA5" w:rsidP="00C05BA5">
      <w:pPr>
        <w:pStyle w:val="Heading4"/>
      </w:pPr>
      <w:r w:rsidRPr="00630A55">
        <w:lastRenderedPageBreak/>
        <w:t>South Australia</w:t>
      </w:r>
    </w:p>
    <w:p w14:paraId="637B96E0" w14:textId="7DE7E12C" w:rsidR="00C05BA5" w:rsidRPr="00630A55" w:rsidRDefault="006B40E3" w:rsidP="00C05BA5">
      <w:pPr>
        <w:pStyle w:val="Heading5"/>
      </w:pPr>
      <w:r w:rsidRPr="00630A55">
        <w:t xml:space="preserve">Port Augusta </w:t>
      </w:r>
      <w:r w:rsidRPr="0070460B">
        <w:t>Hospital</w:t>
      </w:r>
    </w:p>
    <w:p w14:paraId="0B77184C" w14:textId="02E9FC7B" w:rsidR="007D6CAF" w:rsidRPr="00630A55" w:rsidRDefault="00710D0C" w:rsidP="003E3232">
      <w:pPr>
        <w:pStyle w:val="BodyText"/>
      </w:pPr>
      <w:r w:rsidRPr="00026435">
        <w:t xml:space="preserve">Port Augusta Hospital </w:t>
      </w:r>
      <w:r>
        <w:t>(</w:t>
      </w:r>
      <w:r w:rsidR="007D6CAF" w:rsidRPr="00630A55">
        <w:t>PAH</w:t>
      </w:r>
      <w:r>
        <w:t>)</w:t>
      </w:r>
      <w:r w:rsidR="007D6CAF" w:rsidRPr="00630A55">
        <w:t xml:space="preserve"> has a dedicated haemodialysis ward on the electronic </w:t>
      </w:r>
      <w:r w:rsidR="00494EEF" w:rsidRPr="00630A55">
        <w:t xml:space="preserve">Patient Activity System </w:t>
      </w:r>
      <w:r w:rsidR="00494EEF">
        <w:t>(</w:t>
      </w:r>
      <w:r w:rsidR="007D6CAF" w:rsidRPr="00630A55">
        <w:t>PAS</w:t>
      </w:r>
      <w:r w:rsidR="00494EEF">
        <w:t>)</w:t>
      </w:r>
      <w:r w:rsidR="007D6CAF" w:rsidRPr="00630A55">
        <w:t xml:space="preserve"> system. All services are delivered in-house. It is a high-volume </w:t>
      </w:r>
      <w:r w:rsidR="003A0E86">
        <w:t xml:space="preserve">ward </w:t>
      </w:r>
      <w:r w:rsidR="007D6CAF" w:rsidRPr="00630A55">
        <w:t xml:space="preserve">with up to 3-4 sessions per day and is one of the easiest services to cost due to the </w:t>
      </w:r>
      <w:r w:rsidR="00655B88">
        <w:t>discrete</w:t>
      </w:r>
      <w:r w:rsidR="007D6CAF" w:rsidRPr="00630A55">
        <w:t xml:space="preserve"> nature of services provided. If acute inpatients require dialysis</w:t>
      </w:r>
      <w:r w:rsidR="00655B88">
        <w:t>,</w:t>
      </w:r>
      <w:r w:rsidR="007D6CAF" w:rsidRPr="00630A55">
        <w:t xml:space="preserve"> they will be admitted to the ward (in an inpatient bed, </w:t>
      </w:r>
      <w:r w:rsidR="00655B88">
        <w:t>rather than</w:t>
      </w:r>
      <w:r w:rsidR="007D6CAF" w:rsidRPr="00630A55">
        <w:t xml:space="preserve"> a chair) and the costs will likely to be coded to a different DRG. PAH is currently not tracking inpatient activity in this </w:t>
      </w:r>
      <w:r w:rsidR="00C86F6C" w:rsidRPr="00630A55">
        <w:t>ward;</w:t>
      </w:r>
      <w:r w:rsidR="007D6CAF" w:rsidRPr="00630A55">
        <w:t xml:space="preserve"> however the volume is likely to be immaterial. At PAH, blood costs are allocated based on order date (typically the date of the outpatient consult) and not the service date. </w:t>
      </w:r>
    </w:p>
    <w:p w14:paraId="025EAA8F" w14:textId="7D3D54AD" w:rsidR="001F254E" w:rsidRPr="00630A55" w:rsidRDefault="001F254E" w:rsidP="003E3232">
      <w:pPr>
        <w:pStyle w:val="BodyText"/>
      </w:pPr>
      <w:r w:rsidRPr="00630A55">
        <w:t xml:space="preserve">In </w:t>
      </w:r>
      <w:r w:rsidR="00595A9F">
        <w:t>FY20/21</w:t>
      </w:r>
      <w:r w:rsidRPr="00630A55">
        <w:t xml:space="preserve">, PAH registered total activity of 5,093 with an average cost of $638, </w:t>
      </w:r>
      <w:r w:rsidR="001D4ACD">
        <w:t>that</w:t>
      </w:r>
      <w:r w:rsidRPr="00630A55">
        <w:t xml:space="preserve"> was only marginally higher (2.5</w:t>
      </w:r>
      <w:r w:rsidR="009007DA">
        <w:t> per cent</w:t>
      </w:r>
      <w:r w:rsidRPr="00630A55">
        <w:t xml:space="preserve">) than </w:t>
      </w:r>
      <w:r w:rsidR="00595A9F">
        <w:t>FY19/20</w:t>
      </w:r>
      <w:r w:rsidRPr="00630A55">
        <w:t xml:space="preserve"> average costs</w:t>
      </w:r>
      <w:r>
        <w:t xml:space="preserve"> alongside a 2</w:t>
      </w:r>
      <w:r w:rsidR="009007DA">
        <w:t> per cent</w:t>
      </w:r>
      <w:r>
        <w:t xml:space="preserve"> decrease in activity. Whilst PBS drug costs increased by 17.4</w:t>
      </w:r>
      <w:r w:rsidR="009007DA">
        <w:t> per cent</w:t>
      </w:r>
      <w:r>
        <w:t>, non-PBS drug costs decreased by 7</w:t>
      </w:r>
      <w:r w:rsidR="00EA291F">
        <w:t>7</w:t>
      </w:r>
      <w:r>
        <w:t>.</w:t>
      </w:r>
      <w:r w:rsidR="00EA291F">
        <w:t>7</w:t>
      </w:r>
      <w:r w:rsidR="009007DA">
        <w:t> per cent</w:t>
      </w:r>
      <w:r>
        <w:t>.</w:t>
      </w:r>
    </w:p>
    <w:p w14:paraId="7AD5207A" w14:textId="44251151" w:rsidR="00EA59DB" w:rsidRPr="00630A55" w:rsidRDefault="007D6CAF" w:rsidP="003E3232">
      <w:pPr>
        <w:pStyle w:val="BodyText"/>
      </w:pPr>
      <w:r w:rsidRPr="00630A55">
        <w:t>As highlighted above, SA was the only jurisdiction that refined averaged LOS beyond 1.00</w:t>
      </w:r>
      <w:r w:rsidR="00655B88">
        <w:t> </w:t>
      </w:r>
      <w:r w:rsidRPr="00630A55">
        <w:t>days; at 0.22 days</w:t>
      </w:r>
      <w:r w:rsidR="00655B88">
        <w:t>,</w:t>
      </w:r>
      <w:r w:rsidRPr="00630A55">
        <w:t xml:space="preserve"> this equated to approximately 5.28 hours for haemodialysis services.</w:t>
      </w:r>
    </w:p>
    <w:p w14:paraId="2A87781A" w14:textId="110D6F4F" w:rsidR="006B40E3" w:rsidRPr="00630A55" w:rsidRDefault="006B40E3" w:rsidP="006B40E3">
      <w:pPr>
        <w:pStyle w:val="Heading5"/>
      </w:pPr>
      <w:r w:rsidRPr="00630A55">
        <w:t xml:space="preserve">Lyell </w:t>
      </w:r>
      <w:r w:rsidRPr="005C759B">
        <w:t>McEwin</w:t>
      </w:r>
      <w:r w:rsidRPr="00630A55">
        <w:t xml:space="preserve"> Hospital</w:t>
      </w:r>
    </w:p>
    <w:p w14:paraId="203603CE" w14:textId="45ABE9E8" w:rsidR="00CC3909" w:rsidRPr="00630A55" w:rsidRDefault="00710D0C" w:rsidP="003E3232">
      <w:pPr>
        <w:pStyle w:val="BodyText"/>
      </w:pPr>
      <w:r w:rsidRPr="00026435">
        <w:t xml:space="preserve">Lyell McEwin Hospital </w:t>
      </w:r>
      <w:r>
        <w:t>(</w:t>
      </w:r>
      <w:r w:rsidR="00CC3909" w:rsidRPr="00630A55">
        <w:t>LMH</w:t>
      </w:r>
      <w:r>
        <w:t>)</w:t>
      </w:r>
      <w:r w:rsidR="00CC3909" w:rsidRPr="00630A55">
        <w:t xml:space="preserve"> also has a dedicated haemodialysis ward, with some satellite dialysis arrangements with the Central Adelaide Local Health Network (CALHN). In </w:t>
      </w:r>
      <w:r w:rsidR="00595A9F">
        <w:t>FY20/21</w:t>
      </w:r>
      <w:r w:rsidR="00CC3909" w:rsidRPr="00630A55">
        <w:t xml:space="preserve">, LMH registered total activity of 7,438 at an average cost of $519. This was a slight increase on </w:t>
      </w:r>
      <w:r w:rsidR="00655B88">
        <w:t xml:space="preserve">the </w:t>
      </w:r>
      <w:r w:rsidR="00595A9F">
        <w:t>FY19/20</w:t>
      </w:r>
      <w:r w:rsidR="00CC3909" w:rsidRPr="00630A55">
        <w:t xml:space="preserve"> average cost (average cost of $486), despite only a marginal increase in activity. Medical supplies and</w:t>
      </w:r>
      <w:r w:rsidR="00CC3909" w:rsidRPr="00630A55" w:rsidDel="00A249BA">
        <w:t xml:space="preserve"> </w:t>
      </w:r>
      <w:r w:rsidR="00A249BA">
        <w:t>s</w:t>
      </w:r>
      <w:r w:rsidR="00A249BA" w:rsidRPr="00630A55">
        <w:t xml:space="preserve">alaries </w:t>
      </w:r>
      <w:r w:rsidR="00CC3909" w:rsidRPr="00630A55">
        <w:t xml:space="preserve">and </w:t>
      </w:r>
      <w:r w:rsidR="00A249BA">
        <w:t>w</w:t>
      </w:r>
      <w:r w:rsidR="00A249BA" w:rsidRPr="00630A55">
        <w:t xml:space="preserve">ages </w:t>
      </w:r>
      <w:r w:rsidR="00CC3909" w:rsidRPr="00630A55">
        <w:t>were the highest contributors to this increase</w:t>
      </w:r>
      <w:r w:rsidR="00A249BA">
        <w:t xml:space="preserve">, whilst </w:t>
      </w:r>
      <w:r w:rsidR="00EA291F">
        <w:t>non</w:t>
      </w:r>
      <w:r w:rsidR="00655B88">
        <w:noBreakHyphen/>
      </w:r>
      <w:r w:rsidR="00EA291F">
        <w:t>PBS drugs decreased by 10.8</w:t>
      </w:r>
      <w:r w:rsidR="009007DA">
        <w:t> per cent</w:t>
      </w:r>
      <w:r w:rsidR="00EA291F">
        <w:t>, with PBS drugs increasing by 5.4</w:t>
      </w:r>
      <w:r w:rsidR="009007DA">
        <w:t> per cent</w:t>
      </w:r>
      <w:r w:rsidR="00EA291F">
        <w:t>.</w:t>
      </w:r>
    </w:p>
    <w:p w14:paraId="165A8AB1" w14:textId="34E66849" w:rsidR="006B40E3" w:rsidRPr="00630A55" w:rsidRDefault="00CC3909" w:rsidP="003E3232">
      <w:pPr>
        <w:pStyle w:val="BodyText"/>
      </w:pPr>
      <w:r w:rsidRPr="00630A55">
        <w:t xml:space="preserve">There has been a recent increase in the number of chairs at the in-house facility </w:t>
      </w:r>
      <w:r w:rsidR="001D4ACD">
        <w:t>that</w:t>
      </w:r>
      <w:r w:rsidRPr="00630A55">
        <w:t xml:space="preserve"> will flow through into </w:t>
      </w:r>
      <w:r w:rsidR="00AC2316">
        <w:t>The FY21/22 IFR</w:t>
      </w:r>
      <w:r w:rsidRPr="00630A55">
        <w:t>.</w:t>
      </w:r>
    </w:p>
    <w:p w14:paraId="6F49926E" w14:textId="02362103" w:rsidR="00CC3909" w:rsidRPr="00630A55" w:rsidRDefault="00CC3909" w:rsidP="003E3232">
      <w:pPr>
        <w:pStyle w:val="BodyText"/>
      </w:pPr>
      <w:r w:rsidRPr="00630A55">
        <w:t>As above, SA was able to refine average LOS to less than 1.00 days; at 0.24 days for LMH</w:t>
      </w:r>
      <w:r w:rsidR="00655B88">
        <w:t>,</w:t>
      </w:r>
      <w:r w:rsidRPr="00630A55">
        <w:t xml:space="preserve"> this equate</w:t>
      </w:r>
      <w:r w:rsidR="00655B88">
        <w:t>s</w:t>
      </w:r>
      <w:r w:rsidRPr="00630A55">
        <w:t xml:space="preserve"> to </w:t>
      </w:r>
      <w:r w:rsidR="002F6CE1" w:rsidRPr="00630A55">
        <w:t xml:space="preserve">approximately 5.7 hours and is a small increase on the </w:t>
      </w:r>
      <w:r w:rsidR="00595A9F">
        <w:t>FY19/20</w:t>
      </w:r>
      <w:r w:rsidR="002F6CE1" w:rsidRPr="00630A55">
        <w:t xml:space="preserve"> figure of 0.23</w:t>
      </w:r>
      <w:r w:rsidR="000F2F6A">
        <w:t> </w:t>
      </w:r>
      <w:r w:rsidR="002F6CE1" w:rsidRPr="00630A55">
        <w:t>days (</w:t>
      </w:r>
      <w:r w:rsidR="003C59A0" w:rsidRPr="00630A55">
        <w:t xml:space="preserve">5.5 hours). </w:t>
      </w:r>
    </w:p>
    <w:p w14:paraId="69C86627" w14:textId="1F232600" w:rsidR="006B40E3" w:rsidRPr="00630A55" w:rsidRDefault="006B40E3" w:rsidP="006B40E3">
      <w:pPr>
        <w:pStyle w:val="Heading4"/>
      </w:pPr>
      <w:r w:rsidRPr="00630A55">
        <w:t>Tasmania</w:t>
      </w:r>
    </w:p>
    <w:p w14:paraId="4803DEF4" w14:textId="6CB92D33" w:rsidR="006B40E3" w:rsidRPr="00630A55" w:rsidRDefault="006B40E3" w:rsidP="006B40E3">
      <w:pPr>
        <w:pStyle w:val="Heading5"/>
      </w:pPr>
      <w:r w:rsidRPr="00630A55">
        <w:t>Royal Hobart Hospital</w:t>
      </w:r>
    </w:p>
    <w:p w14:paraId="42550133" w14:textId="0B62C4EA" w:rsidR="00C2493F" w:rsidRDefault="00710D0C" w:rsidP="003E3232">
      <w:pPr>
        <w:pStyle w:val="BodyText"/>
      </w:pPr>
      <w:r w:rsidRPr="00026435">
        <w:t xml:space="preserve">Royal Hobart Hospital </w:t>
      </w:r>
      <w:r>
        <w:t>(</w:t>
      </w:r>
      <w:r w:rsidR="00B75F70">
        <w:t>RHH</w:t>
      </w:r>
      <w:r>
        <w:t>)</w:t>
      </w:r>
      <w:r w:rsidR="00B75F70">
        <w:t xml:space="preserve"> provides in-house dialysis services</w:t>
      </w:r>
      <w:r w:rsidR="00B44727">
        <w:t xml:space="preserve">. Haemodialysis costs are allocated based on the ward in which </w:t>
      </w:r>
      <w:r w:rsidR="009876EC">
        <w:t xml:space="preserve">the service </w:t>
      </w:r>
      <w:r w:rsidR="00B44727">
        <w:t>is delivered, where such wards may deliver a series of other treatments</w:t>
      </w:r>
      <w:r w:rsidR="00655B88">
        <w:t>.</w:t>
      </w:r>
      <w:r w:rsidR="00B44727">
        <w:t xml:space="preserve"> </w:t>
      </w:r>
      <w:r w:rsidR="00655B88">
        <w:t>T</w:t>
      </w:r>
      <w:r w:rsidR="00B44727">
        <w:t>herefore</w:t>
      </w:r>
      <w:r w:rsidR="00655B88">
        <w:t>,</w:t>
      </w:r>
      <w:r w:rsidR="00B44727">
        <w:t xml:space="preserve"> </w:t>
      </w:r>
      <w:r w:rsidR="00983F6E" w:rsidRPr="00983F6E">
        <w:t>costs are allocated to each patient based on their time in the ward and the number of nurses rostered during that time</w:t>
      </w:r>
      <w:r w:rsidR="00B75F70">
        <w:t xml:space="preserve">. In </w:t>
      </w:r>
      <w:r w:rsidR="00595A9F">
        <w:t>FY20/21</w:t>
      </w:r>
      <w:r w:rsidR="00B75F70">
        <w:t>, RHH registered total activity of 11,414 at an average cost of $900, representing a 1.5</w:t>
      </w:r>
      <w:r w:rsidR="009007DA">
        <w:t> per cent</w:t>
      </w:r>
      <w:r w:rsidR="00B75F70">
        <w:t xml:space="preserve"> increase in average costs from </w:t>
      </w:r>
      <w:r w:rsidR="00595A9F">
        <w:t>FY19/20</w:t>
      </w:r>
      <w:r w:rsidR="00B75F70">
        <w:t xml:space="preserve"> despite a 4.1</w:t>
      </w:r>
      <w:r w:rsidR="009007DA">
        <w:t> per cent</w:t>
      </w:r>
      <w:r w:rsidR="00B75F70">
        <w:t xml:space="preserve"> reduction in activity. This increase is largely explained through high-cost</w:t>
      </w:r>
      <w:r w:rsidR="00655B88">
        <w:t>,</w:t>
      </w:r>
      <w:r w:rsidR="00B75F70">
        <w:t xml:space="preserve"> non-PBS drugs</w:t>
      </w:r>
      <w:r w:rsidR="00AE64B6">
        <w:t xml:space="preserve"> (23</w:t>
      </w:r>
      <w:r w:rsidR="009007DA">
        <w:t> per cent</w:t>
      </w:r>
      <w:r w:rsidR="00AE64B6">
        <w:t xml:space="preserve"> </w:t>
      </w:r>
      <w:r w:rsidR="00A15985">
        <w:t xml:space="preserve">increase </w:t>
      </w:r>
      <w:r w:rsidR="00AE64B6">
        <w:t xml:space="preserve">on </w:t>
      </w:r>
      <w:r w:rsidR="00595A9F">
        <w:t>FY19/20</w:t>
      </w:r>
      <w:r w:rsidR="00AE64B6">
        <w:t>)</w:t>
      </w:r>
      <w:r w:rsidR="00E264BF">
        <w:t xml:space="preserve"> and higher </w:t>
      </w:r>
      <w:r w:rsidR="00791A28">
        <w:t xml:space="preserve">pathology </w:t>
      </w:r>
      <w:r w:rsidR="00E264BF">
        <w:t>costs</w:t>
      </w:r>
      <w:r w:rsidR="00B75F70">
        <w:t xml:space="preserve">, and </w:t>
      </w:r>
      <w:r w:rsidR="009876EC">
        <w:t>that is</w:t>
      </w:r>
      <w:r w:rsidR="00B75F70">
        <w:t xml:space="preserve"> also reflected in the profile for the highest cost episode (totalling $68,381). </w:t>
      </w:r>
    </w:p>
    <w:p w14:paraId="43404EA6" w14:textId="6729078B" w:rsidR="00B75F70" w:rsidRDefault="00E264BF" w:rsidP="003E3232">
      <w:pPr>
        <w:pStyle w:val="BodyText"/>
      </w:pPr>
      <w:r>
        <w:t>T</w:t>
      </w:r>
      <w:r w:rsidR="008060C0">
        <w:t>he costing unit</w:t>
      </w:r>
      <w:r>
        <w:t xml:space="preserve"> highlighted that non-clinical costs were higher in </w:t>
      </w:r>
      <w:r w:rsidR="00595A9F">
        <w:t>FY20/21</w:t>
      </w:r>
      <w:r>
        <w:t xml:space="preserve">, </w:t>
      </w:r>
      <w:r w:rsidR="001D4ACD">
        <w:t>that</w:t>
      </w:r>
      <w:r>
        <w:t xml:space="preserve"> can include overheads to system cost centres</w:t>
      </w:r>
      <w:r w:rsidR="00C2493F">
        <w:t>.</w:t>
      </w:r>
      <w:r w:rsidR="00225D9C">
        <w:t xml:space="preserve"> </w:t>
      </w:r>
      <w:r w:rsidR="00C2493F">
        <w:t>T</w:t>
      </w:r>
      <w:r w:rsidR="00225D9C">
        <w:t>he</w:t>
      </w:r>
      <w:r w:rsidR="00660228">
        <w:t xml:space="preserve"> costing unit </w:t>
      </w:r>
      <w:r w:rsidR="00C2493F">
        <w:t>also</w:t>
      </w:r>
      <w:r w:rsidR="00B75F70">
        <w:t xml:space="preserve"> flag</w:t>
      </w:r>
      <w:r w:rsidR="00C2493F">
        <w:t>ged</w:t>
      </w:r>
      <w:r w:rsidR="00B75F70">
        <w:t xml:space="preserve"> the need to look at the distribution of costs between inpatient and outpatient haemodialysis as a future improvement to costing this DRG. </w:t>
      </w:r>
    </w:p>
    <w:p w14:paraId="54FC6D12" w14:textId="6D4B6974" w:rsidR="006B40E3" w:rsidRPr="00630A55" w:rsidRDefault="006B40E3" w:rsidP="006B40E3">
      <w:pPr>
        <w:pStyle w:val="Heading4"/>
      </w:pPr>
      <w:r w:rsidRPr="00630A55">
        <w:lastRenderedPageBreak/>
        <w:t>Victoria</w:t>
      </w:r>
    </w:p>
    <w:p w14:paraId="72F12620" w14:textId="180086E4" w:rsidR="006B40E3" w:rsidRPr="00630A55" w:rsidRDefault="006B40E3" w:rsidP="006B40E3">
      <w:pPr>
        <w:pStyle w:val="Heading5"/>
      </w:pPr>
      <w:r w:rsidRPr="00630A55">
        <w:t>Latrobe Regional Hospital</w:t>
      </w:r>
    </w:p>
    <w:p w14:paraId="788B9E9A" w14:textId="6B456CF6" w:rsidR="00DD6E17" w:rsidRPr="00630A55" w:rsidRDefault="00EE02B2" w:rsidP="003E3232">
      <w:pPr>
        <w:pStyle w:val="BodyText"/>
      </w:pPr>
      <w:r w:rsidRPr="00EE02B2">
        <w:t>Latrobe Regional Hospital (LRH) has an in-house haemodialysis ward, in affiliated with Monash Health.</w:t>
      </w:r>
      <w:r w:rsidR="00DD6E17" w:rsidRPr="00630A55">
        <w:t xml:space="preserve"> The ward has 12 treatment chairs, catering for 48 patients attending</w:t>
      </w:r>
      <w:r w:rsidR="00DD6E17">
        <w:t xml:space="preserve"> </w:t>
      </w:r>
      <w:r w:rsidR="00655B88">
        <w:t>three</w:t>
      </w:r>
      <w:r w:rsidR="00DD6E17" w:rsidRPr="00630A55">
        <w:t xml:space="preserve"> times per week. The service is open Monday to Friday from 7.00am to 10.00pm. The service caters for </w:t>
      </w:r>
      <w:r w:rsidR="00655B88">
        <w:t>two</w:t>
      </w:r>
      <w:r w:rsidR="00DD6E17" w:rsidRPr="00630A55">
        <w:t xml:space="preserve"> shifts of patients each day, i.e. morning and afternoon. There is also a nephrologist on site for consult</w:t>
      </w:r>
      <w:r w:rsidR="00A24807">
        <w:t>ation</w:t>
      </w:r>
      <w:r w:rsidR="00DD6E17" w:rsidRPr="00630A55">
        <w:t xml:space="preserve">s. </w:t>
      </w:r>
    </w:p>
    <w:p w14:paraId="1F507A86" w14:textId="1AF59167" w:rsidR="00DD6E17" w:rsidRPr="00630A55" w:rsidRDefault="00DD6E17" w:rsidP="003E3232">
      <w:pPr>
        <w:pStyle w:val="BodyText"/>
      </w:pPr>
      <w:r w:rsidRPr="00630A55">
        <w:t xml:space="preserve">Nursing staff </w:t>
      </w:r>
      <w:r w:rsidR="00655B88">
        <w:t>who</w:t>
      </w:r>
      <w:r w:rsidRPr="00630A55">
        <w:t xml:space="preserve"> work in the dialysis</w:t>
      </w:r>
      <w:r w:rsidR="003A0E86">
        <w:t xml:space="preserve"> ward</w:t>
      </w:r>
      <w:r w:rsidRPr="00630A55">
        <w:t xml:space="preserve"> are employed by LRH, with consumables purchased directly from the supplier. If there is a Monash patient receiving dialysis at LRH, the relevant costs are identified and recharged to Monash. </w:t>
      </w:r>
    </w:p>
    <w:p w14:paraId="28508A9E" w14:textId="4C682205" w:rsidR="006B40E3" w:rsidRPr="00630A55" w:rsidRDefault="00DD6E17" w:rsidP="003E3232">
      <w:pPr>
        <w:pStyle w:val="BodyText"/>
      </w:pPr>
      <w:r w:rsidRPr="00630A55">
        <w:t xml:space="preserve">There was a minor change to the cost allocations in </w:t>
      </w:r>
      <w:r w:rsidR="00595A9F">
        <w:t>FY20/21</w:t>
      </w:r>
      <w:r w:rsidRPr="00630A55">
        <w:t xml:space="preserve"> due to a refinement in the methodology used to allocate engineering and contract costs. In </w:t>
      </w:r>
      <w:r w:rsidR="00595A9F">
        <w:t>FY20/21</w:t>
      </w:r>
      <w:r w:rsidRPr="00630A55">
        <w:t>, LRH reported total</w:t>
      </w:r>
      <w:r w:rsidRPr="00630A55" w:rsidDel="00F87836">
        <w:t xml:space="preserve"> </w:t>
      </w:r>
      <w:r w:rsidR="00F87836">
        <w:t>activity</w:t>
      </w:r>
      <w:r w:rsidRPr="00630A55">
        <w:t xml:space="preserve"> of 6,546 with an average cost of $465. This represents a 0.5</w:t>
      </w:r>
      <w:r w:rsidR="009007DA">
        <w:t> per cent</w:t>
      </w:r>
      <w:r w:rsidRPr="00630A55">
        <w:t xml:space="preserve"> increase in the average cost compared to </w:t>
      </w:r>
      <w:r w:rsidR="00595A9F">
        <w:t>FY19/20</w:t>
      </w:r>
      <w:r w:rsidR="00E03822">
        <w:t xml:space="preserve">, with a </w:t>
      </w:r>
      <w:r w:rsidRPr="00630A55">
        <w:t>2.8</w:t>
      </w:r>
      <w:r w:rsidR="009007DA">
        <w:t> per cent</w:t>
      </w:r>
      <w:r w:rsidRPr="00630A55">
        <w:t xml:space="preserve"> increase in </w:t>
      </w:r>
      <w:r w:rsidDel="00E03822">
        <w:t>activity</w:t>
      </w:r>
      <w:r w:rsidRPr="00630A55">
        <w:t>.</w:t>
      </w:r>
      <w:r w:rsidR="002E16BE">
        <w:t xml:space="preserve"> </w:t>
      </w:r>
      <w:r w:rsidR="008C3034">
        <w:t>This increase was driven largely by a 9932</w:t>
      </w:r>
      <w:r w:rsidR="009007DA">
        <w:t> per cent</w:t>
      </w:r>
      <w:r w:rsidR="008C3034">
        <w:t xml:space="preserve"> increase in salaries and wages for visiting medical officers</w:t>
      </w:r>
      <w:r w:rsidR="00DD7E3D">
        <w:t xml:space="preserve"> and nursing; non-PBS drugs also increased by 66.1</w:t>
      </w:r>
      <w:r w:rsidR="009007DA">
        <w:t> per cent</w:t>
      </w:r>
      <w:r w:rsidR="00DD7E3D">
        <w:t xml:space="preserve"> on </w:t>
      </w:r>
      <w:r w:rsidR="00595A9F">
        <w:t>FY19/20</w:t>
      </w:r>
      <w:r w:rsidR="00DD7E3D">
        <w:t xml:space="preserve"> figures. </w:t>
      </w:r>
    </w:p>
    <w:p w14:paraId="34E2A5F1" w14:textId="75C6F8A9" w:rsidR="006B40E3" w:rsidRPr="00630A55" w:rsidRDefault="006B40E3" w:rsidP="00085947">
      <w:pPr>
        <w:pStyle w:val="Heading5"/>
        <w:rPr>
          <w:rFonts w:ascii="Univers 45 Light" w:hAnsi="Univers 45 Light"/>
          <w:b w:val="0"/>
        </w:rPr>
      </w:pPr>
      <w:r w:rsidRPr="00630A55">
        <w:t>Ballarat Health Service</w:t>
      </w:r>
    </w:p>
    <w:p w14:paraId="7502708B" w14:textId="126131F9" w:rsidR="00535288" w:rsidRDefault="00C73DDE" w:rsidP="003E3232">
      <w:pPr>
        <w:pStyle w:val="BodyText"/>
      </w:pPr>
      <w:r w:rsidRPr="00C73DDE">
        <w:t xml:space="preserve">Ballarat Health Service (BHS) has a dedicated haemodialysis ward, staffed by BHS employees. The ward has 12 treatment chairs for 60 routine patients and ad hoc holiday patients. It operates Monday to Saturday to cater for patients attending three time a week, i.e. Monday-Wednesday-Friday, or Tuesday-Thursday-Saturday. There are three shifts each day: morning, afternoon and twilight. </w:t>
      </w:r>
    </w:p>
    <w:p w14:paraId="5F76DAB4" w14:textId="259A2A40" w:rsidR="00C73DDE" w:rsidRDefault="00C73DDE" w:rsidP="00C73DDE">
      <w:pPr>
        <w:pStyle w:val="BodyText"/>
      </w:pPr>
      <w:r>
        <w:t>The ward operates as a hub and spoke with Royal Melbourne Hospital (RMH). For admitted same-day dialysis patients, they are under the care of RMH consultants and BHS pays a fee to RMH for consumables and medical care. For admissions longer than the same-day dialysis, patients are under the care of BHS consultants and BHS only pays a fee for consumables to RMH. RMH supplies major medical equipment and consumables, but BHS needs to meet extra costs for other equipment and medical supplies.</w:t>
      </w:r>
    </w:p>
    <w:p w14:paraId="35C6DE59" w14:textId="6DB10407" w:rsidR="00C73DDE" w:rsidRPr="00630A55" w:rsidRDefault="00C73DDE" w:rsidP="00C73DDE">
      <w:pPr>
        <w:pStyle w:val="BodyText"/>
      </w:pPr>
      <w:r>
        <w:t>Any overnight or multiday inpatients requiring dialysis are transferred to and from the haemodialysis ward and this is visible in the bed transfer files, such that the costs associated with haemodialysis form part of the whole patient episode cost.</w:t>
      </w:r>
    </w:p>
    <w:p w14:paraId="7604E085" w14:textId="712463FB" w:rsidR="006B40E3" w:rsidRPr="00630A55" w:rsidRDefault="00535288" w:rsidP="003E3232">
      <w:pPr>
        <w:pStyle w:val="BodyText"/>
      </w:pPr>
      <w:r w:rsidRPr="00630A55">
        <w:t xml:space="preserve">In </w:t>
      </w:r>
      <w:r w:rsidR="00595A9F">
        <w:t>FY20/21</w:t>
      </w:r>
      <w:r w:rsidRPr="00630A55">
        <w:t>, BHS reported total activity of 8,342 with an average cost of $686; this represents an increase of 4.3</w:t>
      </w:r>
      <w:r w:rsidR="009007DA">
        <w:t> per cent</w:t>
      </w:r>
      <w:r w:rsidRPr="00630A55">
        <w:t xml:space="preserve"> compared to </w:t>
      </w:r>
      <w:r w:rsidR="00595A9F">
        <w:t>FY19/20</w:t>
      </w:r>
      <w:r w:rsidR="00BE62F1">
        <w:t xml:space="preserve">, with </w:t>
      </w:r>
      <w:r w:rsidRPr="00630A55">
        <w:t>a 1.1</w:t>
      </w:r>
      <w:r w:rsidR="009007DA">
        <w:t> per cent</w:t>
      </w:r>
      <w:r w:rsidRPr="00630A55">
        <w:t xml:space="preserve"> decrease in activity.</w:t>
      </w:r>
      <w:r w:rsidR="00BE62F1">
        <w:t xml:space="preserve"> </w:t>
      </w:r>
      <w:r w:rsidR="00B65ECF">
        <w:t xml:space="preserve">These </w:t>
      </w:r>
      <w:r w:rsidR="007074DC">
        <w:t>increases were driven largely by a 6874</w:t>
      </w:r>
      <w:r w:rsidR="009007DA">
        <w:t> per cent</w:t>
      </w:r>
      <w:r w:rsidR="007074DC">
        <w:t xml:space="preserve"> increase in medical supply costs, with non-PBS drug costs also increasing by </w:t>
      </w:r>
      <w:r w:rsidR="0097476F">
        <w:t>88.8</w:t>
      </w:r>
      <w:r w:rsidR="009007DA">
        <w:t> per cent</w:t>
      </w:r>
      <w:r w:rsidR="007E7782">
        <w:t xml:space="preserve"> on </w:t>
      </w:r>
      <w:r w:rsidR="00595A9F">
        <w:t>FY19/20</w:t>
      </w:r>
      <w:r w:rsidR="007E7782">
        <w:t xml:space="preserve"> figures</w:t>
      </w:r>
      <w:r w:rsidR="0097476F">
        <w:t xml:space="preserve">. </w:t>
      </w:r>
    </w:p>
    <w:p w14:paraId="34264395" w14:textId="6BD2AAF6" w:rsidR="006B40E3" w:rsidRPr="005F18FF" w:rsidRDefault="006B40E3" w:rsidP="00C018B8">
      <w:pPr>
        <w:pStyle w:val="Heading5"/>
      </w:pPr>
      <w:r w:rsidRPr="00C018B8">
        <w:t>Royal Melbourne Hospit</w:t>
      </w:r>
      <w:r w:rsidRPr="005F18FF">
        <w:t>al</w:t>
      </w:r>
    </w:p>
    <w:p w14:paraId="4A4302D5" w14:textId="2C1344BA" w:rsidR="00E3328C" w:rsidRPr="00630A55" w:rsidRDefault="00710D0C" w:rsidP="003E3232">
      <w:pPr>
        <w:pStyle w:val="BodyText"/>
      </w:pPr>
      <w:r w:rsidRPr="00026435">
        <w:t xml:space="preserve">Royal Melbourne Hospital </w:t>
      </w:r>
      <w:r>
        <w:t>(</w:t>
      </w:r>
      <w:r w:rsidR="00E3328C" w:rsidRPr="00630A55">
        <w:t>RMH</w:t>
      </w:r>
      <w:r>
        <w:t>)</w:t>
      </w:r>
      <w:r w:rsidR="00E3328C" w:rsidRPr="00630A55">
        <w:t xml:space="preserve"> has a dedicated dialysis </w:t>
      </w:r>
      <w:r w:rsidR="0041742A">
        <w:t>ward</w:t>
      </w:r>
      <w:r w:rsidR="0041742A" w:rsidRPr="00630A55">
        <w:t xml:space="preserve"> </w:t>
      </w:r>
      <w:r w:rsidR="00E3328C" w:rsidRPr="00630A55">
        <w:t xml:space="preserve">in the hospital and several satellite sites </w:t>
      </w:r>
      <w:r w:rsidR="001D4ACD">
        <w:t>that</w:t>
      </w:r>
      <w:r w:rsidR="00E3328C" w:rsidRPr="00630A55">
        <w:t xml:space="preserve"> were included in the RMH data. If inpatients use the service, a share of the dialysis costs are apportioned to the inpatient episode. RMH cost allocations to L61Z only reflect the patients treated and discharged from the </w:t>
      </w:r>
      <w:r w:rsidR="00655B88">
        <w:t>d</w:t>
      </w:r>
      <w:r w:rsidR="00E3328C" w:rsidRPr="00630A55">
        <w:t xml:space="preserve">ialysis </w:t>
      </w:r>
      <w:r w:rsidR="00655B88">
        <w:t>u</w:t>
      </w:r>
      <w:r w:rsidR="00E3328C" w:rsidRPr="00630A55">
        <w:t xml:space="preserve">nit. </w:t>
      </w:r>
    </w:p>
    <w:p w14:paraId="1DAD3A6C" w14:textId="768A292C" w:rsidR="006B40E3" w:rsidRPr="00630A55" w:rsidRDefault="00E3328C" w:rsidP="003E3232">
      <w:pPr>
        <w:pStyle w:val="BodyText"/>
      </w:pPr>
      <w:r w:rsidRPr="00630A55">
        <w:t xml:space="preserve">In </w:t>
      </w:r>
      <w:r w:rsidR="00595A9F">
        <w:t>FY20/21</w:t>
      </w:r>
      <w:r w:rsidRPr="00630A55">
        <w:t>, RMH reported total activity of 24,450 with an average cost of $529. This represents an increase of 5.4</w:t>
      </w:r>
      <w:r w:rsidR="009007DA">
        <w:t> per cent</w:t>
      </w:r>
      <w:r w:rsidRPr="00630A55">
        <w:t xml:space="preserve"> on the average cost compared to </w:t>
      </w:r>
      <w:r w:rsidR="00595A9F">
        <w:t>FY19/20</w:t>
      </w:r>
      <w:r w:rsidR="004F36D3">
        <w:t>, alongside a 2.6 per cent increase in activity</w:t>
      </w:r>
      <w:r w:rsidRPr="00630A55">
        <w:t xml:space="preserve">. One of the main contributors to this was an increase in consumables (MS) </w:t>
      </w:r>
      <w:r w:rsidR="001D4ACD">
        <w:t>that</w:t>
      </w:r>
      <w:r w:rsidRPr="00630A55">
        <w:t xml:space="preserve"> increased by 26</w:t>
      </w:r>
      <w:r w:rsidR="009007DA">
        <w:t> per cent</w:t>
      </w:r>
      <w:r w:rsidRPr="00630A55">
        <w:t xml:space="preserve"> on the previous year</w:t>
      </w:r>
      <w:r w:rsidR="001D4ACD">
        <w:t>,</w:t>
      </w:r>
      <w:r w:rsidR="00453510">
        <w:t xml:space="preserve"> </w:t>
      </w:r>
      <w:r w:rsidR="001D4ACD">
        <w:t>that</w:t>
      </w:r>
      <w:r w:rsidR="00453510">
        <w:t xml:space="preserve"> incorporates </w:t>
      </w:r>
      <w:r w:rsidR="0034736B">
        <w:t>expenses from contracted haemodialysis services.</w:t>
      </w:r>
      <w:r w:rsidR="004F36D3">
        <w:t xml:space="preserve"> </w:t>
      </w:r>
      <w:r w:rsidR="00453510">
        <w:t>RMH has agreements in place with two private haemodialysis providers</w:t>
      </w:r>
      <w:r w:rsidR="0034736B">
        <w:t xml:space="preserve"> to dialyse RMH public patients in their private units across Melbourne; </w:t>
      </w:r>
      <w:r w:rsidR="0034736B">
        <w:lastRenderedPageBreak/>
        <w:t xml:space="preserve">RMH pays each provider a set </w:t>
      </w:r>
      <w:r w:rsidR="0001211E">
        <w:t xml:space="preserve">per-treatment cost, the expenses for </w:t>
      </w:r>
      <w:r w:rsidR="001D4ACD">
        <w:t>that</w:t>
      </w:r>
      <w:r w:rsidR="0001211E">
        <w:t xml:space="preserve"> are then recorded under MS</w:t>
      </w:r>
      <w:r w:rsidRPr="00630A55">
        <w:t xml:space="preserve">. </w:t>
      </w:r>
      <w:r w:rsidR="00D270D0">
        <w:t xml:space="preserve">Non-PBS drug costs </w:t>
      </w:r>
      <w:r w:rsidR="0001211E">
        <w:t xml:space="preserve">also </w:t>
      </w:r>
      <w:r w:rsidR="00D270D0">
        <w:t xml:space="preserve">increased by </w:t>
      </w:r>
      <w:r w:rsidR="00A7769A">
        <w:t>3.9</w:t>
      </w:r>
      <w:r w:rsidR="009007DA">
        <w:t> per cent</w:t>
      </w:r>
      <w:r w:rsidR="00A7769A">
        <w:t xml:space="preserve"> in </w:t>
      </w:r>
      <w:r w:rsidR="00595A9F">
        <w:t>FY20/21</w:t>
      </w:r>
      <w:r w:rsidR="00A7769A">
        <w:t>, compared with a 16.9</w:t>
      </w:r>
      <w:r w:rsidR="009007DA">
        <w:t> per cent</w:t>
      </w:r>
      <w:r w:rsidR="00A7769A">
        <w:t xml:space="preserve"> in PBS drugs. </w:t>
      </w:r>
    </w:p>
    <w:p w14:paraId="44805EB9" w14:textId="486283DE" w:rsidR="00F745CF" w:rsidRPr="00630A55" w:rsidRDefault="00F745CF" w:rsidP="00F745CF">
      <w:pPr>
        <w:pStyle w:val="Heading4"/>
      </w:pPr>
      <w:r w:rsidRPr="00630A55">
        <w:t>Western Australia</w:t>
      </w:r>
    </w:p>
    <w:p w14:paraId="0BBEC03E" w14:textId="4121E797" w:rsidR="00F745CF" w:rsidRPr="00630A55" w:rsidRDefault="00A74063" w:rsidP="00F745CF">
      <w:pPr>
        <w:pStyle w:val="Heading5"/>
      </w:pPr>
      <w:r w:rsidRPr="00630A55">
        <w:t>Royal Perth Hospital</w:t>
      </w:r>
    </w:p>
    <w:p w14:paraId="5F18A90B" w14:textId="317B10AC" w:rsidR="007F1517" w:rsidRDefault="00710D0C" w:rsidP="003E3232">
      <w:pPr>
        <w:pStyle w:val="BodyText"/>
      </w:pPr>
      <w:r w:rsidRPr="00026435">
        <w:t xml:space="preserve">Royal Perth Hospital </w:t>
      </w:r>
      <w:r>
        <w:t>(</w:t>
      </w:r>
      <w:r w:rsidR="001A5CBF">
        <w:t>RPH</w:t>
      </w:r>
      <w:r>
        <w:t>)</w:t>
      </w:r>
      <w:r w:rsidR="001A5CBF">
        <w:t xml:space="preserve"> has an in-house haemodialysis ward</w:t>
      </w:r>
      <w:r w:rsidR="00892AF1">
        <w:t>, however the staff on that ward also provide some non-admitted services.</w:t>
      </w:r>
      <w:r w:rsidR="00B069C3">
        <w:t xml:space="preserve"> All clinical services are provided in-house, however there are some outpatient clinics for dialysis preparation and testing.</w:t>
      </w:r>
      <w:r w:rsidR="00892AF1">
        <w:t xml:space="preserve"> </w:t>
      </w:r>
    </w:p>
    <w:p w14:paraId="2FE1C69E" w14:textId="2D5A77DE" w:rsidR="00F745CF" w:rsidRDefault="00226B3D" w:rsidP="003E3232">
      <w:pPr>
        <w:pStyle w:val="BodyText"/>
      </w:pPr>
      <w:r>
        <w:t>East Metro</w:t>
      </w:r>
      <w:r w:rsidR="00382D90">
        <w:t>politan</w:t>
      </w:r>
      <w:r>
        <w:t xml:space="preserve"> H</w:t>
      </w:r>
      <w:r w:rsidR="00382D90">
        <w:t xml:space="preserve">ealth </w:t>
      </w:r>
      <w:r>
        <w:t>S</w:t>
      </w:r>
      <w:r w:rsidR="00382D90">
        <w:t>ervice</w:t>
      </w:r>
      <w:r>
        <w:t xml:space="preserve"> </w:t>
      </w:r>
      <w:r w:rsidR="008A4275">
        <w:t xml:space="preserve">has some contracted haemodialysis services (including for Rockingham, Cannington and Stirling), for </w:t>
      </w:r>
      <w:r w:rsidR="001D4ACD">
        <w:t>that</w:t>
      </w:r>
      <w:r w:rsidR="008A4275">
        <w:t xml:space="preserve"> RPH holds t</w:t>
      </w:r>
      <w:r w:rsidR="00031C68">
        <w:t>he</w:t>
      </w:r>
      <w:r w:rsidR="008A4275">
        <w:t xml:space="preserve"> budget</w:t>
      </w:r>
      <w:r w:rsidR="00031C68">
        <w:t xml:space="preserve"> for</w:t>
      </w:r>
      <w:r w:rsidR="008A4275">
        <w:t xml:space="preserve">. </w:t>
      </w:r>
      <w:r w:rsidR="00AD0E1F">
        <w:t xml:space="preserve">Whilst this has now changed, for </w:t>
      </w:r>
      <w:r w:rsidR="00595A9F">
        <w:t>FY20/21</w:t>
      </w:r>
      <w:r w:rsidR="00AD0E1F">
        <w:t xml:space="preserve">, these costs were identified as particular wards with </w:t>
      </w:r>
      <w:r w:rsidR="002F0787">
        <w:t xml:space="preserve">specific notations (e.g. </w:t>
      </w:r>
      <w:r w:rsidR="00E17C74">
        <w:t>‘</w:t>
      </w:r>
      <w:r w:rsidR="00AD0E1F">
        <w:t>ZZ</w:t>
      </w:r>
      <w:r w:rsidR="00E17C74">
        <w:t>’</w:t>
      </w:r>
      <w:r w:rsidR="002F0787">
        <w:t>)</w:t>
      </w:r>
      <w:r w:rsidR="00AD0E1F">
        <w:t xml:space="preserve"> to mark them as outsourced wards. </w:t>
      </w:r>
      <w:r w:rsidR="00230F2D">
        <w:t xml:space="preserve">Contracted dialysis services are removed from linking, with in-built rules in the system to </w:t>
      </w:r>
      <w:r w:rsidR="007020E8">
        <w:t xml:space="preserve">ensure those services </w:t>
      </w:r>
      <w:r w:rsidR="00C63AFB">
        <w:t>are not</w:t>
      </w:r>
      <w:r w:rsidR="007020E8">
        <w:t xml:space="preserve"> </w:t>
      </w:r>
      <w:r w:rsidR="00C63AFB">
        <w:t>inadvertently</w:t>
      </w:r>
      <w:r w:rsidR="007020E8">
        <w:t xml:space="preserve"> linked. In this scenario, staffing, chairs and other consumables are all provided by the contractor, </w:t>
      </w:r>
      <w:r w:rsidR="00B069C3">
        <w:t xml:space="preserve">such that </w:t>
      </w:r>
      <w:r w:rsidR="007020E8">
        <w:t xml:space="preserve">RPH is charged at a price per treatment. </w:t>
      </w:r>
    </w:p>
    <w:p w14:paraId="4CF5C283" w14:textId="2859B249" w:rsidR="00B069C3" w:rsidRPr="00630A55" w:rsidRDefault="00F76D7A" w:rsidP="003E3232">
      <w:pPr>
        <w:pStyle w:val="BodyText"/>
      </w:pPr>
      <w:r>
        <w:t xml:space="preserve">In </w:t>
      </w:r>
      <w:r w:rsidR="00595A9F">
        <w:t>FY20/21</w:t>
      </w:r>
      <w:r>
        <w:t xml:space="preserve">, RPH registered total activity of </w:t>
      </w:r>
      <w:r w:rsidR="00E74AD7">
        <w:t>3</w:t>
      </w:r>
      <w:r w:rsidR="00072EA0">
        <w:t>2,</w:t>
      </w:r>
      <w:r w:rsidR="0035259F">
        <w:t>385</w:t>
      </w:r>
      <w:r w:rsidR="00E74AD7">
        <w:t xml:space="preserve"> with an average cost of $6</w:t>
      </w:r>
      <w:r w:rsidR="0035259F">
        <w:t>27</w:t>
      </w:r>
      <w:r w:rsidR="00E74AD7">
        <w:t>, representing a</w:t>
      </w:r>
      <w:r w:rsidR="0035259F">
        <w:t xml:space="preserve"> 4.3</w:t>
      </w:r>
      <w:r w:rsidR="009007DA">
        <w:t> per cent</w:t>
      </w:r>
      <w:r w:rsidR="0035259F">
        <w:t xml:space="preserve"> decrease in average cost from </w:t>
      </w:r>
      <w:r w:rsidR="00595A9F">
        <w:t>FY19/20</w:t>
      </w:r>
      <w:r w:rsidR="0035259F">
        <w:t>, despite a 3.2</w:t>
      </w:r>
      <w:r w:rsidR="009007DA">
        <w:t> per cent</w:t>
      </w:r>
      <w:r w:rsidR="0035259F">
        <w:t xml:space="preserve"> increase in activity.</w:t>
      </w:r>
      <w:r w:rsidR="00E74AD7">
        <w:t xml:space="preserve"> </w:t>
      </w:r>
      <w:r w:rsidR="007F1517">
        <w:t xml:space="preserve">Much of the higher cost episodes in haemodialysis are explained by </w:t>
      </w:r>
      <w:r w:rsidR="00244289">
        <w:t>high-cost</w:t>
      </w:r>
      <w:r w:rsidR="007F1517">
        <w:t xml:space="preserve"> procedures (e.g. </w:t>
      </w:r>
      <w:r w:rsidR="00486860">
        <w:t>imaging screening testing costing</w:t>
      </w:r>
      <w:r w:rsidR="007F1517">
        <w:t xml:space="preserve"> ~$2,300 per test) and diagnostic services.</w:t>
      </w:r>
      <w:r w:rsidR="00F70134">
        <w:t xml:space="preserve"> Both PBS-listed and non-PBS drug costs decreased in </w:t>
      </w:r>
      <w:r w:rsidR="00595A9F">
        <w:t>FY20/21</w:t>
      </w:r>
      <w:r w:rsidR="00F70134">
        <w:t>, by 26</w:t>
      </w:r>
      <w:r w:rsidR="009007DA">
        <w:t> per cent</w:t>
      </w:r>
      <w:r w:rsidR="00F70134">
        <w:t xml:space="preserve"> and 26.2</w:t>
      </w:r>
      <w:r w:rsidR="009007DA">
        <w:t> per cent</w:t>
      </w:r>
      <w:r w:rsidR="00F70134">
        <w:t xml:space="preserve"> respectively. </w:t>
      </w:r>
    </w:p>
    <w:p w14:paraId="038D68CE" w14:textId="7BAC3F29" w:rsidR="00F745CF" w:rsidRPr="00B36BAB" w:rsidRDefault="00A74063" w:rsidP="00085947">
      <w:pPr>
        <w:pStyle w:val="Heading5"/>
      </w:pPr>
      <w:r w:rsidRPr="00630A55">
        <w:t>Perth Child</w:t>
      </w:r>
      <w:r w:rsidRPr="00B36BAB">
        <w:t>ren’s Hospital</w:t>
      </w:r>
    </w:p>
    <w:p w14:paraId="62FA4C4C" w14:textId="4DD57308" w:rsidR="00F745CF" w:rsidRPr="00551583" w:rsidRDefault="001E3BD0" w:rsidP="00244289">
      <w:pPr>
        <w:pStyle w:val="BodyText"/>
      </w:pPr>
      <w:r>
        <w:t xml:space="preserve">All haemodialysis is provided in-house at </w:t>
      </w:r>
      <w:r w:rsidR="00710D0C" w:rsidRPr="00026435">
        <w:t xml:space="preserve">Perth Children's Hospital </w:t>
      </w:r>
      <w:r w:rsidR="00710D0C">
        <w:t>(</w:t>
      </w:r>
      <w:r>
        <w:t>PCH</w:t>
      </w:r>
      <w:r w:rsidR="00710D0C">
        <w:t>)</w:t>
      </w:r>
      <w:r>
        <w:t>, however there are relatively small volumes</w:t>
      </w:r>
      <w:r w:rsidR="00A36199">
        <w:t xml:space="preserve">. Due to </w:t>
      </w:r>
      <w:r w:rsidR="00C63AFB">
        <w:t xml:space="preserve">the </w:t>
      </w:r>
      <w:r w:rsidR="00A36199">
        <w:t>small volumes</w:t>
      </w:r>
      <w:r w:rsidR="00C24BDE">
        <w:t xml:space="preserve">, there is no dedicated infusions </w:t>
      </w:r>
      <w:r w:rsidR="0041742A">
        <w:t>ward</w:t>
      </w:r>
      <w:r w:rsidR="00C417F7">
        <w:t>; however, the service is allocated chairs as part of the larger Day Treatment Unit under Ambulatory Care</w:t>
      </w:r>
    </w:p>
    <w:p w14:paraId="0E150E13" w14:textId="5AC81D87" w:rsidR="00D87C52" w:rsidRDefault="008D20E2" w:rsidP="00244289">
      <w:pPr>
        <w:pStyle w:val="BodyText"/>
      </w:pPr>
      <w:r w:rsidRPr="00D82BE3">
        <w:t xml:space="preserve">In </w:t>
      </w:r>
      <w:r w:rsidR="00595A9F">
        <w:t>FY20/21</w:t>
      </w:r>
      <w:r w:rsidR="00C63AFB">
        <w:t>,</w:t>
      </w:r>
      <w:r w:rsidR="000025F6">
        <w:t xml:space="preserve"> PCH registered total activity of 327 with an average cost of </w:t>
      </w:r>
      <w:r w:rsidR="00E178D8">
        <w:t>$1,911, representing a 21</w:t>
      </w:r>
      <w:r w:rsidR="009007DA">
        <w:t> per cent</w:t>
      </w:r>
      <w:r w:rsidR="00E178D8">
        <w:t xml:space="preserve"> increase in </w:t>
      </w:r>
      <w:r w:rsidR="00D82BE3">
        <w:t xml:space="preserve">average costs from </w:t>
      </w:r>
      <w:r w:rsidR="00595A9F">
        <w:t>FY19/20</w:t>
      </w:r>
      <w:r w:rsidR="00D82BE3">
        <w:t xml:space="preserve"> alongside a 31.9</w:t>
      </w:r>
      <w:r w:rsidR="009007DA">
        <w:t> per cent</w:t>
      </w:r>
      <w:r w:rsidR="00D82BE3">
        <w:t xml:space="preserve"> increase in activity. </w:t>
      </w:r>
      <w:r w:rsidR="00450CF3">
        <w:t>With small volumes for this service, the highest ($4,512) and lowest ($858) cost episodes</w:t>
      </w:r>
      <w:r w:rsidR="00436D95">
        <w:t xml:space="preserve"> represented the </w:t>
      </w:r>
      <w:r w:rsidR="00E803FD">
        <w:t>smallest variance in haemodialysis across</w:t>
      </w:r>
      <w:r w:rsidR="00861133">
        <w:t xml:space="preserve"> the sampled sites. </w:t>
      </w:r>
      <w:r w:rsidR="002E3077">
        <w:t xml:space="preserve">Whilst PBS drug costs increased by </w:t>
      </w:r>
      <w:r w:rsidR="008E791F">
        <w:t>264.3</w:t>
      </w:r>
      <w:r w:rsidR="009007DA">
        <w:t> per cent</w:t>
      </w:r>
      <w:r w:rsidR="008E791F">
        <w:t xml:space="preserve"> in </w:t>
      </w:r>
      <w:r w:rsidR="00595A9F">
        <w:t>FY20/21</w:t>
      </w:r>
      <w:r w:rsidR="008E791F">
        <w:t>, non-PBS drug costs decreased by 12.1</w:t>
      </w:r>
      <w:r w:rsidR="009007DA">
        <w:t> per cent</w:t>
      </w:r>
      <w:r w:rsidR="008E791F">
        <w:t xml:space="preserve">. </w:t>
      </w:r>
    </w:p>
    <w:p w14:paraId="374DF8EB" w14:textId="60469027" w:rsidR="00F745CF" w:rsidRPr="00630A55" w:rsidRDefault="00A74063" w:rsidP="00085947">
      <w:pPr>
        <w:pStyle w:val="Heading5"/>
        <w:rPr>
          <w:rFonts w:ascii="Univers 45 Light" w:hAnsi="Univers 45 Light"/>
          <w:b w:val="0"/>
        </w:rPr>
      </w:pPr>
      <w:r w:rsidRPr="00630A55">
        <w:t>Albany Hospital</w:t>
      </w:r>
    </w:p>
    <w:p w14:paraId="7B5344B9" w14:textId="552DA46C" w:rsidR="00F745CF" w:rsidRPr="00551583" w:rsidRDefault="00710D0C" w:rsidP="003E3232">
      <w:pPr>
        <w:pStyle w:val="BodyText"/>
      </w:pPr>
      <w:r w:rsidRPr="00026435">
        <w:t xml:space="preserve">Albany Hospital </w:t>
      </w:r>
      <w:r>
        <w:t>(</w:t>
      </w:r>
      <w:r w:rsidR="005A52B1">
        <w:t>AH</w:t>
      </w:r>
      <w:r>
        <w:t>)</w:t>
      </w:r>
      <w:r w:rsidR="005A52B1">
        <w:t xml:space="preserve"> </w:t>
      </w:r>
      <w:r w:rsidR="00E50311">
        <w:t>provides</w:t>
      </w:r>
      <w:r w:rsidR="002F1DE4">
        <w:t xml:space="preserve"> in-house dialysis services with</w:t>
      </w:r>
      <w:r w:rsidR="00E50311">
        <w:t xml:space="preserve"> self-contained, dedicated chairs that are consolidated in a single cost centre. </w:t>
      </w:r>
      <w:r w:rsidR="00EC67D9">
        <w:t>These services are contracted, such that the contractor provides the staffing and chairs and AH provide the consumables</w:t>
      </w:r>
      <w:r w:rsidR="00C63AFB">
        <w:t>.</w:t>
      </w:r>
      <w:r w:rsidR="00EC67D9">
        <w:t xml:space="preserve"> W</w:t>
      </w:r>
      <w:r w:rsidR="001F65BE">
        <w:t xml:space="preserve">A Country Health Service uses this model so they can use their purchasing power to reduce the costs of consumables. </w:t>
      </w:r>
      <w:r w:rsidR="00342A14">
        <w:t>Given the central location of Albany within the Great Southern H</w:t>
      </w:r>
      <w:r w:rsidR="005B6426">
        <w:t xml:space="preserve">ealth </w:t>
      </w:r>
      <w:r w:rsidR="00342A14">
        <w:t>S</w:t>
      </w:r>
      <w:r w:rsidR="005B6426">
        <w:t>ervice</w:t>
      </w:r>
      <w:r w:rsidR="00342A14">
        <w:t xml:space="preserve"> region, most patients travel to AH to access haemodialysis, as there are no outreach or mobile services available at present. </w:t>
      </w:r>
    </w:p>
    <w:p w14:paraId="641309FA" w14:textId="2307AA19" w:rsidR="00E104A7" w:rsidRPr="00630A55" w:rsidRDefault="00054385" w:rsidP="00214166">
      <w:pPr>
        <w:pStyle w:val="BodyText"/>
      </w:pPr>
      <w:r w:rsidRPr="00D87C52">
        <w:t xml:space="preserve">In </w:t>
      </w:r>
      <w:r w:rsidR="00595A9F">
        <w:t>FY20/21</w:t>
      </w:r>
      <w:r w:rsidR="00D87C52" w:rsidRPr="00D87C52">
        <w:t xml:space="preserve"> AH</w:t>
      </w:r>
      <w:r w:rsidR="00D87C52">
        <w:t xml:space="preserve"> registered total activity of </w:t>
      </w:r>
      <w:r w:rsidR="00944A3C">
        <w:t xml:space="preserve">2,401 with an average cost of $720, representing </w:t>
      </w:r>
      <w:r w:rsidR="00032E8C">
        <w:t>a 1.6</w:t>
      </w:r>
      <w:r w:rsidR="009007DA">
        <w:t> per cent</w:t>
      </w:r>
      <w:r w:rsidR="00032E8C">
        <w:t xml:space="preserve"> decrease in average cost from </w:t>
      </w:r>
      <w:r w:rsidR="00595A9F">
        <w:t>FY19/20</w:t>
      </w:r>
      <w:r w:rsidR="00032E8C">
        <w:t xml:space="preserve"> alongside a 3.0</w:t>
      </w:r>
      <w:r w:rsidR="009007DA">
        <w:t> per cent</w:t>
      </w:r>
      <w:r w:rsidR="00032E8C">
        <w:t xml:space="preserve"> decrease in activity. </w:t>
      </w:r>
      <w:r>
        <w:t xml:space="preserve">The </w:t>
      </w:r>
      <w:r w:rsidR="007138D9">
        <w:t>C</w:t>
      </w:r>
      <w:r>
        <w:t xml:space="preserve">osting team flagged that the difference between years could </w:t>
      </w:r>
      <w:r w:rsidR="003A7C2B">
        <w:t xml:space="preserve">reflect some challenges with costing allocations for inpatients </w:t>
      </w:r>
      <w:r w:rsidR="001306FA">
        <w:t>accessing dialysis services in the ward</w:t>
      </w:r>
      <w:r w:rsidR="00F14157">
        <w:t xml:space="preserve">. </w:t>
      </w:r>
      <w:r w:rsidR="003A4078">
        <w:t>Non</w:t>
      </w:r>
      <w:r w:rsidR="000F2F6A">
        <w:noBreakHyphen/>
      </w:r>
      <w:r w:rsidR="003A4078">
        <w:t xml:space="preserve">PBS drug costs increased in </w:t>
      </w:r>
      <w:r w:rsidR="00595A9F">
        <w:t>FY20/21</w:t>
      </w:r>
      <w:r w:rsidR="003A4078">
        <w:t xml:space="preserve"> by </w:t>
      </w:r>
      <w:r w:rsidR="00814EDA">
        <w:t>8.9</w:t>
      </w:r>
      <w:r w:rsidR="009007DA">
        <w:t> per cent</w:t>
      </w:r>
      <w:r w:rsidR="00814EDA">
        <w:t xml:space="preserve"> alongside an 8.6</w:t>
      </w:r>
      <w:r w:rsidR="009007DA">
        <w:t> per cent</w:t>
      </w:r>
      <w:r w:rsidR="00814EDA">
        <w:t xml:space="preserve"> increase in PBS drug costs. </w:t>
      </w:r>
    </w:p>
    <w:p w14:paraId="34AFCE25" w14:textId="2E9B3C72" w:rsidR="00F377B9" w:rsidRPr="00A16B1D" w:rsidRDefault="00657A7A" w:rsidP="00DD4007">
      <w:pPr>
        <w:pStyle w:val="Heading2"/>
      </w:pPr>
      <w:bookmarkStart w:id="33" w:name="_Toc128376722"/>
      <w:r w:rsidRPr="00A16B1D">
        <w:lastRenderedPageBreak/>
        <w:t>Chemotherapy</w:t>
      </w:r>
      <w:bookmarkEnd w:id="33"/>
    </w:p>
    <w:p w14:paraId="0B68B160" w14:textId="77777777" w:rsidR="00862CB7" w:rsidRDefault="00862CB7" w:rsidP="00862CB7">
      <w:pPr>
        <w:pStyle w:val="Heading3"/>
      </w:pPr>
      <w:r>
        <w:t>Chemotherapy service models</w:t>
      </w:r>
      <w:r w:rsidRPr="00630A55">
        <w:t xml:space="preserve"> and costing methods</w:t>
      </w:r>
    </w:p>
    <w:p w14:paraId="4A69617A" w14:textId="0E290102" w:rsidR="00862CB7" w:rsidRDefault="00862CB7" w:rsidP="003E3232">
      <w:pPr>
        <w:pStyle w:val="BodyText"/>
      </w:pPr>
      <w:r w:rsidRPr="00630A55">
        <w:t xml:space="preserve">The majority of hospitals and health services sampled had in-house chemotherapy </w:t>
      </w:r>
      <w:r w:rsidR="00631222">
        <w:t>wards</w:t>
      </w:r>
      <w:r w:rsidR="001D4ACD">
        <w:t xml:space="preserve"> - this</w:t>
      </w:r>
      <w:r w:rsidR="0010085F">
        <w:t xml:space="preserve"> is defined as a service that is owned and </w:t>
      </w:r>
      <w:r w:rsidR="00014C07">
        <w:t>delivered by the health service</w:t>
      </w:r>
      <w:r w:rsidR="0010085F">
        <w:t>. M</w:t>
      </w:r>
      <w:r>
        <w:t>any also host</w:t>
      </w:r>
      <w:r w:rsidRPr="00630A55">
        <w:t xml:space="preserve"> in-house pharmacy capabilities for compounding of chemotherapy drugs. All </w:t>
      </w:r>
      <w:r>
        <w:t xml:space="preserve">but one of these </w:t>
      </w:r>
      <w:r w:rsidR="00214D8B">
        <w:t xml:space="preserve">wards </w:t>
      </w:r>
      <w:r>
        <w:t>(RPH)</w:t>
      </w:r>
      <w:r w:rsidRPr="00630A55">
        <w:t xml:space="preserve"> also provided services for other infusions (e.g. for the treatment of Crohn’s Disease)</w:t>
      </w:r>
      <w:r>
        <w:t xml:space="preserve">. </w:t>
      </w:r>
    </w:p>
    <w:p w14:paraId="47CD689A" w14:textId="0195E954" w:rsidR="00862CB7" w:rsidRPr="00697B46" w:rsidRDefault="00862CB7" w:rsidP="003E3232">
      <w:pPr>
        <w:pStyle w:val="BodyText"/>
      </w:pPr>
      <w:r w:rsidRPr="00630A55">
        <w:t>All jurisdictions flagged drug costs as the major contributor to high</w:t>
      </w:r>
      <w:r>
        <w:t>-</w:t>
      </w:r>
      <w:r w:rsidRPr="00630A55">
        <w:t>cost episodes</w:t>
      </w:r>
      <w:r>
        <w:t xml:space="preserve"> and overall average cost increases in chemotherapy</w:t>
      </w:r>
      <w:r w:rsidRPr="00630A55">
        <w:t xml:space="preserve">, particularly for patients </w:t>
      </w:r>
      <w:r>
        <w:t>who are administered</w:t>
      </w:r>
      <w:r w:rsidRPr="00630A55">
        <w:t xml:space="preserve"> non</w:t>
      </w:r>
      <w:r>
        <w:noBreakHyphen/>
      </w:r>
      <w:r w:rsidRPr="00630A55">
        <w:t>PBS drugs</w:t>
      </w:r>
      <w:r>
        <w:t xml:space="preserve"> or are participating in drug trials, </w:t>
      </w:r>
      <w:r w:rsidR="001D4ACD">
        <w:t>that</w:t>
      </w:r>
      <w:r>
        <w:t xml:space="preserve"> can be common in this service. As a result,</w:t>
      </w:r>
      <w:r w:rsidDel="00C21FCD">
        <w:t xml:space="preserve"> </w:t>
      </w:r>
      <w:r>
        <w:t xml:space="preserve">there may be utility in seeking both an average cost and median cost for future IFRs to highlight any potential skew in the data from </w:t>
      </w:r>
      <w:r w:rsidR="00504C39">
        <w:t>high-cost</w:t>
      </w:r>
      <w:r>
        <w:t xml:space="preserve"> outliers. </w:t>
      </w:r>
    </w:p>
    <w:p w14:paraId="2E32A946" w14:textId="6F24EF24" w:rsidR="00862CB7" w:rsidRDefault="00862CB7" w:rsidP="003E3232">
      <w:pPr>
        <w:pStyle w:val="BodyText"/>
      </w:pPr>
      <w:r>
        <w:t xml:space="preserve">WA’s PCH raised the importance of understanding the nuance of paediatric service delivery </w:t>
      </w:r>
      <w:r w:rsidR="001D4ACD">
        <w:t>that</w:t>
      </w:r>
      <w:r>
        <w:t xml:space="preserve"> may not be suitable for like-for-like comparison with adult wards. Future IFRs could therefore consider cohort-based sampling to enable comparisons not just between regional and metropolitan services, but also adult and paediatric service delivery and costing insights. </w:t>
      </w:r>
    </w:p>
    <w:p w14:paraId="6894A749" w14:textId="77777777" w:rsidR="00862CB7" w:rsidRDefault="00862CB7" w:rsidP="003E3232">
      <w:pPr>
        <w:pStyle w:val="BodyText"/>
      </w:pPr>
      <w:r>
        <w:t xml:space="preserve">Most services did not, or were not able to, refine the average LOS to less than one day, when most chemotherapy treatments take 2-4 hours. To improve the granularity of costing data and allow sites to compare models of service, further work could be undertaken to identify methods for refining this metric across this and similar services. </w:t>
      </w:r>
    </w:p>
    <w:p w14:paraId="29E298F3" w14:textId="76F72EAE" w:rsidR="00862CB7" w:rsidRDefault="00862CB7" w:rsidP="003E3232">
      <w:pPr>
        <w:pStyle w:val="BodyText"/>
      </w:pPr>
      <w:r>
        <w:t xml:space="preserve">Victoria also raised the current discrepancy between the costing of sub-cutaneous delivery of chemotherapy drugs, compared with intravenous delivery, </w:t>
      </w:r>
      <w:r w:rsidR="001D4ACD">
        <w:t>that</w:t>
      </w:r>
      <w:r>
        <w:t xml:space="preserve"> should be further investigated. </w:t>
      </w:r>
    </w:p>
    <w:p w14:paraId="5BD10C6D" w14:textId="75B2F8D8" w:rsidR="00FE6885" w:rsidRDefault="00FE6885">
      <w:pPr>
        <w:spacing w:before="0" w:after="160" w:line="259" w:lineRule="auto"/>
      </w:pPr>
      <w:r>
        <w:br w:type="page"/>
      </w:r>
    </w:p>
    <w:p w14:paraId="66185FA7" w14:textId="6414B69E" w:rsidR="00664FDB" w:rsidRPr="00630A55" w:rsidRDefault="00F6496B" w:rsidP="00F6496B">
      <w:pPr>
        <w:pStyle w:val="Caption"/>
        <w:rPr>
          <w:rFonts w:ascii="Univers 45 Light" w:hAnsi="Univers 45 Light"/>
          <w:i/>
          <w:iCs w:val="0"/>
          <w:szCs w:val="20"/>
        </w:rPr>
      </w:pPr>
      <w:r w:rsidRPr="00017473">
        <w:rPr>
          <w:b/>
          <w:bCs/>
        </w:rPr>
        <w:lastRenderedPageBreak/>
        <w:t xml:space="preserve">Table </w:t>
      </w:r>
      <w:r w:rsidR="00D91CB1" w:rsidRPr="00017473">
        <w:rPr>
          <w:b/>
          <w:bCs/>
        </w:rPr>
        <w:fldChar w:fldCharType="begin"/>
      </w:r>
      <w:r w:rsidR="00D91CB1" w:rsidRPr="00017473">
        <w:rPr>
          <w:b/>
          <w:bCs/>
        </w:rPr>
        <w:instrText xml:space="preserve"> SEQ Table \* ARABIC </w:instrText>
      </w:r>
      <w:r w:rsidR="00D91CB1" w:rsidRPr="00017473">
        <w:rPr>
          <w:b/>
          <w:bCs/>
        </w:rPr>
        <w:fldChar w:fldCharType="separate"/>
      </w:r>
      <w:r w:rsidR="007E2ACB">
        <w:rPr>
          <w:b/>
          <w:bCs/>
          <w:noProof/>
        </w:rPr>
        <w:t>5</w:t>
      </w:r>
      <w:r w:rsidR="00D91CB1" w:rsidRPr="00017473">
        <w:rPr>
          <w:b/>
          <w:bCs/>
          <w:noProof/>
        </w:rPr>
        <w:fldChar w:fldCharType="end"/>
      </w:r>
      <w:r w:rsidR="00664FDB" w:rsidRPr="00017473">
        <w:rPr>
          <w:b/>
          <w:bCs/>
        </w:rPr>
        <w:t>:</w:t>
      </w:r>
      <w:r w:rsidR="00664FDB" w:rsidRPr="00630A55">
        <w:t xml:space="preserve"> Summary of IFR </w:t>
      </w:r>
      <w:r w:rsidR="00595A9F">
        <w:t>FY20/21</w:t>
      </w:r>
      <w:r w:rsidR="00664FDB" w:rsidRPr="00630A55">
        <w:t xml:space="preserve"> costing and activity data for chemotherapy, with </w:t>
      </w:r>
      <w:r w:rsidR="00595A9F">
        <w:t>FY19/20</w:t>
      </w:r>
      <w:r w:rsidR="00664FDB" w:rsidRPr="00630A55">
        <w:t xml:space="preserve"> variances for average cost and </w:t>
      </w:r>
      <w:r w:rsidR="00664FDB" w:rsidRPr="00630A55">
        <w:rPr>
          <w:rFonts w:ascii="Univers 45 Light" w:hAnsi="Univers 45 Light"/>
          <w:i/>
          <w:szCs w:val="20"/>
        </w:rPr>
        <w:t>activity, by jurisdiction and sample site</w:t>
      </w:r>
    </w:p>
    <w:tbl>
      <w:tblPr>
        <w:tblW w:w="9068" w:type="dxa"/>
        <w:tblLayout w:type="fixed"/>
        <w:tblCellMar>
          <w:left w:w="28" w:type="dxa"/>
          <w:right w:w="28" w:type="dxa"/>
        </w:tblCellMar>
        <w:tblLook w:val="04A0" w:firstRow="1" w:lastRow="0" w:firstColumn="1" w:lastColumn="0" w:noHBand="0" w:noVBand="1"/>
      </w:tblPr>
      <w:tblGrid>
        <w:gridCol w:w="704"/>
        <w:gridCol w:w="1134"/>
        <w:gridCol w:w="1276"/>
        <w:gridCol w:w="1073"/>
        <w:gridCol w:w="1033"/>
        <w:gridCol w:w="871"/>
        <w:gridCol w:w="1134"/>
        <w:gridCol w:w="850"/>
        <w:gridCol w:w="993"/>
      </w:tblGrid>
      <w:tr w:rsidR="005B7221" w:rsidRPr="00630A55" w14:paraId="4FBEB6F9" w14:textId="77777777" w:rsidTr="005F18FF">
        <w:trPr>
          <w:trHeight w:val="20"/>
          <w:tblHeader/>
        </w:trPr>
        <w:tc>
          <w:tcPr>
            <w:tcW w:w="704" w:type="dxa"/>
            <w:tcBorders>
              <w:top w:val="single" w:sz="4" w:space="0" w:color="auto"/>
              <w:left w:val="single" w:sz="4" w:space="0" w:color="auto"/>
              <w:bottom w:val="single" w:sz="4" w:space="0" w:color="auto"/>
              <w:right w:val="single" w:sz="4" w:space="0" w:color="auto"/>
            </w:tcBorders>
            <w:shd w:val="clear" w:color="auto" w:fill="00338D"/>
            <w:vAlign w:val="center"/>
          </w:tcPr>
          <w:p w14:paraId="01EBEEB0" w14:textId="65BF2243" w:rsidR="00664FDB" w:rsidRPr="005F18FF" w:rsidRDefault="00664FDB" w:rsidP="008F21F4">
            <w:pPr>
              <w:rPr>
                <w:rFonts w:cs="Arial"/>
                <w:b/>
                <w:sz w:val="20"/>
                <w:szCs w:val="20"/>
                <w:lang w:eastAsia="en-AU"/>
              </w:rPr>
            </w:pPr>
          </w:p>
        </w:tc>
        <w:tc>
          <w:tcPr>
            <w:tcW w:w="1134" w:type="dxa"/>
            <w:tcBorders>
              <w:top w:val="single" w:sz="4" w:space="0" w:color="auto"/>
              <w:left w:val="nil"/>
              <w:bottom w:val="single" w:sz="4" w:space="0" w:color="auto"/>
              <w:right w:val="single" w:sz="4" w:space="0" w:color="auto"/>
            </w:tcBorders>
            <w:shd w:val="clear" w:color="auto" w:fill="00338D"/>
            <w:vAlign w:val="center"/>
            <w:hideMark/>
          </w:tcPr>
          <w:p w14:paraId="53308E0F" w14:textId="77777777" w:rsidR="00664FDB" w:rsidRPr="005F18FF" w:rsidRDefault="00664FDB" w:rsidP="008F21F4">
            <w:pPr>
              <w:rPr>
                <w:rFonts w:cs="Arial"/>
                <w:b/>
                <w:sz w:val="20"/>
                <w:szCs w:val="20"/>
                <w:lang w:eastAsia="en-AU"/>
              </w:rPr>
            </w:pPr>
            <w:r w:rsidRPr="005F18FF">
              <w:rPr>
                <w:rFonts w:cs="Arial"/>
                <w:b/>
                <w:sz w:val="20"/>
                <w:szCs w:val="20"/>
                <w:lang w:eastAsia="en-AU"/>
              </w:rPr>
              <w:t>Site</w:t>
            </w:r>
          </w:p>
        </w:tc>
        <w:tc>
          <w:tcPr>
            <w:tcW w:w="1276" w:type="dxa"/>
            <w:tcBorders>
              <w:top w:val="single" w:sz="4" w:space="0" w:color="auto"/>
              <w:left w:val="nil"/>
              <w:bottom w:val="single" w:sz="4" w:space="0" w:color="auto"/>
              <w:right w:val="single" w:sz="4" w:space="0" w:color="auto"/>
            </w:tcBorders>
            <w:shd w:val="clear" w:color="auto" w:fill="00338D"/>
            <w:vAlign w:val="center"/>
            <w:hideMark/>
          </w:tcPr>
          <w:p w14:paraId="08C6B12B" w14:textId="77777777" w:rsidR="00664FDB" w:rsidRPr="005F18FF" w:rsidRDefault="00664FDB" w:rsidP="008F21F4">
            <w:pPr>
              <w:rPr>
                <w:rFonts w:cs="Arial"/>
                <w:b/>
                <w:sz w:val="20"/>
                <w:szCs w:val="20"/>
                <w:lang w:eastAsia="en-AU"/>
              </w:rPr>
            </w:pPr>
            <w:r w:rsidRPr="005F18FF">
              <w:rPr>
                <w:rFonts w:cs="Arial"/>
                <w:b/>
                <w:sz w:val="20"/>
                <w:szCs w:val="20"/>
                <w:lang w:eastAsia="en-AU"/>
              </w:rPr>
              <w:t>Total Cost</w:t>
            </w:r>
          </w:p>
        </w:tc>
        <w:tc>
          <w:tcPr>
            <w:tcW w:w="1073" w:type="dxa"/>
            <w:tcBorders>
              <w:top w:val="single" w:sz="4" w:space="0" w:color="auto"/>
              <w:left w:val="nil"/>
              <w:bottom w:val="single" w:sz="4" w:space="0" w:color="auto"/>
              <w:right w:val="single" w:sz="4" w:space="0" w:color="auto"/>
            </w:tcBorders>
            <w:shd w:val="clear" w:color="auto" w:fill="00338D"/>
            <w:vAlign w:val="center"/>
            <w:hideMark/>
          </w:tcPr>
          <w:p w14:paraId="49876F53" w14:textId="77777777" w:rsidR="00664FDB" w:rsidRPr="005F18FF" w:rsidRDefault="00664FDB" w:rsidP="008F21F4">
            <w:pPr>
              <w:rPr>
                <w:rFonts w:cs="Arial"/>
                <w:b/>
                <w:sz w:val="20"/>
                <w:szCs w:val="20"/>
                <w:lang w:eastAsia="en-AU"/>
              </w:rPr>
            </w:pPr>
            <w:r w:rsidRPr="005F18FF">
              <w:rPr>
                <w:rFonts w:cs="Arial"/>
                <w:b/>
                <w:sz w:val="20"/>
                <w:szCs w:val="20"/>
                <w:lang w:eastAsia="en-AU"/>
              </w:rPr>
              <w:t>Highest Cost Episode</w:t>
            </w:r>
          </w:p>
        </w:tc>
        <w:tc>
          <w:tcPr>
            <w:tcW w:w="1033" w:type="dxa"/>
            <w:tcBorders>
              <w:top w:val="single" w:sz="4" w:space="0" w:color="auto"/>
              <w:left w:val="nil"/>
              <w:bottom w:val="single" w:sz="4" w:space="0" w:color="auto"/>
              <w:right w:val="single" w:sz="4" w:space="0" w:color="auto"/>
            </w:tcBorders>
            <w:shd w:val="clear" w:color="auto" w:fill="00338D"/>
            <w:vAlign w:val="center"/>
            <w:hideMark/>
          </w:tcPr>
          <w:p w14:paraId="6BC69F89" w14:textId="77777777" w:rsidR="00664FDB" w:rsidRPr="005F18FF" w:rsidRDefault="00664FDB" w:rsidP="008F21F4">
            <w:pPr>
              <w:rPr>
                <w:rFonts w:cs="Arial"/>
                <w:b/>
                <w:sz w:val="20"/>
                <w:szCs w:val="20"/>
                <w:lang w:eastAsia="en-AU"/>
              </w:rPr>
            </w:pPr>
            <w:r w:rsidRPr="005F18FF">
              <w:rPr>
                <w:rFonts w:cs="Arial"/>
                <w:b/>
                <w:sz w:val="20"/>
                <w:szCs w:val="20"/>
                <w:lang w:eastAsia="en-AU"/>
              </w:rPr>
              <w:t>Lowest Cost Episode</w:t>
            </w:r>
          </w:p>
        </w:tc>
        <w:tc>
          <w:tcPr>
            <w:tcW w:w="871" w:type="dxa"/>
            <w:tcBorders>
              <w:top w:val="single" w:sz="4" w:space="0" w:color="auto"/>
              <w:left w:val="nil"/>
              <w:bottom w:val="single" w:sz="4" w:space="0" w:color="auto"/>
              <w:right w:val="single" w:sz="4" w:space="0" w:color="auto"/>
            </w:tcBorders>
            <w:shd w:val="clear" w:color="auto" w:fill="00338D"/>
            <w:vAlign w:val="center"/>
            <w:hideMark/>
          </w:tcPr>
          <w:p w14:paraId="3DE3498C" w14:textId="16B66399" w:rsidR="00664FDB" w:rsidRPr="005F18FF" w:rsidRDefault="00664FDB" w:rsidP="008F21F4">
            <w:pPr>
              <w:rPr>
                <w:rFonts w:cs="Arial"/>
                <w:b/>
                <w:sz w:val="20"/>
                <w:szCs w:val="20"/>
                <w:lang w:eastAsia="en-AU"/>
              </w:rPr>
            </w:pPr>
            <w:r w:rsidRPr="005F18FF">
              <w:rPr>
                <w:rFonts w:cs="Arial"/>
                <w:b/>
                <w:sz w:val="20"/>
                <w:szCs w:val="20"/>
                <w:lang w:eastAsia="en-AU"/>
              </w:rPr>
              <w:t>R</w:t>
            </w:r>
            <w:r w:rsidR="005F6602" w:rsidRPr="005F18FF">
              <w:rPr>
                <w:rFonts w:cs="Arial"/>
                <w:b/>
                <w:sz w:val="20"/>
                <w:szCs w:val="20"/>
                <w:lang w:eastAsia="en-AU"/>
              </w:rPr>
              <w:t>2</w:t>
            </w:r>
            <w:r w:rsidRPr="005F18FF">
              <w:rPr>
                <w:rFonts w:cs="Arial"/>
                <w:b/>
                <w:sz w:val="20"/>
                <w:szCs w:val="20"/>
                <w:lang w:eastAsia="en-AU"/>
              </w:rPr>
              <w:t xml:space="preserve">5 Average Cost </w:t>
            </w:r>
          </w:p>
        </w:tc>
        <w:tc>
          <w:tcPr>
            <w:tcW w:w="1134" w:type="dxa"/>
            <w:tcBorders>
              <w:top w:val="single" w:sz="4" w:space="0" w:color="auto"/>
              <w:left w:val="nil"/>
              <w:bottom w:val="single" w:sz="4" w:space="0" w:color="auto"/>
              <w:right w:val="single" w:sz="4" w:space="0" w:color="auto"/>
            </w:tcBorders>
            <w:shd w:val="clear" w:color="auto" w:fill="00338D"/>
          </w:tcPr>
          <w:p w14:paraId="53896696" w14:textId="77777777" w:rsidR="00664FDB" w:rsidRPr="005F18FF" w:rsidRDefault="00664FDB" w:rsidP="008F21F4">
            <w:pPr>
              <w:rPr>
                <w:rFonts w:cs="Arial"/>
                <w:b/>
                <w:sz w:val="20"/>
                <w:szCs w:val="20"/>
                <w:lang w:eastAsia="en-AU"/>
              </w:rPr>
            </w:pPr>
            <w:r w:rsidRPr="005F18FF">
              <w:rPr>
                <w:rFonts w:cs="Arial"/>
                <w:b/>
                <w:sz w:val="20"/>
                <w:szCs w:val="20"/>
                <w:lang w:eastAsia="en-AU"/>
              </w:rPr>
              <w:t>Average cost variance (R25 to R24)</w:t>
            </w:r>
          </w:p>
        </w:tc>
        <w:tc>
          <w:tcPr>
            <w:tcW w:w="850" w:type="dxa"/>
            <w:tcBorders>
              <w:top w:val="single" w:sz="4" w:space="0" w:color="auto"/>
              <w:left w:val="single" w:sz="4" w:space="0" w:color="auto"/>
              <w:bottom w:val="single" w:sz="4" w:space="0" w:color="auto"/>
              <w:right w:val="single" w:sz="4" w:space="0" w:color="auto"/>
            </w:tcBorders>
            <w:shd w:val="clear" w:color="auto" w:fill="00338D"/>
            <w:vAlign w:val="center"/>
            <w:hideMark/>
          </w:tcPr>
          <w:p w14:paraId="59316374" w14:textId="77777777" w:rsidR="00664FDB" w:rsidRPr="005F18FF" w:rsidRDefault="00664FDB" w:rsidP="008F21F4">
            <w:pPr>
              <w:rPr>
                <w:rFonts w:cs="Arial"/>
                <w:b/>
                <w:sz w:val="20"/>
                <w:szCs w:val="20"/>
                <w:lang w:eastAsia="en-AU"/>
              </w:rPr>
            </w:pPr>
            <w:r w:rsidRPr="005F18FF">
              <w:rPr>
                <w:rFonts w:cs="Arial"/>
                <w:b/>
                <w:sz w:val="20"/>
                <w:szCs w:val="20"/>
                <w:lang w:eastAsia="en-AU"/>
              </w:rPr>
              <w:t>R25 Activity</w:t>
            </w:r>
          </w:p>
        </w:tc>
        <w:tc>
          <w:tcPr>
            <w:tcW w:w="993" w:type="dxa"/>
            <w:tcBorders>
              <w:top w:val="single" w:sz="4" w:space="0" w:color="auto"/>
              <w:left w:val="single" w:sz="4" w:space="0" w:color="auto"/>
              <w:bottom w:val="single" w:sz="4" w:space="0" w:color="auto"/>
              <w:right w:val="single" w:sz="4" w:space="0" w:color="auto"/>
            </w:tcBorders>
            <w:shd w:val="clear" w:color="auto" w:fill="00338D"/>
          </w:tcPr>
          <w:p w14:paraId="56C1469C" w14:textId="77777777" w:rsidR="00664FDB" w:rsidRPr="005F18FF" w:rsidRDefault="00664FDB" w:rsidP="008F21F4">
            <w:pPr>
              <w:rPr>
                <w:rFonts w:cs="Arial"/>
                <w:b/>
                <w:sz w:val="20"/>
                <w:szCs w:val="20"/>
                <w:lang w:eastAsia="en-AU"/>
              </w:rPr>
            </w:pPr>
            <w:r w:rsidRPr="005F18FF">
              <w:rPr>
                <w:rFonts w:cs="Arial"/>
                <w:b/>
                <w:sz w:val="20"/>
                <w:szCs w:val="20"/>
                <w:lang w:eastAsia="en-AU"/>
              </w:rPr>
              <w:t>Activity variance (R25 to R24)</w:t>
            </w:r>
          </w:p>
        </w:tc>
      </w:tr>
      <w:tr w:rsidR="004E213B" w:rsidRPr="00630A55" w14:paraId="22234585" w14:textId="77777777" w:rsidTr="005F18FF">
        <w:trPr>
          <w:trHeight w:val="20"/>
        </w:trPr>
        <w:tc>
          <w:tcPr>
            <w:tcW w:w="704" w:type="dxa"/>
            <w:tcBorders>
              <w:top w:val="nil"/>
              <w:left w:val="single" w:sz="4" w:space="0" w:color="auto"/>
              <w:bottom w:val="single" w:sz="4" w:space="0" w:color="auto"/>
              <w:right w:val="single" w:sz="4" w:space="0" w:color="auto"/>
            </w:tcBorders>
            <w:shd w:val="clear" w:color="auto" w:fill="auto"/>
            <w:vAlign w:val="center"/>
          </w:tcPr>
          <w:p w14:paraId="20C267A1" w14:textId="376D8C90" w:rsidR="00626934" w:rsidRPr="005F18FF" w:rsidRDefault="00B14B00" w:rsidP="008F21F4">
            <w:pPr>
              <w:rPr>
                <w:rFonts w:cs="Arial"/>
                <w:b/>
                <w:bCs/>
                <w:sz w:val="20"/>
                <w:szCs w:val="20"/>
                <w:lang w:eastAsia="en-AU"/>
              </w:rPr>
            </w:pPr>
            <w:r w:rsidRPr="005F18FF">
              <w:rPr>
                <w:rFonts w:cs="Arial"/>
                <w:b/>
                <w:bCs/>
                <w:sz w:val="20"/>
                <w:szCs w:val="20"/>
                <w:lang w:eastAsia="en-AU"/>
              </w:rPr>
              <w:t>ACT</w:t>
            </w:r>
          </w:p>
        </w:tc>
        <w:tc>
          <w:tcPr>
            <w:tcW w:w="1134" w:type="dxa"/>
            <w:tcBorders>
              <w:top w:val="nil"/>
              <w:left w:val="nil"/>
              <w:bottom w:val="single" w:sz="4" w:space="0" w:color="auto"/>
              <w:right w:val="single" w:sz="4" w:space="0" w:color="auto"/>
            </w:tcBorders>
            <w:shd w:val="clear" w:color="auto" w:fill="auto"/>
            <w:vAlign w:val="center"/>
            <w:hideMark/>
          </w:tcPr>
          <w:p w14:paraId="5D0E554B" w14:textId="728E4F96" w:rsidR="00626934" w:rsidRPr="005F18FF" w:rsidRDefault="00626934" w:rsidP="00710D0C">
            <w:pPr>
              <w:pStyle w:val="TableText8Font"/>
              <w:rPr>
                <w:rFonts w:cs="Arial"/>
                <w:sz w:val="20"/>
                <w:szCs w:val="20"/>
              </w:rPr>
            </w:pPr>
            <w:r w:rsidRPr="005F18FF">
              <w:rPr>
                <w:rFonts w:cs="Arial"/>
                <w:sz w:val="20"/>
                <w:szCs w:val="20"/>
              </w:rPr>
              <w:t>Canberra Hosp</w:t>
            </w:r>
            <w:r w:rsidR="00FE6885" w:rsidRPr="005F18FF">
              <w:rPr>
                <w:rFonts w:cs="Arial"/>
                <w:sz w:val="20"/>
                <w:szCs w:val="20"/>
              </w:rPr>
              <w:t>ital</w:t>
            </w:r>
          </w:p>
        </w:tc>
        <w:tc>
          <w:tcPr>
            <w:tcW w:w="1276" w:type="dxa"/>
            <w:tcBorders>
              <w:top w:val="nil"/>
              <w:left w:val="nil"/>
              <w:bottom w:val="single" w:sz="4" w:space="0" w:color="auto"/>
              <w:right w:val="single" w:sz="4" w:space="0" w:color="auto"/>
            </w:tcBorders>
            <w:shd w:val="clear" w:color="auto" w:fill="auto"/>
            <w:vAlign w:val="center"/>
          </w:tcPr>
          <w:p w14:paraId="09EAF4DE" w14:textId="1480C052"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$62,827</w:t>
            </w:r>
          </w:p>
        </w:tc>
        <w:tc>
          <w:tcPr>
            <w:tcW w:w="1073" w:type="dxa"/>
            <w:tcBorders>
              <w:top w:val="nil"/>
              <w:left w:val="nil"/>
              <w:bottom w:val="single" w:sz="4" w:space="0" w:color="auto"/>
              <w:right w:val="single" w:sz="4" w:space="0" w:color="auto"/>
            </w:tcBorders>
            <w:shd w:val="clear" w:color="auto" w:fill="auto"/>
            <w:vAlign w:val="center"/>
          </w:tcPr>
          <w:p w14:paraId="15C09B3A" w14:textId="1324A220"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$1,354</w:t>
            </w:r>
          </w:p>
        </w:tc>
        <w:tc>
          <w:tcPr>
            <w:tcW w:w="1033" w:type="dxa"/>
            <w:tcBorders>
              <w:top w:val="nil"/>
              <w:left w:val="nil"/>
              <w:bottom w:val="single" w:sz="4" w:space="0" w:color="auto"/>
              <w:right w:val="single" w:sz="4" w:space="0" w:color="auto"/>
            </w:tcBorders>
            <w:shd w:val="clear" w:color="auto" w:fill="auto"/>
            <w:vAlign w:val="center"/>
          </w:tcPr>
          <w:p w14:paraId="190FCADA" w14:textId="7907FE9C"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$109</w:t>
            </w:r>
          </w:p>
        </w:tc>
        <w:tc>
          <w:tcPr>
            <w:tcW w:w="871" w:type="dxa"/>
            <w:tcBorders>
              <w:top w:val="nil"/>
              <w:left w:val="nil"/>
              <w:bottom w:val="single" w:sz="4" w:space="0" w:color="auto"/>
              <w:right w:val="single" w:sz="4" w:space="0" w:color="auto"/>
            </w:tcBorders>
            <w:shd w:val="clear" w:color="auto" w:fill="auto"/>
            <w:vAlign w:val="center"/>
          </w:tcPr>
          <w:p w14:paraId="0DE5CB50" w14:textId="49B75C0F"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$372</w:t>
            </w:r>
          </w:p>
        </w:tc>
        <w:tc>
          <w:tcPr>
            <w:tcW w:w="1134" w:type="dxa"/>
            <w:tcBorders>
              <w:top w:val="single" w:sz="4" w:space="0" w:color="auto"/>
              <w:left w:val="nil"/>
              <w:bottom w:val="single" w:sz="4" w:space="0" w:color="auto"/>
              <w:right w:val="single" w:sz="4" w:space="0" w:color="auto"/>
            </w:tcBorders>
            <w:vAlign w:val="center"/>
          </w:tcPr>
          <w:p w14:paraId="43B585CB" w14:textId="42B6580E"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(36.8%)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5DA8C66" w14:textId="1A537EEC"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169</w:t>
            </w:r>
          </w:p>
        </w:tc>
        <w:tc>
          <w:tcPr>
            <w:tcW w:w="993" w:type="dxa"/>
            <w:tcBorders>
              <w:top w:val="single" w:sz="4" w:space="0" w:color="auto"/>
              <w:left w:val="single" w:sz="4" w:space="0" w:color="auto"/>
              <w:bottom w:val="single" w:sz="4" w:space="0" w:color="auto"/>
              <w:right w:val="single" w:sz="4" w:space="0" w:color="auto"/>
            </w:tcBorders>
            <w:vAlign w:val="center"/>
          </w:tcPr>
          <w:p w14:paraId="4C48DBC0" w14:textId="74C8D6FA"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56.5%</w:t>
            </w:r>
          </w:p>
        </w:tc>
      </w:tr>
      <w:tr w:rsidR="004E213B" w:rsidRPr="00630A55" w14:paraId="4B0D54A7" w14:textId="77777777" w:rsidTr="005F18FF">
        <w:trPr>
          <w:trHeight w:val="20"/>
        </w:trPr>
        <w:tc>
          <w:tcPr>
            <w:tcW w:w="704" w:type="dxa"/>
            <w:tcBorders>
              <w:top w:val="nil"/>
              <w:left w:val="single" w:sz="4" w:space="0" w:color="auto"/>
              <w:bottom w:val="single" w:sz="4" w:space="0" w:color="auto"/>
              <w:right w:val="single" w:sz="4" w:space="0" w:color="auto"/>
            </w:tcBorders>
            <w:shd w:val="clear" w:color="auto" w:fill="auto"/>
            <w:vAlign w:val="center"/>
          </w:tcPr>
          <w:p w14:paraId="68EFFA98" w14:textId="351F7D55" w:rsidR="00626934" w:rsidRPr="005F18FF" w:rsidRDefault="00B14B00" w:rsidP="008F21F4">
            <w:pPr>
              <w:rPr>
                <w:rFonts w:cs="Arial"/>
                <w:b/>
                <w:bCs/>
                <w:sz w:val="20"/>
                <w:szCs w:val="20"/>
                <w:lang w:eastAsia="en-AU"/>
              </w:rPr>
            </w:pPr>
            <w:r w:rsidRPr="005F18FF">
              <w:rPr>
                <w:rFonts w:cs="Arial"/>
                <w:b/>
                <w:bCs/>
                <w:sz w:val="20"/>
                <w:szCs w:val="20"/>
                <w:lang w:eastAsia="en-AU"/>
              </w:rPr>
              <w:t>NT</w:t>
            </w:r>
          </w:p>
        </w:tc>
        <w:tc>
          <w:tcPr>
            <w:tcW w:w="1134" w:type="dxa"/>
            <w:tcBorders>
              <w:top w:val="nil"/>
              <w:left w:val="nil"/>
              <w:bottom w:val="single" w:sz="4" w:space="0" w:color="auto"/>
              <w:right w:val="single" w:sz="4" w:space="0" w:color="auto"/>
            </w:tcBorders>
            <w:shd w:val="clear" w:color="auto" w:fill="auto"/>
            <w:vAlign w:val="center"/>
            <w:hideMark/>
          </w:tcPr>
          <w:p w14:paraId="596D87E3" w14:textId="7D103989" w:rsidR="00626934" w:rsidRPr="005F18FF" w:rsidRDefault="00626934" w:rsidP="00710D0C">
            <w:pPr>
              <w:pStyle w:val="TableText8Font"/>
              <w:rPr>
                <w:rFonts w:cs="Arial"/>
                <w:sz w:val="20"/>
                <w:szCs w:val="20"/>
              </w:rPr>
            </w:pPr>
            <w:r w:rsidRPr="005F18FF">
              <w:rPr>
                <w:rFonts w:cs="Arial"/>
                <w:sz w:val="20"/>
                <w:szCs w:val="20"/>
              </w:rPr>
              <w:t>Alice Springs Hosp</w:t>
            </w:r>
            <w:r w:rsidR="00FE6885" w:rsidRPr="005F18FF">
              <w:rPr>
                <w:rFonts w:cs="Arial"/>
                <w:sz w:val="20"/>
                <w:szCs w:val="20"/>
              </w:rPr>
              <w:t>ital</w:t>
            </w:r>
          </w:p>
        </w:tc>
        <w:tc>
          <w:tcPr>
            <w:tcW w:w="1276" w:type="dxa"/>
            <w:tcBorders>
              <w:top w:val="nil"/>
              <w:left w:val="nil"/>
              <w:bottom w:val="single" w:sz="4" w:space="0" w:color="auto"/>
              <w:right w:val="single" w:sz="4" w:space="0" w:color="auto"/>
            </w:tcBorders>
            <w:shd w:val="clear" w:color="auto" w:fill="auto"/>
            <w:vAlign w:val="center"/>
          </w:tcPr>
          <w:p w14:paraId="5A02F42B" w14:textId="1038E48D"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$1,966,279</w:t>
            </w:r>
          </w:p>
        </w:tc>
        <w:tc>
          <w:tcPr>
            <w:tcW w:w="1073" w:type="dxa"/>
            <w:tcBorders>
              <w:top w:val="nil"/>
              <w:left w:val="nil"/>
              <w:bottom w:val="single" w:sz="4" w:space="0" w:color="auto"/>
              <w:right w:val="single" w:sz="4" w:space="0" w:color="auto"/>
            </w:tcBorders>
            <w:shd w:val="clear" w:color="auto" w:fill="auto"/>
            <w:vAlign w:val="center"/>
          </w:tcPr>
          <w:p w14:paraId="3E5DF442" w14:textId="559804CF"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$52,270</w:t>
            </w:r>
          </w:p>
        </w:tc>
        <w:tc>
          <w:tcPr>
            <w:tcW w:w="1033" w:type="dxa"/>
            <w:tcBorders>
              <w:top w:val="nil"/>
              <w:left w:val="nil"/>
              <w:bottom w:val="single" w:sz="4" w:space="0" w:color="auto"/>
              <w:right w:val="single" w:sz="4" w:space="0" w:color="auto"/>
            </w:tcBorders>
            <w:shd w:val="clear" w:color="auto" w:fill="auto"/>
            <w:vAlign w:val="center"/>
          </w:tcPr>
          <w:p w14:paraId="35704B43" w14:textId="6AEB5B55"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$142</w:t>
            </w:r>
          </w:p>
        </w:tc>
        <w:tc>
          <w:tcPr>
            <w:tcW w:w="871" w:type="dxa"/>
            <w:tcBorders>
              <w:top w:val="nil"/>
              <w:left w:val="nil"/>
              <w:bottom w:val="single" w:sz="4" w:space="0" w:color="auto"/>
              <w:right w:val="single" w:sz="4" w:space="0" w:color="auto"/>
            </w:tcBorders>
            <w:shd w:val="clear" w:color="auto" w:fill="auto"/>
            <w:vAlign w:val="center"/>
          </w:tcPr>
          <w:p w14:paraId="30042787" w14:textId="5F03D84A"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$3,344</w:t>
            </w:r>
          </w:p>
        </w:tc>
        <w:tc>
          <w:tcPr>
            <w:tcW w:w="1134" w:type="dxa"/>
            <w:tcBorders>
              <w:top w:val="single" w:sz="4" w:space="0" w:color="auto"/>
              <w:left w:val="nil"/>
              <w:bottom w:val="single" w:sz="4" w:space="0" w:color="auto"/>
              <w:right w:val="single" w:sz="4" w:space="0" w:color="auto"/>
            </w:tcBorders>
            <w:vAlign w:val="center"/>
          </w:tcPr>
          <w:p w14:paraId="2A6D25E2" w14:textId="26AD7A13"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213.4%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8531FA6" w14:textId="318D7264"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588</w:t>
            </w:r>
          </w:p>
        </w:tc>
        <w:tc>
          <w:tcPr>
            <w:tcW w:w="993" w:type="dxa"/>
            <w:tcBorders>
              <w:top w:val="single" w:sz="4" w:space="0" w:color="auto"/>
              <w:left w:val="single" w:sz="4" w:space="0" w:color="auto"/>
              <w:bottom w:val="single" w:sz="4" w:space="0" w:color="auto"/>
              <w:right w:val="single" w:sz="4" w:space="0" w:color="auto"/>
            </w:tcBorders>
            <w:vAlign w:val="center"/>
          </w:tcPr>
          <w:p w14:paraId="67F20742" w14:textId="39A9F48D"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16.7%</w:t>
            </w:r>
          </w:p>
        </w:tc>
      </w:tr>
      <w:tr w:rsidR="004E213B" w:rsidRPr="00630A55" w14:paraId="6B248C80" w14:textId="77777777" w:rsidTr="005F18FF">
        <w:trPr>
          <w:trHeight w:val="20"/>
        </w:trPr>
        <w:tc>
          <w:tcPr>
            <w:tcW w:w="704" w:type="dxa"/>
            <w:vMerge w:val="restart"/>
            <w:tcBorders>
              <w:top w:val="nil"/>
              <w:left w:val="single" w:sz="4" w:space="0" w:color="auto"/>
              <w:right w:val="single" w:sz="4" w:space="0" w:color="auto"/>
            </w:tcBorders>
            <w:shd w:val="clear" w:color="auto" w:fill="auto"/>
            <w:vAlign w:val="center"/>
          </w:tcPr>
          <w:p w14:paraId="705DC4A0" w14:textId="34D84848" w:rsidR="00626934" w:rsidRPr="005F18FF" w:rsidRDefault="00B14B00" w:rsidP="008F21F4">
            <w:pPr>
              <w:rPr>
                <w:rFonts w:cs="Arial"/>
                <w:b/>
                <w:bCs/>
                <w:sz w:val="20"/>
                <w:szCs w:val="20"/>
                <w:lang w:eastAsia="en-AU"/>
              </w:rPr>
            </w:pPr>
            <w:r w:rsidRPr="005F18FF">
              <w:rPr>
                <w:rFonts w:cs="Arial"/>
                <w:b/>
                <w:bCs/>
                <w:sz w:val="20"/>
                <w:szCs w:val="20"/>
                <w:lang w:eastAsia="en-AU"/>
              </w:rPr>
              <w:t>SA</w:t>
            </w:r>
          </w:p>
        </w:tc>
        <w:tc>
          <w:tcPr>
            <w:tcW w:w="1134" w:type="dxa"/>
            <w:tcBorders>
              <w:top w:val="nil"/>
              <w:left w:val="nil"/>
              <w:bottom w:val="single" w:sz="4" w:space="0" w:color="auto"/>
              <w:right w:val="single" w:sz="4" w:space="0" w:color="auto"/>
            </w:tcBorders>
            <w:shd w:val="clear" w:color="auto" w:fill="auto"/>
            <w:vAlign w:val="center"/>
            <w:hideMark/>
          </w:tcPr>
          <w:p w14:paraId="584D25B6" w14:textId="727C49A2" w:rsidR="00626934" w:rsidRPr="005F18FF" w:rsidRDefault="00626934" w:rsidP="00710D0C">
            <w:pPr>
              <w:pStyle w:val="TableText8Font"/>
              <w:rPr>
                <w:rFonts w:cs="Arial"/>
                <w:sz w:val="20"/>
                <w:szCs w:val="20"/>
              </w:rPr>
            </w:pPr>
            <w:r w:rsidRPr="005F18FF">
              <w:rPr>
                <w:rFonts w:cs="Arial"/>
                <w:sz w:val="20"/>
                <w:szCs w:val="20"/>
              </w:rPr>
              <w:t>Port Augusta Hospital</w:t>
            </w:r>
          </w:p>
        </w:tc>
        <w:tc>
          <w:tcPr>
            <w:tcW w:w="1276" w:type="dxa"/>
            <w:tcBorders>
              <w:top w:val="nil"/>
              <w:left w:val="nil"/>
              <w:bottom w:val="single" w:sz="4" w:space="0" w:color="auto"/>
              <w:right w:val="single" w:sz="4" w:space="0" w:color="auto"/>
            </w:tcBorders>
            <w:shd w:val="clear" w:color="auto" w:fill="auto"/>
            <w:vAlign w:val="center"/>
          </w:tcPr>
          <w:p w14:paraId="22AC8D10" w14:textId="1A6A2233"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$1,264,463</w:t>
            </w:r>
          </w:p>
        </w:tc>
        <w:tc>
          <w:tcPr>
            <w:tcW w:w="1073" w:type="dxa"/>
            <w:tcBorders>
              <w:top w:val="nil"/>
              <w:left w:val="nil"/>
              <w:bottom w:val="single" w:sz="4" w:space="0" w:color="auto"/>
              <w:right w:val="single" w:sz="4" w:space="0" w:color="auto"/>
            </w:tcBorders>
            <w:shd w:val="clear" w:color="auto" w:fill="auto"/>
            <w:vAlign w:val="center"/>
          </w:tcPr>
          <w:p w14:paraId="50AC5F66" w14:textId="6DB0395E"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$27,546</w:t>
            </w:r>
          </w:p>
        </w:tc>
        <w:tc>
          <w:tcPr>
            <w:tcW w:w="1033" w:type="dxa"/>
            <w:tcBorders>
              <w:top w:val="nil"/>
              <w:left w:val="nil"/>
              <w:bottom w:val="single" w:sz="4" w:space="0" w:color="auto"/>
              <w:right w:val="single" w:sz="4" w:space="0" w:color="auto"/>
            </w:tcBorders>
            <w:shd w:val="clear" w:color="auto" w:fill="auto"/>
            <w:vAlign w:val="center"/>
          </w:tcPr>
          <w:p w14:paraId="7FD4BBEB" w14:textId="38765B27"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$ 583</w:t>
            </w:r>
          </w:p>
        </w:tc>
        <w:tc>
          <w:tcPr>
            <w:tcW w:w="871" w:type="dxa"/>
            <w:tcBorders>
              <w:top w:val="nil"/>
              <w:left w:val="nil"/>
              <w:bottom w:val="single" w:sz="4" w:space="0" w:color="auto"/>
              <w:right w:val="single" w:sz="4" w:space="0" w:color="auto"/>
            </w:tcBorders>
            <w:shd w:val="clear" w:color="auto" w:fill="auto"/>
            <w:vAlign w:val="center"/>
          </w:tcPr>
          <w:p w14:paraId="1F3A2DD8" w14:textId="4FD3B8C1"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$4,173</w:t>
            </w:r>
          </w:p>
        </w:tc>
        <w:tc>
          <w:tcPr>
            <w:tcW w:w="1134" w:type="dxa"/>
            <w:tcBorders>
              <w:top w:val="single" w:sz="4" w:space="0" w:color="auto"/>
              <w:left w:val="nil"/>
              <w:bottom w:val="single" w:sz="4" w:space="0" w:color="auto"/>
              <w:right w:val="single" w:sz="4" w:space="0" w:color="auto"/>
            </w:tcBorders>
            <w:vAlign w:val="center"/>
          </w:tcPr>
          <w:p w14:paraId="15FD7A88" w14:textId="7DDAB5B6"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38.2%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8527CB0" w14:textId="0863AC44"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303</w:t>
            </w:r>
          </w:p>
        </w:tc>
        <w:tc>
          <w:tcPr>
            <w:tcW w:w="993" w:type="dxa"/>
            <w:tcBorders>
              <w:top w:val="single" w:sz="4" w:space="0" w:color="auto"/>
              <w:left w:val="single" w:sz="4" w:space="0" w:color="auto"/>
              <w:bottom w:val="single" w:sz="4" w:space="0" w:color="auto"/>
              <w:right w:val="single" w:sz="4" w:space="0" w:color="auto"/>
            </w:tcBorders>
            <w:vAlign w:val="center"/>
          </w:tcPr>
          <w:p w14:paraId="4F863824" w14:textId="46130AFD"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22.7%</w:t>
            </w:r>
          </w:p>
        </w:tc>
      </w:tr>
      <w:tr w:rsidR="004E213B" w:rsidRPr="00630A55" w14:paraId="317DAF57" w14:textId="77777777" w:rsidTr="005F18FF">
        <w:trPr>
          <w:trHeight w:val="20"/>
        </w:trPr>
        <w:tc>
          <w:tcPr>
            <w:tcW w:w="704" w:type="dxa"/>
            <w:vMerge/>
            <w:tcBorders>
              <w:left w:val="single" w:sz="4" w:space="0" w:color="auto"/>
              <w:bottom w:val="single" w:sz="4" w:space="0" w:color="auto"/>
              <w:right w:val="single" w:sz="4" w:space="0" w:color="auto"/>
            </w:tcBorders>
            <w:shd w:val="clear" w:color="auto" w:fill="auto"/>
          </w:tcPr>
          <w:p w14:paraId="742EF904" w14:textId="77777777" w:rsidR="00626934" w:rsidRPr="005F18FF" w:rsidRDefault="00626934" w:rsidP="008F21F4">
            <w:pPr>
              <w:rPr>
                <w:rFonts w:cs="Arial"/>
                <w:b/>
                <w:bCs/>
                <w:sz w:val="20"/>
                <w:szCs w:val="20"/>
                <w:lang w:eastAsia="en-AU"/>
              </w:rPr>
            </w:pPr>
          </w:p>
        </w:tc>
        <w:tc>
          <w:tcPr>
            <w:tcW w:w="1134" w:type="dxa"/>
            <w:tcBorders>
              <w:top w:val="nil"/>
              <w:left w:val="nil"/>
              <w:bottom w:val="single" w:sz="4" w:space="0" w:color="auto"/>
              <w:right w:val="single" w:sz="4" w:space="0" w:color="auto"/>
            </w:tcBorders>
            <w:shd w:val="clear" w:color="auto" w:fill="auto"/>
            <w:vAlign w:val="center"/>
            <w:hideMark/>
          </w:tcPr>
          <w:p w14:paraId="49140BA8" w14:textId="2521B846" w:rsidR="00626934" w:rsidRPr="005F18FF" w:rsidRDefault="00626934" w:rsidP="00710D0C">
            <w:pPr>
              <w:pStyle w:val="TableText8Font"/>
              <w:rPr>
                <w:rFonts w:cs="Arial"/>
                <w:sz w:val="20"/>
                <w:szCs w:val="20"/>
              </w:rPr>
            </w:pPr>
            <w:r w:rsidRPr="005F18FF">
              <w:rPr>
                <w:rFonts w:cs="Arial"/>
                <w:sz w:val="20"/>
                <w:szCs w:val="20"/>
              </w:rPr>
              <w:t>Lyell McEwin Hospital</w:t>
            </w:r>
          </w:p>
        </w:tc>
        <w:tc>
          <w:tcPr>
            <w:tcW w:w="1276" w:type="dxa"/>
            <w:tcBorders>
              <w:top w:val="nil"/>
              <w:left w:val="nil"/>
              <w:bottom w:val="single" w:sz="4" w:space="0" w:color="auto"/>
              <w:right w:val="single" w:sz="4" w:space="0" w:color="auto"/>
            </w:tcBorders>
            <w:shd w:val="clear" w:color="auto" w:fill="auto"/>
            <w:vAlign w:val="center"/>
          </w:tcPr>
          <w:p w14:paraId="211019F4" w14:textId="72D4729C"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$9,170,367</w:t>
            </w:r>
          </w:p>
        </w:tc>
        <w:tc>
          <w:tcPr>
            <w:tcW w:w="1073" w:type="dxa"/>
            <w:tcBorders>
              <w:top w:val="nil"/>
              <w:left w:val="nil"/>
              <w:bottom w:val="single" w:sz="4" w:space="0" w:color="auto"/>
              <w:right w:val="single" w:sz="4" w:space="0" w:color="auto"/>
            </w:tcBorders>
            <w:shd w:val="clear" w:color="auto" w:fill="auto"/>
            <w:vAlign w:val="center"/>
          </w:tcPr>
          <w:p w14:paraId="01C06B07" w14:textId="6991C818"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$50,498</w:t>
            </w:r>
          </w:p>
        </w:tc>
        <w:tc>
          <w:tcPr>
            <w:tcW w:w="1033" w:type="dxa"/>
            <w:tcBorders>
              <w:top w:val="nil"/>
              <w:left w:val="nil"/>
              <w:bottom w:val="single" w:sz="4" w:space="0" w:color="auto"/>
              <w:right w:val="single" w:sz="4" w:space="0" w:color="auto"/>
            </w:tcBorders>
            <w:shd w:val="clear" w:color="auto" w:fill="auto"/>
            <w:vAlign w:val="center"/>
          </w:tcPr>
          <w:p w14:paraId="4DD6A6A9" w14:textId="1DB84B07"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$215</w:t>
            </w:r>
          </w:p>
        </w:tc>
        <w:tc>
          <w:tcPr>
            <w:tcW w:w="871" w:type="dxa"/>
            <w:tcBorders>
              <w:top w:val="nil"/>
              <w:left w:val="nil"/>
              <w:bottom w:val="single" w:sz="4" w:space="0" w:color="auto"/>
              <w:right w:val="single" w:sz="4" w:space="0" w:color="auto"/>
            </w:tcBorders>
            <w:shd w:val="clear" w:color="auto" w:fill="auto"/>
            <w:vAlign w:val="center"/>
          </w:tcPr>
          <w:p w14:paraId="3EC4874D" w14:textId="568C72BC"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$1,033</w:t>
            </w:r>
          </w:p>
        </w:tc>
        <w:tc>
          <w:tcPr>
            <w:tcW w:w="1134" w:type="dxa"/>
            <w:tcBorders>
              <w:top w:val="single" w:sz="4" w:space="0" w:color="auto"/>
              <w:left w:val="nil"/>
              <w:bottom w:val="single" w:sz="4" w:space="0" w:color="auto"/>
              <w:right w:val="single" w:sz="4" w:space="0" w:color="auto"/>
            </w:tcBorders>
            <w:vAlign w:val="center"/>
          </w:tcPr>
          <w:p w14:paraId="148760A7" w14:textId="621CCEF6"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(25.5%)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893ABAE" w14:textId="651A6E43"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8,878</w:t>
            </w:r>
          </w:p>
        </w:tc>
        <w:tc>
          <w:tcPr>
            <w:tcW w:w="993" w:type="dxa"/>
            <w:tcBorders>
              <w:top w:val="single" w:sz="4" w:space="0" w:color="auto"/>
              <w:left w:val="single" w:sz="4" w:space="0" w:color="auto"/>
              <w:bottom w:val="single" w:sz="4" w:space="0" w:color="auto"/>
              <w:right w:val="single" w:sz="4" w:space="0" w:color="auto"/>
            </w:tcBorders>
            <w:vAlign w:val="center"/>
          </w:tcPr>
          <w:p w14:paraId="442DF0DA" w14:textId="261070D3"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6.9%</w:t>
            </w:r>
          </w:p>
        </w:tc>
      </w:tr>
      <w:tr w:rsidR="004E213B" w:rsidRPr="00630A55" w14:paraId="28618B5E" w14:textId="77777777" w:rsidTr="005F18FF">
        <w:trPr>
          <w:trHeight w:val="20"/>
        </w:trPr>
        <w:tc>
          <w:tcPr>
            <w:tcW w:w="704" w:type="dxa"/>
            <w:tcBorders>
              <w:top w:val="nil"/>
              <w:left w:val="single" w:sz="4" w:space="0" w:color="auto"/>
              <w:bottom w:val="single" w:sz="4" w:space="0" w:color="auto"/>
              <w:right w:val="single" w:sz="4" w:space="0" w:color="auto"/>
            </w:tcBorders>
            <w:shd w:val="clear" w:color="auto" w:fill="auto"/>
            <w:vAlign w:val="center"/>
          </w:tcPr>
          <w:p w14:paraId="2AD3FD5E" w14:textId="0611B729" w:rsidR="00626934" w:rsidRPr="005F18FF" w:rsidRDefault="00B14B00" w:rsidP="008F21F4">
            <w:pPr>
              <w:rPr>
                <w:rFonts w:cs="Arial"/>
                <w:b/>
                <w:bCs/>
                <w:sz w:val="20"/>
                <w:szCs w:val="20"/>
                <w:lang w:eastAsia="en-AU"/>
              </w:rPr>
            </w:pPr>
            <w:r w:rsidRPr="005F18FF">
              <w:rPr>
                <w:rFonts w:cs="Arial"/>
                <w:b/>
                <w:bCs/>
                <w:sz w:val="20"/>
                <w:szCs w:val="20"/>
                <w:lang w:eastAsia="en-AU"/>
              </w:rPr>
              <w:t>TAS</w:t>
            </w:r>
          </w:p>
        </w:tc>
        <w:tc>
          <w:tcPr>
            <w:tcW w:w="1134" w:type="dxa"/>
            <w:tcBorders>
              <w:top w:val="nil"/>
              <w:left w:val="nil"/>
              <w:bottom w:val="single" w:sz="4" w:space="0" w:color="auto"/>
              <w:right w:val="single" w:sz="4" w:space="0" w:color="auto"/>
            </w:tcBorders>
            <w:shd w:val="clear" w:color="auto" w:fill="auto"/>
            <w:vAlign w:val="center"/>
            <w:hideMark/>
          </w:tcPr>
          <w:p w14:paraId="21ABCA02" w14:textId="19A728FA" w:rsidR="00626934" w:rsidRPr="005F18FF" w:rsidRDefault="00626934" w:rsidP="00710D0C">
            <w:pPr>
              <w:pStyle w:val="TableText8Font"/>
              <w:rPr>
                <w:rFonts w:cs="Arial"/>
                <w:sz w:val="20"/>
                <w:szCs w:val="20"/>
              </w:rPr>
            </w:pPr>
            <w:r w:rsidRPr="005F18FF">
              <w:rPr>
                <w:rFonts w:cs="Arial"/>
                <w:sz w:val="20"/>
                <w:szCs w:val="20"/>
              </w:rPr>
              <w:t>Royal Hobart Hospital</w:t>
            </w:r>
          </w:p>
        </w:tc>
        <w:tc>
          <w:tcPr>
            <w:tcW w:w="1276" w:type="dxa"/>
            <w:tcBorders>
              <w:top w:val="nil"/>
              <w:left w:val="nil"/>
              <w:bottom w:val="single" w:sz="4" w:space="0" w:color="auto"/>
              <w:right w:val="single" w:sz="4" w:space="0" w:color="auto"/>
            </w:tcBorders>
            <w:shd w:val="clear" w:color="auto" w:fill="auto"/>
            <w:vAlign w:val="center"/>
          </w:tcPr>
          <w:p w14:paraId="56716473" w14:textId="4204E39F"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$8,141,171</w:t>
            </w:r>
          </w:p>
        </w:tc>
        <w:tc>
          <w:tcPr>
            <w:tcW w:w="1073" w:type="dxa"/>
            <w:tcBorders>
              <w:top w:val="nil"/>
              <w:left w:val="nil"/>
              <w:bottom w:val="single" w:sz="4" w:space="0" w:color="auto"/>
              <w:right w:val="single" w:sz="4" w:space="0" w:color="auto"/>
            </w:tcBorders>
            <w:shd w:val="clear" w:color="auto" w:fill="auto"/>
            <w:vAlign w:val="center"/>
          </w:tcPr>
          <w:p w14:paraId="572772AE" w14:textId="35B1EF37"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$ 185,827</w:t>
            </w:r>
          </w:p>
        </w:tc>
        <w:tc>
          <w:tcPr>
            <w:tcW w:w="1033" w:type="dxa"/>
            <w:tcBorders>
              <w:top w:val="nil"/>
              <w:left w:val="nil"/>
              <w:bottom w:val="single" w:sz="4" w:space="0" w:color="auto"/>
              <w:right w:val="single" w:sz="4" w:space="0" w:color="auto"/>
            </w:tcBorders>
            <w:shd w:val="clear" w:color="auto" w:fill="auto"/>
            <w:vAlign w:val="center"/>
          </w:tcPr>
          <w:p w14:paraId="1F67746D" w14:textId="69FCF0BE"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$290</w:t>
            </w:r>
          </w:p>
        </w:tc>
        <w:tc>
          <w:tcPr>
            <w:tcW w:w="871" w:type="dxa"/>
            <w:tcBorders>
              <w:top w:val="nil"/>
              <w:left w:val="nil"/>
              <w:bottom w:val="single" w:sz="4" w:space="0" w:color="auto"/>
              <w:right w:val="single" w:sz="4" w:space="0" w:color="auto"/>
            </w:tcBorders>
            <w:shd w:val="clear" w:color="auto" w:fill="auto"/>
            <w:vAlign w:val="center"/>
          </w:tcPr>
          <w:p w14:paraId="5EEA2CB2" w14:textId="25AE4A34"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$2,819</w:t>
            </w:r>
          </w:p>
        </w:tc>
        <w:tc>
          <w:tcPr>
            <w:tcW w:w="1134" w:type="dxa"/>
            <w:tcBorders>
              <w:top w:val="single" w:sz="4" w:space="0" w:color="auto"/>
              <w:left w:val="nil"/>
              <w:bottom w:val="single" w:sz="4" w:space="0" w:color="auto"/>
              <w:right w:val="single" w:sz="4" w:space="0" w:color="auto"/>
            </w:tcBorders>
            <w:vAlign w:val="center"/>
          </w:tcPr>
          <w:p w14:paraId="58C1A438" w14:textId="41ECFA19"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72.3%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7C5E657" w14:textId="2A61617E"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2,888</w:t>
            </w:r>
          </w:p>
        </w:tc>
        <w:tc>
          <w:tcPr>
            <w:tcW w:w="993" w:type="dxa"/>
            <w:tcBorders>
              <w:top w:val="single" w:sz="4" w:space="0" w:color="auto"/>
              <w:left w:val="single" w:sz="4" w:space="0" w:color="auto"/>
              <w:bottom w:val="single" w:sz="4" w:space="0" w:color="auto"/>
              <w:right w:val="single" w:sz="4" w:space="0" w:color="auto"/>
            </w:tcBorders>
            <w:vAlign w:val="center"/>
          </w:tcPr>
          <w:p w14:paraId="1E2263F6" w14:textId="3752F086"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(7.6%)</w:t>
            </w:r>
          </w:p>
        </w:tc>
      </w:tr>
      <w:tr w:rsidR="004E213B" w:rsidRPr="00630A55" w14:paraId="54EDD708" w14:textId="77777777" w:rsidTr="005F18FF">
        <w:trPr>
          <w:trHeight w:val="20"/>
        </w:trPr>
        <w:tc>
          <w:tcPr>
            <w:tcW w:w="7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4405C5A" w14:textId="074DFE03" w:rsidR="00626934" w:rsidRPr="005F18FF" w:rsidRDefault="00B14B00" w:rsidP="008F21F4">
            <w:pPr>
              <w:rPr>
                <w:rFonts w:cs="Arial"/>
                <w:b/>
                <w:bCs/>
                <w:sz w:val="20"/>
                <w:szCs w:val="20"/>
                <w:lang w:eastAsia="en-AU"/>
              </w:rPr>
            </w:pPr>
            <w:r w:rsidRPr="005F18FF">
              <w:rPr>
                <w:rFonts w:cs="Arial"/>
                <w:b/>
                <w:bCs/>
                <w:sz w:val="20"/>
                <w:szCs w:val="20"/>
                <w:lang w:eastAsia="en-AU"/>
              </w:rPr>
              <w:t>QLD</w:t>
            </w:r>
          </w:p>
        </w:tc>
        <w:tc>
          <w:tcPr>
            <w:tcW w:w="1134" w:type="dxa"/>
            <w:tcBorders>
              <w:top w:val="nil"/>
              <w:left w:val="nil"/>
              <w:bottom w:val="single" w:sz="4" w:space="0" w:color="auto"/>
              <w:right w:val="single" w:sz="4" w:space="0" w:color="auto"/>
            </w:tcBorders>
            <w:shd w:val="clear" w:color="auto" w:fill="auto"/>
            <w:vAlign w:val="center"/>
            <w:hideMark/>
          </w:tcPr>
          <w:p w14:paraId="3423A863" w14:textId="3CDBC69A" w:rsidR="00626934" w:rsidRPr="005F18FF" w:rsidRDefault="00626934" w:rsidP="00710D0C">
            <w:pPr>
              <w:pStyle w:val="TableText8Font"/>
              <w:rPr>
                <w:rFonts w:cs="Arial"/>
                <w:sz w:val="20"/>
                <w:szCs w:val="20"/>
              </w:rPr>
            </w:pPr>
            <w:r w:rsidRPr="005F18FF">
              <w:rPr>
                <w:rFonts w:cs="Arial"/>
                <w:sz w:val="20"/>
                <w:szCs w:val="20"/>
              </w:rPr>
              <w:t>Central Queensland Health Service</w:t>
            </w:r>
          </w:p>
        </w:tc>
        <w:tc>
          <w:tcPr>
            <w:tcW w:w="1276" w:type="dxa"/>
            <w:tcBorders>
              <w:top w:val="nil"/>
              <w:left w:val="nil"/>
              <w:bottom w:val="single" w:sz="4" w:space="0" w:color="auto"/>
              <w:right w:val="single" w:sz="4" w:space="0" w:color="auto"/>
            </w:tcBorders>
            <w:shd w:val="clear" w:color="auto" w:fill="auto"/>
            <w:vAlign w:val="center"/>
          </w:tcPr>
          <w:p w14:paraId="56FFA093" w14:textId="74E5E5E1"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$7,602,185</w:t>
            </w:r>
          </w:p>
        </w:tc>
        <w:tc>
          <w:tcPr>
            <w:tcW w:w="1073" w:type="dxa"/>
            <w:tcBorders>
              <w:top w:val="nil"/>
              <w:left w:val="nil"/>
              <w:bottom w:val="single" w:sz="4" w:space="0" w:color="auto"/>
              <w:right w:val="single" w:sz="4" w:space="0" w:color="auto"/>
            </w:tcBorders>
            <w:shd w:val="clear" w:color="auto" w:fill="auto"/>
            <w:vAlign w:val="center"/>
          </w:tcPr>
          <w:p w14:paraId="27C0139A" w14:textId="4450407A"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$49,600</w:t>
            </w:r>
          </w:p>
        </w:tc>
        <w:tc>
          <w:tcPr>
            <w:tcW w:w="1033" w:type="dxa"/>
            <w:tcBorders>
              <w:top w:val="nil"/>
              <w:left w:val="nil"/>
              <w:bottom w:val="single" w:sz="4" w:space="0" w:color="auto"/>
              <w:right w:val="single" w:sz="4" w:space="0" w:color="auto"/>
            </w:tcBorders>
            <w:shd w:val="clear" w:color="auto" w:fill="auto"/>
            <w:vAlign w:val="center"/>
          </w:tcPr>
          <w:p w14:paraId="0EBCB984" w14:textId="38291FA0"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$397</w:t>
            </w:r>
          </w:p>
        </w:tc>
        <w:tc>
          <w:tcPr>
            <w:tcW w:w="871" w:type="dxa"/>
            <w:tcBorders>
              <w:top w:val="nil"/>
              <w:left w:val="nil"/>
              <w:bottom w:val="single" w:sz="4" w:space="0" w:color="auto"/>
              <w:right w:val="single" w:sz="4" w:space="0" w:color="auto"/>
            </w:tcBorders>
            <w:shd w:val="clear" w:color="auto" w:fill="auto"/>
            <w:vAlign w:val="center"/>
          </w:tcPr>
          <w:p w14:paraId="7925A3C3" w14:textId="039538F8"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$1,976</w:t>
            </w:r>
          </w:p>
        </w:tc>
        <w:tc>
          <w:tcPr>
            <w:tcW w:w="1134" w:type="dxa"/>
            <w:tcBorders>
              <w:top w:val="single" w:sz="4" w:space="0" w:color="auto"/>
              <w:left w:val="nil"/>
              <w:bottom w:val="single" w:sz="4" w:space="0" w:color="auto"/>
              <w:right w:val="single" w:sz="4" w:space="0" w:color="auto"/>
            </w:tcBorders>
            <w:vAlign w:val="center"/>
          </w:tcPr>
          <w:p w14:paraId="3408737D" w14:textId="67AFCA26"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25.5%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34361CB" w14:textId="0EB72683"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3,847</w:t>
            </w:r>
          </w:p>
        </w:tc>
        <w:tc>
          <w:tcPr>
            <w:tcW w:w="993" w:type="dxa"/>
            <w:tcBorders>
              <w:top w:val="single" w:sz="4" w:space="0" w:color="auto"/>
              <w:left w:val="single" w:sz="4" w:space="0" w:color="auto"/>
              <w:bottom w:val="single" w:sz="4" w:space="0" w:color="auto"/>
              <w:right w:val="single" w:sz="4" w:space="0" w:color="auto"/>
            </w:tcBorders>
            <w:vAlign w:val="center"/>
          </w:tcPr>
          <w:p w14:paraId="0B0B8B5B" w14:textId="1AFEA9D8"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12.3%</w:t>
            </w:r>
          </w:p>
        </w:tc>
      </w:tr>
      <w:tr w:rsidR="004E213B" w:rsidRPr="00630A55" w14:paraId="67CFCD35" w14:textId="77777777" w:rsidTr="005F18FF">
        <w:trPr>
          <w:trHeight w:val="20"/>
        </w:trPr>
        <w:tc>
          <w:tcPr>
            <w:tcW w:w="704" w:type="dxa"/>
            <w:vMerge/>
            <w:tcBorders>
              <w:left w:val="single" w:sz="4" w:space="0" w:color="auto"/>
              <w:bottom w:val="single" w:sz="4" w:space="0" w:color="auto"/>
              <w:right w:val="single" w:sz="4" w:space="0" w:color="auto"/>
            </w:tcBorders>
            <w:shd w:val="clear" w:color="auto" w:fill="auto"/>
            <w:vAlign w:val="center"/>
          </w:tcPr>
          <w:p w14:paraId="435F37DB" w14:textId="77777777" w:rsidR="00626934" w:rsidRPr="005F18FF" w:rsidRDefault="00626934" w:rsidP="008F21F4">
            <w:pPr>
              <w:rPr>
                <w:rFonts w:cs="Arial"/>
                <w:b/>
                <w:bCs/>
                <w:sz w:val="20"/>
                <w:szCs w:val="20"/>
                <w:lang w:eastAsia="en-AU"/>
              </w:rPr>
            </w:pPr>
          </w:p>
        </w:tc>
        <w:tc>
          <w:tcPr>
            <w:tcW w:w="1134" w:type="dxa"/>
            <w:tcBorders>
              <w:top w:val="nil"/>
              <w:left w:val="nil"/>
              <w:bottom w:val="single" w:sz="4" w:space="0" w:color="auto"/>
              <w:right w:val="single" w:sz="4" w:space="0" w:color="auto"/>
            </w:tcBorders>
            <w:shd w:val="clear" w:color="auto" w:fill="auto"/>
            <w:vAlign w:val="center"/>
            <w:hideMark/>
          </w:tcPr>
          <w:p w14:paraId="36EEA041" w14:textId="565EDC3C" w:rsidR="00626934" w:rsidRPr="005F18FF" w:rsidRDefault="00626934" w:rsidP="00710D0C">
            <w:pPr>
              <w:pStyle w:val="TableText8Font"/>
              <w:rPr>
                <w:rFonts w:cs="Arial"/>
                <w:sz w:val="20"/>
                <w:szCs w:val="20"/>
              </w:rPr>
            </w:pPr>
            <w:r w:rsidRPr="005F18FF">
              <w:rPr>
                <w:rFonts w:cs="Arial"/>
                <w:sz w:val="20"/>
                <w:szCs w:val="20"/>
              </w:rPr>
              <w:t xml:space="preserve">Mackay Health Service </w:t>
            </w:r>
          </w:p>
        </w:tc>
        <w:tc>
          <w:tcPr>
            <w:tcW w:w="1276" w:type="dxa"/>
            <w:tcBorders>
              <w:top w:val="nil"/>
              <w:left w:val="nil"/>
              <w:bottom w:val="single" w:sz="4" w:space="0" w:color="auto"/>
              <w:right w:val="single" w:sz="4" w:space="0" w:color="auto"/>
            </w:tcBorders>
            <w:shd w:val="clear" w:color="auto" w:fill="auto"/>
            <w:vAlign w:val="center"/>
          </w:tcPr>
          <w:p w14:paraId="7B86B354" w14:textId="234D2DB5"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$3,977,268</w:t>
            </w:r>
          </w:p>
        </w:tc>
        <w:tc>
          <w:tcPr>
            <w:tcW w:w="1073" w:type="dxa"/>
            <w:tcBorders>
              <w:top w:val="nil"/>
              <w:left w:val="nil"/>
              <w:bottom w:val="single" w:sz="4" w:space="0" w:color="auto"/>
              <w:right w:val="single" w:sz="4" w:space="0" w:color="auto"/>
            </w:tcBorders>
            <w:shd w:val="clear" w:color="auto" w:fill="auto"/>
            <w:vAlign w:val="center"/>
          </w:tcPr>
          <w:p w14:paraId="799A95EC" w14:textId="2A065EB3"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$22,980</w:t>
            </w:r>
          </w:p>
        </w:tc>
        <w:tc>
          <w:tcPr>
            <w:tcW w:w="1033" w:type="dxa"/>
            <w:tcBorders>
              <w:top w:val="nil"/>
              <w:left w:val="nil"/>
              <w:bottom w:val="single" w:sz="4" w:space="0" w:color="auto"/>
              <w:right w:val="single" w:sz="4" w:space="0" w:color="auto"/>
            </w:tcBorders>
            <w:shd w:val="clear" w:color="auto" w:fill="auto"/>
            <w:vAlign w:val="center"/>
          </w:tcPr>
          <w:p w14:paraId="3A767B0B" w14:textId="2B413CFA"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$180</w:t>
            </w:r>
          </w:p>
        </w:tc>
        <w:tc>
          <w:tcPr>
            <w:tcW w:w="871" w:type="dxa"/>
            <w:tcBorders>
              <w:top w:val="nil"/>
              <w:left w:val="nil"/>
              <w:bottom w:val="single" w:sz="4" w:space="0" w:color="auto"/>
              <w:right w:val="single" w:sz="4" w:space="0" w:color="auto"/>
            </w:tcBorders>
            <w:shd w:val="clear" w:color="auto" w:fill="auto"/>
            <w:vAlign w:val="center"/>
          </w:tcPr>
          <w:p w14:paraId="6E5B15A8" w14:textId="5430DAD6"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$1,131</w:t>
            </w:r>
          </w:p>
        </w:tc>
        <w:tc>
          <w:tcPr>
            <w:tcW w:w="1134" w:type="dxa"/>
            <w:tcBorders>
              <w:top w:val="single" w:sz="4" w:space="0" w:color="auto"/>
              <w:left w:val="nil"/>
              <w:bottom w:val="single" w:sz="4" w:space="0" w:color="auto"/>
              <w:right w:val="single" w:sz="4" w:space="0" w:color="auto"/>
            </w:tcBorders>
            <w:vAlign w:val="center"/>
          </w:tcPr>
          <w:p w14:paraId="375AC4DE" w14:textId="4C353C8B"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7.0%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03F55C9" w14:textId="714837E1"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3,517</w:t>
            </w:r>
          </w:p>
        </w:tc>
        <w:tc>
          <w:tcPr>
            <w:tcW w:w="993" w:type="dxa"/>
            <w:tcBorders>
              <w:top w:val="single" w:sz="4" w:space="0" w:color="auto"/>
              <w:left w:val="single" w:sz="4" w:space="0" w:color="auto"/>
              <w:bottom w:val="single" w:sz="4" w:space="0" w:color="auto"/>
              <w:right w:val="single" w:sz="4" w:space="0" w:color="auto"/>
            </w:tcBorders>
            <w:vAlign w:val="center"/>
          </w:tcPr>
          <w:p w14:paraId="08CAD165" w14:textId="5B453DCE"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1.8%</w:t>
            </w:r>
          </w:p>
        </w:tc>
      </w:tr>
      <w:tr w:rsidR="004E213B" w:rsidRPr="00630A55" w14:paraId="4A84BF4C" w14:textId="77777777" w:rsidTr="005F18FF">
        <w:trPr>
          <w:trHeight w:val="20"/>
        </w:trPr>
        <w:tc>
          <w:tcPr>
            <w:tcW w:w="704" w:type="dxa"/>
            <w:vMerge/>
            <w:tcBorders>
              <w:left w:val="single" w:sz="4" w:space="0" w:color="auto"/>
              <w:bottom w:val="single" w:sz="4" w:space="0" w:color="auto"/>
              <w:right w:val="single" w:sz="4" w:space="0" w:color="auto"/>
            </w:tcBorders>
            <w:shd w:val="clear" w:color="auto" w:fill="auto"/>
            <w:vAlign w:val="center"/>
          </w:tcPr>
          <w:p w14:paraId="2A0048F7" w14:textId="77777777" w:rsidR="00626934" w:rsidRPr="005F18FF" w:rsidRDefault="00626934" w:rsidP="008F21F4">
            <w:pPr>
              <w:rPr>
                <w:rFonts w:cs="Arial"/>
                <w:b/>
                <w:bCs/>
                <w:sz w:val="20"/>
                <w:szCs w:val="20"/>
                <w:lang w:eastAsia="en-AU"/>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7FBF5FB" w14:textId="1033BEEB" w:rsidR="00626934" w:rsidRPr="005F18FF" w:rsidRDefault="00626934" w:rsidP="00710D0C">
            <w:pPr>
              <w:pStyle w:val="TableText8Font"/>
              <w:rPr>
                <w:rFonts w:cs="Arial"/>
                <w:sz w:val="20"/>
                <w:szCs w:val="20"/>
              </w:rPr>
            </w:pPr>
            <w:r w:rsidRPr="005F18FF">
              <w:rPr>
                <w:rFonts w:cs="Arial"/>
                <w:sz w:val="20"/>
                <w:szCs w:val="20"/>
              </w:rPr>
              <w:t xml:space="preserve">Metro South Health Service </w:t>
            </w:r>
          </w:p>
        </w:tc>
        <w:tc>
          <w:tcPr>
            <w:tcW w:w="1276" w:type="dxa"/>
            <w:tcBorders>
              <w:top w:val="single" w:sz="4" w:space="0" w:color="auto"/>
              <w:left w:val="nil"/>
              <w:bottom w:val="single" w:sz="4" w:space="0" w:color="auto"/>
              <w:right w:val="single" w:sz="4" w:space="0" w:color="auto"/>
            </w:tcBorders>
            <w:shd w:val="clear" w:color="auto" w:fill="auto"/>
            <w:vAlign w:val="center"/>
          </w:tcPr>
          <w:p w14:paraId="48189E9C" w14:textId="7D4A15B1"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$48,881,977</w:t>
            </w:r>
          </w:p>
        </w:tc>
        <w:tc>
          <w:tcPr>
            <w:tcW w:w="1073" w:type="dxa"/>
            <w:tcBorders>
              <w:top w:val="single" w:sz="4" w:space="0" w:color="auto"/>
              <w:left w:val="nil"/>
              <w:bottom w:val="single" w:sz="4" w:space="0" w:color="auto"/>
              <w:right w:val="single" w:sz="4" w:space="0" w:color="auto"/>
            </w:tcBorders>
            <w:shd w:val="clear" w:color="auto" w:fill="auto"/>
            <w:vAlign w:val="center"/>
          </w:tcPr>
          <w:p w14:paraId="7389AD3F" w14:textId="7A94ACDE"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$23,695</w:t>
            </w:r>
          </w:p>
        </w:tc>
        <w:tc>
          <w:tcPr>
            <w:tcW w:w="1033" w:type="dxa"/>
            <w:tcBorders>
              <w:top w:val="single" w:sz="4" w:space="0" w:color="auto"/>
              <w:left w:val="nil"/>
              <w:bottom w:val="single" w:sz="4" w:space="0" w:color="auto"/>
              <w:right w:val="single" w:sz="4" w:space="0" w:color="auto"/>
            </w:tcBorders>
            <w:shd w:val="clear" w:color="auto" w:fill="auto"/>
            <w:vAlign w:val="center"/>
          </w:tcPr>
          <w:p w14:paraId="03C83D48" w14:textId="34B8C3D9"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$ 23</w:t>
            </w:r>
          </w:p>
        </w:tc>
        <w:tc>
          <w:tcPr>
            <w:tcW w:w="871" w:type="dxa"/>
            <w:tcBorders>
              <w:top w:val="single" w:sz="4" w:space="0" w:color="auto"/>
              <w:left w:val="nil"/>
              <w:bottom w:val="single" w:sz="4" w:space="0" w:color="auto"/>
              <w:right w:val="single" w:sz="4" w:space="0" w:color="auto"/>
            </w:tcBorders>
            <w:shd w:val="clear" w:color="auto" w:fill="auto"/>
            <w:vAlign w:val="center"/>
          </w:tcPr>
          <w:p w14:paraId="33E39C25" w14:textId="00EE558A"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$2,731</w:t>
            </w:r>
          </w:p>
        </w:tc>
        <w:tc>
          <w:tcPr>
            <w:tcW w:w="1134" w:type="dxa"/>
            <w:tcBorders>
              <w:top w:val="single" w:sz="4" w:space="0" w:color="auto"/>
              <w:left w:val="nil"/>
              <w:bottom w:val="single" w:sz="4" w:space="0" w:color="auto"/>
              <w:right w:val="single" w:sz="4" w:space="0" w:color="auto"/>
            </w:tcBorders>
            <w:vAlign w:val="center"/>
          </w:tcPr>
          <w:p w14:paraId="3DE9F8A1" w14:textId="5B441C2E"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8.9%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3F41360" w14:textId="056F6DA4"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17,900</w:t>
            </w:r>
          </w:p>
        </w:tc>
        <w:tc>
          <w:tcPr>
            <w:tcW w:w="993" w:type="dxa"/>
            <w:tcBorders>
              <w:top w:val="single" w:sz="4" w:space="0" w:color="auto"/>
              <w:left w:val="single" w:sz="4" w:space="0" w:color="auto"/>
              <w:bottom w:val="single" w:sz="4" w:space="0" w:color="auto"/>
              <w:right w:val="single" w:sz="4" w:space="0" w:color="auto"/>
            </w:tcBorders>
            <w:vAlign w:val="center"/>
          </w:tcPr>
          <w:p w14:paraId="55983060" w14:textId="37C43112"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8.5%</w:t>
            </w:r>
          </w:p>
        </w:tc>
      </w:tr>
      <w:tr w:rsidR="008E3B7B" w:rsidRPr="00630A55" w14:paraId="3466106B" w14:textId="77777777" w:rsidTr="005F18FF">
        <w:trPr>
          <w:trHeight w:val="20"/>
        </w:trPr>
        <w:tc>
          <w:tcPr>
            <w:tcW w:w="7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1AB9A14" w14:textId="0E0E47C7" w:rsidR="00626934" w:rsidRPr="005F18FF" w:rsidRDefault="00B14B00" w:rsidP="008F21F4">
            <w:pPr>
              <w:rPr>
                <w:rFonts w:cs="Arial"/>
                <w:b/>
                <w:bCs/>
                <w:sz w:val="20"/>
                <w:szCs w:val="20"/>
                <w:lang w:eastAsia="en-AU"/>
              </w:rPr>
            </w:pPr>
            <w:r w:rsidRPr="005F18FF">
              <w:rPr>
                <w:rFonts w:cs="Arial"/>
                <w:b/>
                <w:bCs/>
                <w:sz w:val="20"/>
                <w:szCs w:val="20"/>
                <w:lang w:eastAsia="en-AU"/>
              </w:rPr>
              <w:t>VIC</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F42D872" w14:textId="2C2FFE09" w:rsidR="00626934" w:rsidRPr="005F18FF" w:rsidRDefault="00626934" w:rsidP="00710D0C">
            <w:pPr>
              <w:pStyle w:val="TableText8Font"/>
              <w:rPr>
                <w:rFonts w:cs="Arial"/>
                <w:sz w:val="20"/>
                <w:szCs w:val="20"/>
              </w:rPr>
            </w:pPr>
            <w:r w:rsidRPr="005F18FF">
              <w:rPr>
                <w:rFonts w:cs="Arial"/>
                <w:sz w:val="20"/>
                <w:szCs w:val="20"/>
              </w:rPr>
              <w:t xml:space="preserve">Latrobe </w:t>
            </w:r>
            <w:r w:rsidR="006B40E3" w:rsidRPr="005F18FF">
              <w:rPr>
                <w:rFonts w:cs="Arial"/>
                <w:sz w:val="20"/>
                <w:szCs w:val="20"/>
              </w:rPr>
              <w:t>Regional</w:t>
            </w:r>
            <w:r w:rsidRPr="005F18FF">
              <w:rPr>
                <w:rFonts w:cs="Arial"/>
                <w:sz w:val="20"/>
                <w:szCs w:val="20"/>
              </w:rPr>
              <w:t xml:space="preserve"> Hospital </w:t>
            </w:r>
          </w:p>
        </w:tc>
        <w:tc>
          <w:tcPr>
            <w:tcW w:w="1276" w:type="dxa"/>
            <w:tcBorders>
              <w:top w:val="single" w:sz="4" w:space="0" w:color="auto"/>
              <w:left w:val="nil"/>
              <w:bottom w:val="single" w:sz="4" w:space="0" w:color="auto"/>
              <w:right w:val="single" w:sz="4" w:space="0" w:color="auto"/>
            </w:tcBorders>
            <w:shd w:val="clear" w:color="auto" w:fill="auto"/>
            <w:vAlign w:val="center"/>
          </w:tcPr>
          <w:p w14:paraId="12764577" w14:textId="27E0FCAC"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$11,347,518</w:t>
            </w:r>
          </w:p>
        </w:tc>
        <w:tc>
          <w:tcPr>
            <w:tcW w:w="1073" w:type="dxa"/>
            <w:tcBorders>
              <w:top w:val="single" w:sz="4" w:space="0" w:color="auto"/>
              <w:left w:val="nil"/>
              <w:bottom w:val="single" w:sz="4" w:space="0" w:color="auto"/>
              <w:right w:val="single" w:sz="4" w:space="0" w:color="auto"/>
            </w:tcBorders>
            <w:shd w:val="clear" w:color="auto" w:fill="auto"/>
            <w:vAlign w:val="center"/>
          </w:tcPr>
          <w:p w14:paraId="5E53949C" w14:textId="1ECDEDEB"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$34,640</w:t>
            </w:r>
          </w:p>
        </w:tc>
        <w:tc>
          <w:tcPr>
            <w:tcW w:w="1033" w:type="dxa"/>
            <w:tcBorders>
              <w:top w:val="single" w:sz="4" w:space="0" w:color="auto"/>
              <w:left w:val="nil"/>
              <w:bottom w:val="single" w:sz="4" w:space="0" w:color="auto"/>
              <w:right w:val="single" w:sz="4" w:space="0" w:color="auto"/>
            </w:tcBorders>
            <w:shd w:val="clear" w:color="auto" w:fill="auto"/>
            <w:vAlign w:val="center"/>
          </w:tcPr>
          <w:p w14:paraId="47790F38" w14:textId="5D2D12D5"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$ 37</w:t>
            </w:r>
          </w:p>
        </w:tc>
        <w:tc>
          <w:tcPr>
            <w:tcW w:w="871" w:type="dxa"/>
            <w:tcBorders>
              <w:top w:val="single" w:sz="4" w:space="0" w:color="auto"/>
              <w:left w:val="nil"/>
              <w:bottom w:val="single" w:sz="4" w:space="0" w:color="auto"/>
              <w:right w:val="single" w:sz="4" w:space="0" w:color="auto"/>
            </w:tcBorders>
            <w:shd w:val="clear" w:color="auto" w:fill="auto"/>
            <w:vAlign w:val="center"/>
          </w:tcPr>
          <w:p w14:paraId="0A49BC6D" w14:textId="7CED8162"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$3,123</w:t>
            </w:r>
          </w:p>
        </w:tc>
        <w:tc>
          <w:tcPr>
            <w:tcW w:w="1134" w:type="dxa"/>
            <w:tcBorders>
              <w:top w:val="single" w:sz="4" w:space="0" w:color="auto"/>
              <w:left w:val="nil"/>
              <w:bottom w:val="single" w:sz="4" w:space="0" w:color="auto"/>
              <w:right w:val="single" w:sz="4" w:space="0" w:color="auto"/>
            </w:tcBorders>
            <w:vAlign w:val="center"/>
          </w:tcPr>
          <w:p w14:paraId="49CE5659" w14:textId="6278EA91"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BD36961" w14:textId="3E897F64"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3,633</w:t>
            </w:r>
          </w:p>
        </w:tc>
        <w:tc>
          <w:tcPr>
            <w:tcW w:w="993" w:type="dxa"/>
            <w:tcBorders>
              <w:top w:val="single" w:sz="4" w:space="0" w:color="auto"/>
              <w:left w:val="single" w:sz="4" w:space="0" w:color="auto"/>
              <w:bottom w:val="single" w:sz="4" w:space="0" w:color="auto"/>
              <w:right w:val="single" w:sz="4" w:space="0" w:color="auto"/>
            </w:tcBorders>
            <w:vAlign w:val="center"/>
          </w:tcPr>
          <w:p w14:paraId="487E67EF" w14:textId="48DAC3C4"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5.8%</w:t>
            </w:r>
          </w:p>
        </w:tc>
      </w:tr>
      <w:tr w:rsidR="004E213B" w:rsidRPr="00630A55" w14:paraId="6F448569" w14:textId="77777777" w:rsidTr="005F18FF">
        <w:trPr>
          <w:trHeight w:val="20"/>
        </w:trPr>
        <w:tc>
          <w:tcPr>
            <w:tcW w:w="704" w:type="dxa"/>
            <w:vMerge/>
            <w:tcBorders>
              <w:left w:val="single" w:sz="4" w:space="0" w:color="auto"/>
              <w:bottom w:val="single" w:sz="4" w:space="0" w:color="auto"/>
              <w:right w:val="single" w:sz="4" w:space="0" w:color="auto"/>
            </w:tcBorders>
            <w:shd w:val="clear" w:color="auto" w:fill="auto"/>
            <w:vAlign w:val="center"/>
          </w:tcPr>
          <w:p w14:paraId="4A90B57B" w14:textId="77777777" w:rsidR="00626934" w:rsidRPr="005F18FF" w:rsidRDefault="00626934" w:rsidP="008F21F4">
            <w:pPr>
              <w:rPr>
                <w:rFonts w:cs="Arial"/>
                <w:b/>
                <w:bCs/>
                <w:sz w:val="20"/>
                <w:szCs w:val="20"/>
                <w:lang w:eastAsia="en-AU"/>
              </w:rPr>
            </w:pPr>
          </w:p>
        </w:tc>
        <w:tc>
          <w:tcPr>
            <w:tcW w:w="1134" w:type="dxa"/>
            <w:tcBorders>
              <w:top w:val="nil"/>
              <w:left w:val="nil"/>
              <w:bottom w:val="single" w:sz="4" w:space="0" w:color="auto"/>
              <w:right w:val="single" w:sz="4" w:space="0" w:color="auto"/>
            </w:tcBorders>
            <w:shd w:val="clear" w:color="auto" w:fill="auto"/>
            <w:vAlign w:val="center"/>
            <w:hideMark/>
          </w:tcPr>
          <w:p w14:paraId="2C8F1D01" w14:textId="48316FBE" w:rsidR="00626934" w:rsidRPr="005F18FF" w:rsidRDefault="00626934" w:rsidP="00710D0C">
            <w:pPr>
              <w:pStyle w:val="TableText8Font"/>
              <w:rPr>
                <w:rFonts w:cs="Arial"/>
                <w:sz w:val="20"/>
                <w:szCs w:val="20"/>
              </w:rPr>
            </w:pPr>
            <w:r w:rsidRPr="005F18FF">
              <w:rPr>
                <w:rFonts w:cs="Arial"/>
                <w:sz w:val="20"/>
                <w:szCs w:val="20"/>
              </w:rPr>
              <w:t xml:space="preserve">Ballarat Health Service </w:t>
            </w:r>
          </w:p>
        </w:tc>
        <w:tc>
          <w:tcPr>
            <w:tcW w:w="1276" w:type="dxa"/>
            <w:tcBorders>
              <w:top w:val="nil"/>
              <w:left w:val="nil"/>
              <w:bottom w:val="single" w:sz="4" w:space="0" w:color="auto"/>
              <w:right w:val="single" w:sz="4" w:space="0" w:color="auto"/>
            </w:tcBorders>
            <w:shd w:val="clear" w:color="auto" w:fill="auto"/>
            <w:vAlign w:val="center"/>
          </w:tcPr>
          <w:p w14:paraId="095889BB" w14:textId="12AD92AF"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$12,627,978</w:t>
            </w:r>
          </w:p>
        </w:tc>
        <w:tc>
          <w:tcPr>
            <w:tcW w:w="1073" w:type="dxa"/>
            <w:tcBorders>
              <w:top w:val="nil"/>
              <w:left w:val="nil"/>
              <w:bottom w:val="single" w:sz="4" w:space="0" w:color="auto"/>
              <w:right w:val="single" w:sz="4" w:space="0" w:color="auto"/>
            </w:tcBorders>
            <w:shd w:val="clear" w:color="auto" w:fill="auto"/>
            <w:vAlign w:val="center"/>
          </w:tcPr>
          <w:p w14:paraId="24A880A9" w14:textId="3BE903A8"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$54,202</w:t>
            </w:r>
          </w:p>
        </w:tc>
        <w:tc>
          <w:tcPr>
            <w:tcW w:w="1033" w:type="dxa"/>
            <w:tcBorders>
              <w:top w:val="nil"/>
              <w:left w:val="nil"/>
              <w:bottom w:val="single" w:sz="4" w:space="0" w:color="auto"/>
              <w:right w:val="single" w:sz="4" w:space="0" w:color="auto"/>
            </w:tcBorders>
            <w:shd w:val="clear" w:color="auto" w:fill="auto"/>
            <w:vAlign w:val="center"/>
          </w:tcPr>
          <w:p w14:paraId="6F5C8FEF" w14:textId="753E262F"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$ 61</w:t>
            </w:r>
          </w:p>
        </w:tc>
        <w:tc>
          <w:tcPr>
            <w:tcW w:w="871" w:type="dxa"/>
            <w:tcBorders>
              <w:top w:val="nil"/>
              <w:left w:val="nil"/>
              <w:bottom w:val="single" w:sz="4" w:space="0" w:color="auto"/>
              <w:right w:val="single" w:sz="4" w:space="0" w:color="auto"/>
            </w:tcBorders>
            <w:shd w:val="clear" w:color="auto" w:fill="auto"/>
            <w:vAlign w:val="center"/>
          </w:tcPr>
          <w:p w14:paraId="4D0ABB09" w14:textId="34908DE7"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$3,257</w:t>
            </w:r>
          </w:p>
        </w:tc>
        <w:tc>
          <w:tcPr>
            <w:tcW w:w="1134" w:type="dxa"/>
            <w:tcBorders>
              <w:top w:val="single" w:sz="4" w:space="0" w:color="auto"/>
              <w:left w:val="nil"/>
              <w:bottom w:val="single" w:sz="4" w:space="0" w:color="auto"/>
              <w:right w:val="single" w:sz="4" w:space="0" w:color="auto"/>
            </w:tcBorders>
            <w:vAlign w:val="center"/>
          </w:tcPr>
          <w:p w14:paraId="2FB621CF" w14:textId="5475C369"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(5.5%)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93BDE5C" w14:textId="28A0AF69"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3,877</w:t>
            </w:r>
          </w:p>
        </w:tc>
        <w:tc>
          <w:tcPr>
            <w:tcW w:w="993" w:type="dxa"/>
            <w:tcBorders>
              <w:top w:val="single" w:sz="4" w:space="0" w:color="auto"/>
              <w:left w:val="single" w:sz="4" w:space="0" w:color="auto"/>
              <w:bottom w:val="single" w:sz="4" w:space="0" w:color="auto"/>
              <w:right w:val="single" w:sz="4" w:space="0" w:color="auto"/>
            </w:tcBorders>
            <w:vAlign w:val="center"/>
          </w:tcPr>
          <w:p w14:paraId="08CE594D" w14:textId="58AC593D"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(1.0%)</w:t>
            </w:r>
          </w:p>
        </w:tc>
      </w:tr>
      <w:tr w:rsidR="008E3B7B" w:rsidRPr="00630A55" w14:paraId="638E48D7" w14:textId="77777777" w:rsidTr="005F18FF">
        <w:trPr>
          <w:trHeight w:val="20"/>
        </w:trPr>
        <w:tc>
          <w:tcPr>
            <w:tcW w:w="704" w:type="dxa"/>
            <w:vMerge/>
            <w:tcBorders>
              <w:left w:val="single" w:sz="4" w:space="0" w:color="auto"/>
              <w:bottom w:val="single" w:sz="4" w:space="0" w:color="auto"/>
              <w:right w:val="single" w:sz="4" w:space="0" w:color="auto"/>
            </w:tcBorders>
            <w:shd w:val="clear" w:color="auto" w:fill="auto"/>
            <w:vAlign w:val="center"/>
          </w:tcPr>
          <w:p w14:paraId="32BEEDF4" w14:textId="77777777" w:rsidR="00626934" w:rsidRPr="005F18FF" w:rsidRDefault="00626934" w:rsidP="008F21F4">
            <w:pPr>
              <w:rPr>
                <w:rFonts w:cs="Arial"/>
                <w:b/>
                <w:bCs/>
                <w:sz w:val="20"/>
                <w:szCs w:val="20"/>
                <w:lang w:eastAsia="en-AU"/>
              </w:rPr>
            </w:pPr>
          </w:p>
        </w:tc>
        <w:tc>
          <w:tcPr>
            <w:tcW w:w="1134" w:type="dxa"/>
            <w:tcBorders>
              <w:top w:val="nil"/>
              <w:left w:val="nil"/>
              <w:bottom w:val="single" w:sz="4" w:space="0" w:color="auto"/>
              <w:right w:val="single" w:sz="4" w:space="0" w:color="auto"/>
            </w:tcBorders>
            <w:shd w:val="clear" w:color="auto" w:fill="auto"/>
            <w:vAlign w:val="center"/>
            <w:hideMark/>
          </w:tcPr>
          <w:p w14:paraId="61BB7731" w14:textId="2B98A903" w:rsidR="00626934" w:rsidRPr="005F18FF" w:rsidRDefault="00626934" w:rsidP="00710D0C">
            <w:pPr>
              <w:pStyle w:val="TableText8Font"/>
              <w:rPr>
                <w:rFonts w:cs="Arial"/>
                <w:sz w:val="20"/>
                <w:szCs w:val="20"/>
              </w:rPr>
            </w:pPr>
            <w:r w:rsidRPr="005F18FF">
              <w:rPr>
                <w:rFonts w:cs="Arial"/>
                <w:sz w:val="20"/>
                <w:szCs w:val="20"/>
              </w:rPr>
              <w:t xml:space="preserve">Royal Melbourne Hospital </w:t>
            </w:r>
          </w:p>
        </w:tc>
        <w:tc>
          <w:tcPr>
            <w:tcW w:w="1276" w:type="dxa"/>
            <w:tcBorders>
              <w:top w:val="nil"/>
              <w:left w:val="nil"/>
              <w:bottom w:val="single" w:sz="4" w:space="0" w:color="auto"/>
              <w:right w:val="single" w:sz="4" w:space="0" w:color="auto"/>
            </w:tcBorders>
            <w:shd w:val="clear" w:color="auto" w:fill="auto"/>
            <w:vAlign w:val="center"/>
          </w:tcPr>
          <w:p w14:paraId="6FD86C90" w14:textId="3776167A"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$ 481,477</w:t>
            </w:r>
          </w:p>
        </w:tc>
        <w:tc>
          <w:tcPr>
            <w:tcW w:w="1073" w:type="dxa"/>
            <w:tcBorders>
              <w:top w:val="nil"/>
              <w:left w:val="nil"/>
              <w:bottom w:val="single" w:sz="4" w:space="0" w:color="auto"/>
              <w:right w:val="single" w:sz="4" w:space="0" w:color="auto"/>
            </w:tcBorders>
            <w:shd w:val="clear" w:color="auto" w:fill="auto"/>
            <w:vAlign w:val="center"/>
          </w:tcPr>
          <w:p w14:paraId="5CC9C161" w14:textId="48491D29"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$18,315</w:t>
            </w:r>
          </w:p>
        </w:tc>
        <w:tc>
          <w:tcPr>
            <w:tcW w:w="1033" w:type="dxa"/>
            <w:tcBorders>
              <w:top w:val="nil"/>
              <w:left w:val="nil"/>
              <w:bottom w:val="single" w:sz="4" w:space="0" w:color="auto"/>
              <w:right w:val="single" w:sz="4" w:space="0" w:color="auto"/>
            </w:tcBorders>
            <w:shd w:val="clear" w:color="auto" w:fill="auto"/>
            <w:vAlign w:val="center"/>
          </w:tcPr>
          <w:p w14:paraId="430C83D3" w14:textId="37F09BBD"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$391</w:t>
            </w:r>
          </w:p>
        </w:tc>
        <w:tc>
          <w:tcPr>
            <w:tcW w:w="871" w:type="dxa"/>
            <w:tcBorders>
              <w:top w:val="nil"/>
              <w:left w:val="nil"/>
              <w:bottom w:val="single" w:sz="4" w:space="0" w:color="auto"/>
              <w:right w:val="single" w:sz="4" w:space="0" w:color="auto"/>
            </w:tcBorders>
            <w:shd w:val="clear" w:color="auto" w:fill="auto"/>
            <w:vAlign w:val="center"/>
          </w:tcPr>
          <w:p w14:paraId="522A0A78" w14:textId="4A995C4A"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$1,231</w:t>
            </w:r>
          </w:p>
        </w:tc>
        <w:tc>
          <w:tcPr>
            <w:tcW w:w="1134" w:type="dxa"/>
            <w:tcBorders>
              <w:top w:val="single" w:sz="4" w:space="0" w:color="auto"/>
              <w:left w:val="nil"/>
              <w:bottom w:val="single" w:sz="4" w:space="0" w:color="auto"/>
              <w:right w:val="single" w:sz="4" w:space="0" w:color="auto"/>
            </w:tcBorders>
            <w:vAlign w:val="center"/>
          </w:tcPr>
          <w:p w14:paraId="31E08F1C" w14:textId="38D010DB"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218.1%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EDF0622" w14:textId="78766868"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391</w:t>
            </w:r>
          </w:p>
        </w:tc>
        <w:tc>
          <w:tcPr>
            <w:tcW w:w="993" w:type="dxa"/>
            <w:tcBorders>
              <w:top w:val="single" w:sz="4" w:space="0" w:color="auto"/>
              <w:left w:val="single" w:sz="4" w:space="0" w:color="auto"/>
              <w:bottom w:val="single" w:sz="4" w:space="0" w:color="auto"/>
              <w:right w:val="single" w:sz="4" w:space="0" w:color="auto"/>
            </w:tcBorders>
            <w:vAlign w:val="center"/>
          </w:tcPr>
          <w:p w14:paraId="1CFAFB7A" w14:textId="4D602539"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(8.9%)</w:t>
            </w:r>
          </w:p>
        </w:tc>
      </w:tr>
      <w:tr w:rsidR="004E213B" w:rsidRPr="00630A55" w14:paraId="3B660D3A" w14:textId="77777777" w:rsidTr="005F18FF">
        <w:trPr>
          <w:trHeight w:val="20"/>
        </w:trPr>
        <w:tc>
          <w:tcPr>
            <w:tcW w:w="704" w:type="dxa"/>
            <w:vMerge w:val="restart"/>
            <w:tcBorders>
              <w:top w:val="nil"/>
              <w:left w:val="single" w:sz="4" w:space="0" w:color="auto"/>
              <w:right w:val="single" w:sz="4" w:space="0" w:color="auto"/>
            </w:tcBorders>
            <w:shd w:val="clear" w:color="auto" w:fill="auto"/>
            <w:vAlign w:val="center"/>
          </w:tcPr>
          <w:p w14:paraId="5C0EAE36" w14:textId="67C0F684" w:rsidR="00626934" w:rsidRPr="005F18FF" w:rsidRDefault="00B14B00" w:rsidP="008F21F4">
            <w:pPr>
              <w:rPr>
                <w:rFonts w:cs="Arial"/>
                <w:b/>
                <w:bCs/>
                <w:sz w:val="20"/>
                <w:szCs w:val="20"/>
                <w:lang w:eastAsia="en-AU"/>
              </w:rPr>
            </w:pPr>
            <w:r w:rsidRPr="005F18FF">
              <w:rPr>
                <w:rFonts w:cs="Arial"/>
                <w:b/>
                <w:bCs/>
                <w:sz w:val="20"/>
                <w:szCs w:val="20"/>
                <w:lang w:eastAsia="en-AU"/>
              </w:rPr>
              <w:t>WA</w:t>
            </w:r>
          </w:p>
        </w:tc>
        <w:tc>
          <w:tcPr>
            <w:tcW w:w="1134" w:type="dxa"/>
            <w:tcBorders>
              <w:top w:val="nil"/>
              <w:left w:val="nil"/>
              <w:bottom w:val="single" w:sz="4" w:space="0" w:color="auto"/>
              <w:right w:val="single" w:sz="4" w:space="0" w:color="auto"/>
            </w:tcBorders>
            <w:shd w:val="clear" w:color="auto" w:fill="auto"/>
            <w:vAlign w:val="center"/>
            <w:hideMark/>
          </w:tcPr>
          <w:p w14:paraId="3A3E3159" w14:textId="1A989B87" w:rsidR="00626934" w:rsidRPr="005F18FF" w:rsidRDefault="00626934" w:rsidP="00710D0C">
            <w:pPr>
              <w:pStyle w:val="TableText8Font"/>
              <w:rPr>
                <w:rFonts w:cs="Arial"/>
                <w:sz w:val="20"/>
                <w:szCs w:val="20"/>
              </w:rPr>
            </w:pPr>
            <w:r w:rsidRPr="005F18FF">
              <w:rPr>
                <w:rFonts w:cs="Arial"/>
                <w:sz w:val="20"/>
                <w:szCs w:val="20"/>
              </w:rPr>
              <w:t xml:space="preserve">Royal Perth Hospital </w:t>
            </w:r>
          </w:p>
        </w:tc>
        <w:tc>
          <w:tcPr>
            <w:tcW w:w="1276" w:type="dxa"/>
            <w:tcBorders>
              <w:top w:val="nil"/>
              <w:left w:val="nil"/>
              <w:bottom w:val="single" w:sz="4" w:space="0" w:color="auto"/>
              <w:right w:val="single" w:sz="4" w:space="0" w:color="auto"/>
            </w:tcBorders>
            <w:shd w:val="clear" w:color="auto" w:fill="auto"/>
            <w:vAlign w:val="center"/>
          </w:tcPr>
          <w:p w14:paraId="7EF7F41A" w14:textId="719062B4"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$9,518,767</w:t>
            </w:r>
          </w:p>
        </w:tc>
        <w:tc>
          <w:tcPr>
            <w:tcW w:w="1073" w:type="dxa"/>
            <w:tcBorders>
              <w:top w:val="nil"/>
              <w:left w:val="nil"/>
              <w:bottom w:val="single" w:sz="4" w:space="0" w:color="auto"/>
              <w:right w:val="single" w:sz="4" w:space="0" w:color="auto"/>
            </w:tcBorders>
            <w:shd w:val="clear" w:color="auto" w:fill="auto"/>
            <w:vAlign w:val="center"/>
          </w:tcPr>
          <w:p w14:paraId="095C824F" w14:textId="4B277638"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$39,045</w:t>
            </w:r>
          </w:p>
        </w:tc>
        <w:tc>
          <w:tcPr>
            <w:tcW w:w="1033" w:type="dxa"/>
            <w:tcBorders>
              <w:top w:val="nil"/>
              <w:left w:val="nil"/>
              <w:bottom w:val="single" w:sz="4" w:space="0" w:color="auto"/>
              <w:right w:val="single" w:sz="4" w:space="0" w:color="auto"/>
            </w:tcBorders>
            <w:shd w:val="clear" w:color="auto" w:fill="auto"/>
            <w:vAlign w:val="center"/>
          </w:tcPr>
          <w:p w14:paraId="3CFFC3BA" w14:textId="43EF32A9"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$119</w:t>
            </w:r>
          </w:p>
        </w:tc>
        <w:tc>
          <w:tcPr>
            <w:tcW w:w="871" w:type="dxa"/>
            <w:tcBorders>
              <w:top w:val="nil"/>
              <w:left w:val="nil"/>
              <w:bottom w:val="single" w:sz="4" w:space="0" w:color="auto"/>
              <w:right w:val="single" w:sz="4" w:space="0" w:color="auto"/>
            </w:tcBorders>
            <w:shd w:val="clear" w:color="auto" w:fill="auto"/>
            <w:vAlign w:val="center"/>
          </w:tcPr>
          <w:p w14:paraId="3B0484CC" w14:textId="60F577F9"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$2,566</w:t>
            </w:r>
          </w:p>
        </w:tc>
        <w:tc>
          <w:tcPr>
            <w:tcW w:w="1134" w:type="dxa"/>
            <w:tcBorders>
              <w:top w:val="single" w:sz="4" w:space="0" w:color="auto"/>
              <w:left w:val="nil"/>
              <w:bottom w:val="single" w:sz="4" w:space="0" w:color="auto"/>
              <w:right w:val="single" w:sz="4" w:space="0" w:color="auto"/>
            </w:tcBorders>
            <w:vAlign w:val="center"/>
          </w:tcPr>
          <w:p w14:paraId="376751DD" w14:textId="74B4ABA3"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7.5%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1BC5744" w14:textId="44087D59"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3,710</w:t>
            </w:r>
          </w:p>
        </w:tc>
        <w:tc>
          <w:tcPr>
            <w:tcW w:w="993" w:type="dxa"/>
            <w:tcBorders>
              <w:top w:val="single" w:sz="4" w:space="0" w:color="auto"/>
              <w:left w:val="single" w:sz="4" w:space="0" w:color="auto"/>
              <w:bottom w:val="single" w:sz="4" w:space="0" w:color="auto"/>
              <w:right w:val="single" w:sz="4" w:space="0" w:color="auto"/>
            </w:tcBorders>
            <w:vAlign w:val="center"/>
          </w:tcPr>
          <w:p w14:paraId="016C863A" w14:textId="1DAF459F"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9.1%</w:t>
            </w:r>
          </w:p>
        </w:tc>
      </w:tr>
      <w:tr w:rsidR="004E213B" w:rsidRPr="00630A55" w14:paraId="411045AC" w14:textId="77777777" w:rsidTr="005F18FF">
        <w:trPr>
          <w:trHeight w:val="20"/>
        </w:trPr>
        <w:tc>
          <w:tcPr>
            <w:tcW w:w="704" w:type="dxa"/>
            <w:vMerge/>
            <w:tcBorders>
              <w:left w:val="single" w:sz="4" w:space="0" w:color="auto"/>
              <w:right w:val="single" w:sz="4" w:space="0" w:color="auto"/>
            </w:tcBorders>
            <w:shd w:val="clear" w:color="auto" w:fill="auto"/>
          </w:tcPr>
          <w:p w14:paraId="55163FB7" w14:textId="77777777" w:rsidR="00626934" w:rsidRPr="005F18FF" w:rsidRDefault="00626934" w:rsidP="008F21F4">
            <w:pPr>
              <w:rPr>
                <w:rFonts w:cs="Arial"/>
                <w:sz w:val="20"/>
                <w:szCs w:val="20"/>
                <w:lang w:eastAsia="en-AU"/>
              </w:rPr>
            </w:pPr>
          </w:p>
        </w:tc>
        <w:tc>
          <w:tcPr>
            <w:tcW w:w="1134" w:type="dxa"/>
            <w:tcBorders>
              <w:top w:val="nil"/>
              <w:left w:val="nil"/>
              <w:bottom w:val="single" w:sz="4" w:space="0" w:color="auto"/>
              <w:right w:val="single" w:sz="4" w:space="0" w:color="auto"/>
            </w:tcBorders>
            <w:shd w:val="clear" w:color="auto" w:fill="auto"/>
            <w:vAlign w:val="center"/>
            <w:hideMark/>
          </w:tcPr>
          <w:p w14:paraId="51972606" w14:textId="6B934FCD" w:rsidR="00626934" w:rsidRPr="005F18FF" w:rsidRDefault="00626934" w:rsidP="00710D0C">
            <w:pPr>
              <w:pStyle w:val="TableText8Font"/>
              <w:rPr>
                <w:rFonts w:cs="Arial"/>
                <w:sz w:val="20"/>
                <w:szCs w:val="20"/>
              </w:rPr>
            </w:pPr>
            <w:r w:rsidRPr="005F18FF">
              <w:rPr>
                <w:rFonts w:cs="Arial"/>
                <w:sz w:val="20"/>
                <w:szCs w:val="20"/>
              </w:rPr>
              <w:t xml:space="preserve">Perth Children's Hospital </w:t>
            </w:r>
          </w:p>
        </w:tc>
        <w:tc>
          <w:tcPr>
            <w:tcW w:w="1276" w:type="dxa"/>
            <w:tcBorders>
              <w:top w:val="nil"/>
              <w:left w:val="nil"/>
              <w:bottom w:val="single" w:sz="4" w:space="0" w:color="auto"/>
              <w:right w:val="single" w:sz="4" w:space="0" w:color="auto"/>
            </w:tcBorders>
            <w:shd w:val="clear" w:color="auto" w:fill="auto"/>
            <w:vAlign w:val="center"/>
          </w:tcPr>
          <w:p w14:paraId="2E9A8627" w14:textId="14BD9CC5"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$3,393,417</w:t>
            </w:r>
          </w:p>
        </w:tc>
        <w:tc>
          <w:tcPr>
            <w:tcW w:w="1073" w:type="dxa"/>
            <w:tcBorders>
              <w:top w:val="nil"/>
              <w:left w:val="nil"/>
              <w:bottom w:val="single" w:sz="4" w:space="0" w:color="auto"/>
              <w:right w:val="single" w:sz="4" w:space="0" w:color="auto"/>
            </w:tcBorders>
            <w:shd w:val="clear" w:color="auto" w:fill="auto"/>
            <w:vAlign w:val="center"/>
          </w:tcPr>
          <w:p w14:paraId="79195510" w14:textId="4933F873"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$8,224</w:t>
            </w:r>
          </w:p>
        </w:tc>
        <w:tc>
          <w:tcPr>
            <w:tcW w:w="1033" w:type="dxa"/>
            <w:tcBorders>
              <w:top w:val="nil"/>
              <w:left w:val="nil"/>
              <w:bottom w:val="single" w:sz="4" w:space="0" w:color="auto"/>
              <w:right w:val="single" w:sz="4" w:space="0" w:color="auto"/>
            </w:tcBorders>
            <w:shd w:val="clear" w:color="auto" w:fill="auto"/>
            <w:vAlign w:val="center"/>
          </w:tcPr>
          <w:p w14:paraId="5BE15147" w14:textId="69CF272C"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$191</w:t>
            </w:r>
          </w:p>
        </w:tc>
        <w:tc>
          <w:tcPr>
            <w:tcW w:w="871" w:type="dxa"/>
            <w:tcBorders>
              <w:top w:val="nil"/>
              <w:left w:val="nil"/>
              <w:bottom w:val="single" w:sz="4" w:space="0" w:color="auto"/>
              <w:right w:val="single" w:sz="4" w:space="0" w:color="auto"/>
            </w:tcBorders>
            <w:shd w:val="clear" w:color="auto" w:fill="auto"/>
            <w:vAlign w:val="center"/>
          </w:tcPr>
          <w:p w14:paraId="6DF80468" w14:textId="71677154"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$2,153</w:t>
            </w:r>
          </w:p>
        </w:tc>
        <w:tc>
          <w:tcPr>
            <w:tcW w:w="1134" w:type="dxa"/>
            <w:tcBorders>
              <w:top w:val="single" w:sz="4" w:space="0" w:color="auto"/>
              <w:left w:val="nil"/>
              <w:bottom w:val="single" w:sz="4" w:space="0" w:color="auto"/>
              <w:right w:val="single" w:sz="4" w:space="0" w:color="auto"/>
            </w:tcBorders>
            <w:vAlign w:val="center"/>
          </w:tcPr>
          <w:p w14:paraId="5ECDEE09" w14:textId="7D323B81"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(18.0%)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D31AA9C" w14:textId="28739E40"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1,576</w:t>
            </w:r>
          </w:p>
        </w:tc>
        <w:tc>
          <w:tcPr>
            <w:tcW w:w="993" w:type="dxa"/>
            <w:tcBorders>
              <w:top w:val="single" w:sz="4" w:space="0" w:color="auto"/>
              <w:left w:val="single" w:sz="4" w:space="0" w:color="auto"/>
              <w:bottom w:val="single" w:sz="4" w:space="0" w:color="auto"/>
              <w:right w:val="single" w:sz="4" w:space="0" w:color="auto"/>
            </w:tcBorders>
            <w:vAlign w:val="center"/>
          </w:tcPr>
          <w:p w14:paraId="156AE643" w14:textId="3A281C42"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5.6%</w:t>
            </w:r>
          </w:p>
        </w:tc>
      </w:tr>
      <w:tr w:rsidR="008E3B7B" w:rsidRPr="00630A55" w14:paraId="643B9455" w14:textId="77777777" w:rsidTr="005F18FF">
        <w:trPr>
          <w:trHeight w:val="317"/>
        </w:trPr>
        <w:tc>
          <w:tcPr>
            <w:tcW w:w="704" w:type="dxa"/>
            <w:vMerge/>
            <w:tcBorders>
              <w:left w:val="single" w:sz="4" w:space="0" w:color="auto"/>
              <w:bottom w:val="single" w:sz="4" w:space="0" w:color="auto"/>
              <w:right w:val="single" w:sz="4" w:space="0" w:color="auto"/>
            </w:tcBorders>
            <w:shd w:val="clear" w:color="auto" w:fill="auto"/>
          </w:tcPr>
          <w:p w14:paraId="284DAD34" w14:textId="77777777" w:rsidR="00626934" w:rsidRPr="005F18FF" w:rsidRDefault="00626934" w:rsidP="008F21F4">
            <w:pPr>
              <w:rPr>
                <w:rFonts w:cs="Arial"/>
                <w:sz w:val="20"/>
                <w:szCs w:val="20"/>
                <w:lang w:eastAsia="en-AU"/>
              </w:rPr>
            </w:pPr>
          </w:p>
        </w:tc>
        <w:tc>
          <w:tcPr>
            <w:tcW w:w="1134" w:type="dxa"/>
            <w:tcBorders>
              <w:top w:val="nil"/>
              <w:left w:val="nil"/>
              <w:bottom w:val="single" w:sz="4" w:space="0" w:color="auto"/>
              <w:right w:val="single" w:sz="4" w:space="0" w:color="auto"/>
            </w:tcBorders>
            <w:shd w:val="clear" w:color="auto" w:fill="auto"/>
            <w:vAlign w:val="center"/>
            <w:hideMark/>
          </w:tcPr>
          <w:p w14:paraId="46FA75F0" w14:textId="0D694970" w:rsidR="00626934" w:rsidRPr="005F18FF" w:rsidRDefault="00626934" w:rsidP="00710D0C">
            <w:pPr>
              <w:pStyle w:val="TableText8Font"/>
              <w:rPr>
                <w:rFonts w:cs="Arial"/>
                <w:sz w:val="20"/>
                <w:szCs w:val="20"/>
              </w:rPr>
            </w:pPr>
            <w:r w:rsidRPr="005F18FF">
              <w:rPr>
                <w:rFonts w:cs="Arial"/>
                <w:sz w:val="20"/>
                <w:szCs w:val="20"/>
              </w:rPr>
              <w:t xml:space="preserve">Albany Hospital </w:t>
            </w:r>
          </w:p>
        </w:tc>
        <w:tc>
          <w:tcPr>
            <w:tcW w:w="1276" w:type="dxa"/>
            <w:tcBorders>
              <w:top w:val="nil"/>
              <w:left w:val="nil"/>
              <w:bottom w:val="single" w:sz="4" w:space="0" w:color="auto"/>
              <w:right w:val="single" w:sz="4" w:space="0" w:color="auto"/>
            </w:tcBorders>
            <w:shd w:val="clear" w:color="auto" w:fill="auto"/>
            <w:vAlign w:val="center"/>
          </w:tcPr>
          <w:p w14:paraId="118B4E0F" w14:textId="768AC51A"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$7,744,131</w:t>
            </w:r>
          </w:p>
        </w:tc>
        <w:tc>
          <w:tcPr>
            <w:tcW w:w="1073" w:type="dxa"/>
            <w:tcBorders>
              <w:top w:val="nil"/>
              <w:left w:val="nil"/>
              <w:bottom w:val="single" w:sz="4" w:space="0" w:color="auto"/>
              <w:right w:val="single" w:sz="4" w:space="0" w:color="auto"/>
            </w:tcBorders>
            <w:shd w:val="clear" w:color="auto" w:fill="auto"/>
            <w:vAlign w:val="center"/>
          </w:tcPr>
          <w:p w14:paraId="283E4F12" w14:textId="44B87E11"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$16,802</w:t>
            </w:r>
          </w:p>
        </w:tc>
        <w:tc>
          <w:tcPr>
            <w:tcW w:w="1033" w:type="dxa"/>
            <w:tcBorders>
              <w:top w:val="nil"/>
              <w:left w:val="nil"/>
              <w:bottom w:val="single" w:sz="4" w:space="0" w:color="auto"/>
              <w:right w:val="single" w:sz="4" w:space="0" w:color="auto"/>
            </w:tcBorders>
            <w:shd w:val="clear" w:color="auto" w:fill="auto"/>
            <w:vAlign w:val="center"/>
          </w:tcPr>
          <w:p w14:paraId="796C3329" w14:textId="74C92352"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$ 1,568</w:t>
            </w:r>
          </w:p>
        </w:tc>
        <w:tc>
          <w:tcPr>
            <w:tcW w:w="871" w:type="dxa"/>
            <w:tcBorders>
              <w:top w:val="nil"/>
              <w:left w:val="nil"/>
              <w:bottom w:val="single" w:sz="4" w:space="0" w:color="auto"/>
              <w:right w:val="single" w:sz="4" w:space="0" w:color="auto"/>
            </w:tcBorders>
            <w:shd w:val="clear" w:color="auto" w:fill="auto"/>
            <w:vAlign w:val="center"/>
          </w:tcPr>
          <w:p w14:paraId="46F3B2FD" w14:textId="005B14DA"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$4,243</w:t>
            </w:r>
          </w:p>
        </w:tc>
        <w:tc>
          <w:tcPr>
            <w:tcW w:w="1134" w:type="dxa"/>
            <w:tcBorders>
              <w:top w:val="single" w:sz="4" w:space="0" w:color="auto"/>
              <w:left w:val="nil"/>
              <w:bottom w:val="single" w:sz="4" w:space="0" w:color="auto"/>
              <w:right w:val="single" w:sz="4" w:space="0" w:color="auto"/>
            </w:tcBorders>
            <w:vAlign w:val="center"/>
          </w:tcPr>
          <w:p w14:paraId="0E2680EF" w14:textId="3354E02B"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24.0%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62D0F50" w14:textId="413B9FE6"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1,825</w:t>
            </w:r>
          </w:p>
        </w:tc>
        <w:tc>
          <w:tcPr>
            <w:tcW w:w="993" w:type="dxa"/>
            <w:tcBorders>
              <w:top w:val="single" w:sz="4" w:space="0" w:color="auto"/>
              <w:left w:val="single" w:sz="4" w:space="0" w:color="auto"/>
              <w:bottom w:val="single" w:sz="4" w:space="0" w:color="auto"/>
              <w:right w:val="single" w:sz="4" w:space="0" w:color="auto"/>
            </w:tcBorders>
            <w:vAlign w:val="center"/>
          </w:tcPr>
          <w:p w14:paraId="39B15CA2" w14:textId="65E4B86D" w:rsidR="00626934" w:rsidRPr="005F18FF" w:rsidRDefault="00626934" w:rsidP="00017473">
            <w:pPr>
              <w:pStyle w:val="TableText8FontRightAlign"/>
              <w:jc w:val="center"/>
              <w:rPr>
                <w:rFonts w:eastAsia="Times New Roman" w:cs="Arial"/>
                <w:color w:val="000000" w:themeColor="text1"/>
                <w:sz w:val="20"/>
                <w:szCs w:val="20"/>
              </w:rPr>
            </w:pPr>
            <w:r w:rsidRPr="005F18FF">
              <w:rPr>
                <w:rFonts w:cs="Arial"/>
                <w:sz w:val="20"/>
                <w:szCs w:val="20"/>
              </w:rPr>
              <w:t>8.7%</w:t>
            </w:r>
          </w:p>
        </w:tc>
      </w:tr>
    </w:tbl>
    <w:p w14:paraId="7B9FF5AF" w14:textId="77777777" w:rsidR="00AA3D79" w:rsidRPr="00630A55" w:rsidRDefault="00AA3D79" w:rsidP="00AA3D79">
      <w:pPr>
        <w:pStyle w:val="Source"/>
      </w:pPr>
      <w:r w:rsidRPr="00630A55">
        <w:t xml:space="preserve">Source: Jurisdictional consultations and </w:t>
      </w:r>
      <w:r>
        <w:t>templates</w:t>
      </w:r>
    </w:p>
    <w:p w14:paraId="4B006948" w14:textId="2370E415" w:rsidR="007D72EB" w:rsidRDefault="0076278F" w:rsidP="003E3232">
      <w:pPr>
        <w:jc w:val="both"/>
      </w:pPr>
      <w:r>
        <w:lastRenderedPageBreak/>
        <w:t xml:space="preserve">The average cost of </w:t>
      </w:r>
      <w:r w:rsidR="008A540A">
        <w:t>chemotherapy</w:t>
      </w:r>
      <w:r>
        <w:t xml:space="preserve"> services ranged from a low </w:t>
      </w:r>
      <w:r w:rsidRPr="00CE3D1A">
        <w:t>of $</w:t>
      </w:r>
      <w:r w:rsidR="00651FBA" w:rsidRPr="00CE3D1A">
        <w:t>372</w:t>
      </w:r>
      <w:r w:rsidRPr="00CE3D1A">
        <w:t xml:space="preserve"> (</w:t>
      </w:r>
      <w:r w:rsidR="00651FBA" w:rsidRPr="00CE3D1A">
        <w:t>Canberra Hospital</w:t>
      </w:r>
      <w:r w:rsidRPr="00CE3D1A">
        <w:t xml:space="preserve">, </w:t>
      </w:r>
      <w:r w:rsidR="00651FBA" w:rsidRPr="00CE3D1A">
        <w:t>ACT</w:t>
      </w:r>
      <w:r w:rsidRPr="00CE3D1A">
        <w:t>) to $</w:t>
      </w:r>
      <w:r w:rsidR="00CE3D1A" w:rsidRPr="00CE3D1A">
        <w:t>4,243</w:t>
      </w:r>
      <w:r w:rsidRPr="00CE3D1A">
        <w:t xml:space="preserve"> (</w:t>
      </w:r>
      <w:r w:rsidR="00CE3D1A" w:rsidRPr="00CE3D1A">
        <w:t>Albany Hospital</w:t>
      </w:r>
      <w:r w:rsidRPr="00CE3D1A">
        <w:t xml:space="preserve">, </w:t>
      </w:r>
      <w:r w:rsidRPr="00374E86">
        <w:t>WA), with an average of $</w:t>
      </w:r>
      <w:r w:rsidR="00C66840" w:rsidRPr="00374E86">
        <w:t>2,439</w:t>
      </w:r>
      <w:r w:rsidRPr="00374E86">
        <w:t xml:space="preserve"> across sampled sites (see</w:t>
      </w:r>
      <w:r w:rsidR="0080333D">
        <w:t xml:space="preserve"> </w:t>
      </w:r>
      <w:r w:rsidR="00553097">
        <w:fldChar w:fldCharType="begin"/>
      </w:r>
      <w:r w:rsidR="00553097">
        <w:instrText xml:space="preserve"> REF _Ref114775768 \h </w:instrText>
      </w:r>
      <w:r w:rsidR="003E3232">
        <w:instrText xml:space="preserve"> \* MERGEFORMAT </w:instrText>
      </w:r>
      <w:r w:rsidR="00553097">
        <w:fldChar w:fldCharType="separate"/>
      </w:r>
      <w:r w:rsidR="007E2ACB" w:rsidRPr="007E2ACB">
        <w:t xml:space="preserve">Figure </w:t>
      </w:r>
      <w:r w:rsidR="007E2ACB" w:rsidRPr="007E2ACB">
        <w:rPr>
          <w:noProof/>
        </w:rPr>
        <w:t>5</w:t>
      </w:r>
      <w:r w:rsidR="00553097">
        <w:fldChar w:fldCharType="end"/>
      </w:r>
      <w:r w:rsidRPr="00374E86">
        <w:t>).</w:t>
      </w:r>
      <w:r w:rsidR="003E05D2">
        <w:t xml:space="preserve"> The ACT’s </w:t>
      </w:r>
      <w:r w:rsidR="00B003DF">
        <w:t xml:space="preserve">cost and activity </w:t>
      </w:r>
      <w:r w:rsidR="003E05D2">
        <w:t>figures are lower because</w:t>
      </w:r>
      <w:r w:rsidR="0012163D">
        <w:t xml:space="preserve"> medical oncology services</w:t>
      </w:r>
      <w:r w:rsidR="00B003DF">
        <w:t xml:space="preserve"> at CH</w:t>
      </w:r>
      <w:r w:rsidR="0012163D">
        <w:t xml:space="preserve"> are provided as outpatients.</w:t>
      </w:r>
      <w:r w:rsidRPr="00374E86">
        <w:t xml:space="preserve"> </w:t>
      </w:r>
      <w:r w:rsidR="007D72EB">
        <w:t xml:space="preserve">All jurisdictions highlighted the </w:t>
      </w:r>
      <w:r w:rsidR="00852C25">
        <w:t xml:space="preserve">impact of non-PBS drug costs on the highest cost episodes – where, in Tasmania alone, the three </w:t>
      </w:r>
      <w:r w:rsidR="00C24849">
        <w:t xml:space="preserve">highest cost episodes </w:t>
      </w:r>
      <w:r w:rsidR="00CD3499">
        <w:t>constituted</w:t>
      </w:r>
      <w:r w:rsidR="00C24849">
        <w:t xml:space="preserve"> 10 per cent of the total cost of chemotherapy</w:t>
      </w:r>
      <w:r w:rsidR="00CD3499">
        <w:t xml:space="preserve"> in </w:t>
      </w:r>
      <w:r w:rsidR="00595A9F">
        <w:t>FY20/21</w:t>
      </w:r>
      <w:r w:rsidR="00E10AE9">
        <w:t xml:space="preserve">. </w:t>
      </w:r>
      <w:r w:rsidR="00200245">
        <w:t xml:space="preserve">The average costs for this service can vary considerably year-on-year due to higher usage of non-PBS drugs. </w:t>
      </w:r>
      <w:r w:rsidR="000E3EBC">
        <w:t xml:space="preserve">As a result, </w:t>
      </w:r>
      <w:r w:rsidR="006059AE">
        <w:t>Tasmania</w:t>
      </w:r>
      <w:r w:rsidR="000E3EBC">
        <w:t xml:space="preserve"> had the largest variance between its highest and lowest cost episodes ($185,537), with </w:t>
      </w:r>
      <w:r w:rsidR="00A93E40">
        <w:t xml:space="preserve">ACT having the lowest ($1,245). </w:t>
      </w:r>
      <w:r w:rsidR="00200245">
        <w:t xml:space="preserve">The average variance across all sampled sites was </w:t>
      </w:r>
      <w:r w:rsidR="007B53D3">
        <w:t xml:space="preserve">$41,478. </w:t>
      </w:r>
    </w:p>
    <w:p w14:paraId="7B2F3D8A" w14:textId="34D6EFB1" w:rsidR="001A4305" w:rsidRPr="00630A55" w:rsidRDefault="00F6496B" w:rsidP="00F6496B">
      <w:pPr>
        <w:pStyle w:val="Caption"/>
      </w:pPr>
      <w:bookmarkStart w:id="34" w:name="_Ref114775768"/>
      <w:bookmarkStart w:id="35" w:name="_Ref114757818"/>
      <w:r w:rsidRPr="00017473">
        <w:rPr>
          <w:b/>
          <w:bCs/>
        </w:rPr>
        <w:t xml:space="preserve">Figure </w:t>
      </w:r>
      <w:r w:rsidR="00D91CB1" w:rsidRPr="00017473">
        <w:rPr>
          <w:b/>
          <w:bCs/>
        </w:rPr>
        <w:fldChar w:fldCharType="begin"/>
      </w:r>
      <w:r w:rsidR="00D91CB1" w:rsidRPr="00017473">
        <w:rPr>
          <w:b/>
          <w:bCs/>
        </w:rPr>
        <w:instrText xml:space="preserve"> SEQ Figure \* ARABIC </w:instrText>
      </w:r>
      <w:r w:rsidR="00D91CB1" w:rsidRPr="00017473">
        <w:rPr>
          <w:b/>
          <w:bCs/>
        </w:rPr>
        <w:fldChar w:fldCharType="separate"/>
      </w:r>
      <w:r w:rsidR="007E2ACB">
        <w:rPr>
          <w:b/>
          <w:bCs/>
          <w:noProof/>
        </w:rPr>
        <w:t>5</w:t>
      </w:r>
      <w:r w:rsidR="00D91CB1" w:rsidRPr="00017473">
        <w:rPr>
          <w:b/>
          <w:bCs/>
          <w:noProof/>
        </w:rPr>
        <w:fldChar w:fldCharType="end"/>
      </w:r>
      <w:bookmarkEnd w:id="34"/>
      <w:r w:rsidRPr="00017473">
        <w:rPr>
          <w:b/>
          <w:bCs/>
        </w:rPr>
        <w:t>:</w:t>
      </w:r>
      <w:r>
        <w:t xml:space="preserve"> </w:t>
      </w:r>
      <w:bookmarkEnd w:id="35"/>
      <w:r w:rsidR="00553097">
        <w:t xml:space="preserve">Average cost and activity for FY20/21 IFR </w:t>
      </w:r>
      <w:r w:rsidR="00504C39">
        <w:t>chemotherapy services, by jurisdiction and sample site</w:t>
      </w:r>
    </w:p>
    <w:p w14:paraId="337619F4" w14:textId="029C2DB1" w:rsidR="001A4305" w:rsidRDefault="005F3C5A" w:rsidP="0076278F">
      <w:pPr>
        <w:jc w:val="center"/>
      </w:pPr>
      <w:r>
        <w:rPr>
          <w:noProof/>
        </w:rPr>
        <w:drawing>
          <wp:inline distT="0" distB="0" distL="0" distR="0" wp14:anchorId="3C918BF5" wp14:editId="578F531F">
            <wp:extent cx="5759450" cy="3420110"/>
            <wp:effectExtent l="0" t="0" r="0" b="8890"/>
            <wp:docPr id="39" name="Chart 39" descr="The figure shows average cost and activity for chemotherapy services using a combination chart for each hospital/health service with a line for average costs overlayed with a column for activity.">
              <a:extLst xmlns:a="http://schemas.openxmlformats.org/drawingml/2006/main">
                <a:ext uri="{FF2B5EF4-FFF2-40B4-BE49-F238E27FC236}">
                  <a16:creationId xmlns:a16="http://schemas.microsoft.com/office/drawing/2014/main" id="{749184D5-5D98-4A20-B8FD-6C52F6C599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9D4A95B" w14:textId="77777777" w:rsidR="005774F0" w:rsidRPr="00630A55" w:rsidRDefault="005774F0" w:rsidP="005774F0">
      <w:pPr>
        <w:pStyle w:val="Source"/>
      </w:pPr>
      <w:r w:rsidRPr="00630A55">
        <w:t xml:space="preserve">Source: Jurisdictional consultations and </w:t>
      </w:r>
      <w:r>
        <w:t>templates</w:t>
      </w:r>
    </w:p>
    <w:p w14:paraId="321BA6A4" w14:textId="77777777" w:rsidR="005774F0" w:rsidRDefault="005774F0" w:rsidP="00EC5407"/>
    <w:p w14:paraId="490CE094" w14:textId="10339BA0" w:rsidR="007929DC" w:rsidRDefault="00EC5407" w:rsidP="00631241">
      <w:pPr>
        <w:pStyle w:val="BodyText"/>
      </w:pPr>
      <w:r>
        <w:t xml:space="preserve">In comparing the proportional direct and indirect costs associated with chemotherapy (see </w:t>
      </w:r>
      <w:r w:rsidR="00221034">
        <w:fldChar w:fldCharType="begin"/>
      </w:r>
      <w:r w:rsidR="00221034">
        <w:instrText xml:space="preserve"> REF _Ref115085052 \h </w:instrText>
      </w:r>
      <w:r w:rsidR="003E3232">
        <w:instrText xml:space="preserve"> \* MERGEFORMAT </w:instrText>
      </w:r>
      <w:r w:rsidR="00221034">
        <w:fldChar w:fldCharType="separate"/>
      </w:r>
      <w:r w:rsidR="007E2ACB" w:rsidRPr="007E2ACB">
        <w:t xml:space="preserve">Figure </w:t>
      </w:r>
      <w:r w:rsidR="007E2ACB" w:rsidRPr="007E2ACB">
        <w:rPr>
          <w:noProof/>
        </w:rPr>
        <w:t>6</w:t>
      </w:r>
      <w:r w:rsidR="00221034">
        <w:fldChar w:fldCharType="end"/>
      </w:r>
      <w:r>
        <w:t xml:space="preserve">), Perth Children’s Hospital in WA had the highest proportion of indirect costs </w:t>
      </w:r>
      <w:r w:rsidR="001D4ACD">
        <w:t>that</w:t>
      </w:r>
      <w:r>
        <w:t xml:space="preserve"> may be partly explained by the </w:t>
      </w:r>
      <w:r w:rsidR="00B379F5">
        <w:t>costing function and</w:t>
      </w:r>
      <w:r>
        <w:t xml:space="preserve"> changeover in costing team resourcing during </w:t>
      </w:r>
      <w:r w:rsidR="009B2E4A">
        <w:t>FY20/21</w:t>
      </w:r>
      <w:r>
        <w:t xml:space="preserve">. PCH is now supported by the East Metro HS who are applying their </w:t>
      </w:r>
      <w:r w:rsidR="003C2C70">
        <w:t xml:space="preserve">costing </w:t>
      </w:r>
      <w:r>
        <w:t xml:space="preserve">processes across PCH </w:t>
      </w:r>
      <w:r w:rsidR="001D4ACD">
        <w:t>that</w:t>
      </w:r>
      <w:r w:rsidR="003C2C70">
        <w:t xml:space="preserve"> is </w:t>
      </w:r>
      <w:r>
        <w:t>expect</w:t>
      </w:r>
      <w:r w:rsidR="003C2C70">
        <w:t>ed</w:t>
      </w:r>
      <w:r>
        <w:t xml:space="preserve"> to improve the </w:t>
      </w:r>
      <w:r w:rsidR="003C2C70">
        <w:t>matching o</w:t>
      </w:r>
      <w:r w:rsidR="000816AA">
        <w:t>f direct</w:t>
      </w:r>
      <w:r>
        <w:t xml:space="preserve"> costs into </w:t>
      </w:r>
      <w:r w:rsidR="000816AA">
        <w:t>t</w:t>
      </w:r>
      <w:r>
        <w:t xml:space="preserve">he FY21/22 IFR </w:t>
      </w:r>
      <w:r w:rsidR="000816AA">
        <w:t xml:space="preserve">thereby </w:t>
      </w:r>
      <w:r>
        <w:t>reduc</w:t>
      </w:r>
      <w:r w:rsidR="000816AA">
        <w:t>ing</w:t>
      </w:r>
      <w:r>
        <w:t xml:space="preserve"> the proportion of indirect costs. In </w:t>
      </w:r>
      <w:r w:rsidR="00595A9F">
        <w:t>FY20/21</w:t>
      </w:r>
      <w:r>
        <w:t xml:space="preserve">, Victoria and the ACT had the lowest proportion of indirect costs in chemotherapy, ranging from 7 per cent to 12 </w:t>
      </w:r>
      <w:r w:rsidR="00A24807">
        <w:t>per cent</w:t>
      </w:r>
      <w:r>
        <w:t xml:space="preserve"> of total cost.</w:t>
      </w:r>
    </w:p>
    <w:p w14:paraId="52A78C66" w14:textId="77777777" w:rsidR="005774F0" w:rsidRDefault="005774F0" w:rsidP="005774F0"/>
    <w:p w14:paraId="266376FB" w14:textId="17F3367B" w:rsidR="008A540A" w:rsidRDefault="00F6496B" w:rsidP="00F6496B">
      <w:pPr>
        <w:pStyle w:val="Caption"/>
      </w:pPr>
      <w:bookmarkStart w:id="36" w:name="_Ref115085052"/>
      <w:r w:rsidRPr="00017473">
        <w:rPr>
          <w:b/>
          <w:bCs/>
        </w:rPr>
        <w:lastRenderedPageBreak/>
        <w:t xml:space="preserve">Figure </w:t>
      </w:r>
      <w:r w:rsidR="00D91CB1" w:rsidRPr="00017473">
        <w:rPr>
          <w:b/>
          <w:bCs/>
        </w:rPr>
        <w:fldChar w:fldCharType="begin"/>
      </w:r>
      <w:r w:rsidR="00D91CB1" w:rsidRPr="00017473">
        <w:rPr>
          <w:b/>
          <w:bCs/>
        </w:rPr>
        <w:instrText xml:space="preserve"> SEQ Figure \* ARABIC </w:instrText>
      </w:r>
      <w:r w:rsidR="00D91CB1" w:rsidRPr="00017473">
        <w:rPr>
          <w:b/>
          <w:bCs/>
        </w:rPr>
        <w:fldChar w:fldCharType="separate"/>
      </w:r>
      <w:r w:rsidR="007E2ACB">
        <w:rPr>
          <w:b/>
          <w:bCs/>
          <w:noProof/>
        </w:rPr>
        <w:t>6</w:t>
      </w:r>
      <w:r w:rsidR="00D91CB1" w:rsidRPr="00017473">
        <w:rPr>
          <w:b/>
          <w:bCs/>
          <w:noProof/>
        </w:rPr>
        <w:fldChar w:fldCharType="end"/>
      </w:r>
      <w:bookmarkEnd w:id="36"/>
      <w:r w:rsidR="00777E82" w:rsidRPr="00017473">
        <w:rPr>
          <w:b/>
          <w:bCs/>
        </w:rPr>
        <w:t>:</w:t>
      </w:r>
      <w:r w:rsidR="00777E82">
        <w:t xml:space="preserve"> </w:t>
      </w:r>
      <w:r w:rsidR="00595A9F">
        <w:t>FY20/21</w:t>
      </w:r>
      <w:r w:rsidR="005D28F6">
        <w:t xml:space="preserve"> IFR </w:t>
      </w:r>
      <w:r w:rsidR="007929DC">
        <w:t xml:space="preserve">proportional direct and indirect costs for chemotherapy, by jurisdiction and sample site. </w:t>
      </w:r>
    </w:p>
    <w:p w14:paraId="504B7C38" w14:textId="1E4A1DAD" w:rsidR="001A4305" w:rsidRDefault="001A4305" w:rsidP="008C4A01">
      <w:pPr>
        <w:jc w:val="center"/>
      </w:pPr>
      <w:r w:rsidRPr="00630A55">
        <w:rPr>
          <w:noProof/>
        </w:rPr>
        <w:drawing>
          <wp:inline distT="0" distB="0" distL="0" distR="0" wp14:anchorId="1C613145" wp14:editId="7974EA69">
            <wp:extent cx="4924425" cy="3314700"/>
            <wp:effectExtent l="0" t="0" r="0" b="0"/>
            <wp:docPr id="27" name="Chart 27" descr="A 100% stacked column chart showing the proportion split between direct and indirect costs for chemotherapy for each health service.">
              <a:extLst xmlns:a="http://schemas.openxmlformats.org/drawingml/2006/main">
                <a:ext uri="{FF2B5EF4-FFF2-40B4-BE49-F238E27FC236}">
                  <a16:creationId xmlns:a16="http://schemas.microsoft.com/office/drawing/2014/main" id="{5773394C-AE19-4E03-91F7-CE6B91BA8E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C244AD0" w14:textId="77777777" w:rsidR="008C4A01" w:rsidRPr="00630A55" w:rsidRDefault="008C4A01" w:rsidP="008C4A01">
      <w:pPr>
        <w:pStyle w:val="Source"/>
      </w:pPr>
      <w:r w:rsidRPr="00630A55">
        <w:t xml:space="preserve">Source: Jurisdictional consultations and </w:t>
      </w:r>
      <w:r>
        <w:t>templates</w:t>
      </w:r>
    </w:p>
    <w:p w14:paraId="47660849" w14:textId="77777777" w:rsidR="001A4305" w:rsidRDefault="001A4305" w:rsidP="001A4305"/>
    <w:p w14:paraId="5FCF35E6" w14:textId="452B3DC5" w:rsidR="001A4305" w:rsidRPr="001A4305" w:rsidRDefault="001A4305" w:rsidP="001A4305">
      <w:pPr>
        <w:sectPr w:rsidR="001A4305" w:rsidRPr="001A4305" w:rsidSect="00146B60">
          <w:pgSz w:w="11906" w:h="16838"/>
          <w:pgMar w:top="1134" w:right="1418" w:bottom="1418" w:left="1418" w:header="709" w:footer="454" w:gutter="0"/>
          <w:cols w:space="708"/>
          <w:docGrid w:linePitch="360"/>
        </w:sectPr>
      </w:pPr>
    </w:p>
    <w:p w14:paraId="2ED1E791" w14:textId="5BED7908" w:rsidR="00862CB7" w:rsidRPr="00630A55" w:rsidRDefault="00862CB7" w:rsidP="00862CB7">
      <w:pPr>
        <w:pStyle w:val="Heading3"/>
      </w:pPr>
      <w:r w:rsidRPr="00630A55">
        <w:lastRenderedPageBreak/>
        <w:t xml:space="preserve">Chemotherapy </w:t>
      </w:r>
      <w:r>
        <w:t xml:space="preserve">jurisdictional </w:t>
      </w:r>
      <w:r w:rsidRPr="00630A55">
        <w:t>summar</w:t>
      </w:r>
      <w:r>
        <w:t>ies</w:t>
      </w:r>
    </w:p>
    <w:p w14:paraId="3506AFF3" w14:textId="3AE00310" w:rsidR="00262A92" w:rsidRPr="00630A55" w:rsidRDefault="00262A92" w:rsidP="003E3232">
      <w:pPr>
        <w:pStyle w:val="BodyText"/>
      </w:pPr>
      <w:r w:rsidRPr="00630A55">
        <w:t xml:space="preserve">The following provides an overview of the service models and costing methods highlighted, and comparison of key metrics to </w:t>
      </w:r>
      <w:r w:rsidR="00595A9F">
        <w:t>FY19/20</w:t>
      </w:r>
      <w:r w:rsidRPr="00630A55">
        <w:t xml:space="preserve">, by each of the sampled sites. </w:t>
      </w:r>
    </w:p>
    <w:p w14:paraId="24BE09F7" w14:textId="77777777" w:rsidR="005F5EC8" w:rsidRPr="00630A55" w:rsidRDefault="005F5EC8" w:rsidP="005F5EC8">
      <w:pPr>
        <w:pStyle w:val="Heading4"/>
      </w:pPr>
      <w:r w:rsidRPr="00630A55">
        <w:t>Australian Capital Territory</w:t>
      </w:r>
    </w:p>
    <w:p w14:paraId="299100A1" w14:textId="68972DE5" w:rsidR="005F5EC8" w:rsidRPr="009C4682" w:rsidRDefault="00B33E36" w:rsidP="003E3232">
      <w:pPr>
        <w:pStyle w:val="BodyText"/>
        <w:rPr>
          <w:rFonts w:ascii="Univers 45 Light" w:hAnsi="Univers 45 Light"/>
          <w:b/>
          <w:bCs/>
          <w:highlight w:val="yellow"/>
        </w:rPr>
      </w:pPr>
      <w:r>
        <w:t>C</w:t>
      </w:r>
      <w:r w:rsidR="001E1EA3">
        <w:t>anberra Hospital (CH)</w:t>
      </w:r>
      <w:r w:rsidR="004C25A1" w:rsidRPr="00A91F8B">
        <w:t xml:space="preserve"> provide an in-house chemotherapy service. In </w:t>
      </w:r>
      <w:r w:rsidR="00595A9F">
        <w:t>FY20/21</w:t>
      </w:r>
      <w:r w:rsidR="004C25A1" w:rsidRPr="00A91F8B">
        <w:t xml:space="preserve">, they registered total activity of </w:t>
      </w:r>
      <w:r w:rsidR="007D250A" w:rsidRPr="00A91F8B">
        <w:t>169</w:t>
      </w:r>
      <w:r w:rsidR="00212295" w:rsidRPr="00A91F8B">
        <w:t xml:space="preserve"> with an average cost of $372, representing a </w:t>
      </w:r>
      <w:r w:rsidR="00B55892" w:rsidRPr="00A91F8B">
        <w:t>36</w:t>
      </w:r>
      <w:r w:rsidR="009007DA">
        <w:t> per cent</w:t>
      </w:r>
      <w:r w:rsidR="00B55892" w:rsidRPr="00A91F8B">
        <w:t xml:space="preserve"> decrease on </w:t>
      </w:r>
      <w:r w:rsidR="00595A9F">
        <w:t>FY19/20</w:t>
      </w:r>
      <w:r w:rsidR="00B55892" w:rsidRPr="00A91F8B">
        <w:t xml:space="preserve"> average cost </w:t>
      </w:r>
      <w:r w:rsidR="00AB1230" w:rsidRPr="00A91F8B">
        <w:t>amidst a 56</w:t>
      </w:r>
      <w:r w:rsidR="009007DA">
        <w:t> per cent</w:t>
      </w:r>
      <w:r w:rsidR="00AB1230" w:rsidRPr="00A91F8B">
        <w:t xml:space="preserve"> increase in activity. </w:t>
      </w:r>
      <w:r w:rsidR="00AD6396" w:rsidRPr="00A91F8B">
        <w:t xml:space="preserve">Whilst </w:t>
      </w:r>
      <w:r w:rsidR="00D8502A" w:rsidRPr="00A91F8B">
        <w:t>medical salaries and wages increased by 282</w:t>
      </w:r>
      <w:r w:rsidR="009007DA">
        <w:t> per cent</w:t>
      </w:r>
      <w:r w:rsidR="00D8502A" w:rsidRPr="00A91F8B">
        <w:t xml:space="preserve"> on </w:t>
      </w:r>
      <w:r w:rsidR="00595A9F">
        <w:t>FY19/20</w:t>
      </w:r>
      <w:r w:rsidR="00D8502A" w:rsidRPr="00A91F8B">
        <w:t xml:space="preserve"> figures, salaries and wages for nursing and other decreased by 42</w:t>
      </w:r>
      <w:r w:rsidR="009007DA">
        <w:t> per cent</w:t>
      </w:r>
      <w:r w:rsidR="00D8502A" w:rsidRPr="00A91F8B">
        <w:t xml:space="preserve"> and </w:t>
      </w:r>
      <w:r w:rsidR="00AF103E" w:rsidRPr="00A91F8B">
        <w:t>31</w:t>
      </w:r>
      <w:r w:rsidR="009007DA">
        <w:t> per cent</w:t>
      </w:r>
      <w:r w:rsidR="00AF103E" w:rsidRPr="00A91F8B">
        <w:t xml:space="preserve"> respectively. </w:t>
      </w:r>
      <w:r w:rsidR="007D30EA" w:rsidRPr="00A91F8B">
        <w:t>Whilst non-PBS drug costs increased by 51</w:t>
      </w:r>
      <w:r w:rsidR="009007DA">
        <w:t> per cent</w:t>
      </w:r>
      <w:r w:rsidR="007D30EA" w:rsidRPr="00A91F8B">
        <w:t xml:space="preserve"> in </w:t>
      </w:r>
      <w:r w:rsidR="00595A9F">
        <w:t>FY20/21</w:t>
      </w:r>
      <w:r w:rsidR="007D30EA" w:rsidRPr="00A91F8B">
        <w:t xml:space="preserve">, this represented only a small variance in </w:t>
      </w:r>
      <w:r w:rsidR="0028323B" w:rsidRPr="00A91F8B">
        <w:t>overall costs (</w:t>
      </w:r>
      <w:r w:rsidR="000A08C2" w:rsidRPr="00A91F8B">
        <w:t xml:space="preserve">an increase of </w:t>
      </w:r>
      <w:r w:rsidR="009C4682" w:rsidRPr="00A91F8B">
        <w:t>$934)</w:t>
      </w:r>
      <w:r w:rsidR="00A91F8B">
        <w:t>.</w:t>
      </w:r>
      <w:r w:rsidR="007D30EA" w:rsidRPr="00A91F8B">
        <w:t xml:space="preserve"> </w:t>
      </w:r>
      <w:r w:rsidR="00693F98">
        <w:t>Medical Oncology services are provided at CHS as outpatients hence the cost &amp; activity numbers are lower</w:t>
      </w:r>
    </w:p>
    <w:p w14:paraId="21A31B0A" w14:textId="77777777" w:rsidR="005F5EC8" w:rsidRPr="00630A55" w:rsidRDefault="005F5EC8" w:rsidP="005F5EC8">
      <w:pPr>
        <w:pStyle w:val="Heading4"/>
      </w:pPr>
      <w:r w:rsidRPr="00630A55">
        <w:t>Northern Territory</w:t>
      </w:r>
    </w:p>
    <w:p w14:paraId="1E42A158" w14:textId="55EB51F9" w:rsidR="009C55E6" w:rsidRPr="00630A55" w:rsidRDefault="009C55E6" w:rsidP="003E3232">
      <w:pPr>
        <w:pStyle w:val="BodyText"/>
      </w:pPr>
      <w:r w:rsidRPr="00630A55">
        <w:t xml:space="preserve">The </w:t>
      </w:r>
      <w:r w:rsidR="001E1EA3">
        <w:t>Alice Springs Hospital (</w:t>
      </w:r>
      <w:r w:rsidR="00710D0C">
        <w:t>ASH</w:t>
      </w:r>
      <w:r w:rsidR="001E1EA3">
        <w:t>)</w:t>
      </w:r>
      <w:r w:rsidRPr="00630A55">
        <w:t xml:space="preserve"> is set up with six chemotherapy chairs, conducting 600 same day chemotherapy admissions and a small number of overnight admissions. ASH also receives oncology support from interstate (Royal Adelaide Hospital predominantly). All paediatric chemotherapy is referred interstate or to Darwin and the cost is captured together with any fly in fly out medical services. Feeder systems are important in chemotherapy and are utilised, particularly with the changes made in capturing compounded drug costs (previous system limitation in capturing drug costs). The ward transfer file is also referred to in determining how many times a patient </w:t>
      </w:r>
      <w:r w:rsidR="00710D0C">
        <w:t>goes</w:t>
      </w:r>
      <w:r w:rsidRPr="00630A55">
        <w:t xml:space="preserve"> in and out of the ward. </w:t>
      </w:r>
    </w:p>
    <w:p w14:paraId="055D2BBE" w14:textId="03D2B201" w:rsidR="005F5EC8" w:rsidRPr="00987CCD" w:rsidRDefault="009C55E6" w:rsidP="003E3232">
      <w:pPr>
        <w:pStyle w:val="BodyText"/>
      </w:pPr>
      <w:r w:rsidRPr="00630A55">
        <w:t xml:space="preserve">The chemotherapy </w:t>
      </w:r>
      <w:r w:rsidR="00727C9C">
        <w:t>ward</w:t>
      </w:r>
      <w:r w:rsidRPr="00630A55">
        <w:t xml:space="preserve"> also</w:t>
      </w:r>
      <w:r w:rsidRPr="00630A55" w:rsidDel="009C4682">
        <w:t xml:space="preserve"> </w:t>
      </w:r>
      <w:r w:rsidR="009C4682">
        <w:t>provides</w:t>
      </w:r>
      <w:r w:rsidRPr="00630A55">
        <w:t xml:space="preserve"> other infusion</w:t>
      </w:r>
      <w:r w:rsidR="003E3232">
        <w:t xml:space="preserve"> types,</w:t>
      </w:r>
      <w:r w:rsidRPr="00630A55">
        <w:t xml:space="preserve"> and the same process is undertaken for costing, regardless of the infusion type. ASH also utilises a non-admitted chemotherapy clinic in addition to a nursing led oncology clinic and specialist oncology review clinic. </w:t>
      </w:r>
    </w:p>
    <w:p w14:paraId="01F60E88" w14:textId="40CE1A40" w:rsidR="00586CEE" w:rsidRPr="00630A55" w:rsidRDefault="00586CEE" w:rsidP="003E3232">
      <w:pPr>
        <w:pStyle w:val="BodyText"/>
      </w:pPr>
      <w:r>
        <w:t xml:space="preserve">In </w:t>
      </w:r>
      <w:r w:rsidR="00595A9F">
        <w:t>FY20/21</w:t>
      </w:r>
      <w:r>
        <w:t xml:space="preserve">, ASH registered </w:t>
      </w:r>
      <w:r w:rsidR="0031371F">
        <w:t>total activity of 588</w:t>
      </w:r>
      <w:r w:rsidR="007637AE">
        <w:t xml:space="preserve"> with an average cost of $3,344, representing a 38.2</w:t>
      </w:r>
      <w:r w:rsidR="009007DA">
        <w:t> per cent</w:t>
      </w:r>
      <w:r w:rsidR="007637AE">
        <w:t xml:space="preserve"> increase on </w:t>
      </w:r>
      <w:r w:rsidR="00595A9F">
        <w:t>FY19/20</w:t>
      </w:r>
      <w:r w:rsidR="007637AE">
        <w:t xml:space="preserve"> average costs with a </w:t>
      </w:r>
      <w:r w:rsidR="00E236F2">
        <w:t>22.7</w:t>
      </w:r>
      <w:r w:rsidR="009007DA">
        <w:t> per cent</w:t>
      </w:r>
      <w:r w:rsidR="00E236F2">
        <w:t xml:space="preserve"> increase in activity. </w:t>
      </w:r>
      <w:r w:rsidR="0018245C" w:rsidRPr="00630A55">
        <w:t xml:space="preserve">Goods and services costs have increased year on year, given the remoteness of ASH, </w:t>
      </w:r>
      <w:r w:rsidR="00710D0C">
        <w:t xml:space="preserve">and </w:t>
      </w:r>
      <w:r w:rsidR="0018245C" w:rsidRPr="00630A55">
        <w:t>supply chain issues have caused procurement pain with additional costs incurred regularly.</w:t>
      </w:r>
      <w:r w:rsidR="00E77745">
        <w:t xml:space="preserve"> Whilst non-PBS drugs decrease by 95</w:t>
      </w:r>
      <w:r w:rsidR="009007DA">
        <w:t> per cent</w:t>
      </w:r>
      <w:r w:rsidR="00E77745">
        <w:t xml:space="preserve">, </w:t>
      </w:r>
      <w:r w:rsidR="00976ACD">
        <w:t>PBS drugs i</w:t>
      </w:r>
      <w:r w:rsidR="00395928">
        <w:t>ncreased by 100</w:t>
      </w:r>
      <w:r w:rsidR="009007DA">
        <w:t> per cent</w:t>
      </w:r>
      <w:r w:rsidR="00395928">
        <w:t xml:space="preserve"> in </w:t>
      </w:r>
      <w:r w:rsidR="00595A9F">
        <w:t>FY20/21</w:t>
      </w:r>
      <w:r w:rsidR="00395928">
        <w:t xml:space="preserve"> due to </w:t>
      </w:r>
      <w:r w:rsidR="00391138">
        <w:t xml:space="preserve">improvements in designating drug types from </w:t>
      </w:r>
      <w:r w:rsidR="00595A9F">
        <w:t>FY19/20</w:t>
      </w:r>
      <w:r w:rsidR="00391138">
        <w:t xml:space="preserve">, where PBS drugs were not allocated correctly. </w:t>
      </w:r>
    </w:p>
    <w:p w14:paraId="6263C98D" w14:textId="77777777" w:rsidR="005F5EC8" w:rsidRPr="00630A55" w:rsidRDefault="005F5EC8" w:rsidP="005F5EC8">
      <w:pPr>
        <w:pStyle w:val="Heading4"/>
      </w:pPr>
      <w:r w:rsidRPr="00630A55">
        <w:t>Queensland</w:t>
      </w:r>
    </w:p>
    <w:p w14:paraId="29380289" w14:textId="120994AC" w:rsidR="005F5EC8" w:rsidRPr="00630A55" w:rsidRDefault="005F5EC8" w:rsidP="005F5EC8">
      <w:pPr>
        <w:pStyle w:val="Heading5"/>
      </w:pPr>
      <w:r w:rsidRPr="00630A55">
        <w:t xml:space="preserve">Central Queensland </w:t>
      </w:r>
      <w:r w:rsidR="00B3532D">
        <w:t>Hospital and</w:t>
      </w:r>
      <w:r w:rsidRPr="00630A55">
        <w:t xml:space="preserve"> Health Service</w:t>
      </w:r>
    </w:p>
    <w:p w14:paraId="5627D1B3" w14:textId="77777777" w:rsidR="00273585" w:rsidRDefault="00273585" w:rsidP="003E3232">
      <w:pPr>
        <w:pStyle w:val="BodyText"/>
      </w:pPr>
      <w:r>
        <w:t xml:space="preserve">Chemotherapy services are delivered in-house at the Rockhampton Hospital, across four shifts Monday to Friday. Due to the distance between sites (e.g. Rockhampton and Gladstone are 100kms apart), there are costs associated with patient transport that are managed by the HHS. Whilst there is a patient transport reimbursement scheme, this does not cover all costs. </w:t>
      </w:r>
    </w:p>
    <w:p w14:paraId="10C1179A" w14:textId="77777777" w:rsidR="001A3F23" w:rsidRDefault="00273585" w:rsidP="003E3232">
      <w:pPr>
        <w:pStyle w:val="BodyText"/>
      </w:pPr>
      <w:r>
        <w:t xml:space="preserve">In </w:t>
      </w:r>
      <w:r w:rsidR="00595A9F">
        <w:t>FY20/21</w:t>
      </w:r>
      <w:r>
        <w:t xml:space="preserve">, CQHHS registered total activity of 3,847, a 12 per cent increase on </w:t>
      </w:r>
      <w:r w:rsidR="00595A9F">
        <w:t>FY19/20</w:t>
      </w:r>
      <w:r>
        <w:t xml:space="preserve"> figures (3,427) at an average cost of $1,976 per patient, </w:t>
      </w:r>
      <w:r w:rsidR="001D4ACD">
        <w:t>that</w:t>
      </w:r>
      <w:r>
        <w:t xml:space="preserve"> represented a 25 per cent increase on </w:t>
      </w:r>
      <w:r w:rsidR="00595A9F">
        <w:t>FY19/20</w:t>
      </w:r>
      <w:r>
        <w:t xml:space="preserve"> costs ($1,575). Salary and wages were the key driver for this increase, including a reclassification of administrative staff to clinical assistants within the period of </w:t>
      </w:r>
      <w:r w:rsidR="00595A9F">
        <w:t>FY20/21</w:t>
      </w:r>
      <w:r>
        <w:t xml:space="preserve">. </w:t>
      </w:r>
    </w:p>
    <w:p w14:paraId="50A4AAE0" w14:textId="5AB3293D" w:rsidR="00273585" w:rsidRDefault="00273585" w:rsidP="003E3232">
      <w:pPr>
        <w:pStyle w:val="BodyText"/>
      </w:pPr>
      <w:r>
        <w:lastRenderedPageBreak/>
        <w:t>Total costs increased by over 40 per cent for chemotherapy due to the closure of the Gladstone Mater Private Hospital, resulting in increased patient flow, but also increased hiring and recruitment to service additional demand (</w:t>
      </w:r>
      <w:r w:rsidR="001D4ACD">
        <w:t>that</w:t>
      </w:r>
      <w:r>
        <w:t xml:space="preserve"> also increased salary and wages costs highlighted above). </w:t>
      </w:r>
    </w:p>
    <w:p w14:paraId="583C2DF6" w14:textId="16E65542" w:rsidR="00273585" w:rsidRDefault="00273585" w:rsidP="003E3232">
      <w:pPr>
        <w:pStyle w:val="BodyText"/>
      </w:pPr>
      <w:r>
        <w:t xml:space="preserve">CQHHS also noted an increase in medical supplies by 45 per cent due to account code classification changes between </w:t>
      </w:r>
      <w:r w:rsidR="00595A9F">
        <w:t>FY19/20</w:t>
      </w:r>
      <w:r>
        <w:t xml:space="preserve"> and </w:t>
      </w:r>
      <w:r w:rsidR="00595A9F">
        <w:t>FY20/21</w:t>
      </w:r>
      <w:r>
        <w:t xml:space="preserve">. PBS and non-PBS drug costs also increased in </w:t>
      </w:r>
      <w:r w:rsidR="00595A9F">
        <w:t>FY20/21</w:t>
      </w:r>
      <w:r>
        <w:t xml:space="preserve">, by 7.5 per cent. </w:t>
      </w:r>
    </w:p>
    <w:p w14:paraId="1DDC0FD5" w14:textId="5DD99DCA" w:rsidR="005F5EC8" w:rsidRPr="00630A55" w:rsidRDefault="005F5EC8" w:rsidP="00085947">
      <w:pPr>
        <w:pStyle w:val="Heading5"/>
        <w:rPr>
          <w:rFonts w:ascii="Univers 45 Light" w:hAnsi="Univers 45 Light"/>
          <w:b w:val="0"/>
        </w:rPr>
      </w:pPr>
      <w:r w:rsidRPr="00630A55">
        <w:t xml:space="preserve">Mackay </w:t>
      </w:r>
      <w:r w:rsidR="00B3532D">
        <w:t xml:space="preserve">Hospital and </w:t>
      </w:r>
      <w:r w:rsidRPr="00630A55">
        <w:t>Health Service</w:t>
      </w:r>
    </w:p>
    <w:p w14:paraId="48AF1B99" w14:textId="42D3CC45" w:rsidR="005C4C87" w:rsidRDefault="005C4C87" w:rsidP="003E3232">
      <w:pPr>
        <w:pStyle w:val="BodyText"/>
      </w:pPr>
      <w:r>
        <w:t xml:space="preserve">MHHS provides an in-house chemotherapy service. In </w:t>
      </w:r>
      <w:r w:rsidR="00595A9F">
        <w:t>FY20/21</w:t>
      </w:r>
      <w:r>
        <w:t xml:space="preserve"> MHHS registered total activity of 3,517 with an average cost of $1,131, </w:t>
      </w:r>
      <w:r w:rsidR="001D4ACD">
        <w:t>that</w:t>
      </w:r>
      <w:r>
        <w:t xml:space="preserve"> represented a 7 per cent increase in average costs from </w:t>
      </w:r>
      <w:r w:rsidR="00595A9F">
        <w:t>FY19/20</w:t>
      </w:r>
      <w:r>
        <w:t xml:space="preserve">, with a 1.8 per cent increase in activity. The higher cost profile was explained, in part, by increased PBS and non-PBS drugs, </w:t>
      </w:r>
      <w:r w:rsidR="001D4ACD">
        <w:t>that</w:t>
      </w:r>
      <w:r>
        <w:t xml:space="preserve"> increased by 65 per cent on </w:t>
      </w:r>
      <w:r w:rsidR="00595A9F">
        <w:t>FY19/20</w:t>
      </w:r>
      <w:r>
        <w:t xml:space="preserve"> figures.</w:t>
      </w:r>
      <w:r w:rsidR="001A3F23">
        <w:t xml:space="preserve"> </w:t>
      </w:r>
      <w:r>
        <w:t xml:space="preserve">MHHS flagged that very low-cost episodes reflect some data quality errors relating to pharmacy return misalignments </w:t>
      </w:r>
      <w:r w:rsidR="001D4ACD">
        <w:t>that</w:t>
      </w:r>
      <w:r>
        <w:t xml:space="preserve"> were not statistically significant.</w:t>
      </w:r>
    </w:p>
    <w:p w14:paraId="33CE8EF0" w14:textId="0D713B1A" w:rsidR="005F5EC8" w:rsidRPr="00630A55" w:rsidRDefault="005F5EC8" w:rsidP="00085947">
      <w:pPr>
        <w:pStyle w:val="Heading5"/>
        <w:rPr>
          <w:rFonts w:ascii="Univers 45 Light" w:hAnsi="Univers 45 Light"/>
          <w:b w:val="0"/>
        </w:rPr>
      </w:pPr>
      <w:r w:rsidRPr="00630A55">
        <w:t xml:space="preserve">Metro South </w:t>
      </w:r>
      <w:r w:rsidR="00896569">
        <w:t xml:space="preserve">Hospital and </w:t>
      </w:r>
      <w:r w:rsidRPr="00630A55">
        <w:t>Health Service</w:t>
      </w:r>
    </w:p>
    <w:p w14:paraId="504AB84A" w14:textId="15F65A75" w:rsidR="00175CEA" w:rsidRDefault="00175CEA" w:rsidP="003E3232">
      <w:pPr>
        <w:pStyle w:val="BodyText"/>
      </w:pPr>
      <w:r>
        <w:t xml:space="preserve">MSHHS delivers chemotherapy services across inpatient and outpatient settings, </w:t>
      </w:r>
      <w:r w:rsidR="001D4ACD">
        <w:t>that</w:t>
      </w:r>
      <w:r>
        <w:t xml:space="preserve"> remain relatively consistent with respect to service delivery and approach. In </w:t>
      </w:r>
      <w:r w:rsidR="00595A9F">
        <w:t>FY20/21</w:t>
      </w:r>
      <w:r>
        <w:t xml:space="preserve">, MSHHS registered total activity of 17,900 with an average cost of $2,731, representing an 8.9 per cent increase in average cost from </w:t>
      </w:r>
      <w:r w:rsidR="00595A9F">
        <w:t>FY19/20</w:t>
      </w:r>
      <w:r>
        <w:t xml:space="preserve"> from an 8.5 per cent increase in activity. </w:t>
      </w:r>
    </w:p>
    <w:p w14:paraId="5D8CE1E5" w14:textId="26F906C8" w:rsidR="00175CEA" w:rsidRDefault="00175CEA" w:rsidP="003E3232">
      <w:pPr>
        <w:pStyle w:val="BodyText"/>
      </w:pPr>
      <w:r>
        <w:t xml:space="preserve">MSHHS flagged that the very low-cost episodes reflect some data quality errors relating to pharmacy return misalignments </w:t>
      </w:r>
      <w:r w:rsidR="001D4ACD">
        <w:t>that</w:t>
      </w:r>
      <w:r>
        <w:t xml:space="preserve"> were not statistically significant, whilst increases in the overall cost profile were explained, in part, by increases in the use on non-PBS drugs (27 per cent increase on </w:t>
      </w:r>
      <w:r w:rsidR="00595A9F">
        <w:t>FY19/20</w:t>
      </w:r>
      <w:r>
        <w:t xml:space="preserve"> figures).</w:t>
      </w:r>
    </w:p>
    <w:p w14:paraId="5854CEE7" w14:textId="77777777" w:rsidR="005F5EC8" w:rsidRPr="00630A55" w:rsidRDefault="005F5EC8" w:rsidP="005F5EC8">
      <w:pPr>
        <w:pStyle w:val="Heading4"/>
      </w:pPr>
      <w:r w:rsidRPr="00630A55">
        <w:t>South Australia</w:t>
      </w:r>
    </w:p>
    <w:p w14:paraId="4892692E" w14:textId="77777777" w:rsidR="005F5EC8" w:rsidRPr="00630A55" w:rsidRDefault="005F5EC8" w:rsidP="005F5EC8">
      <w:pPr>
        <w:pStyle w:val="Heading5"/>
      </w:pPr>
      <w:r w:rsidRPr="00630A55">
        <w:t>Port Augusta Hospital</w:t>
      </w:r>
    </w:p>
    <w:p w14:paraId="428C9388" w14:textId="3A85FD0D" w:rsidR="005E00EF" w:rsidRPr="00630A55" w:rsidRDefault="003C09A7" w:rsidP="003E3232">
      <w:pPr>
        <w:pStyle w:val="BodyText"/>
      </w:pPr>
      <w:r>
        <w:t>The Port Augusta Hospital (</w:t>
      </w:r>
      <w:r w:rsidR="005E00EF" w:rsidRPr="00630A55">
        <w:t>PAH</w:t>
      </w:r>
      <w:r>
        <w:t>)</w:t>
      </w:r>
      <w:r w:rsidR="005E00EF" w:rsidRPr="00630A55">
        <w:t xml:space="preserve"> runs an in-house chemotherapy service in a dedicated ward. In </w:t>
      </w:r>
      <w:r w:rsidR="00595A9F">
        <w:t>FY20/21</w:t>
      </w:r>
      <w:r w:rsidR="005E00EF" w:rsidRPr="00630A55">
        <w:t xml:space="preserve">, </w:t>
      </w:r>
      <w:r w:rsidR="00710D0C">
        <w:t>PAH</w:t>
      </w:r>
      <w:r w:rsidR="005E00EF" w:rsidRPr="00630A55">
        <w:t xml:space="preserve"> registered total activity of 303 at an average cost of $4,173</w:t>
      </w:r>
      <w:r w:rsidR="00710D0C">
        <w:t>. T</w:t>
      </w:r>
      <w:r w:rsidR="005E00EF" w:rsidRPr="00630A55">
        <w:t>his was a 22</w:t>
      </w:r>
      <w:r w:rsidR="009007DA">
        <w:t> per cent</w:t>
      </w:r>
      <w:r w:rsidR="005E00EF" w:rsidRPr="00630A55">
        <w:t xml:space="preserve"> increase in average cost despite only a moderate increase in activity. Part of this was likely driven by improvements to the costing of chemotherapy floorspace, as this was previously not counted. </w:t>
      </w:r>
      <w:r w:rsidR="00CC7EF5">
        <w:t xml:space="preserve">In contrast to the experience of other sample sites, the usage of non-PBS drugs decreased at PAH in </w:t>
      </w:r>
      <w:r w:rsidR="00595A9F">
        <w:t>FY20/21</w:t>
      </w:r>
      <w:r w:rsidR="00CC7EF5">
        <w:t xml:space="preserve">, by </w:t>
      </w:r>
      <w:r w:rsidR="00401D10">
        <w:t>50</w:t>
      </w:r>
      <w:r w:rsidR="009007DA">
        <w:t> per cent</w:t>
      </w:r>
      <w:r w:rsidR="00401D10">
        <w:t xml:space="preserve">, </w:t>
      </w:r>
      <w:r w:rsidR="001D4ACD">
        <w:t xml:space="preserve">with </w:t>
      </w:r>
      <w:r w:rsidR="00401D10">
        <w:t xml:space="preserve">PBS-listed drugs </w:t>
      </w:r>
      <w:r w:rsidR="00DD0534">
        <w:t>increasing by 33</w:t>
      </w:r>
      <w:r w:rsidR="009007DA">
        <w:t> per cent</w:t>
      </w:r>
      <w:r w:rsidR="00224CB1">
        <w:t xml:space="preserve"> on </w:t>
      </w:r>
      <w:r w:rsidR="00595A9F">
        <w:t>FY19/20</w:t>
      </w:r>
      <w:r w:rsidR="00224CB1">
        <w:t xml:space="preserve"> figures. </w:t>
      </w:r>
      <w:r w:rsidR="005E00EF" w:rsidRPr="00630A55">
        <w:t>Oncology and chemotherapy services are expected to increase across SA</w:t>
      </w:r>
      <w:r w:rsidR="00710D0C">
        <w:t> </w:t>
      </w:r>
      <w:r w:rsidR="005E00EF" w:rsidRPr="00630A55">
        <w:t xml:space="preserve">regional sites over the coming IFR Rounds due to recent election commitments. </w:t>
      </w:r>
    </w:p>
    <w:p w14:paraId="694851A7" w14:textId="7F4AE3DE" w:rsidR="005E00EF" w:rsidRPr="00630A55" w:rsidRDefault="005E00EF" w:rsidP="003E3232">
      <w:pPr>
        <w:pStyle w:val="BodyText"/>
      </w:pPr>
      <w:r w:rsidRPr="00630A55">
        <w:t xml:space="preserve">The ward also delivers other infusions that are unrelated to oncology (e.g. for the treatment of </w:t>
      </w:r>
      <w:r w:rsidRPr="003E3232">
        <w:t>Crohn’s</w:t>
      </w:r>
      <w:r w:rsidRPr="00630A55">
        <w:t xml:space="preserve"> Disease) but these services are costed to the relevant DRG</w:t>
      </w:r>
      <w:r w:rsidR="001A3F23">
        <w:t xml:space="preserve">. </w:t>
      </w:r>
      <w:r w:rsidRPr="00630A55">
        <w:t>As highlighted for haemo</w:t>
      </w:r>
      <w:r w:rsidR="00106AA1" w:rsidRPr="00630A55">
        <w:t>dialysis</w:t>
      </w:r>
      <w:r w:rsidRPr="00630A55">
        <w:t xml:space="preserve">, SA was one of the jurisdictions able to refine </w:t>
      </w:r>
      <w:r w:rsidR="00106AA1" w:rsidRPr="00630A55">
        <w:t>LOS below 1.00 days; at 0.17</w:t>
      </w:r>
      <w:r w:rsidR="008940F7">
        <w:t> </w:t>
      </w:r>
      <w:r w:rsidR="00106AA1" w:rsidRPr="00630A55">
        <w:t>days</w:t>
      </w:r>
      <w:r w:rsidR="00710D0C">
        <w:t>,</w:t>
      </w:r>
      <w:r w:rsidR="00106AA1" w:rsidRPr="00630A55">
        <w:t xml:space="preserve"> this equates to approximately </w:t>
      </w:r>
      <w:r w:rsidR="00394F32" w:rsidRPr="00630A55">
        <w:t>4.1 hours</w:t>
      </w:r>
      <w:r w:rsidR="009568DC" w:rsidRPr="00630A55">
        <w:t xml:space="preserve">. </w:t>
      </w:r>
    </w:p>
    <w:p w14:paraId="4A85382D" w14:textId="77777777" w:rsidR="005F5EC8" w:rsidRPr="00630A55" w:rsidRDefault="005F5EC8" w:rsidP="005F5EC8">
      <w:pPr>
        <w:pStyle w:val="Heading5"/>
      </w:pPr>
      <w:r w:rsidRPr="00630A55">
        <w:t>Lyell McEwin Hospital</w:t>
      </w:r>
    </w:p>
    <w:p w14:paraId="79FE2FEF" w14:textId="4082AC9E" w:rsidR="005E00EF" w:rsidRPr="00630A55" w:rsidRDefault="005C7789" w:rsidP="00EE5E74">
      <w:pPr>
        <w:pStyle w:val="BodyText"/>
      </w:pPr>
      <w:r>
        <w:t>The Lyell McEwin Hospital (</w:t>
      </w:r>
      <w:r w:rsidR="005E00EF" w:rsidRPr="00630A55">
        <w:t>LMH</w:t>
      </w:r>
      <w:r>
        <w:t>)</w:t>
      </w:r>
      <w:r w:rsidR="005E00EF" w:rsidRPr="00630A55">
        <w:t xml:space="preserve"> also has a dedicated </w:t>
      </w:r>
      <w:r w:rsidR="00B46F54">
        <w:t xml:space="preserve">in-house </w:t>
      </w:r>
      <w:r w:rsidR="005E00EF" w:rsidRPr="00630A55">
        <w:t xml:space="preserve">chemotherapy ward. In </w:t>
      </w:r>
      <w:r w:rsidR="00595A9F">
        <w:t>FY20/21</w:t>
      </w:r>
      <w:r w:rsidR="005E00EF" w:rsidRPr="00630A55">
        <w:t xml:space="preserve"> </w:t>
      </w:r>
      <w:r w:rsidR="00710D0C">
        <w:t>LMH</w:t>
      </w:r>
      <w:r w:rsidR="005E00EF" w:rsidRPr="00630A55">
        <w:t xml:space="preserve"> registered total activity of 8,878 at an average cost of $1,033, </w:t>
      </w:r>
      <w:r w:rsidR="001D4ACD">
        <w:t>that</w:t>
      </w:r>
      <w:r w:rsidR="005E00EF" w:rsidRPr="00630A55">
        <w:t xml:space="preserve"> was a 20</w:t>
      </w:r>
      <w:r w:rsidR="009007DA">
        <w:t> per cent</w:t>
      </w:r>
      <w:r w:rsidR="005E00EF" w:rsidRPr="00630A55">
        <w:t xml:space="preserve"> decrease in average cost compared with </w:t>
      </w:r>
      <w:r w:rsidR="00595A9F">
        <w:t>FY19/20</w:t>
      </w:r>
      <w:r w:rsidR="005E00EF" w:rsidRPr="00630A55">
        <w:t xml:space="preserve">. Part of this reduction is explained by a decrease in PBS drug costs within that period as well as an improvement of staffing overhead allocations (particularly for </w:t>
      </w:r>
      <w:r>
        <w:t>medical salaries and wages</w:t>
      </w:r>
      <w:r w:rsidR="005E00EF" w:rsidRPr="00630A55">
        <w:t xml:space="preserve">) </w:t>
      </w:r>
      <w:r w:rsidR="001D4ACD">
        <w:t>that</w:t>
      </w:r>
      <w:r w:rsidR="005E00EF" w:rsidRPr="00630A55">
        <w:t xml:space="preserve"> improved costing accuracy.</w:t>
      </w:r>
      <w:r w:rsidR="00B46F54">
        <w:t xml:space="preserve"> </w:t>
      </w:r>
    </w:p>
    <w:p w14:paraId="0042C123" w14:textId="77777777" w:rsidR="005F5EC8" w:rsidRPr="00630A55" w:rsidRDefault="005F5EC8" w:rsidP="005F5EC8">
      <w:pPr>
        <w:pStyle w:val="Heading4"/>
      </w:pPr>
      <w:r w:rsidRPr="00630A55">
        <w:lastRenderedPageBreak/>
        <w:t>Tasmania</w:t>
      </w:r>
    </w:p>
    <w:p w14:paraId="1BF81171" w14:textId="77777777" w:rsidR="005F5EC8" w:rsidRPr="00630A55" w:rsidRDefault="005F5EC8" w:rsidP="005F5EC8">
      <w:pPr>
        <w:pStyle w:val="Heading5"/>
      </w:pPr>
      <w:r w:rsidRPr="00630A55">
        <w:t>Royal Hobart Hospital</w:t>
      </w:r>
    </w:p>
    <w:p w14:paraId="533C722A" w14:textId="06B9A8F6" w:rsidR="0039788E" w:rsidRPr="00630A55" w:rsidRDefault="00A46E0A" w:rsidP="003E3232">
      <w:pPr>
        <w:pStyle w:val="BodyText"/>
      </w:pPr>
      <w:r>
        <w:t xml:space="preserve">RHH provides in-house chemotherapy services. </w:t>
      </w:r>
      <w:r w:rsidR="0039788E">
        <w:t xml:space="preserve">In </w:t>
      </w:r>
      <w:r w:rsidR="00595A9F">
        <w:t>FY20/21</w:t>
      </w:r>
      <w:r w:rsidR="0039788E">
        <w:t xml:space="preserve">, RHH registered total activity of </w:t>
      </w:r>
      <w:r w:rsidR="001264B9">
        <w:t xml:space="preserve">2,888 with an average cost of $2,819, </w:t>
      </w:r>
      <w:r w:rsidR="001D4ACD">
        <w:t>that</w:t>
      </w:r>
      <w:r w:rsidR="001264B9">
        <w:t xml:space="preserve"> represented a 72.3</w:t>
      </w:r>
      <w:r w:rsidR="009007DA">
        <w:t> per cent</w:t>
      </w:r>
      <w:r w:rsidR="001264B9">
        <w:t xml:space="preserve"> increase on </w:t>
      </w:r>
      <w:r w:rsidR="00595A9F">
        <w:t>FY19/20</w:t>
      </w:r>
      <w:r w:rsidR="001264B9">
        <w:t xml:space="preserve"> average costs amidst a 7.6</w:t>
      </w:r>
      <w:r w:rsidR="009007DA">
        <w:t> per cent</w:t>
      </w:r>
      <w:r w:rsidR="001264B9">
        <w:t xml:space="preserve"> decrease in activity. This difference is explained by higher cost non-PBS drugs applied to several patients within </w:t>
      </w:r>
      <w:r w:rsidR="00595A9F">
        <w:t>FY20/21</w:t>
      </w:r>
      <w:r w:rsidR="0005786D">
        <w:t xml:space="preserve"> (</w:t>
      </w:r>
      <w:r w:rsidR="00EF69BA">
        <w:t xml:space="preserve">an increase of </w:t>
      </w:r>
      <w:r w:rsidR="0005786D">
        <w:t>368</w:t>
      </w:r>
      <w:r w:rsidR="009007DA">
        <w:t> per cent</w:t>
      </w:r>
      <w:r w:rsidR="0005786D">
        <w:t xml:space="preserve"> on </w:t>
      </w:r>
      <w:r w:rsidR="00595A9F">
        <w:t>FY19/20</w:t>
      </w:r>
      <w:r w:rsidR="0005786D">
        <w:t xml:space="preserve"> cost)</w:t>
      </w:r>
      <w:r w:rsidR="004665C7">
        <w:t>.</w:t>
      </w:r>
      <w:r w:rsidR="007118D0">
        <w:t xml:space="preserve"> </w:t>
      </w:r>
      <w:r w:rsidR="004665C7">
        <w:t>For example, the highest cost episode was $18</w:t>
      </w:r>
      <w:r w:rsidR="00107764">
        <w:t xml:space="preserve">5,587, the majority of which </w:t>
      </w:r>
      <w:r w:rsidR="007D4FB6">
        <w:t>(&gt;$184</w:t>
      </w:r>
      <w:r w:rsidR="00710D0C">
        <w:t>,000</w:t>
      </w:r>
      <w:r w:rsidR="007D4FB6">
        <w:t xml:space="preserve">) was attributable to pharmacy costs </w:t>
      </w:r>
      <w:r w:rsidR="001D4ACD">
        <w:t>that</w:t>
      </w:r>
      <w:r w:rsidR="007D4FB6">
        <w:t xml:space="preserve"> alone constituted 5</w:t>
      </w:r>
      <w:r w:rsidR="009007DA">
        <w:t> per cent</w:t>
      </w:r>
      <w:r w:rsidR="007D4FB6">
        <w:t xml:space="preserve"> of total chemotherapy</w:t>
      </w:r>
      <w:r w:rsidR="00107764">
        <w:t xml:space="preserve"> </w:t>
      </w:r>
      <w:r w:rsidR="00712376">
        <w:t xml:space="preserve">pharmacy costs in </w:t>
      </w:r>
      <w:r w:rsidR="00595A9F">
        <w:t>FY20/21</w:t>
      </w:r>
      <w:r w:rsidR="008F1218">
        <w:t xml:space="preserve"> for Tasmania</w:t>
      </w:r>
      <w:r w:rsidR="00712376">
        <w:t>. The three most costly patients in chemotherapy constituted 10</w:t>
      </w:r>
      <w:r w:rsidR="009007DA">
        <w:t> per cent</w:t>
      </w:r>
      <w:r w:rsidR="00712376">
        <w:t xml:space="preserve"> of the pharmacy budget, </w:t>
      </w:r>
      <w:r w:rsidR="001D4ACD">
        <w:t>that</w:t>
      </w:r>
      <w:r w:rsidR="00712376">
        <w:t xml:space="preserve"> highlighted the implications of PBS and non-PBS drug usage on the average cost profile each year. </w:t>
      </w:r>
    </w:p>
    <w:p w14:paraId="3359B5D5" w14:textId="3C8CB9B3" w:rsidR="005F5EC8" w:rsidRPr="00630A55" w:rsidRDefault="005F5EC8" w:rsidP="005F5EC8">
      <w:pPr>
        <w:pStyle w:val="Heading4"/>
      </w:pPr>
      <w:r w:rsidRPr="00630A55">
        <w:t>Victoria</w:t>
      </w:r>
    </w:p>
    <w:p w14:paraId="13A17F1A" w14:textId="18A888F5" w:rsidR="005F5EC8" w:rsidRPr="00630A55" w:rsidRDefault="005F5EC8" w:rsidP="005F5EC8">
      <w:pPr>
        <w:pStyle w:val="Heading5"/>
      </w:pPr>
      <w:r w:rsidRPr="00630A55">
        <w:t>Latrobe Regional Hospital</w:t>
      </w:r>
    </w:p>
    <w:p w14:paraId="62B22300" w14:textId="70EF096F" w:rsidR="003A3A8D" w:rsidRPr="00630A55" w:rsidRDefault="003A3A8D" w:rsidP="00B85752">
      <w:pPr>
        <w:pStyle w:val="BodyText"/>
      </w:pPr>
      <w:r w:rsidRPr="00630A55">
        <w:t>LRH runs an in-house chemotherapy service in a dedicated ward. The service consists of 16</w:t>
      </w:r>
      <w:r w:rsidR="00710D0C">
        <w:t> </w:t>
      </w:r>
      <w:r w:rsidRPr="00630A55">
        <w:t xml:space="preserve">chairs and </w:t>
      </w:r>
      <w:r w:rsidR="00710D0C">
        <w:t>four</w:t>
      </w:r>
      <w:r w:rsidRPr="00630A55">
        <w:t xml:space="preserve"> beds, operating Monday to Friday from 7.30am – 5.30pm. </w:t>
      </w:r>
      <w:r w:rsidR="00C73DDE" w:rsidRPr="00C73DDE">
        <w:t>It is a high occupancy ward at 100% capacity, looking to expand ward / chair capacity in the near future</w:t>
      </w:r>
      <w:r w:rsidR="00C73DDE" w:rsidRPr="00C73DDE" w:rsidDel="00C73DDE">
        <w:t xml:space="preserve"> </w:t>
      </w:r>
      <w:r w:rsidRPr="00630A55">
        <w:t xml:space="preserve">The hospital is currently looking at a business case to utilise spare chair capacity for other services in the future. The suite also provides </w:t>
      </w:r>
      <w:r w:rsidR="00710D0C">
        <w:t>a</w:t>
      </w:r>
      <w:r>
        <w:t xml:space="preserve"> </w:t>
      </w:r>
      <w:r w:rsidRPr="00630A55">
        <w:t>broader infusion service, not solely for the treatment of cancer. They process approximately 650</w:t>
      </w:r>
      <w:r w:rsidR="00710D0C">
        <w:t>-</w:t>
      </w:r>
      <w:r w:rsidRPr="00630A55">
        <w:t xml:space="preserve">700 treatments per month of admitted cases, with the in-house compound pharmacy producing the required drugs. </w:t>
      </w:r>
    </w:p>
    <w:p w14:paraId="66F5A6CA" w14:textId="06490311" w:rsidR="003A3A8D" w:rsidRPr="00630A55" w:rsidRDefault="003A3A8D" w:rsidP="00B85752">
      <w:pPr>
        <w:pStyle w:val="BodyText"/>
      </w:pPr>
      <w:r w:rsidRPr="00630A55">
        <w:t xml:space="preserve">In </w:t>
      </w:r>
      <w:r w:rsidR="00595A9F">
        <w:t>FY20/21</w:t>
      </w:r>
      <w:r w:rsidRPr="00630A55">
        <w:t xml:space="preserve">, LRH reported total </w:t>
      </w:r>
      <w:r w:rsidR="00EC5C21">
        <w:t>activity</w:t>
      </w:r>
      <w:r w:rsidR="00EC5C21" w:rsidRPr="00630A55">
        <w:t xml:space="preserve"> </w:t>
      </w:r>
      <w:r w:rsidRPr="00630A55">
        <w:t>of 3,633 at an average cost of $3,123</w:t>
      </w:r>
      <w:r w:rsidR="00710D0C">
        <w:t>. T</w:t>
      </w:r>
      <w:r w:rsidRPr="00630A55">
        <w:t>here was only a 0.1</w:t>
      </w:r>
      <w:r w:rsidR="009007DA">
        <w:t> per cent</w:t>
      </w:r>
      <w:r w:rsidRPr="00630A55">
        <w:t xml:space="preserve"> increase in the average cost despite a 5.8</w:t>
      </w:r>
      <w:r w:rsidR="009007DA">
        <w:t> per cent</w:t>
      </w:r>
      <w:r w:rsidRPr="00630A55">
        <w:t xml:space="preserve"> increase in activity from </w:t>
      </w:r>
      <w:r w:rsidR="00595A9F">
        <w:t>FY19/20</w:t>
      </w:r>
      <w:r w:rsidRPr="00630A55">
        <w:t xml:space="preserve">. </w:t>
      </w:r>
      <w:r w:rsidR="00B60848">
        <w:t xml:space="preserve">Both non-PBS and PBS-listed drugs increased in </w:t>
      </w:r>
      <w:r w:rsidR="00595A9F">
        <w:t>FY20/21</w:t>
      </w:r>
      <w:r w:rsidR="00B60848">
        <w:t xml:space="preserve">, by </w:t>
      </w:r>
      <w:r w:rsidR="000B40F3">
        <w:t>424</w:t>
      </w:r>
      <w:r w:rsidR="009007DA">
        <w:t> per cent</w:t>
      </w:r>
      <w:r w:rsidR="000B40F3">
        <w:t xml:space="preserve"> and 5.2</w:t>
      </w:r>
      <w:r w:rsidR="009007DA">
        <w:t> per cent</w:t>
      </w:r>
      <w:r w:rsidR="000B40F3">
        <w:t xml:space="preserve"> respectively. </w:t>
      </w:r>
    </w:p>
    <w:p w14:paraId="3595D04D" w14:textId="2857316A" w:rsidR="005F5EC8" w:rsidRPr="00630A55" w:rsidRDefault="000B40F3" w:rsidP="00B85752">
      <w:pPr>
        <w:pStyle w:val="BodyText"/>
      </w:pPr>
      <w:r>
        <w:t xml:space="preserve">The LRH </w:t>
      </w:r>
      <w:r w:rsidR="007138D9">
        <w:t>C</w:t>
      </w:r>
      <w:r>
        <w:t>osting team also</w:t>
      </w:r>
      <w:r w:rsidRPr="00630A55">
        <w:t xml:space="preserve"> </w:t>
      </w:r>
      <w:r w:rsidR="003A3A8D" w:rsidRPr="00630A55">
        <w:t>highlighted the current discrepancy between the application of costing for sub-cutaneous delivery of drugs compared with intravenous delivery in the same ward for consideration regarding future classifications.</w:t>
      </w:r>
    </w:p>
    <w:p w14:paraId="4F64FB3B" w14:textId="2CC5BE69" w:rsidR="005F5EC8" w:rsidRPr="00630A55" w:rsidRDefault="005F5EC8" w:rsidP="00085947">
      <w:pPr>
        <w:pStyle w:val="Heading5"/>
        <w:rPr>
          <w:rFonts w:ascii="Univers 45 Light" w:hAnsi="Univers 45 Light"/>
          <w:b w:val="0"/>
        </w:rPr>
      </w:pPr>
      <w:r w:rsidRPr="00630A55">
        <w:t>Ballarat Health Service</w:t>
      </w:r>
    </w:p>
    <w:p w14:paraId="6AE76ED7" w14:textId="009A3812" w:rsidR="002C43B1" w:rsidRPr="00630A55" w:rsidRDefault="00C73DDE" w:rsidP="00B85752">
      <w:pPr>
        <w:pStyle w:val="BodyText"/>
      </w:pPr>
      <w:r w:rsidRPr="00C73DDE">
        <w:t>BHS runs an in-house chemotherapy ward that is fully managed by BHS. There are 16 chairs and 3 beds in the ward, and it operates Monday to Friday between 8:30 am and 5:00 pm. Treatment includes both sub-cutaneous and intravenous delivery. BHS purchases IV</w:t>
      </w:r>
      <w:r w:rsidR="00A54E59">
        <w:t> </w:t>
      </w:r>
      <w:r w:rsidRPr="00C73DDE">
        <w:t>chemotherapy treatments pre-compounded externally. There were no major changes in how costs were allocated between FY19/20 and FY20/21.</w:t>
      </w:r>
    </w:p>
    <w:p w14:paraId="7006D76E" w14:textId="4EB9B8B5" w:rsidR="005F5EC8" w:rsidRPr="00630A55" w:rsidRDefault="002C43B1" w:rsidP="00B85752">
      <w:pPr>
        <w:pStyle w:val="BodyText"/>
      </w:pPr>
      <w:r w:rsidRPr="00630A55">
        <w:t xml:space="preserve">For </w:t>
      </w:r>
      <w:r w:rsidR="00595A9F">
        <w:t>FY20/21</w:t>
      </w:r>
      <w:r w:rsidRPr="00630A55">
        <w:t>, BHS reported total activity of 3,877 separations at an average cost of $3,257; this represents a 5.5</w:t>
      </w:r>
      <w:r w:rsidR="009007DA">
        <w:t> per cent</w:t>
      </w:r>
      <w:r w:rsidRPr="00630A55">
        <w:t xml:space="preserve"> decrease in the average cost compared to </w:t>
      </w:r>
      <w:r w:rsidR="00595A9F">
        <w:t>FY19/20</w:t>
      </w:r>
      <w:r w:rsidRPr="00630A55">
        <w:t>. There was a 1</w:t>
      </w:r>
      <w:r w:rsidR="009007DA">
        <w:t> per cent</w:t>
      </w:r>
      <w:r w:rsidRPr="00630A55">
        <w:t xml:space="preserve"> decrease in activity between the </w:t>
      </w:r>
      <w:r w:rsidR="00710D0C">
        <w:t>two</w:t>
      </w:r>
      <w:r w:rsidRPr="00630A55">
        <w:t xml:space="preserve"> rounds. There was a significant variance in the highest cost episodes from </w:t>
      </w:r>
      <w:r w:rsidR="00595A9F">
        <w:t>FY19/20</w:t>
      </w:r>
      <w:r w:rsidRPr="00630A55">
        <w:t xml:space="preserve"> ($2,445,108) to </w:t>
      </w:r>
      <w:r w:rsidR="00595A9F">
        <w:t>FY20/21</w:t>
      </w:r>
      <w:r w:rsidRPr="00630A55">
        <w:t xml:space="preserve"> ($54,202) due to a major clinical trial being held in </w:t>
      </w:r>
      <w:r w:rsidR="00595A9F">
        <w:t>FY19/20</w:t>
      </w:r>
      <w:r w:rsidRPr="00630A55">
        <w:t xml:space="preserve"> with large costs attributed to non-PBS drugs.</w:t>
      </w:r>
      <w:r w:rsidR="00585682">
        <w:t xml:space="preserve"> Overall, non</w:t>
      </w:r>
      <w:r w:rsidR="00A54E59">
        <w:noBreakHyphen/>
      </w:r>
      <w:r w:rsidR="00585682">
        <w:t xml:space="preserve">PBS drugs </w:t>
      </w:r>
      <w:r w:rsidR="00E83C00">
        <w:t xml:space="preserve">increased in FY20/21 by 11.8 per cent. </w:t>
      </w:r>
    </w:p>
    <w:p w14:paraId="51837E5C" w14:textId="6D6FDC76" w:rsidR="005F5EC8" w:rsidRPr="00630A55" w:rsidRDefault="005F5EC8" w:rsidP="00085947">
      <w:pPr>
        <w:pStyle w:val="Heading5"/>
        <w:rPr>
          <w:rFonts w:ascii="Univers 45 Light" w:hAnsi="Univers 45 Light"/>
          <w:b w:val="0"/>
        </w:rPr>
      </w:pPr>
      <w:r w:rsidRPr="00630A55">
        <w:lastRenderedPageBreak/>
        <w:t>Royal Melbourne Hospital</w:t>
      </w:r>
    </w:p>
    <w:p w14:paraId="0881620A" w14:textId="203E8213" w:rsidR="002C71CD" w:rsidRDefault="002C71CD" w:rsidP="00AA0085">
      <w:pPr>
        <w:pStyle w:val="BodyTextkeepwithnext"/>
      </w:pPr>
      <w:r>
        <w:t xml:space="preserve">RMH does not have a chemotherapy </w:t>
      </w:r>
      <w:r w:rsidR="005B10F5">
        <w:t>ward</w:t>
      </w:r>
      <w:r>
        <w:t xml:space="preserve">, as </w:t>
      </w:r>
      <w:r w:rsidR="00287239">
        <w:t>these services form part of the Parkville Precinct model</w:t>
      </w:r>
      <w:r w:rsidR="007F6517">
        <w:t xml:space="preserve"> that covers RMH and the Peter Mac</w:t>
      </w:r>
      <w:r w:rsidR="004F0A72">
        <w:t>Callum</w:t>
      </w:r>
      <w:r w:rsidR="007F6517">
        <w:t xml:space="preserve"> Cancer Centre (PMCC)</w:t>
      </w:r>
      <w:r w:rsidR="004F0A72">
        <w:t xml:space="preserve"> whereby</w:t>
      </w:r>
      <w:r w:rsidR="00287239">
        <w:t xml:space="preserve">: </w:t>
      </w:r>
    </w:p>
    <w:p w14:paraId="1D7BCAC0" w14:textId="163BDA9A" w:rsidR="005E32D6" w:rsidRDefault="004964D2" w:rsidP="00B77715">
      <w:pPr>
        <w:pStyle w:val="Bullet1stLevelkeepwithnext"/>
      </w:pPr>
      <w:r>
        <w:t>PMCC make all cytotoxic agents</w:t>
      </w:r>
    </w:p>
    <w:p w14:paraId="311DF36E" w14:textId="7A9B550B" w:rsidR="004964D2" w:rsidRDefault="004964D2" w:rsidP="00B77715">
      <w:pPr>
        <w:pStyle w:val="Bullet1stLevelkeepwithnext"/>
      </w:pPr>
      <w:r>
        <w:t xml:space="preserve">RMH make all hazardous and </w:t>
      </w:r>
      <w:r w:rsidRPr="00B77715">
        <w:t>non</w:t>
      </w:r>
      <w:r>
        <w:t>-hazardous agents</w:t>
      </w:r>
      <w:r w:rsidR="00D30F2A">
        <w:t>; and</w:t>
      </w:r>
    </w:p>
    <w:p w14:paraId="15F6FECD" w14:textId="341A8EEB" w:rsidR="00287239" w:rsidRDefault="00D30F2A" w:rsidP="00AA0085">
      <w:pPr>
        <w:pStyle w:val="Bullet1stlevel"/>
      </w:pPr>
      <w:r>
        <w:t>b</w:t>
      </w:r>
      <w:r w:rsidR="004964D2">
        <w:t>oth sites make their own monoclonal antibodies</w:t>
      </w:r>
      <w:r>
        <w:t>.</w:t>
      </w:r>
    </w:p>
    <w:p w14:paraId="52C2C3DC" w14:textId="1B939D6B" w:rsidR="00122B1C" w:rsidRPr="00630A55" w:rsidRDefault="00122B1C" w:rsidP="00B85752">
      <w:pPr>
        <w:pStyle w:val="BodyText"/>
      </w:pPr>
      <w:r w:rsidRPr="00630A55">
        <w:t xml:space="preserve">RMH does not deliver a significant amount of inpatient chemotherapy due to its proximity to (and arrangements with) the Peter McCallum Cancer Centre (PMCC) </w:t>
      </w:r>
      <w:r w:rsidR="001D4ACD">
        <w:t>that</w:t>
      </w:r>
      <w:r w:rsidRPr="00630A55">
        <w:t xml:space="preserve"> services most oncology patients in the catchment area. </w:t>
      </w:r>
    </w:p>
    <w:p w14:paraId="14E0A58B" w14:textId="52E48B60" w:rsidR="00122B1C" w:rsidRPr="00630A55" w:rsidRDefault="00122B1C" w:rsidP="00B85752">
      <w:pPr>
        <w:pStyle w:val="BodyText"/>
      </w:pPr>
      <w:r w:rsidRPr="00630A55">
        <w:t xml:space="preserve">In </w:t>
      </w:r>
      <w:r w:rsidR="00595A9F">
        <w:t>FY20/21</w:t>
      </w:r>
      <w:r w:rsidRPr="00630A55">
        <w:t>, RMH reported total activity of 391, with an average cost of $1,231; this represented a 218</w:t>
      </w:r>
      <w:r w:rsidR="009007DA">
        <w:t> per cent</w:t>
      </w:r>
      <w:r w:rsidRPr="00630A55">
        <w:t xml:space="preserve"> increase in the average cost</w:t>
      </w:r>
      <w:r w:rsidR="00710D0C">
        <w:t>,</w:t>
      </w:r>
      <w:r w:rsidRPr="00630A55">
        <w:t xml:space="preserve"> while there </w:t>
      </w:r>
      <w:r w:rsidR="00B85752" w:rsidRPr="00630A55">
        <w:t>an</w:t>
      </w:r>
      <w:r w:rsidRPr="00630A55">
        <w:t xml:space="preserve"> 8.9</w:t>
      </w:r>
      <w:r w:rsidR="009007DA">
        <w:t> per cent</w:t>
      </w:r>
      <w:r w:rsidRPr="00630A55">
        <w:t xml:space="preserve"> decrease in the volume of activity</w:t>
      </w:r>
      <w:r w:rsidR="00B85752">
        <w:t xml:space="preserve"> was observed</w:t>
      </w:r>
      <w:r w:rsidRPr="00630A55">
        <w:t>. The increase i</w:t>
      </w:r>
      <w:r w:rsidR="00710D0C">
        <w:t>n</w:t>
      </w:r>
      <w:r w:rsidRPr="00630A55">
        <w:t xml:space="preserve"> average cost was largely due to increased PBS drug costs, </w:t>
      </w:r>
      <w:r w:rsidR="001D4ACD">
        <w:t>that</w:t>
      </w:r>
      <w:r w:rsidRPr="00630A55">
        <w:t xml:space="preserve"> increased by 1,751</w:t>
      </w:r>
      <w:r w:rsidR="009007DA">
        <w:t> per cent</w:t>
      </w:r>
      <w:r w:rsidRPr="00630A55">
        <w:t xml:space="preserve"> compared to </w:t>
      </w:r>
      <w:r w:rsidR="00595A9F">
        <w:t>FY19/20</w:t>
      </w:r>
      <w:r w:rsidRPr="00630A55">
        <w:t>.</w:t>
      </w:r>
    </w:p>
    <w:p w14:paraId="39C92929" w14:textId="7A78E014" w:rsidR="005F5EC8" w:rsidRPr="00630A55" w:rsidRDefault="005F5EC8" w:rsidP="005F5EC8">
      <w:pPr>
        <w:pStyle w:val="Heading4"/>
      </w:pPr>
      <w:r w:rsidRPr="00630A55">
        <w:t>Western Australia</w:t>
      </w:r>
    </w:p>
    <w:p w14:paraId="753CD68B" w14:textId="1F9C473A" w:rsidR="005F5EC8" w:rsidRPr="00630A55" w:rsidRDefault="009C5143" w:rsidP="005F5EC8">
      <w:pPr>
        <w:pStyle w:val="Heading5"/>
      </w:pPr>
      <w:r w:rsidRPr="00630A55">
        <w:t>Royal Perth Hospital</w:t>
      </w:r>
    </w:p>
    <w:p w14:paraId="39FF8BBB" w14:textId="1910DF55" w:rsidR="005F5EC8" w:rsidRPr="007E5AA5" w:rsidRDefault="00410E54" w:rsidP="00B85752">
      <w:pPr>
        <w:pStyle w:val="BodyText"/>
      </w:pPr>
      <w:r>
        <w:t>All chemotherapy services at RPH are provided in-house</w:t>
      </w:r>
      <w:r w:rsidR="00475C37">
        <w:t xml:space="preserve">, with a dedicated infusions </w:t>
      </w:r>
      <w:r w:rsidR="005B10F5">
        <w:t>ward</w:t>
      </w:r>
      <w:r w:rsidR="00475C37">
        <w:t xml:space="preserve"> that is limited to chemotherapy treatments only. </w:t>
      </w:r>
      <w:r w:rsidR="00B9430D">
        <w:t>Some compounding of chemicals may also be delivered in</w:t>
      </w:r>
      <w:r w:rsidR="00710D0C">
        <w:t>-</w:t>
      </w:r>
      <w:r w:rsidR="00B9430D">
        <w:t xml:space="preserve">house. </w:t>
      </w:r>
      <w:r w:rsidR="006649D8">
        <w:t xml:space="preserve">The main cost drivers for chemotherapy services are high-cost pharmaceuticals and </w:t>
      </w:r>
      <w:r w:rsidR="008F6647">
        <w:t xml:space="preserve">the application of </w:t>
      </w:r>
      <w:r w:rsidR="006649D8">
        <w:t>non-PBS drugs.</w:t>
      </w:r>
      <w:r w:rsidR="009D2D69">
        <w:t xml:space="preserve"> For inpatients who require chemotherapy as part of their stay (whilst admitted for other primary services), they will be transferred to the chemotherapy ward</w:t>
      </w:r>
      <w:r w:rsidR="00132CBC">
        <w:t xml:space="preserve">, where costs can be applied to the individual patient, then </w:t>
      </w:r>
      <w:r w:rsidR="00710D0C">
        <w:t xml:space="preserve">the patient will be </w:t>
      </w:r>
      <w:r w:rsidR="00132CBC">
        <w:t xml:space="preserve">transferred back to their primary ward. </w:t>
      </w:r>
    </w:p>
    <w:p w14:paraId="62C9A5A8" w14:textId="4317DE4B" w:rsidR="00C11934" w:rsidRPr="00630A55" w:rsidRDefault="00C11934" w:rsidP="00B85752">
      <w:pPr>
        <w:pStyle w:val="BodyText"/>
      </w:pPr>
      <w:r>
        <w:t xml:space="preserve">In </w:t>
      </w:r>
      <w:r w:rsidR="00595A9F">
        <w:t>FY20/21</w:t>
      </w:r>
      <w:r>
        <w:t xml:space="preserve">, RPH registered total activity of </w:t>
      </w:r>
      <w:r w:rsidR="00CB70A1">
        <w:t>3,710 with an average cost of $2,566</w:t>
      </w:r>
      <w:r w:rsidR="001A1051">
        <w:t xml:space="preserve">, representing an increase </w:t>
      </w:r>
      <w:r w:rsidR="00D9032C">
        <w:t>of 7.5</w:t>
      </w:r>
      <w:r w:rsidR="009007DA">
        <w:t> per cent</w:t>
      </w:r>
      <w:r w:rsidR="00D9032C">
        <w:t xml:space="preserve"> </w:t>
      </w:r>
      <w:r w:rsidR="0085633B">
        <w:t xml:space="preserve">on the </w:t>
      </w:r>
      <w:r w:rsidR="00595A9F">
        <w:t>FY19/20</w:t>
      </w:r>
      <w:r w:rsidR="0085633B">
        <w:t xml:space="preserve"> average cost</w:t>
      </w:r>
      <w:r w:rsidR="0001296C">
        <w:t xml:space="preserve"> alongside a 9.1</w:t>
      </w:r>
      <w:r w:rsidR="009007DA">
        <w:t> per cent</w:t>
      </w:r>
      <w:r w:rsidR="0001296C">
        <w:t xml:space="preserve"> increase in activity. </w:t>
      </w:r>
      <w:r w:rsidR="00483D7F" w:rsidRPr="00431E92">
        <w:t>This is explained</w:t>
      </w:r>
      <w:r w:rsidR="00431E92">
        <w:t xml:space="preserve"> in part</w:t>
      </w:r>
      <w:r w:rsidR="00483D7F" w:rsidRPr="00431E92">
        <w:t xml:space="preserve"> by</w:t>
      </w:r>
      <w:r w:rsidR="00431E92">
        <w:t xml:space="preserve"> 34</w:t>
      </w:r>
      <w:r w:rsidR="009007DA">
        <w:t> per cent</w:t>
      </w:r>
      <w:r w:rsidR="00431E92">
        <w:t xml:space="preserve"> increases in both non-PBS and PBS drugs on </w:t>
      </w:r>
      <w:r w:rsidR="00595A9F">
        <w:t>FY19/20</w:t>
      </w:r>
      <w:r w:rsidR="00431E92">
        <w:t xml:space="preserve"> figures</w:t>
      </w:r>
      <w:r w:rsidR="009A49D1">
        <w:t xml:space="preserve">. </w:t>
      </w:r>
    </w:p>
    <w:p w14:paraId="1BA05AE1" w14:textId="3A6654EB" w:rsidR="005F5EC8" w:rsidRPr="005F18FF" w:rsidRDefault="009C5143" w:rsidP="005F31EE">
      <w:pPr>
        <w:pStyle w:val="Heading5"/>
      </w:pPr>
      <w:r w:rsidRPr="005F31EE">
        <w:t>Per</w:t>
      </w:r>
      <w:r w:rsidRPr="005F18FF">
        <w:t>th Children’s Hospital</w:t>
      </w:r>
    </w:p>
    <w:p w14:paraId="3443D35A" w14:textId="7C7E41CB" w:rsidR="00CC1F3B" w:rsidRDefault="00965E1C" w:rsidP="00B85752">
      <w:pPr>
        <w:pStyle w:val="BodyText"/>
      </w:pPr>
      <w:r>
        <w:t xml:space="preserve">PCH delivers in-house chemotherapy services. </w:t>
      </w:r>
      <w:r w:rsidR="00CC1F3B" w:rsidRPr="00EE1BFA">
        <w:t xml:space="preserve">In </w:t>
      </w:r>
      <w:r w:rsidR="00595A9F">
        <w:t>FY20/21</w:t>
      </w:r>
      <w:r w:rsidR="00CC1F3B" w:rsidRPr="00EE1BFA">
        <w:t>, PCH registere</w:t>
      </w:r>
      <w:r w:rsidR="00EE1BFA">
        <w:t>d</w:t>
      </w:r>
      <w:r w:rsidR="00150956">
        <w:t xml:space="preserve"> total activity of</w:t>
      </w:r>
      <w:r w:rsidR="00EE1BFA">
        <w:t xml:space="preserve"> </w:t>
      </w:r>
      <w:r w:rsidR="00150956">
        <w:t>1,576 with an average cost of $</w:t>
      </w:r>
      <w:r w:rsidR="00A44FE1">
        <w:t>2,153, representing an 18</w:t>
      </w:r>
      <w:r w:rsidR="009007DA">
        <w:t> per cent</w:t>
      </w:r>
      <w:r w:rsidR="00A44FE1">
        <w:t xml:space="preserve"> decrease in average costs from </w:t>
      </w:r>
      <w:r w:rsidR="00595A9F">
        <w:t>FY19/20</w:t>
      </w:r>
      <w:r w:rsidR="00A44FE1">
        <w:t xml:space="preserve"> amidst a 5.6</w:t>
      </w:r>
      <w:r w:rsidR="009007DA">
        <w:t> per cent</w:t>
      </w:r>
      <w:r w:rsidR="00A44FE1">
        <w:t xml:space="preserve"> increase in activity</w:t>
      </w:r>
      <w:r w:rsidR="00710D0C">
        <w:t>. This is</w:t>
      </w:r>
      <w:r w:rsidR="0090077B">
        <w:t xml:space="preserve"> despite decreases in costs for both non-PBS and PBS drugs </w:t>
      </w:r>
      <w:r w:rsidR="001D4ACD">
        <w:t>that</w:t>
      </w:r>
      <w:r w:rsidR="0090077B">
        <w:t xml:space="preserve"> are</w:t>
      </w:r>
      <w:r w:rsidR="00EC715F">
        <w:t xml:space="preserve"> typically the main driver for cost increases in chemotherapy (increasing by 24</w:t>
      </w:r>
      <w:r w:rsidR="009007DA">
        <w:t> per cent</w:t>
      </w:r>
      <w:r w:rsidR="00EC715F">
        <w:t xml:space="preserve"> and 32</w:t>
      </w:r>
      <w:r w:rsidR="009007DA">
        <w:t> per cent</w:t>
      </w:r>
      <w:r w:rsidR="00EC715F">
        <w:t xml:space="preserve"> respectively)</w:t>
      </w:r>
      <w:r w:rsidR="00AF2520">
        <w:t xml:space="preserve">. </w:t>
      </w:r>
    </w:p>
    <w:p w14:paraId="68C2D818" w14:textId="4F40B91A" w:rsidR="00AB7DB0" w:rsidRDefault="00CC1F3B" w:rsidP="00B85752">
      <w:pPr>
        <w:pStyle w:val="BodyText"/>
      </w:pPr>
      <w:r>
        <w:t xml:space="preserve">The </w:t>
      </w:r>
      <w:r w:rsidR="007138D9">
        <w:t>C</w:t>
      </w:r>
      <w:r>
        <w:t>osting team flagged that extended LOS for children is often a contributor to higher costs</w:t>
      </w:r>
      <w:r w:rsidR="00AB7DB0">
        <w:t>. It was</w:t>
      </w:r>
      <w:r w:rsidR="00AB7DB0" w:rsidDel="007302EB">
        <w:t xml:space="preserve"> </w:t>
      </w:r>
      <w:r w:rsidR="007302EB">
        <w:t xml:space="preserve">highlighted </w:t>
      </w:r>
      <w:r w:rsidR="00AB7DB0">
        <w:t xml:space="preserve">that whilst hospital-in-the-home schemes may be more efficient for the delivery of chemotherapy services, patient outcomes for children can differ from adults, such that the clinicians tend to want children </w:t>
      </w:r>
      <w:r w:rsidR="00710D0C">
        <w:t>to remain</w:t>
      </w:r>
      <w:r w:rsidR="00AB7DB0">
        <w:t xml:space="preserve"> in the ward for supervision</w:t>
      </w:r>
      <w:r w:rsidR="009954DE">
        <w:t xml:space="preserve"> and may </w:t>
      </w:r>
      <w:r w:rsidR="001940F9">
        <w:t xml:space="preserve">request that others stay longer for observation following treatment. </w:t>
      </w:r>
      <w:r w:rsidR="007302EB">
        <w:t xml:space="preserve">These protracted ward stays therefore have cost implications for the delivery of paediatric chemotherapy services. </w:t>
      </w:r>
    </w:p>
    <w:p w14:paraId="1A23A206" w14:textId="2302059C" w:rsidR="005F5EC8" w:rsidRPr="00630A55" w:rsidRDefault="009C5143" w:rsidP="00085947">
      <w:pPr>
        <w:pStyle w:val="Heading5"/>
        <w:rPr>
          <w:rFonts w:ascii="Univers 45 Light" w:hAnsi="Univers 45 Light"/>
          <w:b w:val="0"/>
        </w:rPr>
      </w:pPr>
      <w:r w:rsidRPr="00630A55">
        <w:t>Albany Hospital</w:t>
      </w:r>
    </w:p>
    <w:p w14:paraId="4CAF510D" w14:textId="37547DD8" w:rsidR="00670414" w:rsidRPr="00D600B1" w:rsidRDefault="007302B7" w:rsidP="00B85752">
      <w:pPr>
        <w:jc w:val="both"/>
      </w:pPr>
      <w:r>
        <w:t xml:space="preserve">AH provides in-house chemotherapy services </w:t>
      </w:r>
      <w:r w:rsidR="00546D7D">
        <w:t xml:space="preserve">in a dedicated </w:t>
      </w:r>
      <w:r w:rsidR="005B10F5">
        <w:t>ward</w:t>
      </w:r>
      <w:r w:rsidR="00546D7D">
        <w:t xml:space="preserve">, with its own cost centre. </w:t>
      </w:r>
      <w:r w:rsidR="00AD5D6E">
        <w:t xml:space="preserve">Some of these drugs are compounded in-house whilst others are </w:t>
      </w:r>
      <w:r w:rsidR="00564553">
        <w:t xml:space="preserve">purchased. </w:t>
      </w:r>
      <w:r w:rsidR="005900B2">
        <w:t>Given Albany’s central location with the Great Southern region of WA, many patients travel to AH to access chemotherapy (as described earlier with haemodialysis)</w:t>
      </w:r>
      <w:r w:rsidR="00710D0C">
        <w:t>.</w:t>
      </w:r>
      <w:r w:rsidR="005900B2">
        <w:t xml:space="preserve"> </w:t>
      </w:r>
      <w:r w:rsidR="00710D0C">
        <w:t>T</w:t>
      </w:r>
      <w:r w:rsidR="005900B2">
        <w:t>here</w:t>
      </w:r>
      <w:r w:rsidR="00710D0C">
        <w:t xml:space="preserve"> i</w:t>
      </w:r>
      <w:r w:rsidR="005900B2">
        <w:t xml:space="preserve">s currently no outreach or mobile services available in that region for patients. </w:t>
      </w:r>
    </w:p>
    <w:p w14:paraId="4062D499" w14:textId="6A232FA6" w:rsidR="005900B2" w:rsidRPr="00630A55" w:rsidRDefault="005900B2" w:rsidP="00B85752">
      <w:pPr>
        <w:jc w:val="both"/>
      </w:pPr>
      <w:r w:rsidRPr="00B96C64">
        <w:lastRenderedPageBreak/>
        <w:t xml:space="preserve">In </w:t>
      </w:r>
      <w:r w:rsidR="00595A9F">
        <w:t>FY20/21</w:t>
      </w:r>
      <w:r w:rsidRPr="00B96C64">
        <w:t>, AH registered total activity of</w:t>
      </w:r>
      <w:r w:rsidR="00C24B42">
        <w:t xml:space="preserve"> </w:t>
      </w:r>
      <w:r w:rsidR="001278DD">
        <w:t>1,825 with an average cost of $4,423, representing a 24</w:t>
      </w:r>
      <w:r w:rsidR="009007DA">
        <w:t> per cent</w:t>
      </w:r>
      <w:r w:rsidR="001278DD">
        <w:t xml:space="preserve"> increase in costs with an 8.7</w:t>
      </w:r>
      <w:r w:rsidR="009007DA">
        <w:t> per cent</w:t>
      </w:r>
      <w:r w:rsidR="001278DD">
        <w:t xml:space="preserve"> increase in activity. </w:t>
      </w:r>
      <w:r w:rsidR="00A71DF5">
        <w:t xml:space="preserve">This is explained in part by </w:t>
      </w:r>
      <w:r w:rsidR="007A23AA">
        <w:t xml:space="preserve">a 39.2 per cent increase in both non-PBS and PBS-listed drugs in FY20/21. </w:t>
      </w:r>
    </w:p>
    <w:p w14:paraId="58B6EDF3" w14:textId="00BCB156" w:rsidR="00263FB0" w:rsidRDefault="006A17D5" w:rsidP="00DD4007">
      <w:pPr>
        <w:pStyle w:val="Heading1"/>
      </w:pPr>
      <w:bookmarkStart w:id="37" w:name="_Toc128376723"/>
      <w:r w:rsidRPr="00A16B1D">
        <w:lastRenderedPageBreak/>
        <w:t>Jurisdiction</w:t>
      </w:r>
      <w:r w:rsidR="00F66CD5" w:rsidRPr="00A16B1D">
        <w:t>al</w:t>
      </w:r>
      <w:r w:rsidRPr="00A16B1D">
        <w:t xml:space="preserve"> </w:t>
      </w:r>
      <w:r w:rsidR="00787574" w:rsidRPr="00A16B1D">
        <w:t>c</w:t>
      </w:r>
      <w:r w:rsidRPr="00A16B1D">
        <w:t>hapters</w:t>
      </w:r>
      <w:bookmarkEnd w:id="37"/>
      <w:r w:rsidR="00651176">
        <w:t xml:space="preserve"> </w:t>
      </w:r>
    </w:p>
    <w:p w14:paraId="6A2009B1" w14:textId="3B8091AD" w:rsidR="001D6DD4" w:rsidRPr="001D6DD4" w:rsidRDefault="00EC5407" w:rsidP="00B85752">
      <w:pPr>
        <w:pStyle w:val="Caption"/>
        <w:jc w:val="both"/>
      </w:pPr>
      <w:r w:rsidRPr="00B85752">
        <w:rPr>
          <w:b/>
          <w:bCs/>
        </w:rPr>
        <w:t xml:space="preserve">Figure </w:t>
      </w:r>
      <w:r w:rsidR="00170303" w:rsidRPr="00B85752">
        <w:rPr>
          <w:b/>
          <w:bCs/>
        </w:rPr>
        <w:fldChar w:fldCharType="begin"/>
      </w:r>
      <w:r w:rsidR="00170303" w:rsidRPr="00B85752">
        <w:rPr>
          <w:b/>
          <w:bCs/>
        </w:rPr>
        <w:instrText xml:space="preserve"> SEQ Figure \* ARABIC </w:instrText>
      </w:r>
      <w:r w:rsidR="00170303" w:rsidRPr="00B85752">
        <w:rPr>
          <w:b/>
          <w:bCs/>
        </w:rPr>
        <w:fldChar w:fldCharType="separate"/>
      </w:r>
      <w:r w:rsidR="007E2ACB">
        <w:rPr>
          <w:b/>
          <w:bCs/>
          <w:noProof/>
        </w:rPr>
        <w:t>7</w:t>
      </w:r>
      <w:r w:rsidR="00170303" w:rsidRPr="00B85752">
        <w:rPr>
          <w:b/>
          <w:bCs/>
          <w:noProof/>
        </w:rPr>
        <w:fldChar w:fldCharType="end"/>
      </w:r>
      <w:r w:rsidR="001D6DD4" w:rsidRPr="00B85752">
        <w:rPr>
          <w:b/>
          <w:bCs/>
        </w:rPr>
        <w:t>:</w:t>
      </w:r>
      <w:r w:rsidR="001D6DD4">
        <w:t xml:space="preserve"> </w:t>
      </w:r>
      <w:r w:rsidR="00A21F78">
        <w:t>Participating</w:t>
      </w:r>
      <w:r w:rsidR="001D6DD4">
        <w:t xml:space="preserve"> LHNs / health services and corresponding hospitals in the </w:t>
      </w:r>
      <w:r w:rsidR="00595A9F">
        <w:t>FY20/21</w:t>
      </w:r>
      <w:r w:rsidR="001D6DD4">
        <w:t xml:space="preserve"> IFR, with </w:t>
      </w:r>
      <w:r w:rsidR="001A077B">
        <w:t xml:space="preserve">LHN/HS boundaries for reference. </w:t>
      </w:r>
    </w:p>
    <w:p w14:paraId="51B4AF72" w14:textId="22E98ABC" w:rsidR="00A2457D" w:rsidRPr="00BB4A8E" w:rsidRDefault="009F711C" w:rsidP="008F21F4">
      <w:r>
        <w:rPr>
          <w:noProof/>
        </w:rPr>
        <w:drawing>
          <wp:inline distT="0" distB="0" distL="0" distR="0" wp14:anchorId="1D3B14FB" wp14:editId="08E9AE76">
            <wp:extent cx="4996211" cy="3784600"/>
            <wp:effectExtent l="0" t="0" r="0" b="6350"/>
            <wp:docPr id="74" name="Picture 74" descr="This figure is a map of Australia highlighting the location and boundary of the health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This figure is a map of Australia highlighting the location and boundary of the health servi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06305" cy="3792246"/>
                    </a:xfrm>
                    <a:prstGeom prst="rect">
                      <a:avLst/>
                    </a:prstGeom>
                    <a:noFill/>
                  </pic:spPr>
                </pic:pic>
              </a:graphicData>
            </a:graphic>
          </wp:inline>
        </w:drawing>
      </w:r>
    </w:p>
    <w:p w14:paraId="223392C6" w14:textId="27C8DFED" w:rsidR="00A21F78" w:rsidRDefault="00A21F78" w:rsidP="002C21F4">
      <w:pPr>
        <w:pStyle w:val="Source"/>
        <w:tabs>
          <w:tab w:val="left" w:pos="5050"/>
        </w:tabs>
        <w:rPr>
          <w:i w:val="0"/>
          <w:iCs/>
        </w:rPr>
      </w:pPr>
      <w:r w:rsidRPr="00A21F78">
        <w:t>Note: LHN/HS bound</w:t>
      </w:r>
      <w:r w:rsidRPr="00A21F78">
        <w:rPr>
          <w:i w:val="0"/>
          <w:iCs/>
        </w:rPr>
        <w:t>arie</w:t>
      </w:r>
      <w:r w:rsidRPr="002C21F4">
        <w:t>s are estimates only and are not to scale.</w:t>
      </w:r>
      <w:r w:rsidR="002C21F4" w:rsidRPr="002C21F4">
        <w:tab/>
      </w:r>
    </w:p>
    <w:p w14:paraId="31F2CFAC" w14:textId="0B741582" w:rsidR="00A709FD" w:rsidRPr="00A21F78" w:rsidRDefault="00EC5407" w:rsidP="00EC5407">
      <w:pPr>
        <w:pStyle w:val="Caption"/>
        <w:rPr>
          <w:rFonts w:ascii="Univers 45 Light" w:hAnsi="Univers 45 Light"/>
          <w:i/>
          <w:sz w:val="16"/>
        </w:rPr>
      </w:pPr>
      <w:r w:rsidRPr="00017473">
        <w:rPr>
          <w:b/>
          <w:bCs/>
        </w:rPr>
        <w:t xml:space="preserve">Figure </w:t>
      </w:r>
      <w:r w:rsidR="00D91CB1" w:rsidRPr="00017473">
        <w:rPr>
          <w:b/>
          <w:bCs/>
        </w:rPr>
        <w:fldChar w:fldCharType="begin"/>
      </w:r>
      <w:r w:rsidR="00D91CB1" w:rsidRPr="00017473">
        <w:rPr>
          <w:b/>
          <w:bCs/>
        </w:rPr>
        <w:instrText xml:space="preserve"> SEQ Figure \* ARABIC </w:instrText>
      </w:r>
      <w:r w:rsidR="00D91CB1" w:rsidRPr="00017473">
        <w:rPr>
          <w:b/>
          <w:bCs/>
        </w:rPr>
        <w:fldChar w:fldCharType="separate"/>
      </w:r>
      <w:r w:rsidR="007E2ACB">
        <w:rPr>
          <w:b/>
          <w:bCs/>
          <w:noProof/>
        </w:rPr>
        <w:t>8</w:t>
      </w:r>
      <w:r w:rsidR="00D91CB1" w:rsidRPr="00017473">
        <w:rPr>
          <w:b/>
          <w:bCs/>
          <w:noProof/>
        </w:rPr>
        <w:fldChar w:fldCharType="end"/>
      </w:r>
      <w:r w:rsidR="00A709FD" w:rsidRPr="00017473">
        <w:rPr>
          <w:b/>
          <w:bCs/>
        </w:rPr>
        <w:t>:</w:t>
      </w:r>
      <w:r w:rsidR="00A709FD">
        <w:t xml:space="preserve"> Final site / health service </w:t>
      </w:r>
      <w:r w:rsidR="006726FB">
        <w:t xml:space="preserve">cost and activity data submitted to IHACPA for </w:t>
      </w:r>
      <w:r w:rsidR="00595A9F">
        <w:t>FY20/21</w:t>
      </w:r>
      <w:r w:rsidR="006726FB">
        <w:t xml:space="preserve"> NHCDC</w:t>
      </w:r>
    </w:p>
    <w:p w14:paraId="21FA2E01" w14:textId="77777777" w:rsidR="00710D0C" w:rsidRDefault="006B69E8" w:rsidP="008F21F4">
      <w:r w:rsidRPr="00A21F78">
        <w:rPr>
          <w:rFonts w:ascii="Univers 45 Light" w:hAnsi="Univers 45 Light"/>
          <w:noProof/>
        </w:rPr>
        <w:drawing>
          <wp:inline distT="0" distB="0" distL="0" distR="0" wp14:anchorId="32FD655E" wp14:editId="0F0BA165">
            <wp:extent cx="5959366" cy="3314700"/>
            <wp:effectExtent l="0" t="0" r="3810" b="0"/>
            <wp:docPr id="76" name="Chart 76" descr="The figure shows total cost and activity for each health service using a combination chart with a column for total costs overlayed with a line for activity.">
              <a:extLst xmlns:a="http://schemas.openxmlformats.org/drawingml/2006/main">
                <a:ext uri="{FF2B5EF4-FFF2-40B4-BE49-F238E27FC236}">
                  <a16:creationId xmlns:a16="http://schemas.microsoft.com/office/drawing/2014/main" id="{302DF66B-9427-4D55-81B8-CA2B11F090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E19AB60" w14:textId="77777777" w:rsidR="00564BAE" w:rsidRPr="00630A55" w:rsidRDefault="00564BAE" w:rsidP="00564BAE">
      <w:pPr>
        <w:pStyle w:val="Source"/>
      </w:pPr>
      <w:r w:rsidRPr="00630A55">
        <w:t xml:space="preserve">Source: Jurisdictional consultations and </w:t>
      </w:r>
      <w:r>
        <w:t>templates</w:t>
      </w:r>
    </w:p>
    <w:p w14:paraId="1611498C" w14:textId="6B8B4F17" w:rsidR="00952471" w:rsidRPr="00952471" w:rsidRDefault="00EC5407" w:rsidP="00B85752">
      <w:pPr>
        <w:pStyle w:val="Caption"/>
        <w:jc w:val="both"/>
      </w:pPr>
      <w:r w:rsidRPr="00017473">
        <w:rPr>
          <w:b/>
          <w:bCs/>
        </w:rPr>
        <w:lastRenderedPageBreak/>
        <w:t xml:space="preserve">Table </w:t>
      </w:r>
      <w:r w:rsidR="00D91CB1" w:rsidRPr="00017473">
        <w:rPr>
          <w:b/>
          <w:bCs/>
        </w:rPr>
        <w:fldChar w:fldCharType="begin"/>
      </w:r>
      <w:r w:rsidR="00D91CB1" w:rsidRPr="00017473">
        <w:rPr>
          <w:b/>
          <w:bCs/>
        </w:rPr>
        <w:instrText xml:space="preserve"> SEQ Table \* ARABIC </w:instrText>
      </w:r>
      <w:r w:rsidR="00D91CB1" w:rsidRPr="00017473">
        <w:rPr>
          <w:b/>
          <w:bCs/>
        </w:rPr>
        <w:fldChar w:fldCharType="separate"/>
      </w:r>
      <w:r w:rsidR="007E2ACB">
        <w:rPr>
          <w:b/>
          <w:bCs/>
          <w:noProof/>
        </w:rPr>
        <w:t>6</w:t>
      </w:r>
      <w:r w:rsidR="00D91CB1" w:rsidRPr="00017473">
        <w:rPr>
          <w:b/>
          <w:bCs/>
          <w:noProof/>
        </w:rPr>
        <w:fldChar w:fldCharType="end"/>
      </w:r>
      <w:r>
        <w:t>:</w:t>
      </w:r>
      <w:r w:rsidR="00B85752">
        <w:t xml:space="preserve"> </w:t>
      </w:r>
      <w:r w:rsidR="001A077B">
        <w:t xml:space="preserve">Summary of sample site costings submitted to the </w:t>
      </w:r>
      <w:r w:rsidR="00595A9F">
        <w:t>FY20/21</w:t>
      </w:r>
      <w:r w:rsidR="001A077B">
        <w:t xml:space="preserve"> IFR process</w:t>
      </w:r>
      <w:r w:rsidR="00952471">
        <w:t xml:space="preserve">, including </w:t>
      </w:r>
      <w:r w:rsidR="00AA07A0">
        <w:t xml:space="preserve">(1) </w:t>
      </w:r>
      <w:r w:rsidR="00952471">
        <w:t xml:space="preserve">initial </w:t>
      </w:r>
      <w:r w:rsidR="00F876DE">
        <w:t>site/health service (HS)</w:t>
      </w:r>
      <w:r w:rsidR="00952471">
        <w:t xml:space="preserve"> costings submitted to jurisdictions, </w:t>
      </w:r>
      <w:r w:rsidR="00AA07A0">
        <w:t xml:space="preserve">(2) </w:t>
      </w:r>
      <w:r w:rsidR="00952471">
        <w:t xml:space="preserve">adjustments by jurisdictions (where applicable) and </w:t>
      </w:r>
      <w:r w:rsidR="00AA07A0">
        <w:t xml:space="preserve">(3) </w:t>
      </w:r>
      <w:r w:rsidR="00952471">
        <w:t xml:space="preserve">final site data submitted to the </w:t>
      </w:r>
      <w:r w:rsidR="00B06BD6">
        <w:t xml:space="preserve">NHCDC for 2020-21. </w:t>
      </w:r>
    </w:p>
    <w:tbl>
      <w:tblPr>
        <w:tblStyle w:val="TableGrid"/>
        <w:tblW w:w="8429" w:type="dxa"/>
        <w:tblLook w:val="04A0" w:firstRow="1" w:lastRow="0" w:firstColumn="1" w:lastColumn="0" w:noHBand="0" w:noVBand="1"/>
      </w:tblPr>
      <w:tblGrid>
        <w:gridCol w:w="628"/>
        <w:gridCol w:w="1524"/>
        <w:gridCol w:w="962"/>
        <w:gridCol w:w="1642"/>
        <w:gridCol w:w="1830"/>
        <w:gridCol w:w="1843"/>
      </w:tblGrid>
      <w:tr w:rsidR="00C31A86" w:rsidRPr="00E460D8" w14:paraId="1730CFC8" w14:textId="5BD87AA7" w:rsidTr="005F18FF">
        <w:trPr>
          <w:tblHeader/>
        </w:trPr>
        <w:tc>
          <w:tcPr>
            <w:tcW w:w="628" w:type="dxa"/>
            <w:tcBorders>
              <w:top w:val="single" w:sz="4" w:space="0" w:color="auto"/>
              <w:left w:val="single" w:sz="4" w:space="0" w:color="auto"/>
              <w:bottom w:val="single" w:sz="4" w:space="0" w:color="auto"/>
              <w:right w:val="single" w:sz="4" w:space="0" w:color="auto"/>
            </w:tcBorders>
            <w:shd w:val="clear" w:color="auto" w:fill="00338D"/>
          </w:tcPr>
          <w:p w14:paraId="2F450FA6" w14:textId="19CE87E2" w:rsidR="00C31A86" w:rsidRPr="00710D0C" w:rsidRDefault="00C31A86" w:rsidP="00710D0C">
            <w:pPr>
              <w:pStyle w:val="Tableheading"/>
              <w:rPr>
                <w:color w:val="auto"/>
              </w:rPr>
            </w:pPr>
          </w:p>
        </w:tc>
        <w:tc>
          <w:tcPr>
            <w:tcW w:w="1524" w:type="dxa"/>
            <w:tcBorders>
              <w:left w:val="single" w:sz="4" w:space="0" w:color="auto"/>
            </w:tcBorders>
            <w:shd w:val="clear" w:color="auto" w:fill="00338D"/>
          </w:tcPr>
          <w:p w14:paraId="3BE5BA27" w14:textId="41185455" w:rsidR="00C31A86" w:rsidRPr="00710D0C" w:rsidRDefault="00C31A86" w:rsidP="00710D0C">
            <w:pPr>
              <w:pStyle w:val="Tableheading"/>
              <w:rPr>
                <w:color w:val="auto"/>
              </w:rPr>
            </w:pPr>
            <w:r w:rsidRPr="00710D0C">
              <w:rPr>
                <w:color w:val="auto"/>
              </w:rPr>
              <w:t>Site/HS</w:t>
            </w:r>
          </w:p>
        </w:tc>
        <w:tc>
          <w:tcPr>
            <w:tcW w:w="962" w:type="dxa"/>
            <w:shd w:val="clear" w:color="auto" w:fill="00338D"/>
          </w:tcPr>
          <w:p w14:paraId="37400EB9" w14:textId="1420D87B" w:rsidR="00C31A86" w:rsidRPr="00710D0C" w:rsidRDefault="00C31A86" w:rsidP="00710D0C">
            <w:pPr>
              <w:pStyle w:val="Tableheading"/>
              <w:rPr>
                <w:color w:val="auto"/>
              </w:rPr>
            </w:pPr>
            <w:r>
              <w:rPr>
                <w:color w:val="auto"/>
              </w:rPr>
              <w:t>Type</w:t>
            </w:r>
          </w:p>
        </w:tc>
        <w:tc>
          <w:tcPr>
            <w:tcW w:w="1642" w:type="dxa"/>
            <w:shd w:val="clear" w:color="auto" w:fill="00338D"/>
          </w:tcPr>
          <w:p w14:paraId="07761BEA" w14:textId="0CDDE252" w:rsidR="00C31A86" w:rsidRPr="00710D0C" w:rsidRDefault="00C31A86" w:rsidP="00710D0C">
            <w:pPr>
              <w:pStyle w:val="Tableheading"/>
              <w:rPr>
                <w:color w:val="auto"/>
              </w:rPr>
            </w:pPr>
            <w:r w:rsidRPr="00710D0C">
              <w:rPr>
                <w:color w:val="auto"/>
              </w:rPr>
              <w:t xml:space="preserve">1. Final site/HS submission to jurisdiction </w:t>
            </w:r>
          </w:p>
        </w:tc>
        <w:tc>
          <w:tcPr>
            <w:tcW w:w="1830" w:type="dxa"/>
            <w:shd w:val="clear" w:color="auto" w:fill="00338D"/>
          </w:tcPr>
          <w:p w14:paraId="591993DB" w14:textId="56BF787D" w:rsidR="00C31A86" w:rsidRPr="00710D0C" w:rsidRDefault="00C31A86" w:rsidP="00710D0C">
            <w:pPr>
              <w:pStyle w:val="Tableheading"/>
              <w:rPr>
                <w:color w:val="auto"/>
              </w:rPr>
            </w:pPr>
            <w:r w:rsidRPr="00710D0C">
              <w:rPr>
                <w:color w:val="auto"/>
              </w:rPr>
              <w:t xml:space="preserve">2. Jurisdiction adjustments to site /HS submission </w:t>
            </w:r>
          </w:p>
        </w:tc>
        <w:tc>
          <w:tcPr>
            <w:tcW w:w="1843" w:type="dxa"/>
            <w:shd w:val="clear" w:color="auto" w:fill="00338D"/>
          </w:tcPr>
          <w:p w14:paraId="454A2D12" w14:textId="1144E903" w:rsidR="00C31A86" w:rsidRPr="00710D0C" w:rsidRDefault="00C31A86" w:rsidP="00710D0C">
            <w:pPr>
              <w:pStyle w:val="Tableheading"/>
              <w:rPr>
                <w:color w:val="auto"/>
              </w:rPr>
            </w:pPr>
            <w:r w:rsidRPr="00710D0C">
              <w:rPr>
                <w:color w:val="auto"/>
              </w:rPr>
              <w:t>3. Final site/HS data submitted to IHACPA</w:t>
            </w:r>
          </w:p>
        </w:tc>
      </w:tr>
      <w:tr w:rsidR="00C31A86" w:rsidRPr="00E460D8" w14:paraId="74BFBF0F" w14:textId="2AFB12C2" w:rsidTr="005F18FF">
        <w:trPr>
          <w:trHeight w:val="533"/>
        </w:trPr>
        <w:tc>
          <w:tcPr>
            <w:tcW w:w="628" w:type="dxa"/>
            <w:tcBorders>
              <w:top w:val="single" w:sz="4" w:space="0" w:color="auto"/>
            </w:tcBorders>
            <w:vAlign w:val="center"/>
          </w:tcPr>
          <w:p w14:paraId="469FDD55" w14:textId="193B6DFF" w:rsidR="00C31A86" w:rsidRPr="00A81D88" w:rsidRDefault="00C31A86" w:rsidP="00710D0C">
            <w:pPr>
              <w:pStyle w:val="Tabletext"/>
            </w:pPr>
            <w:r w:rsidRPr="00A81D88">
              <w:t>ACT</w:t>
            </w:r>
          </w:p>
        </w:tc>
        <w:tc>
          <w:tcPr>
            <w:tcW w:w="1524" w:type="dxa"/>
            <w:vAlign w:val="center"/>
          </w:tcPr>
          <w:p w14:paraId="64A96886" w14:textId="592A6A85" w:rsidR="00C31A86" w:rsidRPr="00E460D8" w:rsidRDefault="00C31A86" w:rsidP="00710D0C">
            <w:pPr>
              <w:pStyle w:val="Tabletext"/>
            </w:pPr>
            <w:r w:rsidRPr="00E460D8">
              <w:t>Canberra Hosp</w:t>
            </w:r>
            <w:r w:rsidR="000065FF">
              <w:t>ital</w:t>
            </w:r>
          </w:p>
        </w:tc>
        <w:tc>
          <w:tcPr>
            <w:tcW w:w="962" w:type="dxa"/>
          </w:tcPr>
          <w:p w14:paraId="7BE3C125" w14:textId="68BB812C" w:rsidR="00C31A86" w:rsidRDefault="00C31A86" w:rsidP="00710D0C">
            <w:pPr>
              <w:pStyle w:val="Tabletext"/>
            </w:pPr>
            <w:r>
              <w:t>Activity:</w:t>
            </w:r>
            <w:r>
              <w:br/>
              <w:t>Costs:</w:t>
            </w:r>
          </w:p>
        </w:tc>
        <w:tc>
          <w:tcPr>
            <w:tcW w:w="1642" w:type="dxa"/>
          </w:tcPr>
          <w:p w14:paraId="7B4639B2" w14:textId="7AB6DB2B" w:rsidR="00C31A86" w:rsidRPr="00E83F39" w:rsidRDefault="00C31A86" w:rsidP="00FD419C">
            <w:pPr>
              <w:pStyle w:val="Tabletext"/>
              <w:jc w:val="right"/>
            </w:pPr>
            <w:r>
              <w:t>1,409,125</w:t>
            </w:r>
            <w:r>
              <w:br/>
              <w:t>$1,012,357,619</w:t>
            </w:r>
          </w:p>
        </w:tc>
        <w:tc>
          <w:tcPr>
            <w:tcW w:w="1830" w:type="dxa"/>
          </w:tcPr>
          <w:p w14:paraId="01B6DD19" w14:textId="68AFF810" w:rsidR="00C31A86" w:rsidRPr="00D4293A" w:rsidRDefault="00C31A86" w:rsidP="00FD419C">
            <w:pPr>
              <w:pStyle w:val="Tabletext"/>
              <w:jc w:val="right"/>
            </w:pPr>
            <w:r>
              <w:t>-</w:t>
            </w:r>
            <w:r>
              <w:br/>
              <w:t>-</w:t>
            </w:r>
          </w:p>
        </w:tc>
        <w:tc>
          <w:tcPr>
            <w:tcW w:w="1843" w:type="dxa"/>
          </w:tcPr>
          <w:p w14:paraId="4F7DA279" w14:textId="00698A8D" w:rsidR="00C31A86" w:rsidRPr="00321588" w:rsidRDefault="00C31A86" w:rsidP="00FD419C">
            <w:pPr>
              <w:pStyle w:val="Tabletext"/>
              <w:jc w:val="right"/>
            </w:pPr>
            <w:r>
              <w:t>1,409,125</w:t>
            </w:r>
            <w:r>
              <w:br/>
              <w:t>$1,012,357,619</w:t>
            </w:r>
          </w:p>
        </w:tc>
      </w:tr>
      <w:tr w:rsidR="00C31A86" w:rsidRPr="00E460D8" w14:paraId="08DF740C" w14:textId="11F6C384" w:rsidTr="005F18FF">
        <w:trPr>
          <w:trHeight w:val="533"/>
        </w:trPr>
        <w:tc>
          <w:tcPr>
            <w:tcW w:w="628" w:type="dxa"/>
            <w:vAlign w:val="center"/>
          </w:tcPr>
          <w:p w14:paraId="7B119A68" w14:textId="71F08347" w:rsidR="00C31A86" w:rsidRPr="00A81D88" w:rsidRDefault="00C31A86" w:rsidP="00C31A86">
            <w:pPr>
              <w:pStyle w:val="Tabletext"/>
            </w:pPr>
            <w:r w:rsidRPr="00A81D88">
              <w:t>NT</w:t>
            </w:r>
          </w:p>
        </w:tc>
        <w:tc>
          <w:tcPr>
            <w:tcW w:w="1524" w:type="dxa"/>
            <w:vAlign w:val="center"/>
          </w:tcPr>
          <w:p w14:paraId="67D65E56" w14:textId="5F560DC5" w:rsidR="00C31A86" w:rsidRPr="00E460D8" w:rsidRDefault="00C31A86" w:rsidP="00C31A86">
            <w:pPr>
              <w:pStyle w:val="Tabletext"/>
            </w:pPr>
            <w:r w:rsidRPr="00E460D8">
              <w:t>Alice Springs Hosp</w:t>
            </w:r>
            <w:r w:rsidR="000065FF">
              <w:t>ital</w:t>
            </w:r>
          </w:p>
        </w:tc>
        <w:tc>
          <w:tcPr>
            <w:tcW w:w="962" w:type="dxa"/>
          </w:tcPr>
          <w:p w14:paraId="3A43511C" w14:textId="13405DB9" w:rsidR="00C31A86" w:rsidRDefault="00C31A86" w:rsidP="00C31A86">
            <w:pPr>
              <w:pStyle w:val="Tabletext"/>
            </w:pPr>
            <w:r>
              <w:t>Activity:</w:t>
            </w:r>
            <w:r>
              <w:br/>
              <w:t>Costs:</w:t>
            </w:r>
          </w:p>
        </w:tc>
        <w:tc>
          <w:tcPr>
            <w:tcW w:w="1642" w:type="dxa"/>
          </w:tcPr>
          <w:p w14:paraId="06953376" w14:textId="51915583" w:rsidR="00C31A86" w:rsidRPr="00E460D8" w:rsidRDefault="00C31A86" w:rsidP="00FD419C">
            <w:pPr>
              <w:pStyle w:val="Tabletext"/>
              <w:jc w:val="right"/>
            </w:pPr>
            <w:r>
              <w:t>204,285</w:t>
            </w:r>
            <w:r>
              <w:br/>
              <w:t>$308,363,894</w:t>
            </w:r>
          </w:p>
        </w:tc>
        <w:tc>
          <w:tcPr>
            <w:tcW w:w="1830" w:type="dxa"/>
          </w:tcPr>
          <w:p w14:paraId="5550B417" w14:textId="44EC9616" w:rsidR="00C31A86" w:rsidRPr="00E460D8" w:rsidRDefault="00C31A86" w:rsidP="00FD419C">
            <w:pPr>
              <w:pStyle w:val="Tabletext"/>
              <w:jc w:val="right"/>
            </w:pPr>
            <w:r w:rsidRPr="00464680">
              <w:t>(24,195)</w:t>
            </w:r>
            <w:r w:rsidRPr="00464680">
              <w:br/>
              <w:t>($4,958,767)</w:t>
            </w:r>
          </w:p>
        </w:tc>
        <w:tc>
          <w:tcPr>
            <w:tcW w:w="1843" w:type="dxa"/>
          </w:tcPr>
          <w:p w14:paraId="6BBBB464" w14:textId="3A1BF0ED" w:rsidR="00C31A86" w:rsidRPr="00E460D8" w:rsidRDefault="00C31A86" w:rsidP="00FD419C">
            <w:pPr>
              <w:pStyle w:val="Tabletext"/>
              <w:jc w:val="right"/>
            </w:pPr>
            <w:r>
              <w:t>180,090</w:t>
            </w:r>
            <w:r>
              <w:br/>
              <w:t>$303,405,127</w:t>
            </w:r>
          </w:p>
        </w:tc>
      </w:tr>
      <w:tr w:rsidR="00C31A86" w:rsidRPr="00E460D8" w14:paraId="1607DAB7" w14:textId="77777777" w:rsidTr="005F18FF">
        <w:trPr>
          <w:trHeight w:val="533"/>
        </w:trPr>
        <w:tc>
          <w:tcPr>
            <w:tcW w:w="628" w:type="dxa"/>
            <w:vMerge w:val="restart"/>
            <w:vAlign w:val="center"/>
          </w:tcPr>
          <w:p w14:paraId="5776B025" w14:textId="521F669B" w:rsidR="00C31A86" w:rsidRPr="00A81D88" w:rsidRDefault="00C31A86" w:rsidP="00C31A86">
            <w:pPr>
              <w:pStyle w:val="Tabletext"/>
            </w:pPr>
            <w:r w:rsidRPr="00A81D88">
              <w:t>QLD</w:t>
            </w:r>
          </w:p>
        </w:tc>
        <w:tc>
          <w:tcPr>
            <w:tcW w:w="1524" w:type="dxa"/>
            <w:vAlign w:val="center"/>
          </w:tcPr>
          <w:p w14:paraId="7F5058CC" w14:textId="69EED5EC" w:rsidR="00C31A86" w:rsidRPr="00E460D8" w:rsidRDefault="00C31A86" w:rsidP="00C31A86">
            <w:pPr>
              <w:pStyle w:val="Tabletext"/>
            </w:pPr>
            <w:r w:rsidRPr="00E460D8">
              <w:t>Central QLD HS</w:t>
            </w:r>
          </w:p>
        </w:tc>
        <w:tc>
          <w:tcPr>
            <w:tcW w:w="962" w:type="dxa"/>
          </w:tcPr>
          <w:p w14:paraId="5C6DEF00" w14:textId="2758354F" w:rsidR="00C31A86" w:rsidRDefault="00C31A86" w:rsidP="00C31A86">
            <w:pPr>
              <w:pStyle w:val="Tabletext"/>
            </w:pPr>
            <w:r>
              <w:t>Activity:</w:t>
            </w:r>
            <w:r>
              <w:br/>
              <w:t>Costs:</w:t>
            </w:r>
          </w:p>
        </w:tc>
        <w:tc>
          <w:tcPr>
            <w:tcW w:w="1642" w:type="dxa"/>
          </w:tcPr>
          <w:p w14:paraId="53E03319" w14:textId="782A055E" w:rsidR="00C31A86" w:rsidRPr="00E460D8" w:rsidRDefault="00C31A86" w:rsidP="00FD419C">
            <w:pPr>
              <w:pStyle w:val="Tabletext"/>
              <w:jc w:val="right"/>
            </w:pPr>
            <w:r>
              <w:t>994,620</w:t>
            </w:r>
            <w:r>
              <w:br/>
              <w:t>$684,989,127</w:t>
            </w:r>
          </w:p>
        </w:tc>
        <w:tc>
          <w:tcPr>
            <w:tcW w:w="1830" w:type="dxa"/>
          </w:tcPr>
          <w:p w14:paraId="53EC789D" w14:textId="229534B0" w:rsidR="00C31A86" w:rsidRPr="00E460D8" w:rsidRDefault="00C31A86" w:rsidP="00FD419C">
            <w:pPr>
              <w:pStyle w:val="Tabletext"/>
              <w:jc w:val="right"/>
            </w:pPr>
            <w:r w:rsidRPr="00737B79">
              <w:t>(4</w:t>
            </w:r>
            <w:r>
              <w:t>35</w:t>
            </w:r>
            <w:r w:rsidRPr="00737B79">
              <w:t>,886)</w:t>
            </w:r>
            <w:r w:rsidRPr="00737B79">
              <w:br/>
              <w:t>($153,180,923)</w:t>
            </w:r>
          </w:p>
        </w:tc>
        <w:tc>
          <w:tcPr>
            <w:tcW w:w="1843" w:type="dxa"/>
          </w:tcPr>
          <w:p w14:paraId="5ABCBF68" w14:textId="29A7339E" w:rsidR="00C31A86" w:rsidRPr="00E460D8" w:rsidRDefault="00C31A86" w:rsidP="00FD419C">
            <w:pPr>
              <w:pStyle w:val="Tabletext"/>
              <w:jc w:val="right"/>
            </w:pPr>
            <w:r>
              <w:t>558,734</w:t>
            </w:r>
            <w:r>
              <w:br/>
              <w:t>$531,808,203</w:t>
            </w:r>
          </w:p>
        </w:tc>
      </w:tr>
      <w:tr w:rsidR="00C31A86" w:rsidRPr="00E460D8" w14:paraId="1F6CA546" w14:textId="77777777" w:rsidTr="005F18FF">
        <w:trPr>
          <w:trHeight w:val="533"/>
        </w:trPr>
        <w:tc>
          <w:tcPr>
            <w:tcW w:w="628" w:type="dxa"/>
            <w:vMerge/>
            <w:vAlign w:val="center"/>
          </w:tcPr>
          <w:p w14:paraId="47F71B4E" w14:textId="77777777" w:rsidR="00C31A86" w:rsidRPr="00A81D88" w:rsidRDefault="00C31A86" w:rsidP="00C31A86">
            <w:pPr>
              <w:pStyle w:val="Tabletext"/>
            </w:pPr>
          </w:p>
        </w:tc>
        <w:tc>
          <w:tcPr>
            <w:tcW w:w="1524" w:type="dxa"/>
            <w:vAlign w:val="center"/>
          </w:tcPr>
          <w:p w14:paraId="6DDF5247" w14:textId="1573B88C" w:rsidR="00C31A86" w:rsidRPr="00E460D8" w:rsidRDefault="00C31A86" w:rsidP="00C31A86">
            <w:pPr>
              <w:pStyle w:val="Tabletext"/>
            </w:pPr>
            <w:r w:rsidRPr="00E460D8">
              <w:t>Mackay HS</w:t>
            </w:r>
          </w:p>
        </w:tc>
        <w:tc>
          <w:tcPr>
            <w:tcW w:w="962" w:type="dxa"/>
          </w:tcPr>
          <w:p w14:paraId="3F0EF1E2" w14:textId="7E01ECE4" w:rsidR="00C31A86" w:rsidRDefault="00C31A86" w:rsidP="00C31A86">
            <w:pPr>
              <w:pStyle w:val="Tabletext"/>
            </w:pPr>
            <w:r>
              <w:t>Activity:</w:t>
            </w:r>
            <w:r>
              <w:br/>
              <w:t>Costs:</w:t>
            </w:r>
          </w:p>
        </w:tc>
        <w:tc>
          <w:tcPr>
            <w:tcW w:w="1642" w:type="dxa"/>
          </w:tcPr>
          <w:p w14:paraId="5ABED275" w14:textId="6EFB5A34" w:rsidR="00C31A86" w:rsidRPr="00E460D8" w:rsidRDefault="00C31A86" w:rsidP="00FD419C">
            <w:pPr>
              <w:pStyle w:val="Tabletext"/>
              <w:jc w:val="right"/>
            </w:pPr>
            <w:r>
              <w:t>914,819</w:t>
            </w:r>
            <w:r>
              <w:br/>
              <w:t>$522,177,303</w:t>
            </w:r>
          </w:p>
        </w:tc>
        <w:tc>
          <w:tcPr>
            <w:tcW w:w="1830" w:type="dxa"/>
          </w:tcPr>
          <w:p w14:paraId="4B4C66EF" w14:textId="052C2A85" w:rsidR="00C31A86" w:rsidRPr="00CA40D3" w:rsidRDefault="00C31A86" w:rsidP="00FD419C">
            <w:pPr>
              <w:pStyle w:val="Tabletext"/>
              <w:jc w:val="right"/>
            </w:pPr>
            <w:r w:rsidRPr="00CA40D3">
              <w:t>(483,220)</w:t>
            </w:r>
            <w:r w:rsidRPr="00CA40D3">
              <w:br/>
              <w:t>($91,764,874)</w:t>
            </w:r>
          </w:p>
        </w:tc>
        <w:tc>
          <w:tcPr>
            <w:tcW w:w="1843" w:type="dxa"/>
          </w:tcPr>
          <w:p w14:paraId="65E50E90" w14:textId="747C9914" w:rsidR="00C31A86" w:rsidRPr="00E460D8" w:rsidRDefault="00C31A86" w:rsidP="00FD419C">
            <w:pPr>
              <w:pStyle w:val="Tabletext"/>
              <w:jc w:val="right"/>
            </w:pPr>
            <w:r>
              <w:t>431,299</w:t>
            </w:r>
            <w:r>
              <w:br/>
              <w:t>$430,352,429</w:t>
            </w:r>
          </w:p>
        </w:tc>
      </w:tr>
      <w:tr w:rsidR="00C31A86" w:rsidRPr="00E460D8" w14:paraId="4665A1A7" w14:textId="77777777" w:rsidTr="005F18FF">
        <w:trPr>
          <w:trHeight w:val="533"/>
        </w:trPr>
        <w:tc>
          <w:tcPr>
            <w:tcW w:w="628" w:type="dxa"/>
            <w:vMerge/>
            <w:vAlign w:val="center"/>
          </w:tcPr>
          <w:p w14:paraId="3A411475" w14:textId="77777777" w:rsidR="00C31A86" w:rsidRPr="00A81D88" w:rsidRDefault="00C31A86" w:rsidP="00C31A86">
            <w:pPr>
              <w:pStyle w:val="Tabletext"/>
            </w:pPr>
          </w:p>
        </w:tc>
        <w:tc>
          <w:tcPr>
            <w:tcW w:w="1524" w:type="dxa"/>
            <w:vAlign w:val="center"/>
          </w:tcPr>
          <w:p w14:paraId="6DBAAE82" w14:textId="516E516C" w:rsidR="00C31A86" w:rsidRPr="00E460D8" w:rsidRDefault="00C31A86" w:rsidP="00C31A86">
            <w:pPr>
              <w:pStyle w:val="Tabletext"/>
            </w:pPr>
            <w:r w:rsidRPr="00E460D8">
              <w:t>Metro South HS</w:t>
            </w:r>
          </w:p>
        </w:tc>
        <w:tc>
          <w:tcPr>
            <w:tcW w:w="962" w:type="dxa"/>
          </w:tcPr>
          <w:p w14:paraId="7998D692" w14:textId="2AE9D4D3" w:rsidR="00C31A86" w:rsidRDefault="00C31A86" w:rsidP="00C31A86">
            <w:pPr>
              <w:pStyle w:val="Tabletext"/>
            </w:pPr>
            <w:r>
              <w:t>Activity:</w:t>
            </w:r>
            <w:r>
              <w:br/>
              <w:t>Costs:</w:t>
            </w:r>
          </w:p>
        </w:tc>
        <w:tc>
          <w:tcPr>
            <w:tcW w:w="1642" w:type="dxa"/>
          </w:tcPr>
          <w:p w14:paraId="5BD819EC" w14:textId="013589BB" w:rsidR="00C31A86" w:rsidRPr="00E460D8" w:rsidRDefault="00C31A86" w:rsidP="00FD419C">
            <w:pPr>
              <w:pStyle w:val="Tabletext"/>
              <w:jc w:val="right"/>
            </w:pPr>
            <w:r>
              <w:t>3,930,618</w:t>
            </w:r>
            <w:r>
              <w:br/>
              <w:t>$2,761,396,563</w:t>
            </w:r>
          </w:p>
        </w:tc>
        <w:tc>
          <w:tcPr>
            <w:tcW w:w="1830" w:type="dxa"/>
          </w:tcPr>
          <w:p w14:paraId="76D0FCF2" w14:textId="10D9D602" w:rsidR="00C31A86" w:rsidRPr="00737B79" w:rsidRDefault="00C31A86" w:rsidP="00FD419C">
            <w:pPr>
              <w:pStyle w:val="Tabletext"/>
              <w:jc w:val="right"/>
            </w:pPr>
            <w:r>
              <w:t>(2,079,337)</w:t>
            </w:r>
            <w:r>
              <w:br/>
              <w:t>($577,168,188)</w:t>
            </w:r>
          </w:p>
        </w:tc>
        <w:tc>
          <w:tcPr>
            <w:tcW w:w="1843" w:type="dxa"/>
          </w:tcPr>
          <w:p w14:paraId="6ED0414A" w14:textId="4954D73E" w:rsidR="00C31A86" w:rsidRPr="00E460D8" w:rsidRDefault="00C31A86" w:rsidP="00FD419C">
            <w:pPr>
              <w:pStyle w:val="Tabletext"/>
              <w:jc w:val="right"/>
            </w:pPr>
            <w:r>
              <w:t>1,851,281</w:t>
            </w:r>
            <w:r>
              <w:br/>
              <w:t>$2,184,228,374</w:t>
            </w:r>
          </w:p>
        </w:tc>
      </w:tr>
      <w:tr w:rsidR="00C31A86" w:rsidRPr="00E460D8" w14:paraId="7DD955EA" w14:textId="0F0910B6" w:rsidTr="005F18FF">
        <w:trPr>
          <w:trHeight w:val="533"/>
        </w:trPr>
        <w:tc>
          <w:tcPr>
            <w:tcW w:w="628" w:type="dxa"/>
            <w:vMerge w:val="restart"/>
            <w:vAlign w:val="center"/>
          </w:tcPr>
          <w:p w14:paraId="7F739AFD" w14:textId="5DDE197F" w:rsidR="00C31A86" w:rsidRPr="00A81D88" w:rsidRDefault="00C31A86" w:rsidP="00C31A86">
            <w:pPr>
              <w:pStyle w:val="Tabletext"/>
            </w:pPr>
            <w:r w:rsidRPr="00A81D88">
              <w:t>SA</w:t>
            </w:r>
          </w:p>
        </w:tc>
        <w:tc>
          <w:tcPr>
            <w:tcW w:w="1524" w:type="dxa"/>
            <w:vAlign w:val="center"/>
          </w:tcPr>
          <w:p w14:paraId="5C18F778" w14:textId="261E09EA" w:rsidR="00C31A86" w:rsidRPr="00E460D8" w:rsidRDefault="00C31A86" w:rsidP="00C31A86">
            <w:pPr>
              <w:pStyle w:val="Tabletext"/>
            </w:pPr>
            <w:r w:rsidRPr="00E460D8">
              <w:t>Port Augusta Hosp</w:t>
            </w:r>
            <w:r w:rsidR="000065FF">
              <w:t>ital</w:t>
            </w:r>
          </w:p>
        </w:tc>
        <w:tc>
          <w:tcPr>
            <w:tcW w:w="962" w:type="dxa"/>
          </w:tcPr>
          <w:p w14:paraId="40EAC696" w14:textId="67966F01" w:rsidR="00C31A86" w:rsidRDefault="00C31A86" w:rsidP="00C31A86">
            <w:pPr>
              <w:pStyle w:val="Tabletext"/>
            </w:pPr>
            <w:r>
              <w:t>Activity:</w:t>
            </w:r>
            <w:r>
              <w:br/>
              <w:t>Costs:</w:t>
            </w:r>
          </w:p>
        </w:tc>
        <w:tc>
          <w:tcPr>
            <w:tcW w:w="1642" w:type="dxa"/>
          </w:tcPr>
          <w:p w14:paraId="1616F899" w14:textId="3ECBC807" w:rsidR="00C31A86" w:rsidRPr="00E460D8" w:rsidRDefault="00C31A86" w:rsidP="00FD419C">
            <w:pPr>
              <w:pStyle w:val="Tabletext"/>
              <w:jc w:val="right"/>
            </w:pPr>
            <w:r>
              <w:t>54,172</w:t>
            </w:r>
            <w:r>
              <w:br/>
              <w:t>$49,134,382</w:t>
            </w:r>
          </w:p>
        </w:tc>
        <w:tc>
          <w:tcPr>
            <w:tcW w:w="1830" w:type="dxa"/>
          </w:tcPr>
          <w:p w14:paraId="19E419A3" w14:textId="3DC17D80" w:rsidR="00C31A86" w:rsidRPr="00E460D8" w:rsidRDefault="00C31A86" w:rsidP="00FD419C">
            <w:pPr>
              <w:pStyle w:val="Tabletext"/>
              <w:jc w:val="right"/>
            </w:pPr>
            <w:r>
              <w:t>-</w:t>
            </w:r>
            <w:r>
              <w:br/>
              <w:t>-</w:t>
            </w:r>
          </w:p>
        </w:tc>
        <w:tc>
          <w:tcPr>
            <w:tcW w:w="1843" w:type="dxa"/>
          </w:tcPr>
          <w:p w14:paraId="37A3A6DB" w14:textId="086077A2" w:rsidR="00C31A86" w:rsidRPr="00E460D8" w:rsidRDefault="00C31A86" w:rsidP="00FD419C">
            <w:pPr>
              <w:pStyle w:val="Tabletext"/>
              <w:jc w:val="right"/>
            </w:pPr>
            <w:r>
              <w:t>54,172</w:t>
            </w:r>
            <w:r>
              <w:br/>
              <w:t>$49,134,381</w:t>
            </w:r>
          </w:p>
        </w:tc>
      </w:tr>
      <w:tr w:rsidR="00C31A86" w:rsidRPr="00E460D8" w14:paraId="194E5709" w14:textId="74C854E5" w:rsidTr="005F18FF">
        <w:trPr>
          <w:trHeight w:val="85"/>
        </w:trPr>
        <w:tc>
          <w:tcPr>
            <w:tcW w:w="628" w:type="dxa"/>
            <w:vMerge/>
            <w:vAlign w:val="center"/>
          </w:tcPr>
          <w:p w14:paraId="15C1F30A" w14:textId="14416E85" w:rsidR="00C31A86" w:rsidRPr="00A81D88" w:rsidRDefault="00C31A86" w:rsidP="00C31A86">
            <w:pPr>
              <w:pStyle w:val="Tabletext"/>
            </w:pPr>
          </w:p>
        </w:tc>
        <w:tc>
          <w:tcPr>
            <w:tcW w:w="1524" w:type="dxa"/>
            <w:vAlign w:val="center"/>
          </w:tcPr>
          <w:p w14:paraId="3A602570" w14:textId="75CE5F2D" w:rsidR="00C31A86" w:rsidRPr="00E460D8" w:rsidRDefault="00C31A86" w:rsidP="00C31A86">
            <w:pPr>
              <w:pStyle w:val="Tabletext"/>
            </w:pPr>
            <w:r w:rsidRPr="00E460D8">
              <w:t>Lyell McEwin Hosp</w:t>
            </w:r>
            <w:r w:rsidR="000065FF">
              <w:t>ital</w:t>
            </w:r>
          </w:p>
        </w:tc>
        <w:tc>
          <w:tcPr>
            <w:tcW w:w="962" w:type="dxa"/>
          </w:tcPr>
          <w:p w14:paraId="62960ACC" w14:textId="112D56BA" w:rsidR="00C31A86" w:rsidRDefault="00C31A86" w:rsidP="00C31A86">
            <w:pPr>
              <w:pStyle w:val="Tabletext"/>
            </w:pPr>
            <w:r>
              <w:t>Activity:</w:t>
            </w:r>
            <w:r>
              <w:br/>
              <w:t>Costs:</w:t>
            </w:r>
          </w:p>
        </w:tc>
        <w:tc>
          <w:tcPr>
            <w:tcW w:w="1642" w:type="dxa"/>
          </w:tcPr>
          <w:p w14:paraId="1705D38B" w14:textId="66076BB7" w:rsidR="00C31A86" w:rsidRPr="00E460D8" w:rsidRDefault="00C31A86" w:rsidP="00FD419C">
            <w:pPr>
              <w:pStyle w:val="Tabletext"/>
              <w:jc w:val="right"/>
            </w:pPr>
            <w:r>
              <w:t>455,879</w:t>
            </w:r>
            <w:r>
              <w:br/>
              <w:t>$592,620,719</w:t>
            </w:r>
          </w:p>
        </w:tc>
        <w:tc>
          <w:tcPr>
            <w:tcW w:w="1830" w:type="dxa"/>
          </w:tcPr>
          <w:p w14:paraId="3F398751" w14:textId="41838811" w:rsidR="00C31A86" w:rsidRPr="00E460D8" w:rsidRDefault="00C31A86" w:rsidP="00FD419C">
            <w:pPr>
              <w:pStyle w:val="Tabletext"/>
              <w:jc w:val="right"/>
            </w:pPr>
            <w:r>
              <w:t>-</w:t>
            </w:r>
            <w:r>
              <w:br/>
              <w:t>-</w:t>
            </w:r>
          </w:p>
        </w:tc>
        <w:tc>
          <w:tcPr>
            <w:tcW w:w="1843" w:type="dxa"/>
          </w:tcPr>
          <w:p w14:paraId="73876CAA" w14:textId="5F04800B" w:rsidR="00C31A86" w:rsidRPr="00E460D8" w:rsidRDefault="00C31A86" w:rsidP="00FD419C">
            <w:pPr>
              <w:pStyle w:val="Tabletext"/>
              <w:jc w:val="right"/>
            </w:pPr>
            <w:r>
              <w:t>455,879</w:t>
            </w:r>
            <w:r>
              <w:br/>
              <w:t>$592,620,719</w:t>
            </w:r>
          </w:p>
        </w:tc>
      </w:tr>
      <w:tr w:rsidR="00C31A86" w:rsidRPr="00E460D8" w14:paraId="33BF41D7" w14:textId="23881B3B" w:rsidTr="005F18FF">
        <w:trPr>
          <w:trHeight w:val="533"/>
        </w:trPr>
        <w:tc>
          <w:tcPr>
            <w:tcW w:w="628" w:type="dxa"/>
            <w:vAlign w:val="center"/>
          </w:tcPr>
          <w:p w14:paraId="6D6DA472" w14:textId="32C537C9" w:rsidR="00C31A86" w:rsidRPr="00A81D88" w:rsidRDefault="00C31A86" w:rsidP="00C31A86">
            <w:pPr>
              <w:pStyle w:val="Tabletext"/>
            </w:pPr>
            <w:r w:rsidRPr="00A81D88">
              <w:t>TAS</w:t>
            </w:r>
          </w:p>
        </w:tc>
        <w:tc>
          <w:tcPr>
            <w:tcW w:w="1524" w:type="dxa"/>
            <w:vAlign w:val="center"/>
          </w:tcPr>
          <w:p w14:paraId="08C301C6" w14:textId="6612391F" w:rsidR="00C31A86" w:rsidRPr="00E460D8" w:rsidRDefault="00C31A86" w:rsidP="00C31A86">
            <w:pPr>
              <w:pStyle w:val="Tabletext"/>
            </w:pPr>
            <w:r w:rsidRPr="00E460D8">
              <w:t>Royal Hobart Hosp</w:t>
            </w:r>
            <w:r w:rsidR="000065FF">
              <w:t>ital</w:t>
            </w:r>
          </w:p>
        </w:tc>
        <w:tc>
          <w:tcPr>
            <w:tcW w:w="962" w:type="dxa"/>
          </w:tcPr>
          <w:p w14:paraId="0FB9FD13" w14:textId="1364DD7D" w:rsidR="00C31A86" w:rsidRDefault="00C31A86" w:rsidP="00C31A86">
            <w:pPr>
              <w:pStyle w:val="Tabletext"/>
            </w:pPr>
            <w:r>
              <w:t>Activity:</w:t>
            </w:r>
            <w:r>
              <w:br/>
              <w:t>Costs:</w:t>
            </w:r>
          </w:p>
        </w:tc>
        <w:tc>
          <w:tcPr>
            <w:tcW w:w="1642" w:type="dxa"/>
          </w:tcPr>
          <w:p w14:paraId="09B7CA56" w14:textId="6238ACA9" w:rsidR="00C31A86" w:rsidRPr="00E460D8" w:rsidRDefault="00C31A86" w:rsidP="00FD419C">
            <w:pPr>
              <w:pStyle w:val="Tabletext"/>
              <w:jc w:val="right"/>
            </w:pPr>
            <w:r>
              <w:t>413,800</w:t>
            </w:r>
            <w:r>
              <w:br/>
              <w:t>$704,845,282</w:t>
            </w:r>
          </w:p>
        </w:tc>
        <w:tc>
          <w:tcPr>
            <w:tcW w:w="1830" w:type="dxa"/>
          </w:tcPr>
          <w:p w14:paraId="45CE8C09" w14:textId="640D5B4C" w:rsidR="00C31A86" w:rsidRPr="00EC15FA" w:rsidRDefault="00C31A86" w:rsidP="00FD419C">
            <w:pPr>
              <w:pStyle w:val="Tabletext"/>
              <w:jc w:val="right"/>
            </w:pPr>
            <w:r w:rsidRPr="00EC15FA">
              <w:t>-</w:t>
            </w:r>
            <w:r w:rsidRPr="00EC15FA">
              <w:br/>
              <w:t>-</w:t>
            </w:r>
          </w:p>
        </w:tc>
        <w:tc>
          <w:tcPr>
            <w:tcW w:w="1843" w:type="dxa"/>
          </w:tcPr>
          <w:p w14:paraId="49B3B126" w14:textId="38FE189C" w:rsidR="00C31A86" w:rsidRPr="00E460D8" w:rsidRDefault="00C31A86" w:rsidP="00FD419C">
            <w:pPr>
              <w:pStyle w:val="Tabletext"/>
              <w:jc w:val="right"/>
            </w:pPr>
            <w:r>
              <w:t>413,800</w:t>
            </w:r>
            <w:r>
              <w:br/>
              <w:t>$704,845,282</w:t>
            </w:r>
          </w:p>
        </w:tc>
      </w:tr>
      <w:tr w:rsidR="00C31A86" w:rsidRPr="00E460D8" w14:paraId="0C92BC3C" w14:textId="29E39B12" w:rsidTr="005F18FF">
        <w:trPr>
          <w:trHeight w:val="533"/>
        </w:trPr>
        <w:tc>
          <w:tcPr>
            <w:tcW w:w="628" w:type="dxa"/>
            <w:vMerge w:val="restart"/>
            <w:vAlign w:val="center"/>
          </w:tcPr>
          <w:p w14:paraId="4B4DAE45" w14:textId="48E4B4B8" w:rsidR="00C31A86" w:rsidRPr="00A81D88" w:rsidRDefault="00C31A86" w:rsidP="00C31A86">
            <w:pPr>
              <w:pStyle w:val="Tabletext"/>
            </w:pPr>
            <w:r w:rsidRPr="00A81D88">
              <w:t>VIC</w:t>
            </w:r>
          </w:p>
        </w:tc>
        <w:tc>
          <w:tcPr>
            <w:tcW w:w="1524" w:type="dxa"/>
            <w:vAlign w:val="center"/>
          </w:tcPr>
          <w:p w14:paraId="27D497DD" w14:textId="47701653" w:rsidR="00C31A86" w:rsidRPr="00E460D8" w:rsidRDefault="00C31A86" w:rsidP="00C31A86">
            <w:pPr>
              <w:pStyle w:val="Tabletext"/>
            </w:pPr>
            <w:r>
              <w:t>Latrobe Regional Hosp</w:t>
            </w:r>
            <w:r w:rsidR="000065FF">
              <w:t>ital</w:t>
            </w:r>
          </w:p>
        </w:tc>
        <w:tc>
          <w:tcPr>
            <w:tcW w:w="962" w:type="dxa"/>
          </w:tcPr>
          <w:p w14:paraId="608FEBA7" w14:textId="1F91B591" w:rsidR="00C31A86" w:rsidRDefault="00C31A86" w:rsidP="00C31A86">
            <w:pPr>
              <w:pStyle w:val="Tabletext"/>
            </w:pPr>
            <w:r>
              <w:t>Activity:</w:t>
            </w:r>
            <w:r>
              <w:br/>
              <w:t>Costs:</w:t>
            </w:r>
          </w:p>
        </w:tc>
        <w:tc>
          <w:tcPr>
            <w:tcW w:w="1642" w:type="dxa"/>
          </w:tcPr>
          <w:p w14:paraId="013FA9E6" w14:textId="78BFCA05" w:rsidR="00C31A86" w:rsidRPr="00E460D8" w:rsidRDefault="00C31A86" w:rsidP="00FD419C">
            <w:pPr>
              <w:pStyle w:val="Tabletext"/>
              <w:jc w:val="right"/>
            </w:pPr>
            <w:r>
              <w:t>219,311</w:t>
            </w:r>
            <w:r>
              <w:br/>
              <w:t>$287,136,561</w:t>
            </w:r>
          </w:p>
        </w:tc>
        <w:tc>
          <w:tcPr>
            <w:tcW w:w="1830" w:type="dxa"/>
          </w:tcPr>
          <w:p w14:paraId="0E9825F8" w14:textId="17517BC1" w:rsidR="00C31A86" w:rsidRPr="00737B79" w:rsidRDefault="00C31A86" w:rsidP="00FD419C">
            <w:pPr>
              <w:pStyle w:val="Tabletext"/>
              <w:jc w:val="right"/>
            </w:pPr>
            <w:r>
              <w:t>(50,025)</w:t>
            </w:r>
            <w:r>
              <w:br/>
              <w:t>($49,915,352)</w:t>
            </w:r>
          </w:p>
        </w:tc>
        <w:tc>
          <w:tcPr>
            <w:tcW w:w="1843" w:type="dxa"/>
          </w:tcPr>
          <w:p w14:paraId="6B25E480" w14:textId="56BC6D71" w:rsidR="00C31A86" w:rsidRPr="00E460D8" w:rsidRDefault="00C31A86" w:rsidP="00FD419C">
            <w:pPr>
              <w:pStyle w:val="Tabletext"/>
              <w:jc w:val="right"/>
            </w:pPr>
            <w:r>
              <w:t>169,286</w:t>
            </w:r>
            <w:r>
              <w:br/>
              <w:t>$237,221,209</w:t>
            </w:r>
          </w:p>
        </w:tc>
      </w:tr>
      <w:tr w:rsidR="00C31A86" w:rsidRPr="00E460D8" w14:paraId="039B084D" w14:textId="77777777" w:rsidTr="005F18FF">
        <w:trPr>
          <w:trHeight w:val="533"/>
        </w:trPr>
        <w:tc>
          <w:tcPr>
            <w:tcW w:w="628" w:type="dxa"/>
            <w:vMerge/>
            <w:vAlign w:val="center"/>
          </w:tcPr>
          <w:p w14:paraId="4DD281DA" w14:textId="77777777" w:rsidR="00C31A86" w:rsidRPr="00A81D88" w:rsidRDefault="00C31A86" w:rsidP="00C31A86">
            <w:pPr>
              <w:pStyle w:val="Tabletext"/>
            </w:pPr>
          </w:p>
        </w:tc>
        <w:tc>
          <w:tcPr>
            <w:tcW w:w="1524" w:type="dxa"/>
            <w:vAlign w:val="center"/>
          </w:tcPr>
          <w:p w14:paraId="1FCC669B" w14:textId="109CEE59" w:rsidR="00C31A86" w:rsidRPr="00E460D8" w:rsidRDefault="00C31A86" w:rsidP="00C31A86">
            <w:pPr>
              <w:pStyle w:val="Tabletext"/>
            </w:pPr>
            <w:r>
              <w:t xml:space="preserve">Ballarat </w:t>
            </w:r>
            <w:r w:rsidR="000065FF">
              <w:t>HS</w:t>
            </w:r>
          </w:p>
        </w:tc>
        <w:tc>
          <w:tcPr>
            <w:tcW w:w="962" w:type="dxa"/>
          </w:tcPr>
          <w:p w14:paraId="439D4871" w14:textId="33EF3526" w:rsidR="00C31A86" w:rsidRDefault="00C31A86" w:rsidP="00C31A86">
            <w:pPr>
              <w:pStyle w:val="Tabletext"/>
            </w:pPr>
            <w:r>
              <w:t>Activity:</w:t>
            </w:r>
            <w:r>
              <w:br/>
              <w:t>Costs:</w:t>
            </w:r>
          </w:p>
        </w:tc>
        <w:tc>
          <w:tcPr>
            <w:tcW w:w="1642" w:type="dxa"/>
          </w:tcPr>
          <w:p w14:paraId="25C0A556" w14:textId="469E71D6" w:rsidR="00C31A86" w:rsidRPr="00E460D8" w:rsidRDefault="00C31A86" w:rsidP="00FD419C">
            <w:pPr>
              <w:pStyle w:val="Tabletext"/>
              <w:jc w:val="right"/>
            </w:pPr>
            <w:r>
              <w:t>378,282</w:t>
            </w:r>
            <w:r>
              <w:br/>
              <w:t>$534,517,579</w:t>
            </w:r>
          </w:p>
        </w:tc>
        <w:tc>
          <w:tcPr>
            <w:tcW w:w="1830" w:type="dxa"/>
          </w:tcPr>
          <w:p w14:paraId="39ECCDF5" w14:textId="6AE282E0" w:rsidR="00C31A86" w:rsidRPr="00737B79" w:rsidRDefault="00C31A86" w:rsidP="00FD419C">
            <w:pPr>
              <w:pStyle w:val="Tabletext"/>
              <w:jc w:val="right"/>
            </w:pPr>
            <w:r>
              <w:t>(96,661)</w:t>
            </w:r>
            <w:r>
              <w:br/>
              <w:t>($169,101,907)</w:t>
            </w:r>
          </w:p>
        </w:tc>
        <w:tc>
          <w:tcPr>
            <w:tcW w:w="1843" w:type="dxa"/>
          </w:tcPr>
          <w:p w14:paraId="245C4A4C" w14:textId="53AA9B3D" w:rsidR="00C31A86" w:rsidRPr="00E460D8" w:rsidRDefault="00C31A86" w:rsidP="00FD419C">
            <w:pPr>
              <w:pStyle w:val="Tabletext"/>
              <w:jc w:val="right"/>
            </w:pPr>
            <w:r>
              <w:t>281,621</w:t>
            </w:r>
            <w:r>
              <w:br/>
              <w:t>$365,415,672</w:t>
            </w:r>
          </w:p>
        </w:tc>
      </w:tr>
      <w:tr w:rsidR="00C31A86" w:rsidRPr="00E460D8" w14:paraId="6A965CE9" w14:textId="77777777" w:rsidTr="005F18FF">
        <w:trPr>
          <w:trHeight w:val="533"/>
        </w:trPr>
        <w:tc>
          <w:tcPr>
            <w:tcW w:w="628" w:type="dxa"/>
            <w:vMerge/>
            <w:vAlign w:val="center"/>
          </w:tcPr>
          <w:p w14:paraId="3696DFAF" w14:textId="77777777" w:rsidR="00C31A86" w:rsidRPr="00A81D88" w:rsidRDefault="00C31A86" w:rsidP="00C31A86">
            <w:pPr>
              <w:pStyle w:val="Tabletext"/>
            </w:pPr>
          </w:p>
        </w:tc>
        <w:tc>
          <w:tcPr>
            <w:tcW w:w="1524" w:type="dxa"/>
            <w:vAlign w:val="center"/>
          </w:tcPr>
          <w:p w14:paraId="551007BA" w14:textId="73CFDDA6" w:rsidR="00C31A86" w:rsidRPr="00E460D8" w:rsidRDefault="00C31A86" w:rsidP="00C31A86">
            <w:pPr>
              <w:pStyle w:val="Tabletext"/>
            </w:pPr>
            <w:r>
              <w:t>Royal Melbourne Hosp</w:t>
            </w:r>
            <w:r w:rsidR="000065FF">
              <w:t>ital</w:t>
            </w:r>
          </w:p>
        </w:tc>
        <w:tc>
          <w:tcPr>
            <w:tcW w:w="962" w:type="dxa"/>
          </w:tcPr>
          <w:p w14:paraId="766A292D" w14:textId="7AD6B27E" w:rsidR="00C31A86" w:rsidRDefault="00C31A86" w:rsidP="00C31A86">
            <w:pPr>
              <w:pStyle w:val="Tabletext"/>
            </w:pPr>
            <w:r>
              <w:t>Activity:</w:t>
            </w:r>
            <w:r>
              <w:br/>
              <w:t>Costs:</w:t>
            </w:r>
          </w:p>
        </w:tc>
        <w:tc>
          <w:tcPr>
            <w:tcW w:w="1642" w:type="dxa"/>
          </w:tcPr>
          <w:p w14:paraId="6B4032A9" w14:textId="45427084" w:rsidR="00C31A86" w:rsidRPr="00E460D8" w:rsidRDefault="00C31A86" w:rsidP="00FD419C">
            <w:pPr>
              <w:pStyle w:val="Tabletext"/>
              <w:jc w:val="right"/>
            </w:pPr>
            <w:r>
              <w:t>1,082,840</w:t>
            </w:r>
            <w:r>
              <w:br/>
              <w:t>$1,333,132,466</w:t>
            </w:r>
          </w:p>
        </w:tc>
        <w:tc>
          <w:tcPr>
            <w:tcW w:w="1830" w:type="dxa"/>
          </w:tcPr>
          <w:p w14:paraId="0C99F79C" w14:textId="74F07CCF" w:rsidR="00C31A86" w:rsidRPr="00737B79" w:rsidRDefault="00C31A86" w:rsidP="00FD419C">
            <w:pPr>
              <w:pStyle w:val="Tabletext"/>
              <w:jc w:val="right"/>
            </w:pPr>
            <w:r>
              <w:t>(556,448)</w:t>
            </w:r>
            <w:r>
              <w:br/>
              <w:t>($394,052,036)</w:t>
            </w:r>
          </w:p>
        </w:tc>
        <w:tc>
          <w:tcPr>
            <w:tcW w:w="1843" w:type="dxa"/>
          </w:tcPr>
          <w:p w14:paraId="7BF113ED" w14:textId="48D23964" w:rsidR="00C31A86" w:rsidRPr="00E460D8" w:rsidRDefault="00C31A86" w:rsidP="00FD419C">
            <w:pPr>
              <w:pStyle w:val="Tabletext"/>
              <w:jc w:val="right"/>
            </w:pPr>
            <w:r>
              <w:t>526,392</w:t>
            </w:r>
            <w:r>
              <w:br/>
              <w:t>$939,080,430</w:t>
            </w:r>
          </w:p>
        </w:tc>
      </w:tr>
      <w:tr w:rsidR="00C31A86" w:rsidRPr="00E460D8" w14:paraId="56934185" w14:textId="64E6C523" w:rsidTr="005F18FF">
        <w:trPr>
          <w:trHeight w:val="508"/>
        </w:trPr>
        <w:tc>
          <w:tcPr>
            <w:tcW w:w="628" w:type="dxa"/>
            <w:vMerge w:val="restart"/>
            <w:vAlign w:val="center"/>
          </w:tcPr>
          <w:p w14:paraId="744BF4E1" w14:textId="6C806D31" w:rsidR="00C31A86" w:rsidRPr="00A81D88" w:rsidRDefault="00C31A86" w:rsidP="00C31A86">
            <w:pPr>
              <w:pStyle w:val="Tabletext"/>
            </w:pPr>
            <w:r w:rsidRPr="00A81D88">
              <w:t>WA</w:t>
            </w:r>
          </w:p>
        </w:tc>
        <w:tc>
          <w:tcPr>
            <w:tcW w:w="1524" w:type="dxa"/>
            <w:vAlign w:val="center"/>
          </w:tcPr>
          <w:p w14:paraId="424CBC68" w14:textId="42ED18B9" w:rsidR="00C31A86" w:rsidRPr="00E460D8" w:rsidRDefault="00C31A86" w:rsidP="00C31A86">
            <w:pPr>
              <w:pStyle w:val="Tabletext"/>
            </w:pPr>
            <w:r>
              <w:t>Royal Perth Hosp</w:t>
            </w:r>
            <w:r w:rsidR="000065FF">
              <w:t>ital</w:t>
            </w:r>
          </w:p>
        </w:tc>
        <w:tc>
          <w:tcPr>
            <w:tcW w:w="962" w:type="dxa"/>
          </w:tcPr>
          <w:p w14:paraId="2ECBB1A6" w14:textId="198A74C0" w:rsidR="00C31A86" w:rsidRDefault="00C31A86" w:rsidP="00C31A86">
            <w:pPr>
              <w:pStyle w:val="Tabletext"/>
            </w:pPr>
            <w:r>
              <w:t>Activity:</w:t>
            </w:r>
            <w:r>
              <w:br/>
              <w:t>Costs:</w:t>
            </w:r>
          </w:p>
        </w:tc>
        <w:tc>
          <w:tcPr>
            <w:tcW w:w="1642" w:type="dxa"/>
          </w:tcPr>
          <w:p w14:paraId="77042F69" w14:textId="1E94B132" w:rsidR="00C31A86" w:rsidRPr="00E460D8" w:rsidRDefault="00C31A86" w:rsidP="00FD419C">
            <w:pPr>
              <w:pStyle w:val="Tabletext"/>
              <w:jc w:val="right"/>
            </w:pPr>
            <w:r>
              <w:t>654,496</w:t>
            </w:r>
            <w:r>
              <w:br/>
              <w:t>$831,653,470</w:t>
            </w:r>
          </w:p>
        </w:tc>
        <w:tc>
          <w:tcPr>
            <w:tcW w:w="1830" w:type="dxa"/>
          </w:tcPr>
          <w:p w14:paraId="538DCE25" w14:textId="32A3756C" w:rsidR="00C31A86" w:rsidRPr="00737B79" w:rsidRDefault="00C31A86" w:rsidP="00FD419C">
            <w:pPr>
              <w:pStyle w:val="Tabletext"/>
              <w:jc w:val="right"/>
            </w:pPr>
            <w:r>
              <w:t>(179,294)</w:t>
            </w:r>
            <w:r>
              <w:br/>
              <w:t>($79,717,723)</w:t>
            </w:r>
          </w:p>
        </w:tc>
        <w:tc>
          <w:tcPr>
            <w:tcW w:w="1843" w:type="dxa"/>
          </w:tcPr>
          <w:p w14:paraId="10DC8701" w14:textId="7B89E243" w:rsidR="00C31A86" w:rsidRPr="00E460D8" w:rsidRDefault="00C31A86" w:rsidP="00FD419C">
            <w:pPr>
              <w:pStyle w:val="Tabletext"/>
              <w:jc w:val="right"/>
            </w:pPr>
            <w:r>
              <w:t>475,202</w:t>
            </w:r>
            <w:r>
              <w:br/>
              <w:t>$751,935,746</w:t>
            </w:r>
          </w:p>
        </w:tc>
      </w:tr>
      <w:tr w:rsidR="00C31A86" w:rsidRPr="00E460D8" w14:paraId="1775813F" w14:textId="77777777" w:rsidTr="005F18FF">
        <w:trPr>
          <w:trHeight w:val="508"/>
        </w:trPr>
        <w:tc>
          <w:tcPr>
            <w:tcW w:w="628" w:type="dxa"/>
            <w:vMerge/>
          </w:tcPr>
          <w:p w14:paraId="75B1BAED" w14:textId="77777777" w:rsidR="00C31A86" w:rsidRPr="00E460D8" w:rsidRDefault="00C31A86" w:rsidP="00C31A86">
            <w:pPr>
              <w:pStyle w:val="Tabletext"/>
            </w:pPr>
          </w:p>
        </w:tc>
        <w:tc>
          <w:tcPr>
            <w:tcW w:w="1524" w:type="dxa"/>
            <w:vAlign w:val="center"/>
          </w:tcPr>
          <w:p w14:paraId="3E5D104E" w14:textId="141CB01E" w:rsidR="00C31A86" w:rsidRPr="00E460D8" w:rsidRDefault="00C31A86" w:rsidP="00C31A86">
            <w:pPr>
              <w:pStyle w:val="Tabletext"/>
            </w:pPr>
            <w:r>
              <w:t>Perth Children’s Hosp</w:t>
            </w:r>
            <w:r w:rsidR="000065FF">
              <w:t>ital</w:t>
            </w:r>
          </w:p>
        </w:tc>
        <w:tc>
          <w:tcPr>
            <w:tcW w:w="962" w:type="dxa"/>
          </w:tcPr>
          <w:p w14:paraId="0D9ADB96" w14:textId="6FADAFA8" w:rsidR="00C31A86" w:rsidRDefault="00C31A86" w:rsidP="00C31A86">
            <w:pPr>
              <w:pStyle w:val="Tabletext"/>
            </w:pPr>
            <w:r>
              <w:t>Activity:</w:t>
            </w:r>
            <w:r>
              <w:br/>
              <w:t>Costs:</w:t>
            </w:r>
          </w:p>
        </w:tc>
        <w:tc>
          <w:tcPr>
            <w:tcW w:w="1642" w:type="dxa"/>
          </w:tcPr>
          <w:p w14:paraId="101C13E8" w14:textId="40C688E6" w:rsidR="00C31A86" w:rsidRPr="00E460D8" w:rsidRDefault="00C31A86" w:rsidP="00FD419C">
            <w:pPr>
              <w:pStyle w:val="Tabletext"/>
              <w:jc w:val="right"/>
            </w:pPr>
            <w:r>
              <w:t>390,683</w:t>
            </w:r>
            <w:r>
              <w:br/>
              <w:t>$524,594,999</w:t>
            </w:r>
          </w:p>
        </w:tc>
        <w:tc>
          <w:tcPr>
            <w:tcW w:w="1830" w:type="dxa"/>
          </w:tcPr>
          <w:p w14:paraId="12388044" w14:textId="7E196DAA" w:rsidR="00C31A86" w:rsidRPr="00737B79" w:rsidRDefault="00C31A86" w:rsidP="00FD419C">
            <w:pPr>
              <w:pStyle w:val="Tabletext"/>
              <w:jc w:val="right"/>
            </w:pPr>
            <w:r>
              <w:t>(64,032)</w:t>
            </w:r>
            <w:r>
              <w:br/>
              <w:t>($43,785,254)</w:t>
            </w:r>
          </w:p>
        </w:tc>
        <w:tc>
          <w:tcPr>
            <w:tcW w:w="1843" w:type="dxa"/>
          </w:tcPr>
          <w:p w14:paraId="2B4F2CC6" w14:textId="5967DBEA" w:rsidR="00C31A86" w:rsidRPr="00E460D8" w:rsidRDefault="00C31A86" w:rsidP="00FD419C">
            <w:pPr>
              <w:pStyle w:val="Tabletext"/>
              <w:jc w:val="right"/>
            </w:pPr>
            <w:r>
              <w:t>326,651</w:t>
            </w:r>
            <w:r>
              <w:br/>
              <w:t>$480,809,745</w:t>
            </w:r>
          </w:p>
        </w:tc>
      </w:tr>
      <w:tr w:rsidR="00C31A86" w:rsidRPr="00E460D8" w14:paraId="302C37CE" w14:textId="77777777" w:rsidTr="005F18FF">
        <w:trPr>
          <w:trHeight w:val="508"/>
        </w:trPr>
        <w:tc>
          <w:tcPr>
            <w:tcW w:w="628" w:type="dxa"/>
            <w:vMerge/>
          </w:tcPr>
          <w:p w14:paraId="79848379" w14:textId="77777777" w:rsidR="00C31A86" w:rsidRPr="00E460D8" w:rsidRDefault="00C31A86" w:rsidP="00C31A86">
            <w:pPr>
              <w:pStyle w:val="Tabletext"/>
            </w:pPr>
          </w:p>
        </w:tc>
        <w:tc>
          <w:tcPr>
            <w:tcW w:w="1524" w:type="dxa"/>
            <w:vAlign w:val="center"/>
          </w:tcPr>
          <w:p w14:paraId="6BB4C2F9" w14:textId="69D127B4" w:rsidR="00C31A86" w:rsidRPr="00E460D8" w:rsidRDefault="00C31A86" w:rsidP="00C31A86">
            <w:pPr>
              <w:pStyle w:val="Tabletext"/>
            </w:pPr>
            <w:r>
              <w:t>Albany Hosp</w:t>
            </w:r>
            <w:r w:rsidR="000065FF">
              <w:t>ital</w:t>
            </w:r>
          </w:p>
        </w:tc>
        <w:tc>
          <w:tcPr>
            <w:tcW w:w="962" w:type="dxa"/>
          </w:tcPr>
          <w:p w14:paraId="34B55DD4" w14:textId="7538ABED" w:rsidR="00C31A86" w:rsidRDefault="00C31A86" w:rsidP="00C31A86">
            <w:pPr>
              <w:pStyle w:val="Tabletext"/>
            </w:pPr>
            <w:r>
              <w:t>Activity:</w:t>
            </w:r>
            <w:r>
              <w:br/>
              <w:t>Costs:</w:t>
            </w:r>
          </w:p>
        </w:tc>
        <w:tc>
          <w:tcPr>
            <w:tcW w:w="1642" w:type="dxa"/>
          </w:tcPr>
          <w:p w14:paraId="7937FB8D" w14:textId="755D3D26" w:rsidR="00C31A86" w:rsidRPr="00E460D8" w:rsidRDefault="00C31A86" w:rsidP="00FD419C">
            <w:pPr>
              <w:pStyle w:val="Tabletext"/>
              <w:jc w:val="right"/>
            </w:pPr>
            <w:r>
              <w:t>123,978</w:t>
            </w:r>
            <w:r>
              <w:br/>
              <w:t>$146,978,495</w:t>
            </w:r>
          </w:p>
        </w:tc>
        <w:tc>
          <w:tcPr>
            <w:tcW w:w="1830" w:type="dxa"/>
          </w:tcPr>
          <w:p w14:paraId="4D86F007" w14:textId="5C7DD691" w:rsidR="00C31A86" w:rsidRPr="00737B79" w:rsidRDefault="00C31A86" w:rsidP="00FD419C">
            <w:pPr>
              <w:pStyle w:val="Tabletext"/>
              <w:jc w:val="right"/>
            </w:pPr>
            <w:r>
              <w:t>(1,780)</w:t>
            </w:r>
            <w:r>
              <w:br/>
              <w:t>($7,198,480)</w:t>
            </w:r>
          </w:p>
        </w:tc>
        <w:tc>
          <w:tcPr>
            <w:tcW w:w="1843" w:type="dxa"/>
          </w:tcPr>
          <w:p w14:paraId="36C49F9E" w14:textId="34903568" w:rsidR="00C31A86" w:rsidRPr="00E460D8" w:rsidRDefault="00C31A86" w:rsidP="00FD419C">
            <w:pPr>
              <w:pStyle w:val="Tabletext"/>
              <w:jc w:val="right"/>
            </w:pPr>
            <w:r>
              <w:t>122,316</w:t>
            </w:r>
            <w:r>
              <w:br/>
              <w:t>$139,780,015</w:t>
            </w:r>
          </w:p>
        </w:tc>
      </w:tr>
    </w:tbl>
    <w:p w14:paraId="59D05066" w14:textId="77777777" w:rsidR="00564BAE" w:rsidRPr="00630A55" w:rsidRDefault="00564BAE" w:rsidP="00564BAE">
      <w:pPr>
        <w:pStyle w:val="Source"/>
      </w:pPr>
      <w:r w:rsidRPr="00630A55">
        <w:t xml:space="preserve">Source: Jurisdictional consultations and </w:t>
      </w:r>
      <w:r>
        <w:t>templates</w:t>
      </w:r>
    </w:p>
    <w:p w14:paraId="56AD8C78" w14:textId="6432E35A" w:rsidR="00274903" w:rsidRDefault="00274903" w:rsidP="008F21F4"/>
    <w:p w14:paraId="0F48E7EA" w14:textId="77777777" w:rsidR="00274903" w:rsidRDefault="00274903" w:rsidP="008F21F4">
      <w:r>
        <w:br w:type="page"/>
      </w:r>
    </w:p>
    <w:p w14:paraId="2827A113" w14:textId="415562EF" w:rsidR="00A3336B" w:rsidRDefault="00A3336B" w:rsidP="003907E6">
      <w:pPr>
        <w:pStyle w:val="Heading2"/>
      </w:pPr>
      <w:bookmarkStart w:id="38" w:name="_Toc128376724"/>
      <w:r w:rsidRPr="00A16B1D">
        <w:lastRenderedPageBreak/>
        <w:t>Australian Capital Territory</w:t>
      </w:r>
      <w:bookmarkEnd w:id="38"/>
    </w:p>
    <w:p w14:paraId="791964DA" w14:textId="3780F225" w:rsidR="00A3336B" w:rsidRDefault="00A3336B" w:rsidP="00A3336B">
      <w:pPr>
        <w:pStyle w:val="Heading3"/>
      </w:pPr>
      <w:r w:rsidRPr="00A16B1D">
        <w:t>Jurisdictional summary</w:t>
      </w:r>
    </w:p>
    <w:p w14:paraId="7E652569" w14:textId="02970773" w:rsidR="00F77B3B" w:rsidRPr="00630A55" w:rsidRDefault="00F77B3B" w:rsidP="00C4103E">
      <w:pPr>
        <w:pStyle w:val="Heading4"/>
      </w:pPr>
      <w:r w:rsidRPr="00630A55">
        <w:t xml:space="preserve">Health Service </w:t>
      </w:r>
      <w:r w:rsidR="002E66B7">
        <w:t>o</w:t>
      </w:r>
      <w:r w:rsidRPr="00630A55">
        <w:t>verview</w:t>
      </w:r>
    </w:p>
    <w:p w14:paraId="0959337F" w14:textId="1D964B91" w:rsidR="00F77B3B" w:rsidRPr="00630A55" w:rsidRDefault="00F77B3B" w:rsidP="008225C3">
      <w:pPr>
        <w:jc w:val="both"/>
      </w:pPr>
      <w:r w:rsidRPr="00630A55">
        <w:t xml:space="preserve">In the Australian Capital Territory (ACT), there are two tertiary public hospitals. In </w:t>
      </w:r>
      <w:r w:rsidR="00595A9F">
        <w:t>FY20/21</w:t>
      </w:r>
      <w:r w:rsidRPr="00630A55">
        <w:t xml:space="preserve"> of the IFR</w:t>
      </w:r>
      <w:r w:rsidR="007E1FBD">
        <w:t xml:space="preserve"> the Canberra Hospital (</w:t>
      </w:r>
      <w:r w:rsidR="00710D0C">
        <w:t>CH</w:t>
      </w:r>
      <w:r w:rsidR="007E1FBD">
        <w:t>)</w:t>
      </w:r>
      <w:r w:rsidRPr="00630A55">
        <w:t xml:space="preserve"> was selected as the sample hospital for </w:t>
      </w:r>
      <w:r w:rsidR="00710D0C">
        <w:t xml:space="preserve">the </w:t>
      </w:r>
      <w:r w:rsidRPr="00630A55">
        <w:t>ACT</w:t>
      </w:r>
      <w:r w:rsidR="0018005C">
        <w:t xml:space="preserve">, </w:t>
      </w:r>
      <w:r w:rsidR="0018005C" w:rsidRPr="00630A55">
        <w:t xml:space="preserve">based upon the sampling </w:t>
      </w:r>
      <w:r w:rsidR="00034517" w:rsidRPr="00630A55">
        <w:t>framework.</w:t>
      </w:r>
      <w:r w:rsidRPr="00630A55">
        <w:t xml:space="preserve"> </w:t>
      </w:r>
      <w:r w:rsidR="00710D0C">
        <w:t>CH</w:t>
      </w:r>
      <w:r w:rsidRPr="00630A55">
        <w:t xml:space="preserve"> is the largest public hospital in the ACT with 672 </w:t>
      </w:r>
      <w:r w:rsidR="000F0606" w:rsidRPr="00630A55">
        <w:t>beds</w:t>
      </w:r>
      <w:r w:rsidR="000F0606">
        <w:t xml:space="preserve"> and</w:t>
      </w:r>
      <w:r w:rsidR="0047610F">
        <w:t xml:space="preserve"> is a major </w:t>
      </w:r>
      <w:r w:rsidR="00034517">
        <w:t xml:space="preserve">tertiary </w:t>
      </w:r>
      <w:r w:rsidR="0047610F">
        <w:t xml:space="preserve">referral hospital for adjacent regions in NSW. </w:t>
      </w:r>
      <w:r w:rsidR="00710D0C">
        <w:t>CH</w:t>
      </w:r>
      <w:r w:rsidRPr="00630A55">
        <w:t xml:space="preserve"> delivers a wide range of ambulatory, acute, sub-acute and mental health services. </w:t>
      </w:r>
      <w:r w:rsidR="00710D0C">
        <w:t>CH</w:t>
      </w:r>
      <w:r w:rsidRPr="00630A55">
        <w:t xml:space="preserve"> operates under the broader direction of the Canberra Health Service (CHS) </w:t>
      </w:r>
      <w:r w:rsidR="001D4ACD">
        <w:t>that</w:t>
      </w:r>
      <w:r w:rsidRPr="00630A55">
        <w:t xml:space="preserve"> supports the University of </w:t>
      </w:r>
      <w:r w:rsidR="00710D0C">
        <w:t>CH</w:t>
      </w:r>
      <w:r w:rsidRPr="00630A55">
        <w:t xml:space="preserve"> and various community-based health services. </w:t>
      </w:r>
    </w:p>
    <w:p w14:paraId="3E193679" w14:textId="775480E2" w:rsidR="00F77B3B" w:rsidRPr="00630A55" w:rsidRDefault="00F77B3B" w:rsidP="00C4103E">
      <w:pPr>
        <w:pStyle w:val="Heading4"/>
      </w:pPr>
      <w:r w:rsidRPr="00630A55">
        <w:t xml:space="preserve">Costing </w:t>
      </w:r>
      <w:r w:rsidR="002E66B7">
        <w:t>o</w:t>
      </w:r>
      <w:r w:rsidRPr="00630A55">
        <w:t>verview</w:t>
      </w:r>
    </w:p>
    <w:p w14:paraId="684BA7A8" w14:textId="77777777" w:rsidR="00F77B3B" w:rsidRPr="00630A55" w:rsidRDefault="00F77B3B" w:rsidP="008225C3">
      <w:pPr>
        <w:jc w:val="both"/>
      </w:pPr>
      <w:r w:rsidRPr="00630A55">
        <w:t xml:space="preserve">The ACT Health Directorate (ACTHD) is responsible for the costing submission. This process is conducted yearly in consultation with public health service staff to validate and provide context to the data. The ACTHD is responsible for the collation, processing, reconciliation and submission of the NHCDC data to IHACPA for public hospitals in the ACT by using information supplied by health services. </w:t>
      </w:r>
    </w:p>
    <w:p w14:paraId="396BC0DB" w14:textId="0C46CD7C" w:rsidR="00F77B3B" w:rsidRPr="00630A55" w:rsidRDefault="00F77B3B" w:rsidP="00C4103E">
      <w:pPr>
        <w:pStyle w:val="Heading4"/>
      </w:pPr>
      <w:r w:rsidRPr="00630A55">
        <w:t xml:space="preserve">Systems </w:t>
      </w:r>
      <w:r w:rsidR="002E66B7">
        <w:t>e</w:t>
      </w:r>
      <w:r w:rsidRPr="00630A55">
        <w:t>nvironment</w:t>
      </w:r>
    </w:p>
    <w:p w14:paraId="75D26FD1" w14:textId="13BD005B" w:rsidR="00F77B3B" w:rsidRPr="00630A55" w:rsidRDefault="00F77B3B" w:rsidP="008225C3">
      <w:pPr>
        <w:jc w:val="both"/>
      </w:pPr>
      <w:r w:rsidRPr="00630A55">
        <w:t xml:space="preserve">ACTHD uses Power Health Solutions, Power Performance Manager 2 </w:t>
      </w:r>
      <w:r w:rsidR="00710D0C">
        <w:t xml:space="preserve">(PPM2) </w:t>
      </w:r>
      <w:r w:rsidRPr="00630A55">
        <w:t xml:space="preserve">costing application for patient level costing. The ACTHD has direct access to feeder files and the </w:t>
      </w:r>
      <w:r w:rsidR="00E1715B" w:rsidRPr="00630A55">
        <w:t xml:space="preserve">general ledger </w:t>
      </w:r>
      <w:r w:rsidR="00E1715B">
        <w:t>(</w:t>
      </w:r>
      <w:r w:rsidRPr="00630A55">
        <w:t>GL</w:t>
      </w:r>
      <w:r w:rsidR="00E1715B">
        <w:t>)</w:t>
      </w:r>
      <w:r w:rsidRPr="00630A55">
        <w:t xml:space="preserve"> from the Canberra Health Service. The Canberra Health Service GL contains data for both </w:t>
      </w:r>
      <w:r w:rsidR="00710D0C">
        <w:t>CH</w:t>
      </w:r>
      <w:r w:rsidRPr="00630A55">
        <w:t xml:space="preserve"> and the University of </w:t>
      </w:r>
      <w:r w:rsidR="00710D0C">
        <w:t>CH</w:t>
      </w:r>
      <w:r w:rsidRPr="00630A55">
        <w:t xml:space="preserve">. </w:t>
      </w:r>
    </w:p>
    <w:p w14:paraId="25189219" w14:textId="77777777" w:rsidR="00F77B3B" w:rsidRPr="00630A55" w:rsidRDefault="00F77B3B" w:rsidP="00C4103E">
      <w:pPr>
        <w:pStyle w:val="Heading4"/>
      </w:pPr>
      <w:r w:rsidRPr="00630A55">
        <w:t>Improvements</w:t>
      </w:r>
    </w:p>
    <w:p w14:paraId="356F0468" w14:textId="4276F177" w:rsidR="00BE3B58" w:rsidRDefault="00F77B3B" w:rsidP="008225C3">
      <w:pPr>
        <w:jc w:val="both"/>
      </w:pPr>
      <w:r w:rsidRPr="00630A55">
        <w:t xml:space="preserve">ACTHD have implemented a series of improvements and changes since </w:t>
      </w:r>
      <w:r w:rsidR="00595A9F">
        <w:t>FY19/20</w:t>
      </w:r>
      <w:r w:rsidRPr="00630A55">
        <w:t xml:space="preserve">. ACTHD had the aim of improving feeder and linking of data. After reviewing all cost centres, pathology and imaging have been </w:t>
      </w:r>
      <w:r w:rsidR="00710D0C">
        <w:t xml:space="preserve">a </w:t>
      </w:r>
      <w:r w:rsidRPr="00630A55">
        <w:t xml:space="preserve">good example of growth since </w:t>
      </w:r>
      <w:r w:rsidR="00595A9F">
        <w:t>FY19/20</w:t>
      </w:r>
      <w:r w:rsidRPr="00630A55">
        <w:t xml:space="preserve">. Data linking for </w:t>
      </w:r>
      <w:r w:rsidR="00710D0C">
        <w:t>emergency department (</w:t>
      </w:r>
      <w:r w:rsidRPr="00630A55">
        <w:t>ED</w:t>
      </w:r>
      <w:r w:rsidR="00710D0C">
        <w:t>)</w:t>
      </w:r>
      <w:r w:rsidRPr="00630A55">
        <w:t xml:space="preserve"> presentations has also improved. </w:t>
      </w:r>
      <w:r w:rsidR="00BE3B58">
        <w:t>Data is linked using MRN</w:t>
      </w:r>
      <w:r w:rsidR="00100D0A">
        <w:t xml:space="preserve"> and date of service</w:t>
      </w:r>
      <w:r w:rsidR="003C79E2">
        <w:t>.</w:t>
      </w:r>
    </w:p>
    <w:p w14:paraId="16DC606E" w14:textId="77777777" w:rsidR="00F77B3B" w:rsidRPr="008F21F4" w:rsidRDefault="00F77B3B" w:rsidP="00F77B3B">
      <w:pPr>
        <w:pStyle w:val="Heading3"/>
      </w:pPr>
      <w:r w:rsidRPr="008F21F4">
        <w:t xml:space="preserve">Data flow and reconciliation </w:t>
      </w:r>
    </w:p>
    <w:p w14:paraId="68699259" w14:textId="46A1F905" w:rsidR="008225C3" w:rsidRDefault="00F77B3B" w:rsidP="008225C3">
      <w:pPr>
        <w:jc w:val="both"/>
      </w:pPr>
      <w:r w:rsidRPr="00630A55">
        <w:t>The total submission</w:t>
      </w:r>
      <w:r w:rsidR="00710D0C">
        <w:t>s</w:t>
      </w:r>
      <w:r w:rsidRPr="00630A55">
        <w:t xml:space="preserve"> for ACTHD in the GL was $1,765,052,672.</w:t>
      </w:r>
      <w:r w:rsidR="003C79E2">
        <w:t>, this includes expenditure for all public hospitals.</w:t>
      </w:r>
      <w:r w:rsidRPr="00630A55">
        <w:t xml:space="preserve"> There were no adjustments made to the GL, so this formed the basis of the costing </w:t>
      </w:r>
      <w:r w:rsidR="003C79E2" w:rsidRPr="00630A55">
        <w:t>process. The</w:t>
      </w:r>
      <w:r w:rsidRPr="00630A55">
        <w:t xml:space="preserve"> total submission for Canberra Health Service in the GL was $1,480,174,130. Similar to the jurisdiction, there were no adjustments made and this was transferred to the costing system. This value is inclusive of </w:t>
      </w:r>
      <w:r w:rsidR="00710D0C">
        <w:t>CH</w:t>
      </w:r>
      <w:r w:rsidRPr="00630A55">
        <w:t xml:space="preserve"> and University of </w:t>
      </w:r>
      <w:r w:rsidR="00710D0C">
        <w:t>CH</w:t>
      </w:r>
      <w:r w:rsidRPr="00630A55">
        <w:t xml:space="preserve">. There were no </w:t>
      </w:r>
      <w:r w:rsidR="00710D0C" w:rsidRPr="00630A55">
        <w:t>Work in Progress (</w:t>
      </w:r>
      <w:r w:rsidR="005216B7" w:rsidRPr="00630A55">
        <w:t>WIP) adjustments</w:t>
      </w:r>
      <w:r w:rsidRPr="00630A55">
        <w:t xml:space="preserve"> made to the GL. The total </w:t>
      </w:r>
      <w:r w:rsidR="005216B7">
        <w:t>expenditure</w:t>
      </w:r>
      <w:r w:rsidR="00F51F2D">
        <w:t>,</w:t>
      </w:r>
      <w:r w:rsidRPr="00630A55">
        <w:t xml:space="preserve"> as per the standards for the line items</w:t>
      </w:r>
      <w:r w:rsidR="00F51F2D">
        <w:t>,</w:t>
      </w:r>
      <w:r w:rsidRPr="00630A55">
        <w:t xml:space="preserve"> remained consistent at $1,480,174,130.</w:t>
      </w:r>
      <w:r w:rsidR="008433B8">
        <w:t xml:space="preserve"> The total costed amount </w:t>
      </w:r>
      <w:r w:rsidR="00E7502C">
        <w:t xml:space="preserve">for CHS was </w:t>
      </w:r>
      <w:r w:rsidRPr="00630A55">
        <w:t xml:space="preserve">$1,089,563,798. This was the total cost that was submitted to the jurisdiction. </w:t>
      </w:r>
    </w:p>
    <w:p w14:paraId="103A061F" w14:textId="3BF667DC" w:rsidR="00F77B3B" w:rsidRPr="00630A55" w:rsidRDefault="00F77B3B" w:rsidP="008225C3">
      <w:pPr>
        <w:jc w:val="both"/>
      </w:pPr>
      <w:r w:rsidRPr="00630A55">
        <w:t xml:space="preserve">The costs submitted to IHACPA on behalf of the </w:t>
      </w:r>
      <w:r w:rsidR="00710D0C">
        <w:t>CH</w:t>
      </w:r>
      <w:r w:rsidRPr="00630A55">
        <w:t xml:space="preserve"> was $1,012,357,619. The variance between the costs submitted to the jurisdiction and the costs submitted to IHACPA was $77,206,179. This variance is due to $53,853,623 (70 per cent) in teaching and training costs and the remaining $23,352,557 (30 per cent) is attributed to the 33,939 </w:t>
      </w:r>
      <w:r w:rsidR="00CB548F">
        <w:t>unlinked feeder data patient costs</w:t>
      </w:r>
      <w:r w:rsidRPr="00630A55">
        <w:t xml:space="preserve"> </w:t>
      </w:r>
      <w:r w:rsidR="00DC75CB">
        <w:t>that</w:t>
      </w:r>
      <w:r w:rsidRPr="00630A55">
        <w:t xml:space="preserve"> were unable to be linked. Th</w:t>
      </w:r>
      <w:r w:rsidR="009E55A7">
        <w:t>is</w:t>
      </w:r>
      <w:r w:rsidRPr="00630A55">
        <w:t xml:space="preserve"> included patients</w:t>
      </w:r>
      <w:r w:rsidR="00DC75CB">
        <w:t xml:space="preserve"> with a referral </w:t>
      </w:r>
      <w:r w:rsidR="007E1B1E">
        <w:t xml:space="preserve">for </w:t>
      </w:r>
      <w:r w:rsidR="00100D0A">
        <w:t>high-cost</w:t>
      </w:r>
      <w:r w:rsidR="007E1B1E">
        <w:t xml:space="preserve"> drugs, where the referral cannot be linked to an outpatient appointment</w:t>
      </w:r>
      <w:r w:rsidR="009E55A7">
        <w:t>,</w:t>
      </w:r>
      <w:r w:rsidR="007E1B1E">
        <w:t xml:space="preserve"> and data quality issues. </w:t>
      </w:r>
    </w:p>
    <w:p w14:paraId="5AF215CC" w14:textId="6DB48906" w:rsidR="00F77B3B" w:rsidRPr="00630A55" w:rsidRDefault="00AD608F" w:rsidP="008225C3">
      <w:pPr>
        <w:pStyle w:val="Caption"/>
        <w:jc w:val="both"/>
      </w:pPr>
      <w:r w:rsidRPr="00017473">
        <w:rPr>
          <w:b/>
          <w:bCs/>
        </w:rPr>
        <w:lastRenderedPageBreak/>
        <w:t xml:space="preserve">Table </w:t>
      </w:r>
      <w:r w:rsidR="00D91CB1" w:rsidRPr="00017473">
        <w:rPr>
          <w:b/>
          <w:bCs/>
        </w:rPr>
        <w:fldChar w:fldCharType="begin"/>
      </w:r>
      <w:r w:rsidR="00D91CB1" w:rsidRPr="00017473">
        <w:rPr>
          <w:b/>
          <w:bCs/>
        </w:rPr>
        <w:instrText xml:space="preserve"> SEQ Table \* ARABIC </w:instrText>
      </w:r>
      <w:r w:rsidR="00D91CB1" w:rsidRPr="00017473">
        <w:rPr>
          <w:b/>
          <w:bCs/>
        </w:rPr>
        <w:fldChar w:fldCharType="separate"/>
      </w:r>
      <w:r w:rsidR="007E2ACB">
        <w:rPr>
          <w:b/>
          <w:bCs/>
          <w:noProof/>
        </w:rPr>
        <w:t>7</w:t>
      </w:r>
      <w:r w:rsidR="00D91CB1" w:rsidRPr="00017473">
        <w:rPr>
          <w:b/>
          <w:bCs/>
          <w:noProof/>
        </w:rPr>
        <w:fldChar w:fldCharType="end"/>
      </w:r>
      <w:r w:rsidR="00017473" w:rsidRPr="00017473">
        <w:rPr>
          <w:b/>
          <w:bCs/>
          <w:noProof/>
        </w:rPr>
        <w:t>:</w:t>
      </w:r>
      <w:r w:rsidR="00F77B3B" w:rsidRPr="00630A55">
        <w:t xml:space="preserve"> Reconciliation from General Ledger to NHCDC Costed Products - Canberra Health Service and Canberra Hospital</w:t>
      </w:r>
    </w:p>
    <w:tbl>
      <w:tblPr>
        <w:tblW w:w="9050" w:type="dxa"/>
        <w:tblLook w:val="04A0" w:firstRow="1" w:lastRow="0" w:firstColumn="1" w:lastColumn="0" w:noHBand="0" w:noVBand="1"/>
      </w:tblPr>
      <w:tblGrid>
        <w:gridCol w:w="272"/>
        <w:gridCol w:w="5924"/>
        <w:gridCol w:w="2859"/>
      </w:tblGrid>
      <w:tr w:rsidR="00F77B3B" w:rsidRPr="00630A55" w14:paraId="59FED549" w14:textId="77777777" w:rsidTr="00BE5F88">
        <w:tc>
          <w:tcPr>
            <w:tcW w:w="6191" w:type="dxa"/>
            <w:gridSpan w:val="2"/>
            <w:tcBorders>
              <w:top w:val="single" w:sz="4" w:space="0" w:color="auto"/>
              <w:left w:val="single" w:sz="4" w:space="0" w:color="auto"/>
              <w:bottom w:val="single" w:sz="12" w:space="0" w:color="auto"/>
              <w:right w:val="single" w:sz="4" w:space="0" w:color="auto"/>
            </w:tcBorders>
            <w:shd w:val="clear" w:color="000000" w:fill="00338D"/>
            <w:noWrap/>
            <w:vAlign w:val="center"/>
            <w:hideMark/>
          </w:tcPr>
          <w:p w14:paraId="143B2275" w14:textId="42B78FC6" w:rsidR="00F77B3B" w:rsidRPr="00630A55" w:rsidRDefault="00140C97" w:rsidP="00E71E61">
            <w:pPr>
              <w:pStyle w:val="Tableheading"/>
              <w:rPr>
                <w:lang w:eastAsia="en-AU"/>
              </w:rPr>
            </w:pPr>
            <w:r>
              <w:rPr>
                <w:lang w:eastAsia="en-AU"/>
              </w:rPr>
              <w:t>Health Service</w:t>
            </w:r>
            <w:r w:rsidR="00F77B3B" w:rsidRPr="00630A55">
              <w:rPr>
                <w:lang w:eastAsia="en-AU"/>
              </w:rPr>
              <w:t xml:space="preserve"> level </w:t>
            </w:r>
            <w:r w:rsidR="002E66B7">
              <w:rPr>
                <w:lang w:eastAsia="en-AU"/>
              </w:rPr>
              <w:t>d</w:t>
            </w:r>
            <w:r w:rsidR="00F77B3B" w:rsidRPr="00630A55">
              <w:rPr>
                <w:lang w:eastAsia="en-AU"/>
              </w:rPr>
              <w:t>ata</w:t>
            </w:r>
          </w:p>
        </w:tc>
        <w:tc>
          <w:tcPr>
            <w:tcW w:w="2859" w:type="dxa"/>
            <w:tcBorders>
              <w:top w:val="single" w:sz="4" w:space="0" w:color="auto"/>
              <w:left w:val="single" w:sz="4" w:space="0" w:color="auto"/>
              <w:bottom w:val="single" w:sz="12" w:space="0" w:color="auto"/>
              <w:right w:val="single" w:sz="4" w:space="0" w:color="auto"/>
            </w:tcBorders>
            <w:shd w:val="clear" w:color="000000" w:fill="00338D"/>
            <w:noWrap/>
            <w:vAlign w:val="center"/>
            <w:hideMark/>
          </w:tcPr>
          <w:p w14:paraId="3BA592D5" w14:textId="4F28952E" w:rsidR="00F77B3B" w:rsidRPr="00630A55" w:rsidRDefault="00BD7057" w:rsidP="00E71E61">
            <w:pPr>
              <w:pStyle w:val="Tableheading"/>
              <w:rPr>
                <w:lang w:eastAsia="en-AU"/>
              </w:rPr>
            </w:pPr>
            <w:r>
              <w:rPr>
                <w:lang w:eastAsia="en-AU"/>
              </w:rPr>
              <w:t>Value</w:t>
            </w:r>
          </w:p>
        </w:tc>
      </w:tr>
      <w:tr w:rsidR="00F77B3B" w:rsidRPr="00630A55" w14:paraId="2058681F" w14:textId="77777777" w:rsidTr="00BE5F88">
        <w:tc>
          <w:tcPr>
            <w:tcW w:w="6191" w:type="dxa"/>
            <w:gridSpan w:val="2"/>
            <w:tcBorders>
              <w:top w:val="single" w:sz="12" w:space="0" w:color="auto"/>
              <w:left w:val="single" w:sz="4" w:space="0" w:color="auto"/>
              <w:bottom w:val="single" w:sz="8" w:space="0" w:color="F2F2F2"/>
              <w:right w:val="single" w:sz="4" w:space="0" w:color="auto"/>
            </w:tcBorders>
            <w:shd w:val="clear" w:color="auto" w:fill="808080"/>
            <w:noWrap/>
            <w:vAlign w:val="center"/>
            <w:hideMark/>
          </w:tcPr>
          <w:p w14:paraId="20493E8B" w14:textId="6AB04075" w:rsidR="00F77B3B" w:rsidRPr="00630A55" w:rsidRDefault="00DC3D63" w:rsidP="00E71E61">
            <w:pPr>
              <w:pStyle w:val="Tabletext"/>
              <w:rPr>
                <w:lang w:eastAsia="en-AU"/>
              </w:rPr>
            </w:pPr>
            <w:r>
              <w:rPr>
                <w:lang w:eastAsia="en-AU"/>
              </w:rPr>
              <w:t>Canberra</w:t>
            </w:r>
            <w:r w:rsidR="00800807">
              <w:rPr>
                <w:lang w:eastAsia="en-AU"/>
              </w:rPr>
              <w:t xml:space="preserve"> Health Service</w:t>
            </w:r>
            <w:r w:rsidR="00F77B3B" w:rsidRPr="00630A55">
              <w:rPr>
                <w:lang w:eastAsia="en-AU"/>
              </w:rPr>
              <w:t xml:space="preserve"> General Ledger</w:t>
            </w:r>
          </w:p>
        </w:tc>
        <w:tc>
          <w:tcPr>
            <w:tcW w:w="2859" w:type="dxa"/>
            <w:tcBorders>
              <w:top w:val="nil"/>
              <w:left w:val="single" w:sz="4" w:space="0" w:color="auto"/>
              <w:bottom w:val="single" w:sz="8" w:space="0" w:color="F2F2F2"/>
              <w:right w:val="single" w:sz="4" w:space="0" w:color="auto"/>
            </w:tcBorders>
            <w:shd w:val="clear" w:color="auto" w:fill="808080"/>
            <w:noWrap/>
            <w:vAlign w:val="center"/>
            <w:hideMark/>
          </w:tcPr>
          <w:p w14:paraId="34F118FD" w14:textId="0C8DC4DE" w:rsidR="00F77B3B" w:rsidRPr="00630A55" w:rsidRDefault="00F77B3B" w:rsidP="008E6BAF">
            <w:pPr>
              <w:pStyle w:val="Tabletext"/>
              <w:jc w:val="right"/>
              <w:rPr>
                <w:lang w:eastAsia="en-AU"/>
              </w:rPr>
            </w:pPr>
          </w:p>
        </w:tc>
      </w:tr>
      <w:tr w:rsidR="00F77B3B" w:rsidRPr="00630A55" w14:paraId="37BB914D" w14:textId="77777777" w:rsidTr="00BE5F88">
        <w:tc>
          <w:tcPr>
            <w:tcW w:w="6191" w:type="dxa"/>
            <w:gridSpan w:val="2"/>
            <w:tcBorders>
              <w:top w:val="single" w:sz="8" w:space="0" w:color="F2F2F2"/>
              <w:left w:val="single" w:sz="4" w:space="0" w:color="auto"/>
              <w:bottom w:val="single" w:sz="8" w:space="0" w:color="F2F2F2"/>
              <w:right w:val="single" w:sz="4" w:space="0" w:color="auto"/>
            </w:tcBorders>
            <w:shd w:val="clear" w:color="000000" w:fill="FFFFFF"/>
            <w:noWrap/>
            <w:vAlign w:val="center"/>
            <w:hideMark/>
          </w:tcPr>
          <w:p w14:paraId="7A9F284D" w14:textId="66C5B976" w:rsidR="00F77B3B" w:rsidRPr="00630A55" w:rsidRDefault="00F77B3B" w:rsidP="00E71E61">
            <w:pPr>
              <w:pStyle w:val="Tabletext"/>
              <w:rPr>
                <w:lang w:eastAsia="en-AU"/>
              </w:rPr>
            </w:pPr>
            <w:r w:rsidRPr="00630A55">
              <w:rPr>
                <w:lang w:eastAsia="en-AU"/>
              </w:rPr>
              <w:t xml:space="preserve">Transferred to </w:t>
            </w:r>
            <w:r w:rsidR="004D2BBA">
              <w:rPr>
                <w:lang w:eastAsia="en-AU"/>
              </w:rPr>
              <w:t>c</w:t>
            </w:r>
            <w:r w:rsidRPr="00630A55">
              <w:rPr>
                <w:lang w:eastAsia="en-AU"/>
              </w:rPr>
              <w:t xml:space="preserve">osting </w:t>
            </w:r>
            <w:r w:rsidR="004D2BBA">
              <w:rPr>
                <w:lang w:eastAsia="en-AU"/>
              </w:rPr>
              <w:t>s</w:t>
            </w:r>
            <w:r w:rsidRPr="00630A55">
              <w:rPr>
                <w:lang w:eastAsia="en-AU"/>
              </w:rPr>
              <w:t xml:space="preserve">ystem </w:t>
            </w:r>
          </w:p>
        </w:tc>
        <w:tc>
          <w:tcPr>
            <w:tcW w:w="2859" w:type="dxa"/>
            <w:tcBorders>
              <w:top w:val="nil"/>
              <w:left w:val="single" w:sz="4" w:space="0" w:color="auto"/>
              <w:bottom w:val="single" w:sz="8" w:space="0" w:color="F2F2F2"/>
              <w:right w:val="single" w:sz="4" w:space="0" w:color="auto"/>
            </w:tcBorders>
            <w:shd w:val="clear" w:color="auto" w:fill="auto"/>
            <w:noWrap/>
            <w:vAlign w:val="center"/>
            <w:hideMark/>
          </w:tcPr>
          <w:p w14:paraId="46DA1745" w14:textId="77777777" w:rsidR="00F77B3B" w:rsidRPr="00630A55" w:rsidRDefault="00F77B3B" w:rsidP="007515AF">
            <w:pPr>
              <w:pStyle w:val="TableTextNumber"/>
              <w:jc w:val="right"/>
            </w:pPr>
            <w:r w:rsidRPr="00630A55">
              <w:t>$1,765,052,672</w:t>
            </w:r>
          </w:p>
        </w:tc>
      </w:tr>
      <w:tr w:rsidR="00DE7929" w:rsidRPr="00630A55" w14:paraId="6B5D4D47" w14:textId="77777777" w:rsidTr="00BE5F88">
        <w:tc>
          <w:tcPr>
            <w:tcW w:w="6191" w:type="dxa"/>
            <w:gridSpan w:val="2"/>
            <w:tcBorders>
              <w:top w:val="single" w:sz="8" w:space="0" w:color="F2F2F2"/>
              <w:left w:val="single" w:sz="4" w:space="0" w:color="auto"/>
              <w:bottom w:val="single" w:sz="8" w:space="0" w:color="F2F2F2"/>
              <w:right w:val="single" w:sz="4" w:space="0" w:color="auto"/>
            </w:tcBorders>
            <w:shd w:val="clear" w:color="000000" w:fill="FFFFFF"/>
            <w:noWrap/>
            <w:vAlign w:val="center"/>
          </w:tcPr>
          <w:p w14:paraId="6484A226" w14:textId="3240A7ED" w:rsidR="00DE7929" w:rsidRPr="00630A55" w:rsidRDefault="00AE62B3" w:rsidP="00DE7929">
            <w:pPr>
              <w:pStyle w:val="Tabletext"/>
              <w:rPr>
                <w:lang w:eastAsia="en-AU"/>
              </w:rPr>
            </w:pPr>
            <w:r w:rsidRPr="00630A55">
              <w:rPr>
                <w:lang w:eastAsia="en-AU"/>
              </w:rPr>
              <w:t>Line items as per standards</w:t>
            </w:r>
          </w:p>
        </w:tc>
        <w:tc>
          <w:tcPr>
            <w:tcW w:w="2859" w:type="dxa"/>
            <w:tcBorders>
              <w:top w:val="nil"/>
              <w:left w:val="single" w:sz="4" w:space="0" w:color="auto"/>
              <w:bottom w:val="single" w:sz="8" w:space="0" w:color="F2F2F2"/>
              <w:right w:val="single" w:sz="4" w:space="0" w:color="auto"/>
            </w:tcBorders>
            <w:shd w:val="clear" w:color="auto" w:fill="auto"/>
            <w:noWrap/>
            <w:vAlign w:val="center"/>
          </w:tcPr>
          <w:p w14:paraId="4F4D8111" w14:textId="0561035C" w:rsidR="00DE7929" w:rsidRPr="00630A55" w:rsidRDefault="00317483" w:rsidP="007515AF">
            <w:pPr>
              <w:pStyle w:val="TableTextNumber"/>
              <w:jc w:val="right"/>
            </w:pPr>
            <w:r w:rsidRPr="00317483">
              <w:t>$1,765,052,672</w:t>
            </w:r>
          </w:p>
        </w:tc>
      </w:tr>
      <w:tr w:rsidR="00DE7929" w:rsidRPr="00630A55" w14:paraId="28E62946" w14:textId="77777777" w:rsidTr="00BE5F88">
        <w:tc>
          <w:tcPr>
            <w:tcW w:w="6191" w:type="dxa"/>
            <w:gridSpan w:val="2"/>
            <w:tcBorders>
              <w:top w:val="single" w:sz="8" w:space="0" w:color="F2F2F2"/>
              <w:left w:val="single" w:sz="4" w:space="0" w:color="auto"/>
              <w:bottom w:val="single" w:sz="8" w:space="0" w:color="F2F2F2"/>
              <w:right w:val="single" w:sz="4" w:space="0" w:color="auto"/>
            </w:tcBorders>
            <w:shd w:val="clear" w:color="000000" w:fill="FFFFFF"/>
            <w:noWrap/>
            <w:vAlign w:val="center"/>
          </w:tcPr>
          <w:p w14:paraId="304125E9" w14:textId="6E6BA13A" w:rsidR="00DE7929" w:rsidRPr="00630A55" w:rsidRDefault="00DE7929" w:rsidP="00DE7929">
            <w:pPr>
              <w:pStyle w:val="Tabletext"/>
              <w:rPr>
                <w:lang w:eastAsia="en-AU"/>
              </w:rPr>
            </w:pPr>
            <w:r w:rsidRPr="00630A55">
              <w:rPr>
                <w:lang w:eastAsia="en-AU"/>
              </w:rPr>
              <w:t>Adjustments</w:t>
            </w:r>
          </w:p>
        </w:tc>
        <w:tc>
          <w:tcPr>
            <w:tcW w:w="2859" w:type="dxa"/>
            <w:tcBorders>
              <w:top w:val="nil"/>
              <w:left w:val="single" w:sz="4" w:space="0" w:color="auto"/>
              <w:bottom w:val="single" w:sz="8" w:space="0" w:color="F2F2F2"/>
              <w:right w:val="single" w:sz="4" w:space="0" w:color="auto"/>
            </w:tcBorders>
            <w:shd w:val="clear" w:color="auto" w:fill="auto"/>
            <w:noWrap/>
            <w:vAlign w:val="center"/>
          </w:tcPr>
          <w:p w14:paraId="4E583495" w14:textId="469534DC" w:rsidR="00DE7929" w:rsidRPr="00630A55" w:rsidRDefault="00241218" w:rsidP="007515AF">
            <w:pPr>
              <w:pStyle w:val="TableTextNumber"/>
              <w:jc w:val="right"/>
            </w:pPr>
            <w:r>
              <w:t>(</w:t>
            </w:r>
            <w:r w:rsidR="00AE62B3" w:rsidRPr="00630A55">
              <w:t>$4</w:t>
            </w:r>
            <w:r w:rsidR="00281BAF">
              <w:t>47</w:t>
            </w:r>
            <w:r w:rsidR="00AE62B3" w:rsidRPr="00630A55">
              <w:t>,</w:t>
            </w:r>
            <w:r w:rsidR="00281BAF">
              <w:t>285</w:t>
            </w:r>
            <w:r w:rsidR="00AE62B3" w:rsidRPr="00630A55">
              <w:t>,</w:t>
            </w:r>
            <w:r w:rsidR="00281BAF">
              <w:t>720</w:t>
            </w:r>
            <w:r>
              <w:t>)</w:t>
            </w:r>
          </w:p>
        </w:tc>
      </w:tr>
      <w:tr w:rsidR="00DE7929" w:rsidRPr="00630A55" w14:paraId="70B8FB3C" w14:textId="77777777" w:rsidTr="00BE5F88">
        <w:tc>
          <w:tcPr>
            <w:tcW w:w="6191" w:type="dxa"/>
            <w:gridSpan w:val="2"/>
            <w:tcBorders>
              <w:top w:val="single" w:sz="8" w:space="0" w:color="F2F2F2"/>
              <w:left w:val="single" w:sz="4" w:space="0" w:color="auto"/>
              <w:bottom w:val="single" w:sz="8" w:space="0" w:color="F2F2F2"/>
              <w:right w:val="single" w:sz="4" w:space="0" w:color="auto"/>
            </w:tcBorders>
            <w:shd w:val="clear" w:color="000000" w:fill="FFFFFF"/>
            <w:noWrap/>
            <w:vAlign w:val="center"/>
          </w:tcPr>
          <w:p w14:paraId="5C535BA3" w14:textId="6CCEBC87" w:rsidR="00DE7929" w:rsidRPr="00630A55" w:rsidRDefault="00AE62B3" w:rsidP="00DE7929">
            <w:pPr>
              <w:pStyle w:val="Tabletext"/>
              <w:rPr>
                <w:lang w:eastAsia="en-AU"/>
              </w:rPr>
            </w:pPr>
            <w:r w:rsidRPr="00630A55">
              <w:rPr>
                <w:lang w:eastAsia="en-AU"/>
              </w:rPr>
              <w:t xml:space="preserve">Costs Submitted to </w:t>
            </w:r>
            <w:r>
              <w:rPr>
                <w:lang w:eastAsia="en-AU"/>
              </w:rPr>
              <w:t>j</w:t>
            </w:r>
            <w:r w:rsidRPr="00630A55">
              <w:rPr>
                <w:lang w:eastAsia="en-AU"/>
              </w:rPr>
              <w:t xml:space="preserve">urisdiction </w:t>
            </w:r>
          </w:p>
        </w:tc>
        <w:tc>
          <w:tcPr>
            <w:tcW w:w="2859" w:type="dxa"/>
            <w:tcBorders>
              <w:top w:val="nil"/>
              <w:left w:val="single" w:sz="4" w:space="0" w:color="auto"/>
              <w:bottom w:val="single" w:sz="8" w:space="0" w:color="F2F2F2"/>
              <w:right w:val="single" w:sz="4" w:space="0" w:color="auto"/>
            </w:tcBorders>
            <w:shd w:val="clear" w:color="auto" w:fill="auto"/>
            <w:noWrap/>
            <w:vAlign w:val="center"/>
          </w:tcPr>
          <w:p w14:paraId="04EF706F" w14:textId="41608215" w:rsidR="00DE7929" w:rsidRPr="00550510" w:rsidRDefault="00317483" w:rsidP="007515AF">
            <w:pPr>
              <w:pStyle w:val="TableTextNumber"/>
              <w:jc w:val="right"/>
            </w:pPr>
            <w:r w:rsidRPr="00630A55">
              <w:t>$1,317,766,952</w:t>
            </w:r>
          </w:p>
        </w:tc>
      </w:tr>
      <w:tr w:rsidR="00DE7929" w:rsidRPr="00630A55" w14:paraId="4A67F904" w14:textId="77777777" w:rsidTr="00BE5F88">
        <w:tc>
          <w:tcPr>
            <w:tcW w:w="6191" w:type="dxa"/>
            <w:gridSpan w:val="2"/>
            <w:tcBorders>
              <w:top w:val="single" w:sz="12" w:space="0" w:color="auto"/>
              <w:left w:val="single" w:sz="4" w:space="0" w:color="auto"/>
              <w:bottom w:val="single" w:sz="12" w:space="0" w:color="auto"/>
              <w:right w:val="single" w:sz="4" w:space="0" w:color="auto"/>
            </w:tcBorders>
            <w:shd w:val="clear" w:color="000000" w:fill="00338D"/>
            <w:noWrap/>
            <w:vAlign w:val="center"/>
            <w:hideMark/>
          </w:tcPr>
          <w:p w14:paraId="60F8F4F3" w14:textId="36A27E3A" w:rsidR="00DE7929" w:rsidRPr="00630A55" w:rsidRDefault="00DE7929" w:rsidP="00DE7929">
            <w:pPr>
              <w:pStyle w:val="Tableheading"/>
              <w:rPr>
                <w:lang w:eastAsia="en-AU"/>
              </w:rPr>
            </w:pPr>
            <w:r w:rsidRPr="00630A55">
              <w:rPr>
                <w:lang w:eastAsia="en-AU"/>
              </w:rPr>
              <w:t xml:space="preserve">Hospital level </w:t>
            </w:r>
            <w:r w:rsidR="002E66B7">
              <w:rPr>
                <w:lang w:eastAsia="en-AU"/>
              </w:rPr>
              <w:t>d</w:t>
            </w:r>
            <w:r w:rsidRPr="00630A55">
              <w:rPr>
                <w:lang w:eastAsia="en-AU"/>
              </w:rPr>
              <w:t xml:space="preserve">ata </w:t>
            </w:r>
            <w:r w:rsidR="00A82CEC">
              <w:rPr>
                <w:lang w:eastAsia="en-AU"/>
              </w:rPr>
              <w:t>(CH)</w:t>
            </w:r>
          </w:p>
        </w:tc>
        <w:tc>
          <w:tcPr>
            <w:tcW w:w="2859" w:type="dxa"/>
            <w:tcBorders>
              <w:top w:val="nil"/>
              <w:left w:val="single" w:sz="4" w:space="0" w:color="auto"/>
              <w:bottom w:val="single" w:sz="12" w:space="0" w:color="auto"/>
              <w:right w:val="single" w:sz="4" w:space="0" w:color="auto"/>
            </w:tcBorders>
            <w:shd w:val="clear" w:color="000000" w:fill="00338D"/>
            <w:noWrap/>
            <w:vAlign w:val="center"/>
            <w:hideMark/>
          </w:tcPr>
          <w:p w14:paraId="49D9FA66" w14:textId="2C5E3476" w:rsidR="00DE7929" w:rsidRPr="00630A55" w:rsidRDefault="00BD7057" w:rsidP="00BD7057">
            <w:pPr>
              <w:pStyle w:val="Tableheading"/>
              <w:rPr>
                <w:lang w:eastAsia="en-AU"/>
              </w:rPr>
            </w:pPr>
            <w:r>
              <w:rPr>
                <w:lang w:eastAsia="en-AU"/>
              </w:rPr>
              <w:t>Value</w:t>
            </w:r>
            <w:r w:rsidR="00DE7929" w:rsidRPr="00630A55">
              <w:rPr>
                <w:lang w:eastAsia="en-AU"/>
              </w:rPr>
              <w:t> </w:t>
            </w:r>
          </w:p>
        </w:tc>
      </w:tr>
      <w:tr w:rsidR="00DE7929" w:rsidRPr="00630A55" w14:paraId="0F624B1B" w14:textId="77777777" w:rsidTr="00BE5F88">
        <w:tc>
          <w:tcPr>
            <w:tcW w:w="6191" w:type="dxa"/>
            <w:gridSpan w:val="2"/>
            <w:tcBorders>
              <w:top w:val="single" w:sz="8" w:space="0" w:color="F2F2F2"/>
              <w:left w:val="single" w:sz="4" w:space="0" w:color="auto"/>
              <w:bottom w:val="single" w:sz="8" w:space="0" w:color="F2F2F2"/>
              <w:right w:val="single" w:sz="4" w:space="0" w:color="auto"/>
            </w:tcBorders>
            <w:shd w:val="clear" w:color="000000" w:fill="FFFFFF"/>
            <w:noWrap/>
            <w:vAlign w:val="center"/>
            <w:hideMark/>
          </w:tcPr>
          <w:p w14:paraId="2669A5F4" w14:textId="272F9A5E" w:rsidR="00DE7929" w:rsidRPr="00630A55" w:rsidRDefault="00A043D3" w:rsidP="00DE7929">
            <w:pPr>
              <w:pStyle w:val="Tabletext"/>
              <w:rPr>
                <w:lang w:eastAsia="en-AU"/>
              </w:rPr>
            </w:pPr>
            <w:r w:rsidRPr="00630A55">
              <w:rPr>
                <w:lang w:eastAsia="en-AU"/>
              </w:rPr>
              <w:t>Transferred</w:t>
            </w:r>
            <w:r w:rsidR="00DE7929" w:rsidRPr="00630A55">
              <w:rPr>
                <w:lang w:eastAsia="en-AU"/>
              </w:rPr>
              <w:t xml:space="preserve"> to </w:t>
            </w:r>
            <w:r w:rsidR="004D2BBA">
              <w:rPr>
                <w:lang w:eastAsia="en-AU"/>
              </w:rPr>
              <w:t>c</w:t>
            </w:r>
            <w:r w:rsidR="00DE7929" w:rsidRPr="00630A55">
              <w:rPr>
                <w:lang w:eastAsia="en-AU"/>
              </w:rPr>
              <w:t xml:space="preserve">osting </w:t>
            </w:r>
            <w:r w:rsidR="004D2BBA">
              <w:rPr>
                <w:lang w:eastAsia="en-AU"/>
              </w:rPr>
              <w:t>s</w:t>
            </w:r>
            <w:r w:rsidR="00DE7929" w:rsidRPr="00630A55">
              <w:rPr>
                <w:lang w:eastAsia="en-AU"/>
              </w:rPr>
              <w:t xml:space="preserve">ystem </w:t>
            </w:r>
          </w:p>
        </w:tc>
        <w:tc>
          <w:tcPr>
            <w:tcW w:w="2859" w:type="dxa"/>
            <w:tcBorders>
              <w:top w:val="nil"/>
              <w:left w:val="single" w:sz="4" w:space="0" w:color="auto"/>
              <w:bottom w:val="single" w:sz="8" w:space="0" w:color="F2F2F2"/>
              <w:right w:val="single" w:sz="4" w:space="0" w:color="auto"/>
            </w:tcBorders>
            <w:shd w:val="clear" w:color="auto" w:fill="auto"/>
            <w:noWrap/>
            <w:vAlign w:val="center"/>
            <w:hideMark/>
          </w:tcPr>
          <w:p w14:paraId="3E1038DD" w14:textId="77777777" w:rsidR="00DE7929" w:rsidRPr="00630A55" w:rsidRDefault="00DE7929" w:rsidP="007515AF">
            <w:pPr>
              <w:pStyle w:val="TableTextNumber"/>
              <w:jc w:val="right"/>
            </w:pPr>
            <w:r w:rsidRPr="00630A55">
              <w:t>$1,480,174,130</w:t>
            </w:r>
          </w:p>
        </w:tc>
      </w:tr>
      <w:tr w:rsidR="006E06A0" w:rsidRPr="00630A55" w14:paraId="0521C372" w14:textId="77777777" w:rsidTr="00BE5F88">
        <w:tc>
          <w:tcPr>
            <w:tcW w:w="6191" w:type="dxa"/>
            <w:gridSpan w:val="2"/>
            <w:tcBorders>
              <w:top w:val="single" w:sz="8" w:space="0" w:color="F2F2F2"/>
              <w:left w:val="single" w:sz="4" w:space="0" w:color="auto"/>
              <w:bottom w:val="single" w:sz="8" w:space="0" w:color="F2F2F2"/>
              <w:right w:val="single" w:sz="4" w:space="0" w:color="auto"/>
            </w:tcBorders>
            <w:shd w:val="clear" w:color="000000" w:fill="FFFFFF"/>
            <w:noWrap/>
            <w:vAlign w:val="center"/>
          </w:tcPr>
          <w:p w14:paraId="104CED39" w14:textId="3D110780" w:rsidR="006E06A0" w:rsidRDefault="00A043D3" w:rsidP="00DE7929">
            <w:pPr>
              <w:pStyle w:val="Tabletext"/>
              <w:rPr>
                <w:lang w:eastAsia="en-AU"/>
              </w:rPr>
            </w:pPr>
            <w:r w:rsidRPr="00630A55">
              <w:rPr>
                <w:lang w:eastAsia="en-AU"/>
              </w:rPr>
              <w:t>Line items as per standards</w:t>
            </w:r>
          </w:p>
        </w:tc>
        <w:tc>
          <w:tcPr>
            <w:tcW w:w="2859" w:type="dxa"/>
            <w:tcBorders>
              <w:top w:val="nil"/>
              <w:left w:val="single" w:sz="4" w:space="0" w:color="auto"/>
              <w:bottom w:val="single" w:sz="8" w:space="0" w:color="F2F2F2"/>
              <w:right w:val="single" w:sz="4" w:space="0" w:color="auto"/>
            </w:tcBorders>
            <w:shd w:val="clear" w:color="auto" w:fill="auto"/>
            <w:noWrap/>
            <w:vAlign w:val="center"/>
          </w:tcPr>
          <w:p w14:paraId="723562F2" w14:textId="74CB1131" w:rsidR="006E06A0" w:rsidRPr="00630A55" w:rsidRDefault="00A043D3" w:rsidP="007515AF">
            <w:pPr>
              <w:pStyle w:val="TableTextNumber"/>
              <w:jc w:val="right"/>
            </w:pPr>
            <w:r w:rsidRPr="00630A55">
              <w:t>$1,480,174,130</w:t>
            </w:r>
          </w:p>
        </w:tc>
      </w:tr>
      <w:tr w:rsidR="00DE7929" w:rsidRPr="00630A55" w14:paraId="1F18CEA4" w14:textId="77777777" w:rsidTr="00BE5F88">
        <w:tc>
          <w:tcPr>
            <w:tcW w:w="6191" w:type="dxa"/>
            <w:gridSpan w:val="2"/>
            <w:tcBorders>
              <w:top w:val="single" w:sz="8" w:space="0" w:color="F2F2F2"/>
              <w:left w:val="single" w:sz="4" w:space="0" w:color="auto"/>
              <w:bottom w:val="single" w:sz="8" w:space="0" w:color="F2F2F2"/>
              <w:right w:val="single" w:sz="4" w:space="0" w:color="auto"/>
            </w:tcBorders>
            <w:shd w:val="clear" w:color="000000" w:fill="FFFFFF"/>
            <w:noWrap/>
            <w:vAlign w:val="center"/>
            <w:hideMark/>
          </w:tcPr>
          <w:p w14:paraId="48E815F6" w14:textId="730372F5" w:rsidR="00DE7929" w:rsidRPr="00630A55" w:rsidRDefault="00A043D3" w:rsidP="00DE7929">
            <w:pPr>
              <w:pStyle w:val="Tabletext"/>
              <w:rPr>
                <w:lang w:eastAsia="en-AU"/>
              </w:rPr>
            </w:pPr>
            <w:r>
              <w:rPr>
                <w:lang w:eastAsia="en-AU"/>
              </w:rPr>
              <w:t>Adjustments</w:t>
            </w:r>
          </w:p>
        </w:tc>
        <w:tc>
          <w:tcPr>
            <w:tcW w:w="2859" w:type="dxa"/>
            <w:tcBorders>
              <w:top w:val="nil"/>
              <w:left w:val="single" w:sz="4" w:space="0" w:color="auto"/>
              <w:bottom w:val="single" w:sz="8" w:space="0" w:color="F2F2F2"/>
              <w:right w:val="single" w:sz="4" w:space="0" w:color="auto"/>
            </w:tcBorders>
            <w:shd w:val="clear" w:color="auto" w:fill="auto"/>
            <w:noWrap/>
            <w:vAlign w:val="center"/>
            <w:hideMark/>
          </w:tcPr>
          <w:p w14:paraId="0A9F5F54" w14:textId="46DA1264" w:rsidR="00DE7929" w:rsidRPr="00630A55" w:rsidRDefault="00241218" w:rsidP="007515AF">
            <w:pPr>
              <w:pStyle w:val="TableTextNumber"/>
              <w:jc w:val="right"/>
            </w:pPr>
            <w:r>
              <w:t>(</w:t>
            </w:r>
            <w:r w:rsidR="00A043D3" w:rsidRPr="00630A55">
              <w:t>$</w:t>
            </w:r>
            <w:r w:rsidR="003168A6">
              <w:t>39</w:t>
            </w:r>
            <w:r w:rsidR="00A043D3" w:rsidRPr="00630A55">
              <w:t>0</w:t>
            </w:r>
            <w:r w:rsidR="003168A6">
              <w:t>,610,332</w:t>
            </w:r>
            <w:r>
              <w:t>)</w:t>
            </w:r>
          </w:p>
        </w:tc>
      </w:tr>
      <w:tr w:rsidR="00DE7929" w:rsidRPr="00630A55" w14:paraId="341BA42D" w14:textId="77777777" w:rsidTr="00BE5F88">
        <w:tc>
          <w:tcPr>
            <w:tcW w:w="6191" w:type="dxa"/>
            <w:gridSpan w:val="2"/>
            <w:tcBorders>
              <w:top w:val="single" w:sz="8" w:space="0" w:color="F2F2F2"/>
              <w:left w:val="single" w:sz="4" w:space="0" w:color="auto"/>
              <w:bottom w:val="single" w:sz="8" w:space="0" w:color="F2F2F2"/>
              <w:right w:val="single" w:sz="4" w:space="0" w:color="auto"/>
            </w:tcBorders>
            <w:shd w:val="clear" w:color="000000" w:fill="FFFFFF"/>
            <w:noWrap/>
            <w:vAlign w:val="center"/>
            <w:hideMark/>
          </w:tcPr>
          <w:p w14:paraId="7EA05E54" w14:textId="4349AA25" w:rsidR="00DE7929" w:rsidRPr="00630A55" w:rsidRDefault="00A043D3" w:rsidP="00DE7929">
            <w:pPr>
              <w:pStyle w:val="Tabletext"/>
              <w:rPr>
                <w:lang w:eastAsia="en-AU"/>
              </w:rPr>
            </w:pPr>
            <w:r w:rsidRPr="00630A55">
              <w:rPr>
                <w:lang w:eastAsia="en-AU"/>
              </w:rPr>
              <w:t xml:space="preserve">Costs Submitted to </w:t>
            </w:r>
            <w:r>
              <w:rPr>
                <w:lang w:eastAsia="en-AU"/>
              </w:rPr>
              <w:t>j</w:t>
            </w:r>
            <w:r w:rsidRPr="00630A55">
              <w:rPr>
                <w:lang w:eastAsia="en-AU"/>
              </w:rPr>
              <w:t xml:space="preserve">urisdiction </w:t>
            </w:r>
          </w:p>
        </w:tc>
        <w:tc>
          <w:tcPr>
            <w:tcW w:w="2859" w:type="dxa"/>
            <w:tcBorders>
              <w:top w:val="nil"/>
              <w:left w:val="single" w:sz="4" w:space="0" w:color="auto"/>
              <w:bottom w:val="single" w:sz="8" w:space="0" w:color="F2F2F2"/>
              <w:right w:val="single" w:sz="4" w:space="0" w:color="auto"/>
            </w:tcBorders>
            <w:shd w:val="clear" w:color="auto" w:fill="auto"/>
            <w:noWrap/>
            <w:vAlign w:val="center"/>
            <w:hideMark/>
          </w:tcPr>
          <w:p w14:paraId="694FC3E9" w14:textId="4D1FA52E" w:rsidR="00DE7929" w:rsidRPr="00630A55" w:rsidRDefault="00A043D3" w:rsidP="007515AF">
            <w:pPr>
              <w:pStyle w:val="TableTextNumber"/>
              <w:jc w:val="right"/>
            </w:pPr>
            <w:r w:rsidRPr="00630A55">
              <w:t>$1,089,563,798</w:t>
            </w:r>
          </w:p>
        </w:tc>
      </w:tr>
      <w:tr w:rsidR="00DE7929" w:rsidRPr="00630A55" w14:paraId="0DAD0946" w14:textId="77777777" w:rsidTr="00BE5F88">
        <w:tc>
          <w:tcPr>
            <w:tcW w:w="6191" w:type="dxa"/>
            <w:gridSpan w:val="2"/>
            <w:tcBorders>
              <w:top w:val="single" w:sz="12" w:space="0" w:color="auto"/>
              <w:left w:val="single" w:sz="4" w:space="0" w:color="auto"/>
              <w:bottom w:val="single" w:sz="12" w:space="0" w:color="auto"/>
              <w:right w:val="single" w:sz="4" w:space="0" w:color="auto"/>
            </w:tcBorders>
            <w:shd w:val="clear" w:color="000000" w:fill="00338D"/>
            <w:noWrap/>
            <w:vAlign w:val="center"/>
            <w:hideMark/>
          </w:tcPr>
          <w:p w14:paraId="14CEB9BD" w14:textId="029B5203" w:rsidR="00DE7929" w:rsidRPr="00630A55" w:rsidRDefault="00373031" w:rsidP="00DE7929">
            <w:pPr>
              <w:pStyle w:val="Tableheading"/>
              <w:rPr>
                <w:lang w:eastAsia="en-AU"/>
              </w:rPr>
            </w:pPr>
            <w:r>
              <w:rPr>
                <w:lang w:eastAsia="en-AU"/>
              </w:rPr>
              <w:t xml:space="preserve">CH </w:t>
            </w:r>
            <w:r w:rsidR="002E66B7">
              <w:rPr>
                <w:lang w:eastAsia="en-AU"/>
              </w:rPr>
              <w:t>a</w:t>
            </w:r>
            <w:r w:rsidR="00DE7929" w:rsidRPr="00630A55">
              <w:rPr>
                <w:lang w:eastAsia="en-AU"/>
              </w:rPr>
              <w:t>ctivity</w:t>
            </w:r>
          </w:p>
        </w:tc>
        <w:tc>
          <w:tcPr>
            <w:tcW w:w="2859" w:type="dxa"/>
            <w:tcBorders>
              <w:top w:val="nil"/>
              <w:left w:val="single" w:sz="4" w:space="0" w:color="auto"/>
              <w:bottom w:val="single" w:sz="12" w:space="0" w:color="auto"/>
              <w:right w:val="single" w:sz="4" w:space="0" w:color="auto"/>
            </w:tcBorders>
            <w:shd w:val="clear" w:color="000000" w:fill="00338D"/>
            <w:noWrap/>
            <w:vAlign w:val="center"/>
            <w:hideMark/>
          </w:tcPr>
          <w:p w14:paraId="59B847F3" w14:textId="77777777" w:rsidR="00DE7929" w:rsidRPr="00630A55" w:rsidRDefault="00DE7929" w:rsidP="00BD7057">
            <w:pPr>
              <w:pStyle w:val="Tableheading"/>
              <w:rPr>
                <w:lang w:eastAsia="en-AU"/>
              </w:rPr>
            </w:pPr>
            <w:r w:rsidRPr="00630A55">
              <w:rPr>
                <w:lang w:eastAsia="en-AU"/>
              </w:rPr>
              <w:t xml:space="preserve">Value </w:t>
            </w:r>
          </w:p>
        </w:tc>
      </w:tr>
      <w:tr w:rsidR="00DE7929" w:rsidRPr="00630A55" w14:paraId="2AD7875F" w14:textId="77777777" w:rsidTr="00BE5F88">
        <w:tc>
          <w:tcPr>
            <w:tcW w:w="6191" w:type="dxa"/>
            <w:gridSpan w:val="2"/>
            <w:tcBorders>
              <w:top w:val="single" w:sz="12" w:space="0" w:color="auto"/>
              <w:left w:val="single" w:sz="4" w:space="0" w:color="auto"/>
              <w:bottom w:val="single" w:sz="8" w:space="0" w:color="F2F2F2"/>
              <w:right w:val="single" w:sz="4" w:space="0" w:color="auto"/>
            </w:tcBorders>
            <w:shd w:val="clear" w:color="000000" w:fill="FFFFFF"/>
            <w:vAlign w:val="center"/>
            <w:hideMark/>
          </w:tcPr>
          <w:p w14:paraId="42498DA8" w14:textId="63600D47" w:rsidR="00DE7929" w:rsidRPr="00630A55" w:rsidRDefault="00DE7929" w:rsidP="00DE7929">
            <w:pPr>
              <w:pStyle w:val="Tabletext"/>
              <w:rPr>
                <w:lang w:eastAsia="en-AU"/>
              </w:rPr>
            </w:pPr>
            <w:r w:rsidRPr="00630A55">
              <w:rPr>
                <w:lang w:eastAsia="en-AU"/>
              </w:rPr>
              <w:t xml:space="preserve">Data </w:t>
            </w:r>
            <w:r w:rsidR="00A64FB4">
              <w:rPr>
                <w:lang w:eastAsia="en-AU"/>
              </w:rPr>
              <w:t>l</w:t>
            </w:r>
            <w:r w:rsidRPr="00630A55">
              <w:rPr>
                <w:lang w:eastAsia="en-AU"/>
              </w:rPr>
              <w:t xml:space="preserve">oaded to the costing </w:t>
            </w:r>
            <w:r w:rsidR="004D2BBA">
              <w:rPr>
                <w:lang w:eastAsia="en-AU"/>
              </w:rPr>
              <w:t>s</w:t>
            </w:r>
            <w:r w:rsidRPr="00630A55">
              <w:rPr>
                <w:lang w:eastAsia="en-AU"/>
              </w:rPr>
              <w:t>ystem for costing purposes</w:t>
            </w:r>
          </w:p>
        </w:tc>
        <w:tc>
          <w:tcPr>
            <w:tcW w:w="2859" w:type="dxa"/>
            <w:tcBorders>
              <w:top w:val="nil"/>
              <w:left w:val="single" w:sz="4" w:space="0" w:color="auto"/>
              <w:bottom w:val="single" w:sz="8" w:space="0" w:color="F2F2F2"/>
              <w:right w:val="single" w:sz="4" w:space="0" w:color="auto"/>
            </w:tcBorders>
            <w:shd w:val="clear" w:color="auto" w:fill="auto"/>
            <w:vAlign w:val="center"/>
            <w:hideMark/>
          </w:tcPr>
          <w:p w14:paraId="1ACC4DF6" w14:textId="77777777" w:rsidR="00DE7929" w:rsidRPr="00630A55" w:rsidRDefault="00DE7929" w:rsidP="007515AF">
            <w:pPr>
              <w:pStyle w:val="TableTextNumber"/>
              <w:jc w:val="right"/>
            </w:pPr>
            <w:r w:rsidRPr="00630A55">
              <w:t> </w:t>
            </w:r>
          </w:p>
        </w:tc>
      </w:tr>
      <w:tr w:rsidR="00DE7929" w:rsidRPr="00630A55" w14:paraId="5F05FCF0" w14:textId="77777777" w:rsidTr="00BE5F88">
        <w:trPr>
          <w:trHeight w:val="238"/>
        </w:trPr>
        <w:tc>
          <w:tcPr>
            <w:tcW w:w="267" w:type="dxa"/>
            <w:tcBorders>
              <w:top w:val="nil"/>
              <w:left w:val="single" w:sz="4" w:space="0" w:color="auto"/>
              <w:bottom w:val="single" w:sz="8" w:space="0" w:color="F2F2F2"/>
              <w:right w:val="single" w:sz="8" w:space="0" w:color="F2F2F2"/>
            </w:tcBorders>
            <w:shd w:val="clear" w:color="000000" w:fill="FFFFFF"/>
            <w:noWrap/>
            <w:vAlign w:val="center"/>
            <w:hideMark/>
          </w:tcPr>
          <w:p w14:paraId="29711969" w14:textId="77777777" w:rsidR="00DE7929" w:rsidRPr="00630A55" w:rsidRDefault="00DE7929" w:rsidP="00DE7929">
            <w:pPr>
              <w:pStyle w:val="Tabletext"/>
              <w:rPr>
                <w:lang w:eastAsia="en-AU"/>
              </w:rPr>
            </w:pPr>
            <w:r w:rsidRPr="00630A55">
              <w:rPr>
                <w:lang w:eastAsia="en-AU"/>
              </w:rPr>
              <w:t> </w:t>
            </w:r>
          </w:p>
        </w:tc>
        <w:tc>
          <w:tcPr>
            <w:tcW w:w="5924" w:type="dxa"/>
            <w:tcBorders>
              <w:top w:val="nil"/>
              <w:left w:val="nil"/>
              <w:bottom w:val="single" w:sz="8" w:space="0" w:color="F2F2F2"/>
              <w:right w:val="single" w:sz="4" w:space="0" w:color="auto"/>
            </w:tcBorders>
            <w:shd w:val="clear" w:color="000000" w:fill="FFFFFF"/>
            <w:noWrap/>
            <w:vAlign w:val="center"/>
            <w:hideMark/>
          </w:tcPr>
          <w:p w14:paraId="72E89913" w14:textId="0A211216" w:rsidR="00DE7929" w:rsidRPr="00630A55" w:rsidRDefault="00DE7929" w:rsidP="00DE7929">
            <w:pPr>
              <w:pStyle w:val="Tabletext"/>
              <w:rPr>
                <w:lang w:eastAsia="en-AU"/>
              </w:rPr>
            </w:pPr>
            <w:r w:rsidRPr="00630A55">
              <w:rPr>
                <w:lang w:eastAsia="en-AU"/>
              </w:rPr>
              <w:t xml:space="preserve">Activity </w:t>
            </w:r>
            <w:r w:rsidR="002E66B7">
              <w:rPr>
                <w:lang w:eastAsia="en-AU"/>
              </w:rPr>
              <w:t>d</w:t>
            </w:r>
            <w:r w:rsidRPr="00630A55">
              <w:rPr>
                <w:lang w:eastAsia="en-AU"/>
              </w:rPr>
              <w:t xml:space="preserve">ata </w:t>
            </w:r>
          </w:p>
        </w:tc>
        <w:tc>
          <w:tcPr>
            <w:tcW w:w="2859" w:type="dxa"/>
            <w:tcBorders>
              <w:top w:val="nil"/>
              <w:left w:val="single" w:sz="4" w:space="0" w:color="auto"/>
              <w:bottom w:val="single" w:sz="8" w:space="0" w:color="F2F2F2"/>
              <w:right w:val="single" w:sz="4" w:space="0" w:color="auto"/>
            </w:tcBorders>
            <w:shd w:val="clear" w:color="auto" w:fill="auto"/>
            <w:noWrap/>
            <w:vAlign w:val="center"/>
            <w:hideMark/>
          </w:tcPr>
          <w:p w14:paraId="60455620" w14:textId="2C85226E" w:rsidR="00DE7929" w:rsidRPr="00630A55" w:rsidRDefault="008919E6" w:rsidP="007515AF">
            <w:pPr>
              <w:pStyle w:val="TableTextNumber"/>
              <w:jc w:val="right"/>
            </w:pPr>
            <w:r>
              <w:t>1,409,636</w:t>
            </w:r>
          </w:p>
        </w:tc>
      </w:tr>
      <w:tr w:rsidR="00DE7929" w:rsidRPr="00630A55" w14:paraId="32A5ED4F" w14:textId="77777777" w:rsidTr="00BE5F88">
        <w:tc>
          <w:tcPr>
            <w:tcW w:w="267" w:type="dxa"/>
            <w:tcBorders>
              <w:top w:val="nil"/>
              <w:left w:val="single" w:sz="4" w:space="0" w:color="auto"/>
              <w:bottom w:val="single" w:sz="8" w:space="0" w:color="F2F2F2"/>
              <w:right w:val="single" w:sz="8" w:space="0" w:color="F2F2F2"/>
            </w:tcBorders>
            <w:shd w:val="clear" w:color="000000" w:fill="FFFFFF"/>
            <w:noWrap/>
            <w:vAlign w:val="center"/>
            <w:hideMark/>
          </w:tcPr>
          <w:p w14:paraId="03C571EF" w14:textId="77777777" w:rsidR="00DE7929" w:rsidRPr="00630A55" w:rsidRDefault="00DE7929" w:rsidP="00DE7929">
            <w:pPr>
              <w:pStyle w:val="Tabletext"/>
              <w:rPr>
                <w:lang w:eastAsia="en-AU"/>
              </w:rPr>
            </w:pPr>
            <w:r w:rsidRPr="00630A55">
              <w:rPr>
                <w:lang w:eastAsia="en-AU"/>
              </w:rPr>
              <w:t> </w:t>
            </w:r>
          </w:p>
        </w:tc>
        <w:tc>
          <w:tcPr>
            <w:tcW w:w="5924" w:type="dxa"/>
            <w:tcBorders>
              <w:top w:val="nil"/>
              <w:left w:val="nil"/>
              <w:bottom w:val="single" w:sz="8" w:space="0" w:color="F2F2F2"/>
              <w:right w:val="single" w:sz="4" w:space="0" w:color="auto"/>
            </w:tcBorders>
            <w:shd w:val="clear" w:color="000000" w:fill="FFFFFF"/>
            <w:noWrap/>
            <w:vAlign w:val="center"/>
            <w:hideMark/>
          </w:tcPr>
          <w:p w14:paraId="48B0A322" w14:textId="1C710D9D" w:rsidR="00DE7929" w:rsidRPr="00630A55" w:rsidRDefault="00DE7929" w:rsidP="00DE7929">
            <w:pPr>
              <w:pStyle w:val="Tabletext"/>
              <w:rPr>
                <w:lang w:eastAsia="en-AU"/>
              </w:rPr>
            </w:pPr>
            <w:r w:rsidRPr="00630A55">
              <w:rPr>
                <w:lang w:eastAsia="en-AU"/>
              </w:rPr>
              <w:t xml:space="preserve">Feeder </w:t>
            </w:r>
            <w:r w:rsidR="002E66B7">
              <w:rPr>
                <w:lang w:eastAsia="en-AU"/>
              </w:rPr>
              <w:t>d</w:t>
            </w:r>
            <w:r w:rsidRPr="00630A55">
              <w:rPr>
                <w:lang w:eastAsia="en-AU"/>
              </w:rPr>
              <w:t>ata</w:t>
            </w:r>
          </w:p>
        </w:tc>
        <w:tc>
          <w:tcPr>
            <w:tcW w:w="2859" w:type="dxa"/>
            <w:tcBorders>
              <w:top w:val="nil"/>
              <w:left w:val="single" w:sz="4" w:space="0" w:color="auto"/>
              <w:bottom w:val="single" w:sz="8" w:space="0" w:color="F2F2F2"/>
              <w:right w:val="single" w:sz="4" w:space="0" w:color="auto"/>
            </w:tcBorders>
            <w:shd w:val="clear" w:color="auto" w:fill="auto"/>
            <w:noWrap/>
            <w:vAlign w:val="center"/>
            <w:hideMark/>
          </w:tcPr>
          <w:p w14:paraId="3B6F29DE" w14:textId="0ECBDDB0" w:rsidR="00DE7929" w:rsidRPr="00630A55" w:rsidRDefault="008919E6" w:rsidP="007515AF">
            <w:pPr>
              <w:pStyle w:val="TableTextNumber"/>
              <w:jc w:val="right"/>
            </w:pPr>
            <w:r>
              <w:t>1,799,955</w:t>
            </w:r>
          </w:p>
        </w:tc>
      </w:tr>
      <w:tr w:rsidR="00DE7929" w:rsidRPr="00630A55" w14:paraId="71EF3905" w14:textId="77777777" w:rsidTr="00BE5F88">
        <w:tc>
          <w:tcPr>
            <w:tcW w:w="6191" w:type="dxa"/>
            <w:gridSpan w:val="2"/>
            <w:tcBorders>
              <w:top w:val="single" w:sz="8" w:space="0" w:color="F2F2F2"/>
              <w:left w:val="single" w:sz="4" w:space="0" w:color="auto"/>
              <w:bottom w:val="single" w:sz="8" w:space="0" w:color="F2F2F2"/>
              <w:right w:val="single" w:sz="4" w:space="0" w:color="auto"/>
            </w:tcBorders>
            <w:shd w:val="clear" w:color="000000" w:fill="FFFFFF"/>
            <w:vAlign w:val="center"/>
            <w:hideMark/>
          </w:tcPr>
          <w:p w14:paraId="228DCA5D" w14:textId="02958399" w:rsidR="00DE7929" w:rsidRPr="00630A55" w:rsidRDefault="00DE7929" w:rsidP="00DE7929">
            <w:pPr>
              <w:pStyle w:val="Tabletext"/>
              <w:rPr>
                <w:lang w:eastAsia="en-AU"/>
              </w:rPr>
            </w:pPr>
            <w:r w:rsidRPr="00630A55">
              <w:rPr>
                <w:lang w:eastAsia="en-AU"/>
              </w:rPr>
              <w:t xml:space="preserve">NHCDC </w:t>
            </w:r>
            <w:r w:rsidR="004D2BBA">
              <w:rPr>
                <w:lang w:eastAsia="en-AU"/>
              </w:rPr>
              <w:t>p</w:t>
            </w:r>
            <w:r w:rsidRPr="00630A55">
              <w:rPr>
                <w:lang w:eastAsia="en-AU"/>
              </w:rPr>
              <w:t xml:space="preserve">roduct </w:t>
            </w:r>
            <w:r w:rsidR="004D2BBA">
              <w:rPr>
                <w:lang w:eastAsia="en-AU"/>
              </w:rPr>
              <w:t>o</w:t>
            </w:r>
            <w:r w:rsidRPr="00630A55">
              <w:rPr>
                <w:lang w:eastAsia="en-AU"/>
              </w:rPr>
              <w:t xml:space="preserve">utput </w:t>
            </w:r>
            <w:r w:rsidR="004D2BBA">
              <w:rPr>
                <w:lang w:eastAsia="en-AU"/>
              </w:rPr>
              <w:t>a</w:t>
            </w:r>
            <w:r w:rsidRPr="00630A55">
              <w:rPr>
                <w:lang w:eastAsia="en-AU"/>
              </w:rPr>
              <w:t xml:space="preserve">ctivity - </w:t>
            </w:r>
            <w:r w:rsidR="004D2BBA">
              <w:rPr>
                <w:lang w:eastAsia="en-AU"/>
              </w:rPr>
              <w:t>p</w:t>
            </w:r>
            <w:r w:rsidRPr="00630A55">
              <w:rPr>
                <w:lang w:eastAsia="en-AU"/>
              </w:rPr>
              <w:t xml:space="preserve">ost </w:t>
            </w:r>
            <w:r w:rsidR="004D2BBA">
              <w:rPr>
                <w:lang w:eastAsia="en-AU"/>
              </w:rPr>
              <w:t>l</w:t>
            </w:r>
            <w:r w:rsidRPr="00630A55">
              <w:rPr>
                <w:lang w:eastAsia="en-AU"/>
              </w:rPr>
              <w:t xml:space="preserve">inking and </w:t>
            </w:r>
            <w:r w:rsidR="004D2BBA">
              <w:rPr>
                <w:lang w:eastAsia="en-AU"/>
              </w:rPr>
              <w:t>l</w:t>
            </w:r>
            <w:r w:rsidRPr="00630A55">
              <w:rPr>
                <w:lang w:eastAsia="en-AU"/>
              </w:rPr>
              <w:t>oading</w:t>
            </w:r>
          </w:p>
        </w:tc>
        <w:tc>
          <w:tcPr>
            <w:tcW w:w="2859" w:type="dxa"/>
            <w:tcBorders>
              <w:top w:val="nil"/>
              <w:left w:val="single" w:sz="4" w:space="0" w:color="auto"/>
              <w:bottom w:val="single" w:sz="8" w:space="0" w:color="F2F2F2"/>
              <w:right w:val="single" w:sz="4" w:space="0" w:color="auto"/>
            </w:tcBorders>
            <w:shd w:val="clear" w:color="auto" w:fill="auto"/>
            <w:noWrap/>
            <w:vAlign w:val="center"/>
            <w:hideMark/>
          </w:tcPr>
          <w:p w14:paraId="34992362" w14:textId="77777777" w:rsidR="00DE7929" w:rsidRPr="00630A55" w:rsidRDefault="00DE7929" w:rsidP="007515AF">
            <w:pPr>
              <w:pStyle w:val="TableTextNumber"/>
              <w:jc w:val="right"/>
            </w:pPr>
            <w:r w:rsidRPr="00630A55">
              <w:t>1,444,064</w:t>
            </w:r>
          </w:p>
        </w:tc>
      </w:tr>
      <w:tr w:rsidR="00DE7929" w:rsidRPr="00630A55" w14:paraId="1CD4A19C" w14:textId="77777777" w:rsidTr="00BE5F88">
        <w:tc>
          <w:tcPr>
            <w:tcW w:w="6191" w:type="dxa"/>
            <w:gridSpan w:val="2"/>
            <w:tcBorders>
              <w:top w:val="single" w:sz="8" w:space="0" w:color="F2F2F2"/>
              <w:left w:val="single" w:sz="4" w:space="0" w:color="auto"/>
              <w:bottom w:val="single" w:sz="8" w:space="0" w:color="F2F2F2"/>
              <w:right w:val="single" w:sz="4" w:space="0" w:color="auto"/>
            </w:tcBorders>
            <w:shd w:val="clear" w:color="000000" w:fill="FFFFFF"/>
            <w:vAlign w:val="center"/>
            <w:hideMark/>
          </w:tcPr>
          <w:p w14:paraId="016B6D88" w14:textId="56209469" w:rsidR="00DE7929" w:rsidRPr="00630A55" w:rsidRDefault="00DE7929" w:rsidP="00DE7929">
            <w:pPr>
              <w:pStyle w:val="Tabletext"/>
              <w:rPr>
                <w:lang w:eastAsia="en-AU"/>
              </w:rPr>
            </w:pPr>
            <w:r w:rsidRPr="00630A55">
              <w:rPr>
                <w:lang w:eastAsia="en-AU"/>
              </w:rPr>
              <w:t xml:space="preserve">Final </w:t>
            </w:r>
            <w:r w:rsidR="004D2BBA">
              <w:rPr>
                <w:lang w:eastAsia="en-AU"/>
              </w:rPr>
              <w:t>s</w:t>
            </w:r>
            <w:r w:rsidRPr="00630A55">
              <w:rPr>
                <w:lang w:eastAsia="en-AU"/>
              </w:rPr>
              <w:t xml:space="preserve">ubmission to </w:t>
            </w:r>
            <w:r w:rsidR="004D2BBA">
              <w:rPr>
                <w:lang w:eastAsia="en-AU"/>
              </w:rPr>
              <w:t>j</w:t>
            </w:r>
            <w:r w:rsidRPr="00630A55">
              <w:rPr>
                <w:lang w:eastAsia="en-AU"/>
              </w:rPr>
              <w:t xml:space="preserve">urisdiction - </w:t>
            </w:r>
            <w:r w:rsidR="004D2BBA">
              <w:rPr>
                <w:lang w:eastAsia="en-AU"/>
              </w:rPr>
              <w:t>a</w:t>
            </w:r>
            <w:r w:rsidRPr="00630A55">
              <w:rPr>
                <w:lang w:eastAsia="en-AU"/>
              </w:rPr>
              <w:t xml:space="preserve">ctivity by </w:t>
            </w:r>
            <w:r w:rsidR="004D2BBA">
              <w:rPr>
                <w:lang w:eastAsia="en-AU"/>
              </w:rPr>
              <w:t>p</w:t>
            </w:r>
            <w:r w:rsidRPr="00630A55">
              <w:rPr>
                <w:lang w:eastAsia="en-AU"/>
              </w:rPr>
              <w:t>roduct</w:t>
            </w:r>
          </w:p>
        </w:tc>
        <w:tc>
          <w:tcPr>
            <w:tcW w:w="2859" w:type="dxa"/>
            <w:tcBorders>
              <w:top w:val="nil"/>
              <w:left w:val="single" w:sz="4" w:space="0" w:color="auto"/>
              <w:bottom w:val="single" w:sz="8" w:space="0" w:color="F2F2F2"/>
              <w:right w:val="single" w:sz="4" w:space="0" w:color="auto"/>
            </w:tcBorders>
            <w:shd w:val="clear" w:color="auto" w:fill="auto"/>
            <w:noWrap/>
            <w:vAlign w:val="center"/>
            <w:hideMark/>
          </w:tcPr>
          <w:p w14:paraId="11559F80" w14:textId="77777777" w:rsidR="00DE7929" w:rsidRPr="00630A55" w:rsidRDefault="00DE7929" w:rsidP="007515AF">
            <w:pPr>
              <w:pStyle w:val="TableTextNumber"/>
              <w:jc w:val="right"/>
            </w:pPr>
            <w:r w:rsidRPr="00630A55">
              <w:t>1,444,577</w:t>
            </w:r>
          </w:p>
        </w:tc>
      </w:tr>
      <w:tr w:rsidR="00DE7929" w:rsidRPr="00630A55" w14:paraId="44142993" w14:textId="77777777" w:rsidTr="00BE5F88">
        <w:tc>
          <w:tcPr>
            <w:tcW w:w="6191" w:type="dxa"/>
            <w:gridSpan w:val="2"/>
            <w:tcBorders>
              <w:top w:val="single" w:sz="8" w:space="0" w:color="F2F2F2"/>
              <w:left w:val="single" w:sz="4" w:space="0" w:color="auto"/>
              <w:bottom w:val="single" w:sz="12" w:space="0" w:color="auto"/>
              <w:right w:val="single" w:sz="4" w:space="0" w:color="auto"/>
            </w:tcBorders>
            <w:shd w:val="clear" w:color="000000" w:fill="FFFFFF"/>
            <w:vAlign w:val="center"/>
            <w:hideMark/>
          </w:tcPr>
          <w:p w14:paraId="24488DD1" w14:textId="1F31E16E" w:rsidR="00DE7929" w:rsidRPr="00630A55" w:rsidRDefault="00DE7929" w:rsidP="00DE7929">
            <w:pPr>
              <w:pStyle w:val="Tabletext"/>
              <w:rPr>
                <w:lang w:eastAsia="en-AU"/>
              </w:rPr>
            </w:pPr>
            <w:r w:rsidRPr="00630A55">
              <w:rPr>
                <w:lang w:eastAsia="en-AU"/>
              </w:rPr>
              <w:t xml:space="preserve">Final </w:t>
            </w:r>
            <w:r w:rsidR="004D2BBA">
              <w:rPr>
                <w:lang w:eastAsia="en-AU"/>
              </w:rPr>
              <w:t>s</w:t>
            </w:r>
            <w:r w:rsidRPr="00630A55">
              <w:rPr>
                <w:lang w:eastAsia="en-AU"/>
              </w:rPr>
              <w:t xml:space="preserve">ubmission to </w:t>
            </w:r>
            <w:r w:rsidR="004D2BBA">
              <w:rPr>
                <w:lang w:eastAsia="en-AU"/>
              </w:rPr>
              <w:t>j</w:t>
            </w:r>
            <w:r w:rsidRPr="00630A55">
              <w:rPr>
                <w:lang w:eastAsia="en-AU"/>
              </w:rPr>
              <w:t xml:space="preserve">urisdiction - </w:t>
            </w:r>
            <w:r w:rsidR="004D2BBA">
              <w:rPr>
                <w:lang w:eastAsia="en-AU"/>
              </w:rPr>
              <w:t>a</w:t>
            </w:r>
            <w:r w:rsidRPr="00630A55">
              <w:rPr>
                <w:lang w:eastAsia="en-AU"/>
              </w:rPr>
              <w:t xml:space="preserve">ctivity and </w:t>
            </w:r>
            <w:r w:rsidR="004D2BBA">
              <w:rPr>
                <w:lang w:eastAsia="en-AU"/>
              </w:rPr>
              <w:t>c</w:t>
            </w:r>
            <w:r w:rsidRPr="00630A55">
              <w:rPr>
                <w:lang w:eastAsia="en-AU"/>
              </w:rPr>
              <w:t xml:space="preserve">ost by </w:t>
            </w:r>
            <w:r w:rsidR="004D2BBA">
              <w:rPr>
                <w:lang w:eastAsia="en-AU"/>
              </w:rPr>
              <w:t>p</w:t>
            </w:r>
            <w:r w:rsidRPr="00630A55">
              <w:rPr>
                <w:lang w:eastAsia="en-AU"/>
              </w:rPr>
              <w:t>roduct</w:t>
            </w:r>
          </w:p>
        </w:tc>
        <w:tc>
          <w:tcPr>
            <w:tcW w:w="2859" w:type="dxa"/>
            <w:tcBorders>
              <w:top w:val="nil"/>
              <w:left w:val="single" w:sz="4" w:space="0" w:color="auto"/>
              <w:bottom w:val="single" w:sz="8" w:space="0" w:color="F2F2F2"/>
              <w:right w:val="single" w:sz="4" w:space="0" w:color="auto"/>
            </w:tcBorders>
            <w:shd w:val="clear" w:color="auto" w:fill="auto"/>
            <w:noWrap/>
            <w:vAlign w:val="center"/>
            <w:hideMark/>
          </w:tcPr>
          <w:p w14:paraId="0E75463C" w14:textId="77777777" w:rsidR="00DE7929" w:rsidRPr="00630A55" w:rsidRDefault="00DE7929" w:rsidP="007515AF">
            <w:pPr>
              <w:pStyle w:val="TableTextNumber"/>
              <w:jc w:val="right"/>
            </w:pPr>
            <w:r w:rsidRPr="00630A55">
              <w:t>1,444,064</w:t>
            </w:r>
          </w:p>
        </w:tc>
      </w:tr>
      <w:tr w:rsidR="00DE7929" w:rsidRPr="00630A55" w14:paraId="772E2BE9" w14:textId="77777777" w:rsidTr="00BE5F88">
        <w:tc>
          <w:tcPr>
            <w:tcW w:w="6191" w:type="dxa"/>
            <w:gridSpan w:val="2"/>
            <w:tcBorders>
              <w:top w:val="single" w:sz="12" w:space="0" w:color="auto"/>
              <w:left w:val="single" w:sz="4" w:space="0" w:color="auto"/>
              <w:bottom w:val="single" w:sz="12" w:space="0" w:color="auto"/>
              <w:right w:val="single" w:sz="4" w:space="0" w:color="auto"/>
            </w:tcBorders>
            <w:shd w:val="clear" w:color="000000" w:fill="00338D"/>
            <w:noWrap/>
            <w:vAlign w:val="center"/>
            <w:hideMark/>
          </w:tcPr>
          <w:p w14:paraId="548BD051" w14:textId="201E3707" w:rsidR="00DE7929" w:rsidRPr="00630A55" w:rsidRDefault="00373031" w:rsidP="00DE7929">
            <w:pPr>
              <w:pStyle w:val="Tableheading"/>
              <w:rPr>
                <w:lang w:eastAsia="en-AU"/>
              </w:rPr>
            </w:pPr>
            <w:r>
              <w:rPr>
                <w:lang w:eastAsia="en-AU"/>
              </w:rPr>
              <w:t>CH</w:t>
            </w:r>
            <w:r w:rsidR="00DE7929" w:rsidRPr="00630A55">
              <w:rPr>
                <w:lang w:eastAsia="en-AU"/>
              </w:rPr>
              <w:t xml:space="preserve"> submitted to </w:t>
            </w:r>
            <w:r w:rsidR="00A64FB4">
              <w:rPr>
                <w:lang w:eastAsia="en-AU"/>
              </w:rPr>
              <w:t>j</w:t>
            </w:r>
            <w:r w:rsidR="00DE7929" w:rsidRPr="00630A55">
              <w:rPr>
                <w:lang w:eastAsia="en-AU"/>
              </w:rPr>
              <w:t xml:space="preserve">urisdiction </w:t>
            </w:r>
          </w:p>
        </w:tc>
        <w:tc>
          <w:tcPr>
            <w:tcW w:w="2859" w:type="dxa"/>
            <w:tcBorders>
              <w:top w:val="nil"/>
              <w:left w:val="single" w:sz="4" w:space="0" w:color="auto"/>
              <w:bottom w:val="single" w:sz="12" w:space="0" w:color="auto"/>
              <w:right w:val="single" w:sz="4" w:space="0" w:color="auto"/>
            </w:tcBorders>
            <w:shd w:val="clear" w:color="000000" w:fill="00338D"/>
            <w:noWrap/>
            <w:vAlign w:val="center"/>
            <w:hideMark/>
          </w:tcPr>
          <w:p w14:paraId="12C3A8C4" w14:textId="77777777" w:rsidR="00DE7929" w:rsidRPr="00630A55" w:rsidRDefault="00DE7929" w:rsidP="00BD7057">
            <w:pPr>
              <w:pStyle w:val="Tableheading"/>
              <w:rPr>
                <w:lang w:eastAsia="en-AU"/>
              </w:rPr>
            </w:pPr>
            <w:r w:rsidRPr="00630A55">
              <w:rPr>
                <w:lang w:eastAsia="en-AU"/>
              </w:rPr>
              <w:t xml:space="preserve">Value </w:t>
            </w:r>
          </w:p>
        </w:tc>
      </w:tr>
      <w:tr w:rsidR="00DE7929" w:rsidRPr="00630A55" w14:paraId="4AE5BFA2" w14:textId="77777777" w:rsidTr="00BE5F88">
        <w:tc>
          <w:tcPr>
            <w:tcW w:w="6191" w:type="dxa"/>
            <w:gridSpan w:val="2"/>
            <w:tcBorders>
              <w:top w:val="single" w:sz="12" w:space="0" w:color="auto"/>
              <w:left w:val="single" w:sz="4" w:space="0" w:color="auto"/>
              <w:bottom w:val="single" w:sz="8" w:space="0" w:color="F2F2F2"/>
              <w:right w:val="single" w:sz="4" w:space="0" w:color="auto"/>
            </w:tcBorders>
            <w:shd w:val="clear" w:color="000000" w:fill="FFFFFF"/>
            <w:vAlign w:val="center"/>
            <w:hideMark/>
          </w:tcPr>
          <w:p w14:paraId="41577923" w14:textId="359F2710" w:rsidR="00DE7929" w:rsidRPr="00630A55" w:rsidRDefault="00373031" w:rsidP="00DE7929">
            <w:pPr>
              <w:pStyle w:val="Tabletext"/>
              <w:rPr>
                <w:lang w:eastAsia="en-AU"/>
              </w:rPr>
            </w:pPr>
            <w:r>
              <w:rPr>
                <w:lang w:eastAsia="en-AU"/>
              </w:rPr>
              <w:t>Summary submission to jurisdiction</w:t>
            </w:r>
            <w:r w:rsidR="00DE7929" w:rsidRPr="00630A55">
              <w:rPr>
                <w:lang w:eastAsia="en-AU"/>
              </w:rPr>
              <w:t xml:space="preserve"> </w:t>
            </w:r>
          </w:p>
        </w:tc>
        <w:tc>
          <w:tcPr>
            <w:tcW w:w="2859" w:type="dxa"/>
            <w:tcBorders>
              <w:top w:val="nil"/>
              <w:left w:val="single" w:sz="4" w:space="0" w:color="auto"/>
              <w:bottom w:val="single" w:sz="8" w:space="0" w:color="F2F2F2"/>
              <w:right w:val="single" w:sz="4" w:space="0" w:color="auto"/>
            </w:tcBorders>
            <w:shd w:val="clear" w:color="auto" w:fill="auto"/>
            <w:vAlign w:val="center"/>
            <w:hideMark/>
          </w:tcPr>
          <w:p w14:paraId="53CF1858" w14:textId="77777777" w:rsidR="00DE7929" w:rsidRPr="00630A55" w:rsidRDefault="00DE7929" w:rsidP="007515AF">
            <w:pPr>
              <w:pStyle w:val="TableTextNumber"/>
              <w:jc w:val="right"/>
            </w:pPr>
            <w:r w:rsidRPr="00630A55">
              <w:t> </w:t>
            </w:r>
          </w:p>
        </w:tc>
      </w:tr>
      <w:tr w:rsidR="00DE7929" w:rsidRPr="00630A55" w14:paraId="00096C12" w14:textId="77777777" w:rsidTr="00BE5F88">
        <w:tc>
          <w:tcPr>
            <w:tcW w:w="267" w:type="dxa"/>
            <w:tcBorders>
              <w:top w:val="nil"/>
              <w:left w:val="single" w:sz="4" w:space="0" w:color="auto"/>
              <w:bottom w:val="single" w:sz="8" w:space="0" w:color="F2F2F2"/>
              <w:right w:val="single" w:sz="8" w:space="0" w:color="F2F2F2"/>
            </w:tcBorders>
            <w:shd w:val="clear" w:color="000000" w:fill="FFFFFF"/>
            <w:noWrap/>
            <w:vAlign w:val="center"/>
            <w:hideMark/>
          </w:tcPr>
          <w:p w14:paraId="6AF5979F" w14:textId="77777777" w:rsidR="00DE7929" w:rsidRPr="00630A55" w:rsidRDefault="00DE7929" w:rsidP="00DE7929">
            <w:pPr>
              <w:pStyle w:val="Tabletext"/>
              <w:rPr>
                <w:lang w:eastAsia="en-AU"/>
              </w:rPr>
            </w:pPr>
            <w:r w:rsidRPr="00630A55">
              <w:rPr>
                <w:lang w:eastAsia="en-AU"/>
              </w:rPr>
              <w:t> </w:t>
            </w:r>
          </w:p>
        </w:tc>
        <w:tc>
          <w:tcPr>
            <w:tcW w:w="5924" w:type="dxa"/>
            <w:tcBorders>
              <w:top w:val="nil"/>
              <w:left w:val="nil"/>
              <w:bottom w:val="single" w:sz="8" w:space="0" w:color="F2F2F2"/>
              <w:right w:val="single" w:sz="4" w:space="0" w:color="auto"/>
            </w:tcBorders>
            <w:shd w:val="clear" w:color="000000" w:fill="FFFFFF"/>
            <w:vAlign w:val="center"/>
            <w:hideMark/>
          </w:tcPr>
          <w:p w14:paraId="6AC68C92" w14:textId="02D6555C" w:rsidR="00DE7929" w:rsidRPr="00630A55" w:rsidRDefault="00B6270C" w:rsidP="00DE7929">
            <w:pPr>
              <w:pStyle w:val="Tabletext"/>
              <w:rPr>
                <w:lang w:eastAsia="en-AU"/>
              </w:rPr>
            </w:pPr>
            <w:r>
              <w:rPr>
                <w:lang w:eastAsia="en-AU"/>
              </w:rPr>
              <w:t>Activity</w:t>
            </w:r>
            <w:r w:rsidR="00DE7929" w:rsidRPr="00630A55">
              <w:rPr>
                <w:lang w:eastAsia="en-AU"/>
              </w:rPr>
              <w:t xml:space="preserve"> submitted to </w:t>
            </w:r>
            <w:r w:rsidR="00A64FB4">
              <w:rPr>
                <w:lang w:eastAsia="en-AU"/>
              </w:rPr>
              <w:t>j</w:t>
            </w:r>
            <w:r w:rsidR="00DE7929" w:rsidRPr="00630A55">
              <w:rPr>
                <w:lang w:eastAsia="en-AU"/>
              </w:rPr>
              <w:t>urisdiction</w:t>
            </w:r>
          </w:p>
        </w:tc>
        <w:tc>
          <w:tcPr>
            <w:tcW w:w="2859" w:type="dxa"/>
            <w:tcBorders>
              <w:top w:val="nil"/>
              <w:left w:val="single" w:sz="4" w:space="0" w:color="auto"/>
              <w:bottom w:val="single" w:sz="8" w:space="0" w:color="F2F2F2"/>
              <w:right w:val="single" w:sz="4" w:space="0" w:color="auto"/>
            </w:tcBorders>
            <w:shd w:val="clear" w:color="auto" w:fill="auto"/>
            <w:noWrap/>
            <w:vAlign w:val="center"/>
            <w:hideMark/>
          </w:tcPr>
          <w:p w14:paraId="5E0BA6C3" w14:textId="77777777" w:rsidR="00DE7929" w:rsidRPr="00630A55" w:rsidRDefault="00DE7929" w:rsidP="007515AF">
            <w:pPr>
              <w:pStyle w:val="TableTextNumber"/>
              <w:jc w:val="right"/>
            </w:pPr>
            <w:r w:rsidRPr="00630A55">
              <w:t>1,444,064</w:t>
            </w:r>
          </w:p>
        </w:tc>
      </w:tr>
      <w:tr w:rsidR="00DE7929" w:rsidRPr="00630A55" w14:paraId="1C2DFF41" w14:textId="77777777" w:rsidTr="00BE5F88">
        <w:tc>
          <w:tcPr>
            <w:tcW w:w="267" w:type="dxa"/>
            <w:tcBorders>
              <w:top w:val="nil"/>
              <w:left w:val="single" w:sz="4" w:space="0" w:color="auto"/>
              <w:bottom w:val="single" w:sz="8" w:space="0" w:color="F2F2F2"/>
              <w:right w:val="single" w:sz="8" w:space="0" w:color="F2F2F2"/>
            </w:tcBorders>
            <w:shd w:val="clear" w:color="000000" w:fill="FFFFFF"/>
            <w:noWrap/>
            <w:vAlign w:val="center"/>
            <w:hideMark/>
          </w:tcPr>
          <w:p w14:paraId="0483B13B" w14:textId="77777777" w:rsidR="00DE7929" w:rsidRPr="00630A55" w:rsidRDefault="00DE7929" w:rsidP="00DE7929">
            <w:pPr>
              <w:pStyle w:val="Tabletext"/>
              <w:rPr>
                <w:lang w:eastAsia="en-AU"/>
              </w:rPr>
            </w:pPr>
            <w:r w:rsidRPr="00630A55">
              <w:rPr>
                <w:lang w:eastAsia="en-AU"/>
              </w:rPr>
              <w:t> </w:t>
            </w:r>
          </w:p>
        </w:tc>
        <w:tc>
          <w:tcPr>
            <w:tcW w:w="5924" w:type="dxa"/>
            <w:tcBorders>
              <w:top w:val="nil"/>
              <w:left w:val="nil"/>
              <w:bottom w:val="single" w:sz="8" w:space="0" w:color="F2F2F2"/>
              <w:right w:val="single" w:sz="4" w:space="0" w:color="auto"/>
            </w:tcBorders>
            <w:shd w:val="clear" w:color="000000" w:fill="FFFFFF"/>
            <w:vAlign w:val="center"/>
            <w:hideMark/>
          </w:tcPr>
          <w:p w14:paraId="4B32CADF" w14:textId="435A1C93" w:rsidR="00DE7929" w:rsidRPr="00630A55" w:rsidRDefault="00B6270C" w:rsidP="00DE7929">
            <w:pPr>
              <w:pStyle w:val="Tabletext"/>
              <w:rPr>
                <w:lang w:eastAsia="en-AU"/>
              </w:rPr>
            </w:pPr>
            <w:r>
              <w:rPr>
                <w:lang w:eastAsia="en-AU"/>
              </w:rPr>
              <w:t>C</w:t>
            </w:r>
            <w:r w:rsidR="00DE7929" w:rsidRPr="00630A55">
              <w:rPr>
                <w:lang w:eastAsia="en-AU"/>
              </w:rPr>
              <w:t xml:space="preserve">osts submitted to </w:t>
            </w:r>
            <w:r w:rsidR="00A64FB4">
              <w:rPr>
                <w:lang w:eastAsia="en-AU"/>
              </w:rPr>
              <w:t>j</w:t>
            </w:r>
            <w:r w:rsidR="00DE7929" w:rsidRPr="00630A55">
              <w:rPr>
                <w:lang w:eastAsia="en-AU"/>
              </w:rPr>
              <w:t>urisdiction</w:t>
            </w:r>
          </w:p>
        </w:tc>
        <w:tc>
          <w:tcPr>
            <w:tcW w:w="2859" w:type="dxa"/>
            <w:tcBorders>
              <w:top w:val="nil"/>
              <w:left w:val="single" w:sz="4" w:space="0" w:color="auto"/>
              <w:bottom w:val="single" w:sz="8" w:space="0" w:color="F2F2F2"/>
              <w:right w:val="single" w:sz="4" w:space="0" w:color="auto"/>
            </w:tcBorders>
            <w:shd w:val="clear" w:color="auto" w:fill="auto"/>
            <w:noWrap/>
            <w:vAlign w:val="center"/>
            <w:hideMark/>
          </w:tcPr>
          <w:p w14:paraId="769DBB79" w14:textId="77777777" w:rsidR="00DE7929" w:rsidRPr="00630A55" w:rsidRDefault="00DE7929" w:rsidP="007515AF">
            <w:pPr>
              <w:pStyle w:val="TableTextNumber"/>
              <w:jc w:val="right"/>
            </w:pPr>
            <w:r w:rsidRPr="00630A55">
              <w:t>$1,089,563,798</w:t>
            </w:r>
          </w:p>
        </w:tc>
      </w:tr>
      <w:tr w:rsidR="00DE7929" w:rsidRPr="00630A55" w14:paraId="10586C50" w14:textId="77777777" w:rsidTr="00BE5F88">
        <w:tc>
          <w:tcPr>
            <w:tcW w:w="6191" w:type="dxa"/>
            <w:gridSpan w:val="2"/>
            <w:tcBorders>
              <w:left w:val="single" w:sz="4" w:space="0" w:color="auto"/>
              <w:bottom w:val="single" w:sz="12" w:space="0" w:color="auto"/>
              <w:right w:val="single" w:sz="4" w:space="0" w:color="auto"/>
            </w:tcBorders>
            <w:shd w:val="clear" w:color="000000" w:fill="00338D"/>
            <w:noWrap/>
            <w:vAlign w:val="center"/>
            <w:hideMark/>
          </w:tcPr>
          <w:p w14:paraId="50CC6301" w14:textId="46670F3B" w:rsidR="00DE7929" w:rsidRPr="00630A55" w:rsidRDefault="00412ABC" w:rsidP="00DE7929">
            <w:pPr>
              <w:pStyle w:val="Tableheading"/>
              <w:rPr>
                <w:lang w:eastAsia="en-AU"/>
              </w:rPr>
            </w:pPr>
            <w:r>
              <w:rPr>
                <w:lang w:eastAsia="en-AU"/>
              </w:rPr>
              <w:t xml:space="preserve">CH </w:t>
            </w:r>
            <w:r w:rsidR="002E66B7">
              <w:rPr>
                <w:lang w:eastAsia="en-AU"/>
              </w:rPr>
              <w:t>c</w:t>
            </w:r>
            <w:r w:rsidR="00DE7929" w:rsidRPr="00630A55">
              <w:rPr>
                <w:lang w:eastAsia="en-AU"/>
              </w:rPr>
              <w:t>osts submitted to IHACPA</w:t>
            </w:r>
          </w:p>
        </w:tc>
        <w:tc>
          <w:tcPr>
            <w:tcW w:w="2859" w:type="dxa"/>
            <w:tcBorders>
              <w:left w:val="single" w:sz="4" w:space="0" w:color="auto"/>
              <w:bottom w:val="single" w:sz="12" w:space="0" w:color="auto"/>
              <w:right w:val="single" w:sz="4" w:space="0" w:color="auto"/>
            </w:tcBorders>
            <w:shd w:val="clear" w:color="000000" w:fill="00338D"/>
            <w:noWrap/>
            <w:vAlign w:val="center"/>
            <w:hideMark/>
          </w:tcPr>
          <w:p w14:paraId="4BFEFDB8" w14:textId="77777777" w:rsidR="00DE7929" w:rsidRPr="00630A55" w:rsidRDefault="00DE7929" w:rsidP="00BD7057">
            <w:pPr>
              <w:pStyle w:val="Tableheading"/>
              <w:rPr>
                <w:lang w:eastAsia="en-AU"/>
              </w:rPr>
            </w:pPr>
            <w:r w:rsidRPr="00630A55">
              <w:rPr>
                <w:lang w:eastAsia="en-AU"/>
              </w:rPr>
              <w:t xml:space="preserve">Value </w:t>
            </w:r>
          </w:p>
        </w:tc>
      </w:tr>
      <w:tr w:rsidR="00DE7929" w:rsidRPr="00630A55" w14:paraId="621B3D40" w14:textId="77777777" w:rsidTr="00BE5F88">
        <w:tc>
          <w:tcPr>
            <w:tcW w:w="6191" w:type="dxa"/>
            <w:gridSpan w:val="2"/>
            <w:tcBorders>
              <w:top w:val="single" w:sz="12" w:space="0" w:color="auto"/>
              <w:left w:val="single" w:sz="4" w:space="0" w:color="auto"/>
              <w:bottom w:val="single" w:sz="8" w:space="0" w:color="F2F2F2"/>
              <w:right w:val="single" w:sz="4" w:space="0" w:color="auto"/>
            </w:tcBorders>
            <w:shd w:val="clear" w:color="000000" w:fill="FFFFFF"/>
            <w:vAlign w:val="center"/>
            <w:hideMark/>
          </w:tcPr>
          <w:p w14:paraId="2B400531" w14:textId="5D3A4283" w:rsidR="00DE7929" w:rsidRPr="00630A55" w:rsidRDefault="00DE7929" w:rsidP="00DE7929">
            <w:pPr>
              <w:pStyle w:val="Tabletext"/>
              <w:rPr>
                <w:lang w:eastAsia="en-AU"/>
              </w:rPr>
            </w:pPr>
            <w:r w:rsidRPr="00630A55">
              <w:rPr>
                <w:lang w:eastAsia="en-AU"/>
              </w:rPr>
              <w:t xml:space="preserve">Final </w:t>
            </w:r>
            <w:r w:rsidR="00A64FB4">
              <w:rPr>
                <w:lang w:eastAsia="en-AU"/>
              </w:rPr>
              <w:t>s</w:t>
            </w:r>
            <w:r w:rsidRPr="00630A55">
              <w:rPr>
                <w:lang w:eastAsia="en-AU"/>
              </w:rPr>
              <w:t xml:space="preserve">ubmission </w:t>
            </w:r>
            <w:r w:rsidR="00B6270C">
              <w:rPr>
                <w:lang w:eastAsia="en-AU"/>
              </w:rPr>
              <w:t>to</w:t>
            </w:r>
            <w:r w:rsidRPr="00630A55">
              <w:rPr>
                <w:lang w:eastAsia="en-AU"/>
              </w:rPr>
              <w:t xml:space="preserve"> </w:t>
            </w:r>
            <w:r w:rsidR="00A64FB4">
              <w:rPr>
                <w:lang w:eastAsia="en-AU"/>
              </w:rPr>
              <w:t>j</w:t>
            </w:r>
            <w:r w:rsidRPr="00630A55">
              <w:rPr>
                <w:lang w:eastAsia="en-AU"/>
              </w:rPr>
              <w:t xml:space="preserve">urisdiction </w:t>
            </w:r>
            <w:r w:rsidR="00B6270C">
              <w:rPr>
                <w:lang w:eastAsia="en-AU"/>
              </w:rPr>
              <w:t>for IHACPA</w:t>
            </w:r>
            <w:r w:rsidRPr="00630A55">
              <w:rPr>
                <w:lang w:eastAsia="en-AU"/>
              </w:rPr>
              <w:t xml:space="preserve"> - </w:t>
            </w:r>
            <w:r w:rsidR="00A64FB4">
              <w:rPr>
                <w:lang w:eastAsia="en-AU"/>
              </w:rPr>
              <w:t>c</w:t>
            </w:r>
            <w:r w:rsidRPr="00630A55">
              <w:rPr>
                <w:lang w:eastAsia="en-AU"/>
              </w:rPr>
              <w:t xml:space="preserve">ost and </w:t>
            </w:r>
            <w:r w:rsidR="00A64FB4">
              <w:rPr>
                <w:lang w:eastAsia="en-AU"/>
              </w:rPr>
              <w:t>a</w:t>
            </w:r>
            <w:r w:rsidRPr="00630A55">
              <w:rPr>
                <w:lang w:eastAsia="en-AU"/>
              </w:rPr>
              <w:t xml:space="preserve">ctivity by </w:t>
            </w:r>
            <w:r w:rsidR="00A64FB4">
              <w:rPr>
                <w:lang w:eastAsia="en-AU"/>
              </w:rPr>
              <w:t>p</w:t>
            </w:r>
            <w:r w:rsidRPr="00630A55">
              <w:rPr>
                <w:lang w:eastAsia="en-AU"/>
              </w:rPr>
              <w:t xml:space="preserve">roduct </w:t>
            </w:r>
          </w:p>
        </w:tc>
        <w:tc>
          <w:tcPr>
            <w:tcW w:w="2859" w:type="dxa"/>
            <w:tcBorders>
              <w:top w:val="nil"/>
              <w:left w:val="single" w:sz="4" w:space="0" w:color="auto"/>
              <w:bottom w:val="single" w:sz="8" w:space="0" w:color="F2F2F2"/>
              <w:right w:val="single" w:sz="4" w:space="0" w:color="auto"/>
            </w:tcBorders>
            <w:shd w:val="clear" w:color="auto" w:fill="auto"/>
            <w:vAlign w:val="center"/>
            <w:hideMark/>
          </w:tcPr>
          <w:p w14:paraId="5213F141" w14:textId="77777777" w:rsidR="00DE7929" w:rsidRPr="00630A55" w:rsidRDefault="00DE7929" w:rsidP="007515AF">
            <w:pPr>
              <w:pStyle w:val="TableTextNumber"/>
              <w:jc w:val="right"/>
            </w:pPr>
            <w:r w:rsidRPr="00630A55">
              <w:t> </w:t>
            </w:r>
          </w:p>
        </w:tc>
      </w:tr>
      <w:tr w:rsidR="00DE7929" w:rsidRPr="00630A55" w14:paraId="5E9E349D" w14:textId="77777777" w:rsidTr="00BE5F88">
        <w:tc>
          <w:tcPr>
            <w:tcW w:w="267" w:type="dxa"/>
            <w:tcBorders>
              <w:top w:val="nil"/>
              <w:left w:val="single" w:sz="4" w:space="0" w:color="auto"/>
              <w:bottom w:val="single" w:sz="8" w:space="0" w:color="F2F2F2"/>
              <w:right w:val="single" w:sz="8" w:space="0" w:color="F2F2F2"/>
            </w:tcBorders>
            <w:shd w:val="clear" w:color="000000" w:fill="FFFFFF"/>
            <w:noWrap/>
            <w:vAlign w:val="center"/>
            <w:hideMark/>
          </w:tcPr>
          <w:p w14:paraId="4A09BD01" w14:textId="77777777" w:rsidR="00DE7929" w:rsidRPr="00630A55" w:rsidRDefault="00DE7929" w:rsidP="00DE7929">
            <w:pPr>
              <w:pStyle w:val="Tabletext"/>
              <w:rPr>
                <w:lang w:eastAsia="en-AU"/>
              </w:rPr>
            </w:pPr>
            <w:r w:rsidRPr="00630A55">
              <w:rPr>
                <w:lang w:eastAsia="en-AU"/>
              </w:rPr>
              <w:t> </w:t>
            </w:r>
          </w:p>
        </w:tc>
        <w:tc>
          <w:tcPr>
            <w:tcW w:w="5924" w:type="dxa"/>
            <w:tcBorders>
              <w:top w:val="nil"/>
              <w:left w:val="nil"/>
              <w:bottom w:val="single" w:sz="8" w:space="0" w:color="F2F2F2"/>
              <w:right w:val="single" w:sz="4" w:space="0" w:color="auto"/>
            </w:tcBorders>
            <w:shd w:val="clear" w:color="000000" w:fill="FFFFFF"/>
            <w:vAlign w:val="center"/>
            <w:hideMark/>
          </w:tcPr>
          <w:p w14:paraId="72A4B9C2" w14:textId="77777777" w:rsidR="00DE7929" w:rsidRPr="00630A55" w:rsidRDefault="00DE7929" w:rsidP="00DE7929">
            <w:pPr>
              <w:pStyle w:val="Tabletext"/>
              <w:rPr>
                <w:lang w:eastAsia="en-AU"/>
              </w:rPr>
            </w:pPr>
            <w:r w:rsidRPr="00630A55">
              <w:rPr>
                <w:lang w:eastAsia="en-AU"/>
              </w:rPr>
              <w:t>Activity</w:t>
            </w:r>
          </w:p>
        </w:tc>
        <w:tc>
          <w:tcPr>
            <w:tcW w:w="2859" w:type="dxa"/>
            <w:tcBorders>
              <w:top w:val="nil"/>
              <w:left w:val="single" w:sz="4" w:space="0" w:color="auto"/>
              <w:bottom w:val="single" w:sz="8" w:space="0" w:color="F2F2F2"/>
              <w:right w:val="single" w:sz="4" w:space="0" w:color="auto"/>
            </w:tcBorders>
            <w:shd w:val="clear" w:color="auto" w:fill="auto"/>
            <w:noWrap/>
            <w:vAlign w:val="center"/>
            <w:hideMark/>
          </w:tcPr>
          <w:p w14:paraId="347744FC" w14:textId="10D4F65F" w:rsidR="00DE7929" w:rsidRPr="00630A55" w:rsidRDefault="00264C0E" w:rsidP="007515AF">
            <w:pPr>
              <w:pStyle w:val="TableTextNumber"/>
              <w:jc w:val="right"/>
            </w:pPr>
            <w:r w:rsidRPr="00630A55">
              <w:t>1,444,064</w:t>
            </w:r>
          </w:p>
        </w:tc>
      </w:tr>
      <w:tr w:rsidR="00DE7929" w:rsidRPr="00630A55" w14:paraId="46F367B3" w14:textId="77777777" w:rsidTr="00BE5F88">
        <w:tc>
          <w:tcPr>
            <w:tcW w:w="267" w:type="dxa"/>
            <w:tcBorders>
              <w:top w:val="nil"/>
              <w:left w:val="single" w:sz="4" w:space="0" w:color="auto"/>
              <w:bottom w:val="single" w:sz="8" w:space="0" w:color="F2F2F2"/>
              <w:right w:val="single" w:sz="8" w:space="0" w:color="F2F2F2"/>
            </w:tcBorders>
            <w:shd w:val="clear" w:color="000000" w:fill="FFFFFF"/>
            <w:noWrap/>
            <w:vAlign w:val="center"/>
            <w:hideMark/>
          </w:tcPr>
          <w:p w14:paraId="7655464B" w14:textId="77777777" w:rsidR="00DE7929" w:rsidRPr="00630A55" w:rsidRDefault="00DE7929" w:rsidP="00DE7929">
            <w:pPr>
              <w:pStyle w:val="Tabletext"/>
              <w:rPr>
                <w:lang w:eastAsia="en-AU"/>
              </w:rPr>
            </w:pPr>
            <w:r w:rsidRPr="00630A55">
              <w:rPr>
                <w:lang w:eastAsia="en-AU"/>
              </w:rPr>
              <w:t> </w:t>
            </w:r>
          </w:p>
        </w:tc>
        <w:tc>
          <w:tcPr>
            <w:tcW w:w="5924" w:type="dxa"/>
            <w:tcBorders>
              <w:top w:val="nil"/>
              <w:left w:val="nil"/>
              <w:bottom w:val="single" w:sz="8" w:space="0" w:color="F2F2F2"/>
              <w:right w:val="single" w:sz="4" w:space="0" w:color="auto"/>
            </w:tcBorders>
            <w:shd w:val="clear" w:color="000000" w:fill="FFFFFF"/>
            <w:vAlign w:val="center"/>
            <w:hideMark/>
          </w:tcPr>
          <w:p w14:paraId="4076B497" w14:textId="77777777" w:rsidR="00DE7929" w:rsidRPr="00630A55" w:rsidRDefault="00DE7929" w:rsidP="00DE7929">
            <w:pPr>
              <w:pStyle w:val="Tabletext"/>
              <w:rPr>
                <w:lang w:eastAsia="en-AU"/>
              </w:rPr>
            </w:pPr>
            <w:r w:rsidRPr="00630A55">
              <w:rPr>
                <w:lang w:eastAsia="en-AU"/>
              </w:rPr>
              <w:t>Costs</w:t>
            </w:r>
          </w:p>
        </w:tc>
        <w:tc>
          <w:tcPr>
            <w:tcW w:w="2859" w:type="dxa"/>
            <w:tcBorders>
              <w:top w:val="nil"/>
              <w:left w:val="single" w:sz="4" w:space="0" w:color="auto"/>
              <w:bottom w:val="single" w:sz="8" w:space="0" w:color="F2F2F2"/>
              <w:right w:val="single" w:sz="4" w:space="0" w:color="auto"/>
            </w:tcBorders>
            <w:shd w:val="clear" w:color="auto" w:fill="auto"/>
            <w:noWrap/>
            <w:vAlign w:val="center"/>
            <w:hideMark/>
          </w:tcPr>
          <w:p w14:paraId="24FADCC0" w14:textId="721A089C" w:rsidR="00DE7929" w:rsidRPr="00630A55" w:rsidRDefault="00264C0E" w:rsidP="007515AF">
            <w:pPr>
              <w:pStyle w:val="TableTextNumber"/>
              <w:jc w:val="right"/>
            </w:pPr>
            <w:r w:rsidRPr="00630A55">
              <w:t>$1,089,563,798</w:t>
            </w:r>
          </w:p>
        </w:tc>
      </w:tr>
      <w:tr w:rsidR="00DE7929" w:rsidRPr="00630A55" w14:paraId="73A7DC6C" w14:textId="77777777" w:rsidTr="00BE5F88">
        <w:tc>
          <w:tcPr>
            <w:tcW w:w="6191" w:type="dxa"/>
            <w:gridSpan w:val="2"/>
            <w:tcBorders>
              <w:top w:val="single" w:sz="8" w:space="0" w:color="F2F2F2"/>
              <w:left w:val="single" w:sz="4" w:space="0" w:color="auto"/>
              <w:bottom w:val="single" w:sz="8" w:space="0" w:color="F2F2F2"/>
              <w:right w:val="single" w:sz="4" w:space="0" w:color="auto"/>
            </w:tcBorders>
            <w:shd w:val="clear" w:color="000000" w:fill="FFFFFF"/>
            <w:vAlign w:val="center"/>
            <w:hideMark/>
          </w:tcPr>
          <w:p w14:paraId="02DE0F7A" w14:textId="625F6BBE" w:rsidR="00DE7929" w:rsidRPr="00630A55" w:rsidRDefault="00DE7929" w:rsidP="00DE7929">
            <w:pPr>
              <w:pStyle w:val="Tabletext"/>
              <w:rPr>
                <w:lang w:eastAsia="en-AU"/>
              </w:rPr>
            </w:pPr>
            <w:r w:rsidRPr="00630A55">
              <w:rPr>
                <w:lang w:eastAsia="en-AU"/>
              </w:rPr>
              <w:t xml:space="preserve">Adjustments to </w:t>
            </w:r>
            <w:r w:rsidR="00A64FB4">
              <w:rPr>
                <w:lang w:eastAsia="en-AU"/>
              </w:rPr>
              <w:t>j</w:t>
            </w:r>
            <w:r w:rsidRPr="00630A55">
              <w:rPr>
                <w:lang w:eastAsia="en-AU"/>
              </w:rPr>
              <w:t xml:space="preserve">urisdictional </w:t>
            </w:r>
            <w:r w:rsidR="00A64FB4">
              <w:rPr>
                <w:lang w:eastAsia="en-AU"/>
              </w:rPr>
              <w:t>s</w:t>
            </w:r>
            <w:r w:rsidRPr="00630A55">
              <w:rPr>
                <w:lang w:eastAsia="en-AU"/>
              </w:rPr>
              <w:t xml:space="preserve">ubmission prior to finalisation of </w:t>
            </w:r>
            <w:r w:rsidR="00A64FB4">
              <w:rPr>
                <w:lang w:eastAsia="en-AU"/>
              </w:rPr>
              <w:t>j</w:t>
            </w:r>
            <w:r w:rsidRPr="00630A55">
              <w:rPr>
                <w:lang w:eastAsia="en-AU"/>
              </w:rPr>
              <w:t>urisdictional data</w:t>
            </w:r>
          </w:p>
        </w:tc>
        <w:tc>
          <w:tcPr>
            <w:tcW w:w="2859" w:type="dxa"/>
            <w:tcBorders>
              <w:top w:val="nil"/>
              <w:left w:val="single" w:sz="4" w:space="0" w:color="auto"/>
              <w:bottom w:val="single" w:sz="8" w:space="0" w:color="F2F2F2"/>
              <w:right w:val="single" w:sz="4" w:space="0" w:color="auto"/>
            </w:tcBorders>
            <w:shd w:val="clear" w:color="auto" w:fill="auto"/>
            <w:vAlign w:val="center"/>
            <w:hideMark/>
          </w:tcPr>
          <w:p w14:paraId="1C047FCF" w14:textId="77777777" w:rsidR="00DE7929" w:rsidRPr="00630A55" w:rsidRDefault="00DE7929" w:rsidP="007515AF">
            <w:pPr>
              <w:pStyle w:val="TableTextNumber"/>
              <w:jc w:val="right"/>
            </w:pPr>
            <w:r w:rsidRPr="00630A55">
              <w:t> </w:t>
            </w:r>
          </w:p>
        </w:tc>
      </w:tr>
      <w:tr w:rsidR="00DE7929" w:rsidRPr="00630A55" w14:paraId="3EF443C4" w14:textId="77777777" w:rsidTr="00BE5F88">
        <w:tc>
          <w:tcPr>
            <w:tcW w:w="267" w:type="dxa"/>
            <w:tcBorders>
              <w:top w:val="nil"/>
              <w:left w:val="single" w:sz="4" w:space="0" w:color="auto"/>
              <w:bottom w:val="single" w:sz="8" w:space="0" w:color="F2F2F2"/>
              <w:right w:val="single" w:sz="8" w:space="0" w:color="F2F2F2"/>
            </w:tcBorders>
            <w:shd w:val="clear" w:color="000000" w:fill="FFFFFF"/>
            <w:noWrap/>
            <w:vAlign w:val="center"/>
            <w:hideMark/>
          </w:tcPr>
          <w:p w14:paraId="09C0233C" w14:textId="77777777" w:rsidR="00DE7929" w:rsidRPr="00630A55" w:rsidRDefault="00DE7929" w:rsidP="00DE7929">
            <w:pPr>
              <w:pStyle w:val="Tabletext"/>
              <w:rPr>
                <w:lang w:eastAsia="en-AU"/>
              </w:rPr>
            </w:pPr>
            <w:r w:rsidRPr="00630A55">
              <w:rPr>
                <w:lang w:eastAsia="en-AU"/>
              </w:rPr>
              <w:t> </w:t>
            </w:r>
          </w:p>
        </w:tc>
        <w:tc>
          <w:tcPr>
            <w:tcW w:w="5924" w:type="dxa"/>
            <w:tcBorders>
              <w:top w:val="nil"/>
              <w:left w:val="nil"/>
              <w:bottom w:val="single" w:sz="8" w:space="0" w:color="F2F2F2"/>
              <w:right w:val="single" w:sz="4" w:space="0" w:color="auto"/>
            </w:tcBorders>
            <w:shd w:val="clear" w:color="000000" w:fill="FFFFFF"/>
            <w:noWrap/>
            <w:vAlign w:val="center"/>
            <w:hideMark/>
          </w:tcPr>
          <w:p w14:paraId="2B145BFC" w14:textId="77777777" w:rsidR="00DE7929" w:rsidRPr="00630A55" w:rsidRDefault="00DE7929" w:rsidP="00DE7929">
            <w:pPr>
              <w:pStyle w:val="Tabletext"/>
              <w:rPr>
                <w:lang w:eastAsia="en-AU"/>
              </w:rPr>
            </w:pPr>
            <w:r w:rsidRPr="00630A55">
              <w:rPr>
                <w:lang w:eastAsia="en-AU"/>
              </w:rPr>
              <w:t xml:space="preserve">Activity totals </w:t>
            </w:r>
          </w:p>
        </w:tc>
        <w:tc>
          <w:tcPr>
            <w:tcW w:w="2859" w:type="dxa"/>
            <w:tcBorders>
              <w:top w:val="nil"/>
              <w:left w:val="single" w:sz="4" w:space="0" w:color="auto"/>
              <w:bottom w:val="single" w:sz="8" w:space="0" w:color="F2F2F2"/>
              <w:right w:val="single" w:sz="4" w:space="0" w:color="auto"/>
            </w:tcBorders>
            <w:shd w:val="clear" w:color="auto" w:fill="auto"/>
            <w:noWrap/>
            <w:vAlign w:val="center"/>
            <w:hideMark/>
          </w:tcPr>
          <w:p w14:paraId="4719AC50" w14:textId="5F86229D" w:rsidR="00DE7929" w:rsidRPr="00630A55" w:rsidRDefault="00241218" w:rsidP="007515AF">
            <w:pPr>
              <w:pStyle w:val="TableTextNumber"/>
              <w:jc w:val="right"/>
            </w:pPr>
            <w:r>
              <w:t>(</w:t>
            </w:r>
            <w:r w:rsidR="00264C0E">
              <w:t>34,939</w:t>
            </w:r>
            <w:r>
              <w:t>)</w:t>
            </w:r>
          </w:p>
        </w:tc>
      </w:tr>
      <w:tr w:rsidR="00DE7929" w:rsidRPr="00630A55" w14:paraId="109CFDE7" w14:textId="77777777" w:rsidTr="00BE5F88">
        <w:tc>
          <w:tcPr>
            <w:tcW w:w="267" w:type="dxa"/>
            <w:tcBorders>
              <w:top w:val="nil"/>
              <w:left w:val="single" w:sz="4" w:space="0" w:color="auto"/>
              <w:bottom w:val="single" w:sz="8" w:space="0" w:color="F2F2F2"/>
              <w:right w:val="single" w:sz="8" w:space="0" w:color="F2F2F2"/>
            </w:tcBorders>
            <w:shd w:val="clear" w:color="000000" w:fill="FFFFFF"/>
            <w:noWrap/>
            <w:vAlign w:val="center"/>
            <w:hideMark/>
          </w:tcPr>
          <w:p w14:paraId="3BD893B7" w14:textId="77777777" w:rsidR="00DE7929" w:rsidRPr="00630A55" w:rsidRDefault="00DE7929" w:rsidP="00DE7929">
            <w:pPr>
              <w:pStyle w:val="Tabletext"/>
              <w:rPr>
                <w:lang w:eastAsia="en-AU"/>
              </w:rPr>
            </w:pPr>
            <w:r w:rsidRPr="00630A55">
              <w:rPr>
                <w:lang w:eastAsia="en-AU"/>
              </w:rPr>
              <w:t> </w:t>
            </w:r>
          </w:p>
        </w:tc>
        <w:tc>
          <w:tcPr>
            <w:tcW w:w="5924" w:type="dxa"/>
            <w:tcBorders>
              <w:top w:val="nil"/>
              <w:left w:val="nil"/>
              <w:bottom w:val="single" w:sz="8" w:space="0" w:color="F2F2F2"/>
              <w:right w:val="single" w:sz="4" w:space="0" w:color="auto"/>
            </w:tcBorders>
            <w:shd w:val="clear" w:color="000000" w:fill="FFFFFF"/>
            <w:noWrap/>
            <w:vAlign w:val="center"/>
            <w:hideMark/>
          </w:tcPr>
          <w:p w14:paraId="7EA7A154" w14:textId="77777777" w:rsidR="00DE7929" w:rsidRPr="00630A55" w:rsidRDefault="00DE7929" w:rsidP="00DE7929">
            <w:pPr>
              <w:pStyle w:val="Tabletext"/>
              <w:rPr>
                <w:lang w:eastAsia="en-AU"/>
              </w:rPr>
            </w:pPr>
            <w:r w:rsidRPr="00630A55">
              <w:rPr>
                <w:lang w:eastAsia="en-AU"/>
              </w:rPr>
              <w:t>Cost totals</w:t>
            </w:r>
          </w:p>
        </w:tc>
        <w:tc>
          <w:tcPr>
            <w:tcW w:w="2859" w:type="dxa"/>
            <w:tcBorders>
              <w:top w:val="nil"/>
              <w:left w:val="single" w:sz="4" w:space="0" w:color="auto"/>
              <w:bottom w:val="single" w:sz="8" w:space="0" w:color="F2F2F2"/>
              <w:right w:val="single" w:sz="4" w:space="0" w:color="auto"/>
            </w:tcBorders>
            <w:shd w:val="clear" w:color="auto" w:fill="auto"/>
            <w:noWrap/>
            <w:vAlign w:val="center"/>
            <w:hideMark/>
          </w:tcPr>
          <w:p w14:paraId="7FE50926" w14:textId="37EAC8A9" w:rsidR="00DE7929" w:rsidRPr="00630A55" w:rsidRDefault="00241218" w:rsidP="007515AF">
            <w:pPr>
              <w:pStyle w:val="TableTextNumber"/>
              <w:jc w:val="right"/>
            </w:pPr>
            <w:r>
              <w:t>(</w:t>
            </w:r>
            <w:r w:rsidR="00F77B3B" w:rsidRPr="00630A55">
              <w:t>$</w:t>
            </w:r>
            <w:r w:rsidR="00264C0E">
              <w:t>77,206,179</w:t>
            </w:r>
            <w:r>
              <w:t>)</w:t>
            </w:r>
          </w:p>
        </w:tc>
      </w:tr>
      <w:tr w:rsidR="00DE7929" w:rsidRPr="00630A55" w14:paraId="1690DB56" w14:textId="77777777" w:rsidTr="00BE5F88">
        <w:tc>
          <w:tcPr>
            <w:tcW w:w="6191" w:type="dxa"/>
            <w:gridSpan w:val="2"/>
            <w:tcBorders>
              <w:top w:val="single" w:sz="8" w:space="0" w:color="F2F2F2"/>
              <w:left w:val="single" w:sz="4" w:space="0" w:color="auto"/>
              <w:bottom w:val="single" w:sz="8" w:space="0" w:color="F2F2F2"/>
              <w:right w:val="single" w:sz="4" w:space="0" w:color="auto"/>
            </w:tcBorders>
            <w:shd w:val="clear" w:color="000000" w:fill="FFFFFF"/>
            <w:vAlign w:val="center"/>
            <w:hideMark/>
          </w:tcPr>
          <w:p w14:paraId="71C54D93" w14:textId="4C636E76" w:rsidR="00DE7929" w:rsidRPr="00630A55" w:rsidRDefault="00DE7929" w:rsidP="00DE7929">
            <w:pPr>
              <w:pStyle w:val="Tabletext"/>
              <w:rPr>
                <w:lang w:eastAsia="en-AU"/>
              </w:rPr>
            </w:pPr>
            <w:r w:rsidRPr="00630A55">
              <w:rPr>
                <w:lang w:eastAsia="en-AU"/>
              </w:rPr>
              <w:t xml:space="preserve">Final </w:t>
            </w:r>
            <w:r w:rsidR="00A64FB4">
              <w:rPr>
                <w:lang w:eastAsia="en-AU"/>
              </w:rPr>
              <w:t>j</w:t>
            </w:r>
            <w:r w:rsidRPr="00630A55">
              <w:rPr>
                <w:lang w:eastAsia="en-AU"/>
              </w:rPr>
              <w:t xml:space="preserve">urisdictional </w:t>
            </w:r>
            <w:r w:rsidR="00A64FB4">
              <w:rPr>
                <w:lang w:eastAsia="en-AU"/>
              </w:rPr>
              <w:t>d</w:t>
            </w:r>
            <w:r w:rsidRPr="00630A55">
              <w:rPr>
                <w:lang w:eastAsia="en-AU"/>
              </w:rPr>
              <w:t xml:space="preserve">ata for </w:t>
            </w:r>
            <w:r w:rsidR="00A64FB4">
              <w:rPr>
                <w:lang w:eastAsia="en-AU"/>
              </w:rPr>
              <w:t>c</w:t>
            </w:r>
            <w:r w:rsidRPr="00630A55">
              <w:rPr>
                <w:lang w:eastAsia="en-AU"/>
              </w:rPr>
              <w:t xml:space="preserve">ost </w:t>
            </w:r>
            <w:r w:rsidR="00A64FB4">
              <w:rPr>
                <w:lang w:eastAsia="en-AU"/>
              </w:rPr>
              <w:t>w</w:t>
            </w:r>
            <w:r w:rsidRPr="00630A55">
              <w:rPr>
                <w:lang w:eastAsia="en-AU"/>
              </w:rPr>
              <w:t xml:space="preserve">eight </w:t>
            </w:r>
            <w:r w:rsidR="00A64FB4">
              <w:rPr>
                <w:lang w:eastAsia="en-AU"/>
              </w:rPr>
              <w:t>p</w:t>
            </w:r>
            <w:r w:rsidRPr="00630A55">
              <w:rPr>
                <w:lang w:eastAsia="en-AU"/>
              </w:rPr>
              <w:t>roduction</w:t>
            </w:r>
          </w:p>
        </w:tc>
        <w:tc>
          <w:tcPr>
            <w:tcW w:w="2859" w:type="dxa"/>
            <w:tcBorders>
              <w:top w:val="nil"/>
              <w:left w:val="single" w:sz="4" w:space="0" w:color="auto"/>
              <w:bottom w:val="single" w:sz="8" w:space="0" w:color="F2F2F2"/>
              <w:right w:val="single" w:sz="4" w:space="0" w:color="auto"/>
            </w:tcBorders>
            <w:shd w:val="clear" w:color="auto" w:fill="auto"/>
            <w:vAlign w:val="center"/>
            <w:hideMark/>
          </w:tcPr>
          <w:p w14:paraId="393DE542" w14:textId="77777777" w:rsidR="00DE7929" w:rsidRPr="00630A55" w:rsidRDefault="00DE7929" w:rsidP="007515AF">
            <w:pPr>
              <w:pStyle w:val="TableTextNumber"/>
              <w:jc w:val="right"/>
            </w:pPr>
            <w:r w:rsidRPr="00630A55">
              <w:t> </w:t>
            </w:r>
          </w:p>
        </w:tc>
      </w:tr>
      <w:tr w:rsidR="00DE7929" w:rsidRPr="00630A55" w14:paraId="7C02A262" w14:textId="77777777" w:rsidTr="00BE5F88">
        <w:tc>
          <w:tcPr>
            <w:tcW w:w="267" w:type="dxa"/>
            <w:tcBorders>
              <w:top w:val="nil"/>
              <w:left w:val="single" w:sz="4" w:space="0" w:color="auto"/>
              <w:bottom w:val="single" w:sz="8" w:space="0" w:color="F2F2F2"/>
              <w:right w:val="single" w:sz="8" w:space="0" w:color="F2F2F2"/>
            </w:tcBorders>
            <w:shd w:val="clear" w:color="000000" w:fill="FFFFFF"/>
            <w:noWrap/>
            <w:vAlign w:val="center"/>
            <w:hideMark/>
          </w:tcPr>
          <w:p w14:paraId="4E3B3B39" w14:textId="77777777" w:rsidR="00DE7929" w:rsidRPr="00630A55" w:rsidRDefault="00DE7929" w:rsidP="00DE7929">
            <w:pPr>
              <w:pStyle w:val="Tabletext"/>
              <w:rPr>
                <w:lang w:eastAsia="en-AU"/>
              </w:rPr>
            </w:pPr>
            <w:r w:rsidRPr="00630A55">
              <w:rPr>
                <w:lang w:eastAsia="en-AU"/>
              </w:rPr>
              <w:t> </w:t>
            </w:r>
          </w:p>
        </w:tc>
        <w:tc>
          <w:tcPr>
            <w:tcW w:w="5924" w:type="dxa"/>
            <w:tcBorders>
              <w:top w:val="nil"/>
              <w:left w:val="nil"/>
              <w:bottom w:val="single" w:sz="8" w:space="0" w:color="F2F2F2"/>
              <w:right w:val="single" w:sz="4" w:space="0" w:color="auto"/>
            </w:tcBorders>
            <w:shd w:val="clear" w:color="000000" w:fill="FFFFFF"/>
            <w:vAlign w:val="center"/>
            <w:hideMark/>
          </w:tcPr>
          <w:p w14:paraId="515BD066" w14:textId="70B12331" w:rsidR="00DE7929" w:rsidRPr="00630A55" w:rsidRDefault="00DE7929" w:rsidP="00DE7929">
            <w:pPr>
              <w:pStyle w:val="Tabletext"/>
              <w:rPr>
                <w:lang w:eastAsia="en-AU"/>
              </w:rPr>
            </w:pPr>
            <w:r w:rsidRPr="00630A55">
              <w:rPr>
                <w:lang w:eastAsia="en-AU"/>
              </w:rPr>
              <w:t xml:space="preserve">Finalised </w:t>
            </w:r>
            <w:r w:rsidR="00A64FB4">
              <w:rPr>
                <w:lang w:eastAsia="en-AU"/>
              </w:rPr>
              <w:t>a</w:t>
            </w:r>
            <w:r w:rsidRPr="00630A55">
              <w:rPr>
                <w:lang w:eastAsia="en-AU"/>
              </w:rPr>
              <w:t>ctivity</w:t>
            </w:r>
          </w:p>
        </w:tc>
        <w:tc>
          <w:tcPr>
            <w:tcW w:w="2859" w:type="dxa"/>
            <w:tcBorders>
              <w:top w:val="nil"/>
              <w:left w:val="single" w:sz="4" w:space="0" w:color="auto"/>
              <w:bottom w:val="single" w:sz="8" w:space="0" w:color="F2F2F2"/>
              <w:right w:val="single" w:sz="4" w:space="0" w:color="auto"/>
            </w:tcBorders>
            <w:shd w:val="clear" w:color="auto" w:fill="auto"/>
            <w:noWrap/>
            <w:vAlign w:val="center"/>
            <w:hideMark/>
          </w:tcPr>
          <w:p w14:paraId="4A56B8F6" w14:textId="77777777" w:rsidR="00DE7929" w:rsidRPr="00630A55" w:rsidRDefault="00DE7929" w:rsidP="007515AF">
            <w:pPr>
              <w:pStyle w:val="TableTextNumber"/>
              <w:jc w:val="right"/>
            </w:pPr>
            <w:r w:rsidRPr="00630A55">
              <w:t>1,409,125</w:t>
            </w:r>
          </w:p>
        </w:tc>
      </w:tr>
      <w:tr w:rsidR="00DE7929" w:rsidRPr="00630A55" w14:paraId="5C8DBE36" w14:textId="77777777" w:rsidTr="00BE5F88">
        <w:tc>
          <w:tcPr>
            <w:tcW w:w="267" w:type="dxa"/>
            <w:tcBorders>
              <w:top w:val="nil"/>
              <w:left w:val="single" w:sz="4" w:space="0" w:color="auto"/>
              <w:bottom w:val="single" w:sz="4" w:space="0" w:color="auto"/>
              <w:right w:val="single" w:sz="8" w:space="0" w:color="F2F2F2"/>
            </w:tcBorders>
            <w:shd w:val="clear" w:color="000000" w:fill="FFFFFF"/>
            <w:noWrap/>
            <w:vAlign w:val="center"/>
            <w:hideMark/>
          </w:tcPr>
          <w:p w14:paraId="0C1C94D2" w14:textId="77777777" w:rsidR="00DE7929" w:rsidRPr="00630A55" w:rsidRDefault="00DE7929" w:rsidP="00DE7929">
            <w:pPr>
              <w:pStyle w:val="Tabletext"/>
              <w:rPr>
                <w:lang w:eastAsia="en-AU"/>
              </w:rPr>
            </w:pPr>
            <w:r w:rsidRPr="00630A55">
              <w:rPr>
                <w:lang w:eastAsia="en-AU"/>
              </w:rPr>
              <w:t> </w:t>
            </w:r>
          </w:p>
        </w:tc>
        <w:tc>
          <w:tcPr>
            <w:tcW w:w="5924" w:type="dxa"/>
            <w:tcBorders>
              <w:top w:val="nil"/>
              <w:left w:val="nil"/>
              <w:bottom w:val="single" w:sz="4" w:space="0" w:color="auto"/>
              <w:right w:val="single" w:sz="4" w:space="0" w:color="auto"/>
            </w:tcBorders>
            <w:shd w:val="clear" w:color="000000" w:fill="FFFFFF"/>
            <w:vAlign w:val="center"/>
            <w:hideMark/>
          </w:tcPr>
          <w:p w14:paraId="3F8602A6" w14:textId="54109AD5" w:rsidR="00DE7929" w:rsidRPr="00630A55" w:rsidRDefault="00DE7929" w:rsidP="00DE7929">
            <w:pPr>
              <w:pStyle w:val="Tabletext"/>
              <w:rPr>
                <w:lang w:eastAsia="en-AU"/>
              </w:rPr>
            </w:pPr>
            <w:r w:rsidRPr="00630A55">
              <w:rPr>
                <w:lang w:eastAsia="en-AU"/>
              </w:rPr>
              <w:t xml:space="preserve">Finalised </w:t>
            </w:r>
            <w:r w:rsidR="00A64FB4">
              <w:rPr>
                <w:lang w:eastAsia="en-AU"/>
              </w:rPr>
              <w:t>c</w:t>
            </w:r>
            <w:r w:rsidRPr="00630A55">
              <w:rPr>
                <w:lang w:eastAsia="en-AU"/>
              </w:rPr>
              <w:t>ost</w:t>
            </w:r>
          </w:p>
        </w:tc>
        <w:tc>
          <w:tcPr>
            <w:tcW w:w="2859" w:type="dxa"/>
            <w:tcBorders>
              <w:top w:val="nil"/>
              <w:left w:val="single" w:sz="4" w:space="0" w:color="auto"/>
              <w:bottom w:val="single" w:sz="4" w:space="0" w:color="auto"/>
              <w:right w:val="single" w:sz="4" w:space="0" w:color="auto"/>
            </w:tcBorders>
            <w:shd w:val="clear" w:color="auto" w:fill="auto"/>
            <w:noWrap/>
            <w:vAlign w:val="center"/>
            <w:hideMark/>
          </w:tcPr>
          <w:p w14:paraId="1320634A" w14:textId="77777777" w:rsidR="00DE7929" w:rsidRPr="00630A55" w:rsidRDefault="00DE7929" w:rsidP="007515AF">
            <w:pPr>
              <w:pStyle w:val="TableTextNumber"/>
              <w:jc w:val="right"/>
            </w:pPr>
            <w:r w:rsidRPr="00630A55">
              <w:t>$1,012,357,619</w:t>
            </w:r>
          </w:p>
        </w:tc>
      </w:tr>
    </w:tbl>
    <w:p w14:paraId="27A940AF" w14:textId="77777777" w:rsidR="00564BAE" w:rsidRPr="00630A55" w:rsidRDefault="00564BAE" w:rsidP="00564BAE">
      <w:pPr>
        <w:pStyle w:val="Source"/>
      </w:pPr>
      <w:r w:rsidRPr="00630A55">
        <w:t xml:space="preserve">Source: Jurisdictional consultations and </w:t>
      </w:r>
      <w:r>
        <w:t>templates</w:t>
      </w:r>
    </w:p>
    <w:p w14:paraId="44C6FD87" w14:textId="77777777" w:rsidR="00F77B3B" w:rsidRPr="00630A55" w:rsidRDefault="00F77B3B" w:rsidP="00F77B3B"/>
    <w:p w14:paraId="20F8EAB4" w14:textId="2A93C1BB" w:rsidR="00F77B3B" w:rsidRPr="00630A55" w:rsidRDefault="00F77B3B" w:rsidP="00F77B3B">
      <w:pPr>
        <w:pStyle w:val="Heading3"/>
      </w:pPr>
      <w:r w:rsidRPr="00630A55">
        <w:lastRenderedPageBreak/>
        <w:t xml:space="preserve">Sample </w:t>
      </w:r>
      <w:r w:rsidR="002E66B7">
        <w:t>p</w:t>
      </w:r>
      <w:r w:rsidRPr="00630A55">
        <w:t xml:space="preserve">atient </w:t>
      </w:r>
      <w:r w:rsidR="002E66B7">
        <w:t>d</w:t>
      </w:r>
      <w:r w:rsidRPr="00630A55">
        <w:t xml:space="preserve">ata </w:t>
      </w:r>
    </w:p>
    <w:p w14:paraId="3447C77B" w14:textId="77777777" w:rsidR="001A3F23" w:rsidRDefault="00BE235C" w:rsidP="008225C3">
      <w:pPr>
        <w:pStyle w:val="Caption"/>
        <w:jc w:val="both"/>
        <w:rPr>
          <w:iCs w:val="0"/>
          <w:sz w:val="22"/>
          <w:szCs w:val="22"/>
        </w:rPr>
      </w:pPr>
      <w:r>
        <w:rPr>
          <w:iCs w:val="0"/>
          <w:sz w:val="22"/>
          <w:szCs w:val="22"/>
        </w:rPr>
        <w:t>IHACPA</w:t>
      </w:r>
      <w:r w:rsidR="00CB2C86" w:rsidRPr="00385590">
        <w:rPr>
          <w:iCs w:val="0"/>
          <w:sz w:val="22"/>
          <w:szCs w:val="22"/>
        </w:rPr>
        <w:t xml:space="preserve"> selected a sample of five patients from CH for the purposes of testing the data submitted from jurisdictions to IHACPA at the patient level. </w:t>
      </w:r>
    </w:p>
    <w:p w14:paraId="07E300FA" w14:textId="4A97C5F7" w:rsidR="00CB2C86" w:rsidRPr="00A3735B" w:rsidRDefault="00CB2C86" w:rsidP="008225C3">
      <w:pPr>
        <w:pStyle w:val="Caption"/>
        <w:jc w:val="both"/>
        <w:rPr>
          <w:sz w:val="22"/>
          <w:szCs w:val="22"/>
        </w:rPr>
      </w:pPr>
      <w:r w:rsidRPr="00385590">
        <w:rPr>
          <w:iCs w:val="0"/>
          <w:sz w:val="22"/>
          <w:szCs w:val="22"/>
        </w:rPr>
        <w:t xml:space="preserve">The jurisdiction provided the patient level costs for all five patients and these reconciled with </w:t>
      </w:r>
      <w:r w:rsidR="00BE235C">
        <w:rPr>
          <w:iCs w:val="0"/>
          <w:sz w:val="22"/>
          <w:szCs w:val="22"/>
        </w:rPr>
        <w:t>IHACPA</w:t>
      </w:r>
      <w:r w:rsidRPr="00385590">
        <w:rPr>
          <w:iCs w:val="0"/>
          <w:sz w:val="22"/>
          <w:szCs w:val="22"/>
        </w:rPr>
        <w:t xml:space="preserve"> records. Further information relating to the sample records is </w:t>
      </w:r>
      <w:r w:rsidRPr="00A3735B">
        <w:rPr>
          <w:iCs w:val="0"/>
          <w:sz w:val="22"/>
          <w:szCs w:val="22"/>
        </w:rPr>
        <w:t xml:space="preserve">available </w:t>
      </w:r>
      <w:r w:rsidR="00385590" w:rsidRPr="00A3735B">
        <w:rPr>
          <w:iCs w:val="0"/>
          <w:sz w:val="22"/>
          <w:szCs w:val="22"/>
        </w:rPr>
        <w:t>in</w:t>
      </w:r>
      <w:r w:rsidR="00385590" w:rsidRPr="00A3735B">
        <w:rPr>
          <w:sz w:val="22"/>
          <w:szCs w:val="22"/>
        </w:rPr>
        <w:t xml:space="preserve"> </w:t>
      </w:r>
      <w:r w:rsidR="00A3735B" w:rsidRPr="00A3735B">
        <w:rPr>
          <w:sz w:val="22"/>
          <w:szCs w:val="22"/>
        </w:rPr>
        <w:fldChar w:fldCharType="begin"/>
      </w:r>
      <w:r w:rsidR="00A3735B" w:rsidRPr="00A3735B">
        <w:rPr>
          <w:sz w:val="22"/>
          <w:szCs w:val="22"/>
        </w:rPr>
        <w:instrText xml:space="preserve"> REF _Ref114753791 \h </w:instrText>
      </w:r>
      <w:r w:rsidR="00A3735B">
        <w:rPr>
          <w:sz w:val="22"/>
          <w:szCs w:val="22"/>
        </w:rPr>
        <w:instrText xml:space="preserve"> \* MERGEFORMAT </w:instrText>
      </w:r>
      <w:r w:rsidR="00A3735B" w:rsidRPr="00A3735B">
        <w:rPr>
          <w:sz w:val="22"/>
          <w:szCs w:val="22"/>
        </w:rPr>
      </w:r>
      <w:r w:rsidR="00A3735B" w:rsidRPr="00A3735B">
        <w:rPr>
          <w:sz w:val="22"/>
          <w:szCs w:val="22"/>
        </w:rPr>
        <w:fldChar w:fldCharType="separate"/>
      </w:r>
      <w:r w:rsidR="007E2ACB" w:rsidRPr="007E2ACB">
        <w:rPr>
          <w:sz w:val="22"/>
          <w:szCs w:val="22"/>
        </w:rPr>
        <w:t xml:space="preserve">Table </w:t>
      </w:r>
      <w:r w:rsidR="007E2ACB" w:rsidRPr="007E2ACB">
        <w:rPr>
          <w:noProof/>
          <w:sz w:val="22"/>
          <w:szCs w:val="22"/>
        </w:rPr>
        <w:t>8</w:t>
      </w:r>
      <w:r w:rsidR="00A3735B" w:rsidRPr="00A3735B">
        <w:rPr>
          <w:sz w:val="22"/>
          <w:szCs w:val="22"/>
        </w:rPr>
        <w:fldChar w:fldCharType="end"/>
      </w:r>
      <w:r w:rsidR="00A63E58" w:rsidRPr="00A3735B">
        <w:rPr>
          <w:sz w:val="22"/>
          <w:szCs w:val="22"/>
        </w:rPr>
        <w:t>.</w:t>
      </w:r>
    </w:p>
    <w:p w14:paraId="0E62158D" w14:textId="07773361" w:rsidR="00385590" w:rsidRDefault="00385590" w:rsidP="00385590">
      <w:pPr>
        <w:pStyle w:val="Caption"/>
      </w:pPr>
      <w:bookmarkStart w:id="39" w:name="_Ref114753791"/>
      <w:r w:rsidRPr="00017473">
        <w:rPr>
          <w:b/>
          <w:bCs/>
        </w:rPr>
        <w:t xml:space="preserve">Table </w:t>
      </w:r>
      <w:r w:rsidR="00D91CB1" w:rsidRPr="00017473">
        <w:rPr>
          <w:b/>
          <w:bCs/>
        </w:rPr>
        <w:fldChar w:fldCharType="begin"/>
      </w:r>
      <w:r w:rsidR="00D91CB1" w:rsidRPr="00017473">
        <w:rPr>
          <w:b/>
          <w:bCs/>
        </w:rPr>
        <w:instrText xml:space="preserve"> SEQ Table \* ARABIC </w:instrText>
      </w:r>
      <w:r w:rsidR="00D91CB1" w:rsidRPr="00017473">
        <w:rPr>
          <w:b/>
          <w:bCs/>
        </w:rPr>
        <w:fldChar w:fldCharType="separate"/>
      </w:r>
      <w:r w:rsidR="007E2ACB">
        <w:rPr>
          <w:b/>
          <w:bCs/>
          <w:noProof/>
        </w:rPr>
        <w:t>8</w:t>
      </w:r>
      <w:r w:rsidR="00D91CB1" w:rsidRPr="00017473">
        <w:rPr>
          <w:b/>
          <w:bCs/>
          <w:noProof/>
        </w:rPr>
        <w:fldChar w:fldCharType="end"/>
      </w:r>
      <w:bookmarkEnd w:id="39"/>
      <w:r w:rsidR="00017473" w:rsidRPr="00017473">
        <w:rPr>
          <w:b/>
          <w:bCs/>
        </w:rPr>
        <w:t>:</w:t>
      </w:r>
      <w:r w:rsidR="00017473">
        <w:t xml:space="preserve"> </w:t>
      </w:r>
      <w:r w:rsidR="002A2D17">
        <w:t xml:space="preserve">ACT </w:t>
      </w:r>
      <w:r w:rsidR="00A63E58">
        <w:t>five patient sample reconciliation outcome</w:t>
      </w:r>
    </w:p>
    <w:tbl>
      <w:tblPr>
        <w:tblStyle w:val="TableGrid"/>
        <w:tblW w:w="8600" w:type="dxa"/>
        <w:tblLook w:val="04A0" w:firstRow="1" w:lastRow="0" w:firstColumn="1" w:lastColumn="0" w:noHBand="0" w:noVBand="1"/>
      </w:tblPr>
      <w:tblGrid>
        <w:gridCol w:w="1351"/>
        <w:gridCol w:w="1130"/>
        <w:gridCol w:w="1466"/>
        <w:gridCol w:w="1601"/>
        <w:gridCol w:w="1653"/>
        <w:gridCol w:w="1399"/>
      </w:tblGrid>
      <w:tr w:rsidR="00377540" w:rsidRPr="00630A55" w14:paraId="7CA37568" w14:textId="77777777" w:rsidTr="00617674">
        <w:trPr>
          <w:tblHeader/>
        </w:trPr>
        <w:tc>
          <w:tcPr>
            <w:tcW w:w="1129" w:type="dxa"/>
            <w:shd w:val="clear" w:color="auto" w:fill="00338D"/>
          </w:tcPr>
          <w:p w14:paraId="053E5D94" w14:textId="77777777" w:rsidR="00377540" w:rsidRPr="00630A55" w:rsidRDefault="00377540" w:rsidP="00374C3F">
            <w:pPr>
              <w:pStyle w:val="Tableheading"/>
            </w:pPr>
            <w:r w:rsidRPr="00630A55">
              <w:t xml:space="preserve">Jurisdiction </w:t>
            </w:r>
          </w:p>
        </w:tc>
        <w:tc>
          <w:tcPr>
            <w:tcW w:w="1147" w:type="dxa"/>
            <w:shd w:val="clear" w:color="auto" w:fill="00338D"/>
          </w:tcPr>
          <w:p w14:paraId="4498ACA4" w14:textId="77777777" w:rsidR="00377540" w:rsidRPr="00630A55" w:rsidRDefault="00377540" w:rsidP="00374C3F">
            <w:pPr>
              <w:pStyle w:val="Tableheading"/>
            </w:pPr>
            <w:r w:rsidRPr="00630A55">
              <w:t>Site</w:t>
            </w:r>
          </w:p>
        </w:tc>
        <w:tc>
          <w:tcPr>
            <w:tcW w:w="1561" w:type="dxa"/>
            <w:shd w:val="clear" w:color="auto" w:fill="00338D"/>
          </w:tcPr>
          <w:p w14:paraId="3023DA0F" w14:textId="77777777" w:rsidR="00377540" w:rsidRPr="00630A55" w:rsidRDefault="00377540" w:rsidP="00374C3F">
            <w:pPr>
              <w:pStyle w:val="Tableheading"/>
            </w:pPr>
            <w:r w:rsidRPr="00630A55">
              <w:t>Stream</w:t>
            </w:r>
          </w:p>
        </w:tc>
        <w:tc>
          <w:tcPr>
            <w:tcW w:w="1623" w:type="dxa"/>
            <w:shd w:val="clear" w:color="auto" w:fill="00338D"/>
          </w:tcPr>
          <w:p w14:paraId="6A713A0D" w14:textId="1B64A641" w:rsidR="00377540" w:rsidRPr="00630A55" w:rsidRDefault="00377540" w:rsidP="00374C3F">
            <w:pPr>
              <w:pStyle w:val="Tableheading"/>
            </w:pPr>
            <w:r w:rsidRPr="00630A55">
              <w:t xml:space="preserve">Jurisdiction </w:t>
            </w:r>
            <w:r w:rsidR="00E57195">
              <w:t>r</w:t>
            </w:r>
            <w:r w:rsidRPr="00630A55">
              <w:t>ecords</w:t>
            </w:r>
          </w:p>
        </w:tc>
        <w:tc>
          <w:tcPr>
            <w:tcW w:w="1685" w:type="dxa"/>
            <w:shd w:val="clear" w:color="auto" w:fill="00338D"/>
          </w:tcPr>
          <w:p w14:paraId="14CD054D" w14:textId="77777777" w:rsidR="00377540" w:rsidRPr="00630A55" w:rsidRDefault="00377540" w:rsidP="00374C3F">
            <w:pPr>
              <w:pStyle w:val="Tableheading"/>
            </w:pPr>
            <w:r w:rsidRPr="00630A55">
              <w:t xml:space="preserve">Received by IHACPA </w:t>
            </w:r>
          </w:p>
        </w:tc>
        <w:tc>
          <w:tcPr>
            <w:tcW w:w="1455" w:type="dxa"/>
            <w:shd w:val="clear" w:color="auto" w:fill="00338D"/>
          </w:tcPr>
          <w:p w14:paraId="18512920" w14:textId="77777777" w:rsidR="00377540" w:rsidRPr="00630A55" w:rsidRDefault="00377540" w:rsidP="00374C3F">
            <w:pPr>
              <w:pStyle w:val="Tableheading"/>
            </w:pPr>
            <w:r w:rsidRPr="00630A55">
              <w:t>Variance</w:t>
            </w:r>
          </w:p>
        </w:tc>
      </w:tr>
      <w:tr w:rsidR="00377540" w:rsidRPr="00201E3A" w14:paraId="39C6B5AF" w14:textId="77777777" w:rsidTr="00617674">
        <w:tc>
          <w:tcPr>
            <w:tcW w:w="1129" w:type="dxa"/>
            <w:vMerge w:val="restart"/>
          </w:tcPr>
          <w:p w14:paraId="25DC0D3F" w14:textId="34E7F02C" w:rsidR="00377540" w:rsidRPr="00630A55" w:rsidRDefault="00377540" w:rsidP="00374C3F">
            <w:pPr>
              <w:pStyle w:val="Tabletext"/>
            </w:pPr>
            <w:r>
              <w:t>Australian Capital Territory</w:t>
            </w:r>
          </w:p>
        </w:tc>
        <w:tc>
          <w:tcPr>
            <w:tcW w:w="1147" w:type="dxa"/>
            <w:vMerge w:val="restart"/>
          </w:tcPr>
          <w:p w14:paraId="05F4E41C" w14:textId="71F809AC" w:rsidR="00377540" w:rsidRPr="00630A55" w:rsidRDefault="00377540" w:rsidP="00374C3F">
            <w:pPr>
              <w:pStyle w:val="Tabletext"/>
            </w:pPr>
            <w:r>
              <w:t>Canberra Hospital</w:t>
            </w:r>
          </w:p>
        </w:tc>
        <w:tc>
          <w:tcPr>
            <w:tcW w:w="1561" w:type="dxa"/>
          </w:tcPr>
          <w:p w14:paraId="1EDFBED2" w14:textId="77777777" w:rsidR="00377540" w:rsidRPr="00630A55" w:rsidRDefault="00377540" w:rsidP="00374C3F">
            <w:pPr>
              <w:pStyle w:val="Tabletext"/>
            </w:pPr>
            <w:r w:rsidRPr="00630A55">
              <w:t>Acute</w:t>
            </w:r>
          </w:p>
        </w:tc>
        <w:tc>
          <w:tcPr>
            <w:tcW w:w="1623" w:type="dxa"/>
          </w:tcPr>
          <w:p w14:paraId="08A83E0F" w14:textId="429586B0" w:rsidR="00377540" w:rsidRPr="00630A55" w:rsidRDefault="00CD6FAB" w:rsidP="00017473">
            <w:pPr>
              <w:pStyle w:val="TableNumberdectab"/>
              <w:jc w:val="center"/>
            </w:pPr>
            <w:r>
              <w:t>$28,149.46</w:t>
            </w:r>
          </w:p>
        </w:tc>
        <w:tc>
          <w:tcPr>
            <w:tcW w:w="1685" w:type="dxa"/>
          </w:tcPr>
          <w:p w14:paraId="396168AB" w14:textId="5B1942FF" w:rsidR="00377540" w:rsidRPr="00201E3A" w:rsidRDefault="00D57E58" w:rsidP="00017473">
            <w:pPr>
              <w:pStyle w:val="TableNumberdectab"/>
              <w:jc w:val="center"/>
            </w:pPr>
            <w:r>
              <w:t>$28,149.46</w:t>
            </w:r>
          </w:p>
        </w:tc>
        <w:tc>
          <w:tcPr>
            <w:tcW w:w="1455" w:type="dxa"/>
          </w:tcPr>
          <w:p w14:paraId="68F929D5" w14:textId="77777777" w:rsidR="00377540" w:rsidRPr="00201E3A" w:rsidRDefault="00377540" w:rsidP="00017473">
            <w:pPr>
              <w:pStyle w:val="TableNumberdectab"/>
              <w:tabs>
                <w:tab w:val="clear" w:pos="933"/>
                <w:tab w:val="decimal" w:pos="633"/>
              </w:tabs>
              <w:jc w:val="center"/>
            </w:pPr>
            <w:r w:rsidRPr="00201E3A">
              <w:t>$0.00</w:t>
            </w:r>
          </w:p>
        </w:tc>
      </w:tr>
      <w:tr w:rsidR="00377540" w:rsidRPr="00201E3A" w14:paraId="5621C562" w14:textId="77777777" w:rsidTr="00617674">
        <w:tc>
          <w:tcPr>
            <w:tcW w:w="1129" w:type="dxa"/>
            <w:vMerge/>
          </w:tcPr>
          <w:p w14:paraId="1734C43B" w14:textId="77777777" w:rsidR="00377540" w:rsidRPr="00630A55" w:rsidRDefault="00377540" w:rsidP="00374C3F">
            <w:pPr>
              <w:pStyle w:val="Tabletext"/>
            </w:pPr>
          </w:p>
        </w:tc>
        <w:tc>
          <w:tcPr>
            <w:tcW w:w="1147" w:type="dxa"/>
            <w:vMerge/>
          </w:tcPr>
          <w:p w14:paraId="5E58D41D" w14:textId="77777777" w:rsidR="00377540" w:rsidRPr="00630A55" w:rsidRDefault="00377540" w:rsidP="00374C3F">
            <w:pPr>
              <w:pStyle w:val="Tabletext"/>
            </w:pPr>
          </w:p>
        </w:tc>
        <w:tc>
          <w:tcPr>
            <w:tcW w:w="1561" w:type="dxa"/>
          </w:tcPr>
          <w:p w14:paraId="10CE3DB8" w14:textId="77777777" w:rsidR="00377540" w:rsidRPr="00630A55" w:rsidRDefault="00377540" w:rsidP="00374C3F">
            <w:pPr>
              <w:pStyle w:val="Tabletext"/>
            </w:pPr>
            <w:r w:rsidRPr="00630A55">
              <w:t>Sub-Acute</w:t>
            </w:r>
          </w:p>
        </w:tc>
        <w:tc>
          <w:tcPr>
            <w:tcW w:w="1623" w:type="dxa"/>
          </w:tcPr>
          <w:p w14:paraId="532285DF" w14:textId="02142910" w:rsidR="00377540" w:rsidRPr="00630A55" w:rsidRDefault="00CD6FAB" w:rsidP="00017473">
            <w:pPr>
              <w:pStyle w:val="TableNumberdectab"/>
              <w:jc w:val="center"/>
            </w:pPr>
            <w:r>
              <w:t>$6,599.31</w:t>
            </w:r>
          </w:p>
        </w:tc>
        <w:tc>
          <w:tcPr>
            <w:tcW w:w="1685" w:type="dxa"/>
          </w:tcPr>
          <w:p w14:paraId="6E76A788" w14:textId="06A82028" w:rsidR="00377540" w:rsidRPr="00201E3A" w:rsidRDefault="00D57E58" w:rsidP="00017473">
            <w:pPr>
              <w:pStyle w:val="TableNumberdectab"/>
              <w:jc w:val="center"/>
            </w:pPr>
            <w:r>
              <w:t>$6,599.31</w:t>
            </w:r>
          </w:p>
        </w:tc>
        <w:tc>
          <w:tcPr>
            <w:tcW w:w="1455" w:type="dxa"/>
          </w:tcPr>
          <w:p w14:paraId="5905FF58" w14:textId="77777777" w:rsidR="00377540" w:rsidRPr="00201E3A" w:rsidRDefault="00377540" w:rsidP="00017473">
            <w:pPr>
              <w:pStyle w:val="TableNumberdectab"/>
              <w:tabs>
                <w:tab w:val="clear" w:pos="933"/>
                <w:tab w:val="decimal" w:pos="633"/>
              </w:tabs>
              <w:jc w:val="center"/>
            </w:pPr>
            <w:r w:rsidRPr="00201E3A">
              <w:t>$0.00</w:t>
            </w:r>
          </w:p>
        </w:tc>
      </w:tr>
      <w:tr w:rsidR="00377540" w:rsidRPr="00201E3A" w14:paraId="099CCA2B" w14:textId="77777777" w:rsidTr="00617674">
        <w:tc>
          <w:tcPr>
            <w:tcW w:w="1129" w:type="dxa"/>
            <w:vMerge/>
          </w:tcPr>
          <w:p w14:paraId="689E2873" w14:textId="77777777" w:rsidR="00377540" w:rsidRPr="00630A55" w:rsidRDefault="00377540" w:rsidP="00374C3F">
            <w:pPr>
              <w:pStyle w:val="Tabletext"/>
            </w:pPr>
          </w:p>
        </w:tc>
        <w:tc>
          <w:tcPr>
            <w:tcW w:w="1147" w:type="dxa"/>
            <w:vMerge/>
          </w:tcPr>
          <w:p w14:paraId="1682BA8B" w14:textId="77777777" w:rsidR="00377540" w:rsidRPr="00630A55" w:rsidRDefault="00377540" w:rsidP="00374C3F">
            <w:pPr>
              <w:pStyle w:val="Tabletext"/>
            </w:pPr>
          </w:p>
        </w:tc>
        <w:tc>
          <w:tcPr>
            <w:tcW w:w="1561" w:type="dxa"/>
          </w:tcPr>
          <w:p w14:paraId="303B1627" w14:textId="77777777" w:rsidR="00377540" w:rsidRPr="00630A55" w:rsidRDefault="00377540" w:rsidP="00374C3F">
            <w:pPr>
              <w:pStyle w:val="Tabletext"/>
            </w:pPr>
            <w:r w:rsidRPr="00630A55">
              <w:t>ED</w:t>
            </w:r>
          </w:p>
        </w:tc>
        <w:tc>
          <w:tcPr>
            <w:tcW w:w="1623" w:type="dxa"/>
          </w:tcPr>
          <w:p w14:paraId="65CD9DB9" w14:textId="714FAA95" w:rsidR="00377540" w:rsidRPr="00630A55" w:rsidRDefault="00CD6FAB" w:rsidP="00017473">
            <w:pPr>
              <w:pStyle w:val="TableNumberdectab"/>
              <w:jc w:val="center"/>
            </w:pPr>
            <w:r>
              <w:t>$1,403.55</w:t>
            </w:r>
          </w:p>
        </w:tc>
        <w:tc>
          <w:tcPr>
            <w:tcW w:w="1685" w:type="dxa"/>
          </w:tcPr>
          <w:p w14:paraId="1C28ADF5" w14:textId="309D4326" w:rsidR="00377540" w:rsidRPr="00201E3A" w:rsidRDefault="00106BFE" w:rsidP="00017473">
            <w:pPr>
              <w:pStyle w:val="TableNumberdectab"/>
              <w:jc w:val="center"/>
            </w:pPr>
            <w:r>
              <w:t>$1,403.55</w:t>
            </w:r>
          </w:p>
        </w:tc>
        <w:tc>
          <w:tcPr>
            <w:tcW w:w="1455" w:type="dxa"/>
          </w:tcPr>
          <w:p w14:paraId="5FA64B1F" w14:textId="77777777" w:rsidR="00377540" w:rsidRPr="00201E3A" w:rsidRDefault="00377540" w:rsidP="00017473">
            <w:pPr>
              <w:pStyle w:val="TableNumberdectab"/>
              <w:tabs>
                <w:tab w:val="clear" w:pos="933"/>
                <w:tab w:val="decimal" w:pos="633"/>
              </w:tabs>
              <w:jc w:val="center"/>
            </w:pPr>
            <w:r w:rsidRPr="00201E3A">
              <w:t>$0.00</w:t>
            </w:r>
          </w:p>
        </w:tc>
      </w:tr>
      <w:tr w:rsidR="00377540" w:rsidRPr="00201E3A" w14:paraId="6E546C07" w14:textId="77777777" w:rsidTr="00617674">
        <w:tc>
          <w:tcPr>
            <w:tcW w:w="1129" w:type="dxa"/>
            <w:vMerge/>
          </w:tcPr>
          <w:p w14:paraId="5F04884B" w14:textId="77777777" w:rsidR="00377540" w:rsidRPr="00630A55" w:rsidRDefault="00377540" w:rsidP="00374C3F">
            <w:pPr>
              <w:pStyle w:val="Tabletext"/>
            </w:pPr>
          </w:p>
        </w:tc>
        <w:tc>
          <w:tcPr>
            <w:tcW w:w="1147" w:type="dxa"/>
            <w:vMerge/>
          </w:tcPr>
          <w:p w14:paraId="4BED99AF" w14:textId="77777777" w:rsidR="00377540" w:rsidRPr="00630A55" w:rsidRDefault="00377540" w:rsidP="00374C3F">
            <w:pPr>
              <w:pStyle w:val="Tabletext"/>
            </w:pPr>
          </w:p>
        </w:tc>
        <w:tc>
          <w:tcPr>
            <w:tcW w:w="1561" w:type="dxa"/>
          </w:tcPr>
          <w:p w14:paraId="752DB2C0" w14:textId="77777777" w:rsidR="00377540" w:rsidRPr="00630A55" w:rsidRDefault="00377540" w:rsidP="00374C3F">
            <w:pPr>
              <w:pStyle w:val="Tabletext"/>
            </w:pPr>
            <w:r w:rsidRPr="00630A55">
              <w:t>Non-Admitted</w:t>
            </w:r>
          </w:p>
        </w:tc>
        <w:tc>
          <w:tcPr>
            <w:tcW w:w="1623" w:type="dxa"/>
          </w:tcPr>
          <w:p w14:paraId="752F6A54" w14:textId="3CA8DC13" w:rsidR="00377540" w:rsidRPr="00630A55" w:rsidRDefault="00CD6FAB" w:rsidP="00017473">
            <w:pPr>
              <w:pStyle w:val="TableNumberdectab"/>
              <w:jc w:val="center"/>
            </w:pPr>
            <w:r>
              <w:t>$329.01</w:t>
            </w:r>
          </w:p>
        </w:tc>
        <w:tc>
          <w:tcPr>
            <w:tcW w:w="1685" w:type="dxa"/>
          </w:tcPr>
          <w:p w14:paraId="370F1F03" w14:textId="6ACC868F" w:rsidR="00377540" w:rsidRPr="00201E3A" w:rsidRDefault="00106BFE" w:rsidP="00017473">
            <w:pPr>
              <w:pStyle w:val="TableNumberdectab"/>
              <w:jc w:val="center"/>
            </w:pPr>
            <w:r>
              <w:t>$329.01</w:t>
            </w:r>
          </w:p>
        </w:tc>
        <w:tc>
          <w:tcPr>
            <w:tcW w:w="1455" w:type="dxa"/>
          </w:tcPr>
          <w:p w14:paraId="5A2591BA" w14:textId="77777777" w:rsidR="00377540" w:rsidRPr="00201E3A" w:rsidRDefault="00377540" w:rsidP="00017473">
            <w:pPr>
              <w:pStyle w:val="TableNumberdectab"/>
              <w:tabs>
                <w:tab w:val="clear" w:pos="933"/>
                <w:tab w:val="decimal" w:pos="633"/>
              </w:tabs>
              <w:jc w:val="center"/>
            </w:pPr>
            <w:r w:rsidRPr="00201E3A">
              <w:t>$0.00</w:t>
            </w:r>
          </w:p>
        </w:tc>
      </w:tr>
      <w:tr w:rsidR="00377540" w:rsidRPr="00201E3A" w14:paraId="3DF4E73C" w14:textId="77777777" w:rsidTr="00617674">
        <w:tc>
          <w:tcPr>
            <w:tcW w:w="1129" w:type="dxa"/>
            <w:vMerge/>
          </w:tcPr>
          <w:p w14:paraId="37C1321E" w14:textId="77777777" w:rsidR="00377540" w:rsidRPr="00630A55" w:rsidRDefault="00377540" w:rsidP="00374C3F">
            <w:pPr>
              <w:pStyle w:val="Tabletext"/>
            </w:pPr>
          </w:p>
        </w:tc>
        <w:tc>
          <w:tcPr>
            <w:tcW w:w="1147" w:type="dxa"/>
            <w:vMerge/>
          </w:tcPr>
          <w:p w14:paraId="09AC8032" w14:textId="77777777" w:rsidR="00377540" w:rsidRPr="00630A55" w:rsidRDefault="00377540" w:rsidP="00374C3F">
            <w:pPr>
              <w:pStyle w:val="Tabletext"/>
            </w:pPr>
          </w:p>
        </w:tc>
        <w:tc>
          <w:tcPr>
            <w:tcW w:w="1561" w:type="dxa"/>
          </w:tcPr>
          <w:p w14:paraId="39BEA2BB" w14:textId="77777777" w:rsidR="00377540" w:rsidRPr="00630A55" w:rsidRDefault="00377540" w:rsidP="00374C3F">
            <w:pPr>
              <w:pStyle w:val="Tabletext"/>
            </w:pPr>
            <w:r w:rsidRPr="00630A55">
              <w:t>Mental Health</w:t>
            </w:r>
          </w:p>
        </w:tc>
        <w:tc>
          <w:tcPr>
            <w:tcW w:w="1623" w:type="dxa"/>
          </w:tcPr>
          <w:p w14:paraId="6175ABFC" w14:textId="1E777BD7" w:rsidR="00377540" w:rsidRPr="00630A55" w:rsidRDefault="00CD6FAB" w:rsidP="00017473">
            <w:pPr>
              <w:pStyle w:val="TableNumberdectab"/>
              <w:jc w:val="center"/>
            </w:pPr>
            <w:r>
              <w:t>$2,740,127.10</w:t>
            </w:r>
          </w:p>
        </w:tc>
        <w:tc>
          <w:tcPr>
            <w:tcW w:w="1685" w:type="dxa"/>
          </w:tcPr>
          <w:p w14:paraId="7A53CA65" w14:textId="6AFAAD15" w:rsidR="00377540" w:rsidRPr="00201E3A" w:rsidRDefault="00106BFE" w:rsidP="00017473">
            <w:pPr>
              <w:pStyle w:val="TableNumberdectab"/>
              <w:jc w:val="center"/>
            </w:pPr>
            <w:r>
              <w:t>$2,740,127.10</w:t>
            </w:r>
          </w:p>
        </w:tc>
        <w:tc>
          <w:tcPr>
            <w:tcW w:w="1455" w:type="dxa"/>
          </w:tcPr>
          <w:p w14:paraId="7B887B73" w14:textId="77777777" w:rsidR="00377540" w:rsidRPr="00201E3A" w:rsidRDefault="00377540" w:rsidP="00017473">
            <w:pPr>
              <w:pStyle w:val="TableNumberdectab"/>
              <w:tabs>
                <w:tab w:val="clear" w:pos="933"/>
                <w:tab w:val="decimal" w:pos="633"/>
              </w:tabs>
              <w:jc w:val="center"/>
            </w:pPr>
            <w:r w:rsidRPr="00201E3A">
              <w:t>$0.00</w:t>
            </w:r>
          </w:p>
        </w:tc>
      </w:tr>
    </w:tbl>
    <w:p w14:paraId="23233512" w14:textId="77777777" w:rsidR="00564BAE" w:rsidRPr="00630A55" w:rsidRDefault="00564BAE" w:rsidP="00564BAE">
      <w:pPr>
        <w:pStyle w:val="Source"/>
      </w:pPr>
      <w:r w:rsidRPr="00630A55">
        <w:t xml:space="preserve">Source: Jurisdictional consultations and </w:t>
      </w:r>
      <w:r>
        <w:t>templates</w:t>
      </w:r>
    </w:p>
    <w:p w14:paraId="1BF7D950" w14:textId="77777777" w:rsidR="00F77B3B" w:rsidRPr="00630A55" w:rsidRDefault="00F77B3B" w:rsidP="00F77B3B">
      <w:pPr>
        <w:pStyle w:val="Heading3"/>
      </w:pPr>
      <w:r w:rsidRPr="00630A55">
        <w:t>Governance arrangements</w:t>
      </w:r>
    </w:p>
    <w:p w14:paraId="0E588D1C" w14:textId="32A7508E" w:rsidR="00F77B3B" w:rsidRPr="00630A55" w:rsidRDefault="00F77B3B" w:rsidP="008225C3">
      <w:pPr>
        <w:jc w:val="both"/>
      </w:pPr>
      <w:r w:rsidRPr="00630A55">
        <w:t xml:space="preserve">Data quality checks are coordinated by </w:t>
      </w:r>
      <w:r w:rsidR="00897A60">
        <w:t>ACT Health</w:t>
      </w:r>
      <w:r w:rsidRPr="00630A55">
        <w:t xml:space="preserve">, while implementing continuous refinements in </w:t>
      </w:r>
      <w:r w:rsidRPr="008F21F4">
        <w:t>consultations</w:t>
      </w:r>
      <w:r w:rsidRPr="00630A55">
        <w:t xml:space="preserve"> with the Health Services. Within the Department, the ACTHD perform data validation on feeder data received from each hospital. There is a formal and informal process to quality assurance. The formal quality assurance is largely automated using </w:t>
      </w:r>
      <w:r w:rsidR="00710D0C">
        <w:t xml:space="preserve">a </w:t>
      </w:r>
      <w:r w:rsidR="00E1715B" w:rsidRPr="00630A55">
        <w:t xml:space="preserve">Structured Query Language </w:t>
      </w:r>
      <w:r w:rsidR="00E1715B">
        <w:t>(</w:t>
      </w:r>
      <w:r w:rsidRPr="00630A55">
        <w:t>SQL</w:t>
      </w:r>
      <w:r w:rsidR="00E1715B">
        <w:t>)</w:t>
      </w:r>
      <w:r w:rsidRPr="00630A55">
        <w:t xml:space="preserve"> code to capture in-scope costs and compare them to previous years. ACTHD conduct informal quality assurance checks by reviewing data compared to other relative figures</w:t>
      </w:r>
      <w:r w:rsidR="00710D0C">
        <w:t>,</w:t>
      </w:r>
      <w:r w:rsidRPr="00630A55">
        <w:t xml:space="preserve"> such as previous years or other wards. If there are issues identified, the data is returned to the hospital for resolution. Once all data is validated and linked, ACTHD provide cost summary reports for the providers to review. </w:t>
      </w:r>
    </w:p>
    <w:p w14:paraId="762A23BD" w14:textId="61A650A0" w:rsidR="000C15CB" w:rsidRDefault="00F77B3B" w:rsidP="008225C3">
      <w:pPr>
        <w:jc w:val="both"/>
      </w:pPr>
      <w:r w:rsidRPr="00630A55">
        <w:t xml:space="preserve">All costing data is reviewed by </w:t>
      </w:r>
      <w:r w:rsidR="00100D0A">
        <w:t xml:space="preserve">health services </w:t>
      </w:r>
      <w:r w:rsidRPr="00630A55">
        <w:t>before the data is submitted to IHACPA.</w:t>
      </w:r>
    </w:p>
    <w:p w14:paraId="2950A33E" w14:textId="77777777" w:rsidR="000C15CB" w:rsidRDefault="000C15CB">
      <w:pPr>
        <w:spacing w:before="0" w:after="160" w:line="259" w:lineRule="auto"/>
      </w:pPr>
      <w:r>
        <w:br w:type="page"/>
      </w:r>
    </w:p>
    <w:p w14:paraId="2C42CDD6" w14:textId="77777777" w:rsidR="00F77B3B" w:rsidRPr="00630A55" w:rsidRDefault="00F77B3B" w:rsidP="00F77B3B"/>
    <w:p w14:paraId="49AA0F2F" w14:textId="5CD0423F" w:rsidR="00F77B3B" w:rsidRDefault="00AD608F" w:rsidP="00AD608F">
      <w:pPr>
        <w:pStyle w:val="Caption"/>
      </w:pPr>
      <w:r w:rsidRPr="00017473">
        <w:rPr>
          <w:b/>
          <w:bCs/>
        </w:rPr>
        <w:t xml:space="preserve">Table </w:t>
      </w:r>
      <w:r w:rsidR="00D91CB1" w:rsidRPr="00017473">
        <w:rPr>
          <w:b/>
          <w:bCs/>
        </w:rPr>
        <w:fldChar w:fldCharType="begin"/>
      </w:r>
      <w:r w:rsidR="00D91CB1" w:rsidRPr="00017473">
        <w:rPr>
          <w:b/>
          <w:bCs/>
        </w:rPr>
        <w:instrText xml:space="preserve"> SEQ Table \* ARABIC </w:instrText>
      </w:r>
      <w:r w:rsidR="00D91CB1" w:rsidRPr="00017473">
        <w:rPr>
          <w:b/>
          <w:bCs/>
        </w:rPr>
        <w:fldChar w:fldCharType="separate"/>
      </w:r>
      <w:r w:rsidR="007E2ACB">
        <w:rPr>
          <w:b/>
          <w:bCs/>
          <w:noProof/>
        </w:rPr>
        <w:t>9</w:t>
      </w:r>
      <w:r w:rsidR="00D91CB1" w:rsidRPr="00017473">
        <w:rPr>
          <w:b/>
          <w:bCs/>
          <w:noProof/>
        </w:rPr>
        <w:fldChar w:fldCharType="end"/>
      </w:r>
      <w:r w:rsidR="00017473" w:rsidRPr="00017473">
        <w:rPr>
          <w:b/>
          <w:bCs/>
          <w:noProof/>
        </w:rPr>
        <w:t>:</w:t>
      </w:r>
      <w:r w:rsidR="00F77B3B" w:rsidRPr="00017473">
        <w:rPr>
          <w:b/>
          <w:bCs/>
        </w:rPr>
        <w:t xml:space="preserve"> </w:t>
      </w:r>
      <w:r w:rsidR="00F77B3B" w:rsidRPr="00630A55">
        <w:t xml:space="preserve">Summary of </w:t>
      </w:r>
      <w:r w:rsidR="00965F5F">
        <w:t>quality assurance (</w:t>
      </w:r>
      <w:r w:rsidR="00F77B3B" w:rsidRPr="00630A55">
        <w:t>QA</w:t>
      </w:r>
      <w:r w:rsidR="00965F5F">
        <w:t>)</w:t>
      </w:r>
      <w:r w:rsidR="00F77B3B" w:rsidRPr="00630A55">
        <w:t xml:space="preserve"> checks performed </w:t>
      </w:r>
      <w:r w:rsidR="00412ABC">
        <w:t>–</w:t>
      </w:r>
      <w:r w:rsidR="00F77B3B" w:rsidRPr="00630A55">
        <w:t xml:space="preserve"> </w:t>
      </w:r>
      <w:r w:rsidR="00412ABC">
        <w:t>Australian Capital Territory</w:t>
      </w:r>
    </w:p>
    <w:tbl>
      <w:tblPr>
        <w:tblW w:w="9095" w:type="dxa"/>
        <w:tblCellMar>
          <w:left w:w="0" w:type="dxa"/>
          <w:right w:w="0" w:type="dxa"/>
        </w:tblCellMar>
        <w:tblLook w:val="04A0" w:firstRow="1" w:lastRow="0" w:firstColumn="1" w:lastColumn="0" w:noHBand="0" w:noVBand="1"/>
      </w:tblPr>
      <w:tblGrid>
        <w:gridCol w:w="3033"/>
        <w:gridCol w:w="3031"/>
        <w:gridCol w:w="3031"/>
      </w:tblGrid>
      <w:tr w:rsidR="00C337BD" w14:paraId="7565DCFD" w14:textId="77777777" w:rsidTr="00C337BD">
        <w:trPr>
          <w:tblHeader/>
        </w:trPr>
        <w:tc>
          <w:tcPr>
            <w:tcW w:w="3033" w:type="dxa"/>
            <w:tcBorders>
              <w:top w:val="single" w:sz="8" w:space="0" w:color="auto"/>
              <w:left w:val="single" w:sz="8" w:space="0" w:color="auto"/>
              <w:bottom w:val="single" w:sz="8" w:space="0" w:color="auto"/>
              <w:right w:val="single" w:sz="8" w:space="0" w:color="auto"/>
            </w:tcBorders>
            <w:shd w:val="clear" w:color="auto" w:fill="00338D"/>
            <w:tcMar>
              <w:top w:w="0" w:type="dxa"/>
              <w:left w:w="108" w:type="dxa"/>
              <w:bottom w:w="0" w:type="dxa"/>
              <w:right w:w="108" w:type="dxa"/>
            </w:tcMar>
            <w:hideMark/>
          </w:tcPr>
          <w:p w14:paraId="3400FE35" w14:textId="77777777" w:rsidR="00C337BD" w:rsidRDefault="00C337BD" w:rsidP="00C337BD">
            <w:pPr>
              <w:pStyle w:val="Tableheading"/>
            </w:pPr>
            <w:r>
              <w:t>QA Test</w:t>
            </w:r>
          </w:p>
        </w:tc>
        <w:tc>
          <w:tcPr>
            <w:tcW w:w="3031" w:type="dxa"/>
            <w:tcBorders>
              <w:top w:val="single" w:sz="8" w:space="0" w:color="auto"/>
              <w:left w:val="nil"/>
              <w:bottom w:val="single" w:sz="8" w:space="0" w:color="auto"/>
              <w:right w:val="single" w:sz="8" w:space="0" w:color="auto"/>
            </w:tcBorders>
            <w:shd w:val="clear" w:color="auto" w:fill="00338D"/>
            <w:tcMar>
              <w:top w:w="0" w:type="dxa"/>
              <w:left w:w="108" w:type="dxa"/>
              <w:bottom w:w="0" w:type="dxa"/>
              <w:right w:w="108" w:type="dxa"/>
            </w:tcMar>
            <w:hideMark/>
          </w:tcPr>
          <w:p w14:paraId="25250076" w14:textId="77777777" w:rsidR="00C337BD" w:rsidRDefault="00C337BD" w:rsidP="00C337BD">
            <w:pPr>
              <w:pStyle w:val="Tableheading"/>
            </w:pPr>
            <w:r>
              <w:t>ACTHD</w:t>
            </w:r>
          </w:p>
        </w:tc>
        <w:tc>
          <w:tcPr>
            <w:tcW w:w="3031" w:type="dxa"/>
            <w:tcBorders>
              <w:top w:val="single" w:sz="8" w:space="0" w:color="auto"/>
              <w:left w:val="nil"/>
              <w:bottom w:val="single" w:sz="8" w:space="0" w:color="auto"/>
              <w:right w:val="single" w:sz="8" w:space="0" w:color="auto"/>
            </w:tcBorders>
            <w:shd w:val="clear" w:color="auto" w:fill="00338D"/>
            <w:tcMar>
              <w:top w:w="0" w:type="dxa"/>
              <w:left w:w="108" w:type="dxa"/>
              <w:bottom w:w="0" w:type="dxa"/>
              <w:right w:w="108" w:type="dxa"/>
            </w:tcMar>
            <w:hideMark/>
          </w:tcPr>
          <w:p w14:paraId="178F741B" w14:textId="77777777" w:rsidR="00C337BD" w:rsidRDefault="00C337BD" w:rsidP="00C337BD">
            <w:pPr>
              <w:pStyle w:val="Tableheading"/>
            </w:pPr>
            <w:r>
              <w:t>Canberra Hospital</w:t>
            </w:r>
          </w:p>
        </w:tc>
      </w:tr>
      <w:tr w:rsidR="00C337BD" w14:paraId="0CFD2787" w14:textId="77777777" w:rsidTr="00C337BD">
        <w:tc>
          <w:tcPr>
            <w:tcW w:w="9095" w:type="dxa"/>
            <w:gridSpan w:val="3"/>
            <w:tcBorders>
              <w:top w:val="nil"/>
              <w:left w:val="single" w:sz="8" w:space="0" w:color="auto"/>
              <w:bottom w:val="single" w:sz="8" w:space="0" w:color="auto"/>
              <w:right w:val="single" w:sz="8" w:space="0" w:color="auto"/>
            </w:tcBorders>
            <w:shd w:val="clear" w:color="auto" w:fill="808080"/>
            <w:tcMar>
              <w:top w:w="0" w:type="dxa"/>
              <w:left w:w="108" w:type="dxa"/>
              <w:bottom w:w="0" w:type="dxa"/>
              <w:right w:w="108" w:type="dxa"/>
            </w:tcMar>
            <w:hideMark/>
          </w:tcPr>
          <w:p w14:paraId="5FDBC40E" w14:textId="77777777" w:rsidR="00C337BD" w:rsidRDefault="00C337BD">
            <w:pPr>
              <w:pStyle w:val="Tableheading"/>
              <w:spacing w:line="256" w:lineRule="auto"/>
              <w:rPr>
                <w:lang w:eastAsia="en-AU"/>
              </w:rPr>
            </w:pPr>
            <w:r>
              <w:rPr>
                <w:color w:val="000000" w:themeColor="text1"/>
                <w:lang w:eastAsia="en-AU"/>
              </w:rPr>
              <w:t>Source data and systems</w:t>
            </w:r>
          </w:p>
        </w:tc>
      </w:tr>
      <w:tr w:rsidR="00C337BD" w14:paraId="56D12C23" w14:textId="77777777" w:rsidTr="00C337BD">
        <w:tc>
          <w:tcPr>
            <w:tcW w:w="30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E222BC" w14:textId="77777777" w:rsidR="00C337BD" w:rsidRDefault="00C337BD">
            <w:pPr>
              <w:pStyle w:val="Tabletext"/>
              <w:spacing w:line="256" w:lineRule="auto"/>
              <w:rPr>
                <w:lang w:eastAsia="en-AU"/>
              </w:rPr>
            </w:pPr>
            <w:r>
              <w:rPr>
                <w:lang w:eastAsia="en-AU"/>
              </w:rPr>
              <w:t>Reconciliation back to GL and audited statements</w:t>
            </w:r>
          </w:p>
        </w:tc>
        <w:tc>
          <w:tcPr>
            <w:tcW w:w="3031" w:type="dxa"/>
            <w:tcBorders>
              <w:top w:val="nil"/>
              <w:left w:val="nil"/>
              <w:bottom w:val="single" w:sz="8" w:space="0" w:color="auto"/>
              <w:right w:val="single" w:sz="8" w:space="0" w:color="auto"/>
            </w:tcBorders>
            <w:tcMar>
              <w:top w:w="0" w:type="dxa"/>
              <w:left w:w="108" w:type="dxa"/>
              <w:bottom w:w="0" w:type="dxa"/>
              <w:right w:w="108" w:type="dxa"/>
            </w:tcMar>
            <w:hideMark/>
          </w:tcPr>
          <w:p w14:paraId="0C5B6516" w14:textId="77777777" w:rsidR="00C337BD" w:rsidRDefault="00C337BD">
            <w:pPr>
              <w:pStyle w:val="Tabletext"/>
              <w:spacing w:line="256" w:lineRule="auto"/>
              <w:rPr>
                <w:lang w:eastAsia="en-AU"/>
              </w:rPr>
            </w:pPr>
            <w:r>
              <w:rPr>
                <w:lang w:eastAsia="en-AU"/>
              </w:rPr>
              <w:t>Annual reconciliation and checks undertaken by ACTHD</w:t>
            </w:r>
          </w:p>
        </w:tc>
        <w:tc>
          <w:tcPr>
            <w:tcW w:w="3031" w:type="dxa"/>
            <w:tcBorders>
              <w:top w:val="nil"/>
              <w:left w:val="nil"/>
              <w:bottom w:val="single" w:sz="8" w:space="0" w:color="auto"/>
              <w:right w:val="single" w:sz="8" w:space="0" w:color="auto"/>
            </w:tcBorders>
            <w:tcMar>
              <w:top w:w="0" w:type="dxa"/>
              <w:left w:w="108" w:type="dxa"/>
              <w:bottom w:w="0" w:type="dxa"/>
              <w:right w:w="108" w:type="dxa"/>
            </w:tcMar>
          </w:tcPr>
          <w:p w14:paraId="2941A7DA" w14:textId="77777777" w:rsidR="00C337BD" w:rsidRDefault="00C337BD">
            <w:pPr>
              <w:pStyle w:val="Tabletext"/>
              <w:spacing w:line="256" w:lineRule="auto"/>
              <w:rPr>
                <w:lang w:eastAsia="en-AU"/>
              </w:rPr>
            </w:pPr>
          </w:p>
        </w:tc>
      </w:tr>
      <w:tr w:rsidR="00C337BD" w14:paraId="306465DC" w14:textId="77777777" w:rsidTr="00C337BD">
        <w:tc>
          <w:tcPr>
            <w:tcW w:w="30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9721AB" w14:textId="77777777" w:rsidR="00C337BD" w:rsidRDefault="00C337BD">
            <w:pPr>
              <w:pStyle w:val="Tabletext"/>
              <w:spacing w:line="256" w:lineRule="auto"/>
              <w:rPr>
                <w:lang w:eastAsia="en-AU"/>
              </w:rPr>
            </w:pPr>
            <w:r>
              <w:rPr>
                <w:lang w:eastAsia="en-AU"/>
              </w:rPr>
              <w:t>Reconciliation of activity data back to source systems</w:t>
            </w:r>
          </w:p>
        </w:tc>
        <w:tc>
          <w:tcPr>
            <w:tcW w:w="3031" w:type="dxa"/>
            <w:tcBorders>
              <w:top w:val="nil"/>
              <w:left w:val="nil"/>
              <w:bottom w:val="single" w:sz="8" w:space="0" w:color="auto"/>
              <w:right w:val="single" w:sz="8" w:space="0" w:color="auto"/>
            </w:tcBorders>
            <w:tcMar>
              <w:top w:w="0" w:type="dxa"/>
              <w:left w:w="108" w:type="dxa"/>
              <w:bottom w:w="0" w:type="dxa"/>
              <w:right w:w="108" w:type="dxa"/>
            </w:tcMar>
            <w:hideMark/>
          </w:tcPr>
          <w:p w14:paraId="0DF366A1" w14:textId="77777777" w:rsidR="00C337BD" w:rsidRDefault="00C337BD">
            <w:pPr>
              <w:pStyle w:val="Tabletext"/>
              <w:spacing w:line="256" w:lineRule="auto"/>
              <w:rPr>
                <w:lang w:eastAsia="en-AU"/>
              </w:rPr>
            </w:pPr>
            <w:r>
              <w:rPr>
                <w:lang w:eastAsia="en-AU"/>
              </w:rPr>
              <w:t>Annual reviews on feeder and source systems</w:t>
            </w:r>
          </w:p>
        </w:tc>
        <w:tc>
          <w:tcPr>
            <w:tcW w:w="3031" w:type="dxa"/>
            <w:tcBorders>
              <w:top w:val="nil"/>
              <w:left w:val="nil"/>
              <w:bottom w:val="single" w:sz="8" w:space="0" w:color="auto"/>
              <w:right w:val="single" w:sz="8" w:space="0" w:color="auto"/>
            </w:tcBorders>
            <w:tcMar>
              <w:top w:w="0" w:type="dxa"/>
              <w:left w:w="108" w:type="dxa"/>
              <w:bottom w:w="0" w:type="dxa"/>
              <w:right w:w="108" w:type="dxa"/>
            </w:tcMar>
          </w:tcPr>
          <w:p w14:paraId="4DB4E93B" w14:textId="77777777" w:rsidR="00C337BD" w:rsidRDefault="00C337BD">
            <w:pPr>
              <w:pStyle w:val="Tabletext"/>
              <w:spacing w:line="256" w:lineRule="auto"/>
              <w:rPr>
                <w:lang w:eastAsia="en-AU"/>
              </w:rPr>
            </w:pPr>
          </w:p>
        </w:tc>
      </w:tr>
      <w:tr w:rsidR="00C337BD" w14:paraId="3DBE0118" w14:textId="77777777" w:rsidTr="00C337BD">
        <w:tc>
          <w:tcPr>
            <w:tcW w:w="9095" w:type="dxa"/>
            <w:gridSpan w:val="3"/>
            <w:tcBorders>
              <w:top w:val="nil"/>
              <w:left w:val="single" w:sz="8" w:space="0" w:color="auto"/>
              <w:bottom w:val="single" w:sz="8" w:space="0" w:color="auto"/>
              <w:right w:val="single" w:sz="8" w:space="0" w:color="auto"/>
            </w:tcBorders>
            <w:shd w:val="clear" w:color="auto" w:fill="808080"/>
            <w:tcMar>
              <w:top w:w="0" w:type="dxa"/>
              <w:left w:w="108" w:type="dxa"/>
              <w:bottom w:w="0" w:type="dxa"/>
              <w:right w:w="108" w:type="dxa"/>
            </w:tcMar>
            <w:hideMark/>
          </w:tcPr>
          <w:p w14:paraId="16A47234" w14:textId="77777777" w:rsidR="00C337BD" w:rsidRDefault="00C337BD">
            <w:pPr>
              <w:pStyle w:val="Tableheading"/>
              <w:spacing w:line="256" w:lineRule="auto"/>
              <w:rPr>
                <w:color w:val="000000" w:themeColor="text1"/>
                <w:lang w:eastAsia="en-AU"/>
              </w:rPr>
            </w:pPr>
            <w:r>
              <w:rPr>
                <w:color w:val="000000" w:themeColor="text1"/>
                <w:lang w:eastAsia="en-AU"/>
              </w:rPr>
              <w:t>Costing Data – Validation</w:t>
            </w:r>
          </w:p>
        </w:tc>
      </w:tr>
      <w:tr w:rsidR="00C337BD" w14:paraId="06F27536" w14:textId="77777777" w:rsidTr="00C337BD">
        <w:tc>
          <w:tcPr>
            <w:tcW w:w="30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3CC525" w14:textId="77777777" w:rsidR="00C337BD" w:rsidRDefault="00C337BD">
            <w:pPr>
              <w:pStyle w:val="Tabletext"/>
              <w:spacing w:line="256" w:lineRule="auto"/>
              <w:rPr>
                <w:lang w:eastAsia="en-AU"/>
              </w:rPr>
            </w:pPr>
            <w:r>
              <w:rPr>
                <w:lang w:eastAsia="en-AU"/>
              </w:rPr>
              <w:t>Trend analysis to prior periods across cost products</w:t>
            </w:r>
          </w:p>
        </w:tc>
        <w:tc>
          <w:tcPr>
            <w:tcW w:w="3031" w:type="dxa"/>
            <w:tcBorders>
              <w:top w:val="nil"/>
              <w:left w:val="nil"/>
              <w:bottom w:val="single" w:sz="8" w:space="0" w:color="auto"/>
              <w:right w:val="single" w:sz="8" w:space="0" w:color="auto"/>
            </w:tcBorders>
            <w:tcMar>
              <w:top w:w="0" w:type="dxa"/>
              <w:left w:w="108" w:type="dxa"/>
              <w:bottom w:w="0" w:type="dxa"/>
              <w:right w:w="108" w:type="dxa"/>
            </w:tcMar>
            <w:hideMark/>
          </w:tcPr>
          <w:p w14:paraId="5F63E499" w14:textId="77777777" w:rsidR="00C337BD" w:rsidRDefault="00C337BD">
            <w:pPr>
              <w:pStyle w:val="Tabletext"/>
              <w:spacing w:line="256" w:lineRule="auto"/>
              <w:rPr>
                <w:lang w:eastAsia="en-AU"/>
              </w:rPr>
            </w:pPr>
            <w:r>
              <w:rPr>
                <w:lang w:eastAsia="en-AU"/>
              </w:rPr>
              <w:t xml:space="preserve">Yes – annually </w:t>
            </w:r>
          </w:p>
        </w:tc>
        <w:tc>
          <w:tcPr>
            <w:tcW w:w="3031" w:type="dxa"/>
            <w:vMerge w:val="restart"/>
            <w:tcBorders>
              <w:top w:val="nil"/>
              <w:left w:val="nil"/>
              <w:bottom w:val="single" w:sz="8" w:space="0" w:color="auto"/>
              <w:right w:val="single" w:sz="8" w:space="0" w:color="auto"/>
            </w:tcBorders>
            <w:tcMar>
              <w:top w:w="0" w:type="dxa"/>
              <w:left w:w="108" w:type="dxa"/>
              <w:bottom w:w="0" w:type="dxa"/>
              <w:right w:w="108" w:type="dxa"/>
            </w:tcMar>
          </w:tcPr>
          <w:p w14:paraId="1645985A" w14:textId="77777777" w:rsidR="00C337BD" w:rsidRDefault="00C337BD">
            <w:pPr>
              <w:pStyle w:val="Tabletext"/>
              <w:spacing w:line="256" w:lineRule="auto"/>
              <w:rPr>
                <w:lang w:eastAsia="en-AU"/>
              </w:rPr>
            </w:pPr>
          </w:p>
        </w:tc>
      </w:tr>
      <w:tr w:rsidR="00C337BD" w14:paraId="10F770D4" w14:textId="77777777" w:rsidTr="00C337BD">
        <w:tc>
          <w:tcPr>
            <w:tcW w:w="30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875B28" w14:textId="77777777" w:rsidR="00C337BD" w:rsidRDefault="00C337BD">
            <w:pPr>
              <w:pStyle w:val="Tabletext"/>
              <w:spacing w:line="256" w:lineRule="auto"/>
              <w:rPr>
                <w:lang w:eastAsia="en-AU"/>
              </w:rPr>
            </w:pPr>
            <w:r>
              <w:rPr>
                <w:lang w:eastAsia="en-AU"/>
              </w:rPr>
              <w:t>Reasonableness test of excluded data and outliers</w:t>
            </w:r>
          </w:p>
        </w:tc>
        <w:tc>
          <w:tcPr>
            <w:tcW w:w="3031" w:type="dxa"/>
            <w:tcBorders>
              <w:top w:val="nil"/>
              <w:left w:val="nil"/>
              <w:bottom w:val="single" w:sz="8" w:space="0" w:color="auto"/>
              <w:right w:val="single" w:sz="8" w:space="0" w:color="auto"/>
            </w:tcBorders>
            <w:tcMar>
              <w:top w:w="0" w:type="dxa"/>
              <w:left w:w="108" w:type="dxa"/>
              <w:bottom w:w="0" w:type="dxa"/>
              <w:right w:w="108" w:type="dxa"/>
            </w:tcMar>
            <w:hideMark/>
          </w:tcPr>
          <w:p w14:paraId="49C0CC65" w14:textId="77777777" w:rsidR="00C337BD" w:rsidRDefault="00C337BD">
            <w:pPr>
              <w:pStyle w:val="Tabletext"/>
              <w:spacing w:line="256" w:lineRule="auto"/>
              <w:rPr>
                <w:lang w:eastAsia="en-AU"/>
              </w:rPr>
            </w:pPr>
            <w:r>
              <w:rPr>
                <w:lang w:eastAsia="en-AU"/>
              </w:rPr>
              <w:t xml:space="preserve">Yes – annually </w:t>
            </w:r>
          </w:p>
        </w:tc>
        <w:tc>
          <w:tcPr>
            <w:tcW w:w="0" w:type="auto"/>
            <w:vMerge/>
            <w:tcBorders>
              <w:top w:val="nil"/>
              <w:left w:val="nil"/>
              <w:bottom w:val="single" w:sz="8" w:space="0" w:color="auto"/>
              <w:right w:val="single" w:sz="8" w:space="0" w:color="auto"/>
            </w:tcBorders>
            <w:vAlign w:val="center"/>
            <w:hideMark/>
          </w:tcPr>
          <w:p w14:paraId="046E27BF" w14:textId="77777777" w:rsidR="00C337BD" w:rsidRDefault="00C337BD">
            <w:pPr>
              <w:spacing w:before="0" w:after="0" w:line="256" w:lineRule="auto"/>
              <w:rPr>
                <w:sz w:val="20"/>
                <w:lang w:eastAsia="en-AU"/>
              </w:rPr>
            </w:pPr>
          </w:p>
        </w:tc>
      </w:tr>
      <w:tr w:rsidR="00C337BD" w14:paraId="6ED678C9" w14:textId="77777777" w:rsidTr="00C337BD">
        <w:tc>
          <w:tcPr>
            <w:tcW w:w="30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B02F75" w14:textId="77777777" w:rsidR="00C337BD" w:rsidRDefault="00C337BD">
            <w:pPr>
              <w:pStyle w:val="Tabletext"/>
              <w:spacing w:line="256" w:lineRule="auto"/>
              <w:rPr>
                <w:lang w:eastAsia="en-AU"/>
              </w:rPr>
            </w:pPr>
            <w:r>
              <w:rPr>
                <w:lang w:eastAsia="en-AU"/>
              </w:rPr>
              <w:t>Analysis of outliers at the cost, LOS or cost bucket level</w:t>
            </w:r>
          </w:p>
        </w:tc>
        <w:tc>
          <w:tcPr>
            <w:tcW w:w="3031" w:type="dxa"/>
            <w:tcBorders>
              <w:top w:val="nil"/>
              <w:left w:val="nil"/>
              <w:bottom w:val="single" w:sz="8" w:space="0" w:color="auto"/>
              <w:right w:val="single" w:sz="8" w:space="0" w:color="auto"/>
            </w:tcBorders>
            <w:tcMar>
              <w:top w:w="0" w:type="dxa"/>
              <w:left w:w="108" w:type="dxa"/>
              <w:bottom w:w="0" w:type="dxa"/>
              <w:right w:w="108" w:type="dxa"/>
            </w:tcMar>
            <w:hideMark/>
          </w:tcPr>
          <w:p w14:paraId="25198F6C" w14:textId="77777777" w:rsidR="00C337BD" w:rsidRDefault="00C337BD">
            <w:pPr>
              <w:pStyle w:val="Tabletext"/>
              <w:spacing w:line="256" w:lineRule="auto"/>
              <w:rPr>
                <w:lang w:eastAsia="en-AU"/>
              </w:rPr>
            </w:pPr>
            <w:r>
              <w:rPr>
                <w:lang w:eastAsia="en-AU"/>
              </w:rPr>
              <w:t>Yes – annually and reviewed with sites</w:t>
            </w:r>
          </w:p>
        </w:tc>
        <w:tc>
          <w:tcPr>
            <w:tcW w:w="0" w:type="auto"/>
            <w:vMerge/>
            <w:tcBorders>
              <w:top w:val="nil"/>
              <w:left w:val="nil"/>
              <w:bottom w:val="single" w:sz="8" w:space="0" w:color="auto"/>
              <w:right w:val="single" w:sz="8" w:space="0" w:color="auto"/>
            </w:tcBorders>
            <w:vAlign w:val="center"/>
            <w:hideMark/>
          </w:tcPr>
          <w:p w14:paraId="609FD5B5" w14:textId="77777777" w:rsidR="00C337BD" w:rsidRDefault="00C337BD">
            <w:pPr>
              <w:spacing w:before="0" w:after="0" w:line="256" w:lineRule="auto"/>
              <w:rPr>
                <w:sz w:val="20"/>
                <w:lang w:eastAsia="en-AU"/>
              </w:rPr>
            </w:pPr>
          </w:p>
        </w:tc>
      </w:tr>
      <w:tr w:rsidR="00C337BD" w14:paraId="1840E064" w14:textId="77777777" w:rsidTr="00C337BD">
        <w:tc>
          <w:tcPr>
            <w:tcW w:w="30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E4B6C6" w14:textId="77777777" w:rsidR="00C337BD" w:rsidRDefault="00C337BD">
            <w:pPr>
              <w:pStyle w:val="Tabletext"/>
              <w:spacing w:line="256" w:lineRule="auto"/>
              <w:rPr>
                <w:lang w:eastAsia="en-AU"/>
              </w:rPr>
            </w:pPr>
            <w:r>
              <w:rPr>
                <w:lang w:eastAsia="en-AU"/>
              </w:rPr>
              <w:t>Reasonableness of direct vs overhead allocations</w:t>
            </w:r>
          </w:p>
        </w:tc>
        <w:tc>
          <w:tcPr>
            <w:tcW w:w="3031" w:type="dxa"/>
            <w:tcBorders>
              <w:top w:val="nil"/>
              <w:left w:val="nil"/>
              <w:bottom w:val="single" w:sz="8" w:space="0" w:color="auto"/>
              <w:right w:val="single" w:sz="8" w:space="0" w:color="auto"/>
            </w:tcBorders>
            <w:tcMar>
              <w:top w:w="0" w:type="dxa"/>
              <w:left w:w="108" w:type="dxa"/>
              <w:bottom w:w="0" w:type="dxa"/>
              <w:right w:w="108" w:type="dxa"/>
            </w:tcMar>
            <w:hideMark/>
          </w:tcPr>
          <w:p w14:paraId="4544983B" w14:textId="77777777" w:rsidR="00C337BD" w:rsidRDefault="00C337BD">
            <w:pPr>
              <w:pStyle w:val="Tabletext"/>
              <w:spacing w:line="256" w:lineRule="auto"/>
              <w:rPr>
                <w:lang w:eastAsia="en-AU"/>
              </w:rPr>
            </w:pPr>
            <w:r>
              <w:rPr>
                <w:lang w:eastAsia="en-AU"/>
              </w:rPr>
              <w:t xml:space="preserve">Yes – annually </w:t>
            </w:r>
          </w:p>
        </w:tc>
        <w:tc>
          <w:tcPr>
            <w:tcW w:w="0" w:type="auto"/>
            <w:vMerge/>
            <w:tcBorders>
              <w:top w:val="nil"/>
              <w:left w:val="nil"/>
              <w:bottom w:val="single" w:sz="8" w:space="0" w:color="auto"/>
              <w:right w:val="single" w:sz="8" w:space="0" w:color="auto"/>
            </w:tcBorders>
            <w:vAlign w:val="center"/>
            <w:hideMark/>
          </w:tcPr>
          <w:p w14:paraId="7390E227" w14:textId="77777777" w:rsidR="00C337BD" w:rsidRDefault="00C337BD">
            <w:pPr>
              <w:spacing w:before="0" w:after="0" w:line="256" w:lineRule="auto"/>
              <w:rPr>
                <w:sz w:val="20"/>
                <w:lang w:eastAsia="en-AU"/>
              </w:rPr>
            </w:pPr>
          </w:p>
        </w:tc>
      </w:tr>
      <w:tr w:rsidR="00C337BD" w14:paraId="3EC0CEE7" w14:textId="77777777" w:rsidTr="00C337BD">
        <w:tc>
          <w:tcPr>
            <w:tcW w:w="30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ED174D" w14:textId="77777777" w:rsidR="00C337BD" w:rsidRDefault="00C337BD">
            <w:pPr>
              <w:pStyle w:val="Tabletext"/>
              <w:spacing w:line="256" w:lineRule="auto"/>
              <w:rPr>
                <w:lang w:eastAsia="en-AU"/>
              </w:rPr>
            </w:pPr>
            <w:r>
              <w:rPr>
                <w:lang w:eastAsia="en-AU"/>
              </w:rPr>
              <w:t>Specific business rule tests</w:t>
            </w:r>
          </w:p>
        </w:tc>
        <w:tc>
          <w:tcPr>
            <w:tcW w:w="3031" w:type="dxa"/>
            <w:tcBorders>
              <w:top w:val="nil"/>
              <w:left w:val="nil"/>
              <w:bottom w:val="single" w:sz="8" w:space="0" w:color="auto"/>
              <w:right w:val="single" w:sz="8" w:space="0" w:color="auto"/>
            </w:tcBorders>
            <w:tcMar>
              <w:top w:w="0" w:type="dxa"/>
              <w:left w:w="108" w:type="dxa"/>
              <w:bottom w:w="0" w:type="dxa"/>
              <w:right w:w="108" w:type="dxa"/>
            </w:tcMar>
            <w:hideMark/>
          </w:tcPr>
          <w:p w14:paraId="21A39694" w14:textId="77777777" w:rsidR="00C337BD" w:rsidRDefault="00C337BD">
            <w:pPr>
              <w:pStyle w:val="Tabletext"/>
              <w:spacing w:line="256" w:lineRule="auto"/>
              <w:rPr>
                <w:lang w:eastAsia="en-AU"/>
              </w:rPr>
            </w:pPr>
            <w:r>
              <w:rPr>
                <w:lang w:eastAsia="en-AU"/>
              </w:rPr>
              <w:t>Yes – through PPM2</w:t>
            </w:r>
          </w:p>
        </w:tc>
        <w:tc>
          <w:tcPr>
            <w:tcW w:w="0" w:type="auto"/>
            <w:vMerge/>
            <w:tcBorders>
              <w:top w:val="nil"/>
              <w:left w:val="nil"/>
              <w:bottom w:val="single" w:sz="8" w:space="0" w:color="auto"/>
              <w:right w:val="single" w:sz="8" w:space="0" w:color="auto"/>
            </w:tcBorders>
            <w:vAlign w:val="center"/>
            <w:hideMark/>
          </w:tcPr>
          <w:p w14:paraId="1BD468AF" w14:textId="77777777" w:rsidR="00C337BD" w:rsidRDefault="00C337BD">
            <w:pPr>
              <w:spacing w:before="0" w:after="0" w:line="256" w:lineRule="auto"/>
              <w:rPr>
                <w:sz w:val="20"/>
                <w:lang w:eastAsia="en-AU"/>
              </w:rPr>
            </w:pPr>
          </w:p>
        </w:tc>
      </w:tr>
      <w:tr w:rsidR="00C337BD" w14:paraId="5365015C" w14:textId="77777777" w:rsidTr="00C337BD">
        <w:tc>
          <w:tcPr>
            <w:tcW w:w="9095" w:type="dxa"/>
            <w:gridSpan w:val="3"/>
            <w:tcBorders>
              <w:top w:val="nil"/>
              <w:left w:val="single" w:sz="8" w:space="0" w:color="auto"/>
              <w:bottom w:val="single" w:sz="8" w:space="0" w:color="auto"/>
              <w:right w:val="single" w:sz="8" w:space="0" w:color="auto"/>
            </w:tcBorders>
            <w:shd w:val="clear" w:color="auto" w:fill="808080"/>
            <w:tcMar>
              <w:top w:w="0" w:type="dxa"/>
              <w:left w:w="108" w:type="dxa"/>
              <w:bottom w:w="0" w:type="dxa"/>
              <w:right w:w="108" w:type="dxa"/>
            </w:tcMar>
            <w:hideMark/>
          </w:tcPr>
          <w:p w14:paraId="05CE38C8" w14:textId="77777777" w:rsidR="00C337BD" w:rsidRDefault="00C337BD">
            <w:pPr>
              <w:pStyle w:val="Tableheading"/>
              <w:spacing w:line="256" w:lineRule="auto"/>
            </w:pPr>
            <w:r>
              <w:rPr>
                <w:color w:val="000000" w:themeColor="text1"/>
              </w:rPr>
              <w:t>Costing Data – Governance</w:t>
            </w:r>
          </w:p>
        </w:tc>
      </w:tr>
      <w:tr w:rsidR="00C337BD" w14:paraId="2A773BCE" w14:textId="77777777" w:rsidTr="00C337BD">
        <w:tc>
          <w:tcPr>
            <w:tcW w:w="30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F202CE" w14:textId="77777777" w:rsidR="00C337BD" w:rsidRDefault="00C337BD">
            <w:pPr>
              <w:pStyle w:val="Tabletext"/>
              <w:spacing w:line="256" w:lineRule="auto"/>
              <w:rPr>
                <w:lang w:eastAsia="en-AU"/>
              </w:rPr>
            </w:pPr>
            <w:r>
              <w:rPr>
                <w:lang w:eastAsia="en-AU"/>
              </w:rPr>
              <w:t>Regular updates with costing staff</w:t>
            </w:r>
          </w:p>
        </w:tc>
        <w:tc>
          <w:tcPr>
            <w:tcW w:w="3031" w:type="dxa"/>
            <w:tcBorders>
              <w:top w:val="nil"/>
              <w:left w:val="nil"/>
              <w:bottom w:val="single" w:sz="8" w:space="0" w:color="auto"/>
              <w:right w:val="single" w:sz="8" w:space="0" w:color="auto"/>
            </w:tcBorders>
            <w:tcMar>
              <w:top w:w="0" w:type="dxa"/>
              <w:left w:w="108" w:type="dxa"/>
              <w:bottom w:w="0" w:type="dxa"/>
              <w:right w:w="108" w:type="dxa"/>
            </w:tcMar>
            <w:hideMark/>
          </w:tcPr>
          <w:p w14:paraId="3362979E" w14:textId="77777777" w:rsidR="00C337BD" w:rsidRDefault="00C337BD">
            <w:pPr>
              <w:pStyle w:val="Tabletext"/>
              <w:spacing w:line="256" w:lineRule="auto"/>
              <w:rPr>
                <w:lang w:eastAsia="en-AU"/>
              </w:rPr>
            </w:pPr>
            <w:r>
              <w:rPr>
                <w:lang w:eastAsia="en-AU"/>
              </w:rPr>
              <w:t>Ad hoc</w:t>
            </w:r>
          </w:p>
        </w:tc>
        <w:tc>
          <w:tcPr>
            <w:tcW w:w="3031" w:type="dxa"/>
            <w:tcBorders>
              <w:top w:val="nil"/>
              <w:left w:val="nil"/>
              <w:bottom w:val="single" w:sz="8" w:space="0" w:color="auto"/>
              <w:right w:val="single" w:sz="8" w:space="0" w:color="auto"/>
            </w:tcBorders>
            <w:tcMar>
              <w:top w:w="0" w:type="dxa"/>
              <w:left w:w="108" w:type="dxa"/>
              <w:bottom w:w="0" w:type="dxa"/>
              <w:right w:w="108" w:type="dxa"/>
            </w:tcMar>
          </w:tcPr>
          <w:p w14:paraId="685F48C2" w14:textId="77777777" w:rsidR="00C337BD" w:rsidRDefault="00C337BD">
            <w:pPr>
              <w:pStyle w:val="Tabletext"/>
              <w:spacing w:line="256" w:lineRule="auto"/>
              <w:rPr>
                <w:lang w:eastAsia="en-AU"/>
              </w:rPr>
            </w:pPr>
          </w:p>
        </w:tc>
      </w:tr>
      <w:tr w:rsidR="00C337BD" w14:paraId="2473D74A" w14:textId="77777777" w:rsidTr="00C337BD">
        <w:tc>
          <w:tcPr>
            <w:tcW w:w="30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3E14F2" w14:textId="77777777" w:rsidR="00C337BD" w:rsidRDefault="00C337BD">
            <w:pPr>
              <w:pStyle w:val="Tabletext"/>
              <w:spacing w:line="256" w:lineRule="auto"/>
              <w:rPr>
                <w:lang w:eastAsia="en-AU"/>
              </w:rPr>
            </w:pPr>
            <w:r>
              <w:rPr>
                <w:lang w:eastAsia="en-AU"/>
              </w:rPr>
              <w:t>Local guidelines supporting the AHPCS standards framework</w:t>
            </w:r>
          </w:p>
        </w:tc>
        <w:tc>
          <w:tcPr>
            <w:tcW w:w="3031" w:type="dxa"/>
            <w:tcBorders>
              <w:top w:val="nil"/>
              <w:left w:val="nil"/>
              <w:bottom w:val="single" w:sz="8" w:space="0" w:color="auto"/>
              <w:right w:val="single" w:sz="8" w:space="0" w:color="auto"/>
            </w:tcBorders>
            <w:tcMar>
              <w:top w:w="0" w:type="dxa"/>
              <w:left w:w="108" w:type="dxa"/>
              <w:bottom w:w="0" w:type="dxa"/>
              <w:right w:w="108" w:type="dxa"/>
            </w:tcMar>
            <w:hideMark/>
          </w:tcPr>
          <w:p w14:paraId="57B649DA" w14:textId="77777777" w:rsidR="00C337BD" w:rsidRDefault="00C337BD">
            <w:pPr>
              <w:pStyle w:val="Tabletext"/>
              <w:spacing w:line="256" w:lineRule="auto"/>
              <w:rPr>
                <w:lang w:eastAsia="en-AU"/>
              </w:rPr>
            </w:pPr>
            <w:r>
              <w:rPr>
                <w:lang w:eastAsia="en-AU"/>
              </w:rPr>
              <w:t xml:space="preserve">No </w:t>
            </w:r>
          </w:p>
        </w:tc>
        <w:tc>
          <w:tcPr>
            <w:tcW w:w="3031" w:type="dxa"/>
            <w:tcBorders>
              <w:top w:val="nil"/>
              <w:left w:val="nil"/>
              <w:bottom w:val="single" w:sz="8" w:space="0" w:color="auto"/>
              <w:right w:val="single" w:sz="8" w:space="0" w:color="auto"/>
            </w:tcBorders>
            <w:tcMar>
              <w:top w:w="0" w:type="dxa"/>
              <w:left w:w="108" w:type="dxa"/>
              <w:bottom w:w="0" w:type="dxa"/>
              <w:right w:w="108" w:type="dxa"/>
            </w:tcMar>
          </w:tcPr>
          <w:p w14:paraId="073C040B" w14:textId="77777777" w:rsidR="00C337BD" w:rsidRDefault="00C337BD">
            <w:pPr>
              <w:pStyle w:val="Tabletext"/>
              <w:spacing w:line="256" w:lineRule="auto"/>
              <w:rPr>
                <w:lang w:eastAsia="en-AU"/>
              </w:rPr>
            </w:pPr>
          </w:p>
        </w:tc>
      </w:tr>
      <w:tr w:rsidR="00C337BD" w14:paraId="2278F2D3" w14:textId="77777777" w:rsidTr="00C337BD">
        <w:tc>
          <w:tcPr>
            <w:tcW w:w="30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16FBB1" w14:textId="77777777" w:rsidR="00C337BD" w:rsidRDefault="00C337BD">
            <w:pPr>
              <w:pStyle w:val="Tabletext"/>
              <w:spacing w:line="256" w:lineRule="auto"/>
              <w:rPr>
                <w:lang w:eastAsia="en-AU"/>
              </w:rPr>
            </w:pPr>
            <w:r>
              <w:rPr>
                <w:lang w:eastAsia="en-AU"/>
              </w:rPr>
              <w:t>Review of cost allocations</w:t>
            </w:r>
          </w:p>
        </w:tc>
        <w:tc>
          <w:tcPr>
            <w:tcW w:w="3031" w:type="dxa"/>
            <w:tcBorders>
              <w:top w:val="nil"/>
              <w:left w:val="nil"/>
              <w:bottom w:val="single" w:sz="8" w:space="0" w:color="auto"/>
              <w:right w:val="single" w:sz="8" w:space="0" w:color="auto"/>
            </w:tcBorders>
            <w:tcMar>
              <w:top w:w="0" w:type="dxa"/>
              <w:left w:w="108" w:type="dxa"/>
              <w:bottom w:w="0" w:type="dxa"/>
              <w:right w:w="108" w:type="dxa"/>
            </w:tcMar>
            <w:hideMark/>
          </w:tcPr>
          <w:p w14:paraId="0BC2658F" w14:textId="77777777" w:rsidR="00C337BD" w:rsidRDefault="00C337BD">
            <w:pPr>
              <w:pStyle w:val="Tabletext"/>
              <w:spacing w:line="256" w:lineRule="auto"/>
              <w:rPr>
                <w:lang w:eastAsia="en-AU"/>
              </w:rPr>
            </w:pPr>
            <w:r>
              <w:rPr>
                <w:lang w:eastAsia="en-AU"/>
              </w:rPr>
              <w:t xml:space="preserve">Yes – annually </w:t>
            </w:r>
          </w:p>
        </w:tc>
        <w:tc>
          <w:tcPr>
            <w:tcW w:w="3031" w:type="dxa"/>
            <w:tcBorders>
              <w:top w:val="nil"/>
              <w:left w:val="nil"/>
              <w:bottom w:val="single" w:sz="8" w:space="0" w:color="auto"/>
              <w:right w:val="single" w:sz="8" w:space="0" w:color="auto"/>
            </w:tcBorders>
            <w:tcMar>
              <w:top w:w="0" w:type="dxa"/>
              <w:left w:w="108" w:type="dxa"/>
              <w:bottom w:w="0" w:type="dxa"/>
              <w:right w:w="108" w:type="dxa"/>
            </w:tcMar>
          </w:tcPr>
          <w:p w14:paraId="3BBED187" w14:textId="77777777" w:rsidR="00C337BD" w:rsidRDefault="00C337BD">
            <w:pPr>
              <w:pStyle w:val="Tabletext"/>
              <w:spacing w:line="256" w:lineRule="auto"/>
              <w:rPr>
                <w:lang w:eastAsia="en-AU"/>
              </w:rPr>
            </w:pPr>
          </w:p>
        </w:tc>
      </w:tr>
      <w:tr w:rsidR="00C337BD" w14:paraId="1DD7AD1D" w14:textId="77777777" w:rsidTr="00C337BD">
        <w:tc>
          <w:tcPr>
            <w:tcW w:w="3033"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150846C5" w14:textId="77777777" w:rsidR="00C337BD" w:rsidRDefault="00C337BD">
            <w:pPr>
              <w:pStyle w:val="Tabletext"/>
              <w:spacing w:line="256" w:lineRule="auto"/>
              <w:rPr>
                <w:lang w:eastAsia="en-AU"/>
              </w:rPr>
            </w:pPr>
            <w:r>
              <w:rPr>
                <w:lang w:eastAsia="en-AU"/>
              </w:rPr>
              <w:t>Review on reasonableness of costing data output</w:t>
            </w:r>
          </w:p>
        </w:tc>
        <w:tc>
          <w:tcPr>
            <w:tcW w:w="3031"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798FBD4B" w14:textId="77777777" w:rsidR="00C337BD" w:rsidRDefault="00C337BD">
            <w:pPr>
              <w:pStyle w:val="Tabletext"/>
              <w:spacing w:line="256" w:lineRule="auto"/>
              <w:rPr>
                <w:lang w:eastAsia="en-AU"/>
              </w:rPr>
            </w:pPr>
            <w:r>
              <w:rPr>
                <w:lang w:eastAsia="en-AU"/>
              </w:rPr>
              <w:t>Data is reviewed for reasonableness and completeness</w:t>
            </w:r>
          </w:p>
        </w:tc>
        <w:tc>
          <w:tcPr>
            <w:tcW w:w="3031"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1A5DDC43" w14:textId="77777777" w:rsidR="00C337BD" w:rsidRDefault="00C337BD">
            <w:pPr>
              <w:pStyle w:val="Tabletext"/>
              <w:spacing w:line="256" w:lineRule="auto"/>
              <w:rPr>
                <w:lang w:eastAsia="en-AU"/>
              </w:rPr>
            </w:pPr>
          </w:p>
        </w:tc>
      </w:tr>
      <w:tr w:rsidR="00C337BD" w14:paraId="2100ED6F" w14:textId="77777777" w:rsidTr="00C337BD">
        <w:tc>
          <w:tcPr>
            <w:tcW w:w="303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61902E8" w14:textId="77777777" w:rsidR="00C337BD" w:rsidRDefault="00C337BD">
            <w:pPr>
              <w:pStyle w:val="Tabletext"/>
              <w:spacing w:line="256" w:lineRule="auto"/>
              <w:rPr>
                <w:lang w:eastAsia="en-AU"/>
              </w:rPr>
            </w:pPr>
            <w:r>
              <w:rPr>
                <w:rFonts w:eastAsia="Times New Roman" w:cs="Arial"/>
                <w:color w:val="000000"/>
                <w:lang w:eastAsia="en-AU"/>
              </w:rPr>
              <w:t>Formal sign-off</w:t>
            </w:r>
          </w:p>
        </w:tc>
        <w:tc>
          <w:tcPr>
            <w:tcW w:w="3031"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38916229" w14:textId="77777777" w:rsidR="00C337BD" w:rsidRDefault="00C337BD">
            <w:pPr>
              <w:pStyle w:val="Tabletext"/>
              <w:spacing w:line="256" w:lineRule="auto"/>
              <w:rPr>
                <w:lang w:eastAsia="en-AU"/>
              </w:rPr>
            </w:pPr>
            <w:r>
              <w:rPr>
                <w:rFonts w:eastAsia="Times New Roman" w:cs="Arial"/>
                <w:color w:val="000000"/>
                <w:lang w:eastAsia="en-AU"/>
              </w:rPr>
              <w:t>Final sign off by ACTHD</w:t>
            </w:r>
          </w:p>
        </w:tc>
        <w:tc>
          <w:tcPr>
            <w:tcW w:w="3031"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3C6F9DAE" w14:textId="77777777" w:rsidR="00C337BD" w:rsidRDefault="00C337BD">
            <w:pPr>
              <w:pStyle w:val="Tabletext"/>
              <w:spacing w:line="256" w:lineRule="auto"/>
              <w:rPr>
                <w:lang w:eastAsia="en-AU"/>
              </w:rPr>
            </w:pPr>
            <w:r>
              <w:rPr>
                <w:rFonts w:eastAsia="Times New Roman" w:cs="Arial"/>
                <w:color w:val="000000"/>
                <w:lang w:eastAsia="en-AU"/>
              </w:rPr>
              <w:t>Data is reviewed and signed off by the CFO at Canberra Hospital</w:t>
            </w:r>
          </w:p>
        </w:tc>
      </w:tr>
    </w:tbl>
    <w:p w14:paraId="16B33D1D" w14:textId="77777777" w:rsidR="00F77B3B" w:rsidRPr="00630A55" w:rsidRDefault="00F77B3B" w:rsidP="00F77B3B">
      <w:pPr>
        <w:pStyle w:val="Source"/>
      </w:pPr>
      <w:r w:rsidRPr="00630A55">
        <w:t>Source: Jurisdictional consultations and data quality statement</w:t>
      </w:r>
    </w:p>
    <w:p w14:paraId="24400971" w14:textId="77777777" w:rsidR="00F77B3B" w:rsidRPr="00630A55" w:rsidRDefault="00F77B3B" w:rsidP="00F77B3B">
      <w:pPr>
        <w:pStyle w:val="Heading3"/>
      </w:pPr>
      <w:r w:rsidRPr="00630A55">
        <w:t>Business requirements</w:t>
      </w:r>
    </w:p>
    <w:p w14:paraId="47B6F95C" w14:textId="7D2847FF" w:rsidR="00F77B3B" w:rsidRPr="00630A55" w:rsidRDefault="00F77B3B" w:rsidP="008225C3">
      <w:pPr>
        <w:jc w:val="both"/>
      </w:pPr>
      <w:r w:rsidRPr="00630A55">
        <w:t xml:space="preserve">The data collected by ACTHD and </w:t>
      </w:r>
      <w:r w:rsidR="00710D0C">
        <w:t>CH</w:t>
      </w:r>
      <w:r w:rsidRPr="00630A55">
        <w:t xml:space="preserve"> is used for different </w:t>
      </w:r>
      <w:r w:rsidR="00F87F67">
        <w:t>purposes</w:t>
      </w:r>
      <w:r w:rsidRPr="00630A55">
        <w:t xml:space="preserve"> across the </w:t>
      </w:r>
      <w:r w:rsidR="00710D0C">
        <w:t>ACT</w:t>
      </w:r>
      <w:r w:rsidRPr="00630A55">
        <w:t xml:space="preserve">. Data is used to analyse the cost of healthcare in </w:t>
      </w:r>
      <w:r w:rsidR="00710D0C">
        <w:t xml:space="preserve">the </w:t>
      </w:r>
      <w:r w:rsidRPr="00630A55">
        <w:t>ACT for various specialities and to perform comparative benchmarking using the IHACPA benchmarking portal. Patient costing data is also used by the health services and ACTHD to support business cases and decision making.</w:t>
      </w:r>
    </w:p>
    <w:p w14:paraId="518918EF" w14:textId="2CF4B7D3" w:rsidR="00F77B3B" w:rsidRPr="00630A55" w:rsidRDefault="00F77B3B" w:rsidP="00F77B3B">
      <w:pPr>
        <w:pStyle w:val="Heading3"/>
      </w:pPr>
      <w:r w:rsidRPr="00630A55">
        <w:t xml:space="preserve">Implications of COVID-19 </w:t>
      </w:r>
    </w:p>
    <w:p w14:paraId="2D0CBB2B" w14:textId="3FCDB0B4" w:rsidR="008225C3" w:rsidRDefault="00F77B3B" w:rsidP="008225C3">
      <w:pPr>
        <w:jc w:val="both"/>
      </w:pPr>
      <w:r w:rsidRPr="00630A55">
        <w:t xml:space="preserve">During FY21, there were no COVID-19 admissions to public hospitals in </w:t>
      </w:r>
      <w:r w:rsidR="00710D0C">
        <w:t xml:space="preserve">the </w:t>
      </w:r>
      <w:r w:rsidRPr="00630A55">
        <w:t xml:space="preserve">ACT. However, there were a series of COVID-19 costs that were incurred as a result of changes that were made to prepare the health system for an increase in COVID-19 patients. Calvary Hospital opened a dedicated fever clinic and respiratory ward that triaged and supported suspected COVID-19 patients. All costs associated with this were direct costs. The delivery of COVID-19 vaccines was supported by the Canberra Health Service. </w:t>
      </w:r>
    </w:p>
    <w:p w14:paraId="7EF29810" w14:textId="4898CB55" w:rsidR="001A3F23" w:rsidRDefault="00F77B3B" w:rsidP="008225C3">
      <w:pPr>
        <w:jc w:val="both"/>
      </w:pPr>
      <w:r w:rsidRPr="00630A55">
        <w:lastRenderedPageBreak/>
        <w:t>All costs associated with the delivery of the vaccine were allocated to a specific COVID-19 vaccine cost centr</w:t>
      </w:r>
      <w:r w:rsidR="0008106E">
        <w:t>e</w:t>
      </w:r>
      <w:r w:rsidRPr="00630A55">
        <w:t xml:space="preserve">. There was a specific COVID-19 cost centre (separate to the vaccine cost centre) where associated costs such as additional PPE were allocated. </w:t>
      </w:r>
    </w:p>
    <w:p w14:paraId="38833534" w14:textId="04384D1A" w:rsidR="001B2C23" w:rsidRDefault="001B2C23" w:rsidP="008225C3">
      <w:pPr>
        <w:jc w:val="both"/>
      </w:pPr>
      <w:r w:rsidRPr="008C04F5">
        <w:t xml:space="preserve">Like other jurisdictions, </w:t>
      </w:r>
      <w:r w:rsidR="003B4BE3" w:rsidRPr="008C04F5">
        <w:t>ACT also experienced workforce shortages and contracted the use of private sector facilities for surgery where required</w:t>
      </w:r>
      <w:r w:rsidR="00C544C8" w:rsidRPr="008C04F5">
        <w:t>.</w:t>
      </w:r>
      <w:r w:rsidR="00C544C8">
        <w:t xml:space="preserve"> </w:t>
      </w:r>
    </w:p>
    <w:p w14:paraId="138E72DA" w14:textId="00917C69" w:rsidR="00F77B3B" w:rsidRPr="00630A55" w:rsidRDefault="00F77B3B" w:rsidP="008225C3">
      <w:pPr>
        <w:jc w:val="both"/>
      </w:pPr>
      <w:r w:rsidRPr="00630A55">
        <w:t xml:space="preserve">Patients who were being treated on wards who were later found to be suspected COVID-19 patients had </w:t>
      </w:r>
      <w:r w:rsidR="008225C3" w:rsidRPr="00630A55">
        <w:t>all</w:t>
      </w:r>
      <w:r w:rsidRPr="00630A55">
        <w:t xml:space="preserve"> their associated costs allocated to the cost centre where they were receiving treatment. ACTHD faced numerous challenges with reconciling the various reimbursements from the Commonwealth. </w:t>
      </w:r>
    </w:p>
    <w:p w14:paraId="49B6DEBC" w14:textId="77777777" w:rsidR="00F77B3B" w:rsidRPr="00630A55" w:rsidRDefault="00F77B3B" w:rsidP="00F77B3B">
      <w:pPr>
        <w:pStyle w:val="Heading3"/>
      </w:pPr>
      <w:r w:rsidRPr="00630A55">
        <w:t xml:space="preserve">Key learning and future improvements </w:t>
      </w:r>
    </w:p>
    <w:p w14:paraId="078BA4B9" w14:textId="6FAC6145" w:rsidR="00F77B3B" w:rsidRPr="00630A55" w:rsidRDefault="00F77B3B" w:rsidP="008225C3">
      <w:pPr>
        <w:jc w:val="both"/>
      </w:pPr>
      <w:r w:rsidRPr="00630A55">
        <w:t xml:space="preserve">ACTHD have implemented a range of quality assurance checks and data linking to ensure their data is accurate and reflective of what occurred during a given period. Continuous improvement on linking rules has allowed greater accuracy within the data. The quality assurance checks that follow in SQL provide </w:t>
      </w:r>
      <w:r w:rsidR="00710D0C">
        <w:t>an excellent</w:t>
      </w:r>
      <w:r w:rsidRPr="00630A55">
        <w:t xml:space="preserve"> screening tool to identify discrepancies within the data. </w:t>
      </w:r>
    </w:p>
    <w:p w14:paraId="133AF931" w14:textId="7984D964" w:rsidR="00F77B3B" w:rsidRPr="00630A55" w:rsidRDefault="00F77B3B" w:rsidP="008225C3">
      <w:pPr>
        <w:jc w:val="both"/>
      </w:pPr>
      <w:r w:rsidRPr="00630A55">
        <w:t xml:space="preserve">ACTHD has an opportunity to improve costing literacy across the public hospitals. Given </w:t>
      </w:r>
      <w:r w:rsidR="00710D0C">
        <w:t>that</w:t>
      </w:r>
      <w:r>
        <w:t xml:space="preserve"> </w:t>
      </w:r>
      <w:r w:rsidRPr="00630A55">
        <w:t xml:space="preserve">there are three ABF funded hospitals in </w:t>
      </w:r>
      <w:r w:rsidR="00710D0C">
        <w:t xml:space="preserve">the </w:t>
      </w:r>
      <w:r w:rsidRPr="00630A55">
        <w:t xml:space="preserve">ACT, improving awareness of costing processes will lead to greater richness within the data. This will give hospitals the opportunity to better understand costs associated with delivering care and provide insights to clinicians when seeking additional funding through business cases. </w:t>
      </w:r>
    </w:p>
    <w:p w14:paraId="58B8EC35" w14:textId="77777777" w:rsidR="00F77B3B" w:rsidRPr="00630A55" w:rsidRDefault="00F77B3B" w:rsidP="00F77B3B">
      <w:pPr>
        <w:pStyle w:val="Heading3"/>
      </w:pPr>
      <w:r w:rsidRPr="00630A55">
        <w:t xml:space="preserve">Conclusion </w:t>
      </w:r>
    </w:p>
    <w:p w14:paraId="4F5225AB" w14:textId="09DBD03E" w:rsidR="00F77B3B" w:rsidRDefault="00F77B3B" w:rsidP="008225C3">
      <w:pPr>
        <w:pStyle w:val="BodyText"/>
      </w:pPr>
      <w:r w:rsidRPr="00532122">
        <w:t xml:space="preserve">Data provided by ACTHD for </w:t>
      </w:r>
      <w:r w:rsidR="00595A9F">
        <w:t>FY20/21</w:t>
      </w:r>
      <w:r w:rsidRPr="00532122">
        <w:t xml:space="preserve"> of the NHCDC has been prepared in </w:t>
      </w:r>
      <w:r w:rsidR="00710D0C">
        <w:t>accordance</w:t>
      </w:r>
      <w:r w:rsidR="00710D0C" w:rsidRPr="00532122">
        <w:t xml:space="preserve"> </w:t>
      </w:r>
      <w:r w:rsidRPr="00532122">
        <w:t xml:space="preserve">with AHPCS. </w:t>
      </w:r>
      <w:r>
        <w:t>ACTHD also included medical expenses in trust accounts that sit outside the GL. The exception to the AHPCS is that ACTHD excludes</w:t>
      </w:r>
      <w:r w:rsidR="00BD745C">
        <w:t xml:space="preserve"> these</w:t>
      </w:r>
      <w:r>
        <w:t xml:space="preserve"> costs from </w:t>
      </w:r>
      <w:r w:rsidR="00710D0C">
        <w:t xml:space="preserve">the </w:t>
      </w:r>
      <w:r>
        <w:t xml:space="preserve">ACT costing submission. </w:t>
      </w:r>
    </w:p>
    <w:p w14:paraId="1D7BF860" w14:textId="1220593B" w:rsidR="00F77B3B" w:rsidRPr="007E1AC8" w:rsidRDefault="00F77B3B" w:rsidP="008225C3">
      <w:pPr>
        <w:pStyle w:val="BodyText"/>
      </w:pPr>
      <w:r w:rsidRPr="007E1AC8">
        <w:rPr>
          <w:rStyle w:val="normaltextrun"/>
        </w:rPr>
        <w:t xml:space="preserve">ACTHD reported their costing submission was prepared in accordance with the AHPCS version 4.1 for </w:t>
      </w:r>
      <w:r w:rsidR="00595A9F">
        <w:rPr>
          <w:rStyle w:val="normaltextrun"/>
        </w:rPr>
        <w:t>FY20/21</w:t>
      </w:r>
      <w:r w:rsidRPr="007E1AC8">
        <w:rPr>
          <w:rStyle w:val="normaltextrun"/>
        </w:rPr>
        <w:t xml:space="preserve">. Based on the methodology outlined, </w:t>
      </w:r>
      <w:r w:rsidR="00710D0C">
        <w:rPr>
          <w:rStyle w:val="normaltextrun"/>
        </w:rPr>
        <w:t>CH</w:t>
      </w:r>
      <w:r w:rsidRPr="007E1AC8">
        <w:rPr>
          <w:rStyle w:val="normaltextrun"/>
        </w:rPr>
        <w:t xml:space="preserve"> has suitable reconciliation processes in place and the financial and activity data is considered fit for purpose for NHCDC submission.</w:t>
      </w:r>
    </w:p>
    <w:p w14:paraId="1E3BFCFD" w14:textId="77777777" w:rsidR="00F77B3B" w:rsidRPr="00630A55" w:rsidRDefault="00F77B3B" w:rsidP="00F77B3B"/>
    <w:p w14:paraId="46473220" w14:textId="77777777" w:rsidR="00CE33AB" w:rsidRDefault="00CE33AB" w:rsidP="008F21F4">
      <w:pPr>
        <w:sectPr w:rsidR="00CE33AB" w:rsidSect="00146B60">
          <w:pgSz w:w="11906" w:h="16838"/>
          <w:pgMar w:top="1134" w:right="1418" w:bottom="1418" w:left="1418" w:header="709" w:footer="454" w:gutter="0"/>
          <w:cols w:space="708"/>
          <w:docGrid w:linePitch="360"/>
        </w:sectPr>
      </w:pPr>
    </w:p>
    <w:p w14:paraId="39248FA2" w14:textId="20809CCB" w:rsidR="000F23B5" w:rsidRPr="00A16B1D" w:rsidRDefault="006B1566" w:rsidP="000F23B5">
      <w:pPr>
        <w:pStyle w:val="Heading2"/>
      </w:pPr>
      <w:bookmarkStart w:id="40" w:name="_Toc128376725"/>
      <w:r>
        <w:lastRenderedPageBreak/>
        <w:t>T</w:t>
      </w:r>
      <w:r w:rsidR="000B0795" w:rsidRPr="00A16B1D">
        <w:t>asmania</w:t>
      </w:r>
      <w:bookmarkEnd w:id="40"/>
    </w:p>
    <w:p w14:paraId="4AA70C6D" w14:textId="3CBC1EB3" w:rsidR="000F23B5" w:rsidRPr="00630A55" w:rsidRDefault="006B1566" w:rsidP="000F23B5">
      <w:pPr>
        <w:pStyle w:val="Heading3"/>
      </w:pPr>
      <w:r>
        <w:t>J</w:t>
      </w:r>
      <w:r w:rsidR="000F23B5" w:rsidRPr="00630A55">
        <w:t xml:space="preserve">urisdictional summary </w:t>
      </w:r>
    </w:p>
    <w:p w14:paraId="2DFFD975" w14:textId="5E5841FF" w:rsidR="000F2814" w:rsidRPr="00630A55" w:rsidRDefault="000F2814" w:rsidP="00C4103E">
      <w:pPr>
        <w:pStyle w:val="Heading4"/>
      </w:pPr>
      <w:r w:rsidRPr="00630A55">
        <w:t xml:space="preserve">Health Service </w:t>
      </w:r>
      <w:r w:rsidR="00F70B16">
        <w:t>o</w:t>
      </w:r>
      <w:r w:rsidRPr="00630A55">
        <w:t>verview</w:t>
      </w:r>
    </w:p>
    <w:p w14:paraId="4B462E93" w14:textId="0980B4D4" w:rsidR="000F2814" w:rsidRPr="00630A55" w:rsidRDefault="000F2814" w:rsidP="008225C3">
      <w:pPr>
        <w:jc w:val="both"/>
      </w:pPr>
      <w:r w:rsidRPr="00630A55">
        <w:t xml:space="preserve">The Tasmanian Health Service (THS) comprises </w:t>
      </w:r>
      <w:r w:rsidR="00710D0C">
        <w:t>26</w:t>
      </w:r>
      <w:r w:rsidRPr="00630A55">
        <w:t xml:space="preserve"> hospitals, four major hospitals, </w:t>
      </w:r>
      <w:r w:rsidR="00710D0C">
        <w:t>18 </w:t>
      </w:r>
      <w:r w:rsidRPr="00630A55">
        <w:t xml:space="preserve">rural hospitals and two </w:t>
      </w:r>
      <w:r w:rsidR="00710D0C">
        <w:t>statewide</w:t>
      </w:r>
      <w:r w:rsidRPr="00630A55">
        <w:t xml:space="preserve"> facilities. These providers are primarily funded through existing block funding arrangements, however, there are a number of providers who are funded through ABF. In </w:t>
      </w:r>
      <w:r w:rsidR="00595A9F">
        <w:t>FY20/21</w:t>
      </w:r>
      <w:r w:rsidRPr="00630A55">
        <w:t xml:space="preserve"> of the IFR, </w:t>
      </w:r>
      <w:r w:rsidR="00710D0C">
        <w:t xml:space="preserve">RHH </w:t>
      </w:r>
      <w:r w:rsidRPr="00630A55">
        <w:t>has been selected as the only participating hospital in Tasmania</w:t>
      </w:r>
      <w:r w:rsidR="0018005C">
        <w:t xml:space="preserve">, </w:t>
      </w:r>
      <w:r w:rsidR="0018005C" w:rsidRPr="00630A55">
        <w:t>based upon the sampling framework</w:t>
      </w:r>
      <w:r w:rsidRPr="00630A55">
        <w:t xml:space="preserve">. RHH is the largest hospital in Tasmania with 624 beds and delivering a range of acute, sub-acute, mental health and aged care inpatient and ambulatory services. </w:t>
      </w:r>
    </w:p>
    <w:p w14:paraId="5E75ABC5" w14:textId="786436B5" w:rsidR="000F2814" w:rsidRPr="00630A55" w:rsidRDefault="000F2814" w:rsidP="00C4103E">
      <w:pPr>
        <w:pStyle w:val="Heading4"/>
      </w:pPr>
      <w:r w:rsidRPr="00630A55">
        <w:t xml:space="preserve">Costing </w:t>
      </w:r>
      <w:r w:rsidR="00205541">
        <w:t>o</w:t>
      </w:r>
      <w:r w:rsidRPr="00630A55">
        <w:t>verview</w:t>
      </w:r>
    </w:p>
    <w:p w14:paraId="634B93C2" w14:textId="155CD9C7" w:rsidR="000F2814" w:rsidRPr="00630A55" w:rsidRDefault="000F2814" w:rsidP="008225C3">
      <w:pPr>
        <w:jc w:val="both"/>
      </w:pPr>
      <w:r w:rsidRPr="00630A55">
        <w:t xml:space="preserve">The Tasmanian Health Department (DOH) undertakes patient costing through the Clinical Costing Unit on behalf of the THS. The Clinical Costing Unit is responsible for the collation, processing, reconciliation, and submission of NHCDC data to </w:t>
      </w:r>
      <w:r w:rsidR="00BE235C">
        <w:t>IHACPA</w:t>
      </w:r>
      <w:r w:rsidRPr="00630A55">
        <w:t xml:space="preserve"> for the public hospitals in Tasmania using the information supplied by the health services. Activity is extracted from the Health Central database in THS. There is a strong focus on linking activity to costing data using established matching rules following extraction. This is specifically for pathology, imaging and pharmacy. The process allows the Clinical Costing Unit to determine if there are any feeder issues or data quality challenges that need to be addressed. </w:t>
      </w:r>
    </w:p>
    <w:p w14:paraId="65706898" w14:textId="387D24C7" w:rsidR="000F2814" w:rsidRPr="00630A55" w:rsidRDefault="000F2814" w:rsidP="00C4103E">
      <w:pPr>
        <w:pStyle w:val="Heading4"/>
      </w:pPr>
      <w:r w:rsidRPr="00630A55">
        <w:t xml:space="preserve">Systems </w:t>
      </w:r>
      <w:r w:rsidR="009E02E7">
        <w:t>e</w:t>
      </w:r>
      <w:r w:rsidRPr="00630A55">
        <w:t>nvironment</w:t>
      </w:r>
    </w:p>
    <w:p w14:paraId="2469775F" w14:textId="3F545C3D" w:rsidR="000F2814" w:rsidRPr="00630A55" w:rsidRDefault="000F2814" w:rsidP="008225C3">
      <w:pPr>
        <w:jc w:val="both"/>
      </w:pPr>
      <w:r w:rsidRPr="00630A55">
        <w:t xml:space="preserve">The costing software used by </w:t>
      </w:r>
      <w:r w:rsidR="00DC3988">
        <w:t xml:space="preserve">the </w:t>
      </w:r>
      <w:r w:rsidRPr="00630A55">
        <w:t>Tasmania</w:t>
      </w:r>
      <w:r w:rsidR="00710D0C">
        <w:t>n</w:t>
      </w:r>
      <w:r w:rsidRPr="00630A55">
        <w:t xml:space="preserve"> DOH is UserCost, and the data is stored in the Clinical Costing SQL database</w:t>
      </w:r>
      <w:r w:rsidR="009E02E7">
        <w:t>,</w:t>
      </w:r>
      <w:r w:rsidRPr="00630A55">
        <w:t xml:space="preserve"> with QlikView as the reporting and analysis tool. The state has multiple feeder systems for services including pathology, imaging and pharmacy systems. </w:t>
      </w:r>
    </w:p>
    <w:p w14:paraId="32E21DC5" w14:textId="77777777" w:rsidR="000F2814" w:rsidRPr="00630A55" w:rsidRDefault="000F2814" w:rsidP="00C4103E">
      <w:pPr>
        <w:pStyle w:val="Heading4"/>
      </w:pPr>
      <w:r w:rsidRPr="00630A55">
        <w:t>Improvements</w:t>
      </w:r>
    </w:p>
    <w:p w14:paraId="279CD7A0" w14:textId="4E2F7511" w:rsidR="000F2814" w:rsidRPr="00630A55" w:rsidRDefault="000F2814" w:rsidP="008225C3">
      <w:pPr>
        <w:jc w:val="both"/>
      </w:pPr>
      <w:r w:rsidRPr="00630A55">
        <w:t xml:space="preserve">Tasmania did not participate in </w:t>
      </w:r>
      <w:r w:rsidR="00595A9F">
        <w:t>FY19/20</w:t>
      </w:r>
      <w:r w:rsidRPr="00630A55">
        <w:t xml:space="preserve"> of the IFR. There were no material improvements in the costing process or methodology between the previous year and the NHCDC </w:t>
      </w:r>
      <w:r w:rsidR="00595A9F">
        <w:t>FY20/21</w:t>
      </w:r>
      <w:r w:rsidRPr="00630A55">
        <w:t xml:space="preserve">. The Tasmanian DOH have focussed on incremental refinement of patient costing processes following the disruption caused by COVID-19. A key focus following </w:t>
      </w:r>
      <w:r w:rsidR="00595A9F">
        <w:t>FY20/21</w:t>
      </w:r>
      <w:r w:rsidRPr="00630A55">
        <w:t xml:space="preserve"> has been to improve quality assurance checks. The Tasmanian DOH conducts a series of manual and randomised quality assurance checks. This includes reviewing the </w:t>
      </w:r>
      <w:r w:rsidR="00E1715B">
        <w:t>GL</w:t>
      </w:r>
      <w:r w:rsidRPr="00630A55">
        <w:t xml:space="preserve"> and activity data as well as the pathology, </w:t>
      </w:r>
      <w:r w:rsidR="008225C3" w:rsidRPr="00630A55">
        <w:t>pharmacy,</w:t>
      </w:r>
      <w:r w:rsidRPr="00630A55">
        <w:t xml:space="preserve"> and imaging services at a statewide and hospital level to ensure the number of items for each month are within expectations. </w:t>
      </w:r>
    </w:p>
    <w:p w14:paraId="4708CC6C" w14:textId="02316518" w:rsidR="000F2814" w:rsidRPr="00630A55" w:rsidRDefault="000F2814" w:rsidP="000F2814">
      <w:pPr>
        <w:pStyle w:val="Heading3"/>
      </w:pPr>
      <w:r w:rsidRPr="00630A55">
        <w:t xml:space="preserve">Data flow and reconciliation </w:t>
      </w:r>
    </w:p>
    <w:p w14:paraId="029E1B30" w14:textId="3C611920" w:rsidR="005D07BB" w:rsidRDefault="005D07BB" w:rsidP="008225C3">
      <w:pPr>
        <w:jc w:val="both"/>
      </w:pPr>
      <w:r>
        <w:t xml:space="preserve">The total submission for the Tasmanian Health Service (THS) in the GL was $2,014,236,301. Following adjustments, such as </w:t>
      </w:r>
      <w:r w:rsidR="006B1566">
        <w:t>c</w:t>
      </w:r>
      <w:r>
        <w:t xml:space="preserve">orporate expenses, National Partnership on COVID-19 Response (NPCR) expenses, and others, $2,099,418,025 was transferred to the costing system for </w:t>
      </w:r>
      <w:r w:rsidR="00055ADF">
        <w:t>FY20/21</w:t>
      </w:r>
      <w:r>
        <w:t>.</w:t>
      </w:r>
    </w:p>
    <w:p w14:paraId="0BF3E9C3" w14:textId="0785E2E1" w:rsidR="001A3F23" w:rsidRDefault="005D07BB" w:rsidP="008225C3">
      <w:pPr>
        <w:jc w:val="both"/>
      </w:pPr>
      <w:r>
        <w:t xml:space="preserve">The Royal Hobart Hospital (RHH) total submission in the GL was $877,754,953. Following an adjustment to salaries and wages workers compensation for southern THS, $876,692,809 was transferred to the costing system. The total post allocation amount that was costed to </w:t>
      </w:r>
      <w:r w:rsidR="004E1E23">
        <w:t>RHH</w:t>
      </w:r>
      <w:r>
        <w:t xml:space="preserve"> was $902,190,182. </w:t>
      </w:r>
    </w:p>
    <w:p w14:paraId="019D22AD" w14:textId="77777777" w:rsidR="001A3F23" w:rsidRDefault="001A3F23">
      <w:pPr>
        <w:spacing w:before="0" w:after="160" w:line="259" w:lineRule="auto"/>
      </w:pPr>
      <w:r>
        <w:br w:type="page"/>
      </w:r>
    </w:p>
    <w:p w14:paraId="0685B139" w14:textId="6CF25FC5" w:rsidR="005D07BB" w:rsidRDefault="005D07BB" w:rsidP="008225C3">
      <w:pPr>
        <w:jc w:val="both"/>
      </w:pPr>
      <w:r>
        <w:lastRenderedPageBreak/>
        <w:t xml:space="preserve">This increase in costs was due </w:t>
      </w:r>
      <w:r w:rsidR="00335906">
        <w:t>to</w:t>
      </w:r>
      <w:r>
        <w:t xml:space="preserve"> inclusions such as a mental health ward, a series of corporate cost centres (including building expenditure), pharmacy and drugs. Lastly, there is additional variation introduced as costs are allocated to a patient based on their episode location</w:t>
      </w:r>
      <w:r w:rsidR="00335906">
        <w:t>,</w:t>
      </w:r>
      <w:r>
        <w:t xml:space="preserve"> </w:t>
      </w:r>
      <w:r w:rsidR="001D4ACD">
        <w:t>that</w:t>
      </w:r>
      <w:r>
        <w:t xml:space="preserve"> may incur costs received from a different hospital or clinic, depending on where that hospital or clinic is located.</w:t>
      </w:r>
    </w:p>
    <w:p w14:paraId="4D3370F3" w14:textId="669C9B39" w:rsidR="000F2814" w:rsidRPr="00630A55" w:rsidRDefault="005D07BB" w:rsidP="008225C3">
      <w:pPr>
        <w:jc w:val="both"/>
      </w:pPr>
      <w:r>
        <w:t>The total costs submitted to the jurisdiction for R</w:t>
      </w:r>
      <w:r w:rsidR="00822EF2">
        <w:t>HH</w:t>
      </w:r>
      <w:r>
        <w:t xml:space="preserve"> was $902,190,184. </w:t>
      </w:r>
      <w:r w:rsidR="000F2814" w:rsidRPr="00630A55">
        <w:t xml:space="preserve">The total </w:t>
      </w:r>
      <w:r>
        <w:t>Work in Progress (</w:t>
      </w:r>
      <w:r w:rsidR="000F2814" w:rsidRPr="00630A55">
        <w:t>WIP</w:t>
      </w:r>
      <w:r>
        <w:t>)</w:t>
      </w:r>
      <w:r w:rsidR="000F2814" w:rsidRPr="00630A55">
        <w:t xml:space="preserve"> adjustment was $2,297,054. This includes $11,754,848 of inclusions and $9,457,794 of exclusions. WIP inclusions accounted for patients who were admitted in FY20 and discharged in FY21. WIP exclusions accounted for patients who were admitted in FY21 but excluded in FY22.</w:t>
      </w:r>
    </w:p>
    <w:p w14:paraId="72DA17CD" w14:textId="3BD47293" w:rsidR="000F2814" w:rsidRPr="00630A55" w:rsidRDefault="000F2814" w:rsidP="008225C3">
      <w:pPr>
        <w:jc w:val="both"/>
      </w:pPr>
      <w:r w:rsidRPr="00630A55">
        <w:t xml:space="preserve">The total costs submitted to </w:t>
      </w:r>
      <w:r w:rsidR="00BE235C">
        <w:t>IHACPA</w:t>
      </w:r>
      <w:r w:rsidRPr="00630A55">
        <w:t xml:space="preserve"> from the </w:t>
      </w:r>
      <w:r w:rsidR="00710D0C">
        <w:t>j</w:t>
      </w:r>
      <w:r w:rsidRPr="00630A55">
        <w:t xml:space="preserve">urisdiction for </w:t>
      </w:r>
      <w:r w:rsidR="00161803">
        <w:t>RHH</w:t>
      </w:r>
      <w:r w:rsidRPr="00630A55">
        <w:t xml:space="preserve"> was $704,845,282</w:t>
      </w:r>
      <w:r w:rsidR="008E7937">
        <w:t xml:space="preserve">, adjustments by the jurisdiction </w:t>
      </w:r>
      <w:r w:rsidRPr="00630A55">
        <w:t>of $197,</w:t>
      </w:r>
      <w:r w:rsidR="008E7937">
        <w:t>344,902</w:t>
      </w:r>
      <w:r w:rsidR="008E7937" w:rsidRPr="00AB6055">
        <w:t xml:space="preserve"> </w:t>
      </w:r>
      <w:r w:rsidR="008E7937">
        <w:t>are</w:t>
      </w:r>
      <w:r w:rsidRPr="00630A55">
        <w:t xml:space="preserve"> attributed to services and expenditure that </w:t>
      </w:r>
      <w:r w:rsidR="008E7937">
        <w:t>do</w:t>
      </w:r>
      <w:r w:rsidRPr="00630A55">
        <w:t xml:space="preserve"> not form part of the NHCDC submission</w:t>
      </w:r>
      <w:r w:rsidR="005D07BB">
        <w:t>.</w:t>
      </w:r>
      <w:r w:rsidRPr="00630A55">
        <w:t xml:space="preserve"> This includes services such as community oral health, child and parenting services, external meals, </w:t>
      </w:r>
      <w:r w:rsidR="005D07BB">
        <w:t xml:space="preserve">cafeteria staff, and cancer screening. There was a substantial difference in costs submitted to the jurisdiction and costs submitted to IHACPA due to unmatched activity. </w:t>
      </w:r>
      <w:r w:rsidRPr="00630A55">
        <w:t xml:space="preserve">For further details on the costs and activity submitted for the </w:t>
      </w:r>
      <w:r w:rsidR="00710D0C">
        <w:t>RHH</w:t>
      </w:r>
      <w:r w:rsidRPr="00630A55">
        <w:t xml:space="preserve"> and Tasmanian Health Service</w:t>
      </w:r>
      <w:r>
        <w:t>, see</w:t>
      </w:r>
      <w:r w:rsidR="00106C9E">
        <w:t xml:space="preserve"> </w:t>
      </w:r>
      <w:r w:rsidR="00AD608F">
        <w:fldChar w:fldCharType="begin"/>
      </w:r>
      <w:r w:rsidR="00AD608F">
        <w:instrText xml:space="preserve"> REF _Ref114758083 \h </w:instrText>
      </w:r>
      <w:r w:rsidR="008225C3">
        <w:instrText xml:space="preserve"> \* MERGEFORMAT </w:instrText>
      </w:r>
      <w:r w:rsidR="00AD608F">
        <w:fldChar w:fldCharType="separate"/>
      </w:r>
      <w:r w:rsidR="007E2ACB" w:rsidRPr="007E2ACB">
        <w:t xml:space="preserve">Table </w:t>
      </w:r>
      <w:r w:rsidR="007E2ACB" w:rsidRPr="007E2ACB">
        <w:rPr>
          <w:noProof/>
        </w:rPr>
        <w:t>10</w:t>
      </w:r>
      <w:r w:rsidR="00AD608F">
        <w:fldChar w:fldCharType="end"/>
      </w:r>
      <w:r w:rsidR="00106C9E">
        <w:t xml:space="preserve">. </w:t>
      </w:r>
    </w:p>
    <w:p w14:paraId="13518ABB" w14:textId="77777777" w:rsidR="00632B47" w:rsidRDefault="00632B47">
      <w:pPr>
        <w:spacing w:before="0" w:after="160" w:line="259" w:lineRule="auto"/>
        <w:rPr>
          <w:iCs/>
          <w:sz w:val="20"/>
          <w:szCs w:val="16"/>
        </w:rPr>
      </w:pPr>
      <w:bookmarkStart w:id="41" w:name="_Ref109735372"/>
      <w:r>
        <w:br w:type="page"/>
      </w:r>
    </w:p>
    <w:p w14:paraId="33D0072A" w14:textId="2E62E74F" w:rsidR="000F2814" w:rsidRPr="00630A55" w:rsidRDefault="00AD608F" w:rsidP="00AD608F">
      <w:pPr>
        <w:pStyle w:val="Caption"/>
      </w:pPr>
      <w:bookmarkStart w:id="42" w:name="_Ref114758083"/>
      <w:bookmarkStart w:id="43" w:name="_Ref114758077"/>
      <w:bookmarkEnd w:id="41"/>
      <w:r w:rsidRPr="008225C3">
        <w:rPr>
          <w:b/>
          <w:bCs/>
        </w:rPr>
        <w:lastRenderedPageBreak/>
        <w:t xml:space="preserve">Table </w:t>
      </w:r>
      <w:r w:rsidR="00170303" w:rsidRPr="008225C3">
        <w:rPr>
          <w:b/>
          <w:bCs/>
        </w:rPr>
        <w:fldChar w:fldCharType="begin"/>
      </w:r>
      <w:r w:rsidR="00170303" w:rsidRPr="008225C3">
        <w:rPr>
          <w:b/>
          <w:bCs/>
        </w:rPr>
        <w:instrText xml:space="preserve"> SEQ Table \* ARABIC </w:instrText>
      </w:r>
      <w:r w:rsidR="00170303" w:rsidRPr="008225C3">
        <w:rPr>
          <w:b/>
          <w:bCs/>
        </w:rPr>
        <w:fldChar w:fldCharType="separate"/>
      </w:r>
      <w:r w:rsidR="007E2ACB">
        <w:rPr>
          <w:b/>
          <w:bCs/>
          <w:noProof/>
        </w:rPr>
        <w:t>10</w:t>
      </w:r>
      <w:r w:rsidR="00170303" w:rsidRPr="008225C3">
        <w:rPr>
          <w:b/>
          <w:bCs/>
          <w:noProof/>
        </w:rPr>
        <w:fldChar w:fldCharType="end"/>
      </w:r>
      <w:bookmarkEnd w:id="42"/>
      <w:r w:rsidR="008225C3">
        <w:rPr>
          <w:b/>
          <w:bCs/>
          <w:noProof/>
        </w:rPr>
        <w:t>:</w:t>
      </w:r>
      <w:r w:rsidR="000F2814" w:rsidRPr="00630A55">
        <w:t xml:space="preserve"> Reconciliation from General Ledger to NHCDC Costed Products - Tasmanian Health Service and Royal Hobart Hospital</w:t>
      </w:r>
      <w:bookmarkEnd w:id="43"/>
    </w:p>
    <w:tbl>
      <w:tblPr>
        <w:tblW w:w="917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1"/>
        <w:gridCol w:w="6606"/>
        <w:gridCol w:w="2287"/>
      </w:tblGrid>
      <w:tr w:rsidR="000F2814" w:rsidRPr="00630A55" w14:paraId="156B741F" w14:textId="77777777" w:rsidTr="00534F1C">
        <w:trPr>
          <w:trHeight w:val="20"/>
          <w:tblHeader/>
        </w:trPr>
        <w:tc>
          <w:tcPr>
            <w:tcW w:w="6887" w:type="dxa"/>
            <w:gridSpan w:val="2"/>
            <w:tcBorders>
              <w:bottom w:val="single" w:sz="4" w:space="0" w:color="auto"/>
              <w:right w:val="single" w:sz="4" w:space="0" w:color="auto"/>
            </w:tcBorders>
            <w:shd w:val="clear" w:color="000000" w:fill="00338D"/>
            <w:noWrap/>
            <w:vAlign w:val="center"/>
            <w:hideMark/>
          </w:tcPr>
          <w:p w14:paraId="4EAF9B1E" w14:textId="3D267439" w:rsidR="000F2814" w:rsidRPr="005F18FF" w:rsidRDefault="007E5018" w:rsidP="007E1AC8">
            <w:pPr>
              <w:pStyle w:val="Tableheading"/>
              <w:rPr>
                <w:rFonts w:ascii="Arial" w:hAnsi="Arial" w:cs="Arial"/>
                <w:szCs w:val="20"/>
                <w:lang w:eastAsia="en-AU"/>
              </w:rPr>
            </w:pPr>
            <w:r>
              <w:rPr>
                <w:rFonts w:ascii="Arial" w:hAnsi="Arial" w:cs="Arial"/>
                <w:szCs w:val="20"/>
                <w:lang w:eastAsia="en-AU"/>
              </w:rPr>
              <w:t>THS</w:t>
            </w:r>
            <w:r w:rsidR="000F2814" w:rsidRPr="005F18FF">
              <w:rPr>
                <w:rFonts w:ascii="Arial" w:hAnsi="Arial" w:cs="Arial"/>
                <w:szCs w:val="20"/>
                <w:lang w:eastAsia="en-AU"/>
              </w:rPr>
              <w:t xml:space="preserve"> level </w:t>
            </w:r>
            <w:r w:rsidR="00B66142">
              <w:rPr>
                <w:rFonts w:ascii="Arial" w:hAnsi="Arial" w:cs="Arial"/>
                <w:szCs w:val="20"/>
                <w:lang w:eastAsia="en-AU"/>
              </w:rPr>
              <w:t>d</w:t>
            </w:r>
            <w:r w:rsidR="000F2814" w:rsidRPr="005F18FF">
              <w:rPr>
                <w:rFonts w:ascii="Arial" w:hAnsi="Arial" w:cs="Arial"/>
                <w:szCs w:val="20"/>
                <w:lang w:eastAsia="en-AU"/>
              </w:rPr>
              <w:t>ata</w:t>
            </w:r>
          </w:p>
        </w:tc>
        <w:tc>
          <w:tcPr>
            <w:tcW w:w="2287" w:type="dxa"/>
            <w:tcBorders>
              <w:top w:val="single" w:sz="4" w:space="0" w:color="auto"/>
              <w:left w:val="single" w:sz="4" w:space="0" w:color="auto"/>
              <w:bottom w:val="single" w:sz="4" w:space="0" w:color="auto"/>
            </w:tcBorders>
            <w:shd w:val="clear" w:color="000000" w:fill="00338D"/>
            <w:noWrap/>
            <w:vAlign w:val="center"/>
            <w:hideMark/>
          </w:tcPr>
          <w:p w14:paraId="41DEA4F7" w14:textId="7D007673" w:rsidR="000F2814" w:rsidRPr="005F18FF" w:rsidRDefault="000F2814" w:rsidP="007E1AC8">
            <w:pPr>
              <w:pStyle w:val="Tableheading"/>
              <w:rPr>
                <w:rFonts w:ascii="Arial" w:hAnsi="Arial" w:cs="Arial"/>
                <w:color w:val="FFFFFF"/>
                <w:szCs w:val="20"/>
                <w:lang w:eastAsia="en-AU"/>
              </w:rPr>
            </w:pPr>
            <w:r w:rsidRPr="005F18FF">
              <w:rPr>
                <w:rFonts w:ascii="Arial" w:hAnsi="Arial" w:cs="Arial" w:hint="eastAsia"/>
                <w:szCs w:val="20"/>
                <w:lang w:eastAsia="en-AU"/>
              </w:rPr>
              <w:t> </w:t>
            </w:r>
            <w:r w:rsidR="0048310B">
              <w:rPr>
                <w:rFonts w:ascii="Arial" w:hAnsi="Arial" w:cs="Arial"/>
                <w:szCs w:val="20"/>
                <w:lang w:eastAsia="en-AU"/>
              </w:rPr>
              <w:t>Value</w:t>
            </w:r>
          </w:p>
        </w:tc>
      </w:tr>
      <w:tr w:rsidR="000F2814" w:rsidRPr="00630A55" w14:paraId="15792A59" w14:textId="77777777" w:rsidTr="00534F1C">
        <w:trPr>
          <w:trHeight w:val="20"/>
        </w:trPr>
        <w:tc>
          <w:tcPr>
            <w:tcW w:w="6887" w:type="dxa"/>
            <w:gridSpan w:val="2"/>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56527B50" w14:textId="27A8A9CB" w:rsidR="000F2814" w:rsidRPr="005F31EE" w:rsidRDefault="007E5018" w:rsidP="007E1AC8">
            <w:pPr>
              <w:pStyle w:val="Tabletext"/>
              <w:rPr>
                <w:rFonts w:cs="Arial"/>
                <w:color w:val="FFFFFF" w:themeColor="background1"/>
                <w:szCs w:val="20"/>
                <w:lang w:eastAsia="en-AU"/>
              </w:rPr>
            </w:pPr>
            <w:r>
              <w:rPr>
                <w:rFonts w:cs="Arial"/>
                <w:color w:val="000000" w:themeColor="text1"/>
                <w:szCs w:val="20"/>
                <w:lang w:eastAsia="en-AU"/>
              </w:rPr>
              <w:t>THS</w:t>
            </w:r>
            <w:r w:rsidR="000F2814" w:rsidRPr="0048310B">
              <w:rPr>
                <w:rFonts w:cs="Arial"/>
                <w:color w:val="000000" w:themeColor="text1"/>
                <w:szCs w:val="20"/>
                <w:lang w:eastAsia="en-AU"/>
              </w:rPr>
              <w:t xml:space="preserve"> General Ledger</w:t>
            </w:r>
          </w:p>
        </w:tc>
        <w:tc>
          <w:tcPr>
            <w:tcW w:w="2287" w:type="dxa"/>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355192CA" w14:textId="05D2F224" w:rsidR="000F2814" w:rsidRPr="005F31EE" w:rsidRDefault="000F2814" w:rsidP="007515AF">
            <w:pPr>
              <w:pStyle w:val="Tabletext"/>
              <w:jc w:val="right"/>
              <w:rPr>
                <w:rFonts w:cs="Arial"/>
                <w:color w:val="FFFFFF" w:themeColor="background1"/>
                <w:szCs w:val="20"/>
                <w:lang w:eastAsia="en-AU"/>
              </w:rPr>
            </w:pPr>
          </w:p>
        </w:tc>
      </w:tr>
      <w:tr w:rsidR="000F2814" w:rsidRPr="00630A55" w14:paraId="413344C1" w14:textId="77777777" w:rsidTr="00534F1C">
        <w:trPr>
          <w:trHeight w:val="20"/>
        </w:trPr>
        <w:tc>
          <w:tcPr>
            <w:tcW w:w="6887" w:type="dxa"/>
            <w:gridSpan w:val="2"/>
            <w:tcBorders>
              <w:top w:val="single" w:sz="4" w:space="0" w:color="auto"/>
              <w:left w:val="single" w:sz="4" w:space="0" w:color="auto"/>
              <w:bottom w:val="nil"/>
              <w:right w:val="single" w:sz="4" w:space="0" w:color="auto"/>
            </w:tcBorders>
            <w:shd w:val="clear" w:color="000000" w:fill="FFFFFF"/>
            <w:noWrap/>
            <w:vAlign w:val="center"/>
            <w:hideMark/>
          </w:tcPr>
          <w:p w14:paraId="645A5F70" w14:textId="140AD115" w:rsidR="000F2814" w:rsidRPr="005F31EE" w:rsidRDefault="000F2814" w:rsidP="007E1AC8">
            <w:pPr>
              <w:pStyle w:val="Tabletext"/>
              <w:rPr>
                <w:rFonts w:cs="Arial"/>
                <w:color w:val="000000"/>
                <w:szCs w:val="20"/>
                <w:lang w:eastAsia="en-AU"/>
              </w:rPr>
            </w:pPr>
            <w:r w:rsidRPr="005F31EE">
              <w:rPr>
                <w:rFonts w:cs="Arial"/>
                <w:szCs w:val="20"/>
                <w:lang w:eastAsia="en-AU"/>
              </w:rPr>
              <w:t xml:space="preserve">Transferred to </w:t>
            </w:r>
            <w:r w:rsidR="00106C9E" w:rsidRPr="005F31EE">
              <w:rPr>
                <w:rFonts w:cs="Arial"/>
                <w:szCs w:val="20"/>
                <w:lang w:eastAsia="en-AU"/>
              </w:rPr>
              <w:t>c</w:t>
            </w:r>
            <w:r w:rsidRPr="005F31EE">
              <w:rPr>
                <w:rFonts w:cs="Arial"/>
                <w:szCs w:val="20"/>
                <w:lang w:eastAsia="en-AU"/>
              </w:rPr>
              <w:t xml:space="preserve">osting </w:t>
            </w:r>
            <w:r w:rsidR="00106C9E" w:rsidRPr="005F31EE">
              <w:rPr>
                <w:rFonts w:cs="Arial"/>
                <w:szCs w:val="20"/>
                <w:lang w:eastAsia="en-AU"/>
              </w:rPr>
              <w:t>s</w:t>
            </w:r>
            <w:r w:rsidRPr="005F31EE">
              <w:rPr>
                <w:rFonts w:cs="Arial"/>
                <w:szCs w:val="20"/>
                <w:lang w:eastAsia="en-AU"/>
              </w:rPr>
              <w:t xml:space="preserve">ystem </w:t>
            </w:r>
          </w:p>
        </w:tc>
        <w:tc>
          <w:tcPr>
            <w:tcW w:w="2287" w:type="dxa"/>
            <w:tcBorders>
              <w:top w:val="single" w:sz="4" w:space="0" w:color="auto"/>
              <w:left w:val="single" w:sz="4" w:space="0" w:color="auto"/>
              <w:bottom w:val="nil"/>
              <w:right w:val="single" w:sz="4" w:space="0" w:color="auto"/>
            </w:tcBorders>
            <w:shd w:val="clear" w:color="auto" w:fill="auto"/>
            <w:noWrap/>
            <w:vAlign w:val="center"/>
            <w:hideMark/>
          </w:tcPr>
          <w:p w14:paraId="7A0C33FC" w14:textId="77777777" w:rsidR="000F2814" w:rsidRPr="005F31EE" w:rsidRDefault="000F2814" w:rsidP="007515AF">
            <w:pPr>
              <w:pStyle w:val="TableTextNumber"/>
              <w:jc w:val="right"/>
              <w:rPr>
                <w:rFonts w:cs="Arial"/>
                <w:szCs w:val="20"/>
              </w:rPr>
            </w:pPr>
            <w:r w:rsidRPr="005F31EE">
              <w:rPr>
                <w:rFonts w:cs="Arial"/>
                <w:szCs w:val="20"/>
              </w:rPr>
              <w:t>$2,099,418,025</w:t>
            </w:r>
          </w:p>
        </w:tc>
      </w:tr>
      <w:tr w:rsidR="000F2814" w:rsidRPr="00630A55" w14:paraId="31410B05" w14:textId="77777777" w:rsidTr="00534F1C">
        <w:trPr>
          <w:trHeight w:val="20"/>
        </w:trPr>
        <w:tc>
          <w:tcPr>
            <w:tcW w:w="6887" w:type="dxa"/>
            <w:gridSpan w:val="2"/>
            <w:tcBorders>
              <w:top w:val="nil"/>
              <w:left w:val="single" w:sz="4" w:space="0" w:color="auto"/>
              <w:bottom w:val="nil"/>
              <w:right w:val="single" w:sz="4" w:space="0" w:color="auto"/>
            </w:tcBorders>
            <w:shd w:val="clear" w:color="000000" w:fill="FFFFFF"/>
            <w:noWrap/>
            <w:vAlign w:val="center"/>
            <w:hideMark/>
          </w:tcPr>
          <w:p w14:paraId="66E183D7" w14:textId="716D8F59" w:rsidR="000F2814" w:rsidRPr="005F31EE" w:rsidRDefault="000A2805" w:rsidP="007E1AC8">
            <w:pPr>
              <w:pStyle w:val="Tabletext"/>
              <w:rPr>
                <w:rFonts w:cs="Arial"/>
                <w:color w:val="000000"/>
                <w:szCs w:val="20"/>
                <w:lang w:eastAsia="en-AU"/>
              </w:rPr>
            </w:pPr>
            <w:r w:rsidRPr="005F31EE">
              <w:rPr>
                <w:rFonts w:cs="Arial"/>
                <w:szCs w:val="20"/>
                <w:lang w:eastAsia="en-AU"/>
              </w:rPr>
              <w:t>Adjustments</w:t>
            </w:r>
          </w:p>
        </w:tc>
        <w:tc>
          <w:tcPr>
            <w:tcW w:w="2287" w:type="dxa"/>
            <w:tcBorders>
              <w:top w:val="nil"/>
              <w:left w:val="single" w:sz="4" w:space="0" w:color="auto"/>
              <w:bottom w:val="nil"/>
              <w:right w:val="single" w:sz="4" w:space="0" w:color="auto"/>
            </w:tcBorders>
            <w:shd w:val="clear" w:color="auto" w:fill="auto"/>
            <w:noWrap/>
            <w:vAlign w:val="center"/>
            <w:hideMark/>
          </w:tcPr>
          <w:p w14:paraId="748BC63D" w14:textId="6FB0F7C9" w:rsidR="000F2814" w:rsidRPr="005F31EE" w:rsidRDefault="00B07A61" w:rsidP="007515AF">
            <w:pPr>
              <w:pStyle w:val="TableTextNumber"/>
              <w:jc w:val="right"/>
              <w:rPr>
                <w:rFonts w:cs="Arial"/>
                <w:szCs w:val="20"/>
              </w:rPr>
            </w:pPr>
            <w:r w:rsidRPr="005F31EE">
              <w:rPr>
                <w:rFonts w:cs="Arial"/>
                <w:szCs w:val="20"/>
              </w:rPr>
              <w:t>$</w:t>
            </w:r>
            <w:r w:rsidR="000A2805" w:rsidRPr="005F31EE">
              <w:rPr>
                <w:rFonts w:cs="Arial"/>
                <w:szCs w:val="20"/>
              </w:rPr>
              <w:t>61,</w:t>
            </w:r>
            <w:r w:rsidR="008D1100" w:rsidRPr="005F31EE">
              <w:rPr>
                <w:rFonts w:cs="Arial"/>
                <w:szCs w:val="20"/>
              </w:rPr>
              <w:t>297</w:t>
            </w:r>
            <w:r w:rsidR="000A2805" w:rsidRPr="005F31EE">
              <w:rPr>
                <w:rFonts w:cs="Arial"/>
                <w:szCs w:val="20"/>
              </w:rPr>
              <w:t>,</w:t>
            </w:r>
            <w:r w:rsidR="008D1100" w:rsidRPr="005F31EE">
              <w:rPr>
                <w:rFonts w:cs="Arial"/>
                <w:szCs w:val="20"/>
              </w:rPr>
              <w:t>876</w:t>
            </w:r>
          </w:p>
        </w:tc>
      </w:tr>
      <w:tr w:rsidR="000F2814" w:rsidRPr="00630A55" w14:paraId="4C81F570" w14:textId="77777777" w:rsidTr="00534F1C">
        <w:trPr>
          <w:trHeight w:val="20"/>
        </w:trPr>
        <w:tc>
          <w:tcPr>
            <w:tcW w:w="6887" w:type="dxa"/>
            <w:gridSpan w:val="2"/>
            <w:tcBorders>
              <w:top w:val="nil"/>
              <w:left w:val="single" w:sz="4" w:space="0" w:color="auto"/>
              <w:bottom w:val="nil"/>
              <w:right w:val="single" w:sz="4" w:space="0" w:color="auto"/>
            </w:tcBorders>
            <w:shd w:val="clear" w:color="000000" w:fill="FFFFFF"/>
            <w:noWrap/>
            <w:vAlign w:val="center"/>
            <w:hideMark/>
          </w:tcPr>
          <w:p w14:paraId="27509835" w14:textId="428151EB" w:rsidR="000F2814" w:rsidRPr="005F31EE" w:rsidRDefault="000A2805" w:rsidP="007E1AC8">
            <w:pPr>
              <w:pStyle w:val="Tabletext"/>
              <w:rPr>
                <w:rFonts w:cs="Arial"/>
                <w:color w:val="000000"/>
                <w:szCs w:val="20"/>
                <w:lang w:eastAsia="en-AU"/>
              </w:rPr>
            </w:pPr>
            <w:r w:rsidRPr="005F31EE">
              <w:rPr>
                <w:rFonts w:cs="Arial"/>
                <w:szCs w:val="20"/>
                <w:lang w:eastAsia="en-AU"/>
              </w:rPr>
              <w:t xml:space="preserve">Line items as per standards </w:t>
            </w:r>
          </w:p>
        </w:tc>
        <w:tc>
          <w:tcPr>
            <w:tcW w:w="2287" w:type="dxa"/>
            <w:tcBorders>
              <w:top w:val="nil"/>
              <w:left w:val="single" w:sz="4" w:space="0" w:color="auto"/>
              <w:bottom w:val="nil"/>
              <w:right w:val="single" w:sz="4" w:space="0" w:color="auto"/>
            </w:tcBorders>
            <w:shd w:val="clear" w:color="auto" w:fill="auto"/>
            <w:noWrap/>
            <w:vAlign w:val="center"/>
            <w:hideMark/>
          </w:tcPr>
          <w:p w14:paraId="59EBF77A" w14:textId="520FAF59" w:rsidR="000F2814" w:rsidRPr="005F31EE" w:rsidRDefault="002A3E8E" w:rsidP="007515AF">
            <w:pPr>
              <w:pStyle w:val="TableTextNumber"/>
              <w:jc w:val="right"/>
              <w:rPr>
                <w:rFonts w:cs="Arial"/>
                <w:szCs w:val="20"/>
              </w:rPr>
            </w:pPr>
            <w:r w:rsidRPr="005F31EE">
              <w:rPr>
                <w:rFonts w:cs="Arial"/>
                <w:szCs w:val="20"/>
              </w:rPr>
              <w:t>$2,160,715,90</w:t>
            </w:r>
            <w:r w:rsidR="00144860" w:rsidRPr="005F31EE">
              <w:rPr>
                <w:rFonts w:cs="Arial"/>
                <w:szCs w:val="20"/>
              </w:rPr>
              <w:t>1</w:t>
            </w:r>
          </w:p>
        </w:tc>
      </w:tr>
      <w:tr w:rsidR="000F2814" w:rsidRPr="00630A55" w14:paraId="2ADF1719" w14:textId="77777777" w:rsidTr="00534F1C">
        <w:trPr>
          <w:trHeight w:val="20"/>
        </w:trPr>
        <w:tc>
          <w:tcPr>
            <w:tcW w:w="6887"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30B195AB" w14:textId="3DDF69DC" w:rsidR="000F2814" w:rsidRPr="005F31EE" w:rsidRDefault="000A2805" w:rsidP="007E1AC8">
            <w:pPr>
              <w:pStyle w:val="Tabletext"/>
              <w:rPr>
                <w:rFonts w:cs="Arial"/>
                <w:color w:val="000000"/>
                <w:szCs w:val="20"/>
                <w:lang w:eastAsia="en-AU"/>
              </w:rPr>
            </w:pPr>
            <w:r w:rsidRPr="005F31EE">
              <w:rPr>
                <w:rFonts w:cs="Arial"/>
                <w:szCs w:val="20"/>
                <w:lang w:eastAsia="en-AU"/>
              </w:rPr>
              <w:t xml:space="preserve">Costs submitted to jurisdiction </w:t>
            </w:r>
          </w:p>
        </w:tc>
        <w:tc>
          <w:tcPr>
            <w:tcW w:w="2287" w:type="dxa"/>
            <w:tcBorders>
              <w:top w:val="nil"/>
              <w:left w:val="single" w:sz="4" w:space="0" w:color="auto"/>
              <w:bottom w:val="single" w:sz="4" w:space="0" w:color="auto"/>
              <w:right w:val="single" w:sz="4" w:space="0" w:color="auto"/>
            </w:tcBorders>
            <w:shd w:val="clear" w:color="auto" w:fill="auto"/>
            <w:noWrap/>
            <w:vAlign w:val="center"/>
            <w:hideMark/>
          </w:tcPr>
          <w:p w14:paraId="27C77BA4" w14:textId="6C6227D3" w:rsidR="000F2814" w:rsidRPr="005F31EE" w:rsidRDefault="000F2814" w:rsidP="007515AF">
            <w:pPr>
              <w:pStyle w:val="TableTextNumber"/>
              <w:jc w:val="right"/>
              <w:rPr>
                <w:rFonts w:cs="Arial"/>
                <w:szCs w:val="20"/>
              </w:rPr>
            </w:pPr>
            <w:r w:rsidRPr="005F31EE">
              <w:rPr>
                <w:rFonts w:cs="Arial"/>
                <w:szCs w:val="20"/>
              </w:rPr>
              <w:t>$2,160,715,</w:t>
            </w:r>
            <w:r w:rsidR="000A2805" w:rsidRPr="005F31EE">
              <w:rPr>
                <w:rFonts w:cs="Arial"/>
                <w:szCs w:val="20"/>
              </w:rPr>
              <w:t>90</w:t>
            </w:r>
            <w:r w:rsidR="00144860" w:rsidRPr="005F31EE">
              <w:rPr>
                <w:rFonts w:cs="Arial"/>
                <w:szCs w:val="20"/>
              </w:rPr>
              <w:t>1</w:t>
            </w:r>
          </w:p>
        </w:tc>
      </w:tr>
      <w:tr w:rsidR="000F2814" w:rsidRPr="00630A55" w14:paraId="75CFE914" w14:textId="77777777" w:rsidTr="00534F1C">
        <w:trPr>
          <w:trHeight w:val="20"/>
        </w:trPr>
        <w:tc>
          <w:tcPr>
            <w:tcW w:w="6887" w:type="dxa"/>
            <w:gridSpan w:val="2"/>
            <w:tcBorders>
              <w:top w:val="single" w:sz="4" w:space="0" w:color="auto"/>
              <w:bottom w:val="nil"/>
              <w:right w:val="single" w:sz="4" w:space="0" w:color="auto"/>
            </w:tcBorders>
            <w:shd w:val="clear" w:color="000000" w:fill="00338D"/>
            <w:noWrap/>
            <w:vAlign w:val="center"/>
            <w:hideMark/>
          </w:tcPr>
          <w:p w14:paraId="592DD3EE" w14:textId="0C0EBCD6" w:rsidR="000F2814" w:rsidRPr="005F18FF" w:rsidRDefault="000F2814" w:rsidP="007E1AC8">
            <w:pPr>
              <w:pStyle w:val="Tableheading"/>
              <w:rPr>
                <w:rFonts w:ascii="Arial" w:hAnsi="Arial" w:cs="Arial"/>
                <w:color w:val="FFFFFF"/>
                <w:szCs w:val="20"/>
                <w:lang w:eastAsia="en-AU"/>
              </w:rPr>
            </w:pPr>
            <w:r w:rsidRPr="005F18FF">
              <w:rPr>
                <w:rFonts w:ascii="Arial" w:hAnsi="Arial" w:cs="Arial"/>
                <w:szCs w:val="20"/>
                <w:lang w:eastAsia="en-AU"/>
              </w:rPr>
              <w:t xml:space="preserve">Hospital level </w:t>
            </w:r>
            <w:r w:rsidR="00106C9E" w:rsidRPr="005F18FF">
              <w:rPr>
                <w:rFonts w:ascii="Arial" w:hAnsi="Arial" w:cs="Arial"/>
                <w:szCs w:val="20"/>
                <w:lang w:eastAsia="en-AU"/>
              </w:rPr>
              <w:t>data (RHH)</w:t>
            </w:r>
            <w:r w:rsidRPr="005F18FF">
              <w:rPr>
                <w:rFonts w:ascii="Arial" w:hAnsi="Arial" w:cs="Arial"/>
                <w:szCs w:val="20"/>
                <w:lang w:eastAsia="en-AU"/>
              </w:rPr>
              <w:t xml:space="preserve"> </w:t>
            </w:r>
          </w:p>
        </w:tc>
        <w:tc>
          <w:tcPr>
            <w:tcW w:w="2287" w:type="dxa"/>
            <w:tcBorders>
              <w:top w:val="single" w:sz="4" w:space="0" w:color="auto"/>
              <w:left w:val="single" w:sz="4" w:space="0" w:color="auto"/>
              <w:bottom w:val="nil"/>
            </w:tcBorders>
            <w:shd w:val="clear" w:color="000000" w:fill="00338D"/>
            <w:noWrap/>
            <w:vAlign w:val="center"/>
            <w:hideMark/>
          </w:tcPr>
          <w:p w14:paraId="4E282994" w14:textId="422385CC" w:rsidR="000F2814" w:rsidRPr="005F18FF" w:rsidRDefault="0048310B" w:rsidP="0048310B">
            <w:pPr>
              <w:pStyle w:val="Tableheading"/>
              <w:rPr>
                <w:rFonts w:ascii="Arial" w:hAnsi="Arial" w:cs="Arial"/>
                <w:color w:val="FFFFFF"/>
                <w:szCs w:val="20"/>
                <w:lang w:eastAsia="en-AU"/>
              </w:rPr>
            </w:pPr>
            <w:r>
              <w:rPr>
                <w:rFonts w:ascii="Arial" w:hAnsi="Arial" w:cs="Arial"/>
                <w:szCs w:val="20"/>
                <w:lang w:eastAsia="en-AU"/>
              </w:rPr>
              <w:t>Value</w:t>
            </w:r>
            <w:r w:rsidR="000F2814" w:rsidRPr="005F18FF">
              <w:rPr>
                <w:rFonts w:ascii="Arial" w:hAnsi="Arial" w:cs="Arial" w:hint="eastAsia"/>
                <w:szCs w:val="20"/>
                <w:lang w:eastAsia="en-AU"/>
              </w:rPr>
              <w:t> </w:t>
            </w:r>
          </w:p>
        </w:tc>
      </w:tr>
      <w:tr w:rsidR="000F2814" w:rsidRPr="00630A55" w14:paraId="7BB7A37D" w14:textId="77777777" w:rsidTr="00534F1C">
        <w:trPr>
          <w:trHeight w:val="20"/>
        </w:trPr>
        <w:tc>
          <w:tcPr>
            <w:tcW w:w="6887" w:type="dxa"/>
            <w:gridSpan w:val="2"/>
            <w:tcBorders>
              <w:top w:val="nil"/>
              <w:left w:val="single" w:sz="4" w:space="0" w:color="auto"/>
              <w:bottom w:val="nil"/>
              <w:right w:val="single" w:sz="4" w:space="0" w:color="auto"/>
            </w:tcBorders>
            <w:shd w:val="clear" w:color="000000" w:fill="FFFFFF"/>
            <w:noWrap/>
            <w:vAlign w:val="center"/>
            <w:hideMark/>
          </w:tcPr>
          <w:p w14:paraId="16E5B5CB" w14:textId="66F72D00" w:rsidR="000F2814" w:rsidRPr="005F31EE" w:rsidRDefault="009D214F" w:rsidP="007E1AC8">
            <w:pPr>
              <w:pStyle w:val="Tabletext"/>
              <w:rPr>
                <w:rFonts w:cs="Arial"/>
                <w:color w:val="000000"/>
                <w:szCs w:val="20"/>
                <w:lang w:eastAsia="en-AU"/>
              </w:rPr>
            </w:pPr>
            <w:r w:rsidRPr="005F31EE">
              <w:rPr>
                <w:rFonts w:cs="Arial"/>
                <w:szCs w:val="20"/>
                <w:lang w:eastAsia="en-AU"/>
              </w:rPr>
              <w:t>Transferred</w:t>
            </w:r>
            <w:r w:rsidR="000F2814" w:rsidRPr="005F31EE">
              <w:rPr>
                <w:rFonts w:cs="Arial"/>
                <w:szCs w:val="20"/>
                <w:lang w:eastAsia="en-AU"/>
              </w:rPr>
              <w:t xml:space="preserve"> to </w:t>
            </w:r>
            <w:r w:rsidR="00106C9E" w:rsidRPr="005F31EE">
              <w:rPr>
                <w:rFonts w:cs="Arial"/>
                <w:szCs w:val="20"/>
                <w:lang w:eastAsia="en-AU"/>
              </w:rPr>
              <w:t>c</w:t>
            </w:r>
            <w:r w:rsidR="000F2814" w:rsidRPr="005F31EE">
              <w:rPr>
                <w:rFonts w:cs="Arial"/>
                <w:szCs w:val="20"/>
                <w:lang w:eastAsia="en-AU"/>
              </w:rPr>
              <w:t xml:space="preserve">osting </w:t>
            </w:r>
            <w:r w:rsidR="00106C9E" w:rsidRPr="005F31EE">
              <w:rPr>
                <w:rFonts w:cs="Arial"/>
                <w:szCs w:val="20"/>
                <w:lang w:eastAsia="en-AU"/>
              </w:rPr>
              <w:t>s</w:t>
            </w:r>
            <w:r w:rsidR="000F2814" w:rsidRPr="005F31EE">
              <w:rPr>
                <w:rFonts w:cs="Arial"/>
                <w:szCs w:val="20"/>
                <w:lang w:eastAsia="en-AU"/>
              </w:rPr>
              <w:t xml:space="preserve">ystem </w:t>
            </w:r>
          </w:p>
        </w:tc>
        <w:tc>
          <w:tcPr>
            <w:tcW w:w="2287" w:type="dxa"/>
            <w:tcBorders>
              <w:top w:val="nil"/>
              <w:left w:val="single" w:sz="4" w:space="0" w:color="auto"/>
              <w:bottom w:val="nil"/>
              <w:right w:val="single" w:sz="4" w:space="0" w:color="auto"/>
            </w:tcBorders>
            <w:shd w:val="clear" w:color="auto" w:fill="auto"/>
            <w:noWrap/>
            <w:vAlign w:val="center"/>
            <w:hideMark/>
          </w:tcPr>
          <w:p w14:paraId="057BDC1B" w14:textId="3524F5F1" w:rsidR="000F2814" w:rsidRPr="005F31EE" w:rsidRDefault="009D214F" w:rsidP="007515AF">
            <w:pPr>
              <w:pStyle w:val="TableTextNumber"/>
              <w:jc w:val="right"/>
              <w:rPr>
                <w:rFonts w:cs="Arial"/>
                <w:szCs w:val="20"/>
              </w:rPr>
            </w:pPr>
            <w:r w:rsidRPr="005F31EE">
              <w:rPr>
                <w:rFonts w:cs="Arial"/>
                <w:szCs w:val="20"/>
              </w:rPr>
              <w:t>$</w:t>
            </w:r>
            <w:r w:rsidR="00672241" w:rsidRPr="005F31EE">
              <w:rPr>
                <w:rFonts w:cs="Arial"/>
                <w:szCs w:val="20"/>
              </w:rPr>
              <w:t>876,692,809</w:t>
            </w:r>
          </w:p>
        </w:tc>
      </w:tr>
      <w:tr w:rsidR="00A74AD9" w:rsidRPr="00630A55" w14:paraId="6B69CD7A" w14:textId="77777777" w:rsidTr="00534F1C">
        <w:trPr>
          <w:trHeight w:val="20"/>
        </w:trPr>
        <w:tc>
          <w:tcPr>
            <w:tcW w:w="6887" w:type="dxa"/>
            <w:gridSpan w:val="2"/>
            <w:tcBorders>
              <w:top w:val="nil"/>
              <w:left w:val="single" w:sz="4" w:space="0" w:color="auto"/>
              <w:bottom w:val="nil"/>
              <w:right w:val="single" w:sz="4" w:space="0" w:color="auto"/>
            </w:tcBorders>
            <w:shd w:val="clear" w:color="000000" w:fill="FFFFFF"/>
            <w:noWrap/>
            <w:vAlign w:val="center"/>
          </w:tcPr>
          <w:p w14:paraId="141196C6" w14:textId="3E8A1194" w:rsidR="00A74AD9" w:rsidRPr="005F31EE" w:rsidRDefault="009D214F" w:rsidP="00A74AD9">
            <w:pPr>
              <w:pStyle w:val="Tabletext"/>
              <w:rPr>
                <w:rFonts w:cs="Arial"/>
                <w:szCs w:val="20"/>
                <w:lang w:eastAsia="en-AU"/>
              </w:rPr>
            </w:pPr>
            <w:r w:rsidRPr="005F31EE">
              <w:rPr>
                <w:rFonts w:cs="Arial"/>
                <w:szCs w:val="20"/>
                <w:lang w:eastAsia="en-AU"/>
              </w:rPr>
              <w:t>Adjustments</w:t>
            </w:r>
          </w:p>
        </w:tc>
        <w:tc>
          <w:tcPr>
            <w:tcW w:w="2287" w:type="dxa"/>
            <w:tcBorders>
              <w:top w:val="nil"/>
              <w:left w:val="single" w:sz="4" w:space="0" w:color="auto"/>
              <w:bottom w:val="nil"/>
              <w:right w:val="single" w:sz="4" w:space="0" w:color="auto"/>
            </w:tcBorders>
            <w:shd w:val="clear" w:color="auto" w:fill="auto"/>
            <w:noWrap/>
            <w:vAlign w:val="center"/>
          </w:tcPr>
          <w:p w14:paraId="01D1DF22" w14:textId="11E5CB35" w:rsidR="00A74AD9" w:rsidRPr="005F31EE" w:rsidRDefault="009D214F" w:rsidP="007515AF">
            <w:pPr>
              <w:pStyle w:val="TableTextNumber"/>
              <w:jc w:val="right"/>
              <w:rPr>
                <w:rFonts w:cs="Arial"/>
                <w:szCs w:val="20"/>
              </w:rPr>
            </w:pPr>
            <w:r w:rsidRPr="005F31EE">
              <w:rPr>
                <w:rFonts w:cs="Arial"/>
                <w:szCs w:val="20"/>
              </w:rPr>
              <w:t>$</w:t>
            </w:r>
            <w:r w:rsidR="00AB66D2" w:rsidRPr="005F31EE">
              <w:rPr>
                <w:rFonts w:cs="Arial"/>
                <w:szCs w:val="20"/>
              </w:rPr>
              <w:t>25,497,374</w:t>
            </w:r>
          </w:p>
        </w:tc>
      </w:tr>
      <w:tr w:rsidR="00A74AD9" w:rsidRPr="00630A55" w14:paraId="00C4C6AF" w14:textId="77777777" w:rsidTr="00534F1C">
        <w:trPr>
          <w:trHeight w:val="20"/>
        </w:trPr>
        <w:tc>
          <w:tcPr>
            <w:tcW w:w="6887" w:type="dxa"/>
            <w:gridSpan w:val="2"/>
            <w:tcBorders>
              <w:top w:val="nil"/>
              <w:left w:val="single" w:sz="4" w:space="0" w:color="auto"/>
              <w:bottom w:val="nil"/>
              <w:right w:val="single" w:sz="4" w:space="0" w:color="auto"/>
            </w:tcBorders>
            <w:shd w:val="clear" w:color="000000" w:fill="FFFFFF"/>
            <w:noWrap/>
            <w:vAlign w:val="center"/>
            <w:hideMark/>
          </w:tcPr>
          <w:p w14:paraId="4F07EEA4" w14:textId="62CA853F" w:rsidR="00A74AD9" w:rsidRPr="005F31EE" w:rsidRDefault="009D214F" w:rsidP="00A74AD9">
            <w:pPr>
              <w:pStyle w:val="Tabletext"/>
              <w:rPr>
                <w:rFonts w:cs="Arial"/>
                <w:color w:val="000000"/>
                <w:szCs w:val="20"/>
                <w:lang w:eastAsia="en-AU"/>
              </w:rPr>
            </w:pPr>
            <w:r w:rsidRPr="005F31EE">
              <w:rPr>
                <w:rFonts w:cs="Arial"/>
                <w:szCs w:val="20"/>
                <w:lang w:eastAsia="en-AU"/>
              </w:rPr>
              <w:t xml:space="preserve">Line items as per standards </w:t>
            </w:r>
          </w:p>
        </w:tc>
        <w:tc>
          <w:tcPr>
            <w:tcW w:w="2287" w:type="dxa"/>
            <w:tcBorders>
              <w:top w:val="nil"/>
              <w:left w:val="single" w:sz="4" w:space="0" w:color="auto"/>
              <w:bottom w:val="nil"/>
              <w:right w:val="single" w:sz="4" w:space="0" w:color="auto"/>
            </w:tcBorders>
            <w:shd w:val="clear" w:color="auto" w:fill="auto"/>
            <w:noWrap/>
            <w:vAlign w:val="center"/>
            <w:hideMark/>
          </w:tcPr>
          <w:p w14:paraId="7E5AE9B5" w14:textId="72C24519" w:rsidR="00A74AD9" w:rsidRPr="005F31EE" w:rsidRDefault="00A74AD9" w:rsidP="007515AF">
            <w:pPr>
              <w:pStyle w:val="TableTextNumber"/>
              <w:jc w:val="right"/>
              <w:rPr>
                <w:rFonts w:cs="Arial"/>
                <w:szCs w:val="20"/>
              </w:rPr>
            </w:pPr>
            <w:r w:rsidRPr="005F31EE">
              <w:rPr>
                <w:rFonts w:cs="Arial"/>
                <w:szCs w:val="20"/>
              </w:rPr>
              <w:t>$902,190,</w:t>
            </w:r>
            <w:r w:rsidR="009D214F" w:rsidRPr="005F31EE">
              <w:rPr>
                <w:rFonts w:cs="Arial"/>
                <w:szCs w:val="20"/>
              </w:rPr>
              <w:t>18</w:t>
            </w:r>
            <w:r w:rsidR="00F73E5B" w:rsidRPr="005F31EE">
              <w:rPr>
                <w:rFonts w:cs="Arial"/>
                <w:szCs w:val="20"/>
              </w:rPr>
              <w:t>3</w:t>
            </w:r>
          </w:p>
        </w:tc>
      </w:tr>
      <w:tr w:rsidR="00A74AD9" w:rsidRPr="00630A55" w14:paraId="3F69699B" w14:textId="77777777" w:rsidTr="00534F1C">
        <w:trPr>
          <w:trHeight w:val="20"/>
        </w:trPr>
        <w:tc>
          <w:tcPr>
            <w:tcW w:w="6887" w:type="dxa"/>
            <w:gridSpan w:val="2"/>
            <w:tcBorders>
              <w:top w:val="nil"/>
              <w:left w:val="single" w:sz="4" w:space="0" w:color="auto"/>
              <w:bottom w:val="nil"/>
              <w:right w:val="single" w:sz="4" w:space="0" w:color="auto"/>
            </w:tcBorders>
            <w:shd w:val="clear" w:color="000000" w:fill="FFFFFF"/>
            <w:noWrap/>
            <w:vAlign w:val="center"/>
            <w:hideMark/>
          </w:tcPr>
          <w:p w14:paraId="1E1CE3CC" w14:textId="11DB5B76" w:rsidR="00A74AD9" w:rsidRPr="005F31EE" w:rsidRDefault="009D214F" w:rsidP="00A74AD9">
            <w:pPr>
              <w:pStyle w:val="Tabletext"/>
              <w:rPr>
                <w:rFonts w:cs="Arial"/>
                <w:color w:val="000000"/>
                <w:szCs w:val="20"/>
                <w:lang w:eastAsia="en-AU"/>
              </w:rPr>
            </w:pPr>
            <w:r w:rsidRPr="005F31EE">
              <w:rPr>
                <w:rFonts w:cs="Arial"/>
                <w:szCs w:val="20"/>
                <w:lang w:eastAsia="en-AU"/>
              </w:rPr>
              <w:t xml:space="preserve">Costs submitted to jurisdiction </w:t>
            </w:r>
          </w:p>
        </w:tc>
        <w:tc>
          <w:tcPr>
            <w:tcW w:w="2287" w:type="dxa"/>
            <w:tcBorders>
              <w:top w:val="nil"/>
              <w:left w:val="single" w:sz="4" w:space="0" w:color="auto"/>
              <w:bottom w:val="nil"/>
              <w:right w:val="single" w:sz="4" w:space="0" w:color="auto"/>
            </w:tcBorders>
            <w:shd w:val="clear" w:color="auto" w:fill="auto"/>
            <w:noWrap/>
            <w:vAlign w:val="center"/>
            <w:hideMark/>
          </w:tcPr>
          <w:p w14:paraId="555BD78F" w14:textId="77777777" w:rsidR="00A74AD9" w:rsidRPr="005F31EE" w:rsidRDefault="00A74AD9" w:rsidP="007515AF">
            <w:pPr>
              <w:pStyle w:val="TableTextNumber"/>
              <w:jc w:val="right"/>
              <w:rPr>
                <w:rFonts w:cs="Arial"/>
                <w:szCs w:val="20"/>
              </w:rPr>
            </w:pPr>
            <w:r w:rsidRPr="005F31EE">
              <w:rPr>
                <w:rFonts w:cs="Arial"/>
                <w:szCs w:val="20"/>
              </w:rPr>
              <w:t>$902,190,183</w:t>
            </w:r>
          </w:p>
        </w:tc>
      </w:tr>
      <w:tr w:rsidR="00A74AD9" w:rsidRPr="00630A55" w14:paraId="08B9DBC6" w14:textId="77777777" w:rsidTr="00534F1C">
        <w:trPr>
          <w:trHeight w:val="20"/>
        </w:trPr>
        <w:tc>
          <w:tcPr>
            <w:tcW w:w="6887" w:type="dxa"/>
            <w:gridSpan w:val="2"/>
            <w:tcBorders>
              <w:top w:val="nil"/>
              <w:left w:val="single" w:sz="4" w:space="0" w:color="auto"/>
              <w:bottom w:val="nil"/>
              <w:right w:val="single" w:sz="4" w:space="0" w:color="auto"/>
            </w:tcBorders>
            <w:shd w:val="clear" w:color="000000" w:fill="00338D"/>
            <w:noWrap/>
            <w:vAlign w:val="center"/>
            <w:hideMark/>
          </w:tcPr>
          <w:p w14:paraId="5589CA31" w14:textId="77777777" w:rsidR="00A74AD9" w:rsidRPr="005F18FF" w:rsidRDefault="00A74AD9" w:rsidP="00A74AD9">
            <w:pPr>
              <w:pStyle w:val="Tableheading"/>
              <w:rPr>
                <w:rFonts w:ascii="Arial" w:hAnsi="Arial" w:cs="Arial"/>
                <w:szCs w:val="20"/>
                <w:lang w:eastAsia="en-AU"/>
              </w:rPr>
            </w:pPr>
            <w:r w:rsidRPr="005F18FF">
              <w:rPr>
                <w:rFonts w:ascii="Arial" w:hAnsi="Arial" w:cs="Arial"/>
                <w:szCs w:val="20"/>
                <w:lang w:eastAsia="en-AU"/>
              </w:rPr>
              <w:t>Activity</w:t>
            </w:r>
          </w:p>
        </w:tc>
        <w:tc>
          <w:tcPr>
            <w:tcW w:w="2287" w:type="dxa"/>
            <w:tcBorders>
              <w:top w:val="nil"/>
              <w:left w:val="single" w:sz="4" w:space="0" w:color="auto"/>
              <w:bottom w:val="nil"/>
              <w:right w:val="single" w:sz="4" w:space="0" w:color="auto"/>
            </w:tcBorders>
            <w:shd w:val="clear" w:color="000000" w:fill="00338D"/>
            <w:noWrap/>
            <w:vAlign w:val="center"/>
            <w:hideMark/>
          </w:tcPr>
          <w:p w14:paraId="221E8AA7" w14:textId="77777777" w:rsidR="00A74AD9" w:rsidRPr="0048310B" w:rsidRDefault="00A74AD9" w:rsidP="0048310B">
            <w:pPr>
              <w:pStyle w:val="Tableheading"/>
              <w:rPr>
                <w:rFonts w:cs="Arial"/>
                <w:b w:val="0"/>
                <w:bCs/>
                <w:szCs w:val="20"/>
              </w:rPr>
            </w:pPr>
            <w:r w:rsidRPr="0048310B">
              <w:rPr>
                <w:rFonts w:ascii="Arial" w:hAnsi="Arial" w:cs="Arial"/>
                <w:szCs w:val="20"/>
                <w:lang w:eastAsia="en-AU"/>
              </w:rPr>
              <w:t xml:space="preserve">Value </w:t>
            </w:r>
          </w:p>
        </w:tc>
      </w:tr>
      <w:tr w:rsidR="00A74AD9" w:rsidRPr="00630A55" w14:paraId="53CCDF4F" w14:textId="77777777" w:rsidTr="00534F1C">
        <w:trPr>
          <w:trHeight w:val="20"/>
        </w:trPr>
        <w:tc>
          <w:tcPr>
            <w:tcW w:w="6887" w:type="dxa"/>
            <w:gridSpan w:val="2"/>
            <w:tcBorders>
              <w:top w:val="nil"/>
              <w:left w:val="single" w:sz="4" w:space="0" w:color="auto"/>
              <w:bottom w:val="nil"/>
              <w:right w:val="single" w:sz="4" w:space="0" w:color="auto"/>
            </w:tcBorders>
            <w:shd w:val="clear" w:color="000000" w:fill="FFFFFF"/>
            <w:vAlign w:val="center"/>
            <w:hideMark/>
          </w:tcPr>
          <w:p w14:paraId="5D30E9C2" w14:textId="476E433B" w:rsidR="00A74AD9" w:rsidRPr="005F31EE" w:rsidRDefault="00A74AD9" w:rsidP="00A74AD9">
            <w:pPr>
              <w:pStyle w:val="Tabletext"/>
              <w:rPr>
                <w:rFonts w:cs="Arial"/>
                <w:color w:val="000000"/>
                <w:szCs w:val="20"/>
                <w:lang w:eastAsia="en-AU"/>
              </w:rPr>
            </w:pPr>
            <w:r w:rsidRPr="005F31EE">
              <w:rPr>
                <w:rFonts w:cs="Arial"/>
                <w:szCs w:val="20"/>
                <w:lang w:eastAsia="en-AU"/>
              </w:rPr>
              <w:t>Data loaded to the costing system for costing purposes</w:t>
            </w:r>
          </w:p>
        </w:tc>
        <w:tc>
          <w:tcPr>
            <w:tcW w:w="2287" w:type="dxa"/>
            <w:tcBorders>
              <w:top w:val="nil"/>
              <w:left w:val="single" w:sz="4" w:space="0" w:color="auto"/>
              <w:bottom w:val="nil"/>
              <w:right w:val="single" w:sz="4" w:space="0" w:color="auto"/>
            </w:tcBorders>
            <w:shd w:val="clear" w:color="auto" w:fill="auto"/>
            <w:vAlign w:val="center"/>
            <w:hideMark/>
          </w:tcPr>
          <w:p w14:paraId="3884A579" w14:textId="77777777" w:rsidR="00A74AD9" w:rsidRPr="005F31EE" w:rsidRDefault="00A74AD9" w:rsidP="007515AF">
            <w:pPr>
              <w:pStyle w:val="TableTextNumber"/>
              <w:jc w:val="right"/>
              <w:rPr>
                <w:rFonts w:cs="Arial"/>
                <w:szCs w:val="20"/>
              </w:rPr>
            </w:pPr>
            <w:r w:rsidRPr="005F31EE">
              <w:rPr>
                <w:rFonts w:cs="Arial"/>
                <w:szCs w:val="20"/>
              </w:rPr>
              <w:t> </w:t>
            </w:r>
          </w:p>
        </w:tc>
      </w:tr>
      <w:tr w:rsidR="00A74AD9" w:rsidRPr="00630A55" w14:paraId="745326B1" w14:textId="77777777" w:rsidTr="00534F1C">
        <w:trPr>
          <w:trHeight w:val="20"/>
        </w:trPr>
        <w:tc>
          <w:tcPr>
            <w:tcW w:w="281" w:type="dxa"/>
            <w:tcBorders>
              <w:top w:val="nil"/>
              <w:left w:val="single" w:sz="4" w:space="0" w:color="auto"/>
              <w:bottom w:val="nil"/>
              <w:right w:val="nil"/>
            </w:tcBorders>
            <w:shd w:val="clear" w:color="000000" w:fill="FFFFFF"/>
            <w:noWrap/>
            <w:vAlign w:val="center"/>
            <w:hideMark/>
          </w:tcPr>
          <w:p w14:paraId="759FB70F" w14:textId="77777777" w:rsidR="00A74AD9" w:rsidRPr="005F31EE" w:rsidRDefault="00A74AD9" w:rsidP="00A74AD9">
            <w:pPr>
              <w:pStyle w:val="Tabletext"/>
              <w:rPr>
                <w:rFonts w:cs="Arial"/>
                <w:szCs w:val="20"/>
                <w:lang w:eastAsia="en-AU"/>
              </w:rPr>
            </w:pPr>
            <w:r w:rsidRPr="005F31EE">
              <w:rPr>
                <w:rFonts w:cs="Arial"/>
                <w:szCs w:val="20"/>
                <w:lang w:eastAsia="en-AU"/>
              </w:rPr>
              <w:t> </w:t>
            </w:r>
          </w:p>
        </w:tc>
        <w:tc>
          <w:tcPr>
            <w:tcW w:w="6606" w:type="dxa"/>
            <w:tcBorders>
              <w:top w:val="nil"/>
              <w:left w:val="nil"/>
              <w:bottom w:val="nil"/>
              <w:right w:val="single" w:sz="4" w:space="0" w:color="auto"/>
            </w:tcBorders>
            <w:shd w:val="clear" w:color="000000" w:fill="FFFFFF"/>
            <w:noWrap/>
            <w:vAlign w:val="center"/>
            <w:hideMark/>
          </w:tcPr>
          <w:p w14:paraId="0B3EA0BB" w14:textId="45787653" w:rsidR="00A74AD9" w:rsidRPr="005F31EE" w:rsidRDefault="00A74AD9" w:rsidP="00A74AD9">
            <w:pPr>
              <w:pStyle w:val="Tabletext"/>
              <w:rPr>
                <w:rFonts w:cs="Arial"/>
                <w:szCs w:val="20"/>
                <w:lang w:eastAsia="en-AU"/>
              </w:rPr>
            </w:pPr>
            <w:r w:rsidRPr="005F31EE">
              <w:rPr>
                <w:rFonts w:cs="Arial"/>
                <w:szCs w:val="20"/>
                <w:lang w:eastAsia="en-AU"/>
              </w:rPr>
              <w:t xml:space="preserve">Activity </w:t>
            </w:r>
            <w:r w:rsidR="00B66142">
              <w:rPr>
                <w:rFonts w:cs="Arial"/>
                <w:szCs w:val="20"/>
                <w:lang w:eastAsia="en-AU"/>
              </w:rPr>
              <w:t>d</w:t>
            </w:r>
            <w:r w:rsidRPr="005F31EE">
              <w:rPr>
                <w:rFonts w:cs="Arial"/>
                <w:szCs w:val="20"/>
                <w:lang w:eastAsia="en-AU"/>
              </w:rPr>
              <w:t xml:space="preserve">ata </w:t>
            </w:r>
          </w:p>
        </w:tc>
        <w:tc>
          <w:tcPr>
            <w:tcW w:w="2287" w:type="dxa"/>
            <w:tcBorders>
              <w:top w:val="nil"/>
              <w:left w:val="single" w:sz="4" w:space="0" w:color="auto"/>
              <w:bottom w:val="nil"/>
              <w:right w:val="single" w:sz="4" w:space="0" w:color="auto"/>
            </w:tcBorders>
            <w:shd w:val="clear" w:color="auto" w:fill="auto"/>
            <w:noWrap/>
            <w:vAlign w:val="center"/>
            <w:hideMark/>
          </w:tcPr>
          <w:p w14:paraId="7CA8D728" w14:textId="6F47EDD2" w:rsidR="00A74AD9" w:rsidRPr="005F31EE" w:rsidRDefault="00E47EFA" w:rsidP="007515AF">
            <w:pPr>
              <w:pStyle w:val="TableTextNumber"/>
              <w:jc w:val="right"/>
              <w:rPr>
                <w:rFonts w:cs="Arial"/>
                <w:szCs w:val="20"/>
              </w:rPr>
            </w:pPr>
            <w:r w:rsidRPr="005F31EE">
              <w:rPr>
                <w:rFonts w:cs="Arial"/>
                <w:szCs w:val="20"/>
              </w:rPr>
              <w:t>1,099,781</w:t>
            </w:r>
          </w:p>
        </w:tc>
      </w:tr>
      <w:tr w:rsidR="00A74AD9" w:rsidRPr="00630A55" w14:paraId="25FEE9E9" w14:textId="77777777" w:rsidTr="00534F1C">
        <w:trPr>
          <w:trHeight w:val="20"/>
        </w:trPr>
        <w:tc>
          <w:tcPr>
            <w:tcW w:w="281" w:type="dxa"/>
            <w:tcBorders>
              <w:top w:val="nil"/>
              <w:left w:val="single" w:sz="4" w:space="0" w:color="auto"/>
              <w:bottom w:val="nil"/>
              <w:right w:val="nil"/>
            </w:tcBorders>
            <w:shd w:val="clear" w:color="000000" w:fill="FFFFFF"/>
            <w:noWrap/>
            <w:vAlign w:val="center"/>
            <w:hideMark/>
          </w:tcPr>
          <w:p w14:paraId="35005C99" w14:textId="77777777" w:rsidR="00A74AD9" w:rsidRPr="005F31EE" w:rsidRDefault="00A74AD9" w:rsidP="00A74AD9">
            <w:pPr>
              <w:pStyle w:val="Tabletext"/>
              <w:rPr>
                <w:rFonts w:cs="Arial"/>
                <w:szCs w:val="20"/>
                <w:lang w:eastAsia="en-AU"/>
              </w:rPr>
            </w:pPr>
            <w:r w:rsidRPr="005F31EE">
              <w:rPr>
                <w:rFonts w:cs="Arial"/>
                <w:szCs w:val="20"/>
                <w:lang w:eastAsia="en-AU"/>
              </w:rPr>
              <w:t> </w:t>
            </w:r>
          </w:p>
        </w:tc>
        <w:tc>
          <w:tcPr>
            <w:tcW w:w="6606" w:type="dxa"/>
            <w:tcBorders>
              <w:top w:val="nil"/>
              <w:left w:val="nil"/>
              <w:bottom w:val="nil"/>
              <w:right w:val="single" w:sz="4" w:space="0" w:color="auto"/>
            </w:tcBorders>
            <w:shd w:val="clear" w:color="000000" w:fill="FFFFFF"/>
            <w:noWrap/>
            <w:vAlign w:val="center"/>
            <w:hideMark/>
          </w:tcPr>
          <w:p w14:paraId="69ED1CA4" w14:textId="366FC987" w:rsidR="00A74AD9" w:rsidRPr="005F31EE" w:rsidRDefault="00A74AD9" w:rsidP="00A74AD9">
            <w:pPr>
              <w:pStyle w:val="Tabletext"/>
              <w:rPr>
                <w:rFonts w:cs="Arial"/>
                <w:szCs w:val="20"/>
                <w:lang w:eastAsia="en-AU"/>
              </w:rPr>
            </w:pPr>
            <w:r w:rsidRPr="005F31EE">
              <w:rPr>
                <w:rFonts w:cs="Arial"/>
                <w:szCs w:val="20"/>
                <w:lang w:eastAsia="en-AU"/>
              </w:rPr>
              <w:t xml:space="preserve">Feeder </w:t>
            </w:r>
            <w:r w:rsidR="00B66142">
              <w:rPr>
                <w:rFonts w:cs="Arial"/>
                <w:szCs w:val="20"/>
                <w:lang w:eastAsia="en-AU"/>
              </w:rPr>
              <w:t>d</w:t>
            </w:r>
            <w:r w:rsidRPr="005F31EE">
              <w:rPr>
                <w:rFonts w:cs="Arial"/>
                <w:szCs w:val="20"/>
                <w:lang w:eastAsia="en-AU"/>
              </w:rPr>
              <w:t>ata</w:t>
            </w:r>
          </w:p>
        </w:tc>
        <w:tc>
          <w:tcPr>
            <w:tcW w:w="2287" w:type="dxa"/>
            <w:tcBorders>
              <w:top w:val="nil"/>
              <w:left w:val="single" w:sz="4" w:space="0" w:color="auto"/>
              <w:bottom w:val="nil"/>
              <w:right w:val="single" w:sz="4" w:space="0" w:color="auto"/>
            </w:tcBorders>
            <w:shd w:val="clear" w:color="auto" w:fill="auto"/>
            <w:noWrap/>
            <w:vAlign w:val="center"/>
            <w:hideMark/>
          </w:tcPr>
          <w:p w14:paraId="4870AF39" w14:textId="25400956" w:rsidR="00A74AD9" w:rsidRPr="005F31EE" w:rsidRDefault="005770E0" w:rsidP="007515AF">
            <w:pPr>
              <w:pStyle w:val="TableTextNumber"/>
              <w:jc w:val="right"/>
              <w:rPr>
                <w:rFonts w:cs="Arial"/>
                <w:szCs w:val="20"/>
              </w:rPr>
            </w:pPr>
            <w:r w:rsidRPr="005F31EE">
              <w:rPr>
                <w:rFonts w:cs="Arial"/>
                <w:szCs w:val="20"/>
              </w:rPr>
              <w:t>7,046,746</w:t>
            </w:r>
          </w:p>
        </w:tc>
      </w:tr>
      <w:tr w:rsidR="00A74AD9" w:rsidRPr="00630A55" w14:paraId="05B06C6F" w14:textId="77777777" w:rsidTr="00534F1C">
        <w:trPr>
          <w:trHeight w:val="20"/>
        </w:trPr>
        <w:tc>
          <w:tcPr>
            <w:tcW w:w="6887" w:type="dxa"/>
            <w:gridSpan w:val="2"/>
            <w:tcBorders>
              <w:top w:val="nil"/>
              <w:left w:val="single" w:sz="4" w:space="0" w:color="auto"/>
              <w:bottom w:val="nil"/>
              <w:right w:val="single" w:sz="4" w:space="0" w:color="auto"/>
            </w:tcBorders>
            <w:shd w:val="clear" w:color="000000" w:fill="FFFFFF"/>
            <w:vAlign w:val="center"/>
            <w:hideMark/>
          </w:tcPr>
          <w:p w14:paraId="3F605F12" w14:textId="1EEEDF71" w:rsidR="00A74AD9" w:rsidRPr="005F31EE" w:rsidRDefault="00A74AD9" w:rsidP="00A74AD9">
            <w:pPr>
              <w:pStyle w:val="Tabletext"/>
              <w:rPr>
                <w:rFonts w:cs="Arial"/>
                <w:color w:val="000000"/>
                <w:szCs w:val="20"/>
                <w:lang w:eastAsia="en-AU"/>
              </w:rPr>
            </w:pPr>
            <w:r w:rsidRPr="005F31EE">
              <w:rPr>
                <w:rFonts w:cs="Arial"/>
                <w:szCs w:val="20"/>
                <w:lang w:eastAsia="en-AU"/>
              </w:rPr>
              <w:t xml:space="preserve">NHCDC </w:t>
            </w:r>
            <w:r w:rsidR="00B66142">
              <w:rPr>
                <w:rFonts w:cs="Arial"/>
                <w:szCs w:val="20"/>
                <w:lang w:eastAsia="en-AU"/>
              </w:rPr>
              <w:t>p</w:t>
            </w:r>
            <w:r w:rsidRPr="005F31EE">
              <w:rPr>
                <w:rFonts w:cs="Arial"/>
                <w:szCs w:val="20"/>
                <w:lang w:eastAsia="en-AU"/>
              </w:rPr>
              <w:t xml:space="preserve">roduct </w:t>
            </w:r>
            <w:r w:rsidR="00B66142">
              <w:rPr>
                <w:rFonts w:cs="Arial"/>
                <w:szCs w:val="20"/>
                <w:lang w:eastAsia="en-AU"/>
              </w:rPr>
              <w:t>o</w:t>
            </w:r>
            <w:r w:rsidRPr="005F31EE">
              <w:rPr>
                <w:rFonts w:cs="Arial"/>
                <w:szCs w:val="20"/>
                <w:lang w:eastAsia="en-AU"/>
              </w:rPr>
              <w:t xml:space="preserve">utput </w:t>
            </w:r>
            <w:r w:rsidR="00B66142">
              <w:rPr>
                <w:rFonts w:cs="Arial"/>
                <w:szCs w:val="20"/>
                <w:lang w:eastAsia="en-AU"/>
              </w:rPr>
              <w:t>a</w:t>
            </w:r>
            <w:r w:rsidRPr="005F31EE">
              <w:rPr>
                <w:rFonts w:cs="Arial"/>
                <w:szCs w:val="20"/>
                <w:lang w:eastAsia="en-AU"/>
              </w:rPr>
              <w:t>ctivity - post linking and loading</w:t>
            </w:r>
          </w:p>
        </w:tc>
        <w:tc>
          <w:tcPr>
            <w:tcW w:w="2287" w:type="dxa"/>
            <w:tcBorders>
              <w:top w:val="nil"/>
              <w:left w:val="single" w:sz="4" w:space="0" w:color="auto"/>
              <w:bottom w:val="nil"/>
              <w:right w:val="single" w:sz="4" w:space="0" w:color="auto"/>
            </w:tcBorders>
            <w:shd w:val="clear" w:color="auto" w:fill="auto"/>
            <w:noWrap/>
            <w:vAlign w:val="center"/>
            <w:hideMark/>
          </w:tcPr>
          <w:p w14:paraId="6F2BFDB1" w14:textId="77777777" w:rsidR="00A74AD9" w:rsidRPr="005F31EE" w:rsidRDefault="00A74AD9" w:rsidP="007515AF">
            <w:pPr>
              <w:pStyle w:val="TableTextNumber"/>
              <w:jc w:val="right"/>
              <w:rPr>
                <w:rFonts w:cs="Arial"/>
                <w:szCs w:val="20"/>
              </w:rPr>
            </w:pPr>
            <w:r w:rsidRPr="005F31EE">
              <w:rPr>
                <w:rFonts w:cs="Arial"/>
                <w:szCs w:val="20"/>
              </w:rPr>
              <w:t>1,145,275</w:t>
            </w:r>
          </w:p>
        </w:tc>
      </w:tr>
      <w:tr w:rsidR="00A74AD9" w:rsidRPr="00630A55" w14:paraId="12632C97" w14:textId="77777777" w:rsidTr="00534F1C">
        <w:trPr>
          <w:trHeight w:val="20"/>
        </w:trPr>
        <w:tc>
          <w:tcPr>
            <w:tcW w:w="6887" w:type="dxa"/>
            <w:gridSpan w:val="2"/>
            <w:tcBorders>
              <w:top w:val="nil"/>
              <w:left w:val="single" w:sz="4" w:space="0" w:color="auto"/>
              <w:bottom w:val="nil"/>
              <w:right w:val="single" w:sz="4" w:space="0" w:color="auto"/>
            </w:tcBorders>
            <w:shd w:val="clear" w:color="000000" w:fill="FFFFFF"/>
            <w:vAlign w:val="center"/>
            <w:hideMark/>
          </w:tcPr>
          <w:p w14:paraId="5C3C9EFC" w14:textId="0D3DCEDF" w:rsidR="00A74AD9" w:rsidRPr="005F31EE" w:rsidRDefault="00A74AD9" w:rsidP="00A74AD9">
            <w:pPr>
              <w:pStyle w:val="Tabletext"/>
              <w:rPr>
                <w:rFonts w:cs="Arial"/>
                <w:color w:val="000000"/>
                <w:szCs w:val="20"/>
                <w:lang w:eastAsia="en-AU"/>
              </w:rPr>
            </w:pPr>
            <w:r w:rsidRPr="005F31EE">
              <w:rPr>
                <w:rFonts w:cs="Arial"/>
                <w:szCs w:val="20"/>
                <w:lang w:eastAsia="en-AU"/>
              </w:rPr>
              <w:t xml:space="preserve">Final </w:t>
            </w:r>
            <w:r w:rsidR="00B66142">
              <w:rPr>
                <w:rFonts w:cs="Arial"/>
                <w:szCs w:val="20"/>
                <w:lang w:eastAsia="en-AU"/>
              </w:rPr>
              <w:t>s</w:t>
            </w:r>
            <w:r w:rsidRPr="005F31EE">
              <w:rPr>
                <w:rFonts w:cs="Arial"/>
                <w:szCs w:val="20"/>
                <w:lang w:eastAsia="en-AU"/>
              </w:rPr>
              <w:t xml:space="preserve">ubmission to </w:t>
            </w:r>
            <w:r w:rsidR="00B66142">
              <w:rPr>
                <w:rFonts w:cs="Arial"/>
                <w:szCs w:val="20"/>
                <w:lang w:eastAsia="en-AU"/>
              </w:rPr>
              <w:t>j</w:t>
            </w:r>
            <w:r w:rsidRPr="005F31EE">
              <w:rPr>
                <w:rFonts w:cs="Arial"/>
                <w:szCs w:val="20"/>
                <w:lang w:eastAsia="en-AU"/>
              </w:rPr>
              <w:t>urisdiction - activity by product</w:t>
            </w:r>
          </w:p>
        </w:tc>
        <w:tc>
          <w:tcPr>
            <w:tcW w:w="2287" w:type="dxa"/>
            <w:tcBorders>
              <w:top w:val="nil"/>
              <w:left w:val="single" w:sz="4" w:space="0" w:color="auto"/>
              <w:bottom w:val="nil"/>
              <w:right w:val="single" w:sz="4" w:space="0" w:color="auto"/>
            </w:tcBorders>
            <w:shd w:val="clear" w:color="auto" w:fill="auto"/>
            <w:noWrap/>
            <w:vAlign w:val="center"/>
            <w:hideMark/>
          </w:tcPr>
          <w:p w14:paraId="1CAC2063" w14:textId="77777777" w:rsidR="00A74AD9" w:rsidRPr="005F31EE" w:rsidRDefault="00A74AD9" w:rsidP="007515AF">
            <w:pPr>
              <w:pStyle w:val="TableTextNumber"/>
              <w:jc w:val="right"/>
              <w:rPr>
                <w:rFonts w:cs="Arial"/>
                <w:szCs w:val="20"/>
              </w:rPr>
            </w:pPr>
            <w:r w:rsidRPr="005F31EE">
              <w:rPr>
                <w:rFonts w:cs="Arial"/>
                <w:szCs w:val="20"/>
              </w:rPr>
              <w:t>1,255,930</w:t>
            </w:r>
          </w:p>
        </w:tc>
      </w:tr>
      <w:tr w:rsidR="00A74AD9" w:rsidRPr="00630A55" w14:paraId="29257B54" w14:textId="77777777" w:rsidTr="00534F1C">
        <w:trPr>
          <w:trHeight w:val="20"/>
        </w:trPr>
        <w:tc>
          <w:tcPr>
            <w:tcW w:w="6887" w:type="dxa"/>
            <w:gridSpan w:val="2"/>
            <w:tcBorders>
              <w:top w:val="nil"/>
              <w:left w:val="single" w:sz="4" w:space="0" w:color="auto"/>
              <w:bottom w:val="nil"/>
              <w:right w:val="single" w:sz="4" w:space="0" w:color="auto"/>
            </w:tcBorders>
            <w:shd w:val="clear" w:color="000000" w:fill="FFFFFF"/>
            <w:vAlign w:val="center"/>
            <w:hideMark/>
          </w:tcPr>
          <w:p w14:paraId="01B2604C" w14:textId="5FF5CA7C" w:rsidR="00A74AD9" w:rsidRPr="005F31EE" w:rsidRDefault="00A74AD9" w:rsidP="00A74AD9">
            <w:pPr>
              <w:pStyle w:val="Tabletext"/>
              <w:rPr>
                <w:rFonts w:cs="Arial"/>
                <w:color w:val="000000"/>
                <w:szCs w:val="20"/>
                <w:lang w:eastAsia="en-AU"/>
              </w:rPr>
            </w:pPr>
            <w:r w:rsidRPr="005F31EE">
              <w:rPr>
                <w:rFonts w:cs="Arial"/>
                <w:szCs w:val="20"/>
                <w:lang w:eastAsia="en-AU"/>
              </w:rPr>
              <w:t xml:space="preserve">Final </w:t>
            </w:r>
            <w:r w:rsidR="00B66142">
              <w:rPr>
                <w:rFonts w:cs="Arial"/>
                <w:szCs w:val="20"/>
                <w:lang w:eastAsia="en-AU"/>
              </w:rPr>
              <w:t>s</w:t>
            </w:r>
            <w:r w:rsidRPr="005F31EE">
              <w:rPr>
                <w:rFonts w:cs="Arial"/>
                <w:szCs w:val="20"/>
                <w:lang w:eastAsia="en-AU"/>
              </w:rPr>
              <w:t xml:space="preserve">ubmission to </w:t>
            </w:r>
            <w:r w:rsidR="00B66142">
              <w:rPr>
                <w:rFonts w:cs="Arial"/>
                <w:szCs w:val="20"/>
                <w:lang w:eastAsia="en-AU"/>
              </w:rPr>
              <w:t>j</w:t>
            </w:r>
            <w:r w:rsidRPr="005F31EE">
              <w:rPr>
                <w:rFonts w:cs="Arial"/>
                <w:szCs w:val="20"/>
                <w:lang w:eastAsia="en-AU"/>
              </w:rPr>
              <w:t>urisdiction - activity and cost by product</w:t>
            </w:r>
          </w:p>
        </w:tc>
        <w:tc>
          <w:tcPr>
            <w:tcW w:w="2287" w:type="dxa"/>
            <w:tcBorders>
              <w:top w:val="nil"/>
              <w:left w:val="single" w:sz="4" w:space="0" w:color="auto"/>
              <w:bottom w:val="nil"/>
              <w:right w:val="single" w:sz="4" w:space="0" w:color="auto"/>
            </w:tcBorders>
            <w:shd w:val="clear" w:color="auto" w:fill="auto"/>
            <w:noWrap/>
            <w:vAlign w:val="center"/>
            <w:hideMark/>
          </w:tcPr>
          <w:p w14:paraId="3324E301" w14:textId="77777777" w:rsidR="00A74AD9" w:rsidRPr="005F31EE" w:rsidRDefault="00A74AD9" w:rsidP="007515AF">
            <w:pPr>
              <w:pStyle w:val="TableTextNumber"/>
              <w:jc w:val="right"/>
              <w:rPr>
                <w:rFonts w:cs="Arial"/>
                <w:szCs w:val="20"/>
              </w:rPr>
            </w:pPr>
            <w:r w:rsidRPr="005F31EE">
              <w:rPr>
                <w:rFonts w:cs="Arial"/>
                <w:szCs w:val="20"/>
              </w:rPr>
              <w:t>1,145,275</w:t>
            </w:r>
          </w:p>
        </w:tc>
      </w:tr>
      <w:tr w:rsidR="00A74AD9" w:rsidRPr="00630A55" w14:paraId="0CBB6734" w14:textId="77777777" w:rsidTr="00534F1C">
        <w:trPr>
          <w:trHeight w:val="20"/>
        </w:trPr>
        <w:tc>
          <w:tcPr>
            <w:tcW w:w="6887" w:type="dxa"/>
            <w:gridSpan w:val="2"/>
            <w:tcBorders>
              <w:top w:val="nil"/>
              <w:left w:val="single" w:sz="4" w:space="0" w:color="auto"/>
              <w:bottom w:val="nil"/>
              <w:right w:val="single" w:sz="4" w:space="0" w:color="auto"/>
            </w:tcBorders>
            <w:shd w:val="clear" w:color="000000" w:fill="00338D"/>
            <w:noWrap/>
            <w:vAlign w:val="center"/>
            <w:hideMark/>
          </w:tcPr>
          <w:p w14:paraId="1DF90774" w14:textId="1F27F5D1" w:rsidR="00A74AD9" w:rsidRPr="005F18FF" w:rsidRDefault="00A74AD9" w:rsidP="00A74AD9">
            <w:pPr>
              <w:pStyle w:val="Tableheading"/>
              <w:rPr>
                <w:rFonts w:ascii="Arial" w:hAnsi="Arial" w:cs="Arial"/>
                <w:color w:val="FFFFFF"/>
                <w:szCs w:val="20"/>
                <w:lang w:eastAsia="en-AU"/>
              </w:rPr>
            </w:pPr>
            <w:r w:rsidRPr="005F18FF">
              <w:rPr>
                <w:rFonts w:ascii="Arial" w:hAnsi="Arial" w:cs="Arial"/>
                <w:szCs w:val="20"/>
                <w:lang w:eastAsia="en-AU"/>
              </w:rPr>
              <w:t xml:space="preserve">Cost submitted to jurisdiction </w:t>
            </w:r>
          </w:p>
        </w:tc>
        <w:tc>
          <w:tcPr>
            <w:tcW w:w="2287" w:type="dxa"/>
            <w:tcBorders>
              <w:top w:val="nil"/>
              <w:left w:val="single" w:sz="4" w:space="0" w:color="auto"/>
              <w:bottom w:val="nil"/>
              <w:right w:val="single" w:sz="4" w:space="0" w:color="auto"/>
            </w:tcBorders>
            <w:shd w:val="clear" w:color="000000" w:fill="00338D"/>
            <w:noWrap/>
            <w:vAlign w:val="center"/>
            <w:hideMark/>
          </w:tcPr>
          <w:p w14:paraId="759FC0FC" w14:textId="77777777" w:rsidR="00A74AD9" w:rsidRPr="0048310B" w:rsidRDefault="00A74AD9" w:rsidP="0048310B">
            <w:pPr>
              <w:pStyle w:val="Tableheading"/>
              <w:rPr>
                <w:rFonts w:cs="Arial"/>
                <w:b w:val="0"/>
                <w:bCs/>
                <w:szCs w:val="20"/>
              </w:rPr>
            </w:pPr>
            <w:r w:rsidRPr="0048310B">
              <w:rPr>
                <w:rFonts w:ascii="Arial" w:hAnsi="Arial" w:cs="Arial"/>
                <w:szCs w:val="20"/>
                <w:lang w:eastAsia="en-AU"/>
              </w:rPr>
              <w:t xml:space="preserve">Value </w:t>
            </w:r>
          </w:p>
        </w:tc>
      </w:tr>
      <w:tr w:rsidR="00A74AD9" w:rsidRPr="00630A55" w14:paraId="1FFE44E1" w14:textId="77777777" w:rsidTr="00534F1C">
        <w:trPr>
          <w:trHeight w:val="20"/>
        </w:trPr>
        <w:tc>
          <w:tcPr>
            <w:tcW w:w="6887" w:type="dxa"/>
            <w:gridSpan w:val="2"/>
            <w:tcBorders>
              <w:top w:val="nil"/>
              <w:left w:val="single" w:sz="4" w:space="0" w:color="auto"/>
              <w:bottom w:val="nil"/>
              <w:right w:val="single" w:sz="4" w:space="0" w:color="auto"/>
            </w:tcBorders>
            <w:shd w:val="clear" w:color="000000" w:fill="FFFFFF"/>
            <w:vAlign w:val="center"/>
            <w:hideMark/>
          </w:tcPr>
          <w:p w14:paraId="0C72FFD9" w14:textId="27D8B2F6" w:rsidR="00A74AD9" w:rsidRPr="005F31EE" w:rsidRDefault="00A74AD9" w:rsidP="00A74AD9">
            <w:pPr>
              <w:pStyle w:val="Tabletext"/>
              <w:rPr>
                <w:rFonts w:cs="Arial"/>
                <w:color w:val="000000"/>
                <w:szCs w:val="20"/>
                <w:lang w:eastAsia="en-AU"/>
              </w:rPr>
            </w:pPr>
            <w:r w:rsidRPr="005F31EE">
              <w:rPr>
                <w:rFonts w:cs="Arial"/>
                <w:szCs w:val="20"/>
                <w:lang w:eastAsia="en-AU"/>
              </w:rPr>
              <w:t xml:space="preserve">Summary submission to jurisdiction </w:t>
            </w:r>
          </w:p>
        </w:tc>
        <w:tc>
          <w:tcPr>
            <w:tcW w:w="2287" w:type="dxa"/>
            <w:tcBorders>
              <w:top w:val="nil"/>
              <w:left w:val="single" w:sz="4" w:space="0" w:color="auto"/>
              <w:bottom w:val="nil"/>
              <w:right w:val="single" w:sz="4" w:space="0" w:color="auto"/>
            </w:tcBorders>
            <w:shd w:val="clear" w:color="auto" w:fill="auto"/>
            <w:vAlign w:val="center"/>
            <w:hideMark/>
          </w:tcPr>
          <w:p w14:paraId="32CDE606" w14:textId="77777777" w:rsidR="00A74AD9" w:rsidRPr="005F31EE" w:rsidRDefault="00A74AD9" w:rsidP="007515AF">
            <w:pPr>
              <w:pStyle w:val="TableTextNumber"/>
              <w:jc w:val="right"/>
              <w:rPr>
                <w:rFonts w:cs="Arial"/>
                <w:szCs w:val="20"/>
              </w:rPr>
            </w:pPr>
            <w:r w:rsidRPr="005F31EE">
              <w:rPr>
                <w:rFonts w:cs="Arial"/>
                <w:szCs w:val="20"/>
              </w:rPr>
              <w:t> </w:t>
            </w:r>
          </w:p>
        </w:tc>
      </w:tr>
      <w:tr w:rsidR="00A74AD9" w:rsidRPr="00630A55" w14:paraId="22D240B6" w14:textId="77777777" w:rsidTr="00534F1C">
        <w:trPr>
          <w:trHeight w:val="20"/>
        </w:trPr>
        <w:tc>
          <w:tcPr>
            <w:tcW w:w="281" w:type="dxa"/>
            <w:tcBorders>
              <w:top w:val="nil"/>
              <w:left w:val="single" w:sz="4" w:space="0" w:color="auto"/>
              <w:bottom w:val="nil"/>
              <w:right w:val="nil"/>
            </w:tcBorders>
            <w:shd w:val="clear" w:color="000000" w:fill="FFFFFF"/>
            <w:noWrap/>
            <w:vAlign w:val="center"/>
            <w:hideMark/>
          </w:tcPr>
          <w:p w14:paraId="78A53743" w14:textId="77777777" w:rsidR="00A74AD9" w:rsidRPr="005F31EE" w:rsidRDefault="00A74AD9" w:rsidP="00A74AD9">
            <w:pPr>
              <w:pStyle w:val="Tabletext"/>
              <w:rPr>
                <w:rFonts w:cs="Arial"/>
                <w:szCs w:val="20"/>
                <w:lang w:eastAsia="en-AU"/>
              </w:rPr>
            </w:pPr>
            <w:r w:rsidRPr="005F31EE">
              <w:rPr>
                <w:rFonts w:cs="Arial"/>
                <w:szCs w:val="20"/>
                <w:lang w:eastAsia="en-AU"/>
              </w:rPr>
              <w:t> </w:t>
            </w:r>
          </w:p>
        </w:tc>
        <w:tc>
          <w:tcPr>
            <w:tcW w:w="6606" w:type="dxa"/>
            <w:tcBorders>
              <w:top w:val="nil"/>
              <w:left w:val="nil"/>
              <w:bottom w:val="nil"/>
              <w:right w:val="single" w:sz="4" w:space="0" w:color="auto"/>
            </w:tcBorders>
            <w:shd w:val="clear" w:color="000000" w:fill="FFFFFF"/>
            <w:vAlign w:val="center"/>
            <w:hideMark/>
          </w:tcPr>
          <w:p w14:paraId="75460923" w14:textId="6E095CDF" w:rsidR="00A74AD9" w:rsidRPr="005F31EE" w:rsidRDefault="00A74AD9" w:rsidP="00A74AD9">
            <w:pPr>
              <w:pStyle w:val="Tabletext"/>
              <w:rPr>
                <w:rFonts w:cs="Arial"/>
                <w:szCs w:val="20"/>
                <w:lang w:eastAsia="en-AU"/>
              </w:rPr>
            </w:pPr>
            <w:r w:rsidRPr="005F31EE">
              <w:rPr>
                <w:rFonts w:cs="Arial"/>
                <w:szCs w:val="20"/>
                <w:lang w:eastAsia="en-AU"/>
              </w:rPr>
              <w:t>Activity submitted to Jurisdiction</w:t>
            </w:r>
          </w:p>
        </w:tc>
        <w:tc>
          <w:tcPr>
            <w:tcW w:w="2287" w:type="dxa"/>
            <w:tcBorders>
              <w:top w:val="nil"/>
              <w:left w:val="single" w:sz="4" w:space="0" w:color="auto"/>
              <w:bottom w:val="nil"/>
              <w:right w:val="single" w:sz="4" w:space="0" w:color="auto"/>
            </w:tcBorders>
            <w:shd w:val="clear" w:color="auto" w:fill="auto"/>
            <w:noWrap/>
            <w:vAlign w:val="center"/>
            <w:hideMark/>
          </w:tcPr>
          <w:p w14:paraId="1AD9710A" w14:textId="77777777" w:rsidR="00A74AD9" w:rsidRPr="005F31EE" w:rsidRDefault="00A74AD9" w:rsidP="007515AF">
            <w:pPr>
              <w:pStyle w:val="TableTextNumber"/>
              <w:jc w:val="right"/>
              <w:rPr>
                <w:rFonts w:cs="Arial"/>
                <w:szCs w:val="20"/>
              </w:rPr>
            </w:pPr>
            <w:r w:rsidRPr="005F31EE">
              <w:rPr>
                <w:rFonts w:cs="Arial"/>
                <w:szCs w:val="20"/>
              </w:rPr>
              <w:t>1,145,275</w:t>
            </w:r>
          </w:p>
        </w:tc>
      </w:tr>
      <w:tr w:rsidR="00A74AD9" w:rsidRPr="00630A55" w14:paraId="0C4F8462" w14:textId="77777777" w:rsidTr="00534F1C">
        <w:trPr>
          <w:trHeight w:val="20"/>
        </w:trPr>
        <w:tc>
          <w:tcPr>
            <w:tcW w:w="281" w:type="dxa"/>
            <w:tcBorders>
              <w:top w:val="nil"/>
              <w:left w:val="single" w:sz="4" w:space="0" w:color="auto"/>
              <w:bottom w:val="nil"/>
              <w:right w:val="nil"/>
            </w:tcBorders>
            <w:shd w:val="clear" w:color="000000" w:fill="FFFFFF"/>
            <w:noWrap/>
            <w:vAlign w:val="center"/>
            <w:hideMark/>
          </w:tcPr>
          <w:p w14:paraId="770942CE" w14:textId="77777777" w:rsidR="00A74AD9" w:rsidRPr="005F31EE" w:rsidRDefault="00A74AD9" w:rsidP="00A74AD9">
            <w:pPr>
              <w:pStyle w:val="Tabletext"/>
              <w:rPr>
                <w:rFonts w:cs="Arial"/>
                <w:szCs w:val="20"/>
                <w:lang w:eastAsia="en-AU"/>
              </w:rPr>
            </w:pPr>
            <w:r w:rsidRPr="005F31EE">
              <w:rPr>
                <w:rFonts w:cs="Arial"/>
                <w:szCs w:val="20"/>
                <w:lang w:eastAsia="en-AU"/>
              </w:rPr>
              <w:t> </w:t>
            </w:r>
          </w:p>
        </w:tc>
        <w:tc>
          <w:tcPr>
            <w:tcW w:w="6606" w:type="dxa"/>
            <w:tcBorders>
              <w:top w:val="nil"/>
              <w:left w:val="nil"/>
              <w:bottom w:val="nil"/>
              <w:right w:val="single" w:sz="4" w:space="0" w:color="auto"/>
            </w:tcBorders>
            <w:shd w:val="clear" w:color="000000" w:fill="FFFFFF"/>
            <w:vAlign w:val="center"/>
            <w:hideMark/>
          </w:tcPr>
          <w:p w14:paraId="3954DDFC" w14:textId="3983BCAE" w:rsidR="00A74AD9" w:rsidRPr="005F31EE" w:rsidRDefault="00A74AD9" w:rsidP="00A74AD9">
            <w:pPr>
              <w:pStyle w:val="Tabletext"/>
              <w:rPr>
                <w:rFonts w:cs="Arial"/>
                <w:szCs w:val="20"/>
                <w:lang w:eastAsia="en-AU"/>
              </w:rPr>
            </w:pPr>
            <w:r w:rsidRPr="005F31EE">
              <w:rPr>
                <w:rFonts w:cs="Arial"/>
                <w:szCs w:val="20"/>
                <w:lang w:eastAsia="en-AU"/>
              </w:rPr>
              <w:t>Costs submitted to Jurisdiction</w:t>
            </w:r>
          </w:p>
        </w:tc>
        <w:tc>
          <w:tcPr>
            <w:tcW w:w="2287" w:type="dxa"/>
            <w:tcBorders>
              <w:top w:val="nil"/>
              <w:left w:val="single" w:sz="4" w:space="0" w:color="auto"/>
              <w:bottom w:val="nil"/>
              <w:right w:val="single" w:sz="4" w:space="0" w:color="auto"/>
            </w:tcBorders>
            <w:shd w:val="clear" w:color="auto" w:fill="auto"/>
            <w:noWrap/>
            <w:vAlign w:val="center"/>
            <w:hideMark/>
          </w:tcPr>
          <w:p w14:paraId="07D4DDD9" w14:textId="77777777" w:rsidR="00A74AD9" w:rsidRPr="005F31EE" w:rsidRDefault="00A74AD9" w:rsidP="007515AF">
            <w:pPr>
              <w:pStyle w:val="TableTextNumber"/>
              <w:jc w:val="right"/>
              <w:rPr>
                <w:rFonts w:cs="Arial"/>
                <w:szCs w:val="20"/>
              </w:rPr>
            </w:pPr>
            <w:r w:rsidRPr="005F31EE">
              <w:rPr>
                <w:rFonts w:cs="Arial"/>
                <w:szCs w:val="20"/>
              </w:rPr>
              <w:t>$902,190,184</w:t>
            </w:r>
          </w:p>
        </w:tc>
      </w:tr>
      <w:tr w:rsidR="00A74AD9" w:rsidRPr="00630A55" w14:paraId="3900A1A9" w14:textId="77777777" w:rsidTr="00534F1C">
        <w:trPr>
          <w:trHeight w:val="20"/>
        </w:trPr>
        <w:tc>
          <w:tcPr>
            <w:tcW w:w="6887" w:type="dxa"/>
            <w:gridSpan w:val="2"/>
            <w:tcBorders>
              <w:top w:val="nil"/>
              <w:left w:val="single" w:sz="4" w:space="0" w:color="auto"/>
              <w:bottom w:val="nil"/>
              <w:right w:val="single" w:sz="4" w:space="0" w:color="auto"/>
            </w:tcBorders>
            <w:shd w:val="clear" w:color="000000" w:fill="00338D"/>
            <w:noWrap/>
            <w:vAlign w:val="center"/>
            <w:hideMark/>
          </w:tcPr>
          <w:p w14:paraId="201D74DA" w14:textId="3388D05C" w:rsidR="00A74AD9" w:rsidRPr="005F18FF" w:rsidRDefault="00A74AD9" w:rsidP="00A74AD9">
            <w:pPr>
              <w:pStyle w:val="Tableheading"/>
              <w:rPr>
                <w:rFonts w:ascii="Arial" w:hAnsi="Arial" w:cs="Arial"/>
                <w:color w:val="FFFFFF"/>
                <w:szCs w:val="20"/>
                <w:lang w:eastAsia="en-AU"/>
              </w:rPr>
            </w:pPr>
            <w:r w:rsidRPr="005F18FF">
              <w:rPr>
                <w:rFonts w:ascii="Arial" w:hAnsi="Arial" w:cs="Arial"/>
                <w:szCs w:val="20"/>
                <w:lang w:eastAsia="en-AU"/>
              </w:rPr>
              <w:t>Costs submitted to IHACPA</w:t>
            </w:r>
          </w:p>
        </w:tc>
        <w:tc>
          <w:tcPr>
            <w:tcW w:w="2287" w:type="dxa"/>
            <w:tcBorders>
              <w:top w:val="nil"/>
              <w:left w:val="single" w:sz="4" w:space="0" w:color="auto"/>
              <w:bottom w:val="nil"/>
              <w:right w:val="single" w:sz="4" w:space="0" w:color="auto"/>
            </w:tcBorders>
            <w:shd w:val="clear" w:color="000000" w:fill="00338D"/>
            <w:noWrap/>
            <w:vAlign w:val="center"/>
            <w:hideMark/>
          </w:tcPr>
          <w:p w14:paraId="25188705" w14:textId="77777777" w:rsidR="00A74AD9" w:rsidRPr="0048310B" w:rsidRDefault="00A74AD9" w:rsidP="0048310B">
            <w:pPr>
              <w:pStyle w:val="Tableheading"/>
              <w:rPr>
                <w:rFonts w:cs="Arial"/>
                <w:b w:val="0"/>
                <w:bCs/>
                <w:szCs w:val="20"/>
              </w:rPr>
            </w:pPr>
            <w:r w:rsidRPr="0048310B">
              <w:rPr>
                <w:rFonts w:ascii="Arial" w:hAnsi="Arial" w:cs="Arial"/>
                <w:szCs w:val="20"/>
                <w:lang w:eastAsia="en-AU"/>
              </w:rPr>
              <w:t xml:space="preserve">Value </w:t>
            </w:r>
          </w:p>
        </w:tc>
      </w:tr>
      <w:tr w:rsidR="00A74AD9" w:rsidRPr="00630A55" w14:paraId="065F2AC6" w14:textId="77777777" w:rsidTr="00534F1C">
        <w:trPr>
          <w:trHeight w:val="20"/>
        </w:trPr>
        <w:tc>
          <w:tcPr>
            <w:tcW w:w="6887" w:type="dxa"/>
            <w:gridSpan w:val="2"/>
            <w:tcBorders>
              <w:top w:val="nil"/>
              <w:left w:val="single" w:sz="4" w:space="0" w:color="auto"/>
              <w:bottom w:val="nil"/>
              <w:right w:val="single" w:sz="4" w:space="0" w:color="auto"/>
            </w:tcBorders>
            <w:shd w:val="clear" w:color="000000" w:fill="FFFFFF"/>
            <w:vAlign w:val="center"/>
            <w:hideMark/>
          </w:tcPr>
          <w:p w14:paraId="684697E0" w14:textId="58A2D092" w:rsidR="00A74AD9" w:rsidRPr="005F31EE" w:rsidRDefault="00A74AD9" w:rsidP="00A74AD9">
            <w:pPr>
              <w:pStyle w:val="Tabletext"/>
              <w:rPr>
                <w:rFonts w:cs="Arial"/>
                <w:color w:val="000000"/>
                <w:szCs w:val="20"/>
                <w:lang w:eastAsia="en-AU"/>
              </w:rPr>
            </w:pPr>
            <w:r w:rsidRPr="005F31EE">
              <w:rPr>
                <w:rFonts w:cs="Arial"/>
                <w:szCs w:val="20"/>
                <w:lang w:eastAsia="en-AU"/>
              </w:rPr>
              <w:t xml:space="preserve">Final </w:t>
            </w:r>
            <w:r w:rsidR="002D29F8" w:rsidRPr="005F31EE">
              <w:rPr>
                <w:rFonts w:cs="Arial"/>
                <w:szCs w:val="20"/>
                <w:lang w:eastAsia="en-AU"/>
              </w:rPr>
              <w:t>s</w:t>
            </w:r>
            <w:r w:rsidRPr="005F31EE">
              <w:rPr>
                <w:rFonts w:cs="Arial"/>
                <w:szCs w:val="20"/>
                <w:lang w:eastAsia="en-AU"/>
              </w:rPr>
              <w:t xml:space="preserve">ubmission from jurisdiction to IHACPA for NHCDC - cost and activity by product </w:t>
            </w:r>
          </w:p>
        </w:tc>
        <w:tc>
          <w:tcPr>
            <w:tcW w:w="2287" w:type="dxa"/>
            <w:tcBorders>
              <w:top w:val="nil"/>
              <w:left w:val="single" w:sz="4" w:space="0" w:color="auto"/>
              <w:bottom w:val="nil"/>
              <w:right w:val="single" w:sz="4" w:space="0" w:color="auto"/>
            </w:tcBorders>
            <w:shd w:val="clear" w:color="auto" w:fill="auto"/>
            <w:vAlign w:val="center"/>
            <w:hideMark/>
          </w:tcPr>
          <w:p w14:paraId="773D5127" w14:textId="77777777" w:rsidR="00A74AD9" w:rsidRPr="005F31EE" w:rsidRDefault="00A74AD9" w:rsidP="007515AF">
            <w:pPr>
              <w:pStyle w:val="TableTextNumber"/>
              <w:jc w:val="right"/>
              <w:rPr>
                <w:rFonts w:cs="Arial"/>
                <w:szCs w:val="20"/>
              </w:rPr>
            </w:pPr>
            <w:r w:rsidRPr="005F31EE">
              <w:rPr>
                <w:rFonts w:cs="Arial"/>
                <w:szCs w:val="20"/>
              </w:rPr>
              <w:t> </w:t>
            </w:r>
          </w:p>
        </w:tc>
      </w:tr>
      <w:tr w:rsidR="00A74AD9" w:rsidRPr="00630A55" w14:paraId="3B5A8243" w14:textId="77777777" w:rsidTr="00534F1C">
        <w:trPr>
          <w:trHeight w:val="20"/>
        </w:trPr>
        <w:tc>
          <w:tcPr>
            <w:tcW w:w="281" w:type="dxa"/>
            <w:tcBorders>
              <w:top w:val="nil"/>
              <w:left w:val="single" w:sz="4" w:space="0" w:color="auto"/>
              <w:bottom w:val="nil"/>
              <w:right w:val="nil"/>
            </w:tcBorders>
            <w:shd w:val="clear" w:color="000000" w:fill="FFFFFF"/>
            <w:noWrap/>
            <w:vAlign w:val="center"/>
            <w:hideMark/>
          </w:tcPr>
          <w:p w14:paraId="0BF8AD19" w14:textId="77777777" w:rsidR="00A74AD9" w:rsidRPr="005F31EE" w:rsidRDefault="00A74AD9" w:rsidP="00A74AD9">
            <w:pPr>
              <w:pStyle w:val="Tabletext"/>
              <w:rPr>
                <w:rFonts w:cs="Arial"/>
                <w:szCs w:val="20"/>
                <w:lang w:eastAsia="en-AU"/>
              </w:rPr>
            </w:pPr>
            <w:r w:rsidRPr="005F31EE">
              <w:rPr>
                <w:rFonts w:cs="Arial"/>
                <w:szCs w:val="20"/>
                <w:lang w:eastAsia="en-AU"/>
              </w:rPr>
              <w:t> </w:t>
            </w:r>
          </w:p>
        </w:tc>
        <w:tc>
          <w:tcPr>
            <w:tcW w:w="6606" w:type="dxa"/>
            <w:tcBorders>
              <w:top w:val="nil"/>
              <w:left w:val="nil"/>
              <w:bottom w:val="nil"/>
              <w:right w:val="single" w:sz="4" w:space="0" w:color="auto"/>
            </w:tcBorders>
            <w:shd w:val="clear" w:color="000000" w:fill="FFFFFF"/>
            <w:vAlign w:val="center"/>
            <w:hideMark/>
          </w:tcPr>
          <w:p w14:paraId="5E155047" w14:textId="77777777" w:rsidR="00A74AD9" w:rsidRPr="005F31EE" w:rsidRDefault="00A74AD9" w:rsidP="00A74AD9">
            <w:pPr>
              <w:pStyle w:val="Tabletext"/>
              <w:rPr>
                <w:rFonts w:cs="Arial"/>
                <w:szCs w:val="20"/>
                <w:lang w:eastAsia="en-AU"/>
              </w:rPr>
            </w:pPr>
            <w:r w:rsidRPr="005F31EE">
              <w:rPr>
                <w:rFonts w:cs="Arial"/>
                <w:szCs w:val="20"/>
                <w:lang w:eastAsia="en-AU"/>
              </w:rPr>
              <w:t>Activity</w:t>
            </w:r>
          </w:p>
        </w:tc>
        <w:tc>
          <w:tcPr>
            <w:tcW w:w="2287" w:type="dxa"/>
            <w:tcBorders>
              <w:top w:val="nil"/>
              <w:left w:val="single" w:sz="4" w:space="0" w:color="auto"/>
              <w:bottom w:val="nil"/>
              <w:right w:val="single" w:sz="4" w:space="0" w:color="auto"/>
            </w:tcBorders>
            <w:shd w:val="clear" w:color="auto" w:fill="auto"/>
            <w:noWrap/>
            <w:vAlign w:val="center"/>
            <w:hideMark/>
          </w:tcPr>
          <w:p w14:paraId="72B59679" w14:textId="668F6BDD" w:rsidR="00A74AD9" w:rsidRPr="005F31EE" w:rsidRDefault="00984C2F" w:rsidP="007515AF">
            <w:pPr>
              <w:pStyle w:val="TableTextNumber"/>
              <w:jc w:val="right"/>
              <w:rPr>
                <w:rFonts w:cs="Arial"/>
                <w:szCs w:val="20"/>
              </w:rPr>
            </w:pPr>
            <w:r w:rsidRPr="005F31EE">
              <w:rPr>
                <w:rFonts w:eastAsia="Times New Roman" w:cs="Arial"/>
                <w:color w:val="000000"/>
                <w:szCs w:val="20"/>
              </w:rPr>
              <w:t>1,122,466</w:t>
            </w:r>
          </w:p>
        </w:tc>
      </w:tr>
      <w:tr w:rsidR="00A74AD9" w:rsidRPr="00630A55" w14:paraId="28B1E2F1" w14:textId="77777777" w:rsidTr="00534F1C">
        <w:trPr>
          <w:trHeight w:val="20"/>
        </w:trPr>
        <w:tc>
          <w:tcPr>
            <w:tcW w:w="281" w:type="dxa"/>
            <w:tcBorders>
              <w:top w:val="nil"/>
              <w:left w:val="single" w:sz="4" w:space="0" w:color="auto"/>
              <w:bottom w:val="nil"/>
              <w:right w:val="nil"/>
            </w:tcBorders>
            <w:shd w:val="clear" w:color="000000" w:fill="FFFFFF"/>
            <w:noWrap/>
            <w:vAlign w:val="center"/>
            <w:hideMark/>
          </w:tcPr>
          <w:p w14:paraId="1A442A2C" w14:textId="77777777" w:rsidR="00A74AD9" w:rsidRPr="005F31EE" w:rsidRDefault="00A74AD9" w:rsidP="00A74AD9">
            <w:pPr>
              <w:pStyle w:val="Tabletext"/>
              <w:rPr>
                <w:rFonts w:cs="Arial"/>
                <w:szCs w:val="20"/>
                <w:lang w:eastAsia="en-AU"/>
              </w:rPr>
            </w:pPr>
            <w:r w:rsidRPr="005F31EE">
              <w:rPr>
                <w:rFonts w:cs="Arial"/>
                <w:szCs w:val="20"/>
                <w:lang w:eastAsia="en-AU"/>
              </w:rPr>
              <w:t> </w:t>
            </w:r>
          </w:p>
        </w:tc>
        <w:tc>
          <w:tcPr>
            <w:tcW w:w="6606" w:type="dxa"/>
            <w:tcBorders>
              <w:top w:val="nil"/>
              <w:left w:val="nil"/>
              <w:bottom w:val="nil"/>
              <w:right w:val="single" w:sz="4" w:space="0" w:color="auto"/>
            </w:tcBorders>
            <w:shd w:val="clear" w:color="000000" w:fill="FFFFFF"/>
            <w:vAlign w:val="center"/>
            <w:hideMark/>
          </w:tcPr>
          <w:p w14:paraId="441287B1" w14:textId="77777777" w:rsidR="00A74AD9" w:rsidRPr="005F31EE" w:rsidRDefault="00A74AD9" w:rsidP="00A74AD9">
            <w:pPr>
              <w:pStyle w:val="Tabletext"/>
              <w:rPr>
                <w:rFonts w:cs="Arial"/>
                <w:szCs w:val="20"/>
                <w:lang w:eastAsia="en-AU"/>
              </w:rPr>
            </w:pPr>
            <w:r w:rsidRPr="005F31EE">
              <w:rPr>
                <w:rFonts w:cs="Arial"/>
                <w:szCs w:val="20"/>
                <w:lang w:eastAsia="en-AU"/>
              </w:rPr>
              <w:t>Costs</w:t>
            </w:r>
          </w:p>
        </w:tc>
        <w:tc>
          <w:tcPr>
            <w:tcW w:w="2287" w:type="dxa"/>
            <w:tcBorders>
              <w:top w:val="nil"/>
              <w:left w:val="single" w:sz="4" w:space="0" w:color="auto"/>
              <w:bottom w:val="nil"/>
              <w:right w:val="single" w:sz="4" w:space="0" w:color="auto"/>
            </w:tcBorders>
            <w:shd w:val="clear" w:color="auto" w:fill="auto"/>
            <w:noWrap/>
            <w:vAlign w:val="center"/>
            <w:hideMark/>
          </w:tcPr>
          <w:p w14:paraId="15EC6380" w14:textId="109DF9B5" w:rsidR="00A74AD9" w:rsidRPr="005F31EE" w:rsidRDefault="00984C2F" w:rsidP="007515AF">
            <w:pPr>
              <w:pStyle w:val="TableTextNumber"/>
              <w:jc w:val="right"/>
              <w:rPr>
                <w:rFonts w:cs="Arial"/>
                <w:szCs w:val="20"/>
              </w:rPr>
            </w:pPr>
            <w:r w:rsidRPr="005F31EE">
              <w:rPr>
                <w:rFonts w:eastAsia="Times New Roman" w:cs="Arial"/>
                <w:color w:val="000000"/>
                <w:szCs w:val="20"/>
              </w:rPr>
              <w:t>$902,190,184</w:t>
            </w:r>
          </w:p>
        </w:tc>
      </w:tr>
      <w:tr w:rsidR="00A74AD9" w:rsidRPr="00630A55" w14:paraId="57DD7373" w14:textId="77777777" w:rsidTr="00534F1C">
        <w:trPr>
          <w:trHeight w:val="20"/>
        </w:trPr>
        <w:tc>
          <w:tcPr>
            <w:tcW w:w="6887" w:type="dxa"/>
            <w:gridSpan w:val="2"/>
            <w:tcBorders>
              <w:top w:val="nil"/>
              <w:left w:val="single" w:sz="4" w:space="0" w:color="auto"/>
              <w:bottom w:val="nil"/>
              <w:right w:val="single" w:sz="4" w:space="0" w:color="auto"/>
            </w:tcBorders>
            <w:shd w:val="clear" w:color="000000" w:fill="FFFFFF"/>
            <w:vAlign w:val="center"/>
            <w:hideMark/>
          </w:tcPr>
          <w:p w14:paraId="4B5C0F4B" w14:textId="09AB727E" w:rsidR="00A74AD9" w:rsidRPr="005F31EE" w:rsidRDefault="00A74AD9" w:rsidP="00A74AD9">
            <w:pPr>
              <w:pStyle w:val="Tabletext"/>
              <w:rPr>
                <w:rFonts w:cs="Arial"/>
                <w:color w:val="000000"/>
                <w:szCs w:val="20"/>
                <w:lang w:eastAsia="en-AU"/>
              </w:rPr>
            </w:pPr>
            <w:r w:rsidRPr="005F31EE">
              <w:rPr>
                <w:rFonts w:cs="Arial"/>
                <w:szCs w:val="20"/>
                <w:lang w:eastAsia="en-AU"/>
              </w:rPr>
              <w:t xml:space="preserve">Adjustments to </w:t>
            </w:r>
            <w:r w:rsidR="002D29F8" w:rsidRPr="005F31EE">
              <w:rPr>
                <w:rFonts w:cs="Arial"/>
                <w:szCs w:val="20"/>
                <w:lang w:eastAsia="en-AU"/>
              </w:rPr>
              <w:t>j</w:t>
            </w:r>
            <w:r w:rsidRPr="005F31EE">
              <w:rPr>
                <w:rFonts w:cs="Arial"/>
                <w:szCs w:val="20"/>
                <w:lang w:eastAsia="en-AU"/>
              </w:rPr>
              <w:t xml:space="preserve">urisdictional </w:t>
            </w:r>
            <w:r w:rsidR="002D29F8" w:rsidRPr="005F31EE">
              <w:rPr>
                <w:rFonts w:cs="Arial"/>
                <w:szCs w:val="20"/>
                <w:lang w:eastAsia="en-AU"/>
              </w:rPr>
              <w:t>s</w:t>
            </w:r>
            <w:r w:rsidRPr="005F31EE">
              <w:rPr>
                <w:rFonts w:cs="Arial"/>
                <w:szCs w:val="20"/>
                <w:lang w:eastAsia="en-AU"/>
              </w:rPr>
              <w:t xml:space="preserve">ubmission prior to finalisation of </w:t>
            </w:r>
            <w:r w:rsidR="002D29F8" w:rsidRPr="005F31EE">
              <w:rPr>
                <w:rFonts w:cs="Arial"/>
                <w:szCs w:val="20"/>
                <w:lang w:eastAsia="en-AU"/>
              </w:rPr>
              <w:t>j</w:t>
            </w:r>
            <w:r w:rsidRPr="005F31EE">
              <w:rPr>
                <w:rFonts w:cs="Arial"/>
                <w:szCs w:val="20"/>
                <w:lang w:eastAsia="en-AU"/>
              </w:rPr>
              <w:t>urisdictional data</w:t>
            </w:r>
          </w:p>
        </w:tc>
        <w:tc>
          <w:tcPr>
            <w:tcW w:w="2287" w:type="dxa"/>
            <w:tcBorders>
              <w:top w:val="nil"/>
              <w:left w:val="single" w:sz="4" w:space="0" w:color="auto"/>
              <w:bottom w:val="nil"/>
              <w:right w:val="single" w:sz="4" w:space="0" w:color="auto"/>
            </w:tcBorders>
            <w:shd w:val="clear" w:color="auto" w:fill="auto"/>
            <w:vAlign w:val="center"/>
            <w:hideMark/>
          </w:tcPr>
          <w:p w14:paraId="25C37E9F" w14:textId="77777777" w:rsidR="00A74AD9" w:rsidRPr="005F31EE" w:rsidRDefault="00A74AD9" w:rsidP="007515AF">
            <w:pPr>
              <w:pStyle w:val="TableTextNumber"/>
              <w:jc w:val="right"/>
              <w:rPr>
                <w:rFonts w:cs="Arial"/>
                <w:szCs w:val="20"/>
              </w:rPr>
            </w:pPr>
            <w:r w:rsidRPr="005F31EE">
              <w:rPr>
                <w:rFonts w:cs="Arial"/>
                <w:szCs w:val="20"/>
              </w:rPr>
              <w:t> </w:t>
            </w:r>
          </w:p>
        </w:tc>
      </w:tr>
      <w:tr w:rsidR="00A74AD9" w:rsidRPr="00630A55" w14:paraId="18A0F6B0" w14:textId="77777777" w:rsidTr="00534F1C">
        <w:trPr>
          <w:trHeight w:val="20"/>
        </w:trPr>
        <w:tc>
          <w:tcPr>
            <w:tcW w:w="281" w:type="dxa"/>
            <w:tcBorders>
              <w:top w:val="nil"/>
              <w:left w:val="single" w:sz="4" w:space="0" w:color="auto"/>
              <w:bottom w:val="nil"/>
              <w:right w:val="nil"/>
            </w:tcBorders>
            <w:shd w:val="clear" w:color="000000" w:fill="FFFFFF"/>
            <w:noWrap/>
            <w:vAlign w:val="center"/>
            <w:hideMark/>
          </w:tcPr>
          <w:p w14:paraId="65A2ECE0" w14:textId="77777777" w:rsidR="00A74AD9" w:rsidRPr="005F31EE" w:rsidRDefault="00A74AD9" w:rsidP="00A74AD9">
            <w:pPr>
              <w:pStyle w:val="Tabletext"/>
              <w:rPr>
                <w:rFonts w:cs="Arial"/>
                <w:szCs w:val="20"/>
                <w:lang w:eastAsia="en-AU"/>
              </w:rPr>
            </w:pPr>
            <w:r w:rsidRPr="005F31EE">
              <w:rPr>
                <w:rFonts w:cs="Arial"/>
                <w:szCs w:val="20"/>
                <w:lang w:eastAsia="en-AU"/>
              </w:rPr>
              <w:t> </w:t>
            </w:r>
          </w:p>
        </w:tc>
        <w:tc>
          <w:tcPr>
            <w:tcW w:w="6606" w:type="dxa"/>
            <w:tcBorders>
              <w:top w:val="nil"/>
              <w:left w:val="nil"/>
              <w:bottom w:val="nil"/>
              <w:right w:val="single" w:sz="4" w:space="0" w:color="auto"/>
            </w:tcBorders>
            <w:shd w:val="clear" w:color="000000" w:fill="FFFFFF"/>
            <w:noWrap/>
            <w:vAlign w:val="center"/>
            <w:hideMark/>
          </w:tcPr>
          <w:p w14:paraId="36662F02" w14:textId="77777777" w:rsidR="00A74AD9" w:rsidRPr="005F31EE" w:rsidRDefault="00A74AD9" w:rsidP="00A74AD9">
            <w:pPr>
              <w:pStyle w:val="Tabletext"/>
              <w:rPr>
                <w:rFonts w:cs="Arial"/>
                <w:szCs w:val="20"/>
                <w:lang w:eastAsia="en-AU"/>
              </w:rPr>
            </w:pPr>
            <w:r w:rsidRPr="005F31EE">
              <w:rPr>
                <w:rFonts w:cs="Arial"/>
                <w:szCs w:val="20"/>
                <w:lang w:eastAsia="en-AU"/>
              </w:rPr>
              <w:t xml:space="preserve">Activity totals </w:t>
            </w:r>
          </w:p>
        </w:tc>
        <w:tc>
          <w:tcPr>
            <w:tcW w:w="2287" w:type="dxa"/>
            <w:tcBorders>
              <w:top w:val="nil"/>
              <w:left w:val="single" w:sz="4" w:space="0" w:color="auto"/>
              <w:bottom w:val="nil"/>
              <w:right w:val="single" w:sz="4" w:space="0" w:color="auto"/>
            </w:tcBorders>
            <w:shd w:val="clear" w:color="auto" w:fill="auto"/>
            <w:noWrap/>
            <w:vAlign w:val="center"/>
            <w:hideMark/>
          </w:tcPr>
          <w:p w14:paraId="09262D35" w14:textId="55B7115D" w:rsidR="00A74AD9" w:rsidRPr="005F31EE" w:rsidRDefault="00984C2F" w:rsidP="007515AF">
            <w:pPr>
              <w:pStyle w:val="TableTextNumber"/>
              <w:jc w:val="right"/>
              <w:rPr>
                <w:rFonts w:cs="Arial"/>
                <w:szCs w:val="20"/>
              </w:rPr>
            </w:pPr>
            <w:r w:rsidRPr="005F31EE">
              <w:rPr>
                <w:rFonts w:eastAsia="Times New Roman" w:cs="Arial"/>
                <w:szCs w:val="20"/>
              </w:rPr>
              <w:t>(708,666)</w:t>
            </w:r>
          </w:p>
        </w:tc>
      </w:tr>
      <w:tr w:rsidR="00A74AD9" w:rsidRPr="00630A55" w14:paraId="2FAD7CA1" w14:textId="77777777" w:rsidTr="00534F1C">
        <w:trPr>
          <w:trHeight w:val="20"/>
        </w:trPr>
        <w:tc>
          <w:tcPr>
            <w:tcW w:w="281" w:type="dxa"/>
            <w:tcBorders>
              <w:top w:val="nil"/>
              <w:left w:val="single" w:sz="4" w:space="0" w:color="auto"/>
              <w:bottom w:val="nil"/>
              <w:right w:val="nil"/>
            </w:tcBorders>
            <w:shd w:val="clear" w:color="000000" w:fill="FFFFFF"/>
            <w:noWrap/>
            <w:vAlign w:val="center"/>
            <w:hideMark/>
          </w:tcPr>
          <w:p w14:paraId="72248CC2" w14:textId="77777777" w:rsidR="00A74AD9" w:rsidRPr="005F31EE" w:rsidRDefault="00A74AD9" w:rsidP="00A74AD9">
            <w:pPr>
              <w:pStyle w:val="Tabletext"/>
              <w:rPr>
                <w:rFonts w:cs="Arial"/>
                <w:szCs w:val="20"/>
                <w:lang w:eastAsia="en-AU"/>
              </w:rPr>
            </w:pPr>
            <w:r w:rsidRPr="005F31EE">
              <w:rPr>
                <w:rFonts w:cs="Arial"/>
                <w:szCs w:val="20"/>
                <w:lang w:eastAsia="en-AU"/>
              </w:rPr>
              <w:t> </w:t>
            </w:r>
          </w:p>
        </w:tc>
        <w:tc>
          <w:tcPr>
            <w:tcW w:w="6606" w:type="dxa"/>
            <w:tcBorders>
              <w:top w:val="nil"/>
              <w:left w:val="nil"/>
              <w:bottom w:val="nil"/>
              <w:right w:val="single" w:sz="4" w:space="0" w:color="auto"/>
            </w:tcBorders>
            <w:shd w:val="clear" w:color="000000" w:fill="FFFFFF"/>
            <w:noWrap/>
            <w:vAlign w:val="center"/>
            <w:hideMark/>
          </w:tcPr>
          <w:p w14:paraId="7F38F1F9" w14:textId="77777777" w:rsidR="00A74AD9" w:rsidRPr="005F31EE" w:rsidRDefault="00A74AD9" w:rsidP="00A74AD9">
            <w:pPr>
              <w:pStyle w:val="Tabletext"/>
              <w:rPr>
                <w:rFonts w:cs="Arial"/>
                <w:szCs w:val="20"/>
                <w:lang w:eastAsia="en-AU"/>
              </w:rPr>
            </w:pPr>
            <w:r w:rsidRPr="005F31EE">
              <w:rPr>
                <w:rFonts w:cs="Arial"/>
                <w:szCs w:val="20"/>
                <w:lang w:eastAsia="en-AU"/>
              </w:rPr>
              <w:t>Cost totals</w:t>
            </w:r>
          </w:p>
        </w:tc>
        <w:tc>
          <w:tcPr>
            <w:tcW w:w="2287" w:type="dxa"/>
            <w:tcBorders>
              <w:top w:val="nil"/>
              <w:left w:val="single" w:sz="4" w:space="0" w:color="auto"/>
              <w:bottom w:val="nil"/>
              <w:right w:val="single" w:sz="4" w:space="0" w:color="auto"/>
            </w:tcBorders>
            <w:shd w:val="clear" w:color="auto" w:fill="auto"/>
            <w:noWrap/>
            <w:vAlign w:val="center"/>
            <w:hideMark/>
          </w:tcPr>
          <w:p w14:paraId="46A7D544" w14:textId="122A1C5A" w:rsidR="00A74AD9" w:rsidRPr="005F31EE" w:rsidRDefault="00984C2F" w:rsidP="007515AF">
            <w:pPr>
              <w:pStyle w:val="TableTextNumber"/>
              <w:jc w:val="right"/>
              <w:rPr>
                <w:rFonts w:cs="Arial"/>
                <w:szCs w:val="20"/>
              </w:rPr>
            </w:pPr>
            <w:r w:rsidRPr="005F31EE">
              <w:rPr>
                <w:rFonts w:eastAsia="Times New Roman" w:cs="Arial"/>
                <w:szCs w:val="20"/>
              </w:rPr>
              <w:t>($197,344,902)</w:t>
            </w:r>
          </w:p>
        </w:tc>
      </w:tr>
      <w:tr w:rsidR="00A74AD9" w:rsidRPr="00630A55" w14:paraId="581D5B8B" w14:textId="77777777" w:rsidTr="00534F1C">
        <w:trPr>
          <w:trHeight w:val="20"/>
        </w:trPr>
        <w:tc>
          <w:tcPr>
            <w:tcW w:w="6887" w:type="dxa"/>
            <w:gridSpan w:val="2"/>
            <w:tcBorders>
              <w:top w:val="nil"/>
              <w:left w:val="single" w:sz="4" w:space="0" w:color="auto"/>
              <w:bottom w:val="nil"/>
              <w:right w:val="single" w:sz="4" w:space="0" w:color="auto"/>
            </w:tcBorders>
            <w:shd w:val="clear" w:color="000000" w:fill="FFFFFF"/>
            <w:vAlign w:val="center"/>
            <w:hideMark/>
          </w:tcPr>
          <w:p w14:paraId="2D92E7AF" w14:textId="3688E774" w:rsidR="00A74AD9" w:rsidRPr="005F31EE" w:rsidRDefault="00A74AD9" w:rsidP="00A74AD9">
            <w:pPr>
              <w:pStyle w:val="Tabletext"/>
              <w:rPr>
                <w:rFonts w:cs="Arial"/>
                <w:color w:val="000000"/>
                <w:szCs w:val="20"/>
                <w:lang w:eastAsia="en-AU"/>
              </w:rPr>
            </w:pPr>
            <w:r w:rsidRPr="005F31EE">
              <w:rPr>
                <w:rFonts w:cs="Arial"/>
                <w:szCs w:val="20"/>
                <w:lang w:eastAsia="en-AU"/>
              </w:rPr>
              <w:t xml:space="preserve">Final </w:t>
            </w:r>
            <w:r w:rsidR="002D29F8" w:rsidRPr="005F31EE">
              <w:rPr>
                <w:rFonts w:cs="Arial"/>
                <w:szCs w:val="20"/>
                <w:lang w:eastAsia="en-AU"/>
              </w:rPr>
              <w:t>j</w:t>
            </w:r>
            <w:r w:rsidRPr="005F31EE">
              <w:rPr>
                <w:rFonts w:cs="Arial"/>
                <w:szCs w:val="20"/>
                <w:lang w:eastAsia="en-AU"/>
              </w:rPr>
              <w:t xml:space="preserve">urisdictional </w:t>
            </w:r>
            <w:r w:rsidR="002D29F8" w:rsidRPr="005F31EE">
              <w:rPr>
                <w:rFonts w:cs="Arial"/>
                <w:szCs w:val="20"/>
                <w:lang w:eastAsia="en-AU"/>
              </w:rPr>
              <w:t>d</w:t>
            </w:r>
            <w:r w:rsidRPr="005F31EE">
              <w:rPr>
                <w:rFonts w:cs="Arial"/>
                <w:szCs w:val="20"/>
                <w:lang w:eastAsia="en-AU"/>
              </w:rPr>
              <w:t xml:space="preserve">ata for </w:t>
            </w:r>
            <w:r w:rsidR="002D29F8" w:rsidRPr="005F31EE">
              <w:rPr>
                <w:rFonts w:cs="Arial"/>
                <w:szCs w:val="20"/>
                <w:lang w:eastAsia="en-AU"/>
              </w:rPr>
              <w:t>c</w:t>
            </w:r>
            <w:r w:rsidRPr="005F31EE">
              <w:rPr>
                <w:rFonts w:cs="Arial"/>
                <w:szCs w:val="20"/>
                <w:lang w:eastAsia="en-AU"/>
              </w:rPr>
              <w:t xml:space="preserve">ost </w:t>
            </w:r>
            <w:r w:rsidR="002D29F8" w:rsidRPr="005F31EE">
              <w:rPr>
                <w:rFonts w:cs="Arial"/>
                <w:szCs w:val="20"/>
                <w:lang w:eastAsia="en-AU"/>
              </w:rPr>
              <w:t>w</w:t>
            </w:r>
            <w:r w:rsidRPr="005F31EE">
              <w:rPr>
                <w:rFonts w:cs="Arial"/>
                <w:szCs w:val="20"/>
                <w:lang w:eastAsia="en-AU"/>
              </w:rPr>
              <w:t xml:space="preserve">eight </w:t>
            </w:r>
            <w:r w:rsidR="002D29F8" w:rsidRPr="005F31EE">
              <w:rPr>
                <w:rFonts w:cs="Arial"/>
                <w:szCs w:val="20"/>
                <w:lang w:eastAsia="en-AU"/>
              </w:rPr>
              <w:t>p</w:t>
            </w:r>
            <w:r w:rsidRPr="005F31EE">
              <w:rPr>
                <w:rFonts w:cs="Arial"/>
                <w:szCs w:val="20"/>
                <w:lang w:eastAsia="en-AU"/>
              </w:rPr>
              <w:t>roduction</w:t>
            </w:r>
          </w:p>
        </w:tc>
        <w:tc>
          <w:tcPr>
            <w:tcW w:w="2287" w:type="dxa"/>
            <w:tcBorders>
              <w:top w:val="nil"/>
              <w:left w:val="single" w:sz="4" w:space="0" w:color="auto"/>
              <w:bottom w:val="nil"/>
              <w:right w:val="single" w:sz="4" w:space="0" w:color="auto"/>
            </w:tcBorders>
            <w:shd w:val="clear" w:color="auto" w:fill="auto"/>
            <w:vAlign w:val="center"/>
            <w:hideMark/>
          </w:tcPr>
          <w:p w14:paraId="77CEEB14" w14:textId="77777777" w:rsidR="00A74AD9" w:rsidRPr="005F31EE" w:rsidRDefault="00A74AD9" w:rsidP="007515AF">
            <w:pPr>
              <w:pStyle w:val="TableTextNumber"/>
              <w:jc w:val="right"/>
              <w:rPr>
                <w:rFonts w:cs="Arial"/>
                <w:szCs w:val="20"/>
              </w:rPr>
            </w:pPr>
            <w:r w:rsidRPr="005F31EE">
              <w:rPr>
                <w:rFonts w:cs="Arial"/>
                <w:szCs w:val="20"/>
              </w:rPr>
              <w:t> </w:t>
            </w:r>
          </w:p>
        </w:tc>
      </w:tr>
      <w:tr w:rsidR="00A74AD9" w:rsidRPr="00630A55" w14:paraId="29D5A705" w14:textId="77777777" w:rsidTr="00534F1C">
        <w:trPr>
          <w:trHeight w:val="20"/>
        </w:trPr>
        <w:tc>
          <w:tcPr>
            <w:tcW w:w="281" w:type="dxa"/>
            <w:tcBorders>
              <w:top w:val="nil"/>
              <w:left w:val="single" w:sz="4" w:space="0" w:color="auto"/>
              <w:bottom w:val="nil"/>
              <w:right w:val="nil"/>
            </w:tcBorders>
            <w:shd w:val="clear" w:color="000000" w:fill="FFFFFF"/>
            <w:noWrap/>
            <w:vAlign w:val="center"/>
            <w:hideMark/>
          </w:tcPr>
          <w:p w14:paraId="794DD84E" w14:textId="77777777" w:rsidR="00A74AD9" w:rsidRPr="005F31EE" w:rsidRDefault="00A74AD9" w:rsidP="00A74AD9">
            <w:pPr>
              <w:pStyle w:val="Tabletext"/>
              <w:rPr>
                <w:rFonts w:cs="Arial"/>
                <w:szCs w:val="20"/>
                <w:lang w:eastAsia="en-AU"/>
              </w:rPr>
            </w:pPr>
            <w:r w:rsidRPr="005F31EE">
              <w:rPr>
                <w:rFonts w:cs="Arial"/>
                <w:szCs w:val="20"/>
                <w:lang w:eastAsia="en-AU"/>
              </w:rPr>
              <w:t> </w:t>
            </w:r>
          </w:p>
        </w:tc>
        <w:tc>
          <w:tcPr>
            <w:tcW w:w="6606" w:type="dxa"/>
            <w:tcBorders>
              <w:top w:val="nil"/>
              <w:left w:val="nil"/>
              <w:bottom w:val="nil"/>
              <w:right w:val="single" w:sz="4" w:space="0" w:color="auto"/>
            </w:tcBorders>
            <w:shd w:val="clear" w:color="000000" w:fill="FFFFFF"/>
            <w:vAlign w:val="center"/>
            <w:hideMark/>
          </w:tcPr>
          <w:p w14:paraId="3A702F5B" w14:textId="2EFB1CBA" w:rsidR="00A74AD9" w:rsidRPr="005F31EE" w:rsidRDefault="00A74AD9" w:rsidP="00A74AD9">
            <w:pPr>
              <w:pStyle w:val="Tabletext"/>
              <w:rPr>
                <w:rFonts w:cs="Arial"/>
                <w:szCs w:val="20"/>
                <w:lang w:eastAsia="en-AU"/>
              </w:rPr>
            </w:pPr>
            <w:r w:rsidRPr="005F31EE">
              <w:rPr>
                <w:rFonts w:cs="Arial"/>
                <w:szCs w:val="20"/>
                <w:lang w:eastAsia="en-AU"/>
              </w:rPr>
              <w:t xml:space="preserve">Finalised </w:t>
            </w:r>
            <w:r w:rsidR="002D29F8" w:rsidRPr="005F31EE">
              <w:rPr>
                <w:rFonts w:cs="Arial"/>
                <w:szCs w:val="20"/>
                <w:lang w:eastAsia="en-AU"/>
              </w:rPr>
              <w:t>a</w:t>
            </w:r>
            <w:r w:rsidRPr="005F31EE">
              <w:rPr>
                <w:rFonts w:cs="Arial"/>
                <w:szCs w:val="20"/>
                <w:lang w:eastAsia="en-AU"/>
              </w:rPr>
              <w:t>ctivity</w:t>
            </w:r>
          </w:p>
        </w:tc>
        <w:tc>
          <w:tcPr>
            <w:tcW w:w="2287" w:type="dxa"/>
            <w:tcBorders>
              <w:top w:val="nil"/>
              <w:left w:val="single" w:sz="4" w:space="0" w:color="auto"/>
              <w:bottom w:val="nil"/>
              <w:right w:val="single" w:sz="4" w:space="0" w:color="auto"/>
            </w:tcBorders>
            <w:shd w:val="clear" w:color="auto" w:fill="auto"/>
            <w:noWrap/>
            <w:vAlign w:val="center"/>
            <w:hideMark/>
          </w:tcPr>
          <w:p w14:paraId="7CD59C2F" w14:textId="136A618F" w:rsidR="00A74AD9" w:rsidRPr="005F31EE" w:rsidRDefault="00A74AD9" w:rsidP="007515AF">
            <w:pPr>
              <w:pStyle w:val="TableTextNumber"/>
              <w:jc w:val="right"/>
              <w:rPr>
                <w:rFonts w:cs="Arial"/>
                <w:szCs w:val="20"/>
              </w:rPr>
            </w:pPr>
            <w:r w:rsidRPr="005F31EE">
              <w:rPr>
                <w:rFonts w:eastAsia="Times New Roman" w:cs="Arial"/>
                <w:color w:val="000000"/>
                <w:szCs w:val="20"/>
              </w:rPr>
              <w:t>413,800</w:t>
            </w:r>
          </w:p>
        </w:tc>
      </w:tr>
      <w:tr w:rsidR="00A74AD9" w:rsidRPr="00630A55" w14:paraId="612E91FF" w14:textId="77777777" w:rsidTr="00534F1C">
        <w:trPr>
          <w:trHeight w:val="20"/>
        </w:trPr>
        <w:tc>
          <w:tcPr>
            <w:tcW w:w="281" w:type="dxa"/>
            <w:tcBorders>
              <w:top w:val="nil"/>
              <w:left w:val="single" w:sz="4" w:space="0" w:color="auto"/>
              <w:bottom w:val="single" w:sz="4" w:space="0" w:color="auto"/>
              <w:right w:val="nil"/>
            </w:tcBorders>
            <w:shd w:val="clear" w:color="000000" w:fill="FFFFFF"/>
            <w:noWrap/>
            <w:vAlign w:val="center"/>
            <w:hideMark/>
          </w:tcPr>
          <w:p w14:paraId="04752CAF" w14:textId="77777777" w:rsidR="00A74AD9" w:rsidRPr="005F31EE" w:rsidRDefault="00A74AD9" w:rsidP="00A74AD9">
            <w:pPr>
              <w:pStyle w:val="Tabletext"/>
              <w:rPr>
                <w:rFonts w:cs="Arial"/>
                <w:szCs w:val="20"/>
                <w:lang w:eastAsia="en-AU"/>
              </w:rPr>
            </w:pPr>
            <w:r w:rsidRPr="005F31EE">
              <w:rPr>
                <w:rFonts w:cs="Arial"/>
                <w:szCs w:val="20"/>
                <w:lang w:eastAsia="en-AU"/>
              </w:rPr>
              <w:t> </w:t>
            </w:r>
          </w:p>
        </w:tc>
        <w:tc>
          <w:tcPr>
            <w:tcW w:w="6606" w:type="dxa"/>
            <w:tcBorders>
              <w:top w:val="nil"/>
              <w:left w:val="nil"/>
              <w:bottom w:val="single" w:sz="4" w:space="0" w:color="auto"/>
              <w:right w:val="single" w:sz="4" w:space="0" w:color="auto"/>
            </w:tcBorders>
            <w:shd w:val="clear" w:color="000000" w:fill="FFFFFF"/>
            <w:vAlign w:val="center"/>
            <w:hideMark/>
          </w:tcPr>
          <w:p w14:paraId="1E3FDC17" w14:textId="2E8366B5" w:rsidR="00A74AD9" w:rsidRPr="005F31EE" w:rsidRDefault="00A74AD9" w:rsidP="00A74AD9">
            <w:pPr>
              <w:pStyle w:val="Tabletext"/>
              <w:rPr>
                <w:rFonts w:cs="Arial"/>
                <w:szCs w:val="20"/>
                <w:lang w:eastAsia="en-AU"/>
              </w:rPr>
            </w:pPr>
            <w:r w:rsidRPr="005F31EE">
              <w:rPr>
                <w:rFonts w:cs="Arial"/>
                <w:szCs w:val="20"/>
                <w:lang w:eastAsia="en-AU"/>
              </w:rPr>
              <w:t xml:space="preserve">Finalised </w:t>
            </w:r>
            <w:r w:rsidR="002D29F8" w:rsidRPr="005F31EE">
              <w:rPr>
                <w:rFonts w:cs="Arial"/>
                <w:szCs w:val="20"/>
                <w:lang w:eastAsia="en-AU"/>
              </w:rPr>
              <w:t>c</w:t>
            </w:r>
            <w:r w:rsidRPr="005F31EE">
              <w:rPr>
                <w:rFonts w:cs="Arial"/>
                <w:szCs w:val="20"/>
                <w:lang w:eastAsia="en-AU"/>
              </w:rPr>
              <w:t>ost</w:t>
            </w:r>
          </w:p>
        </w:tc>
        <w:tc>
          <w:tcPr>
            <w:tcW w:w="2287" w:type="dxa"/>
            <w:tcBorders>
              <w:top w:val="nil"/>
              <w:left w:val="single" w:sz="4" w:space="0" w:color="auto"/>
              <w:bottom w:val="single" w:sz="4" w:space="0" w:color="auto"/>
              <w:right w:val="single" w:sz="4" w:space="0" w:color="auto"/>
            </w:tcBorders>
            <w:shd w:val="clear" w:color="auto" w:fill="auto"/>
            <w:noWrap/>
            <w:vAlign w:val="center"/>
            <w:hideMark/>
          </w:tcPr>
          <w:p w14:paraId="12EB1FC5" w14:textId="2DD4558C" w:rsidR="00A74AD9" w:rsidRPr="005F31EE" w:rsidRDefault="00A74AD9" w:rsidP="007515AF">
            <w:pPr>
              <w:pStyle w:val="TableTextNumber"/>
              <w:jc w:val="right"/>
              <w:rPr>
                <w:rFonts w:cs="Arial"/>
                <w:szCs w:val="20"/>
              </w:rPr>
            </w:pPr>
            <w:r w:rsidRPr="005F31EE">
              <w:rPr>
                <w:rFonts w:eastAsia="Times New Roman" w:cs="Arial"/>
                <w:color w:val="000000"/>
                <w:szCs w:val="20"/>
              </w:rPr>
              <w:t>$704,845,282</w:t>
            </w:r>
          </w:p>
        </w:tc>
      </w:tr>
    </w:tbl>
    <w:p w14:paraId="3E43BA37" w14:textId="77777777" w:rsidR="0008221A" w:rsidRPr="00630A55" w:rsidRDefault="0008221A" w:rsidP="0008221A">
      <w:pPr>
        <w:pStyle w:val="Source"/>
      </w:pPr>
      <w:r w:rsidRPr="00630A55">
        <w:t xml:space="preserve">Source: Jurisdictional consultations and </w:t>
      </w:r>
      <w:r>
        <w:t>templates</w:t>
      </w:r>
    </w:p>
    <w:p w14:paraId="6EB44279" w14:textId="25AEFA52" w:rsidR="000F2814" w:rsidRPr="00630A55" w:rsidRDefault="000F2814" w:rsidP="00C4103E">
      <w:pPr>
        <w:pStyle w:val="Heading3"/>
      </w:pPr>
      <w:r w:rsidRPr="00630A55">
        <w:t xml:space="preserve">Sample </w:t>
      </w:r>
      <w:r w:rsidR="009D44D1">
        <w:t>p</w:t>
      </w:r>
      <w:r w:rsidRPr="00630A55">
        <w:t xml:space="preserve">atient </w:t>
      </w:r>
      <w:r w:rsidR="009D44D1">
        <w:t>d</w:t>
      </w:r>
      <w:r w:rsidRPr="00630A55">
        <w:t xml:space="preserve">ata </w:t>
      </w:r>
    </w:p>
    <w:p w14:paraId="14670B3B" w14:textId="6D3C060A" w:rsidR="000F2814" w:rsidRDefault="00BE235C" w:rsidP="00397CFC">
      <w:pPr>
        <w:pStyle w:val="BodyText"/>
      </w:pPr>
      <w:r>
        <w:t>IHACPA</w:t>
      </w:r>
      <w:r w:rsidR="000F2814" w:rsidRPr="00630A55">
        <w:t xml:space="preserve"> selected a sample of five patients from RHH for the purposes of testing the data submitted from jurisdictions to </w:t>
      </w:r>
      <w:r>
        <w:t>IHACPA</w:t>
      </w:r>
      <w:r w:rsidR="000F2814" w:rsidRPr="00630A55">
        <w:t xml:space="preserve"> at </w:t>
      </w:r>
      <w:r w:rsidR="00710D0C">
        <w:t xml:space="preserve">the </w:t>
      </w:r>
      <w:r w:rsidR="000F2814" w:rsidRPr="00630A55">
        <w:t xml:space="preserve">patient level. The jurisdiction provided the patient level costs for all five patients and these reconciled with </w:t>
      </w:r>
      <w:r>
        <w:t>IHACPA</w:t>
      </w:r>
      <w:r w:rsidR="000F2814" w:rsidRPr="00630A55">
        <w:t xml:space="preserve"> records. Further information relating to the sample records is available in </w:t>
      </w:r>
      <w:r w:rsidR="00CF40EC" w:rsidRPr="00C6680A">
        <w:fldChar w:fldCharType="begin"/>
      </w:r>
      <w:r w:rsidR="00CF40EC" w:rsidRPr="00C6680A">
        <w:instrText xml:space="preserve"> REF _Ref114754137 \h </w:instrText>
      </w:r>
      <w:r w:rsidR="00C6680A" w:rsidRPr="00010625">
        <w:instrText xml:space="preserve"> \* MERGEFORMAT </w:instrText>
      </w:r>
      <w:r w:rsidR="00CF40EC" w:rsidRPr="00C6680A">
        <w:fldChar w:fldCharType="separate"/>
      </w:r>
      <w:r w:rsidR="007E2ACB" w:rsidRPr="007E2ACB">
        <w:t xml:space="preserve">Table </w:t>
      </w:r>
      <w:r w:rsidR="007E2ACB" w:rsidRPr="007E2ACB">
        <w:rPr>
          <w:noProof/>
        </w:rPr>
        <w:t>11</w:t>
      </w:r>
      <w:r w:rsidR="00CF40EC" w:rsidRPr="00C6680A">
        <w:fldChar w:fldCharType="end"/>
      </w:r>
      <w:r w:rsidR="000F2814" w:rsidRPr="00C6680A">
        <w:t>.</w:t>
      </w:r>
    </w:p>
    <w:p w14:paraId="6C5716CF" w14:textId="55DBDD0F" w:rsidR="00A15D9E" w:rsidRDefault="00AC2316" w:rsidP="00AC2316">
      <w:pPr>
        <w:pStyle w:val="Caption"/>
      </w:pPr>
      <w:bookmarkStart w:id="44" w:name="_Ref114754137"/>
      <w:r w:rsidRPr="008225C3">
        <w:rPr>
          <w:b/>
          <w:bCs/>
        </w:rPr>
        <w:lastRenderedPageBreak/>
        <w:t xml:space="preserve">Table </w:t>
      </w:r>
      <w:r w:rsidR="00170303" w:rsidRPr="008225C3">
        <w:rPr>
          <w:b/>
          <w:bCs/>
        </w:rPr>
        <w:fldChar w:fldCharType="begin"/>
      </w:r>
      <w:r w:rsidR="00170303" w:rsidRPr="008225C3">
        <w:rPr>
          <w:b/>
          <w:bCs/>
        </w:rPr>
        <w:instrText xml:space="preserve"> SEQ Table \* ARABIC </w:instrText>
      </w:r>
      <w:r w:rsidR="00170303" w:rsidRPr="008225C3">
        <w:rPr>
          <w:b/>
          <w:bCs/>
        </w:rPr>
        <w:fldChar w:fldCharType="separate"/>
      </w:r>
      <w:r w:rsidR="007E2ACB">
        <w:rPr>
          <w:b/>
          <w:bCs/>
          <w:noProof/>
        </w:rPr>
        <w:t>11</w:t>
      </w:r>
      <w:r w:rsidR="00170303" w:rsidRPr="008225C3">
        <w:rPr>
          <w:b/>
          <w:bCs/>
          <w:noProof/>
        </w:rPr>
        <w:fldChar w:fldCharType="end"/>
      </w:r>
      <w:bookmarkEnd w:id="44"/>
      <w:r w:rsidR="007B7EA0" w:rsidRPr="008225C3">
        <w:rPr>
          <w:b/>
          <w:bCs/>
        </w:rPr>
        <w:t>:</w:t>
      </w:r>
      <w:r w:rsidR="007B7EA0">
        <w:t xml:space="preserve"> Tasmania five-patient sample reconciliation outcome</w:t>
      </w:r>
    </w:p>
    <w:tbl>
      <w:tblPr>
        <w:tblStyle w:val="TableGrid"/>
        <w:tblW w:w="9209" w:type="dxa"/>
        <w:tblLook w:val="04A0" w:firstRow="1" w:lastRow="0" w:firstColumn="1" w:lastColumn="0" w:noHBand="0" w:noVBand="1"/>
      </w:tblPr>
      <w:tblGrid>
        <w:gridCol w:w="1400"/>
        <w:gridCol w:w="1485"/>
        <w:gridCol w:w="1561"/>
        <w:gridCol w:w="1623"/>
        <w:gridCol w:w="1685"/>
        <w:gridCol w:w="1455"/>
      </w:tblGrid>
      <w:tr w:rsidR="004405D2" w:rsidRPr="00630A55" w14:paraId="7611573E" w14:textId="77777777" w:rsidTr="00374C3F">
        <w:trPr>
          <w:tblHeader/>
        </w:trPr>
        <w:tc>
          <w:tcPr>
            <w:tcW w:w="1400" w:type="dxa"/>
            <w:shd w:val="clear" w:color="auto" w:fill="00338D"/>
          </w:tcPr>
          <w:p w14:paraId="5741C080" w14:textId="77777777" w:rsidR="004405D2" w:rsidRPr="00630A55" w:rsidRDefault="004405D2" w:rsidP="00374C3F">
            <w:pPr>
              <w:pStyle w:val="Tableheading"/>
            </w:pPr>
            <w:r w:rsidRPr="00630A55">
              <w:t xml:space="preserve">Jurisdiction </w:t>
            </w:r>
          </w:p>
        </w:tc>
        <w:tc>
          <w:tcPr>
            <w:tcW w:w="1485" w:type="dxa"/>
            <w:shd w:val="clear" w:color="auto" w:fill="00338D"/>
          </w:tcPr>
          <w:p w14:paraId="1082CBCA" w14:textId="77777777" w:rsidR="004405D2" w:rsidRPr="00630A55" w:rsidRDefault="004405D2" w:rsidP="00374C3F">
            <w:pPr>
              <w:pStyle w:val="Tableheading"/>
            </w:pPr>
            <w:r w:rsidRPr="00630A55">
              <w:t>Site</w:t>
            </w:r>
          </w:p>
        </w:tc>
        <w:tc>
          <w:tcPr>
            <w:tcW w:w="1561" w:type="dxa"/>
            <w:shd w:val="clear" w:color="auto" w:fill="00338D"/>
          </w:tcPr>
          <w:p w14:paraId="04D0BD55" w14:textId="77777777" w:rsidR="004405D2" w:rsidRPr="00630A55" w:rsidRDefault="004405D2" w:rsidP="00374C3F">
            <w:pPr>
              <w:pStyle w:val="Tableheading"/>
            </w:pPr>
            <w:r w:rsidRPr="00630A55">
              <w:t>Stream</w:t>
            </w:r>
          </w:p>
        </w:tc>
        <w:tc>
          <w:tcPr>
            <w:tcW w:w="1623" w:type="dxa"/>
            <w:shd w:val="clear" w:color="auto" w:fill="00338D"/>
          </w:tcPr>
          <w:p w14:paraId="56FC1B27" w14:textId="77777777" w:rsidR="004405D2" w:rsidRPr="00630A55" w:rsidRDefault="004405D2" w:rsidP="00017473">
            <w:pPr>
              <w:pStyle w:val="Tableheading"/>
              <w:jc w:val="center"/>
            </w:pPr>
            <w:r w:rsidRPr="00630A55">
              <w:t>Jurisdiction Records</w:t>
            </w:r>
          </w:p>
        </w:tc>
        <w:tc>
          <w:tcPr>
            <w:tcW w:w="1685" w:type="dxa"/>
            <w:shd w:val="clear" w:color="auto" w:fill="00338D"/>
          </w:tcPr>
          <w:p w14:paraId="20AA86A1" w14:textId="7078A944" w:rsidR="004405D2" w:rsidRPr="00630A55" w:rsidRDefault="004405D2" w:rsidP="00017473">
            <w:pPr>
              <w:pStyle w:val="Tableheading"/>
              <w:jc w:val="center"/>
            </w:pPr>
            <w:r w:rsidRPr="00630A55">
              <w:t>Received by IHACPA</w:t>
            </w:r>
          </w:p>
        </w:tc>
        <w:tc>
          <w:tcPr>
            <w:tcW w:w="1455" w:type="dxa"/>
            <w:shd w:val="clear" w:color="auto" w:fill="00338D"/>
          </w:tcPr>
          <w:p w14:paraId="48FB91B3" w14:textId="77777777" w:rsidR="004405D2" w:rsidRPr="00630A55" w:rsidRDefault="004405D2" w:rsidP="00017473">
            <w:pPr>
              <w:pStyle w:val="Tableheading"/>
              <w:jc w:val="center"/>
            </w:pPr>
            <w:r w:rsidRPr="00630A55">
              <w:t>Variance</w:t>
            </w:r>
          </w:p>
        </w:tc>
      </w:tr>
      <w:tr w:rsidR="008F74B1" w:rsidRPr="00201E3A" w14:paraId="6659B8D4" w14:textId="77777777" w:rsidTr="00374C3F">
        <w:tc>
          <w:tcPr>
            <w:tcW w:w="1400" w:type="dxa"/>
            <w:vMerge w:val="restart"/>
          </w:tcPr>
          <w:p w14:paraId="124CCFDA" w14:textId="2C56EF19" w:rsidR="008F74B1" w:rsidRPr="00630A55" w:rsidRDefault="008F74B1" w:rsidP="008F74B1">
            <w:pPr>
              <w:pStyle w:val="Tabletext"/>
            </w:pPr>
            <w:r>
              <w:t xml:space="preserve">Tasmania </w:t>
            </w:r>
          </w:p>
        </w:tc>
        <w:tc>
          <w:tcPr>
            <w:tcW w:w="1485" w:type="dxa"/>
            <w:vMerge w:val="restart"/>
          </w:tcPr>
          <w:p w14:paraId="27CE8815" w14:textId="2251095D" w:rsidR="008F74B1" w:rsidRPr="00630A55" w:rsidRDefault="008F74B1" w:rsidP="008F74B1">
            <w:pPr>
              <w:pStyle w:val="Tabletext"/>
            </w:pPr>
            <w:r>
              <w:t>Royal Hobart Hospital</w:t>
            </w:r>
          </w:p>
        </w:tc>
        <w:tc>
          <w:tcPr>
            <w:tcW w:w="1561" w:type="dxa"/>
          </w:tcPr>
          <w:p w14:paraId="394755B6" w14:textId="77777777" w:rsidR="008F74B1" w:rsidRPr="00630A55" w:rsidRDefault="008F74B1" w:rsidP="008F74B1">
            <w:pPr>
              <w:pStyle w:val="Tabletext"/>
            </w:pPr>
            <w:r w:rsidRPr="00630A55">
              <w:t>Acute</w:t>
            </w:r>
          </w:p>
        </w:tc>
        <w:tc>
          <w:tcPr>
            <w:tcW w:w="1623" w:type="dxa"/>
          </w:tcPr>
          <w:p w14:paraId="00AFF6EC" w14:textId="5D7D31A5" w:rsidR="008F74B1" w:rsidRPr="00630A55" w:rsidRDefault="008F74B1" w:rsidP="00017473">
            <w:pPr>
              <w:pStyle w:val="TableNumberdectab"/>
              <w:jc w:val="center"/>
            </w:pPr>
            <w:r>
              <w:t>$43,316.54</w:t>
            </w:r>
          </w:p>
        </w:tc>
        <w:tc>
          <w:tcPr>
            <w:tcW w:w="1685" w:type="dxa"/>
          </w:tcPr>
          <w:p w14:paraId="79A05A01" w14:textId="26E67563" w:rsidR="008F74B1" w:rsidRPr="00201E3A" w:rsidRDefault="008F74B1" w:rsidP="00017473">
            <w:pPr>
              <w:pStyle w:val="TableNumberdectab"/>
              <w:jc w:val="center"/>
            </w:pPr>
            <w:r>
              <w:t>$43,494.56</w:t>
            </w:r>
          </w:p>
        </w:tc>
        <w:tc>
          <w:tcPr>
            <w:tcW w:w="1455" w:type="dxa"/>
          </w:tcPr>
          <w:p w14:paraId="17A9C0E4" w14:textId="0905F1D7" w:rsidR="008F74B1" w:rsidRPr="00201E3A" w:rsidRDefault="008F74B1" w:rsidP="00017473">
            <w:pPr>
              <w:pStyle w:val="TableNumberdectab"/>
              <w:tabs>
                <w:tab w:val="clear" w:pos="933"/>
                <w:tab w:val="decimal" w:pos="633"/>
              </w:tabs>
              <w:jc w:val="center"/>
            </w:pPr>
            <w:r>
              <w:t>$0.02</w:t>
            </w:r>
          </w:p>
        </w:tc>
      </w:tr>
      <w:tr w:rsidR="008F74B1" w:rsidRPr="00201E3A" w14:paraId="5E69FB10" w14:textId="77777777" w:rsidTr="00374C3F">
        <w:tc>
          <w:tcPr>
            <w:tcW w:w="1400" w:type="dxa"/>
            <w:vMerge/>
          </w:tcPr>
          <w:p w14:paraId="1B147A3B" w14:textId="77777777" w:rsidR="008F74B1" w:rsidRPr="00630A55" w:rsidRDefault="008F74B1" w:rsidP="008F74B1">
            <w:pPr>
              <w:pStyle w:val="Tabletext"/>
            </w:pPr>
          </w:p>
        </w:tc>
        <w:tc>
          <w:tcPr>
            <w:tcW w:w="1485" w:type="dxa"/>
            <w:vMerge/>
          </w:tcPr>
          <w:p w14:paraId="7BA1DB68" w14:textId="77777777" w:rsidR="008F74B1" w:rsidRPr="00630A55" w:rsidRDefault="008F74B1" w:rsidP="008F74B1">
            <w:pPr>
              <w:pStyle w:val="Tabletext"/>
            </w:pPr>
          </w:p>
        </w:tc>
        <w:tc>
          <w:tcPr>
            <w:tcW w:w="1561" w:type="dxa"/>
          </w:tcPr>
          <w:p w14:paraId="0B6B2AE8" w14:textId="77777777" w:rsidR="008F74B1" w:rsidRPr="00630A55" w:rsidRDefault="008F74B1" w:rsidP="008F74B1">
            <w:pPr>
              <w:pStyle w:val="Tabletext"/>
            </w:pPr>
            <w:r w:rsidRPr="00630A55">
              <w:t>Sub-Acute</w:t>
            </w:r>
          </w:p>
        </w:tc>
        <w:tc>
          <w:tcPr>
            <w:tcW w:w="1623" w:type="dxa"/>
          </w:tcPr>
          <w:p w14:paraId="2959BF27" w14:textId="441B8744" w:rsidR="008F74B1" w:rsidRPr="00630A55" w:rsidRDefault="008F74B1" w:rsidP="00017473">
            <w:pPr>
              <w:pStyle w:val="TableNumberdectab"/>
              <w:jc w:val="center"/>
            </w:pPr>
            <w:r>
              <w:t>$333.91</w:t>
            </w:r>
          </w:p>
        </w:tc>
        <w:tc>
          <w:tcPr>
            <w:tcW w:w="1685" w:type="dxa"/>
          </w:tcPr>
          <w:p w14:paraId="73070FD6" w14:textId="6F212473" w:rsidR="008F74B1" w:rsidRPr="00201E3A" w:rsidRDefault="008F74B1" w:rsidP="00017473">
            <w:pPr>
              <w:pStyle w:val="TableNumberdectab"/>
              <w:jc w:val="center"/>
            </w:pPr>
            <w:r>
              <w:t>$333.92</w:t>
            </w:r>
          </w:p>
        </w:tc>
        <w:tc>
          <w:tcPr>
            <w:tcW w:w="1455" w:type="dxa"/>
          </w:tcPr>
          <w:p w14:paraId="70F76852" w14:textId="06276655" w:rsidR="008F74B1" w:rsidRPr="00201E3A" w:rsidRDefault="008F74B1" w:rsidP="00017473">
            <w:pPr>
              <w:pStyle w:val="TableNumberdectab"/>
              <w:tabs>
                <w:tab w:val="clear" w:pos="933"/>
                <w:tab w:val="decimal" w:pos="633"/>
              </w:tabs>
              <w:jc w:val="center"/>
            </w:pPr>
            <w:r>
              <w:t>$0.01</w:t>
            </w:r>
          </w:p>
        </w:tc>
      </w:tr>
      <w:tr w:rsidR="008F74B1" w:rsidRPr="00201E3A" w14:paraId="438916ED" w14:textId="77777777" w:rsidTr="00374C3F">
        <w:tc>
          <w:tcPr>
            <w:tcW w:w="1400" w:type="dxa"/>
            <w:vMerge/>
          </w:tcPr>
          <w:p w14:paraId="22D17699" w14:textId="77777777" w:rsidR="008F74B1" w:rsidRPr="00630A55" w:rsidRDefault="008F74B1" w:rsidP="008F74B1">
            <w:pPr>
              <w:pStyle w:val="Tabletext"/>
            </w:pPr>
          </w:p>
        </w:tc>
        <w:tc>
          <w:tcPr>
            <w:tcW w:w="1485" w:type="dxa"/>
            <w:vMerge/>
          </w:tcPr>
          <w:p w14:paraId="58BF80A1" w14:textId="77777777" w:rsidR="008F74B1" w:rsidRPr="00630A55" w:rsidRDefault="008F74B1" w:rsidP="008F74B1">
            <w:pPr>
              <w:pStyle w:val="Tabletext"/>
            </w:pPr>
          </w:p>
        </w:tc>
        <w:tc>
          <w:tcPr>
            <w:tcW w:w="1561" w:type="dxa"/>
          </w:tcPr>
          <w:p w14:paraId="45B69168" w14:textId="77777777" w:rsidR="008F74B1" w:rsidRPr="00630A55" w:rsidRDefault="008F74B1" w:rsidP="008F74B1">
            <w:pPr>
              <w:pStyle w:val="Tabletext"/>
            </w:pPr>
            <w:r w:rsidRPr="00630A55">
              <w:t>ED</w:t>
            </w:r>
          </w:p>
        </w:tc>
        <w:tc>
          <w:tcPr>
            <w:tcW w:w="1623" w:type="dxa"/>
          </w:tcPr>
          <w:p w14:paraId="07F5125C" w14:textId="308D778A" w:rsidR="008F74B1" w:rsidRPr="00630A55" w:rsidRDefault="008F74B1" w:rsidP="00017473">
            <w:pPr>
              <w:pStyle w:val="TableNumberdectab"/>
              <w:jc w:val="center"/>
            </w:pPr>
            <w:r>
              <w:t>$3,612.45</w:t>
            </w:r>
          </w:p>
        </w:tc>
        <w:tc>
          <w:tcPr>
            <w:tcW w:w="1685" w:type="dxa"/>
          </w:tcPr>
          <w:p w14:paraId="5FCE0326" w14:textId="3E2FA680" w:rsidR="008F74B1" w:rsidRPr="00201E3A" w:rsidRDefault="008F74B1" w:rsidP="00017473">
            <w:pPr>
              <w:pStyle w:val="TableNumberdectab"/>
              <w:jc w:val="center"/>
            </w:pPr>
            <w:r>
              <w:t>$3,612.45</w:t>
            </w:r>
          </w:p>
        </w:tc>
        <w:tc>
          <w:tcPr>
            <w:tcW w:w="1455" w:type="dxa"/>
          </w:tcPr>
          <w:p w14:paraId="7D5BBDB0" w14:textId="1A1B433F" w:rsidR="008F74B1" w:rsidRPr="00201E3A" w:rsidRDefault="008F74B1" w:rsidP="00017473">
            <w:pPr>
              <w:pStyle w:val="TableNumberdectab"/>
              <w:tabs>
                <w:tab w:val="clear" w:pos="933"/>
                <w:tab w:val="decimal" w:pos="633"/>
              </w:tabs>
              <w:jc w:val="center"/>
            </w:pPr>
            <w:r>
              <w:t>$0.00</w:t>
            </w:r>
          </w:p>
        </w:tc>
      </w:tr>
      <w:tr w:rsidR="008F74B1" w:rsidRPr="00201E3A" w14:paraId="7F9AC219" w14:textId="77777777" w:rsidTr="00374C3F">
        <w:tc>
          <w:tcPr>
            <w:tcW w:w="1400" w:type="dxa"/>
            <w:vMerge/>
          </w:tcPr>
          <w:p w14:paraId="7D416407" w14:textId="77777777" w:rsidR="008F74B1" w:rsidRPr="00630A55" w:rsidRDefault="008F74B1" w:rsidP="008F74B1">
            <w:pPr>
              <w:pStyle w:val="Tabletext"/>
            </w:pPr>
          </w:p>
        </w:tc>
        <w:tc>
          <w:tcPr>
            <w:tcW w:w="1485" w:type="dxa"/>
            <w:vMerge/>
          </w:tcPr>
          <w:p w14:paraId="50A749E4" w14:textId="77777777" w:rsidR="008F74B1" w:rsidRPr="00630A55" w:rsidRDefault="008F74B1" w:rsidP="008F74B1">
            <w:pPr>
              <w:pStyle w:val="Tabletext"/>
            </w:pPr>
          </w:p>
        </w:tc>
        <w:tc>
          <w:tcPr>
            <w:tcW w:w="1561" w:type="dxa"/>
          </w:tcPr>
          <w:p w14:paraId="3CCA98A7" w14:textId="77777777" w:rsidR="008F74B1" w:rsidRPr="00630A55" w:rsidRDefault="008F74B1" w:rsidP="008F74B1">
            <w:pPr>
              <w:pStyle w:val="Tabletext"/>
            </w:pPr>
            <w:r w:rsidRPr="00630A55">
              <w:t>Non-Admitted</w:t>
            </w:r>
          </w:p>
        </w:tc>
        <w:tc>
          <w:tcPr>
            <w:tcW w:w="1623" w:type="dxa"/>
          </w:tcPr>
          <w:p w14:paraId="434F1CEE" w14:textId="57628569" w:rsidR="008F74B1" w:rsidRPr="00630A55" w:rsidRDefault="008F74B1" w:rsidP="00017473">
            <w:pPr>
              <w:pStyle w:val="TableNumberdectab"/>
              <w:jc w:val="center"/>
            </w:pPr>
            <w:r>
              <w:t>$15.36</w:t>
            </w:r>
          </w:p>
        </w:tc>
        <w:tc>
          <w:tcPr>
            <w:tcW w:w="1685" w:type="dxa"/>
          </w:tcPr>
          <w:p w14:paraId="4D159D45" w14:textId="79A4FAC3" w:rsidR="008F74B1" w:rsidRPr="00201E3A" w:rsidRDefault="008F74B1" w:rsidP="00017473">
            <w:pPr>
              <w:pStyle w:val="TableNumberdectab"/>
              <w:jc w:val="center"/>
            </w:pPr>
            <w:r>
              <w:t>$15.36</w:t>
            </w:r>
          </w:p>
        </w:tc>
        <w:tc>
          <w:tcPr>
            <w:tcW w:w="1455" w:type="dxa"/>
          </w:tcPr>
          <w:p w14:paraId="513F2C7E" w14:textId="6EF25B4D" w:rsidR="008F74B1" w:rsidRPr="00201E3A" w:rsidRDefault="008F74B1" w:rsidP="00017473">
            <w:pPr>
              <w:pStyle w:val="TableNumberdectab"/>
              <w:tabs>
                <w:tab w:val="clear" w:pos="933"/>
                <w:tab w:val="decimal" w:pos="633"/>
              </w:tabs>
              <w:jc w:val="center"/>
            </w:pPr>
            <w:r>
              <w:t>$0.00</w:t>
            </w:r>
          </w:p>
        </w:tc>
      </w:tr>
      <w:tr w:rsidR="008F74B1" w:rsidRPr="00201E3A" w14:paraId="27CA9EB4" w14:textId="77777777" w:rsidTr="00374C3F">
        <w:tc>
          <w:tcPr>
            <w:tcW w:w="1400" w:type="dxa"/>
            <w:vMerge/>
          </w:tcPr>
          <w:p w14:paraId="6F154199" w14:textId="77777777" w:rsidR="008F74B1" w:rsidRPr="00630A55" w:rsidRDefault="008F74B1" w:rsidP="008F74B1">
            <w:pPr>
              <w:pStyle w:val="Tabletext"/>
            </w:pPr>
          </w:p>
        </w:tc>
        <w:tc>
          <w:tcPr>
            <w:tcW w:w="1485" w:type="dxa"/>
            <w:vMerge/>
          </w:tcPr>
          <w:p w14:paraId="1D8288FD" w14:textId="77777777" w:rsidR="008F74B1" w:rsidRPr="00630A55" w:rsidRDefault="008F74B1" w:rsidP="008F74B1">
            <w:pPr>
              <w:pStyle w:val="Tabletext"/>
            </w:pPr>
          </w:p>
        </w:tc>
        <w:tc>
          <w:tcPr>
            <w:tcW w:w="1561" w:type="dxa"/>
          </w:tcPr>
          <w:p w14:paraId="33CE15DF" w14:textId="77777777" w:rsidR="008F74B1" w:rsidRPr="00630A55" w:rsidRDefault="008F74B1" w:rsidP="008F74B1">
            <w:pPr>
              <w:pStyle w:val="Tabletext"/>
            </w:pPr>
            <w:r w:rsidRPr="00630A55">
              <w:t>Mental Health</w:t>
            </w:r>
          </w:p>
        </w:tc>
        <w:tc>
          <w:tcPr>
            <w:tcW w:w="1623" w:type="dxa"/>
          </w:tcPr>
          <w:p w14:paraId="0429DC30" w14:textId="234713CC" w:rsidR="008F74B1" w:rsidRPr="00630A55" w:rsidRDefault="008F74B1" w:rsidP="00017473">
            <w:pPr>
              <w:pStyle w:val="TableNumberdectab"/>
              <w:jc w:val="center"/>
            </w:pPr>
            <w:r>
              <w:t>$578,698.81</w:t>
            </w:r>
          </w:p>
        </w:tc>
        <w:tc>
          <w:tcPr>
            <w:tcW w:w="1685" w:type="dxa"/>
          </w:tcPr>
          <w:p w14:paraId="54F0DE8D" w14:textId="78CF33A0" w:rsidR="008F74B1" w:rsidRPr="00201E3A" w:rsidRDefault="008F74B1" w:rsidP="00017473">
            <w:pPr>
              <w:pStyle w:val="TableNumberdectab"/>
              <w:jc w:val="center"/>
            </w:pPr>
            <w:r>
              <w:t>$578,698.79</w:t>
            </w:r>
          </w:p>
        </w:tc>
        <w:tc>
          <w:tcPr>
            <w:tcW w:w="1455" w:type="dxa"/>
          </w:tcPr>
          <w:p w14:paraId="37969B25" w14:textId="542E2E5E" w:rsidR="008F74B1" w:rsidRPr="00201E3A" w:rsidRDefault="008F74B1" w:rsidP="00017473">
            <w:pPr>
              <w:pStyle w:val="TableNumberdectab"/>
              <w:tabs>
                <w:tab w:val="clear" w:pos="933"/>
                <w:tab w:val="decimal" w:pos="633"/>
              </w:tabs>
              <w:jc w:val="center"/>
            </w:pPr>
            <w:r>
              <w:t>$0.02</w:t>
            </w:r>
          </w:p>
        </w:tc>
      </w:tr>
    </w:tbl>
    <w:p w14:paraId="32DE6C6A" w14:textId="77777777" w:rsidR="0008221A" w:rsidRPr="00630A55" w:rsidRDefault="0008221A" w:rsidP="0008221A">
      <w:pPr>
        <w:pStyle w:val="Source"/>
      </w:pPr>
      <w:r w:rsidRPr="00630A55">
        <w:t xml:space="preserve">Source: Jurisdictional consultations and </w:t>
      </w:r>
      <w:r>
        <w:t>templates</w:t>
      </w:r>
    </w:p>
    <w:p w14:paraId="50267FDE" w14:textId="3F889B58" w:rsidR="000F2814" w:rsidRPr="00630A55" w:rsidRDefault="000F2814" w:rsidP="000F2814">
      <w:pPr>
        <w:pStyle w:val="Heading3"/>
      </w:pPr>
      <w:bookmarkStart w:id="45" w:name="_Hlk118289163"/>
      <w:r w:rsidRPr="00630A55">
        <w:t>Governance arrangements</w:t>
      </w:r>
    </w:p>
    <w:p w14:paraId="700452A5" w14:textId="672DA506" w:rsidR="000F2814" w:rsidRDefault="000F2814" w:rsidP="008225C3">
      <w:pPr>
        <w:jc w:val="both"/>
      </w:pPr>
      <w:r w:rsidRPr="00630A55">
        <w:t xml:space="preserve">Quality assurance processes are conducted </w:t>
      </w:r>
      <w:r w:rsidR="00D8021A">
        <w:t xml:space="preserve">by THS </w:t>
      </w:r>
      <w:r w:rsidRPr="00630A55">
        <w:t xml:space="preserve">on a monthly and </w:t>
      </w:r>
      <w:r w:rsidR="00710D0C">
        <w:t>annual</w:t>
      </w:r>
      <w:r w:rsidRPr="00630A55">
        <w:t xml:space="preserve"> basis. Quality assurance checks include monitoring for missing, incomplete or inaccurate data. Currently, there are no automated processes or algorithms </w:t>
      </w:r>
      <w:r w:rsidR="001D4ACD">
        <w:t>that</w:t>
      </w:r>
      <w:r w:rsidRPr="00630A55">
        <w:t xml:space="preserve"> have been introduced to conduct validation and quality assurance checks on the data. The </w:t>
      </w:r>
      <w:r w:rsidR="00494EEF">
        <w:t>CFO</w:t>
      </w:r>
      <w:r w:rsidR="00D8021A">
        <w:t xml:space="preserve"> </w:t>
      </w:r>
      <w:r w:rsidRPr="00630A55">
        <w:t xml:space="preserve">signs off on </w:t>
      </w:r>
      <w:r w:rsidR="00814E13" w:rsidRPr="00630A55">
        <w:t>the</w:t>
      </w:r>
      <w:r w:rsidR="00814E13">
        <w:t xml:space="preserve"> audited financial statement</w:t>
      </w:r>
      <w:r w:rsidR="00D91CB1">
        <w:t>s</w:t>
      </w:r>
      <w:r w:rsidRPr="00630A55">
        <w:t xml:space="preserve">. </w:t>
      </w:r>
      <w:r w:rsidR="00814E13">
        <w:t xml:space="preserve">The data quality statement </w:t>
      </w:r>
      <w:r w:rsidR="00D91CB1">
        <w:t xml:space="preserve">(DQS) </w:t>
      </w:r>
      <w:r w:rsidR="00814E13">
        <w:t xml:space="preserve">is internally reviewed by the Director of Monitor Reporting and Analysis and the </w:t>
      </w:r>
      <w:r w:rsidR="00D91CB1">
        <w:t xml:space="preserve">DQS </w:t>
      </w:r>
      <w:r w:rsidR="00814E13">
        <w:t>declaration is signed by</w:t>
      </w:r>
      <w:r w:rsidR="00D91CB1">
        <w:t xml:space="preserve"> the </w:t>
      </w:r>
      <w:r w:rsidR="00814E13">
        <w:t xml:space="preserve">Deputy Secretary. Minutes summarising key </w:t>
      </w:r>
      <w:r w:rsidR="007F423B">
        <w:t>points</w:t>
      </w:r>
      <w:r w:rsidR="00814E13">
        <w:t xml:space="preserve"> </w:t>
      </w:r>
      <w:r w:rsidR="00E45752">
        <w:t>are</w:t>
      </w:r>
      <w:r w:rsidR="00814E13">
        <w:t xml:space="preserve"> supplied t</w:t>
      </w:r>
      <w:r w:rsidR="00D91CB1">
        <w:t>hrough</w:t>
      </w:r>
      <w:r w:rsidR="00814E13">
        <w:t xml:space="preserve"> the Director of Monitor Reporting and Analysis and the Deputy Secretary.</w:t>
      </w:r>
      <w:r w:rsidR="007F423B">
        <w:t xml:space="preserve"> Detailed costing analysis (approximately 30 pages) is also made available to </w:t>
      </w:r>
      <w:r w:rsidR="00D91CB1">
        <w:t xml:space="preserve">key </w:t>
      </w:r>
      <w:r w:rsidR="007F423B">
        <w:t>stakeholders involved in quality assurance process.</w:t>
      </w:r>
      <w:r w:rsidR="00222ECB">
        <w:t xml:space="preserve"> </w:t>
      </w:r>
      <w:r w:rsidR="00AD608F" w:rsidRPr="00222ECB">
        <w:fldChar w:fldCharType="begin"/>
      </w:r>
      <w:r w:rsidR="00AD608F" w:rsidRPr="00222ECB">
        <w:instrText xml:space="preserve"> REF _Ref114758104 \h </w:instrText>
      </w:r>
      <w:r w:rsidR="008225C3" w:rsidRPr="00222ECB">
        <w:instrText xml:space="preserve"> \* MERGEFORMAT </w:instrText>
      </w:r>
      <w:r w:rsidR="00AD608F" w:rsidRPr="00222ECB">
        <w:fldChar w:fldCharType="separate"/>
      </w:r>
      <w:r w:rsidR="007E2ACB" w:rsidRPr="007E2ACB">
        <w:t>Table</w:t>
      </w:r>
      <w:r w:rsidR="007E2ACB" w:rsidRPr="00017473">
        <w:rPr>
          <w:b/>
          <w:bCs/>
        </w:rPr>
        <w:t xml:space="preserve"> </w:t>
      </w:r>
      <w:r w:rsidR="007E2ACB" w:rsidRPr="007E2ACB">
        <w:rPr>
          <w:noProof/>
        </w:rPr>
        <w:t>12</w:t>
      </w:r>
      <w:r w:rsidR="00AD608F" w:rsidRPr="00222ECB">
        <w:fldChar w:fldCharType="end"/>
      </w:r>
      <w:r w:rsidRPr="00630A55">
        <w:t xml:space="preserve"> identifies a summary of the QA checks performed by Tasmania. </w:t>
      </w:r>
    </w:p>
    <w:p w14:paraId="748ADC8F" w14:textId="77777777" w:rsidR="00CF40EC" w:rsidRDefault="00CF40EC">
      <w:pPr>
        <w:spacing w:before="0" w:after="160" w:line="259" w:lineRule="auto"/>
        <w:rPr>
          <w:iCs/>
          <w:sz w:val="20"/>
          <w:szCs w:val="16"/>
        </w:rPr>
      </w:pPr>
      <w:bookmarkStart w:id="46" w:name="_Ref110590069"/>
      <w:bookmarkEnd w:id="45"/>
      <w:r>
        <w:br w:type="page"/>
      </w:r>
    </w:p>
    <w:p w14:paraId="70E36C77" w14:textId="5CEB8752" w:rsidR="000F2814" w:rsidRPr="00630A55" w:rsidRDefault="00AD608F" w:rsidP="00AD608F">
      <w:pPr>
        <w:pStyle w:val="Caption"/>
      </w:pPr>
      <w:bookmarkStart w:id="47" w:name="_Ref114758104"/>
      <w:bookmarkEnd w:id="46"/>
      <w:r w:rsidRPr="00017473">
        <w:rPr>
          <w:b/>
          <w:bCs/>
        </w:rPr>
        <w:lastRenderedPageBreak/>
        <w:t xml:space="preserve">Table </w:t>
      </w:r>
      <w:r w:rsidR="00D91CB1" w:rsidRPr="00017473">
        <w:rPr>
          <w:b/>
          <w:bCs/>
        </w:rPr>
        <w:fldChar w:fldCharType="begin"/>
      </w:r>
      <w:r w:rsidR="00D91CB1" w:rsidRPr="00017473">
        <w:rPr>
          <w:b/>
          <w:bCs/>
        </w:rPr>
        <w:instrText xml:space="preserve"> SEQ Table \* ARABIC </w:instrText>
      </w:r>
      <w:r w:rsidR="00D91CB1" w:rsidRPr="00017473">
        <w:rPr>
          <w:b/>
          <w:bCs/>
        </w:rPr>
        <w:fldChar w:fldCharType="separate"/>
      </w:r>
      <w:r w:rsidR="007E2ACB">
        <w:rPr>
          <w:b/>
          <w:bCs/>
          <w:noProof/>
        </w:rPr>
        <w:t>12</w:t>
      </w:r>
      <w:r w:rsidR="00D91CB1" w:rsidRPr="00017473">
        <w:rPr>
          <w:b/>
          <w:bCs/>
          <w:noProof/>
        </w:rPr>
        <w:fldChar w:fldCharType="end"/>
      </w:r>
      <w:bookmarkEnd w:id="47"/>
      <w:r w:rsidR="00017473" w:rsidRPr="00017473">
        <w:rPr>
          <w:b/>
          <w:bCs/>
          <w:noProof/>
        </w:rPr>
        <w:t>:</w:t>
      </w:r>
      <w:r w:rsidR="000F2814" w:rsidRPr="00630A55">
        <w:t xml:space="preserve"> Summary of </w:t>
      </w:r>
      <w:r w:rsidR="00E45752">
        <w:t>quality assurance (</w:t>
      </w:r>
      <w:r w:rsidR="000F2814" w:rsidRPr="00630A55">
        <w:t>QA</w:t>
      </w:r>
      <w:r w:rsidR="00E45752">
        <w:t>)</w:t>
      </w:r>
      <w:r w:rsidR="000F2814" w:rsidRPr="00630A55">
        <w:t xml:space="preserve"> checks performed - Tasmania</w:t>
      </w:r>
    </w:p>
    <w:tbl>
      <w:tblPr>
        <w:tblW w:w="9095" w:type="dxa"/>
        <w:tblCellMar>
          <w:left w:w="0" w:type="dxa"/>
          <w:right w:w="0" w:type="dxa"/>
        </w:tblCellMar>
        <w:tblLook w:val="04A0" w:firstRow="1" w:lastRow="0" w:firstColumn="1" w:lastColumn="0" w:noHBand="0" w:noVBand="1"/>
      </w:tblPr>
      <w:tblGrid>
        <w:gridCol w:w="3033"/>
        <w:gridCol w:w="3031"/>
        <w:gridCol w:w="3031"/>
      </w:tblGrid>
      <w:tr w:rsidR="000F2814" w:rsidRPr="00630A55" w14:paraId="2666F566" w14:textId="77777777" w:rsidTr="001C04DE">
        <w:trPr>
          <w:trHeight w:val="280"/>
          <w:tblHeader/>
        </w:trPr>
        <w:tc>
          <w:tcPr>
            <w:tcW w:w="3033" w:type="dxa"/>
            <w:tcBorders>
              <w:top w:val="single" w:sz="8" w:space="0" w:color="auto"/>
              <w:left w:val="single" w:sz="8" w:space="0" w:color="auto"/>
              <w:bottom w:val="single" w:sz="8" w:space="0" w:color="auto"/>
              <w:right w:val="single" w:sz="8" w:space="0" w:color="auto"/>
            </w:tcBorders>
            <w:shd w:val="clear" w:color="auto" w:fill="00338D"/>
            <w:tcMar>
              <w:top w:w="0" w:type="dxa"/>
              <w:left w:w="108" w:type="dxa"/>
              <w:bottom w:w="0" w:type="dxa"/>
              <w:right w:w="108" w:type="dxa"/>
            </w:tcMar>
            <w:hideMark/>
          </w:tcPr>
          <w:p w14:paraId="5FC4FA0E" w14:textId="77777777" w:rsidR="000F2814" w:rsidRPr="00630A55" w:rsidRDefault="000F2814" w:rsidP="007E1AC8">
            <w:pPr>
              <w:pStyle w:val="Tableheading"/>
              <w:rPr>
                <w:lang w:eastAsia="en-AU"/>
              </w:rPr>
            </w:pPr>
            <w:r w:rsidRPr="00630A55">
              <w:rPr>
                <w:lang w:eastAsia="en-AU"/>
              </w:rPr>
              <w:t>QA Test</w:t>
            </w:r>
          </w:p>
        </w:tc>
        <w:tc>
          <w:tcPr>
            <w:tcW w:w="3031" w:type="dxa"/>
            <w:tcBorders>
              <w:top w:val="single" w:sz="8" w:space="0" w:color="auto"/>
              <w:left w:val="nil"/>
              <w:bottom w:val="single" w:sz="8" w:space="0" w:color="auto"/>
              <w:right w:val="single" w:sz="8" w:space="0" w:color="auto"/>
            </w:tcBorders>
            <w:shd w:val="clear" w:color="auto" w:fill="00338D"/>
            <w:tcMar>
              <w:top w:w="0" w:type="dxa"/>
              <w:left w:w="108" w:type="dxa"/>
              <w:bottom w:w="0" w:type="dxa"/>
              <w:right w:w="108" w:type="dxa"/>
            </w:tcMar>
            <w:hideMark/>
          </w:tcPr>
          <w:p w14:paraId="22B9C96C" w14:textId="77777777" w:rsidR="000F2814" w:rsidRPr="00630A55" w:rsidRDefault="000F2814" w:rsidP="007E1AC8">
            <w:pPr>
              <w:pStyle w:val="Tableheading"/>
              <w:rPr>
                <w:lang w:eastAsia="en-AU"/>
              </w:rPr>
            </w:pPr>
            <w:r w:rsidRPr="00630A55">
              <w:rPr>
                <w:lang w:eastAsia="en-AU"/>
              </w:rPr>
              <w:t>THS</w:t>
            </w:r>
          </w:p>
        </w:tc>
        <w:tc>
          <w:tcPr>
            <w:tcW w:w="3031" w:type="dxa"/>
            <w:tcBorders>
              <w:top w:val="single" w:sz="8" w:space="0" w:color="auto"/>
              <w:left w:val="nil"/>
              <w:bottom w:val="single" w:sz="8" w:space="0" w:color="auto"/>
              <w:right w:val="single" w:sz="8" w:space="0" w:color="auto"/>
            </w:tcBorders>
            <w:shd w:val="clear" w:color="auto" w:fill="00338D"/>
            <w:tcMar>
              <w:top w:w="0" w:type="dxa"/>
              <w:left w:w="108" w:type="dxa"/>
              <w:bottom w:w="0" w:type="dxa"/>
              <w:right w:w="108" w:type="dxa"/>
            </w:tcMar>
            <w:hideMark/>
          </w:tcPr>
          <w:p w14:paraId="4C710202" w14:textId="77777777" w:rsidR="000F2814" w:rsidRPr="00630A55" w:rsidRDefault="000F2814" w:rsidP="007E1AC8">
            <w:pPr>
              <w:pStyle w:val="Tableheading"/>
              <w:rPr>
                <w:lang w:eastAsia="en-AU"/>
              </w:rPr>
            </w:pPr>
            <w:r w:rsidRPr="00630A55">
              <w:rPr>
                <w:lang w:eastAsia="en-AU"/>
              </w:rPr>
              <w:t>Royal Hobart Hospital</w:t>
            </w:r>
          </w:p>
        </w:tc>
      </w:tr>
      <w:tr w:rsidR="000F2814" w:rsidRPr="00630A55" w14:paraId="120BE954" w14:textId="77777777" w:rsidTr="00A92341">
        <w:trPr>
          <w:trHeight w:val="263"/>
        </w:trPr>
        <w:tc>
          <w:tcPr>
            <w:tcW w:w="9095" w:type="dxa"/>
            <w:gridSpan w:val="3"/>
            <w:tcBorders>
              <w:top w:val="nil"/>
              <w:left w:val="single" w:sz="8" w:space="0" w:color="auto"/>
              <w:bottom w:val="single" w:sz="8" w:space="0" w:color="auto"/>
              <w:right w:val="single" w:sz="8" w:space="0" w:color="auto"/>
            </w:tcBorders>
            <w:shd w:val="clear" w:color="auto" w:fill="808080"/>
            <w:tcMar>
              <w:top w:w="0" w:type="dxa"/>
              <w:left w:w="108" w:type="dxa"/>
              <w:bottom w:w="0" w:type="dxa"/>
              <w:right w:w="108" w:type="dxa"/>
            </w:tcMar>
            <w:hideMark/>
          </w:tcPr>
          <w:p w14:paraId="56E10865" w14:textId="77777777" w:rsidR="000F2814" w:rsidRPr="00630A55" w:rsidRDefault="000F2814" w:rsidP="007E1AC8">
            <w:pPr>
              <w:pStyle w:val="Tableheading"/>
              <w:rPr>
                <w:lang w:eastAsia="en-AU"/>
              </w:rPr>
            </w:pPr>
            <w:r w:rsidRPr="0048310B">
              <w:rPr>
                <w:color w:val="000000" w:themeColor="text1"/>
                <w:lang w:eastAsia="en-AU"/>
              </w:rPr>
              <w:t>Source data and systems</w:t>
            </w:r>
          </w:p>
        </w:tc>
      </w:tr>
      <w:tr w:rsidR="000F2814" w:rsidRPr="00630A55" w14:paraId="62355137" w14:textId="77777777" w:rsidTr="00A92341">
        <w:trPr>
          <w:trHeight w:val="543"/>
        </w:trPr>
        <w:tc>
          <w:tcPr>
            <w:tcW w:w="30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02FECC" w14:textId="77777777" w:rsidR="000F2814" w:rsidRPr="00630A55" w:rsidRDefault="000F2814" w:rsidP="007E1AC8">
            <w:pPr>
              <w:pStyle w:val="Tabletext"/>
              <w:rPr>
                <w:lang w:eastAsia="en-AU"/>
              </w:rPr>
            </w:pPr>
            <w:r w:rsidRPr="00630A55">
              <w:rPr>
                <w:lang w:eastAsia="en-AU"/>
              </w:rPr>
              <w:t>Reconciliation back to GL and audited statements</w:t>
            </w:r>
          </w:p>
        </w:tc>
        <w:tc>
          <w:tcPr>
            <w:tcW w:w="3031" w:type="dxa"/>
            <w:tcBorders>
              <w:top w:val="nil"/>
              <w:left w:val="nil"/>
              <w:bottom w:val="single" w:sz="8" w:space="0" w:color="auto"/>
              <w:right w:val="single" w:sz="8" w:space="0" w:color="auto"/>
            </w:tcBorders>
            <w:tcMar>
              <w:top w:w="0" w:type="dxa"/>
              <w:left w:w="108" w:type="dxa"/>
              <w:bottom w:w="0" w:type="dxa"/>
              <w:right w:w="108" w:type="dxa"/>
            </w:tcMar>
          </w:tcPr>
          <w:p w14:paraId="03F5DCA9" w14:textId="77777777" w:rsidR="000F2814" w:rsidRPr="00630A55" w:rsidRDefault="000F2814" w:rsidP="007E1AC8">
            <w:pPr>
              <w:pStyle w:val="Tabletext"/>
              <w:rPr>
                <w:lang w:eastAsia="en-AU"/>
              </w:rPr>
            </w:pPr>
            <w:r w:rsidRPr="00630A55">
              <w:rPr>
                <w:lang w:eastAsia="en-AU"/>
              </w:rPr>
              <w:t>Annual reconciliation and checks undertaken by THS</w:t>
            </w:r>
          </w:p>
        </w:tc>
        <w:tc>
          <w:tcPr>
            <w:tcW w:w="3031" w:type="dxa"/>
            <w:tcBorders>
              <w:top w:val="nil"/>
              <w:left w:val="nil"/>
              <w:bottom w:val="single" w:sz="8" w:space="0" w:color="auto"/>
              <w:right w:val="single" w:sz="8" w:space="0" w:color="auto"/>
            </w:tcBorders>
            <w:tcMar>
              <w:top w:w="0" w:type="dxa"/>
              <w:left w:w="108" w:type="dxa"/>
              <w:bottom w:w="0" w:type="dxa"/>
              <w:right w:w="108" w:type="dxa"/>
            </w:tcMar>
          </w:tcPr>
          <w:p w14:paraId="0A1EFF50" w14:textId="77777777" w:rsidR="000F2814" w:rsidRPr="00630A55" w:rsidRDefault="000F2814" w:rsidP="007E1AC8">
            <w:pPr>
              <w:pStyle w:val="Tabletext"/>
              <w:rPr>
                <w:lang w:eastAsia="en-AU"/>
              </w:rPr>
            </w:pPr>
          </w:p>
        </w:tc>
      </w:tr>
      <w:tr w:rsidR="000F2814" w:rsidRPr="00630A55" w14:paraId="1B3FF400" w14:textId="77777777" w:rsidTr="00A92341">
        <w:trPr>
          <w:trHeight w:val="543"/>
        </w:trPr>
        <w:tc>
          <w:tcPr>
            <w:tcW w:w="30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798AD1" w14:textId="77777777" w:rsidR="000F2814" w:rsidRPr="00630A55" w:rsidRDefault="000F2814" w:rsidP="007E1AC8">
            <w:pPr>
              <w:pStyle w:val="Tabletext"/>
              <w:rPr>
                <w:lang w:eastAsia="en-AU"/>
              </w:rPr>
            </w:pPr>
            <w:r w:rsidRPr="00630A55">
              <w:rPr>
                <w:lang w:eastAsia="en-AU"/>
              </w:rPr>
              <w:t>Reconciliation of activity data back to source systems</w:t>
            </w:r>
          </w:p>
        </w:tc>
        <w:tc>
          <w:tcPr>
            <w:tcW w:w="3031" w:type="dxa"/>
            <w:tcBorders>
              <w:top w:val="nil"/>
              <w:left w:val="nil"/>
              <w:bottom w:val="single" w:sz="8" w:space="0" w:color="auto"/>
              <w:right w:val="single" w:sz="8" w:space="0" w:color="auto"/>
            </w:tcBorders>
            <w:tcMar>
              <w:top w:w="0" w:type="dxa"/>
              <w:left w:w="108" w:type="dxa"/>
              <w:bottom w:w="0" w:type="dxa"/>
              <w:right w:w="108" w:type="dxa"/>
            </w:tcMar>
          </w:tcPr>
          <w:p w14:paraId="7BCF339D" w14:textId="77777777" w:rsidR="000F2814" w:rsidRPr="00630A55" w:rsidRDefault="000F2814" w:rsidP="007E1AC8">
            <w:pPr>
              <w:pStyle w:val="Tabletext"/>
              <w:rPr>
                <w:lang w:eastAsia="en-AU"/>
              </w:rPr>
            </w:pPr>
            <w:r w:rsidRPr="00630A55">
              <w:rPr>
                <w:lang w:eastAsia="en-AU"/>
              </w:rPr>
              <w:t>Annual reviews on feeder and source systems</w:t>
            </w:r>
          </w:p>
        </w:tc>
        <w:tc>
          <w:tcPr>
            <w:tcW w:w="3031" w:type="dxa"/>
            <w:tcBorders>
              <w:top w:val="nil"/>
              <w:left w:val="nil"/>
              <w:bottom w:val="single" w:sz="8" w:space="0" w:color="auto"/>
              <w:right w:val="single" w:sz="8" w:space="0" w:color="auto"/>
            </w:tcBorders>
            <w:tcMar>
              <w:top w:w="0" w:type="dxa"/>
              <w:left w:w="108" w:type="dxa"/>
              <w:bottom w:w="0" w:type="dxa"/>
              <w:right w:w="108" w:type="dxa"/>
            </w:tcMar>
          </w:tcPr>
          <w:p w14:paraId="56FBF702" w14:textId="77777777" w:rsidR="000F2814" w:rsidRPr="00630A55" w:rsidRDefault="000F2814" w:rsidP="007E1AC8">
            <w:pPr>
              <w:pStyle w:val="Tabletext"/>
              <w:rPr>
                <w:lang w:eastAsia="en-AU"/>
              </w:rPr>
            </w:pPr>
          </w:p>
        </w:tc>
      </w:tr>
      <w:tr w:rsidR="000F2814" w:rsidRPr="00630A55" w14:paraId="7C5D75D2" w14:textId="77777777" w:rsidTr="00A92341">
        <w:trPr>
          <w:trHeight w:val="280"/>
        </w:trPr>
        <w:tc>
          <w:tcPr>
            <w:tcW w:w="9095" w:type="dxa"/>
            <w:gridSpan w:val="3"/>
            <w:tcBorders>
              <w:top w:val="nil"/>
              <w:left w:val="single" w:sz="8" w:space="0" w:color="auto"/>
              <w:bottom w:val="single" w:sz="8" w:space="0" w:color="auto"/>
              <w:right w:val="single" w:sz="8" w:space="0" w:color="auto"/>
            </w:tcBorders>
            <w:shd w:val="clear" w:color="auto" w:fill="808080"/>
            <w:tcMar>
              <w:top w:w="0" w:type="dxa"/>
              <w:left w:w="108" w:type="dxa"/>
              <w:bottom w:w="0" w:type="dxa"/>
              <w:right w:w="108" w:type="dxa"/>
            </w:tcMar>
            <w:hideMark/>
          </w:tcPr>
          <w:p w14:paraId="7F806988" w14:textId="669F64BE" w:rsidR="000F2814" w:rsidRPr="00630A55" w:rsidRDefault="000F2814" w:rsidP="007E1AC8">
            <w:pPr>
              <w:pStyle w:val="Tableheading"/>
              <w:rPr>
                <w:lang w:eastAsia="en-AU"/>
              </w:rPr>
            </w:pPr>
            <w:r w:rsidRPr="0048310B">
              <w:rPr>
                <w:color w:val="000000" w:themeColor="text1"/>
                <w:lang w:eastAsia="en-AU"/>
              </w:rPr>
              <w:t xml:space="preserve">Costing </w:t>
            </w:r>
            <w:r w:rsidR="00E45752">
              <w:rPr>
                <w:color w:val="000000" w:themeColor="text1"/>
                <w:lang w:eastAsia="en-AU"/>
              </w:rPr>
              <w:t>d</w:t>
            </w:r>
            <w:r w:rsidRPr="0048310B">
              <w:rPr>
                <w:color w:val="000000" w:themeColor="text1"/>
                <w:lang w:eastAsia="en-AU"/>
              </w:rPr>
              <w:t xml:space="preserve">ata – </w:t>
            </w:r>
            <w:r w:rsidR="00E45752">
              <w:rPr>
                <w:color w:val="000000" w:themeColor="text1"/>
                <w:lang w:eastAsia="en-AU"/>
              </w:rPr>
              <w:t>v</w:t>
            </w:r>
            <w:r w:rsidRPr="0048310B">
              <w:rPr>
                <w:color w:val="000000" w:themeColor="text1"/>
                <w:lang w:eastAsia="en-AU"/>
              </w:rPr>
              <w:t>alidation</w:t>
            </w:r>
          </w:p>
        </w:tc>
      </w:tr>
      <w:tr w:rsidR="000F2814" w:rsidRPr="00630A55" w14:paraId="302E3F7F" w14:textId="77777777" w:rsidTr="00A92341">
        <w:trPr>
          <w:trHeight w:val="543"/>
        </w:trPr>
        <w:tc>
          <w:tcPr>
            <w:tcW w:w="30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7DFD64" w14:textId="77777777" w:rsidR="000F2814" w:rsidRPr="00630A55" w:rsidRDefault="000F2814" w:rsidP="007E1AC8">
            <w:pPr>
              <w:pStyle w:val="Tabletext"/>
              <w:rPr>
                <w:lang w:eastAsia="en-AU"/>
              </w:rPr>
            </w:pPr>
            <w:r w:rsidRPr="00630A55">
              <w:rPr>
                <w:lang w:eastAsia="en-AU"/>
              </w:rPr>
              <w:t>Trend analysis to prior periods across cost products</w:t>
            </w:r>
          </w:p>
        </w:tc>
        <w:tc>
          <w:tcPr>
            <w:tcW w:w="3031" w:type="dxa"/>
            <w:tcBorders>
              <w:top w:val="nil"/>
              <w:left w:val="nil"/>
              <w:bottom w:val="single" w:sz="8" w:space="0" w:color="auto"/>
              <w:right w:val="single" w:sz="8" w:space="0" w:color="auto"/>
            </w:tcBorders>
            <w:tcMar>
              <w:top w:w="0" w:type="dxa"/>
              <w:left w:w="108" w:type="dxa"/>
              <w:bottom w:w="0" w:type="dxa"/>
              <w:right w:w="108" w:type="dxa"/>
            </w:tcMar>
          </w:tcPr>
          <w:p w14:paraId="046EA1CD" w14:textId="77777777" w:rsidR="000F2814" w:rsidRPr="00630A55" w:rsidRDefault="000F2814" w:rsidP="007E1AC8">
            <w:pPr>
              <w:pStyle w:val="Tabletext"/>
              <w:rPr>
                <w:lang w:eastAsia="en-AU"/>
              </w:rPr>
            </w:pPr>
            <w:r w:rsidRPr="00630A55">
              <w:rPr>
                <w:lang w:eastAsia="en-AU"/>
              </w:rPr>
              <w:t xml:space="preserve">Yes – annually </w:t>
            </w:r>
          </w:p>
        </w:tc>
        <w:tc>
          <w:tcPr>
            <w:tcW w:w="3031" w:type="dxa"/>
            <w:vMerge w:val="restart"/>
            <w:tcBorders>
              <w:top w:val="nil"/>
              <w:left w:val="nil"/>
              <w:right w:val="single" w:sz="8" w:space="0" w:color="auto"/>
            </w:tcBorders>
            <w:tcMar>
              <w:top w:w="0" w:type="dxa"/>
              <w:left w:w="108" w:type="dxa"/>
              <w:bottom w:w="0" w:type="dxa"/>
              <w:right w:w="108" w:type="dxa"/>
            </w:tcMar>
            <w:vAlign w:val="center"/>
          </w:tcPr>
          <w:p w14:paraId="2341D8FE" w14:textId="77777777" w:rsidR="000F2814" w:rsidRPr="00630A55" w:rsidRDefault="000F2814" w:rsidP="007E1AC8">
            <w:pPr>
              <w:pStyle w:val="Tabletext"/>
              <w:rPr>
                <w:lang w:eastAsia="en-AU"/>
              </w:rPr>
            </w:pPr>
          </w:p>
        </w:tc>
      </w:tr>
      <w:tr w:rsidR="000F2814" w:rsidRPr="00630A55" w14:paraId="338A46C5" w14:textId="77777777" w:rsidTr="00A92341">
        <w:trPr>
          <w:trHeight w:val="543"/>
        </w:trPr>
        <w:tc>
          <w:tcPr>
            <w:tcW w:w="30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46BFF4" w14:textId="77777777" w:rsidR="000F2814" w:rsidRPr="00630A55" w:rsidRDefault="000F2814" w:rsidP="007E1AC8">
            <w:pPr>
              <w:pStyle w:val="Tabletext"/>
              <w:rPr>
                <w:lang w:eastAsia="en-AU"/>
              </w:rPr>
            </w:pPr>
            <w:r w:rsidRPr="00630A55">
              <w:rPr>
                <w:lang w:eastAsia="en-AU"/>
              </w:rPr>
              <w:t>Reasonableness test of excluded data and outliers</w:t>
            </w:r>
          </w:p>
        </w:tc>
        <w:tc>
          <w:tcPr>
            <w:tcW w:w="3031" w:type="dxa"/>
            <w:tcBorders>
              <w:top w:val="nil"/>
              <w:left w:val="nil"/>
              <w:bottom w:val="single" w:sz="8" w:space="0" w:color="auto"/>
              <w:right w:val="single" w:sz="8" w:space="0" w:color="auto"/>
            </w:tcBorders>
            <w:tcMar>
              <w:top w:w="0" w:type="dxa"/>
              <w:left w:w="108" w:type="dxa"/>
              <w:bottom w:w="0" w:type="dxa"/>
              <w:right w:w="108" w:type="dxa"/>
            </w:tcMar>
          </w:tcPr>
          <w:p w14:paraId="2A3EE529" w14:textId="77777777" w:rsidR="000F2814" w:rsidRPr="00630A55" w:rsidRDefault="000F2814" w:rsidP="007E1AC8">
            <w:pPr>
              <w:pStyle w:val="Tabletext"/>
              <w:rPr>
                <w:lang w:eastAsia="en-AU"/>
              </w:rPr>
            </w:pPr>
            <w:r w:rsidRPr="00630A55">
              <w:rPr>
                <w:lang w:eastAsia="en-AU"/>
              </w:rPr>
              <w:t xml:space="preserve">Yes – annually </w:t>
            </w:r>
          </w:p>
        </w:tc>
        <w:tc>
          <w:tcPr>
            <w:tcW w:w="3031" w:type="dxa"/>
            <w:vMerge/>
            <w:tcBorders>
              <w:left w:val="nil"/>
              <w:right w:val="single" w:sz="8" w:space="0" w:color="auto"/>
            </w:tcBorders>
            <w:tcMar>
              <w:top w:w="0" w:type="dxa"/>
              <w:left w:w="108" w:type="dxa"/>
              <w:bottom w:w="0" w:type="dxa"/>
              <w:right w:w="108" w:type="dxa"/>
            </w:tcMar>
          </w:tcPr>
          <w:p w14:paraId="49EA1090" w14:textId="77777777" w:rsidR="000F2814" w:rsidRPr="00630A55" w:rsidRDefault="000F2814" w:rsidP="007E1AC8">
            <w:pPr>
              <w:pStyle w:val="Tabletext"/>
              <w:rPr>
                <w:lang w:eastAsia="en-AU"/>
              </w:rPr>
            </w:pPr>
          </w:p>
        </w:tc>
      </w:tr>
      <w:tr w:rsidR="000F2814" w:rsidRPr="00630A55" w14:paraId="4DD37CF9" w14:textId="77777777" w:rsidTr="00A92341">
        <w:trPr>
          <w:trHeight w:val="806"/>
        </w:trPr>
        <w:tc>
          <w:tcPr>
            <w:tcW w:w="30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C9C0F7" w14:textId="3BB1F654" w:rsidR="000F2814" w:rsidRPr="00630A55" w:rsidRDefault="000F2814" w:rsidP="007E1AC8">
            <w:pPr>
              <w:pStyle w:val="Tabletext"/>
              <w:rPr>
                <w:lang w:eastAsia="en-AU"/>
              </w:rPr>
            </w:pPr>
            <w:r w:rsidRPr="00630A55">
              <w:rPr>
                <w:lang w:eastAsia="en-AU"/>
              </w:rPr>
              <w:t>Analysis of outliers at the cost, LOS or cost bucket level</w:t>
            </w:r>
          </w:p>
        </w:tc>
        <w:tc>
          <w:tcPr>
            <w:tcW w:w="3031" w:type="dxa"/>
            <w:tcBorders>
              <w:top w:val="nil"/>
              <w:left w:val="nil"/>
              <w:bottom w:val="single" w:sz="8" w:space="0" w:color="auto"/>
              <w:right w:val="single" w:sz="8" w:space="0" w:color="auto"/>
            </w:tcBorders>
            <w:tcMar>
              <w:top w:w="0" w:type="dxa"/>
              <w:left w:w="108" w:type="dxa"/>
              <w:bottom w:w="0" w:type="dxa"/>
              <w:right w:w="108" w:type="dxa"/>
            </w:tcMar>
          </w:tcPr>
          <w:p w14:paraId="08FCB5ED" w14:textId="77777777" w:rsidR="000F2814" w:rsidRPr="00630A55" w:rsidRDefault="000F2814" w:rsidP="007E1AC8">
            <w:pPr>
              <w:pStyle w:val="Tabletext"/>
              <w:rPr>
                <w:lang w:eastAsia="en-AU"/>
              </w:rPr>
            </w:pPr>
            <w:r w:rsidRPr="00630A55">
              <w:rPr>
                <w:lang w:eastAsia="en-AU"/>
              </w:rPr>
              <w:t xml:space="preserve">Yes – annually </w:t>
            </w:r>
          </w:p>
        </w:tc>
        <w:tc>
          <w:tcPr>
            <w:tcW w:w="3031" w:type="dxa"/>
            <w:vMerge/>
            <w:tcBorders>
              <w:left w:val="nil"/>
              <w:right w:val="single" w:sz="8" w:space="0" w:color="auto"/>
            </w:tcBorders>
            <w:tcMar>
              <w:top w:w="0" w:type="dxa"/>
              <w:left w:w="108" w:type="dxa"/>
              <w:bottom w:w="0" w:type="dxa"/>
              <w:right w:w="108" w:type="dxa"/>
            </w:tcMar>
          </w:tcPr>
          <w:p w14:paraId="61DBF1AE" w14:textId="77777777" w:rsidR="000F2814" w:rsidRPr="00630A55" w:rsidRDefault="000F2814" w:rsidP="008F21F4">
            <w:pPr>
              <w:rPr>
                <w:lang w:eastAsia="en-AU"/>
              </w:rPr>
            </w:pPr>
          </w:p>
        </w:tc>
      </w:tr>
      <w:tr w:rsidR="000F2814" w:rsidRPr="00630A55" w14:paraId="42B6FDB4" w14:textId="77777777" w:rsidTr="00A92341">
        <w:trPr>
          <w:trHeight w:val="543"/>
        </w:trPr>
        <w:tc>
          <w:tcPr>
            <w:tcW w:w="30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6E315A" w14:textId="77777777" w:rsidR="000F2814" w:rsidRPr="00630A55" w:rsidRDefault="000F2814" w:rsidP="007E1AC8">
            <w:pPr>
              <w:pStyle w:val="Tabletext"/>
              <w:rPr>
                <w:lang w:eastAsia="en-AU"/>
              </w:rPr>
            </w:pPr>
            <w:r w:rsidRPr="00630A55">
              <w:rPr>
                <w:lang w:eastAsia="en-AU"/>
              </w:rPr>
              <w:t>Reasonableness of direct vs overhead allocations</w:t>
            </w:r>
          </w:p>
        </w:tc>
        <w:tc>
          <w:tcPr>
            <w:tcW w:w="3031" w:type="dxa"/>
            <w:tcBorders>
              <w:top w:val="nil"/>
              <w:left w:val="nil"/>
              <w:bottom w:val="single" w:sz="8" w:space="0" w:color="auto"/>
              <w:right w:val="single" w:sz="8" w:space="0" w:color="auto"/>
            </w:tcBorders>
            <w:tcMar>
              <w:top w:w="0" w:type="dxa"/>
              <w:left w:w="108" w:type="dxa"/>
              <w:bottom w:w="0" w:type="dxa"/>
              <w:right w:w="108" w:type="dxa"/>
            </w:tcMar>
          </w:tcPr>
          <w:p w14:paraId="2F681BD1" w14:textId="77777777" w:rsidR="000F2814" w:rsidRPr="00630A55" w:rsidRDefault="000F2814" w:rsidP="007E1AC8">
            <w:pPr>
              <w:pStyle w:val="Tabletext"/>
              <w:rPr>
                <w:lang w:eastAsia="en-AU"/>
              </w:rPr>
            </w:pPr>
            <w:r w:rsidRPr="00630A55">
              <w:rPr>
                <w:lang w:eastAsia="en-AU"/>
              </w:rPr>
              <w:t xml:space="preserve">Yes – annually </w:t>
            </w:r>
          </w:p>
        </w:tc>
        <w:tc>
          <w:tcPr>
            <w:tcW w:w="3031" w:type="dxa"/>
            <w:vMerge/>
            <w:tcBorders>
              <w:left w:val="nil"/>
              <w:right w:val="single" w:sz="8" w:space="0" w:color="auto"/>
            </w:tcBorders>
            <w:tcMar>
              <w:top w:w="0" w:type="dxa"/>
              <w:left w:w="108" w:type="dxa"/>
              <w:bottom w:w="0" w:type="dxa"/>
              <w:right w:w="108" w:type="dxa"/>
            </w:tcMar>
          </w:tcPr>
          <w:p w14:paraId="47FFFDC3" w14:textId="77777777" w:rsidR="000F2814" w:rsidRPr="00630A55" w:rsidRDefault="000F2814" w:rsidP="008F21F4">
            <w:pPr>
              <w:rPr>
                <w:lang w:eastAsia="en-AU"/>
              </w:rPr>
            </w:pPr>
          </w:p>
        </w:tc>
      </w:tr>
      <w:tr w:rsidR="000F2814" w:rsidRPr="00630A55" w14:paraId="06B18C38" w14:textId="77777777" w:rsidTr="00A92341">
        <w:trPr>
          <w:trHeight w:val="280"/>
        </w:trPr>
        <w:tc>
          <w:tcPr>
            <w:tcW w:w="30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2FB065" w14:textId="77777777" w:rsidR="000F2814" w:rsidRPr="00630A55" w:rsidRDefault="000F2814" w:rsidP="007E1AC8">
            <w:pPr>
              <w:pStyle w:val="Tabletext"/>
              <w:rPr>
                <w:lang w:eastAsia="en-AU"/>
              </w:rPr>
            </w:pPr>
            <w:r w:rsidRPr="00630A55">
              <w:rPr>
                <w:lang w:eastAsia="en-AU"/>
              </w:rPr>
              <w:t>Specific business rule tests</w:t>
            </w:r>
          </w:p>
        </w:tc>
        <w:tc>
          <w:tcPr>
            <w:tcW w:w="3031" w:type="dxa"/>
            <w:tcBorders>
              <w:top w:val="nil"/>
              <w:left w:val="nil"/>
              <w:bottom w:val="single" w:sz="8" w:space="0" w:color="auto"/>
              <w:right w:val="single" w:sz="8" w:space="0" w:color="auto"/>
            </w:tcBorders>
            <w:tcMar>
              <w:top w:w="0" w:type="dxa"/>
              <w:left w:w="108" w:type="dxa"/>
              <w:bottom w:w="0" w:type="dxa"/>
              <w:right w:w="108" w:type="dxa"/>
            </w:tcMar>
          </w:tcPr>
          <w:p w14:paraId="1D8EC98B" w14:textId="77777777" w:rsidR="000F2814" w:rsidRPr="00630A55" w:rsidRDefault="000F2814" w:rsidP="007E1AC8">
            <w:pPr>
              <w:pStyle w:val="Tabletext"/>
              <w:rPr>
                <w:lang w:eastAsia="en-AU"/>
              </w:rPr>
            </w:pPr>
            <w:r w:rsidRPr="00630A55">
              <w:rPr>
                <w:lang w:eastAsia="en-AU"/>
              </w:rPr>
              <w:t>Yes</w:t>
            </w:r>
          </w:p>
        </w:tc>
        <w:tc>
          <w:tcPr>
            <w:tcW w:w="3031" w:type="dxa"/>
            <w:vMerge/>
            <w:tcBorders>
              <w:left w:val="nil"/>
              <w:bottom w:val="single" w:sz="8" w:space="0" w:color="auto"/>
              <w:right w:val="single" w:sz="8" w:space="0" w:color="auto"/>
            </w:tcBorders>
            <w:tcMar>
              <w:top w:w="0" w:type="dxa"/>
              <w:left w:w="108" w:type="dxa"/>
              <w:bottom w:w="0" w:type="dxa"/>
              <w:right w:w="108" w:type="dxa"/>
            </w:tcMar>
          </w:tcPr>
          <w:p w14:paraId="09D68B7A" w14:textId="77777777" w:rsidR="000F2814" w:rsidRPr="00630A55" w:rsidRDefault="000F2814" w:rsidP="008F21F4">
            <w:pPr>
              <w:rPr>
                <w:lang w:eastAsia="en-AU"/>
              </w:rPr>
            </w:pPr>
          </w:p>
        </w:tc>
      </w:tr>
      <w:tr w:rsidR="000F2814" w:rsidRPr="00630A55" w14:paraId="5FFDBEA0" w14:textId="77777777" w:rsidTr="00A92341">
        <w:trPr>
          <w:trHeight w:val="280"/>
        </w:trPr>
        <w:tc>
          <w:tcPr>
            <w:tcW w:w="9095" w:type="dxa"/>
            <w:gridSpan w:val="3"/>
            <w:tcBorders>
              <w:top w:val="nil"/>
              <w:left w:val="single" w:sz="8" w:space="0" w:color="auto"/>
              <w:bottom w:val="single" w:sz="8" w:space="0" w:color="auto"/>
              <w:right w:val="single" w:sz="8" w:space="0" w:color="auto"/>
            </w:tcBorders>
            <w:shd w:val="clear" w:color="auto" w:fill="808080"/>
            <w:tcMar>
              <w:top w:w="0" w:type="dxa"/>
              <w:left w:w="108" w:type="dxa"/>
              <w:bottom w:w="0" w:type="dxa"/>
              <w:right w:w="108" w:type="dxa"/>
            </w:tcMar>
            <w:hideMark/>
          </w:tcPr>
          <w:p w14:paraId="645D07B6" w14:textId="363045AE" w:rsidR="000F2814" w:rsidRPr="00630A55" w:rsidRDefault="000F2814" w:rsidP="007E1AC8">
            <w:pPr>
              <w:pStyle w:val="Tableheading"/>
              <w:rPr>
                <w:lang w:eastAsia="en-AU"/>
              </w:rPr>
            </w:pPr>
            <w:r w:rsidRPr="0048310B">
              <w:rPr>
                <w:color w:val="000000" w:themeColor="text1"/>
                <w:lang w:eastAsia="en-AU"/>
              </w:rPr>
              <w:t xml:space="preserve">Costing </w:t>
            </w:r>
            <w:r w:rsidR="00E45752">
              <w:rPr>
                <w:color w:val="000000" w:themeColor="text1"/>
                <w:lang w:eastAsia="en-AU"/>
              </w:rPr>
              <w:t>d</w:t>
            </w:r>
            <w:r w:rsidRPr="0048310B">
              <w:rPr>
                <w:color w:val="000000" w:themeColor="text1"/>
                <w:lang w:eastAsia="en-AU"/>
              </w:rPr>
              <w:t xml:space="preserve">ata – </w:t>
            </w:r>
            <w:r w:rsidR="00E45752">
              <w:rPr>
                <w:color w:val="000000" w:themeColor="text1"/>
                <w:lang w:eastAsia="en-AU"/>
              </w:rPr>
              <w:t>g</w:t>
            </w:r>
            <w:r w:rsidRPr="0048310B">
              <w:rPr>
                <w:color w:val="000000" w:themeColor="text1"/>
                <w:lang w:eastAsia="en-AU"/>
              </w:rPr>
              <w:t>overnance</w:t>
            </w:r>
          </w:p>
        </w:tc>
      </w:tr>
      <w:tr w:rsidR="000F2814" w:rsidRPr="00630A55" w14:paraId="699C21FA" w14:textId="77777777" w:rsidTr="00A92341">
        <w:trPr>
          <w:trHeight w:val="543"/>
        </w:trPr>
        <w:tc>
          <w:tcPr>
            <w:tcW w:w="30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86D8B1" w14:textId="77777777" w:rsidR="000F2814" w:rsidRPr="00630A55" w:rsidRDefault="000F2814" w:rsidP="007E1AC8">
            <w:pPr>
              <w:pStyle w:val="Tabletext"/>
              <w:rPr>
                <w:lang w:eastAsia="en-AU"/>
              </w:rPr>
            </w:pPr>
            <w:r w:rsidRPr="00630A55">
              <w:rPr>
                <w:lang w:eastAsia="en-AU"/>
              </w:rPr>
              <w:t>Regular updates with costing staff</w:t>
            </w:r>
          </w:p>
        </w:tc>
        <w:tc>
          <w:tcPr>
            <w:tcW w:w="3031" w:type="dxa"/>
            <w:tcBorders>
              <w:top w:val="nil"/>
              <w:left w:val="nil"/>
              <w:bottom w:val="single" w:sz="8" w:space="0" w:color="auto"/>
              <w:right w:val="single" w:sz="8" w:space="0" w:color="auto"/>
            </w:tcBorders>
            <w:tcMar>
              <w:top w:w="0" w:type="dxa"/>
              <w:left w:w="108" w:type="dxa"/>
              <w:bottom w:w="0" w:type="dxa"/>
              <w:right w:w="108" w:type="dxa"/>
            </w:tcMar>
          </w:tcPr>
          <w:p w14:paraId="6433CC99" w14:textId="77777777" w:rsidR="000F2814" w:rsidRPr="00630A55" w:rsidRDefault="000F2814" w:rsidP="007E1AC8">
            <w:pPr>
              <w:pStyle w:val="Tabletext"/>
              <w:rPr>
                <w:lang w:eastAsia="en-AU"/>
              </w:rPr>
            </w:pPr>
            <w:r w:rsidRPr="00630A55">
              <w:rPr>
                <w:lang w:eastAsia="en-AU"/>
              </w:rPr>
              <w:t>Ad hoc</w:t>
            </w:r>
          </w:p>
        </w:tc>
        <w:tc>
          <w:tcPr>
            <w:tcW w:w="3031" w:type="dxa"/>
            <w:tcBorders>
              <w:top w:val="nil"/>
              <w:left w:val="nil"/>
              <w:bottom w:val="single" w:sz="8" w:space="0" w:color="auto"/>
              <w:right w:val="single" w:sz="8" w:space="0" w:color="auto"/>
            </w:tcBorders>
            <w:tcMar>
              <w:top w:w="0" w:type="dxa"/>
              <w:left w:w="108" w:type="dxa"/>
              <w:bottom w:w="0" w:type="dxa"/>
              <w:right w:w="108" w:type="dxa"/>
            </w:tcMar>
          </w:tcPr>
          <w:p w14:paraId="323D02AB" w14:textId="77777777" w:rsidR="000F2814" w:rsidRPr="00630A55" w:rsidRDefault="000F2814" w:rsidP="007E1AC8">
            <w:pPr>
              <w:pStyle w:val="Tabletext"/>
              <w:rPr>
                <w:lang w:eastAsia="en-AU"/>
              </w:rPr>
            </w:pPr>
          </w:p>
        </w:tc>
      </w:tr>
      <w:tr w:rsidR="000F2814" w:rsidRPr="00630A55" w14:paraId="04B8CBFB" w14:textId="77777777" w:rsidTr="00A92341">
        <w:trPr>
          <w:trHeight w:val="806"/>
        </w:trPr>
        <w:tc>
          <w:tcPr>
            <w:tcW w:w="30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D05514" w14:textId="77777777" w:rsidR="000F2814" w:rsidRPr="00630A55" w:rsidRDefault="000F2814" w:rsidP="007E1AC8">
            <w:pPr>
              <w:pStyle w:val="Tabletext"/>
              <w:rPr>
                <w:lang w:eastAsia="en-AU"/>
              </w:rPr>
            </w:pPr>
            <w:r w:rsidRPr="00630A55">
              <w:rPr>
                <w:lang w:eastAsia="en-AU"/>
              </w:rPr>
              <w:t>Local guidelines supporting the AHPCS standards framework</w:t>
            </w:r>
          </w:p>
        </w:tc>
        <w:tc>
          <w:tcPr>
            <w:tcW w:w="3031" w:type="dxa"/>
            <w:tcBorders>
              <w:top w:val="nil"/>
              <w:left w:val="nil"/>
              <w:bottom w:val="single" w:sz="8" w:space="0" w:color="auto"/>
              <w:right w:val="single" w:sz="8" w:space="0" w:color="auto"/>
            </w:tcBorders>
            <w:tcMar>
              <w:top w:w="0" w:type="dxa"/>
              <w:left w:w="108" w:type="dxa"/>
              <w:bottom w:w="0" w:type="dxa"/>
              <w:right w:w="108" w:type="dxa"/>
            </w:tcMar>
          </w:tcPr>
          <w:p w14:paraId="445CB143" w14:textId="77777777" w:rsidR="000F2814" w:rsidRPr="00630A55" w:rsidRDefault="000F2814" w:rsidP="007E1AC8">
            <w:pPr>
              <w:pStyle w:val="Tabletext"/>
              <w:rPr>
                <w:lang w:eastAsia="en-AU"/>
              </w:rPr>
            </w:pPr>
            <w:r w:rsidRPr="00630A55">
              <w:rPr>
                <w:lang w:eastAsia="en-AU"/>
              </w:rPr>
              <w:t xml:space="preserve">No </w:t>
            </w:r>
          </w:p>
        </w:tc>
        <w:tc>
          <w:tcPr>
            <w:tcW w:w="3031" w:type="dxa"/>
            <w:tcBorders>
              <w:top w:val="nil"/>
              <w:left w:val="nil"/>
              <w:bottom w:val="single" w:sz="8" w:space="0" w:color="auto"/>
              <w:right w:val="single" w:sz="8" w:space="0" w:color="auto"/>
            </w:tcBorders>
            <w:tcMar>
              <w:top w:w="0" w:type="dxa"/>
              <w:left w:w="108" w:type="dxa"/>
              <w:bottom w:w="0" w:type="dxa"/>
              <w:right w:w="108" w:type="dxa"/>
            </w:tcMar>
          </w:tcPr>
          <w:p w14:paraId="33093EBE" w14:textId="77777777" w:rsidR="000F2814" w:rsidRPr="00630A55" w:rsidRDefault="000F2814" w:rsidP="007E1AC8">
            <w:pPr>
              <w:pStyle w:val="Tabletext"/>
              <w:rPr>
                <w:lang w:eastAsia="en-AU"/>
              </w:rPr>
            </w:pPr>
          </w:p>
        </w:tc>
      </w:tr>
      <w:tr w:rsidR="000F2814" w:rsidRPr="00630A55" w14:paraId="288D92A8" w14:textId="77777777" w:rsidTr="00A92341">
        <w:trPr>
          <w:trHeight w:val="280"/>
        </w:trPr>
        <w:tc>
          <w:tcPr>
            <w:tcW w:w="30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75FE34" w14:textId="77777777" w:rsidR="000F2814" w:rsidRPr="00630A55" w:rsidRDefault="000F2814" w:rsidP="007E1AC8">
            <w:pPr>
              <w:pStyle w:val="Tabletext"/>
              <w:rPr>
                <w:lang w:eastAsia="en-AU"/>
              </w:rPr>
            </w:pPr>
            <w:r w:rsidRPr="00630A55">
              <w:rPr>
                <w:lang w:eastAsia="en-AU"/>
              </w:rPr>
              <w:t>Review of cost allocations</w:t>
            </w:r>
          </w:p>
        </w:tc>
        <w:tc>
          <w:tcPr>
            <w:tcW w:w="3031" w:type="dxa"/>
            <w:tcBorders>
              <w:top w:val="nil"/>
              <w:left w:val="nil"/>
              <w:bottom w:val="single" w:sz="8" w:space="0" w:color="auto"/>
              <w:right w:val="single" w:sz="8" w:space="0" w:color="auto"/>
            </w:tcBorders>
            <w:tcMar>
              <w:top w:w="0" w:type="dxa"/>
              <w:left w:w="108" w:type="dxa"/>
              <w:bottom w:w="0" w:type="dxa"/>
              <w:right w:w="108" w:type="dxa"/>
            </w:tcMar>
          </w:tcPr>
          <w:p w14:paraId="09A5D634" w14:textId="77777777" w:rsidR="000F2814" w:rsidRPr="00630A55" w:rsidRDefault="000F2814" w:rsidP="007E1AC8">
            <w:pPr>
              <w:pStyle w:val="Tabletext"/>
              <w:rPr>
                <w:lang w:eastAsia="en-AU"/>
              </w:rPr>
            </w:pPr>
            <w:r w:rsidRPr="00630A55">
              <w:rPr>
                <w:lang w:eastAsia="en-AU"/>
              </w:rPr>
              <w:t xml:space="preserve">Yes – annually </w:t>
            </w:r>
          </w:p>
        </w:tc>
        <w:tc>
          <w:tcPr>
            <w:tcW w:w="3031" w:type="dxa"/>
            <w:tcBorders>
              <w:top w:val="nil"/>
              <w:left w:val="nil"/>
              <w:bottom w:val="single" w:sz="8" w:space="0" w:color="auto"/>
              <w:right w:val="single" w:sz="8" w:space="0" w:color="auto"/>
            </w:tcBorders>
            <w:tcMar>
              <w:top w:w="0" w:type="dxa"/>
              <w:left w:w="108" w:type="dxa"/>
              <w:bottom w:w="0" w:type="dxa"/>
              <w:right w:w="108" w:type="dxa"/>
            </w:tcMar>
          </w:tcPr>
          <w:p w14:paraId="3A173D0B" w14:textId="77777777" w:rsidR="000F2814" w:rsidRPr="00630A55" w:rsidRDefault="000F2814" w:rsidP="007E1AC8">
            <w:pPr>
              <w:pStyle w:val="Tabletext"/>
              <w:rPr>
                <w:lang w:eastAsia="en-AU"/>
              </w:rPr>
            </w:pPr>
          </w:p>
        </w:tc>
      </w:tr>
      <w:tr w:rsidR="000F2814" w:rsidRPr="00630A55" w14:paraId="26B03A30" w14:textId="77777777" w:rsidTr="00A92341">
        <w:trPr>
          <w:trHeight w:val="806"/>
        </w:trPr>
        <w:tc>
          <w:tcPr>
            <w:tcW w:w="30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4011B1" w14:textId="77777777" w:rsidR="000F2814" w:rsidRPr="00630A55" w:rsidRDefault="000F2814" w:rsidP="007E1AC8">
            <w:pPr>
              <w:pStyle w:val="Tabletext"/>
              <w:rPr>
                <w:lang w:eastAsia="en-AU"/>
              </w:rPr>
            </w:pPr>
            <w:r w:rsidRPr="00630A55">
              <w:rPr>
                <w:lang w:eastAsia="en-AU"/>
              </w:rPr>
              <w:t>Review on reasonableness of costing data output</w:t>
            </w:r>
          </w:p>
        </w:tc>
        <w:tc>
          <w:tcPr>
            <w:tcW w:w="3031" w:type="dxa"/>
            <w:tcBorders>
              <w:top w:val="nil"/>
              <w:left w:val="nil"/>
              <w:bottom w:val="single" w:sz="8" w:space="0" w:color="auto"/>
              <w:right w:val="single" w:sz="8" w:space="0" w:color="auto"/>
            </w:tcBorders>
            <w:tcMar>
              <w:top w:w="0" w:type="dxa"/>
              <w:left w:w="108" w:type="dxa"/>
              <w:bottom w:w="0" w:type="dxa"/>
              <w:right w:w="108" w:type="dxa"/>
            </w:tcMar>
          </w:tcPr>
          <w:p w14:paraId="66F3AB42" w14:textId="77777777" w:rsidR="000F2814" w:rsidRPr="00630A55" w:rsidRDefault="000F2814" w:rsidP="007E1AC8">
            <w:pPr>
              <w:pStyle w:val="Tabletext"/>
              <w:rPr>
                <w:lang w:eastAsia="en-AU"/>
              </w:rPr>
            </w:pPr>
            <w:r w:rsidRPr="00630A55">
              <w:rPr>
                <w:lang w:eastAsia="en-AU"/>
              </w:rPr>
              <w:t>Data is reviewed for reasonableness and completeness</w:t>
            </w:r>
          </w:p>
        </w:tc>
        <w:tc>
          <w:tcPr>
            <w:tcW w:w="3031" w:type="dxa"/>
            <w:tcBorders>
              <w:top w:val="nil"/>
              <w:left w:val="nil"/>
              <w:bottom w:val="single" w:sz="8" w:space="0" w:color="auto"/>
              <w:right w:val="single" w:sz="8" w:space="0" w:color="auto"/>
            </w:tcBorders>
            <w:tcMar>
              <w:top w:w="0" w:type="dxa"/>
              <w:left w:w="108" w:type="dxa"/>
              <w:bottom w:w="0" w:type="dxa"/>
              <w:right w:w="108" w:type="dxa"/>
            </w:tcMar>
          </w:tcPr>
          <w:p w14:paraId="2CFDFBC3" w14:textId="77777777" w:rsidR="000F2814" w:rsidRPr="00630A55" w:rsidRDefault="000F2814" w:rsidP="007E1AC8">
            <w:pPr>
              <w:pStyle w:val="Tabletext"/>
              <w:rPr>
                <w:lang w:eastAsia="en-AU"/>
              </w:rPr>
            </w:pPr>
          </w:p>
        </w:tc>
      </w:tr>
      <w:tr w:rsidR="000F2814" w:rsidRPr="00630A55" w14:paraId="6692CEDA" w14:textId="77777777" w:rsidTr="00A92341">
        <w:trPr>
          <w:trHeight w:val="543"/>
        </w:trPr>
        <w:tc>
          <w:tcPr>
            <w:tcW w:w="30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B50ED1" w14:textId="77777777" w:rsidR="000F2814" w:rsidRPr="00630A55" w:rsidRDefault="000F2814" w:rsidP="007E1AC8">
            <w:pPr>
              <w:pStyle w:val="Tabletext"/>
              <w:rPr>
                <w:lang w:eastAsia="en-AU"/>
              </w:rPr>
            </w:pPr>
            <w:r w:rsidRPr="00630A55">
              <w:rPr>
                <w:lang w:eastAsia="en-AU"/>
              </w:rPr>
              <w:t>Formal sign-off</w:t>
            </w:r>
          </w:p>
        </w:tc>
        <w:tc>
          <w:tcPr>
            <w:tcW w:w="3031" w:type="dxa"/>
            <w:tcBorders>
              <w:top w:val="nil"/>
              <w:left w:val="nil"/>
              <w:bottom w:val="single" w:sz="8" w:space="0" w:color="auto"/>
              <w:right w:val="single" w:sz="8" w:space="0" w:color="auto"/>
            </w:tcBorders>
            <w:tcMar>
              <w:top w:w="0" w:type="dxa"/>
              <w:left w:w="108" w:type="dxa"/>
              <w:bottom w:w="0" w:type="dxa"/>
              <w:right w:w="108" w:type="dxa"/>
            </w:tcMar>
          </w:tcPr>
          <w:p w14:paraId="2A06376D" w14:textId="77777777" w:rsidR="000F2814" w:rsidRPr="00630A55" w:rsidRDefault="000F2814" w:rsidP="007E1AC8">
            <w:pPr>
              <w:pStyle w:val="Tabletext"/>
              <w:rPr>
                <w:lang w:eastAsia="en-AU"/>
              </w:rPr>
            </w:pPr>
            <w:r w:rsidRPr="00630A55">
              <w:rPr>
                <w:lang w:eastAsia="en-AU"/>
              </w:rPr>
              <w:t>Final sign off by THS</w:t>
            </w:r>
          </w:p>
        </w:tc>
        <w:tc>
          <w:tcPr>
            <w:tcW w:w="3031" w:type="dxa"/>
            <w:tcBorders>
              <w:top w:val="nil"/>
              <w:left w:val="nil"/>
              <w:bottom w:val="single" w:sz="8" w:space="0" w:color="auto"/>
              <w:right w:val="single" w:sz="8" w:space="0" w:color="auto"/>
            </w:tcBorders>
            <w:tcMar>
              <w:top w:w="0" w:type="dxa"/>
              <w:left w:w="108" w:type="dxa"/>
              <w:bottom w:w="0" w:type="dxa"/>
              <w:right w:w="108" w:type="dxa"/>
            </w:tcMar>
          </w:tcPr>
          <w:p w14:paraId="4B891FB9" w14:textId="651991FE" w:rsidR="000F2814" w:rsidRPr="00630A55" w:rsidRDefault="007F423B" w:rsidP="007E1AC8">
            <w:pPr>
              <w:pStyle w:val="Tabletext"/>
              <w:rPr>
                <w:lang w:eastAsia="en-AU"/>
              </w:rPr>
            </w:pPr>
            <w:r>
              <w:rPr>
                <w:lang w:eastAsia="en-AU"/>
              </w:rPr>
              <w:t>Audited financial statements are</w:t>
            </w:r>
            <w:r w:rsidR="000F2814" w:rsidRPr="00630A55">
              <w:rPr>
                <w:lang w:eastAsia="en-AU"/>
              </w:rPr>
              <w:t xml:space="preserve"> reviewed and signed off by the CFO at RHH</w:t>
            </w:r>
          </w:p>
        </w:tc>
      </w:tr>
    </w:tbl>
    <w:p w14:paraId="29166873" w14:textId="77777777" w:rsidR="000F2814" w:rsidRPr="00630A55" w:rsidRDefault="000F2814" w:rsidP="000F2814">
      <w:pPr>
        <w:pStyle w:val="Source"/>
      </w:pPr>
      <w:r w:rsidRPr="00630A55">
        <w:t>Source: Jurisdictional consultations and data quality statement</w:t>
      </w:r>
    </w:p>
    <w:p w14:paraId="5BB1C2CA" w14:textId="77777777" w:rsidR="000F2814" w:rsidRPr="00630A55" w:rsidRDefault="000F2814" w:rsidP="000F2814">
      <w:pPr>
        <w:pStyle w:val="Heading3"/>
      </w:pPr>
      <w:r w:rsidRPr="00630A55">
        <w:t>Business requirements</w:t>
      </w:r>
    </w:p>
    <w:p w14:paraId="4D8AB65E" w14:textId="79F369D5" w:rsidR="000F2814" w:rsidRPr="00630A55" w:rsidRDefault="000F2814" w:rsidP="008225C3">
      <w:pPr>
        <w:jc w:val="both"/>
      </w:pPr>
      <w:r w:rsidRPr="00630A55">
        <w:t xml:space="preserve">The THS and </w:t>
      </w:r>
      <w:r w:rsidR="00710D0C">
        <w:t>RHH</w:t>
      </w:r>
      <w:r w:rsidRPr="00630A55">
        <w:t xml:space="preserve"> do not distribute the </w:t>
      </w:r>
      <w:r w:rsidR="00BE235C">
        <w:t>IHACPA</w:t>
      </w:r>
      <w:r w:rsidRPr="00630A55">
        <w:t xml:space="preserve"> reports and NHCDC data to the broader clinical workforce. Instead, this information sits within the Clinical Costing Unit and is reviewed informally and formally through their annual costing process. There is an opportunity to further engage clinicians and the health workforce to gain a greater understanding of costing processes.</w:t>
      </w:r>
    </w:p>
    <w:p w14:paraId="5D831F12" w14:textId="1B38C6FB" w:rsidR="000F2814" w:rsidRPr="00630A55" w:rsidRDefault="000F2814" w:rsidP="000F2814">
      <w:pPr>
        <w:pStyle w:val="Heading3"/>
      </w:pPr>
      <w:r w:rsidRPr="00630A55">
        <w:t>Implications of COVID-19</w:t>
      </w:r>
    </w:p>
    <w:p w14:paraId="6E98A27E" w14:textId="77777777" w:rsidR="00D91CB1" w:rsidRDefault="000F2814" w:rsidP="008225C3">
      <w:pPr>
        <w:jc w:val="both"/>
      </w:pPr>
      <w:r w:rsidRPr="00630A55">
        <w:t xml:space="preserve">THS and </w:t>
      </w:r>
      <w:r w:rsidR="00710D0C">
        <w:t>RHH</w:t>
      </w:r>
      <w:r w:rsidRPr="00630A55">
        <w:t xml:space="preserve"> did not specifically set up COVID cost centres. Instead, they repurposed wards to become COVID clinics. Additionally, hot and cold clinics were set up within the ED to help identify the treatment of suspected COVID positive patients. While review and analysis is still underway of pathology and imaging during the peak of the pandemic, there are signs of incremental increases in costs across the whole health system. </w:t>
      </w:r>
    </w:p>
    <w:p w14:paraId="136205CC" w14:textId="77777777" w:rsidR="00D91CB1" w:rsidRDefault="00D91CB1">
      <w:pPr>
        <w:spacing w:before="0" w:after="160" w:line="259" w:lineRule="auto"/>
      </w:pPr>
      <w:r>
        <w:br w:type="page"/>
      </w:r>
    </w:p>
    <w:p w14:paraId="0A4BD719" w14:textId="709EB3BB" w:rsidR="000F2814" w:rsidRPr="00630A55" w:rsidRDefault="000F2814" w:rsidP="008225C3">
      <w:pPr>
        <w:jc w:val="both"/>
      </w:pPr>
      <w:r w:rsidRPr="00630A55">
        <w:lastRenderedPageBreak/>
        <w:t xml:space="preserve">Increased costs were particularly relevant for staffing, as staff were constantly being relocated from different cost centres and being furloughed. This led to a sharp spike in average costs, as the number of patients being treated decreased significantly, while staffing levels remained consistent. </w:t>
      </w:r>
    </w:p>
    <w:p w14:paraId="1A87A098" w14:textId="282E2FC5" w:rsidR="000F2814" w:rsidRPr="00630A55" w:rsidRDefault="000F2814" w:rsidP="000F2814">
      <w:pPr>
        <w:pStyle w:val="Heading3"/>
      </w:pPr>
      <w:r w:rsidRPr="00630A55">
        <w:t xml:space="preserve">Key learning and future improvements </w:t>
      </w:r>
    </w:p>
    <w:p w14:paraId="602897C5" w14:textId="561D647B" w:rsidR="008A65F1" w:rsidRPr="008A65F1" w:rsidRDefault="000F2814" w:rsidP="008225C3">
      <w:pPr>
        <w:jc w:val="both"/>
      </w:pPr>
      <w:r w:rsidRPr="00630A55">
        <w:t>The THS utilised a clear and useful reporting software that enabled the quick review and analysis of activity and costing. This allowed the Clinical Costing Unit to review data at a high level, and a detailed level</w:t>
      </w:r>
      <w:r w:rsidR="00710D0C">
        <w:t>,</w:t>
      </w:r>
      <w:r w:rsidRPr="00630A55">
        <w:t xml:space="preserve"> to review patient level data to provide a greater richness to the analysis. Greater </w:t>
      </w:r>
      <w:r w:rsidR="00205FB7" w:rsidRPr="00630A55">
        <w:t>granularity</w:t>
      </w:r>
      <w:r w:rsidRPr="00630A55">
        <w:t xml:space="preserve"> of data allows the Clinical Costing Unit to easily review the data on a detailed level, and it also provides an opportunity to share information with parties when they are interested in furthering their knowledge of costing within THS. This was </w:t>
      </w:r>
      <w:r w:rsidR="002E0FB9">
        <w:t>an important</w:t>
      </w:r>
      <w:r w:rsidRPr="00630A55">
        <w:t xml:space="preserve"> enabler </w:t>
      </w:r>
      <w:r w:rsidR="006C4A17">
        <w:t>for</w:t>
      </w:r>
      <w:r w:rsidRPr="00630A55">
        <w:t xml:space="preserve"> supporting the costing processes within THS, and similar features would be welcomed in other jurisdictions. </w:t>
      </w:r>
    </w:p>
    <w:p w14:paraId="52D0F68F" w14:textId="3B7CE31E" w:rsidR="00436C97" w:rsidRPr="00630A55" w:rsidRDefault="00060E79" w:rsidP="008225C3">
      <w:pPr>
        <w:jc w:val="both"/>
      </w:pPr>
      <w:r>
        <w:t xml:space="preserve">Mental Health costing at the </w:t>
      </w:r>
      <w:r w:rsidR="001F7992">
        <w:t>phase of care level continues to be a difficult area to cost effectively</w:t>
      </w:r>
      <w:r w:rsidR="00554819">
        <w:t xml:space="preserve"> and remains an area of ongoing improvement.</w:t>
      </w:r>
    </w:p>
    <w:p w14:paraId="10535562" w14:textId="355A1489" w:rsidR="000F2814" w:rsidRPr="00630A55" w:rsidRDefault="000F2814" w:rsidP="008225C3">
      <w:pPr>
        <w:jc w:val="both"/>
      </w:pPr>
      <w:r w:rsidRPr="00630A55">
        <w:t xml:space="preserve">The THS has an opportunity to improve costing literacy across the jurisdiction at a hospital and </w:t>
      </w:r>
      <w:r w:rsidR="00AC040E">
        <w:t>health service</w:t>
      </w:r>
      <w:r w:rsidRPr="00630A55">
        <w:t xml:space="preserve"> level. Greater awareness of costing processes and implications of data collection would lead to a more robust </w:t>
      </w:r>
      <w:r w:rsidR="00494EEF">
        <w:t>dataset</w:t>
      </w:r>
      <w:r w:rsidRPr="00630A55">
        <w:t xml:space="preserve"> and intelligence to inform business and clinical decision making. Given that the majority of services are block funded, there is no clear incentive for public providers to engage with costing activities. Improving costing awareness and capability would be a clear enabler when implementing new and innovative funding models in Tasmania. </w:t>
      </w:r>
    </w:p>
    <w:p w14:paraId="67FF4AE5" w14:textId="77777777" w:rsidR="000F2814" w:rsidRPr="00630A55" w:rsidRDefault="000F2814" w:rsidP="000F2814">
      <w:pPr>
        <w:pStyle w:val="Heading3"/>
      </w:pPr>
      <w:r w:rsidRPr="00630A55">
        <w:t xml:space="preserve">Conclusion </w:t>
      </w:r>
    </w:p>
    <w:p w14:paraId="47E9192B" w14:textId="5ABDDEC6" w:rsidR="000F2814" w:rsidRPr="00630A55" w:rsidRDefault="000F2814" w:rsidP="008225C3">
      <w:pPr>
        <w:jc w:val="both"/>
      </w:pPr>
      <w:r w:rsidRPr="00630A55">
        <w:t xml:space="preserve">Tasmania continues to make best efforts to adhere to the AHPCS </w:t>
      </w:r>
      <w:r w:rsidR="00710D0C">
        <w:t xml:space="preserve">version </w:t>
      </w:r>
      <w:r w:rsidRPr="00630A55">
        <w:t>4.1 and is compliant</w:t>
      </w:r>
      <w:r w:rsidR="00710D0C">
        <w:t>,</w:t>
      </w:r>
      <w:r w:rsidRPr="00630A55">
        <w:t xml:space="preserve"> with exception to the areas listed below: </w:t>
      </w:r>
    </w:p>
    <w:p w14:paraId="547768A0" w14:textId="23E8BF94" w:rsidR="000F2814" w:rsidRPr="00630A55" w:rsidRDefault="000F2814" w:rsidP="008225C3">
      <w:pPr>
        <w:pStyle w:val="Bullet1stlevel"/>
        <w:jc w:val="both"/>
      </w:pPr>
      <w:r w:rsidRPr="00630A55">
        <w:t>Data Quality Framework (AHPCS 6.1.1.3.3, 6.1.3.5). The Tasmanian Data Quality Framework has minimal independent and external testing. Costed patient data is also not formally audited by an independent body</w:t>
      </w:r>
      <w:r w:rsidR="00710D0C">
        <w:t>.</w:t>
      </w:r>
    </w:p>
    <w:p w14:paraId="03F5B272" w14:textId="2EF0ED47" w:rsidR="000F2814" w:rsidRPr="00630A55" w:rsidRDefault="000F2814" w:rsidP="008225C3">
      <w:pPr>
        <w:pStyle w:val="Bullet1stlevel"/>
        <w:jc w:val="both"/>
      </w:pPr>
      <w:r w:rsidRPr="00630A55">
        <w:t>Teaching, Training and Research (TTR) (CG 4.1, 4.2, 4.3). Tasmania’s approach to TTR is currently calculated using an established local methodology based on identifiable expenditure and a percentage-based approach, with a goal to improve this in future costing periods</w:t>
      </w:r>
      <w:r w:rsidR="00710D0C">
        <w:t>.</w:t>
      </w:r>
    </w:p>
    <w:p w14:paraId="03CB7D9C" w14:textId="1EE20069" w:rsidR="000F2814" w:rsidRPr="00630A55" w:rsidRDefault="00710D0C" w:rsidP="008225C3">
      <w:pPr>
        <w:jc w:val="both"/>
      </w:pPr>
      <w:r>
        <w:t>The j</w:t>
      </w:r>
      <w:r w:rsidR="000F2814" w:rsidRPr="00630A55">
        <w:t xml:space="preserve">urisdiction reported their costing submission was prepared in accordance with the AHPCS version 4.1 for </w:t>
      </w:r>
      <w:r w:rsidR="00595A9F">
        <w:t>FY20/21</w:t>
      </w:r>
      <w:r w:rsidR="000F2814" w:rsidRPr="00630A55">
        <w:t xml:space="preserve">. Based on the methodology outlined above, </w:t>
      </w:r>
      <w:r>
        <w:t>RHH</w:t>
      </w:r>
      <w:r w:rsidR="000F2814" w:rsidRPr="00630A55">
        <w:t xml:space="preserve"> has suitable reconciliation processes in place and the financial and activity data is considered fit for NHCDC submission.</w:t>
      </w:r>
    </w:p>
    <w:p w14:paraId="49D53C41" w14:textId="77777777" w:rsidR="000F2814" w:rsidRPr="00630A55" w:rsidRDefault="000F2814" w:rsidP="008F21F4"/>
    <w:p w14:paraId="3E876E2A" w14:textId="77777777" w:rsidR="000F2814" w:rsidRDefault="000F2814" w:rsidP="003B5B2D">
      <w:pPr>
        <w:pStyle w:val="Heading2"/>
        <w:sectPr w:rsidR="000F2814" w:rsidSect="00146B60">
          <w:pgSz w:w="11906" w:h="16838"/>
          <w:pgMar w:top="1134" w:right="1418" w:bottom="1418" w:left="1418" w:header="709" w:footer="454" w:gutter="0"/>
          <w:cols w:space="708"/>
          <w:docGrid w:linePitch="360"/>
        </w:sectPr>
      </w:pPr>
    </w:p>
    <w:p w14:paraId="596F2B2A" w14:textId="3899DFBC" w:rsidR="003B5B2D" w:rsidRDefault="0048310B" w:rsidP="003B5B2D">
      <w:pPr>
        <w:pStyle w:val="Heading2"/>
      </w:pPr>
      <w:bookmarkStart w:id="48" w:name="_Toc128376726"/>
      <w:r>
        <w:lastRenderedPageBreak/>
        <w:t>N</w:t>
      </w:r>
      <w:r w:rsidR="000F23B5" w:rsidRPr="00A16B1D">
        <w:t>orthern Territory</w:t>
      </w:r>
      <w:bookmarkEnd w:id="48"/>
      <w:r w:rsidR="000F23B5" w:rsidRPr="00A16B1D">
        <w:t xml:space="preserve"> </w:t>
      </w:r>
    </w:p>
    <w:p w14:paraId="35B3DD33" w14:textId="7DA9198C" w:rsidR="000F23B5" w:rsidRDefault="000F23B5" w:rsidP="000F23B5">
      <w:pPr>
        <w:pStyle w:val="Heading3"/>
      </w:pPr>
      <w:r w:rsidRPr="00A16B1D">
        <w:t xml:space="preserve">Jurisdictional summary </w:t>
      </w:r>
    </w:p>
    <w:p w14:paraId="6363ECDB" w14:textId="43525B8C" w:rsidR="0095536F" w:rsidRPr="00630A55" w:rsidRDefault="0095536F" w:rsidP="008A5614">
      <w:pPr>
        <w:pStyle w:val="Heading4"/>
        <w:rPr>
          <w:rFonts w:ascii="Univers 45 Light" w:hAnsi="Univers 45 Light"/>
          <w:color w:val="4FC3FF" w:themeColor="accent2" w:themeTint="99"/>
          <w:szCs w:val="20"/>
        </w:rPr>
      </w:pPr>
      <w:r w:rsidRPr="00630A55">
        <w:t xml:space="preserve">Health </w:t>
      </w:r>
      <w:r w:rsidR="000D6E88">
        <w:t>s</w:t>
      </w:r>
      <w:r w:rsidRPr="00630A55">
        <w:t xml:space="preserve">ervice </w:t>
      </w:r>
      <w:r w:rsidR="000D6E88">
        <w:t>o</w:t>
      </w:r>
      <w:r w:rsidRPr="00630A55">
        <w:t>verv</w:t>
      </w:r>
      <w:r w:rsidRPr="00C4103E">
        <w:t>iew</w:t>
      </w:r>
    </w:p>
    <w:p w14:paraId="0B826C32" w14:textId="29660061" w:rsidR="0095536F" w:rsidRPr="00630A55" w:rsidRDefault="0095536F" w:rsidP="008225C3">
      <w:pPr>
        <w:jc w:val="both"/>
      </w:pPr>
      <w:r w:rsidRPr="00630A55">
        <w:t>In late 2020, the NT Government created one integrated health system known as NT Health (</w:t>
      </w:r>
      <w:r w:rsidR="000E1585">
        <w:t>f</w:t>
      </w:r>
      <w:r w:rsidRPr="00630A55">
        <w:t>ive regions</w:t>
      </w:r>
      <w:r w:rsidR="000E1585">
        <w:t>:</w:t>
      </w:r>
      <w:r w:rsidRPr="00630A55">
        <w:t xml:space="preserve"> Top End, Central, Big Rivers, East Arnhem and Barkley) rather than the previous three entities of the Department of Health (DoH), Top End Health Service (TEHS) and Central Australia Health Service (CAHS). NT Health is responsible for the </w:t>
      </w:r>
      <w:r w:rsidR="00710D0C">
        <w:t>NT’s</w:t>
      </w:r>
      <w:r w:rsidRPr="00630A55">
        <w:t xml:space="preserve"> clinical costing process and leads all aspects of the process in consultation with the health services and is responsible for the preparation and submission of the NT’s NHCDC submission to IHACPA.</w:t>
      </w:r>
    </w:p>
    <w:p w14:paraId="257D7D74" w14:textId="28232113" w:rsidR="0095536F" w:rsidRPr="00630A55" w:rsidRDefault="0095536F" w:rsidP="008225C3">
      <w:pPr>
        <w:jc w:val="both"/>
      </w:pPr>
      <w:r w:rsidRPr="00630A55">
        <w:t xml:space="preserve">In </w:t>
      </w:r>
      <w:r w:rsidR="00595A9F">
        <w:t>FY20/21</w:t>
      </w:r>
      <w:r w:rsidRPr="00630A55">
        <w:t xml:space="preserve"> of the IFR, the A</w:t>
      </w:r>
      <w:r w:rsidR="00CB67A1">
        <w:t xml:space="preserve">lice Springs </w:t>
      </w:r>
      <w:r w:rsidRPr="00630A55">
        <w:t>H</w:t>
      </w:r>
      <w:r w:rsidR="00CB67A1">
        <w:t>ospital (</w:t>
      </w:r>
      <w:r w:rsidRPr="00630A55">
        <w:t>ASH</w:t>
      </w:r>
      <w:r w:rsidR="00CB67A1">
        <w:t>)</w:t>
      </w:r>
      <w:r w:rsidRPr="00630A55">
        <w:t xml:space="preserve"> was selected as the sample site for the review</w:t>
      </w:r>
      <w:r w:rsidR="0018005C">
        <w:t xml:space="preserve">, </w:t>
      </w:r>
      <w:r w:rsidR="0018005C" w:rsidRPr="00630A55">
        <w:t xml:space="preserve">based upon the sampling </w:t>
      </w:r>
      <w:r w:rsidR="003758E1" w:rsidRPr="00630A55">
        <w:t>framework.</w:t>
      </w:r>
      <w:r w:rsidRPr="00630A55">
        <w:t xml:space="preserve"> ASH is the major referral hospital for Central Australia with a catchment population of approximately 42,000 people and an area exceeding </w:t>
      </w:r>
      <w:r w:rsidR="00754FDE">
        <w:t>one</w:t>
      </w:r>
      <w:r w:rsidRPr="00630A55">
        <w:t xml:space="preserve"> million square kilometres, extending into the desert regions of </w:t>
      </w:r>
      <w:r w:rsidR="00710D0C">
        <w:t>SA</w:t>
      </w:r>
      <w:r w:rsidRPr="00630A55">
        <w:t xml:space="preserve"> and </w:t>
      </w:r>
      <w:r w:rsidR="00710D0C">
        <w:t>WA</w:t>
      </w:r>
      <w:r w:rsidRPr="00630A55">
        <w:t xml:space="preserve">. </w:t>
      </w:r>
    </w:p>
    <w:p w14:paraId="5A4282F6" w14:textId="264CD010" w:rsidR="0095536F" w:rsidRPr="00630A55" w:rsidRDefault="0095536F" w:rsidP="008225C3">
      <w:pPr>
        <w:jc w:val="both"/>
      </w:pPr>
      <w:r w:rsidRPr="00630A55">
        <w:t>ASH provides health services across the whole continuum of care and is the major trauma response centre for the region</w:t>
      </w:r>
      <w:r>
        <w:t xml:space="preserve">. </w:t>
      </w:r>
      <w:r w:rsidRPr="00630A55">
        <w:t xml:space="preserve">Medical services are diverse and complex with a prevalence of rheumatic heart disease, </w:t>
      </w:r>
      <w:r w:rsidR="000309CC">
        <w:t xml:space="preserve">diabetes, </w:t>
      </w:r>
      <w:r w:rsidR="00A608E0">
        <w:t xml:space="preserve">sensory conditions, </w:t>
      </w:r>
      <w:r w:rsidRPr="00630A55">
        <w:t>bronchitis, chronic liver and renal disease</w:t>
      </w:r>
      <w:r w:rsidR="00B954EF">
        <w:t>. Eighty-five</w:t>
      </w:r>
      <w:r w:rsidRPr="00630A55">
        <w:t xml:space="preserve"> per cent of patients </w:t>
      </w:r>
      <w:r w:rsidR="00B954EF">
        <w:t>presenting at ASH</w:t>
      </w:r>
      <w:r w:rsidRPr="00630A55">
        <w:t xml:space="preserve"> identify as Indigenous</w:t>
      </w:r>
      <w:r>
        <w:t xml:space="preserve">. </w:t>
      </w:r>
      <w:r w:rsidRPr="00630A55">
        <w:t xml:space="preserve">ASH is the largest hospital in the region; it encompasses approximately 205 overnight beds, </w:t>
      </w:r>
      <w:r w:rsidR="00710D0C">
        <w:t>six</w:t>
      </w:r>
      <w:r w:rsidRPr="00630A55">
        <w:t xml:space="preserve"> operating theatres and 22</w:t>
      </w:r>
      <w:r w:rsidR="00710D0C">
        <w:t> </w:t>
      </w:r>
      <w:r w:rsidRPr="00630A55">
        <w:t>same day procedure chairs/beds</w:t>
      </w:r>
      <w:r>
        <w:t xml:space="preserve">. </w:t>
      </w:r>
      <w:r w:rsidRPr="00630A55">
        <w:t>ASH provides regular visiting specialist medical services to Tennant Creek Hospital and a range of non-admitted specialist outreach services to remote and Indigenous communities</w:t>
      </w:r>
      <w:r w:rsidR="00EB732A">
        <w:t xml:space="preserve">, seeking to </w:t>
      </w:r>
      <w:r w:rsidR="009A6AD2">
        <w:t xml:space="preserve">provide culturally appropriate services to these cohorts. </w:t>
      </w:r>
    </w:p>
    <w:p w14:paraId="44A6FD92" w14:textId="3C0A1856" w:rsidR="0095536F" w:rsidRPr="00630A55" w:rsidRDefault="0095536F" w:rsidP="008A5614">
      <w:pPr>
        <w:pStyle w:val="Heading4"/>
        <w:rPr>
          <w:rFonts w:ascii="Univers 45 Light" w:hAnsi="Univers 45 Light"/>
          <w:color w:val="4FC3FF" w:themeColor="accent2" w:themeTint="99"/>
          <w:szCs w:val="20"/>
        </w:rPr>
      </w:pPr>
      <w:r w:rsidRPr="00630A55">
        <w:t xml:space="preserve">Costing </w:t>
      </w:r>
      <w:r w:rsidR="002C282A">
        <w:t>o</w:t>
      </w:r>
      <w:r w:rsidRPr="00630A55">
        <w:t>verview</w:t>
      </w:r>
    </w:p>
    <w:p w14:paraId="555A9A96" w14:textId="171E2D65" w:rsidR="0095536F" w:rsidRPr="00630A55" w:rsidRDefault="0095536F" w:rsidP="008225C3">
      <w:pPr>
        <w:jc w:val="both"/>
      </w:pPr>
      <w:r w:rsidRPr="00630A55">
        <w:t>With the creation of the one integrated health system (NT Health)</w:t>
      </w:r>
      <w:r w:rsidR="00710D0C">
        <w:t>,</w:t>
      </w:r>
      <w:r w:rsidRPr="00630A55">
        <w:t xml:space="preserve"> the clinical costing unit was relocated onsite at Royal Darwin Hospital and </w:t>
      </w:r>
      <w:r w:rsidR="007A4A59">
        <w:t>ASH</w:t>
      </w:r>
      <w:r w:rsidRPr="00630A55">
        <w:t xml:space="preserve"> to enhance clinical and operational engagement and </w:t>
      </w:r>
      <w:r w:rsidR="00B76140">
        <w:t xml:space="preserve">improve </w:t>
      </w:r>
      <w:r w:rsidRPr="00630A55">
        <w:t xml:space="preserve">participation in the costing process. NT Health lost a </w:t>
      </w:r>
      <w:r w:rsidR="00710D0C">
        <w:t>considerable amount</w:t>
      </w:r>
      <w:r w:rsidR="00710D0C" w:rsidRPr="00630A55">
        <w:t xml:space="preserve"> </w:t>
      </w:r>
      <w:r w:rsidRPr="00630A55">
        <w:t xml:space="preserve">of corporate knowledge between </w:t>
      </w:r>
      <w:r w:rsidR="00595A9F">
        <w:t>FY19/20</w:t>
      </w:r>
      <w:r w:rsidRPr="00630A55">
        <w:t xml:space="preserve"> and </w:t>
      </w:r>
      <w:r w:rsidR="00595A9F">
        <w:t>FY20/21</w:t>
      </w:r>
      <w:r w:rsidRPr="00630A55">
        <w:t xml:space="preserve">. They advised they are currently in a rebuilding stage and investing heavily to grow internal knowledge and capacity within the clinical costing function. </w:t>
      </w:r>
    </w:p>
    <w:p w14:paraId="0FE95073" w14:textId="7944AB10" w:rsidR="0095536F" w:rsidRPr="00630A55" w:rsidRDefault="0095536F" w:rsidP="008225C3">
      <w:pPr>
        <w:jc w:val="both"/>
      </w:pPr>
      <w:r w:rsidRPr="00630A55">
        <w:t>As per previous rounds</w:t>
      </w:r>
      <w:r w:rsidR="00710D0C">
        <w:t>,</w:t>
      </w:r>
      <w:r w:rsidRPr="00630A55">
        <w:t xml:space="preserve"> NT Health continue to maintain a relationship with costing software provider PowerHealth, particularly with system and technical guidance</w:t>
      </w:r>
      <w:r w:rsidR="00710D0C">
        <w:t>. A</w:t>
      </w:r>
      <w:r w:rsidRPr="00630A55">
        <w:t>s a result</w:t>
      </w:r>
      <w:r w:rsidR="00710D0C">
        <w:t>,</w:t>
      </w:r>
      <w:r w:rsidRPr="00630A55">
        <w:t xml:space="preserve"> the NT costing study is still a collaborative effort between NT costing, PowerHealth and the hospital stakeholders.</w:t>
      </w:r>
    </w:p>
    <w:p w14:paraId="04C00B18" w14:textId="3D25DBE5" w:rsidR="0095536F" w:rsidRPr="00630A55" w:rsidRDefault="0095536F" w:rsidP="008225C3">
      <w:pPr>
        <w:jc w:val="both"/>
      </w:pPr>
      <w:r w:rsidRPr="00630A55">
        <w:t>In the past</w:t>
      </w:r>
      <w:r w:rsidR="00710D0C">
        <w:t>,</w:t>
      </w:r>
      <w:r w:rsidRPr="00630A55">
        <w:t xml:space="preserve"> NT Health would upload all data to PowerHealth who would the conduct the matching of cost and activity. NT Health have brought this task in-house, </w:t>
      </w:r>
      <w:r w:rsidR="002C282A">
        <w:t xml:space="preserve">with </w:t>
      </w:r>
      <w:r w:rsidRPr="00630A55">
        <w:t xml:space="preserve">a virtual costing server and database </w:t>
      </w:r>
      <w:r w:rsidR="002C282A">
        <w:t xml:space="preserve">now </w:t>
      </w:r>
      <w:r w:rsidRPr="00630A55">
        <w:t>hav</w:t>
      </w:r>
      <w:r w:rsidR="002C282A">
        <w:t>ing</w:t>
      </w:r>
      <w:r w:rsidRPr="00630A55">
        <w:t xml:space="preserve"> been set</w:t>
      </w:r>
      <w:r w:rsidR="00710D0C">
        <w:t xml:space="preserve"> </w:t>
      </w:r>
      <w:r w:rsidRPr="00630A55">
        <w:t>up to improve matching and linking at an encounter level, while sharing the various outputs back to stakeholders for validation prior to any final use of the various datasets This has been an important change to the costing process and has allowed for data improvements</w:t>
      </w:r>
      <w:r w:rsidR="00710D0C">
        <w:t>,</w:t>
      </w:r>
      <w:r w:rsidRPr="00630A55">
        <w:t xml:space="preserve"> i.e. data that more closely reflects service provision</w:t>
      </w:r>
      <w:r w:rsidR="000D0CD5">
        <w:t xml:space="preserve"> and improved quality checks</w:t>
      </w:r>
      <w:r w:rsidRPr="00630A55">
        <w:t>.</w:t>
      </w:r>
    </w:p>
    <w:p w14:paraId="15FB4EA3" w14:textId="54CCC428" w:rsidR="0095536F" w:rsidRPr="00630A55" w:rsidRDefault="0095536F" w:rsidP="008A5614">
      <w:pPr>
        <w:pStyle w:val="Heading4"/>
        <w:rPr>
          <w:rFonts w:ascii="Univers 45 Light" w:hAnsi="Univers 45 Light"/>
          <w:color w:val="4FC3FF" w:themeColor="accent2" w:themeTint="99"/>
          <w:szCs w:val="20"/>
        </w:rPr>
      </w:pPr>
      <w:r w:rsidRPr="00630A55">
        <w:t xml:space="preserve">Systems </w:t>
      </w:r>
      <w:r w:rsidR="002C282A">
        <w:t>e</w:t>
      </w:r>
      <w:r w:rsidRPr="00630A55">
        <w:t>nvironment</w:t>
      </w:r>
    </w:p>
    <w:p w14:paraId="65047FE8" w14:textId="70A9ED6E" w:rsidR="0095536F" w:rsidRPr="00630A55" w:rsidRDefault="0095536F" w:rsidP="008225C3">
      <w:pPr>
        <w:jc w:val="both"/>
      </w:pPr>
      <w:r w:rsidRPr="00630A55">
        <w:t>NT Health and the ABF hospitals use the Power Performance Manager (PPM) patient costing software for clinical costing. Across NT Health</w:t>
      </w:r>
      <w:r w:rsidR="00710D0C">
        <w:t>,</w:t>
      </w:r>
      <w:r w:rsidRPr="00630A55">
        <w:t xml:space="preserve"> there is an enterprise-wide data warehouse where hospitals submit ABF activity centrally </w:t>
      </w:r>
      <w:r w:rsidR="001D4ACD">
        <w:t>that</w:t>
      </w:r>
      <w:r w:rsidR="00710D0C">
        <w:t>,</w:t>
      </w:r>
      <w:r w:rsidRPr="00630A55">
        <w:t xml:space="preserve"> in turn</w:t>
      </w:r>
      <w:r w:rsidR="00710D0C">
        <w:t>,</w:t>
      </w:r>
      <w:r w:rsidRPr="00630A55">
        <w:t xml:space="preserve"> </w:t>
      </w:r>
      <w:r w:rsidR="001D4ACD">
        <w:t>is</w:t>
      </w:r>
      <w:r w:rsidRPr="00630A55">
        <w:t xml:space="preserve"> submitted through to IHACPA</w:t>
      </w:r>
      <w:r w:rsidR="00710D0C">
        <w:t>. T</w:t>
      </w:r>
      <w:r w:rsidRPr="00630A55">
        <w:t xml:space="preserve">hat data is then available for </w:t>
      </w:r>
      <w:r w:rsidR="00BE3A6E">
        <w:t xml:space="preserve">the </w:t>
      </w:r>
      <w:r w:rsidRPr="00630A55">
        <w:t xml:space="preserve">finance and the clinical </w:t>
      </w:r>
      <w:r w:rsidR="00BE3A6E">
        <w:t>c</w:t>
      </w:r>
      <w:r w:rsidRPr="00630A55">
        <w:t xml:space="preserve">osting team to access via the data </w:t>
      </w:r>
      <w:r w:rsidRPr="00630A55">
        <w:lastRenderedPageBreak/>
        <w:t>warehouse</w:t>
      </w:r>
      <w:r w:rsidR="00BE3A6E">
        <w:t>, eliminating the</w:t>
      </w:r>
      <w:r w:rsidRPr="00630A55">
        <w:t xml:space="preserve"> need to re-extract or ask hospitals again for that data at an episode or encounter level. </w:t>
      </w:r>
    </w:p>
    <w:p w14:paraId="78ABC610" w14:textId="5D4C3D3F" w:rsidR="0095536F" w:rsidRPr="00630A55" w:rsidRDefault="0095536F" w:rsidP="008225C3">
      <w:pPr>
        <w:jc w:val="both"/>
      </w:pPr>
      <w:r w:rsidRPr="00630A55">
        <w:t>Various feeder systems are utilised throughout the process</w:t>
      </w:r>
      <w:r w:rsidR="00710D0C">
        <w:t>. I</w:t>
      </w:r>
      <w:r w:rsidRPr="00630A55">
        <w:t>n most instances</w:t>
      </w:r>
      <w:r w:rsidR="00710D0C">
        <w:t>,</w:t>
      </w:r>
      <w:r w:rsidRPr="00630A55">
        <w:t xml:space="preserve"> data is extracted directly from clinical systems in the hospital and validated with stakeholders from the specific areas. PowerHealth have a secure webfile platform that is used to transfer costing files. As described previously</w:t>
      </w:r>
      <w:r w:rsidR="00710D0C">
        <w:t>,</w:t>
      </w:r>
      <w:r w:rsidRPr="00630A55">
        <w:t xml:space="preserve"> NT Health have a virtual costing server and database in which the </w:t>
      </w:r>
      <w:r w:rsidR="00655064">
        <w:t>c</w:t>
      </w:r>
      <w:r w:rsidR="007138D9">
        <w:t>o</w:t>
      </w:r>
      <w:r w:rsidRPr="00630A55">
        <w:t>sting team match and link data prior to sending to PowerHealth</w:t>
      </w:r>
      <w:r w:rsidR="00710D0C">
        <w:t>. F</w:t>
      </w:r>
      <w:r w:rsidRPr="00630A55">
        <w:t xml:space="preserve">or </w:t>
      </w:r>
      <w:r w:rsidR="00595A9F">
        <w:t>FY20/21</w:t>
      </w:r>
      <w:r w:rsidR="00710D0C">
        <w:t>,</w:t>
      </w:r>
      <w:r w:rsidRPr="00630A55">
        <w:t xml:space="preserve"> the episode number that this service links to was also provided for stronger matching. </w:t>
      </w:r>
    </w:p>
    <w:p w14:paraId="70DA4B65" w14:textId="77777777" w:rsidR="0095536F" w:rsidRPr="00630A55" w:rsidRDefault="0095536F" w:rsidP="008225C3">
      <w:pPr>
        <w:pStyle w:val="Heading5"/>
        <w:jc w:val="both"/>
        <w:rPr>
          <w:rFonts w:ascii="Univers 45 Light" w:eastAsiaTheme="majorEastAsia" w:hAnsi="Univers 45 Light" w:cstheme="majorBidi"/>
          <w:b w:val="0"/>
          <w:color w:val="4FC3FF" w:themeColor="accent2" w:themeTint="99"/>
          <w:sz w:val="24"/>
          <w:szCs w:val="20"/>
        </w:rPr>
      </w:pPr>
      <w:r w:rsidRPr="00630A55">
        <w:t>Improvements</w:t>
      </w:r>
    </w:p>
    <w:p w14:paraId="018B5E00" w14:textId="4DE33B16" w:rsidR="0095536F" w:rsidRPr="00630A55" w:rsidRDefault="0095536F" w:rsidP="008225C3">
      <w:pPr>
        <w:jc w:val="both"/>
      </w:pPr>
      <w:r w:rsidRPr="00630A55">
        <w:t xml:space="preserve">NT Health has now implemented </w:t>
      </w:r>
      <w:r w:rsidR="00710D0C">
        <w:t>bi-annual</w:t>
      </w:r>
      <w:r w:rsidRPr="00630A55">
        <w:t xml:space="preserve"> costing across all NT hospitals to facilitate participation in the Health </w:t>
      </w:r>
      <w:r>
        <w:t>Round</w:t>
      </w:r>
      <w:r w:rsidR="005C759B">
        <w:t> </w:t>
      </w:r>
      <w:r w:rsidR="00655064">
        <w:t>T</w:t>
      </w:r>
      <w:r w:rsidRPr="00630A55">
        <w:t>able and more timely clinical costing. Similarly, with the development of in</w:t>
      </w:r>
      <w:r w:rsidR="00710D0C">
        <w:t>-</w:t>
      </w:r>
      <w:r w:rsidRPr="00630A55">
        <w:t xml:space="preserve">house capabilities and control of source data, the ability to make continuous improvements in data matching with regular extraction and validation of feeder data is evident. NT realised the following costing improvements for </w:t>
      </w:r>
      <w:r w:rsidR="00595A9F">
        <w:t>FY20/21</w:t>
      </w:r>
      <w:r w:rsidRPr="00630A55">
        <w:t>:</w:t>
      </w:r>
    </w:p>
    <w:p w14:paraId="5AA1E6A9" w14:textId="5C4DDCE5" w:rsidR="0095536F" w:rsidRPr="00630A55" w:rsidRDefault="00C94BFF" w:rsidP="008225C3">
      <w:pPr>
        <w:pStyle w:val="Bullet1stlevel"/>
        <w:jc w:val="both"/>
      </w:pPr>
      <w:r>
        <w:t>R</w:t>
      </w:r>
      <w:r w:rsidR="0095536F" w:rsidRPr="00630A55">
        <w:t>efined the activity and cost structure of non-admitted specialist outreach services provided to remote communities</w:t>
      </w:r>
    </w:p>
    <w:p w14:paraId="101AD83C" w14:textId="25600FEE" w:rsidR="0095536F" w:rsidRPr="00630A55" w:rsidRDefault="00C94BFF" w:rsidP="008225C3">
      <w:pPr>
        <w:pStyle w:val="Bullet1stlevel"/>
        <w:jc w:val="both"/>
      </w:pPr>
      <w:r>
        <w:t>C</w:t>
      </w:r>
      <w:r w:rsidR="0095536F" w:rsidRPr="00630A55">
        <w:t>osting for operating theatres was improved by using the actual clinicians present in theatre to allocate costs via a new feeder file as well as separating recovery time and cost from theatre to allow for more precise costing</w:t>
      </w:r>
    </w:p>
    <w:p w14:paraId="70E637E2" w14:textId="5730A8F6" w:rsidR="0095536F" w:rsidRPr="00630A55" w:rsidRDefault="00C94BFF" w:rsidP="008225C3">
      <w:pPr>
        <w:pStyle w:val="Bullet1stlevel"/>
        <w:jc w:val="both"/>
      </w:pPr>
      <w:r>
        <w:t>A</w:t>
      </w:r>
      <w:r w:rsidR="0095536F" w:rsidRPr="00630A55">
        <w:t>llocation of high cost compounded antineoplastic drugs to episodes of chemotherapy and oncology treatment at three major hospitals in the NT</w:t>
      </w:r>
      <w:r w:rsidR="00710D0C">
        <w:t>; t</w:t>
      </w:r>
      <w:r w:rsidR="0095536F" w:rsidRPr="00630A55">
        <w:t>hese costs were not identified previously due to system limitations</w:t>
      </w:r>
    </w:p>
    <w:p w14:paraId="4AFABAE2" w14:textId="0074310C" w:rsidR="0095536F" w:rsidRPr="00630A55" w:rsidRDefault="00C94BFF" w:rsidP="008225C3">
      <w:pPr>
        <w:pStyle w:val="Bullet1stlevel"/>
        <w:jc w:val="both"/>
      </w:pPr>
      <w:r>
        <w:t>E</w:t>
      </w:r>
      <w:r w:rsidR="0095536F" w:rsidRPr="00630A55">
        <w:t>nhanced identification and categorisation of emergency aero-medical retrieval costs to ensure appropriate in-scope costs are now captured, particularly as these costs are significant for the NT.</w:t>
      </w:r>
    </w:p>
    <w:p w14:paraId="0FE04B98" w14:textId="2BEE2816" w:rsidR="0095536F" w:rsidRPr="00630A55" w:rsidRDefault="0095536F" w:rsidP="00AE7FAA">
      <w:pPr>
        <w:pStyle w:val="Heading3"/>
        <w:rPr>
          <w:rFonts w:ascii="Univers 45 Light" w:hAnsi="Univers 45 Light"/>
          <w:b w:val="0"/>
          <w:color w:val="4FC3FF" w:themeColor="accent2" w:themeTint="99"/>
          <w:szCs w:val="20"/>
        </w:rPr>
      </w:pPr>
      <w:r w:rsidRPr="00630A55">
        <w:t xml:space="preserve">Data flow and </w:t>
      </w:r>
      <w:r w:rsidR="00F175C8">
        <w:t>r</w:t>
      </w:r>
      <w:r w:rsidRPr="00630A55">
        <w:t>econciliation</w:t>
      </w:r>
    </w:p>
    <w:p w14:paraId="2AC0B161" w14:textId="77777777" w:rsidR="0095536F" w:rsidRPr="00630A55" w:rsidRDefault="0095536F" w:rsidP="008A5614">
      <w:pPr>
        <w:pStyle w:val="Heading5"/>
        <w:rPr>
          <w:rFonts w:ascii="Univers 45 Light" w:hAnsi="Univers 45 Light"/>
          <w:b w:val="0"/>
          <w:bCs/>
        </w:rPr>
      </w:pPr>
      <w:r w:rsidRPr="00630A55">
        <w:t>Alice Springs Hospital</w:t>
      </w:r>
    </w:p>
    <w:p w14:paraId="3D61A1B1" w14:textId="33E34B4B" w:rsidR="0095536F" w:rsidRPr="00630A55" w:rsidRDefault="0095536F" w:rsidP="008225C3">
      <w:pPr>
        <w:jc w:val="both"/>
      </w:pPr>
      <w:r w:rsidRPr="00630A55">
        <w:t xml:space="preserve">The total NT Health GL was </w:t>
      </w:r>
      <w:r w:rsidRPr="00630A55">
        <w:rPr>
          <w:rFonts w:eastAsia="Times New Roman" w:cs="Calibri"/>
          <w:lang w:eastAsia="en-AU"/>
        </w:rPr>
        <w:t xml:space="preserve">$1,755,222,683 </w:t>
      </w:r>
      <w:r w:rsidRPr="00630A55">
        <w:t xml:space="preserve">as per the Audited Financial Statements, adjustments relating to third party long service leave and revenue were applied to arrive at an amount of </w:t>
      </w:r>
      <w:r w:rsidRPr="00630A55">
        <w:rPr>
          <w:rFonts w:eastAsia="Times New Roman" w:cs="Calibri"/>
          <w:lang w:eastAsia="en-AU"/>
        </w:rPr>
        <w:t xml:space="preserve">$1,753,858,468 </w:t>
      </w:r>
      <w:r w:rsidRPr="00630A55">
        <w:t xml:space="preserve">and transferred to the costing system for </w:t>
      </w:r>
      <w:r w:rsidR="00595A9F">
        <w:t>FY20/21</w:t>
      </w:r>
      <w:r w:rsidRPr="00630A55">
        <w:t xml:space="preserve">. The IFR template was completed at the NT Health level and the </w:t>
      </w:r>
      <w:r w:rsidR="00710D0C">
        <w:t>h</w:t>
      </w:r>
      <w:r w:rsidRPr="00630A55">
        <w:t xml:space="preserve">ospital level, however source data loaded into PPM was provided at the </w:t>
      </w:r>
      <w:r w:rsidR="00710D0C">
        <w:t>j</w:t>
      </w:r>
      <w:r w:rsidRPr="00630A55">
        <w:t xml:space="preserve">urisdiction level and information for </w:t>
      </w:r>
      <w:r w:rsidR="00710D0C">
        <w:t>ASH</w:t>
      </w:r>
      <w:r w:rsidRPr="00630A55">
        <w:t xml:space="preserve"> was derived </w:t>
      </w:r>
      <w:r w:rsidR="00710D0C">
        <w:t xml:space="preserve">as indicated </w:t>
      </w:r>
      <w:r w:rsidRPr="00630A55">
        <w:t>below.</w:t>
      </w:r>
    </w:p>
    <w:p w14:paraId="6584D9C4" w14:textId="616CC6AD" w:rsidR="0095536F" w:rsidRPr="00630A55" w:rsidRDefault="0095536F" w:rsidP="008225C3">
      <w:pPr>
        <w:jc w:val="both"/>
      </w:pPr>
      <w:r w:rsidRPr="00630A55">
        <w:t xml:space="preserve">The ASH component of the GL costs loaded into the costing system was $308,363,894. The various adjustments </w:t>
      </w:r>
      <w:r w:rsidR="005234C9">
        <w:t xml:space="preserve">consisted </w:t>
      </w:r>
      <w:r w:rsidRPr="00630A55">
        <w:t>primarily of excluded costs relating to non-NHCDC costs allocated to virtual patients, aged care, mental health and primary health care activity relating to ASH totalled $4,958,767.</w:t>
      </w:r>
    </w:p>
    <w:p w14:paraId="46D5617C" w14:textId="4E05A193" w:rsidR="0047610F" w:rsidRDefault="0095536F" w:rsidP="008225C3">
      <w:pPr>
        <w:jc w:val="both"/>
      </w:pPr>
      <w:r w:rsidRPr="00630A55">
        <w:t xml:space="preserve">The total costs submitted to the jurisdiction for ASH as per the line items (per IHACPA standards) was $303,405,127. There were no further adjustments made at the jurisdictional level on this amount such that these were submitted as the total costs to IHACPA. For further details on the costs and activity submitted for ASH </w:t>
      </w:r>
      <w:r w:rsidR="00710D0C">
        <w:t xml:space="preserve">see </w:t>
      </w:r>
      <w:r w:rsidR="00BE2164">
        <w:fldChar w:fldCharType="begin"/>
      </w:r>
      <w:r w:rsidR="00BE2164">
        <w:instrText xml:space="preserve"> REF _Ref114758131 \h </w:instrText>
      </w:r>
      <w:r w:rsidR="008225C3">
        <w:instrText xml:space="preserve"> \* MERGEFORMAT </w:instrText>
      </w:r>
      <w:r w:rsidR="00BE2164">
        <w:fldChar w:fldCharType="separate"/>
      </w:r>
      <w:r w:rsidR="007E2ACB" w:rsidRPr="007E2ACB">
        <w:t xml:space="preserve">Table </w:t>
      </w:r>
      <w:r w:rsidR="007E2ACB" w:rsidRPr="007E2ACB">
        <w:rPr>
          <w:noProof/>
        </w:rPr>
        <w:t>13</w:t>
      </w:r>
      <w:r w:rsidR="00BE2164">
        <w:fldChar w:fldCharType="end"/>
      </w:r>
      <w:r w:rsidR="00BE2164">
        <w:t xml:space="preserve">. </w:t>
      </w:r>
    </w:p>
    <w:p w14:paraId="1EFA2DA0" w14:textId="77777777" w:rsidR="0047610F" w:rsidRDefault="0047610F">
      <w:pPr>
        <w:spacing w:before="0" w:after="160" w:line="259" w:lineRule="auto"/>
      </w:pPr>
      <w:r>
        <w:br w:type="page"/>
      </w:r>
    </w:p>
    <w:p w14:paraId="71E5250F" w14:textId="0BFED63E" w:rsidR="0095536F" w:rsidRPr="00630A55" w:rsidRDefault="00AD608F" w:rsidP="00AD608F">
      <w:pPr>
        <w:pStyle w:val="Caption"/>
      </w:pPr>
      <w:bookmarkStart w:id="49" w:name="_Ref114758131"/>
      <w:r w:rsidRPr="00017473">
        <w:rPr>
          <w:b/>
          <w:bCs/>
        </w:rPr>
        <w:lastRenderedPageBreak/>
        <w:t xml:space="preserve">Table </w:t>
      </w:r>
      <w:r w:rsidR="00D91CB1" w:rsidRPr="00017473">
        <w:rPr>
          <w:b/>
          <w:bCs/>
        </w:rPr>
        <w:fldChar w:fldCharType="begin"/>
      </w:r>
      <w:r w:rsidR="00D91CB1" w:rsidRPr="00017473">
        <w:rPr>
          <w:b/>
          <w:bCs/>
        </w:rPr>
        <w:instrText xml:space="preserve"> SEQ Table \* ARABIC </w:instrText>
      </w:r>
      <w:r w:rsidR="00D91CB1" w:rsidRPr="00017473">
        <w:rPr>
          <w:b/>
          <w:bCs/>
        </w:rPr>
        <w:fldChar w:fldCharType="separate"/>
      </w:r>
      <w:r w:rsidR="007E2ACB">
        <w:rPr>
          <w:b/>
          <w:bCs/>
          <w:noProof/>
        </w:rPr>
        <w:t>13</w:t>
      </w:r>
      <w:r w:rsidR="00D91CB1" w:rsidRPr="00017473">
        <w:rPr>
          <w:b/>
          <w:bCs/>
          <w:noProof/>
        </w:rPr>
        <w:fldChar w:fldCharType="end"/>
      </w:r>
      <w:bookmarkEnd w:id="49"/>
      <w:r w:rsidRPr="00017473">
        <w:rPr>
          <w:b/>
          <w:bCs/>
        </w:rPr>
        <w:t>:</w:t>
      </w:r>
      <w:r>
        <w:t xml:space="preserve"> </w:t>
      </w:r>
      <w:r w:rsidR="0095536F" w:rsidRPr="00630A55">
        <w:t xml:space="preserve">Reconciliation from General Ledger to NHCDC Costed Products – Northern Territory Health </w:t>
      </w:r>
    </w:p>
    <w:tbl>
      <w:tblPr>
        <w:tblW w:w="9477" w:type="dxa"/>
        <w:tblBorders>
          <w:top w:val="single" w:sz="12" w:space="0" w:color="auto"/>
          <w:left w:val="single" w:sz="12" w:space="0" w:color="auto"/>
          <w:bottom w:val="single" w:sz="12" w:space="0" w:color="auto"/>
          <w:right w:val="single" w:sz="12" w:space="0" w:color="auto"/>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81"/>
        <w:gridCol w:w="6606"/>
        <w:gridCol w:w="2590"/>
      </w:tblGrid>
      <w:tr w:rsidR="0095536F" w:rsidRPr="00630A55" w14:paraId="24443C7E" w14:textId="77777777" w:rsidTr="009C41D0">
        <w:trPr>
          <w:trHeight w:val="258"/>
          <w:tblHeader/>
        </w:trPr>
        <w:tc>
          <w:tcPr>
            <w:tcW w:w="6887" w:type="dxa"/>
            <w:gridSpan w:val="2"/>
            <w:tcBorders>
              <w:top w:val="single" w:sz="4" w:space="0" w:color="auto"/>
              <w:left w:val="single" w:sz="4" w:space="0" w:color="auto"/>
              <w:bottom w:val="single" w:sz="12" w:space="0" w:color="auto"/>
              <w:right w:val="single" w:sz="4" w:space="0" w:color="auto"/>
            </w:tcBorders>
            <w:shd w:val="clear" w:color="000000" w:fill="00338D"/>
            <w:noWrap/>
            <w:vAlign w:val="center"/>
            <w:hideMark/>
          </w:tcPr>
          <w:p w14:paraId="7ECB942D" w14:textId="238E10C6" w:rsidR="0095536F" w:rsidRPr="00630A55" w:rsidRDefault="0095536F" w:rsidP="008A5614">
            <w:pPr>
              <w:pStyle w:val="Tableheading"/>
              <w:rPr>
                <w:lang w:eastAsia="en-AU"/>
              </w:rPr>
            </w:pPr>
            <w:r w:rsidRPr="00630A55">
              <w:rPr>
                <w:lang w:eastAsia="en-AU"/>
              </w:rPr>
              <w:t xml:space="preserve">NT Health level </w:t>
            </w:r>
            <w:r w:rsidR="00774493">
              <w:rPr>
                <w:lang w:eastAsia="en-AU"/>
              </w:rPr>
              <w:t>d</w:t>
            </w:r>
            <w:r w:rsidRPr="00630A55">
              <w:rPr>
                <w:lang w:eastAsia="en-AU"/>
              </w:rPr>
              <w:t>ata</w:t>
            </w:r>
          </w:p>
        </w:tc>
        <w:tc>
          <w:tcPr>
            <w:tcW w:w="2590" w:type="dxa"/>
            <w:tcBorders>
              <w:top w:val="single" w:sz="4" w:space="0" w:color="auto"/>
              <w:left w:val="single" w:sz="4" w:space="0" w:color="auto"/>
              <w:bottom w:val="single" w:sz="12" w:space="0" w:color="auto"/>
              <w:right w:val="single" w:sz="4" w:space="0" w:color="auto"/>
            </w:tcBorders>
            <w:shd w:val="clear" w:color="000000" w:fill="00338D"/>
            <w:noWrap/>
            <w:vAlign w:val="center"/>
            <w:hideMark/>
          </w:tcPr>
          <w:p w14:paraId="6300798F" w14:textId="673C7A87" w:rsidR="0095536F" w:rsidRPr="00630A55" w:rsidRDefault="0095536F" w:rsidP="008A5614">
            <w:pPr>
              <w:pStyle w:val="Tableheading"/>
              <w:rPr>
                <w:color w:val="FFFFFF"/>
                <w:lang w:eastAsia="en-AU"/>
              </w:rPr>
            </w:pPr>
            <w:r w:rsidRPr="00630A55">
              <w:rPr>
                <w:lang w:eastAsia="en-AU"/>
              </w:rPr>
              <w:t> </w:t>
            </w:r>
            <w:r w:rsidR="0048310B">
              <w:rPr>
                <w:lang w:eastAsia="en-AU"/>
              </w:rPr>
              <w:t>Value</w:t>
            </w:r>
          </w:p>
        </w:tc>
      </w:tr>
      <w:tr w:rsidR="0095536F" w:rsidRPr="00630A55" w14:paraId="604CFABC" w14:textId="77777777" w:rsidTr="009C41D0">
        <w:trPr>
          <w:trHeight w:val="248"/>
        </w:trPr>
        <w:tc>
          <w:tcPr>
            <w:tcW w:w="6887" w:type="dxa"/>
            <w:gridSpan w:val="2"/>
            <w:tcBorders>
              <w:top w:val="single" w:sz="12" w:space="0" w:color="auto"/>
              <w:left w:val="single" w:sz="4" w:space="0" w:color="auto"/>
              <w:right w:val="single" w:sz="4" w:space="0" w:color="auto"/>
            </w:tcBorders>
            <w:shd w:val="clear" w:color="auto" w:fill="808080"/>
            <w:noWrap/>
            <w:vAlign w:val="center"/>
            <w:hideMark/>
          </w:tcPr>
          <w:p w14:paraId="68D16392" w14:textId="77777777" w:rsidR="0095536F" w:rsidRPr="0048310B" w:rsidRDefault="0095536F" w:rsidP="008A5614">
            <w:pPr>
              <w:pStyle w:val="Tableheading"/>
              <w:rPr>
                <w:rFonts w:ascii="Arial" w:hAnsi="Arial" w:cs="Arial"/>
                <w:b w:val="0"/>
                <w:bCs/>
                <w:color w:val="000000"/>
                <w:lang w:eastAsia="en-AU"/>
              </w:rPr>
            </w:pPr>
            <w:r w:rsidRPr="0048310B">
              <w:rPr>
                <w:rFonts w:ascii="Arial" w:hAnsi="Arial" w:cs="Arial"/>
                <w:b w:val="0"/>
                <w:bCs/>
                <w:color w:val="000000" w:themeColor="text1"/>
                <w:lang w:eastAsia="en-AU"/>
              </w:rPr>
              <w:t>NT Heal</w:t>
            </w:r>
            <w:r w:rsidRPr="0048310B">
              <w:rPr>
                <w:rFonts w:ascii="Arial" w:eastAsia="Times New Roman" w:hAnsi="Arial" w:cs="Arial"/>
                <w:b w:val="0"/>
                <w:bCs/>
                <w:color w:val="000000" w:themeColor="text1"/>
                <w:lang w:eastAsia="en-AU"/>
              </w:rPr>
              <w:t>th General Ledger</w:t>
            </w:r>
          </w:p>
        </w:tc>
        <w:tc>
          <w:tcPr>
            <w:tcW w:w="2590" w:type="dxa"/>
            <w:tcBorders>
              <w:top w:val="single" w:sz="12" w:space="0" w:color="auto"/>
              <w:left w:val="single" w:sz="4" w:space="0" w:color="auto"/>
              <w:right w:val="single" w:sz="4" w:space="0" w:color="auto"/>
            </w:tcBorders>
            <w:shd w:val="clear" w:color="auto" w:fill="808080"/>
            <w:noWrap/>
            <w:vAlign w:val="center"/>
            <w:hideMark/>
          </w:tcPr>
          <w:p w14:paraId="43E5C1EA" w14:textId="5AF9EAE5" w:rsidR="0095536F" w:rsidRPr="00630A55" w:rsidRDefault="0095536F" w:rsidP="008A5614">
            <w:pPr>
              <w:pStyle w:val="Tableheading"/>
              <w:rPr>
                <w:color w:val="000000"/>
                <w:lang w:eastAsia="en-AU"/>
              </w:rPr>
            </w:pPr>
          </w:p>
        </w:tc>
      </w:tr>
      <w:tr w:rsidR="0095536F" w:rsidRPr="00630A55" w14:paraId="4880175B" w14:textId="77777777" w:rsidTr="009C41D0">
        <w:trPr>
          <w:trHeight w:val="258"/>
        </w:trPr>
        <w:tc>
          <w:tcPr>
            <w:tcW w:w="6887" w:type="dxa"/>
            <w:gridSpan w:val="2"/>
            <w:tcBorders>
              <w:left w:val="single" w:sz="4" w:space="0" w:color="auto"/>
              <w:right w:val="single" w:sz="4" w:space="0" w:color="auto"/>
            </w:tcBorders>
            <w:shd w:val="clear" w:color="000000" w:fill="FFFFFF"/>
            <w:noWrap/>
            <w:vAlign w:val="center"/>
            <w:hideMark/>
          </w:tcPr>
          <w:p w14:paraId="043BD824" w14:textId="14899A12" w:rsidR="0095536F" w:rsidRPr="00630A55" w:rsidRDefault="0095536F" w:rsidP="008A5614">
            <w:pPr>
              <w:pStyle w:val="Tabletext"/>
              <w:rPr>
                <w:color w:val="000000"/>
                <w:lang w:eastAsia="en-AU"/>
              </w:rPr>
            </w:pPr>
            <w:r w:rsidRPr="00630A55">
              <w:rPr>
                <w:lang w:eastAsia="en-AU"/>
              </w:rPr>
              <w:t xml:space="preserve">Transferred to </w:t>
            </w:r>
            <w:r w:rsidR="004247C0">
              <w:rPr>
                <w:lang w:eastAsia="en-AU"/>
              </w:rPr>
              <w:t>c</w:t>
            </w:r>
            <w:r w:rsidRPr="00630A55">
              <w:rPr>
                <w:lang w:eastAsia="en-AU"/>
              </w:rPr>
              <w:t xml:space="preserve">osting </w:t>
            </w:r>
            <w:r w:rsidR="004247C0">
              <w:rPr>
                <w:lang w:eastAsia="en-AU"/>
              </w:rPr>
              <w:t>s</w:t>
            </w:r>
            <w:r w:rsidRPr="00630A55">
              <w:rPr>
                <w:lang w:eastAsia="en-AU"/>
              </w:rPr>
              <w:t xml:space="preserve">ystem </w:t>
            </w:r>
          </w:p>
        </w:tc>
        <w:tc>
          <w:tcPr>
            <w:tcW w:w="2590" w:type="dxa"/>
            <w:tcBorders>
              <w:left w:val="single" w:sz="4" w:space="0" w:color="auto"/>
              <w:right w:val="single" w:sz="4" w:space="0" w:color="auto"/>
            </w:tcBorders>
            <w:shd w:val="clear" w:color="auto" w:fill="auto"/>
            <w:noWrap/>
            <w:vAlign w:val="bottom"/>
          </w:tcPr>
          <w:p w14:paraId="06DF8864" w14:textId="77777777" w:rsidR="0095536F" w:rsidRPr="00630A55" w:rsidRDefault="0095536F" w:rsidP="007515AF">
            <w:pPr>
              <w:pStyle w:val="TableTextNumber"/>
              <w:jc w:val="right"/>
            </w:pPr>
            <w:r w:rsidRPr="00630A55">
              <w:t>$1,753,858,468</w:t>
            </w:r>
          </w:p>
        </w:tc>
      </w:tr>
      <w:tr w:rsidR="0095536F" w:rsidRPr="00630A55" w14:paraId="0646C17C" w14:textId="77777777" w:rsidTr="009C41D0">
        <w:trPr>
          <w:trHeight w:val="258"/>
        </w:trPr>
        <w:tc>
          <w:tcPr>
            <w:tcW w:w="6887" w:type="dxa"/>
            <w:gridSpan w:val="2"/>
            <w:tcBorders>
              <w:left w:val="single" w:sz="4" w:space="0" w:color="auto"/>
              <w:right w:val="single" w:sz="4" w:space="0" w:color="auto"/>
            </w:tcBorders>
            <w:shd w:val="clear" w:color="000000" w:fill="FFFFFF"/>
            <w:noWrap/>
            <w:vAlign w:val="center"/>
            <w:hideMark/>
          </w:tcPr>
          <w:p w14:paraId="750CCC48" w14:textId="77777777" w:rsidR="0095536F" w:rsidRPr="00630A55" w:rsidRDefault="0095536F" w:rsidP="008A5614">
            <w:pPr>
              <w:pStyle w:val="Tabletext"/>
              <w:rPr>
                <w:color w:val="000000"/>
                <w:lang w:eastAsia="en-AU"/>
              </w:rPr>
            </w:pPr>
            <w:r w:rsidRPr="00630A55">
              <w:rPr>
                <w:lang w:eastAsia="en-AU"/>
              </w:rPr>
              <w:t>Line items as per standards</w:t>
            </w:r>
          </w:p>
        </w:tc>
        <w:tc>
          <w:tcPr>
            <w:tcW w:w="2590" w:type="dxa"/>
            <w:tcBorders>
              <w:left w:val="single" w:sz="4" w:space="0" w:color="auto"/>
              <w:right w:val="single" w:sz="4" w:space="0" w:color="auto"/>
            </w:tcBorders>
            <w:shd w:val="clear" w:color="auto" w:fill="auto"/>
            <w:noWrap/>
            <w:vAlign w:val="bottom"/>
          </w:tcPr>
          <w:p w14:paraId="0705D847" w14:textId="77777777" w:rsidR="0095536F" w:rsidRPr="00630A55" w:rsidRDefault="0095536F" w:rsidP="007515AF">
            <w:pPr>
              <w:pStyle w:val="TableTextNumber"/>
              <w:jc w:val="right"/>
            </w:pPr>
            <w:r w:rsidRPr="00630A55">
              <w:t>$1,753,858,468</w:t>
            </w:r>
          </w:p>
        </w:tc>
      </w:tr>
      <w:tr w:rsidR="0095536F" w:rsidRPr="00630A55" w14:paraId="7A828AA3" w14:textId="77777777" w:rsidTr="009C41D0">
        <w:trPr>
          <w:trHeight w:val="258"/>
        </w:trPr>
        <w:tc>
          <w:tcPr>
            <w:tcW w:w="6887" w:type="dxa"/>
            <w:gridSpan w:val="2"/>
            <w:tcBorders>
              <w:left w:val="single" w:sz="4" w:space="0" w:color="auto"/>
              <w:right w:val="single" w:sz="4" w:space="0" w:color="auto"/>
            </w:tcBorders>
            <w:shd w:val="clear" w:color="000000" w:fill="FFFFFF"/>
            <w:noWrap/>
            <w:vAlign w:val="center"/>
          </w:tcPr>
          <w:p w14:paraId="63797388" w14:textId="62B84F2E" w:rsidR="0095536F" w:rsidRPr="00630A55" w:rsidRDefault="000E5345" w:rsidP="008A5614">
            <w:pPr>
              <w:pStyle w:val="Tabletext"/>
              <w:rPr>
                <w:lang w:eastAsia="en-AU"/>
              </w:rPr>
            </w:pPr>
            <w:r>
              <w:rPr>
                <w:lang w:eastAsia="en-AU"/>
              </w:rPr>
              <w:t>Adjustments</w:t>
            </w:r>
          </w:p>
        </w:tc>
        <w:tc>
          <w:tcPr>
            <w:tcW w:w="2590" w:type="dxa"/>
            <w:tcBorders>
              <w:left w:val="single" w:sz="4" w:space="0" w:color="auto"/>
              <w:right w:val="single" w:sz="4" w:space="0" w:color="auto"/>
            </w:tcBorders>
            <w:shd w:val="clear" w:color="auto" w:fill="auto"/>
            <w:noWrap/>
            <w:vAlign w:val="bottom"/>
          </w:tcPr>
          <w:p w14:paraId="45521F2B" w14:textId="3A7B3D2A" w:rsidR="0095536F" w:rsidRPr="00630A55" w:rsidRDefault="0095536F" w:rsidP="007515AF">
            <w:pPr>
              <w:pStyle w:val="TableTextNumber"/>
              <w:jc w:val="right"/>
            </w:pPr>
            <w:r w:rsidRPr="00630A55">
              <w:t>($490,321,512)</w:t>
            </w:r>
          </w:p>
        </w:tc>
      </w:tr>
      <w:tr w:rsidR="0095536F" w:rsidRPr="00630A55" w14:paraId="05171983" w14:textId="77777777" w:rsidTr="009C41D0">
        <w:trPr>
          <w:trHeight w:val="258"/>
        </w:trPr>
        <w:tc>
          <w:tcPr>
            <w:tcW w:w="6887" w:type="dxa"/>
            <w:gridSpan w:val="2"/>
            <w:tcBorders>
              <w:left w:val="single" w:sz="4" w:space="0" w:color="auto"/>
              <w:bottom w:val="single" w:sz="12" w:space="0" w:color="auto"/>
              <w:right w:val="single" w:sz="4" w:space="0" w:color="auto"/>
            </w:tcBorders>
            <w:shd w:val="clear" w:color="000000" w:fill="FFFFFF"/>
            <w:noWrap/>
            <w:vAlign w:val="center"/>
            <w:hideMark/>
          </w:tcPr>
          <w:p w14:paraId="7D0D7D22" w14:textId="0100CE6E" w:rsidR="0095536F" w:rsidRPr="00630A55" w:rsidRDefault="0095536F" w:rsidP="008A5614">
            <w:pPr>
              <w:pStyle w:val="Tabletext"/>
              <w:rPr>
                <w:color w:val="000000"/>
                <w:lang w:eastAsia="en-AU"/>
              </w:rPr>
            </w:pPr>
            <w:r w:rsidRPr="00630A55">
              <w:rPr>
                <w:lang w:eastAsia="en-AU"/>
              </w:rPr>
              <w:t xml:space="preserve">Costs </w:t>
            </w:r>
            <w:r w:rsidR="00774493">
              <w:rPr>
                <w:lang w:eastAsia="en-AU"/>
              </w:rPr>
              <w:t>s</w:t>
            </w:r>
            <w:r w:rsidRPr="00630A55">
              <w:rPr>
                <w:lang w:eastAsia="en-AU"/>
              </w:rPr>
              <w:t xml:space="preserve">ubmitted to </w:t>
            </w:r>
            <w:r w:rsidR="004247C0">
              <w:rPr>
                <w:lang w:eastAsia="en-AU"/>
              </w:rPr>
              <w:t>j</w:t>
            </w:r>
            <w:r w:rsidRPr="00630A55">
              <w:rPr>
                <w:lang w:eastAsia="en-AU"/>
              </w:rPr>
              <w:t xml:space="preserve">urisdiction </w:t>
            </w:r>
          </w:p>
        </w:tc>
        <w:tc>
          <w:tcPr>
            <w:tcW w:w="2590" w:type="dxa"/>
            <w:tcBorders>
              <w:left w:val="single" w:sz="4" w:space="0" w:color="auto"/>
              <w:bottom w:val="single" w:sz="12" w:space="0" w:color="auto"/>
              <w:right w:val="single" w:sz="4" w:space="0" w:color="auto"/>
            </w:tcBorders>
            <w:shd w:val="clear" w:color="auto" w:fill="auto"/>
            <w:noWrap/>
            <w:vAlign w:val="bottom"/>
          </w:tcPr>
          <w:p w14:paraId="09866D2D" w14:textId="77777777" w:rsidR="0095536F" w:rsidRPr="00630A55" w:rsidRDefault="0095536F" w:rsidP="007515AF">
            <w:pPr>
              <w:pStyle w:val="TableTextNumber"/>
              <w:jc w:val="right"/>
            </w:pPr>
            <w:r w:rsidRPr="00630A55">
              <w:t>$1,263,536,956</w:t>
            </w:r>
          </w:p>
        </w:tc>
      </w:tr>
      <w:tr w:rsidR="0095536F" w:rsidRPr="00630A55" w14:paraId="466BB177" w14:textId="77777777" w:rsidTr="009C41D0">
        <w:trPr>
          <w:trHeight w:val="258"/>
        </w:trPr>
        <w:tc>
          <w:tcPr>
            <w:tcW w:w="6887" w:type="dxa"/>
            <w:gridSpan w:val="2"/>
            <w:tcBorders>
              <w:top w:val="single" w:sz="12" w:space="0" w:color="auto"/>
              <w:left w:val="single" w:sz="4" w:space="0" w:color="auto"/>
              <w:bottom w:val="single" w:sz="12" w:space="0" w:color="auto"/>
              <w:right w:val="single" w:sz="4" w:space="0" w:color="auto"/>
            </w:tcBorders>
            <w:shd w:val="clear" w:color="000000" w:fill="00338D"/>
            <w:noWrap/>
            <w:vAlign w:val="center"/>
            <w:hideMark/>
          </w:tcPr>
          <w:p w14:paraId="623A78F9" w14:textId="03B865A7" w:rsidR="0095536F" w:rsidRPr="00630A55" w:rsidRDefault="0095536F" w:rsidP="008A5614">
            <w:pPr>
              <w:pStyle w:val="Tableheading"/>
              <w:rPr>
                <w:color w:val="FFFFFF"/>
                <w:lang w:eastAsia="en-AU"/>
              </w:rPr>
            </w:pPr>
            <w:r w:rsidRPr="00630A55">
              <w:rPr>
                <w:lang w:eastAsia="en-AU"/>
              </w:rPr>
              <w:t xml:space="preserve">Hospital level </w:t>
            </w:r>
            <w:r w:rsidR="00BE2164">
              <w:rPr>
                <w:lang w:eastAsia="en-AU"/>
              </w:rPr>
              <w:t>d</w:t>
            </w:r>
            <w:r w:rsidRPr="00630A55">
              <w:rPr>
                <w:lang w:eastAsia="en-AU"/>
              </w:rPr>
              <w:t>ata (ASH)</w:t>
            </w:r>
          </w:p>
        </w:tc>
        <w:tc>
          <w:tcPr>
            <w:tcW w:w="2590" w:type="dxa"/>
            <w:tcBorders>
              <w:top w:val="single" w:sz="12" w:space="0" w:color="auto"/>
              <w:left w:val="single" w:sz="4" w:space="0" w:color="auto"/>
              <w:bottom w:val="single" w:sz="12" w:space="0" w:color="auto"/>
              <w:right w:val="single" w:sz="4" w:space="0" w:color="auto"/>
            </w:tcBorders>
            <w:shd w:val="clear" w:color="000000" w:fill="00338D"/>
            <w:noWrap/>
            <w:vAlign w:val="center"/>
          </w:tcPr>
          <w:p w14:paraId="783FE61C" w14:textId="18112BFE" w:rsidR="0095536F" w:rsidRPr="00630A55" w:rsidRDefault="0048310B" w:rsidP="0048310B">
            <w:pPr>
              <w:pStyle w:val="Tableheading"/>
              <w:rPr>
                <w:lang w:eastAsia="en-AU"/>
              </w:rPr>
            </w:pPr>
            <w:r>
              <w:rPr>
                <w:lang w:eastAsia="en-AU"/>
              </w:rPr>
              <w:t>Value</w:t>
            </w:r>
          </w:p>
        </w:tc>
      </w:tr>
      <w:tr w:rsidR="0095536F" w:rsidRPr="00630A55" w14:paraId="6360A51F" w14:textId="77777777" w:rsidTr="009C41D0">
        <w:trPr>
          <w:trHeight w:val="258"/>
        </w:trPr>
        <w:tc>
          <w:tcPr>
            <w:tcW w:w="6887" w:type="dxa"/>
            <w:gridSpan w:val="2"/>
            <w:tcBorders>
              <w:left w:val="single" w:sz="4" w:space="0" w:color="auto"/>
              <w:right w:val="single" w:sz="4" w:space="0" w:color="auto"/>
            </w:tcBorders>
            <w:shd w:val="clear" w:color="000000" w:fill="FFFFFF"/>
            <w:noWrap/>
            <w:vAlign w:val="center"/>
            <w:hideMark/>
          </w:tcPr>
          <w:p w14:paraId="2C83EE49" w14:textId="45B516EC" w:rsidR="0095536F" w:rsidRPr="00630A55" w:rsidRDefault="0095536F" w:rsidP="008A5614">
            <w:pPr>
              <w:pStyle w:val="Tabletext"/>
              <w:rPr>
                <w:color w:val="000000"/>
                <w:lang w:eastAsia="en-AU"/>
              </w:rPr>
            </w:pPr>
            <w:r w:rsidRPr="00630A55">
              <w:rPr>
                <w:lang w:eastAsia="en-AU"/>
              </w:rPr>
              <w:t xml:space="preserve">GL transferred to </w:t>
            </w:r>
            <w:r w:rsidR="004247C0">
              <w:rPr>
                <w:lang w:eastAsia="en-AU"/>
              </w:rPr>
              <w:t>c</w:t>
            </w:r>
            <w:r w:rsidRPr="00630A55">
              <w:rPr>
                <w:lang w:eastAsia="en-AU"/>
              </w:rPr>
              <w:t xml:space="preserve">osting </w:t>
            </w:r>
            <w:r w:rsidR="004247C0">
              <w:rPr>
                <w:lang w:eastAsia="en-AU"/>
              </w:rPr>
              <w:t>s</w:t>
            </w:r>
            <w:r w:rsidRPr="00630A55">
              <w:rPr>
                <w:lang w:eastAsia="en-AU"/>
              </w:rPr>
              <w:t xml:space="preserve">ystem </w:t>
            </w:r>
          </w:p>
        </w:tc>
        <w:tc>
          <w:tcPr>
            <w:tcW w:w="2590" w:type="dxa"/>
            <w:tcBorders>
              <w:left w:val="single" w:sz="4" w:space="0" w:color="auto"/>
              <w:right w:val="single" w:sz="4" w:space="0" w:color="auto"/>
            </w:tcBorders>
            <w:shd w:val="clear" w:color="auto" w:fill="auto"/>
            <w:noWrap/>
            <w:vAlign w:val="center"/>
          </w:tcPr>
          <w:p w14:paraId="5C592801" w14:textId="77777777" w:rsidR="0095536F" w:rsidRPr="00630A55" w:rsidRDefault="0095536F" w:rsidP="007515AF">
            <w:pPr>
              <w:pStyle w:val="TableTextNumber"/>
              <w:jc w:val="right"/>
            </w:pPr>
            <w:r w:rsidRPr="00630A55">
              <w:t>$308,363,894</w:t>
            </w:r>
          </w:p>
        </w:tc>
      </w:tr>
      <w:tr w:rsidR="0095536F" w:rsidRPr="00630A55" w14:paraId="5D6572E2" w14:textId="77777777" w:rsidTr="009C41D0">
        <w:trPr>
          <w:trHeight w:val="258"/>
        </w:trPr>
        <w:tc>
          <w:tcPr>
            <w:tcW w:w="6887" w:type="dxa"/>
            <w:gridSpan w:val="2"/>
            <w:tcBorders>
              <w:left w:val="single" w:sz="4" w:space="0" w:color="auto"/>
              <w:right w:val="single" w:sz="4" w:space="0" w:color="auto"/>
            </w:tcBorders>
            <w:shd w:val="clear" w:color="000000" w:fill="FFFFFF"/>
            <w:noWrap/>
            <w:vAlign w:val="center"/>
            <w:hideMark/>
          </w:tcPr>
          <w:p w14:paraId="0DAB92A5" w14:textId="77777777" w:rsidR="0095536F" w:rsidRPr="00630A55" w:rsidRDefault="0095536F" w:rsidP="008A5614">
            <w:pPr>
              <w:pStyle w:val="Tabletext"/>
              <w:rPr>
                <w:color w:val="000000"/>
                <w:lang w:eastAsia="en-AU"/>
              </w:rPr>
            </w:pPr>
            <w:r w:rsidRPr="00630A55">
              <w:rPr>
                <w:lang w:eastAsia="en-AU"/>
              </w:rPr>
              <w:t xml:space="preserve">Adjustments </w:t>
            </w:r>
          </w:p>
        </w:tc>
        <w:tc>
          <w:tcPr>
            <w:tcW w:w="2590" w:type="dxa"/>
            <w:tcBorders>
              <w:left w:val="single" w:sz="4" w:space="0" w:color="auto"/>
              <w:right w:val="single" w:sz="4" w:space="0" w:color="auto"/>
            </w:tcBorders>
            <w:shd w:val="clear" w:color="auto" w:fill="auto"/>
            <w:noWrap/>
            <w:vAlign w:val="center"/>
          </w:tcPr>
          <w:p w14:paraId="0A258B80" w14:textId="77777777" w:rsidR="0095536F" w:rsidRPr="00630A55" w:rsidRDefault="0095536F" w:rsidP="007515AF">
            <w:pPr>
              <w:pStyle w:val="TableTextNumber"/>
              <w:jc w:val="right"/>
              <w:rPr>
                <w:color w:val="000000"/>
              </w:rPr>
            </w:pPr>
            <w:r w:rsidRPr="00630A55">
              <w:t>($4,958,767)</w:t>
            </w:r>
          </w:p>
        </w:tc>
      </w:tr>
      <w:tr w:rsidR="0095536F" w:rsidRPr="00630A55" w14:paraId="173850F2" w14:textId="77777777" w:rsidTr="009C41D0">
        <w:trPr>
          <w:trHeight w:val="258"/>
        </w:trPr>
        <w:tc>
          <w:tcPr>
            <w:tcW w:w="6887" w:type="dxa"/>
            <w:gridSpan w:val="2"/>
            <w:tcBorders>
              <w:left w:val="single" w:sz="4" w:space="0" w:color="auto"/>
              <w:right w:val="single" w:sz="4" w:space="0" w:color="auto"/>
            </w:tcBorders>
            <w:shd w:val="clear" w:color="000000" w:fill="FFFFFF"/>
            <w:noWrap/>
            <w:vAlign w:val="center"/>
            <w:hideMark/>
          </w:tcPr>
          <w:p w14:paraId="17F52996" w14:textId="689719CF" w:rsidR="0095536F" w:rsidRPr="00630A55" w:rsidRDefault="0095536F" w:rsidP="008A5614">
            <w:pPr>
              <w:pStyle w:val="Tabletext"/>
              <w:rPr>
                <w:color w:val="000000"/>
                <w:lang w:eastAsia="en-AU"/>
              </w:rPr>
            </w:pPr>
            <w:r w:rsidRPr="00630A55">
              <w:rPr>
                <w:lang w:eastAsia="en-AU"/>
              </w:rPr>
              <w:t xml:space="preserve">Post </w:t>
            </w:r>
            <w:r w:rsidR="004247C0">
              <w:rPr>
                <w:lang w:eastAsia="en-AU"/>
              </w:rPr>
              <w:t>a</w:t>
            </w:r>
            <w:r w:rsidRPr="00630A55">
              <w:rPr>
                <w:lang w:eastAsia="en-AU"/>
              </w:rPr>
              <w:t xml:space="preserve">llocation </w:t>
            </w:r>
            <w:r w:rsidR="004247C0">
              <w:rPr>
                <w:lang w:eastAsia="en-AU"/>
              </w:rPr>
              <w:t>a</w:t>
            </w:r>
            <w:r w:rsidRPr="00630A55">
              <w:rPr>
                <w:lang w:eastAsia="en-AU"/>
              </w:rPr>
              <w:t>mounts</w:t>
            </w:r>
          </w:p>
        </w:tc>
        <w:tc>
          <w:tcPr>
            <w:tcW w:w="2590" w:type="dxa"/>
            <w:tcBorders>
              <w:left w:val="single" w:sz="4" w:space="0" w:color="auto"/>
              <w:right w:val="single" w:sz="4" w:space="0" w:color="auto"/>
            </w:tcBorders>
            <w:shd w:val="clear" w:color="auto" w:fill="auto"/>
            <w:noWrap/>
            <w:vAlign w:val="center"/>
          </w:tcPr>
          <w:p w14:paraId="33491F08" w14:textId="77777777" w:rsidR="0095536F" w:rsidRPr="00630A55" w:rsidRDefault="0095536F" w:rsidP="007515AF">
            <w:pPr>
              <w:pStyle w:val="TableTextNumber"/>
              <w:jc w:val="right"/>
            </w:pPr>
            <w:r w:rsidRPr="00630A55">
              <w:t>$303,405,127</w:t>
            </w:r>
          </w:p>
        </w:tc>
      </w:tr>
      <w:tr w:rsidR="0095536F" w:rsidRPr="00630A55" w14:paraId="2BC60594" w14:textId="77777777" w:rsidTr="009C41D0">
        <w:trPr>
          <w:trHeight w:val="258"/>
        </w:trPr>
        <w:tc>
          <w:tcPr>
            <w:tcW w:w="6887" w:type="dxa"/>
            <w:gridSpan w:val="2"/>
            <w:tcBorders>
              <w:left w:val="single" w:sz="4" w:space="0" w:color="auto"/>
              <w:bottom w:val="single" w:sz="12" w:space="0" w:color="auto"/>
              <w:right w:val="single" w:sz="4" w:space="0" w:color="auto"/>
            </w:tcBorders>
            <w:shd w:val="clear" w:color="000000" w:fill="FFFFFF"/>
            <w:noWrap/>
            <w:vAlign w:val="center"/>
            <w:hideMark/>
          </w:tcPr>
          <w:p w14:paraId="668621FD" w14:textId="061D628C" w:rsidR="0095536F" w:rsidRPr="00630A55" w:rsidRDefault="0095536F" w:rsidP="008A5614">
            <w:pPr>
              <w:pStyle w:val="Tabletext"/>
              <w:rPr>
                <w:color w:val="000000"/>
                <w:lang w:eastAsia="en-AU"/>
              </w:rPr>
            </w:pPr>
            <w:r w:rsidRPr="00630A55">
              <w:rPr>
                <w:lang w:eastAsia="en-AU"/>
              </w:rPr>
              <w:t xml:space="preserve">Costs </w:t>
            </w:r>
            <w:r w:rsidR="004247C0">
              <w:rPr>
                <w:lang w:eastAsia="en-AU"/>
              </w:rPr>
              <w:t>s</w:t>
            </w:r>
            <w:r w:rsidRPr="00630A55">
              <w:rPr>
                <w:lang w:eastAsia="en-AU"/>
              </w:rPr>
              <w:t xml:space="preserve">ubmitted to </w:t>
            </w:r>
            <w:r w:rsidR="004247C0">
              <w:rPr>
                <w:lang w:eastAsia="en-AU"/>
              </w:rPr>
              <w:t>j</w:t>
            </w:r>
            <w:r w:rsidRPr="00630A55">
              <w:rPr>
                <w:lang w:eastAsia="en-AU"/>
              </w:rPr>
              <w:t xml:space="preserve">urisdiction </w:t>
            </w:r>
          </w:p>
        </w:tc>
        <w:tc>
          <w:tcPr>
            <w:tcW w:w="2590" w:type="dxa"/>
            <w:tcBorders>
              <w:left w:val="single" w:sz="4" w:space="0" w:color="auto"/>
              <w:bottom w:val="single" w:sz="12" w:space="0" w:color="auto"/>
              <w:right w:val="single" w:sz="4" w:space="0" w:color="auto"/>
            </w:tcBorders>
            <w:shd w:val="clear" w:color="auto" w:fill="auto"/>
            <w:noWrap/>
          </w:tcPr>
          <w:p w14:paraId="42D2CB17" w14:textId="77777777" w:rsidR="0095536F" w:rsidRPr="00630A55" w:rsidRDefault="0095536F" w:rsidP="007515AF">
            <w:pPr>
              <w:pStyle w:val="TableTextNumber"/>
              <w:jc w:val="right"/>
            </w:pPr>
            <w:r w:rsidRPr="00630A55">
              <w:t>$303,405,127</w:t>
            </w:r>
          </w:p>
        </w:tc>
      </w:tr>
      <w:tr w:rsidR="0095536F" w:rsidRPr="00630A55" w14:paraId="04A50460" w14:textId="77777777" w:rsidTr="009C41D0">
        <w:trPr>
          <w:trHeight w:val="258"/>
        </w:trPr>
        <w:tc>
          <w:tcPr>
            <w:tcW w:w="6887" w:type="dxa"/>
            <w:gridSpan w:val="2"/>
            <w:tcBorders>
              <w:top w:val="single" w:sz="12" w:space="0" w:color="auto"/>
              <w:left w:val="single" w:sz="4" w:space="0" w:color="auto"/>
              <w:bottom w:val="single" w:sz="12" w:space="0" w:color="auto"/>
              <w:right w:val="single" w:sz="4" w:space="0" w:color="auto"/>
            </w:tcBorders>
            <w:shd w:val="clear" w:color="000000" w:fill="00338D"/>
            <w:noWrap/>
            <w:vAlign w:val="center"/>
            <w:hideMark/>
          </w:tcPr>
          <w:p w14:paraId="66D0B889" w14:textId="13E1A633" w:rsidR="0095536F" w:rsidRPr="00630A55" w:rsidRDefault="0095536F" w:rsidP="008A5614">
            <w:pPr>
              <w:pStyle w:val="Tableheading"/>
              <w:rPr>
                <w:lang w:eastAsia="en-AU"/>
              </w:rPr>
            </w:pPr>
            <w:r w:rsidRPr="00630A55">
              <w:rPr>
                <w:lang w:eastAsia="en-AU"/>
              </w:rPr>
              <w:t xml:space="preserve">ASH </w:t>
            </w:r>
            <w:r w:rsidR="004247C0">
              <w:rPr>
                <w:lang w:eastAsia="en-AU"/>
              </w:rPr>
              <w:t>a</w:t>
            </w:r>
            <w:r w:rsidRPr="00630A55">
              <w:rPr>
                <w:lang w:eastAsia="en-AU"/>
              </w:rPr>
              <w:t>ctivity</w:t>
            </w:r>
          </w:p>
        </w:tc>
        <w:tc>
          <w:tcPr>
            <w:tcW w:w="2590" w:type="dxa"/>
            <w:tcBorders>
              <w:top w:val="single" w:sz="12" w:space="0" w:color="auto"/>
              <w:left w:val="single" w:sz="4" w:space="0" w:color="auto"/>
              <w:bottom w:val="single" w:sz="12" w:space="0" w:color="auto"/>
              <w:right w:val="single" w:sz="4" w:space="0" w:color="auto"/>
            </w:tcBorders>
            <w:shd w:val="clear" w:color="000000" w:fill="00338D"/>
            <w:noWrap/>
            <w:vAlign w:val="center"/>
          </w:tcPr>
          <w:p w14:paraId="70443B54" w14:textId="41046B03" w:rsidR="0095536F" w:rsidRPr="00630A55" w:rsidRDefault="0048310B" w:rsidP="0048310B">
            <w:pPr>
              <w:pStyle w:val="Tableheading"/>
              <w:rPr>
                <w:lang w:eastAsia="en-AU"/>
              </w:rPr>
            </w:pPr>
            <w:r>
              <w:rPr>
                <w:lang w:eastAsia="en-AU"/>
              </w:rPr>
              <w:t>Value</w:t>
            </w:r>
          </w:p>
        </w:tc>
      </w:tr>
      <w:tr w:rsidR="0095536F" w:rsidRPr="004247C0" w14:paraId="636EDE6F" w14:textId="77777777" w:rsidTr="009C41D0">
        <w:trPr>
          <w:trHeight w:val="279"/>
        </w:trPr>
        <w:tc>
          <w:tcPr>
            <w:tcW w:w="6887" w:type="dxa"/>
            <w:gridSpan w:val="2"/>
            <w:tcBorders>
              <w:top w:val="single" w:sz="12" w:space="0" w:color="auto"/>
              <w:left w:val="single" w:sz="4" w:space="0" w:color="auto"/>
              <w:right w:val="single" w:sz="4" w:space="0" w:color="auto"/>
            </w:tcBorders>
            <w:shd w:val="clear" w:color="000000" w:fill="FFFFFF"/>
            <w:vAlign w:val="center"/>
            <w:hideMark/>
          </w:tcPr>
          <w:p w14:paraId="49A577EB" w14:textId="77777777" w:rsidR="0095536F" w:rsidRPr="004247C0" w:rsidRDefault="0095536F" w:rsidP="008A5614">
            <w:pPr>
              <w:pStyle w:val="Tabletext"/>
              <w:rPr>
                <w:lang w:eastAsia="en-AU"/>
              </w:rPr>
            </w:pPr>
            <w:r w:rsidRPr="00630A55">
              <w:rPr>
                <w:lang w:eastAsia="en-AU"/>
              </w:rPr>
              <w:t>Data loaded to the costing System for costing purposes</w:t>
            </w:r>
          </w:p>
        </w:tc>
        <w:tc>
          <w:tcPr>
            <w:tcW w:w="2590" w:type="dxa"/>
            <w:tcBorders>
              <w:top w:val="single" w:sz="12" w:space="0" w:color="auto"/>
              <w:left w:val="single" w:sz="4" w:space="0" w:color="auto"/>
              <w:right w:val="single" w:sz="4" w:space="0" w:color="auto"/>
            </w:tcBorders>
            <w:shd w:val="clear" w:color="auto" w:fill="auto"/>
            <w:vAlign w:val="center"/>
          </w:tcPr>
          <w:p w14:paraId="6BF6502E" w14:textId="77777777" w:rsidR="0095536F" w:rsidRPr="004247C0" w:rsidRDefault="0095536F" w:rsidP="007515AF">
            <w:pPr>
              <w:pStyle w:val="TableTextNumber"/>
              <w:jc w:val="right"/>
              <w:rPr>
                <w:szCs w:val="22"/>
              </w:rPr>
            </w:pPr>
          </w:p>
        </w:tc>
      </w:tr>
      <w:tr w:rsidR="0095536F" w:rsidRPr="00630A55" w14:paraId="3384553E" w14:textId="77777777" w:rsidTr="009C41D0">
        <w:trPr>
          <w:trHeight w:val="258"/>
        </w:trPr>
        <w:tc>
          <w:tcPr>
            <w:tcW w:w="281" w:type="dxa"/>
            <w:tcBorders>
              <w:left w:val="single" w:sz="4" w:space="0" w:color="auto"/>
            </w:tcBorders>
            <w:shd w:val="clear" w:color="000000" w:fill="FFFFFF"/>
            <w:noWrap/>
            <w:vAlign w:val="center"/>
            <w:hideMark/>
          </w:tcPr>
          <w:p w14:paraId="2F582D8E" w14:textId="77777777" w:rsidR="0095536F" w:rsidRPr="004247C0" w:rsidRDefault="0095536F" w:rsidP="008A5614">
            <w:pPr>
              <w:pStyle w:val="Tabletext"/>
              <w:rPr>
                <w:lang w:eastAsia="en-AU"/>
              </w:rPr>
            </w:pPr>
            <w:r w:rsidRPr="00630A55">
              <w:rPr>
                <w:lang w:eastAsia="en-AU"/>
              </w:rPr>
              <w:t> </w:t>
            </w:r>
          </w:p>
        </w:tc>
        <w:tc>
          <w:tcPr>
            <w:tcW w:w="6606" w:type="dxa"/>
            <w:tcBorders>
              <w:right w:val="single" w:sz="4" w:space="0" w:color="auto"/>
            </w:tcBorders>
            <w:shd w:val="clear" w:color="000000" w:fill="FFFFFF"/>
            <w:noWrap/>
            <w:vAlign w:val="center"/>
            <w:hideMark/>
          </w:tcPr>
          <w:p w14:paraId="64D86345" w14:textId="4202236C" w:rsidR="0095536F" w:rsidRPr="004247C0" w:rsidRDefault="0095536F" w:rsidP="008A5614">
            <w:pPr>
              <w:pStyle w:val="Tabletext"/>
              <w:rPr>
                <w:lang w:eastAsia="en-AU"/>
              </w:rPr>
            </w:pPr>
            <w:r w:rsidRPr="00630A55">
              <w:rPr>
                <w:lang w:eastAsia="en-AU"/>
              </w:rPr>
              <w:t xml:space="preserve">Activity </w:t>
            </w:r>
            <w:r w:rsidR="00774493">
              <w:rPr>
                <w:lang w:eastAsia="en-AU"/>
              </w:rPr>
              <w:t>d</w:t>
            </w:r>
            <w:r w:rsidRPr="00630A55">
              <w:rPr>
                <w:lang w:eastAsia="en-AU"/>
              </w:rPr>
              <w:t xml:space="preserve">ata </w:t>
            </w:r>
          </w:p>
        </w:tc>
        <w:tc>
          <w:tcPr>
            <w:tcW w:w="2590" w:type="dxa"/>
            <w:tcBorders>
              <w:left w:val="single" w:sz="4" w:space="0" w:color="auto"/>
              <w:right w:val="single" w:sz="4" w:space="0" w:color="auto"/>
            </w:tcBorders>
            <w:shd w:val="clear" w:color="auto" w:fill="auto"/>
            <w:noWrap/>
            <w:vAlign w:val="center"/>
          </w:tcPr>
          <w:p w14:paraId="5C65413B" w14:textId="77777777" w:rsidR="0095536F" w:rsidRPr="00630A55" w:rsidRDefault="0095536F" w:rsidP="007515AF">
            <w:pPr>
              <w:pStyle w:val="TableTextNumber"/>
              <w:jc w:val="right"/>
            </w:pPr>
            <w:r w:rsidRPr="00630A55">
              <w:t>204,285</w:t>
            </w:r>
          </w:p>
        </w:tc>
      </w:tr>
      <w:tr w:rsidR="0095536F" w:rsidRPr="00630A55" w14:paraId="4F0A5CE7" w14:textId="77777777" w:rsidTr="009C41D0">
        <w:trPr>
          <w:trHeight w:val="258"/>
        </w:trPr>
        <w:tc>
          <w:tcPr>
            <w:tcW w:w="281" w:type="dxa"/>
            <w:tcBorders>
              <w:left w:val="single" w:sz="4" w:space="0" w:color="auto"/>
            </w:tcBorders>
            <w:shd w:val="clear" w:color="000000" w:fill="FFFFFF"/>
            <w:noWrap/>
            <w:vAlign w:val="center"/>
            <w:hideMark/>
          </w:tcPr>
          <w:p w14:paraId="76C6F912" w14:textId="77777777" w:rsidR="0095536F" w:rsidRPr="004247C0" w:rsidRDefault="0095536F" w:rsidP="008A5614">
            <w:pPr>
              <w:pStyle w:val="Tabletext"/>
              <w:rPr>
                <w:lang w:eastAsia="en-AU"/>
              </w:rPr>
            </w:pPr>
            <w:r w:rsidRPr="00630A55">
              <w:rPr>
                <w:lang w:eastAsia="en-AU"/>
              </w:rPr>
              <w:t> </w:t>
            </w:r>
          </w:p>
        </w:tc>
        <w:tc>
          <w:tcPr>
            <w:tcW w:w="6606" w:type="dxa"/>
            <w:tcBorders>
              <w:right w:val="single" w:sz="4" w:space="0" w:color="auto"/>
            </w:tcBorders>
            <w:shd w:val="clear" w:color="000000" w:fill="FFFFFF"/>
            <w:noWrap/>
            <w:vAlign w:val="center"/>
            <w:hideMark/>
          </w:tcPr>
          <w:p w14:paraId="4A4E27AB" w14:textId="48DB060C" w:rsidR="0095536F" w:rsidRPr="004247C0" w:rsidRDefault="0095536F" w:rsidP="008A5614">
            <w:pPr>
              <w:pStyle w:val="Tabletext"/>
              <w:rPr>
                <w:lang w:eastAsia="en-AU"/>
              </w:rPr>
            </w:pPr>
            <w:r w:rsidRPr="00630A55">
              <w:rPr>
                <w:lang w:eastAsia="en-AU"/>
              </w:rPr>
              <w:t xml:space="preserve">Feeder </w:t>
            </w:r>
            <w:r w:rsidR="00774493">
              <w:rPr>
                <w:lang w:eastAsia="en-AU"/>
              </w:rPr>
              <w:t>d</w:t>
            </w:r>
            <w:r w:rsidRPr="00630A55">
              <w:rPr>
                <w:lang w:eastAsia="en-AU"/>
              </w:rPr>
              <w:t>ata</w:t>
            </w:r>
          </w:p>
        </w:tc>
        <w:tc>
          <w:tcPr>
            <w:tcW w:w="2590" w:type="dxa"/>
            <w:tcBorders>
              <w:left w:val="single" w:sz="4" w:space="0" w:color="auto"/>
              <w:right w:val="single" w:sz="4" w:space="0" w:color="auto"/>
            </w:tcBorders>
            <w:shd w:val="clear" w:color="auto" w:fill="auto"/>
            <w:noWrap/>
            <w:vAlign w:val="center"/>
          </w:tcPr>
          <w:p w14:paraId="335495FA" w14:textId="77777777" w:rsidR="0095536F" w:rsidRPr="00630A55" w:rsidRDefault="0095536F" w:rsidP="007515AF">
            <w:pPr>
              <w:pStyle w:val="TableTextNumber"/>
              <w:jc w:val="right"/>
            </w:pPr>
            <w:r w:rsidRPr="00630A55">
              <w:t>749,657</w:t>
            </w:r>
          </w:p>
        </w:tc>
      </w:tr>
      <w:tr w:rsidR="0095536F" w:rsidRPr="00630A55" w14:paraId="12E5B3BD" w14:textId="77777777" w:rsidTr="009C41D0">
        <w:trPr>
          <w:trHeight w:val="257"/>
        </w:trPr>
        <w:tc>
          <w:tcPr>
            <w:tcW w:w="6887" w:type="dxa"/>
            <w:gridSpan w:val="2"/>
            <w:tcBorders>
              <w:left w:val="single" w:sz="4" w:space="0" w:color="auto"/>
              <w:right w:val="single" w:sz="4" w:space="0" w:color="auto"/>
            </w:tcBorders>
            <w:shd w:val="clear" w:color="000000" w:fill="FFFFFF"/>
            <w:vAlign w:val="center"/>
            <w:hideMark/>
          </w:tcPr>
          <w:p w14:paraId="5B9AF5E3" w14:textId="2D058167" w:rsidR="0095536F" w:rsidRPr="004247C0" w:rsidRDefault="0095536F" w:rsidP="008A5614">
            <w:pPr>
              <w:pStyle w:val="Tabletext"/>
              <w:rPr>
                <w:lang w:eastAsia="en-AU"/>
              </w:rPr>
            </w:pPr>
            <w:r w:rsidRPr="00630A55">
              <w:rPr>
                <w:lang w:eastAsia="en-AU"/>
              </w:rPr>
              <w:t xml:space="preserve">NHCDC </w:t>
            </w:r>
            <w:r w:rsidR="004247C0">
              <w:rPr>
                <w:lang w:eastAsia="en-AU"/>
              </w:rPr>
              <w:t>p</w:t>
            </w:r>
            <w:r w:rsidRPr="00630A55">
              <w:rPr>
                <w:lang w:eastAsia="en-AU"/>
              </w:rPr>
              <w:t xml:space="preserve">roduct </w:t>
            </w:r>
            <w:r w:rsidR="004247C0">
              <w:rPr>
                <w:lang w:eastAsia="en-AU"/>
              </w:rPr>
              <w:t>o</w:t>
            </w:r>
            <w:r w:rsidRPr="00630A55">
              <w:rPr>
                <w:lang w:eastAsia="en-AU"/>
              </w:rPr>
              <w:t xml:space="preserve">utput </w:t>
            </w:r>
            <w:r w:rsidR="004247C0">
              <w:rPr>
                <w:lang w:eastAsia="en-AU"/>
              </w:rPr>
              <w:t>a</w:t>
            </w:r>
            <w:r w:rsidRPr="00630A55">
              <w:rPr>
                <w:lang w:eastAsia="en-AU"/>
              </w:rPr>
              <w:t xml:space="preserve">ctivity - </w:t>
            </w:r>
            <w:r w:rsidR="004247C0">
              <w:rPr>
                <w:lang w:eastAsia="en-AU"/>
              </w:rPr>
              <w:t>p</w:t>
            </w:r>
            <w:r w:rsidRPr="00630A55">
              <w:rPr>
                <w:lang w:eastAsia="en-AU"/>
              </w:rPr>
              <w:t xml:space="preserve">ost </w:t>
            </w:r>
            <w:r w:rsidR="004247C0">
              <w:rPr>
                <w:lang w:eastAsia="en-AU"/>
              </w:rPr>
              <w:t>l</w:t>
            </w:r>
            <w:r w:rsidRPr="00630A55">
              <w:rPr>
                <w:lang w:eastAsia="en-AU"/>
              </w:rPr>
              <w:t xml:space="preserve">inking and </w:t>
            </w:r>
            <w:r w:rsidR="004247C0">
              <w:rPr>
                <w:lang w:eastAsia="en-AU"/>
              </w:rPr>
              <w:t>l</w:t>
            </w:r>
            <w:r w:rsidRPr="00630A55">
              <w:rPr>
                <w:lang w:eastAsia="en-AU"/>
              </w:rPr>
              <w:t>oading</w:t>
            </w:r>
          </w:p>
        </w:tc>
        <w:tc>
          <w:tcPr>
            <w:tcW w:w="2590" w:type="dxa"/>
            <w:tcBorders>
              <w:left w:val="single" w:sz="4" w:space="0" w:color="auto"/>
              <w:right w:val="single" w:sz="4" w:space="0" w:color="auto"/>
            </w:tcBorders>
            <w:shd w:val="clear" w:color="auto" w:fill="auto"/>
            <w:noWrap/>
            <w:vAlign w:val="center"/>
          </w:tcPr>
          <w:p w14:paraId="62D7FBDA" w14:textId="77777777" w:rsidR="0095536F" w:rsidRPr="00630A55" w:rsidRDefault="0095536F" w:rsidP="007515AF">
            <w:pPr>
              <w:pStyle w:val="TableTextNumber"/>
              <w:jc w:val="right"/>
            </w:pPr>
          </w:p>
        </w:tc>
      </w:tr>
      <w:tr w:rsidR="0095536F" w:rsidRPr="00630A55" w14:paraId="6B8A86F6" w14:textId="77777777" w:rsidTr="009C41D0">
        <w:trPr>
          <w:trHeight w:val="258"/>
        </w:trPr>
        <w:tc>
          <w:tcPr>
            <w:tcW w:w="6887" w:type="dxa"/>
            <w:gridSpan w:val="2"/>
            <w:tcBorders>
              <w:left w:val="single" w:sz="4" w:space="0" w:color="auto"/>
              <w:right w:val="single" w:sz="4" w:space="0" w:color="auto"/>
            </w:tcBorders>
            <w:shd w:val="clear" w:color="000000" w:fill="FFFFFF"/>
            <w:vAlign w:val="center"/>
            <w:hideMark/>
          </w:tcPr>
          <w:p w14:paraId="112D0F76" w14:textId="6AC8F27B" w:rsidR="0095536F" w:rsidRPr="004247C0" w:rsidRDefault="0095536F" w:rsidP="008A5614">
            <w:pPr>
              <w:pStyle w:val="Tabletext"/>
              <w:rPr>
                <w:lang w:eastAsia="en-AU"/>
              </w:rPr>
            </w:pPr>
            <w:r w:rsidRPr="00630A55">
              <w:rPr>
                <w:lang w:eastAsia="en-AU"/>
              </w:rPr>
              <w:t xml:space="preserve">Final </w:t>
            </w:r>
            <w:r w:rsidR="004247C0">
              <w:rPr>
                <w:lang w:eastAsia="en-AU"/>
              </w:rPr>
              <w:t>s</w:t>
            </w:r>
            <w:r w:rsidRPr="00630A55">
              <w:rPr>
                <w:lang w:eastAsia="en-AU"/>
              </w:rPr>
              <w:t xml:space="preserve">ubmission to </w:t>
            </w:r>
            <w:r w:rsidR="004247C0">
              <w:rPr>
                <w:lang w:eastAsia="en-AU"/>
              </w:rPr>
              <w:t>j</w:t>
            </w:r>
            <w:r w:rsidRPr="00630A55">
              <w:rPr>
                <w:lang w:eastAsia="en-AU"/>
              </w:rPr>
              <w:t xml:space="preserve">urisdiction - </w:t>
            </w:r>
            <w:r w:rsidR="004247C0">
              <w:rPr>
                <w:lang w:eastAsia="en-AU"/>
              </w:rPr>
              <w:t>a</w:t>
            </w:r>
            <w:r w:rsidRPr="00630A55">
              <w:rPr>
                <w:lang w:eastAsia="en-AU"/>
              </w:rPr>
              <w:t xml:space="preserve">ctivity by </w:t>
            </w:r>
            <w:r w:rsidR="004247C0">
              <w:rPr>
                <w:lang w:eastAsia="en-AU"/>
              </w:rPr>
              <w:t>p</w:t>
            </w:r>
            <w:r w:rsidRPr="00630A55">
              <w:rPr>
                <w:lang w:eastAsia="en-AU"/>
              </w:rPr>
              <w:t>roduct</w:t>
            </w:r>
          </w:p>
        </w:tc>
        <w:tc>
          <w:tcPr>
            <w:tcW w:w="2590" w:type="dxa"/>
            <w:tcBorders>
              <w:left w:val="single" w:sz="4" w:space="0" w:color="auto"/>
              <w:right w:val="single" w:sz="4" w:space="0" w:color="auto"/>
            </w:tcBorders>
            <w:shd w:val="clear" w:color="auto" w:fill="auto"/>
            <w:noWrap/>
            <w:vAlign w:val="center"/>
          </w:tcPr>
          <w:p w14:paraId="08B6E562" w14:textId="77777777" w:rsidR="0095536F" w:rsidRPr="00630A55" w:rsidRDefault="0095536F" w:rsidP="007515AF">
            <w:pPr>
              <w:pStyle w:val="TableTextNumber"/>
              <w:jc w:val="right"/>
            </w:pPr>
            <w:r w:rsidRPr="00630A55">
              <w:t>180,090</w:t>
            </w:r>
          </w:p>
        </w:tc>
      </w:tr>
      <w:tr w:rsidR="0095536F" w:rsidRPr="00630A55" w14:paraId="6EE5CC60" w14:textId="77777777" w:rsidTr="009C41D0">
        <w:trPr>
          <w:trHeight w:val="258"/>
        </w:trPr>
        <w:tc>
          <w:tcPr>
            <w:tcW w:w="6887" w:type="dxa"/>
            <w:gridSpan w:val="2"/>
            <w:tcBorders>
              <w:left w:val="single" w:sz="4" w:space="0" w:color="auto"/>
              <w:bottom w:val="single" w:sz="12" w:space="0" w:color="auto"/>
              <w:right w:val="single" w:sz="4" w:space="0" w:color="auto"/>
            </w:tcBorders>
            <w:shd w:val="clear" w:color="000000" w:fill="FFFFFF"/>
            <w:vAlign w:val="center"/>
            <w:hideMark/>
          </w:tcPr>
          <w:p w14:paraId="3C688B92" w14:textId="3CC0CAFE" w:rsidR="0095536F" w:rsidRPr="004247C0" w:rsidRDefault="0095536F" w:rsidP="008A5614">
            <w:pPr>
              <w:pStyle w:val="Tabletext"/>
              <w:rPr>
                <w:lang w:eastAsia="en-AU"/>
              </w:rPr>
            </w:pPr>
            <w:r w:rsidRPr="00630A55">
              <w:rPr>
                <w:lang w:eastAsia="en-AU"/>
              </w:rPr>
              <w:t xml:space="preserve">Final </w:t>
            </w:r>
            <w:r w:rsidR="004247C0">
              <w:rPr>
                <w:lang w:eastAsia="en-AU"/>
              </w:rPr>
              <w:t>s</w:t>
            </w:r>
            <w:r w:rsidRPr="00630A55">
              <w:rPr>
                <w:lang w:eastAsia="en-AU"/>
              </w:rPr>
              <w:t xml:space="preserve">ubmission to </w:t>
            </w:r>
            <w:r w:rsidR="004247C0">
              <w:rPr>
                <w:lang w:eastAsia="en-AU"/>
              </w:rPr>
              <w:t>j</w:t>
            </w:r>
            <w:r w:rsidRPr="00630A55">
              <w:rPr>
                <w:lang w:eastAsia="en-AU"/>
              </w:rPr>
              <w:t xml:space="preserve">urisdiction - </w:t>
            </w:r>
            <w:r w:rsidR="004247C0">
              <w:rPr>
                <w:lang w:eastAsia="en-AU"/>
              </w:rPr>
              <w:t>a</w:t>
            </w:r>
            <w:r w:rsidRPr="00630A55">
              <w:rPr>
                <w:lang w:eastAsia="en-AU"/>
              </w:rPr>
              <w:t xml:space="preserve">ctivity and </w:t>
            </w:r>
            <w:r w:rsidR="004247C0">
              <w:rPr>
                <w:lang w:eastAsia="en-AU"/>
              </w:rPr>
              <w:t>c</w:t>
            </w:r>
            <w:r w:rsidRPr="00630A55">
              <w:rPr>
                <w:lang w:eastAsia="en-AU"/>
              </w:rPr>
              <w:t xml:space="preserve">ost by </w:t>
            </w:r>
            <w:r w:rsidR="004247C0">
              <w:rPr>
                <w:lang w:eastAsia="en-AU"/>
              </w:rPr>
              <w:t>p</w:t>
            </w:r>
            <w:r w:rsidRPr="00630A55">
              <w:rPr>
                <w:lang w:eastAsia="en-AU"/>
              </w:rPr>
              <w:t>roduct</w:t>
            </w:r>
          </w:p>
        </w:tc>
        <w:tc>
          <w:tcPr>
            <w:tcW w:w="2590" w:type="dxa"/>
            <w:tcBorders>
              <w:left w:val="single" w:sz="4" w:space="0" w:color="auto"/>
              <w:bottom w:val="single" w:sz="12" w:space="0" w:color="auto"/>
              <w:right w:val="single" w:sz="4" w:space="0" w:color="auto"/>
            </w:tcBorders>
            <w:shd w:val="clear" w:color="auto" w:fill="auto"/>
            <w:noWrap/>
            <w:vAlign w:val="center"/>
          </w:tcPr>
          <w:p w14:paraId="11BF31CA" w14:textId="77777777" w:rsidR="0095536F" w:rsidRPr="00630A55" w:rsidRDefault="0095536F" w:rsidP="007515AF">
            <w:pPr>
              <w:pStyle w:val="TableTextNumber"/>
              <w:jc w:val="right"/>
            </w:pPr>
            <w:r w:rsidRPr="00630A55">
              <w:t>180,090</w:t>
            </w:r>
          </w:p>
        </w:tc>
      </w:tr>
      <w:tr w:rsidR="0095536F" w:rsidRPr="00630A55" w14:paraId="06841A6A" w14:textId="77777777" w:rsidTr="009C41D0">
        <w:trPr>
          <w:trHeight w:val="258"/>
        </w:trPr>
        <w:tc>
          <w:tcPr>
            <w:tcW w:w="6887" w:type="dxa"/>
            <w:gridSpan w:val="2"/>
            <w:tcBorders>
              <w:top w:val="single" w:sz="12" w:space="0" w:color="auto"/>
              <w:left w:val="single" w:sz="4" w:space="0" w:color="auto"/>
              <w:bottom w:val="single" w:sz="12" w:space="0" w:color="auto"/>
              <w:right w:val="single" w:sz="4" w:space="0" w:color="auto"/>
            </w:tcBorders>
            <w:shd w:val="clear" w:color="000000" w:fill="00338D"/>
            <w:noWrap/>
            <w:vAlign w:val="center"/>
            <w:hideMark/>
          </w:tcPr>
          <w:p w14:paraId="00DE6F59" w14:textId="3AB0D5A4" w:rsidR="0095536F" w:rsidRPr="00630A55" w:rsidRDefault="0095536F" w:rsidP="008A5614">
            <w:pPr>
              <w:pStyle w:val="Tableheading"/>
              <w:rPr>
                <w:color w:val="FFFFFF"/>
                <w:lang w:eastAsia="en-AU"/>
              </w:rPr>
            </w:pPr>
            <w:r w:rsidRPr="00630A55">
              <w:rPr>
                <w:lang w:eastAsia="en-AU"/>
              </w:rPr>
              <w:t xml:space="preserve">ASH submitted to </w:t>
            </w:r>
            <w:r w:rsidR="004247C0">
              <w:rPr>
                <w:lang w:eastAsia="en-AU"/>
              </w:rPr>
              <w:t>j</w:t>
            </w:r>
            <w:r w:rsidRPr="00630A55">
              <w:rPr>
                <w:lang w:eastAsia="en-AU"/>
              </w:rPr>
              <w:t xml:space="preserve">urisdiction </w:t>
            </w:r>
          </w:p>
        </w:tc>
        <w:tc>
          <w:tcPr>
            <w:tcW w:w="2590" w:type="dxa"/>
            <w:tcBorders>
              <w:top w:val="single" w:sz="12" w:space="0" w:color="auto"/>
              <w:left w:val="single" w:sz="4" w:space="0" w:color="auto"/>
              <w:bottom w:val="single" w:sz="12" w:space="0" w:color="auto"/>
              <w:right w:val="single" w:sz="4" w:space="0" w:color="auto"/>
            </w:tcBorders>
            <w:shd w:val="clear" w:color="000000" w:fill="00338D"/>
            <w:noWrap/>
            <w:vAlign w:val="center"/>
          </w:tcPr>
          <w:p w14:paraId="70624F2B" w14:textId="202E2698" w:rsidR="0095536F" w:rsidRPr="00630A55" w:rsidRDefault="0048310B" w:rsidP="0048310B">
            <w:pPr>
              <w:pStyle w:val="Tableheading"/>
              <w:rPr>
                <w:lang w:eastAsia="en-AU"/>
              </w:rPr>
            </w:pPr>
            <w:r>
              <w:rPr>
                <w:lang w:eastAsia="en-AU"/>
              </w:rPr>
              <w:t>Value</w:t>
            </w:r>
          </w:p>
        </w:tc>
      </w:tr>
      <w:tr w:rsidR="0095536F" w:rsidRPr="00630A55" w14:paraId="7D5BF2B2" w14:textId="77777777" w:rsidTr="009C41D0">
        <w:trPr>
          <w:trHeight w:val="258"/>
        </w:trPr>
        <w:tc>
          <w:tcPr>
            <w:tcW w:w="6887" w:type="dxa"/>
            <w:gridSpan w:val="2"/>
            <w:tcBorders>
              <w:top w:val="single" w:sz="12" w:space="0" w:color="auto"/>
              <w:left w:val="single" w:sz="4" w:space="0" w:color="auto"/>
              <w:right w:val="single" w:sz="4" w:space="0" w:color="auto"/>
            </w:tcBorders>
            <w:shd w:val="clear" w:color="auto" w:fill="auto"/>
            <w:vAlign w:val="center"/>
            <w:hideMark/>
          </w:tcPr>
          <w:p w14:paraId="14F601D8" w14:textId="4A1A62B7" w:rsidR="0095536F" w:rsidRPr="00630A55" w:rsidRDefault="0095536F" w:rsidP="008A5614">
            <w:pPr>
              <w:pStyle w:val="Tabletext"/>
              <w:rPr>
                <w:color w:val="000000"/>
                <w:lang w:eastAsia="en-AU"/>
              </w:rPr>
            </w:pPr>
            <w:r w:rsidRPr="00630A55">
              <w:rPr>
                <w:lang w:eastAsia="en-AU"/>
              </w:rPr>
              <w:t xml:space="preserve">Summary submission of data to </w:t>
            </w:r>
            <w:r w:rsidR="004247C0">
              <w:rPr>
                <w:lang w:eastAsia="en-AU"/>
              </w:rPr>
              <w:t>j</w:t>
            </w:r>
            <w:r w:rsidRPr="00630A55">
              <w:rPr>
                <w:lang w:eastAsia="en-AU"/>
              </w:rPr>
              <w:t xml:space="preserve">urisdiction </w:t>
            </w:r>
          </w:p>
        </w:tc>
        <w:tc>
          <w:tcPr>
            <w:tcW w:w="2590" w:type="dxa"/>
            <w:tcBorders>
              <w:top w:val="single" w:sz="12" w:space="0" w:color="auto"/>
              <w:left w:val="single" w:sz="4" w:space="0" w:color="auto"/>
              <w:right w:val="single" w:sz="4" w:space="0" w:color="auto"/>
            </w:tcBorders>
            <w:shd w:val="clear" w:color="auto" w:fill="auto"/>
            <w:vAlign w:val="center"/>
          </w:tcPr>
          <w:p w14:paraId="3CB16AD3" w14:textId="77777777" w:rsidR="0095536F" w:rsidRPr="00630A55" w:rsidRDefault="0095536F" w:rsidP="007515AF">
            <w:pPr>
              <w:pStyle w:val="TableTextNumber"/>
              <w:jc w:val="right"/>
            </w:pPr>
          </w:p>
        </w:tc>
      </w:tr>
      <w:tr w:rsidR="0095536F" w:rsidRPr="00630A55" w14:paraId="0429D6FA" w14:textId="77777777" w:rsidTr="009C41D0">
        <w:trPr>
          <w:trHeight w:val="258"/>
        </w:trPr>
        <w:tc>
          <w:tcPr>
            <w:tcW w:w="281" w:type="dxa"/>
            <w:tcBorders>
              <w:left w:val="single" w:sz="4" w:space="0" w:color="auto"/>
            </w:tcBorders>
            <w:shd w:val="clear" w:color="000000" w:fill="FFFFFF"/>
            <w:noWrap/>
            <w:vAlign w:val="center"/>
            <w:hideMark/>
          </w:tcPr>
          <w:p w14:paraId="4B7A92E5" w14:textId="77777777" w:rsidR="0095536F" w:rsidRPr="00630A55" w:rsidRDefault="0095536F" w:rsidP="008A5614">
            <w:pPr>
              <w:pStyle w:val="Tabletext"/>
              <w:rPr>
                <w:color w:val="000000"/>
                <w:lang w:eastAsia="en-AU"/>
              </w:rPr>
            </w:pPr>
            <w:r w:rsidRPr="00630A55">
              <w:rPr>
                <w:lang w:eastAsia="en-AU"/>
              </w:rPr>
              <w:t> </w:t>
            </w:r>
          </w:p>
        </w:tc>
        <w:tc>
          <w:tcPr>
            <w:tcW w:w="6606" w:type="dxa"/>
            <w:tcBorders>
              <w:right w:val="single" w:sz="4" w:space="0" w:color="auto"/>
            </w:tcBorders>
            <w:shd w:val="clear" w:color="auto" w:fill="auto"/>
            <w:vAlign w:val="center"/>
            <w:hideMark/>
          </w:tcPr>
          <w:p w14:paraId="38623B53" w14:textId="30B12D0D" w:rsidR="0095536F" w:rsidRPr="00630A55" w:rsidRDefault="0095536F" w:rsidP="008A5614">
            <w:pPr>
              <w:pStyle w:val="Tabletext"/>
              <w:rPr>
                <w:color w:val="000000"/>
                <w:lang w:eastAsia="en-AU"/>
              </w:rPr>
            </w:pPr>
            <w:r w:rsidRPr="00630A55">
              <w:rPr>
                <w:lang w:eastAsia="en-AU"/>
              </w:rPr>
              <w:t xml:space="preserve">Activity submitted to </w:t>
            </w:r>
            <w:r w:rsidR="004247C0">
              <w:rPr>
                <w:lang w:eastAsia="en-AU"/>
              </w:rPr>
              <w:t>j</w:t>
            </w:r>
            <w:r w:rsidRPr="00630A55">
              <w:rPr>
                <w:lang w:eastAsia="en-AU"/>
              </w:rPr>
              <w:t>urisdiction</w:t>
            </w:r>
          </w:p>
        </w:tc>
        <w:tc>
          <w:tcPr>
            <w:tcW w:w="2590" w:type="dxa"/>
            <w:tcBorders>
              <w:left w:val="single" w:sz="4" w:space="0" w:color="auto"/>
              <w:right w:val="single" w:sz="4" w:space="0" w:color="auto"/>
            </w:tcBorders>
            <w:shd w:val="clear" w:color="auto" w:fill="auto"/>
            <w:noWrap/>
            <w:vAlign w:val="center"/>
          </w:tcPr>
          <w:p w14:paraId="2B8ABAB7" w14:textId="77777777" w:rsidR="0095536F" w:rsidRPr="00630A55" w:rsidRDefault="0095536F" w:rsidP="007515AF">
            <w:pPr>
              <w:pStyle w:val="TableTextNumber"/>
              <w:jc w:val="right"/>
            </w:pPr>
            <w:r w:rsidRPr="00630A55">
              <w:t>180,090</w:t>
            </w:r>
          </w:p>
        </w:tc>
      </w:tr>
      <w:tr w:rsidR="0095536F" w:rsidRPr="00630A55" w14:paraId="4877C300" w14:textId="77777777" w:rsidTr="009C41D0">
        <w:trPr>
          <w:trHeight w:val="258"/>
        </w:trPr>
        <w:tc>
          <w:tcPr>
            <w:tcW w:w="281" w:type="dxa"/>
            <w:tcBorders>
              <w:left w:val="single" w:sz="4" w:space="0" w:color="auto"/>
            </w:tcBorders>
            <w:shd w:val="clear" w:color="000000" w:fill="FFFFFF"/>
            <w:noWrap/>
            <w:vAlign w:val="center"/>
            <w:hideMark/>
          </w:tcPr>
          <w:p w14:paraId="5428D5CA" w14:textId="77777777" w:rsidR="0095536F" w:rsidRPr="00630A55" w:rsidRDefault="0095536F" w:rsidP="008A5614">
            <w:pPr>
              <w:pStyle w:val="Tabletext"/>
              <w:rPr>
                <w:color w:val="000000"/>
                <w:lang w:eastAsia="en-AU"/>
              </w:rPr>
            </w:pPr>
            <w:r w:rsidRPr="00630A55">
              <w:rPr>
                <w:lang w:eastAsia="en-AU"/>
              </w:rPr>
              <w:t> </w:t>
            </w:r>
          </w:p>
        </w:tc>
        <w:tc>
          <w:tcPr>
            <w:tcW w:w="6606" w:type="dxa"/>
            <w:tcBorders>
              <w:right w:val="single" w:sz="4" w:space="0" w:color="auto"/>
            </w:tcBorders>
            <w:shd w:val="clear" w:color="auto" w:fill="auto"/>
            <w:vAlign w:val="center"/>
            <w:hideMark/>
          </w:tcPr>
          <w:p w14:paraId="3D9E7D3A" w14:textId="3EF1AD8B" w:rsidR="0095536F" w:rsidRPr="00630A55" w:rsidRDefault="0095536F" w:rsidP="008A5614">
            <w:pPr>
              <w:pStyle w:val="Tabletext"/>
              <w:rPr>
                <w:color w:val="000000"/>
                <w:lang w:eastAsia="en-AU"/>
              </w:rPr>
            </w:pPr>
            <w:r w:rsidRPr="00630A55">
              <w:rPr>
                <w:lang w:eastAsia="en-AU"/>
              </w:rPr>
              <w:t xml:space="preserve">Costs submitted to </w:t>
            </w:r>
            <w:r w:rsidR="004247C0">
              <w:rPr>
                <w:lang w:eastAsia="en-AU"/>
              </w:rPr>
              <w:t>j</w:t>
            </w:r>
            <w:r w:rsidRPr="00630A55">
              <w:rPr>
                <w:lang w:eastAsia="en-AU"/>
              </w:rPr>
              <w:t>urisdiction</w:t>
            </w:r>
          </w:p>
        </w:tc>
        <w:tc>
          <w:tcPr>
            <w:tcW w:w="2590" w:type="dxa"/>
            <w:tcBorders>
              <w:left w:val="single" w:sz="4" w:space="0" w:color="auto"/>
              <w:right w:val="single" w:sz="4" w:space="0" w:color="auto"/>
            </w:tcBorders>
            <w:shd w:val="clear" w:color="auto" w:fill="auto"/>
            <w:noWrap/>
            <w:vAlign w:val="center"/>
          </w:tcPr>
          <w:p w14:paraId="0436E18E" w14:textId="77777777" w:rsidR="0095536F" w:rsidRPr="00630A55" w:rsidRDefault="0095536F" w:rsidP="007515AF">
            <w:pPr>
              <w:pStyle w:val="TableTextNumber"/>
              <w:jc w:val="right"/>
            </w:pPr>
            <w:r w:rsidRPr="00630A55">
              <w:t>$303,405,127</w:t>
            </w:r>
          </w:p>
        </w:tc>
      </w:tr>
      <w:tr w:rsidR="0095536F" w:rsidRPr="00630A55" w14:paraId="1F061185" w14:textId="77777777" w:rsidTr="009C41D0">
        <w:trPr>
          <w:trHeight w:val="258"/>
        </w:trPr>
        <w:tc>
          <w:tcPr>
            <w:tcW w:w="6887" w:type="dxa"/>
            <w:gridSpan w:val="2"/>
            <w:tcBorders>
              <w:top w:val="single" w:sz="12" w:space="0" w:color="auto"/>
              <w:left w:val="single" w:sz="4" w:space="0" w:color="auto"/>
              <w:bottom w:val="single" w:sz="12" w:space="0" w:color="auto"/>
              <w:right w:val="single" w:sz="4" w:space="0" w:color="auto"/>
            </w:tcBorders>
            <w:shd w:val="clear" w:color="000000" w:fill="00338D"/>
            <w:noWrap/>
            <w:vAlign w:val="center"/>
            <w:hideMark/>
          </w:tcPr>
          <w:p w14:paraId="3580BC9B" w14:textId="77777777" w:rsidR="0095536F" w:rsidRPr="00630A55" w:rsidRDefault="0095536F" w:rsidP="008A5614">
            <w:pPr>
              <w:pStyle w:val="Tableheading"/>
              <w:rPr>
                <w:color w:val="FFFFFF"/>
                <w:lang w:eastAsia="en-AU"/>
              </w:rPr>
            </w:pPr>
            <w:r w:rsidRPr="00630A55">
              <w:rPr>
                <w:lang w:eastAsia="en-AU"/>
              </w:rPr>
              <w:t>ASH costs and activity submitted to IHACPA</w:t>
            </w:r>
          </w:p>
        </w:tc>
        <w:tc>
          <w:tcPr>
            <w:tcW w:w="2590" w:type="dxa"/>
            <w:tcBorders>
              <w:top w:val="single" w:sz="12" w:space="0" w:color="auto"/>
              <w:left w:val="single" w:sz="4" w:space="0" w:color="auto"/>
              <w:bottom w:val="single" w:sz="12" w:space="0" w:color="auto"/>
              <w:right w:val="single" w:sz="4" w:space="0" w:color="auto"/>
            </w:tcBorders>
            <w:shd w:val="clear" w:color="000000" w:fill="00338D"/>
            <w:noWrap/>
            <w:vAlign w:val="center"/>
          </w:tcPr>
          <w:p w14:paraId="26D0457A" w14:textId="634B7739" w:rsidR="0095536F" w:rsidRPr="00630A55" w:rsidRDefault="0048310B" w:rsidP="0048310B">
            <w:pPr>
              <w:pStyle w:val="Tableheading"/>
              <w:rPr>
                <w:lang w:eastAsia="en-AU"/>
              </w:rPr>
            </w:pPr>
            <w:r>
              <w:rPr>
                <w:lang w:eastAsia="en-AU"/>
              </w:rPr>
              <w:t>Value</w:t>
            </w:r>
          </w:p>
        </w:tc>
      </w:tr>
      <w:tr w:rsidR="0095536F" w:rsidRPr="00630A55" w14:paraId="1736985D" w14:textId="77777777" w:rsidTr="009C41D0">
        <w:trPr>
          <w:trHeight w:val="258"/>
        </w:trPr>
        <w:tc>
          <w:tcPr>
            <w:tcW w:w="6887" w:type="dxa"/>
            <w:gridSpan w:val="2"/>
            <w:tcBorders>
              <w:top w:val="single" w:sz="12" w:space="0" w:color="auto"/>
              <w:left w:val="single" w:sz="4" w:space="0" w:color="auto"/>
              <w:right w:val="single" w:sz="4" w:space="0" w:color="auto"/>
            </w:tcBorders>
            <w:shd w:val="clear" w:color="000000" w:fill="FFFFFF"/>
            <w:vAlign w:val="center"/>
            <w:hideMark/>
          </w:tcPr>
          <w:p w14:paraId="46DAD7A2" w14:textId="3343D773" w:rsidR="0095536F" w:rsidRPr="00630A55" w:rsidRDefault="0095536F" w:rsidP="008A5614">
            <w:pPr>
              <w:pStyle w:val="Tabletext"/>
              <w:rPr>
                <w:color w:val="000000"/>
                <w:lang w:eastAsia="en-AU"/>
              </w:rPr>
            </w:pPr>
            <w:r w:rsidRPr="00630A55">
              <w:rPr>
                <w:lang w:eastAsia="en-AU"/>
              </w:rPr>
              <w:t xml:space="preserve">Final </w:t>
            </w:r>
            <w:r w:rsidR="004247C0">
              <w:rPr>
                <w:lang w:eastAsia="en-AU"/>
              </w:rPr>
              <w:t>s</w:t>
            </w:r>
            <w:r w:rsidRPr="00630A55">
              <w:rPr>
                <w:lang w:eastAsia="en-AU"/>
              </w:rPr>
              <w:t xml:space="preserve">ubmission of data to </w:t>
            </w:r>
            <w:r w:rsidR="004247C0">
              <w:rPr>
                <w:lang w:eastAsia="en-AU"/>
              </w:rPr>
              <w:t>j</w:t>
            </w:r>
            <w:r w:rsidRPr="00630A55">
              <w:rPr>
                <w:lang w:eastAsia="en-AU"/>
              </w:rPr>
              <w:t xml:space="preserve">urisdiction for IHACPA - </w:t>
            </w:r>
            <w:r w:rsidR="004247C0">
              <w:rPr>
                <w:lang w:eastAsia="en-AU"/>
              </w:rPr>
              <w:t>c</w:t>
            </w:r>
            <w:r w:rsidRPr="00630A55">
              <w:rPr>
                <w:lang w:eastAsia="en-AU"/>
              </w:rPr>
              <w:t xml:space="preserve">ost and </w:t>
            </w:r>
            <w:r w:rsidR="004247C0">
              <w:rPr>
                <w:lang w:eastAsia="en-AU"/>
              </w:rPr>
              <w:t>a</w:t>
            </w:r>
            <w:r w:rsidRPr="00630A55">
              <w:rPr>
                <w:lang w:eastAsia="en-AU"/>
              </w:rPr>
              <w:t xml:space="preserve">ctivity by </w:t>
            </w:r>
            <w:r w:rsidR="004247C0">
              <w:rPr>
                <w:lang w:eastAsia="en-AU"/>
              </w:rPr>
              <w:t>p</w:t>
            </w:r>
            <w:r w:rsidRPr="00630A55">
              <w:rPr>
                <w:lang w:eastAsia="en-AU"/>
              </w:rPr>
              <w:t xml:space="preserve">roduct </w:t>
            </w:r>
          </w:p>
        </w:tc>
        <w:tc>
          <w:tcPr>
            <w:tcW w:w="2590" w:type="dxa"/>
            <w:tcBorders>
              <w:top w:val="single" w:sz="12" w:space="0" w:color="auto"/>
              <w:left w:val="single" w:sz="4" w:space="0" w:color="auto"/>
              <w:right w:val="single" w:sz="4" w:space="0" w:color="auto"/>
            </w:tcBorders>
            <w:shd w:val="clear" w:color="auto" w:fill="auto"/>
            <w:vAlign w:val="center"/>
          </w:tcPr>
          <w:p w14:paraId="548F4428" w14:textId="77777777" w:rsidR="0095536F" w:rsidRPr="00630A55" w:rsidRDefault="0095536F" w:rsidP="007515AF">
            <w:pPr>
              <w:pStyle w:val="TableTextNumber"/>
              <w:jc w:val="right"/>
            </w:pPr>
          </w:p>
        </w:tc>
      </w:tr>
      <w:tr w:rsidR="0095536F" w:rsidRPr="00630A55" w14:paraId="4E3DBC4C" w14:textId="77777777" w:rsidTr="009C41D0">
        <w:trPr>
          <w:trHeight w:val="258"/>
        </w:trPr>
        <w:tc>
          <w:tcPr>
            <w:tcW w:w="281" w:type="dxa"/>
            <w:tcBorders>
              <w:left w:val="single" w:sz="4" w:space="0" w:color="auto"/>
            </w:tcBorders>
            <w:shd w:val="clear" w:color="000000" w:fill="FFFFFF"/>
            <w:noWrap/>
            <w:vAlign w:val="center"/>
            <w:hideMark/>
          </w:tcPr>
          <w:p w14:paraId="247FD57E" w14:textId="77777777" w:rsidR="0095536F" w:rsidRPr="00630A55" w:rsidRDefault="0095536F" w:rsidP="008A5614">
            <w:pPr>
              <w:pStyle w:val="Tabletext"/>
              <w:rPr>
                <w:color w:val="000000"/>
                <w:lang w:eastAsia="en-AU"/>
              </w:rPr>
            </w:pPr>
            <w:r w:rsidRPr="00630A55">
              <w:rPr>
                <w:lang w:eastAsia="en-AU"/>
              </w:rPr>
              <w:t> </w:t>
            </w:r>
          </w:p>
        </w:tc>
        <w:tc>
          <w:tcPr>
            <w:tcW w:w="6606" w:type="dxa"/>
            <w:tcBorders>
              <w:right w:val="single" w:sz="4" w:space="0" w:color="auto"/>
            </w:tcBorders>
            <w:shd w:val="clear" w:color="000000" w:fill="FFFFFF"/>
            <w:vAlign w:val="center"/>
            <w:hideMark/>
          </w:tcPr>
          <w:p w14:paraId="572E14F8" w14:textId="77777777" w:rsidR="0095536F" w:rsidRPr="00630A55" w:rsidRDefault="0095536F" w:rsidP="008A5614">
            <w:pPr>
              <w:pStyle w:val="Tabletext"/>
              <w:rPr>
                <w:color w:val="000000"/>
                <w:lang w:eastAsia="en-AU"/>
              </w:rPr>
            </w:pPr>
            <w:r w:rsidRPr="00630A55">
              <w:rPr>
                <w:lang w:eastAsia="en-AU"/>
              </w:rPr>
              <w:t>Activity</w:t>
            </w:r>
          </w:p>
        </w:tc>
        <w:tc>
          <w:tcPr>
            <w:tcW w:w="2590" w:type="dxa"/>
            <w:tcBorders>
              <w:left w:val="single" w:sz="4" w:space="0" w:color="auto"/>
              <w:right w:val="single" w:sz="4" w:space="0" w:color="auto"/>
            </w:tcBorders>
            <w:shd w:val="clear" w:color="auto" w:fill="auto"/>
            <w:noWrap/>
            <w:vAlign w:val="center"/>
          </w:tcPr>
          <w:p w14:paraId="1DE751E7" w14:textId="77777777" w:rsidR="0095536F" w:rsidRPr="00630A55" w:rsidRDefault="0095536F" w:rsidP="007515AF">
            <w:pPr>
              <w:pStyle w:val="TableTextNumber"/>
              <w:jc w:val="right"/>
            </w:pPr>
            <w:r w:rsidRPr="00630A55">
              <w:t>204,285</w:t>
            </w:r>
          </w:p>
        </w:tc>
      </w:tr>
      <w:tr w:rsidR="0095536F" w:rsidRPr="00630A55" w14:paraId="15DFD3D3" w14:textId="77777777" w:rsidTr="009C41D0">
        <w:trPr>
          <w:trHeight w:val="258"/>
        </w:trPr>
        <w:tc>
          <w:tcPr>
            <w:tcW w:w="281" w:type="dxa"/>
            <w:tcBorders>
              <w:left w:val="single" w:sz="4" w:space="0" w:color="auto"/>
            </w:tcBorders>
            <w:shd w:val="clear" w:color="000000" w:fill="FFFFFF"/>
            <w:noWrap/>
            <w:vAlign w:val="center"/>
            <w:hideMark/>
          </w:tcPr>
          <w:p w14:paraId="316D7DFC" w14:textId="77777777" w:rsidR="0095536F" w:rsidRPr="00630A55" w:rsidRDefault="0095536F" w:rsidP="008A5614">
            <w:pPr>
              <w:pStyle w:val="Tabletext"/>
              <w:rPr>
                <w:color w:val="000000"/>
                <w:lang w:eastAsia="en-AU"/>
              </w:rPr>
            </w:pPr>
            <w:r w:rsidRPr="00630A55">
              <w:rPr>
                <w:lang w:eastAsia="en-AU"/>
              </w:rPr>
              <w:t> </w:t>
            </w:r>
          </w:p>
        </w:tc>
        <w:tc>
          <w:tcPr>
            <w:tcW w:w="6606" w:type="dxa"/>
            <w:tcBorders>
              <w:right w:val="single" w:sz="4" w:space="0" w:color="auto"/>
            </w:tcBorders>
            <w:shd w:val="clear" w:color="000000" w:fill="FFFFFF"/>
            <w:vAlign w:val="center"/>
            <w:hideMark/>
          </w:tcPr>
          <w:p w14:paraId="5087063C" w14:textId="77777777" w:rsidR="0095536F" w:rsidRPr="00630A55" w:rsidRDefault="0095536F" w:rsidP="008A5614">
            <w:pPr>
              <w:pStyle w:val="Tabletext"/>
              <w:rPr>
                <w:color w:val="000000"/>
                <w:lang w:eastAsia="en-AU"/>
              </w:rPr>
            </w:pPr>
            <w:r w:rsidRPr="00630A55">
              <w:rPr>
                <w:lang w:eastAsia="en-AU"/>
              </w:rPr>
              <w:t>Costs</w:t>
            </w:r>
          </w:p>
        </w:tc>
        <w:tc>
          <w:tcPr>
            <w:tcW w:w="2590" w:type="dxa"/>
            <w:tcBorders>
              <w:left w:val="single" w:sz="4" w:space="0" w:color="auto"/>
              <w:right w:val="single" w:sz="4" w:space="0" w:color="auto"/>
            </w:tcBorders>
            <w:shd w:val="clear" w:color="auto" w:fill="auto"/>
            <w:noWrap/>
            <w:vAlign w:val="center"/>
          </w:tcPr>
          <w:p w14:paraId="670715E5" w14:textId="77777777" w:rsidR="0095536F" w:rsidRPr="00630A55" w:rsidRDefault="0095536F" w:rsidP="007515AF">
            <w:pPr>
              <w:pStyle w:val="TableTextNumber"/>
              <w:jc w:val="right"/>
              <w:rPr>
                <w:i/>
              </w:rPr>
            </w:pPr>
            <w:r w:rsidRPr="00630A55">
              <w:t>$308,363,894</w:t>
            </w:r>
          </w:p>
        </w:tc>
      </w:tr>
      <w:tr w:rsidR="0095536F" w:rsidRPr="00630A55" w14:paraId="7C8B0CD7" w14:textId="77777777" w:rsidTr="009C41D0">
        <w:trPr>
          <w:trHeight w:val="258"/>
        </w:trPr>
        <w:tc>
          <w:tcPr>
            <w:tcW w:w="6887" w:type="dxa"/>
            <w:gridSpan w:val="2"/>
            <w:tcBorders>
              <w:left w:val="single" w:sz="4" w:space="0" w:color="auto"/>
              <w:right w:val="single" w:sz="4" w:space="0" w:color="auto"/>
            </w:tcBorders>
            <w:shd w:val="clear" w:color="000000" w:fill="FFFFFF"/>
            <w:vAlign w:val="center"/>
            <w:hideMark/>
          </w:tcPr>
          <w:p w14:paraId="46CE1321" w14:textId="130174C8" w:rsidR="0095536F" w:rsidRPr="00630A55" w:rsidRDefault="0095536F" w:rsidP="008A5614">
            <w:pPr>
              <w:pStyle w:val="Tabletext"/>
              <w:rPr>
                <w:color w:val="000000"/>
                <w:lang w:eastAsia="en-AU"/>
              </w:rPr>
            </w:pPr>
            <w:r w:rsidRPr="00630A55">
              <w:rPr>
                <w:lang w:eastAsia="en-AU"/>
              </w:rPr>
              <w:t xml:space="preserve">Adjustments to </w:t>
            </w:r>
            <w:r w:rsidR="004247C0">
              <w:rPr>
                <w:lang w:eastAsia="en-AU"/>
              </w:rPr>
              <w:t>j</w:t>
            </w:r>
            <w:r w:rsidRPr="00630A55">
              <w:rPr>
                <w:lang w:eastAsia="en-AU"/>
              </w:rPr>
              <w:t xml:space="preserve">urisdictional </w:t>
            </w:r>
            <w:r w:rsidR="004247C0">
              <w:rPr>
                <w:lang w:eastAsia="en-AU"/>
              </w:rPr>
              <w:t>s</w:t>
            </w:r>
            <w:r w:rsidRPr="00630A55">
              <w:rPr>
                <w:lang w:eastAsia="en-AU"/>
              </w:rPr>
              <w:t xml:space="preserve">ubmission prior to finalisation of </w:t>
            </w:r>
            <w:r w:rsidR="004247C0">
              <w:rPr>
                <w:lang w:eastAsia="en-AU"/>
              </w:rPr>
              <w:t>j</w:t>
            </w:r>
            <w:r w:rsidRPr="00630A55">
              <w:rPr>
                <w:lang w:eastAsia="en-AU"/>
              </w:rPr>
              <w:t>urisdictional data</w:t>
            </w:r>
          </w:p>
        </w:tc>
        <w:tc>
          <w:tcPr>
            <w:tcW w:w="2590" w:type="dxa"/>
            <w:tcBorders>
              <w:left w:val="single" w:sz="4" w:space="0" w:color="auto"/>
              <w:right w:val="single" w:sz="4" w:space="0" w:color="auto"/>
            </w:tcBorders>
            <w:shd w:val="clear" w:color="auto" w:fill="auto"/>
            <w:vAlign w:val="center"/>
          </w:tcPr>
          <w:p w14:paraId="6AC0ABC8" w14:textId="77777777" w:rsidR="0095536F" w:rsidRPr="00630A55" w:rsidRDefault="0095536F" w:rsidP="007515AF">
            <w:pPr>
              <w:pStyle w:val="TableTextNumber"/>
              <w:jc w:val="right"/>
            </w:pPr>
          </w:p>
        </w:tc>
      </w:tr>
      <w:tr w:rsidR="0095536F" w:rsidRPr="00630A55" w14:paraId="6DE9EBD3" w14:textId="77777777" w:rsidTr="009C41D0">
        <w:trPr>
          <w:trHeight w:val="258"/>
        </w:trPr>
        <w:tc>
          <w:tcPr>
            <w:tcW w:w="281" w:type="dxa"/>
            <w:tcBorders>
              <w:left w:val="single" w:sz="4" w:space="0" w:color="auto"/>
            </w:tcBorders>
            <w:shd w:val="clear" w:color="000000" w:fill="FFFFFF"/>
            <w:noWrap/>
            <w:vAlign w:val="center"/>
            <w:hideMark/>
          </w:tcPr>
          <w:p w14:paraId="7D78979A" w14:textId="77777777" w:rsidR="0095536F" w:rsidRPr="00630A55" w:rsidRDefault="0095536F" w:rsidP="008A5614">
            <w:pPr>
              <w:pStyle w:val="Tabletext"/>
              <w:rPr>
                <w:color w:val="000000"/>
                <w:lang w:eastAsia="en-AU"/>
              </w:rPr>
            </w:pPr>
            <w:r w:rsidRPr="00630A55">
              <w:rPr>
                <w:lang w:eastAsia="en-AU"/>
              </w:rPr>
              <w:t> </w:t>
            </w:r>
          </w:p>
        </w:tc>
        <w:tc>
          <w:tcPr>
            <w:tcW w:w="6606" w:type="dxa"/>
            <w:tcBorders>
              <w:right w:val="single" w:sz="4" w:space="0" w:color="auto"/>
            </w:tcBorders>
            <w:shd w:val="clear" w:color="000000" w:fill="FFFFFF"/>
            <w:noWrap/>
            <w:vAlign w:val="center"/>
            <w:hideMark/>
          </w:tcPr>
          <w:p w14:paraId="165CE6C2" w14:textId="77777777" w:rsidR="0095536F" w:rsidRPr="00630A55" w:rsidRDefault="0095536F" w:rsidP="008A5614">
            <w:pPr>
              <w:pStyle w:val="Tabletext"/>
              <w:rPr>
                <w:color w:val="000000"/>
                <w:lang w:eastAsia="en-AU"/>
              </w:rPr>
            </w:pPr>
            <w:r w:rsidRPr="00630A55">
              <w:rPr>
                <w:lang w:eastAsia="en-AU"/>
              </w:rPr>
              <w:t xml:space="preserve">Activity totals </w:t>
            </w:r>
          </w:p>
        </w:tc>
        <w:tc>
          <w:tcPr>
            <w:tcW w:w="2590" w:type="dxa"/>
            <w:tcBorders>
              <w:left w:val="single" w:sz="4" w:space="0" w:color="auto"/>
              <w:right w:val="single" w:sz="4" w:space="0" w:color="auto"/>
            </w:tcBorders>
            <w:shd w:val="clear" w:color="auto" w:fill="auto"/>
            <w:noWrap/>
            <w:vAlign w:val="bottom"/>
          </w:tcPr>
          <w:p w14:paraId="050D650A" w14:textId="77777777" w:rsidR="0095536F" w:rsidRPr="00630A55" w:rsidRDefault="0095536F" w:rsidP="007515AF">
            <w:pPr>
              <w:pStyle w:val="TableTextNumber"/>
              <w:jc w:val="right"/>
              <w:rPr>
                <w:color w:val="000000" w:themeColor="text1"/>
              </w:rPr>
            </w:pPr>
            <w:r w:rsidRPr="00630A55">
              <w:t>(24,195)</w:t>
            </w:r>
          </w:p>
        </w:tc>
      </w:tr>
      <w:tr w:rsidR="0095536F" w:rsidRPr="00630A55" w14:paraId="418BDE74" w14:textId="77777777" w:rsidTr="009C41D0">
        <w:trPr>
          <w:trHeight w:val="258"/>
        </w:trPr>
        <w:tc>
          <w:tcPr>
            <w:tcW w:w="281" w:type="dxa"/>
            <w:tcBorders>
              <w:left w:val="single" w:sz="4" w:space="0" w:color="auto"/>
            </w:tcBorders>
            <w:shd w:val="clear" w:color="000000" w:fill="FFFFFF"/>
            <w:noWrap/>
            <w:vAlign w:val="center"/>
            <w:hideMark/>
          </w:tcPr>
          <w:p w14:paraId="4208EA86" w14:textId="77777777" w:rsidR="0095536F" w:rsidRPr="00630A55" w:rsidRDefault="0095536F" w:rsidP="008A5614">
            <w:pPr>
              <w:pStyle w:val="Tabletext"/>
              <w:rPr>
                <w:color w:val="000000"/>
                <w:lang w:eastAsia="en-AU"/>
              </w:rPr>
            </w:pPr>
            <w:r w:rsidRPr="00630A55">
              <w:rPr>
                <w:lang w:eastAsia="en-AU"/>
              </w:rPr>
              <w:t> </w:t>
            </w:r>
          </w:p>
        </w:tc>
        <w:tc>
          <w:tcPr>
            <w:tcW w:w="6606" w:type="dxa"/>
            <w:tcBorders>
              <w:right w:val="single" w:sz="4" w:space="0" w:color="auto"/>
            </w:tcBorders>
            <w:shd w:val="clear" w:color="000000" w:fill="FFFFFF"/>
            <w:noWrap/>
            <w:vAlign w:val="center"/>
            <w:hideMark/>
          </w:tcPr>
          <w:p w14:paraId="6B19EDAB" w14:textId="77777777" w:rsidR="0095536F" w:rsidRPr="00630A55" w:rsidRDefault="0095536F" w:rsidP="008A5614">
            <w:pPr>
              <w:pStyle w:val="Tabletext"/>
              <w:rPr>
                <w:color w:val="000000"/>
                <w:lang w:eastAsia="en-AU"/>
              </w:rPr>
            </w:pPr>
            <w:r w:rsidRPr="00630A55">
              <w:rPr>
                <w:lang w:eastAsia="en-AU"/>
              </w:rPr>
              <w:t>Cost totals</w:t>
            </w:r>
          </w:p>
        </w:tc>
        <w:tc>
          <w:tcPr>
            <w:tcW w:w="2590" w:type="dxa"/>
            <w:tcBorders>
              <w:left w:val="single" w:sz="4" w:space="0" w:color="auto"/>
              <w:right w:val="single" w:sz="4" w:space="0" w:color="auto"/>
            </w:tcBorders>
            <w:shd w:val="clear" w:color="auto" w:fill="auto"/>
            <w:noWrap/>
            <w:vAlign w:val="bottom"/>
          </w:tcPr>
          <w:p w14:paraId="5CBFB4E7" w14:textId="77777777" w:rsidR="0095536F" w:rsidRPr="00630A55" w:rsidRDefault="0095536F" w:rsidP="007515AF">
            <w:pPr>
              <w:pStyle w:val="TableTextNumber"/>
              <w:jc w:val="right"/>
              <w:rPr>
                <w:i/>
                <w:color w:val="000000" w:themeColor="text1"/>
              </w:rPr>
            </w:pPr>
            <w:r w:rsidRPr="00630A55">
              <w:t>($4,958,767)</w:t>
            </w:r>
          </w:p>
        </w:tc>
      </w:tr>
      <w:tr w:rsidR="0095536F" w:rsidRPr="00630A55" w14:paraId="11395DB1" w14:textId="77777777" w:rsidTr="009C41D0">
        <w:trPr>
          <w:trHeight w:val="258"/>
        </w:trPr>
        <w:tc>
          <w:tcPr>
            <w:tcW w:w="6887" w:type="dxa"/>
            <w:gridSpan w:val="2"/>
            <w:tcBorders>
              <w:left w:val="single" w:sz="4" w:space="0" w:color="auto"/>
              <w:right w:val="single" w:sz="4" w:space="0" w:color="auto"/>
            </w:tcBorders>
            <w:shd w:val="clear" w:color="000000" w:fill="FFFFFF"/>
            <w:vAlign w:val="center"/>
            <w:hideMark/>
          </w:tcPr>
          <w:p w14:paraId="2DE1EE7E" w14:textId="7DD840DD" w:rsidR="0095536F" w:rsidRPr="00630A55" w:rsidRDefault="0095536F" w:rsidP="008A5614">
            <w:pPr>
              <w:pStyle w:val="Tabletext"/>
              <w:rPr>
                <w:color w:val="000000"/>
                <w:lang w:eastAsia="en-AU"/>
              </w:rPr>
            </w:pPr>
            <w:r w:rsidRPr="00630A55">
              <w:rPr>
                <w:lang w:eastAsia="en-AU"/>
              </w:rPr>
              <w:t xml:space="preserve">Final </w:t>
            </w:r>
            <w:r w:rsidR="004247C0">
              <w:rPr>
                <w:lang w:eastAsia="en-AU"/>
              </w:rPr>
              <w:t>j</w:t>
            </w:r>
            <w:r w:rsidRPr="00630A55">
              <w:rPr>
                <w:lang w:eastAsia="en-AU"/>
              </w:rPr>
              <w:t xml:space="preserve">urisdictional </w:t>
            </w:r>
            <w:r w:rsidR="004247C0">
              <w:rPr>
                <w:lang w:eastAsia="en-AU"/>
              </w:rPr>
              <w:t>d</w:t>
            </w:r>
            <w:r w:rsidRPr="00630A55">
              <w:rPr>
                <w:lang w:eastAsia="en-AU"/>
              </w:rPr>
              <w:t xml:space="preserve">ata for </w:t>
            </w:r>
            <w:r w:rsidR="004247C0">
              <w:rPr>
                <w:lang w:eastAsia="en-AU"/>
              </w:rPr>
              <w:t>c</w:t>
            </w:r>
            <w:r w:rsidRPr="00630A55">
              <w:rPr>
                <w:lang w:eastAsia="en-AU"/>
              </w:rPr>
              <w:t xml:space="preserve">ost </w:t>
            </w:r>
            <w:r w:rsidR="004247C0">
              <w:rPr>
                <w:lang w:eastAsia="en-AU"/>
              </w:rPr>
              <w:t>w</w:t>
            </w:r>
            <w:r w:rsidRPr="00630A55">
              <w:rPr>
                <w:lang w:eastAsia="en-AU"/>
              </w:rPr>
              <w:t xml:space="preserve">eight </w:t>
            </w:r>
            <w:r w:rsidR="004247C0">
              <w:rPr>
                <w:lang w:eastAsia="en-AU"/>
              </w:rPr>
              <w:t>p</w:t>
            </w:r>
            <w:r w:rsidRPr="00630A55">
              <w:rPr>
                <w:lang w:eastAsia="en-AU"/>
              </w:rPr>
              <w:t>roduction</w:t>
            </w:r>
          </w:p>
        </w:tc>
        <w:tc>
          <w:tcPr>
            <w:tcW w:w="2590" w:type="dxa"/>
            <w:tcBorders>
              <w:left w:val="single" w:sz="4" w:space="0" w:color="auto"/>
              <w:right w:val="single" w:sz="4" w:space="0" w:color="auto"/>
            </w:tcBorders>
            <w:shd w:val="clear" w:color="auto" w:fill="auto"/>
            <w:vAlign w:val="center"/>
          </w:tcPr>
          <w:p w14:paraId="4F873642" w14:textId="77777777" w:rsidR="0095536F" w:rsidRPr="00630A55" w:rsidRDefault="0095536F" w:rsidP="007515AF">
            <w:pPr>
              <w:pStyle w:val="TableTextNumber"/>
              <w:jc w:val="right"/>
            </w:pPr>
          </w:p>
        </w:tc>
      </w:tr>
      <w:tr w:rsidR="0095536F" w:rsidRPr="00630A55" w14:paraId="646E638D" w14:textId="77777777" w:rsidTr="009C41D0">
        <w:trPr>
          <w:trHeight w:val="258"/>
        </w:trPr>
        <w:tc>
          <w:tcPr>
            <w:tcW w:w="281" w:type="dxa"/>
            <w:tcBorders>
              <w:left w:val="single" w:sz="4" w:space="0" w:color="auto"/>
            </w:tcBorders>
            <w:shd w:val="clear" w:color="000000" w:fill="FFFFFF"/>
            <w:noWrap/>
            <w:vAlign w:val="center"/>
            <w:hideMark/>
          </w:tcPr>
          <w:p w14:paraId="60CC0F5D" w14:textId="77777777" w:rsidR="0095536F" w:rsidRPr="00630A55" w:rsidRDefault="0095536F" w:rsidP="008A5614">
            <w:pPr>
              <w:pStyle w:val="Tabletext"/>
              <w:rPr>
                <w:color w:val="000000"/>
                <w:lang w:eastAsia="en-AU"/>
              </w:rPr>
            </w:pPr>
            <w:r w:rsidRPr="00630A55">
              <w:rPr>
                <w:lang w:eastAsia="en-AU"/>
              </w:rPr>
              <w:t> </w:t>
            </w:r>
          </w:p>
        </w:tc>
        <w:tc>
          <w:tcPr>
            <w:tcW w:w="6606" w:type="dxa"/>
            <w:tcBorders>
              <w:right w:val="single" w:sz="4" w:space="0" w:color="auto"/>
            </w:tcBorders>
            <w:shd w:val="clear" w:color="000000" w:fill="FFFFFF"/>
            <w:vAlign w:val="center"/>
            <w:hideMark/>
          </w:tcPr>
          <w:p w14:paraId="0F76483E" w14:textId="09C90E4D" w:rsidR="0095536F" w:rsidRPr="00630A55" w:rsidRDefault="0095536F" w:rsidP="008A5614">
            <w:pPr>
              <w:pStyle w:val="Tabletext"/>
              <w:rPr>
                <w:color w:val="000000"/>
                <w:lang w:eastAsia="en-AU"/>
              </w:rPr>
            </w:pPr>
            <w:r w:rsidRPr="00630A55">
              <w:rPr>
                <w:lang w:eastAsia="en-AU"/>
              </w:rPr>
              <w:t xml:space="preserve">Finalised </w:t>
            </w:r>
            <w:r w:rsidR="004247C0">
              <w:rPr>
                <w:lang w:eastAsia="en-AU"/>
              </w:rPr>
              <w:t>a</w:t>
            </w:r>
            <w:r w:rsidRPr="00630A55">
              <w:rPr>
                <w:lang w:eastAsia="en-AU"/>
              </w:rPr>
              <w:t>ctivity</w:t>
            </w:r>
          </w:p>
        </w:tc>
        <w:tc>
          <w:tcPr>
            <w:tcW w:w="2590" w:type="dxa"/>
            <w:tcBorders>
              <w:left w:val="single" w:sz="4" w:space="0" w:color="auto"/>
              <w:right w:val="single" w:sz="4" w:space="0" w:color="auto"/>
            </w:tcBorders>
            <w:shd w:val="clear" w:color="auto" w:fill="auto"/>
            <w:noWrap/>
            <w:vAlign w:val="center"/>
          </w:tcPr>
          <w:p w14:paraId="47BE23C0" w14:textId="77777777" w:rsidR="0095536F" w:rsidRPr="00630A55" w:rsidRDefault="0095536F" w:rsidP="007515AF">
            <w:pPr>
              <w:pStyle w:val="TableTextNumber"/>
              <w:jc w:val="right"/>
            </w:pPr>
            <w:r w:rsidRPr="00630A55">
              <w:t>180,090</w:t>
            </w:r>
          </w:p>
        </w:tc>
      </w:tr>
      <w:tr w:rsidR="0095536F" w:rsidRPr="00630A55" w14:paraId="44570B8E" w14:textId="77777777" w:rsidTr="009C41D0">
        <w:trPr>
          <w:trHeight w:val="258"/>
        </w:trPr>
        <w:tc>
          <w:tcPr>
            <w:tcW w:w="281" w:type="dxa"/>
            <w:tcBorders>
              <w:left w:val="single" w:sz="4" w:space="0" w:color="auto"/>
              <w:bottom w:val="single" w:sz="4" w:space="0" w:color="auto"/>
            </w:tcBorders>
            <w:shd w:val="clear" w:color="000000" w:fill="FFFFFF"/>
            <w:noWrap/>
            <w:vAlign w:val="center"/>
            <w:hideMark/>
          </w:tcPr>
          <w:p w14:paraId="79EDFA27" w14:textId="77777777" w:rsidR="0095536F" w:rsidRPr="00630A55" w:rsidRDefault="0095536F" w:rsidP="008A5614">
            <w:pPr>
              <w:pStyle w:val="Tabletext"/>
              <w:rPr>
                <w:color w:val="000000"/>
                <w:lang w:eastAsia="en-AU"/>
              </w:rPr>
            </w:pPr>
            <w:r w:rsidRPr="00630A55">
              <w:rPr>
                <w:lang w:eastAsia="en-AU"/>
              </w:rPr>
              <w:t> </w:t>
            </w:r>
          </w:p>
        </w:tc>
        <w:tc>
          <w:tcPr>
            <w:tcW w:w="6606" w:type="dxa"/>
            <w:tcBorders>
              <w:bottom w:val="single" w:sz="4" w:space="0" w:color="auto"/>
              <w:right w:val="single" w:sz="4" w:space="0" w:color="auto"/>
            </w:tcBorders>
            <w:shd w:val="clear" w:color="000000" w:fill="FFFFFF"/>
            <w:vAlign w:val="center"/>
            <w:hideMark/>
          </w:tcPr>
          <w:p w14:paraId="39A29385" w14:textId="1C43336B" w:rsidR="0095536F" w:rsidRPr="00630A55" w:rsidRDefault="0095536F" w:rsidP="008A5614">
            <w:pPr>
              <w:pStyle w:val="Tabletext"/>
              <w:rPr>
                <w:color w:val="000000"/>
                <w:lang w:eastAsia="en-AU"/>
              </w:rPr>
            </w:pPr>
            <w:r w:rsidRPr="00630A55">
              <w:rPr>
                <w:lang w:eastAsia="en-AU"/>
              </w:rPr>
              <w:t xml:space="preserve">Finalised </w:t>
            </w:r>
            <w:r w:rsidR="004247C0">
              <w:rPr>
                <w:lang w:eastAsia="en-AU"/>
              </w:rPr>
              <w:t>c</w:t>
            </w:r>
            <w:r w:rsidRPr="00630A55">
              <w:rPr>
                <w:lang w:eastAsia="en-AU"/>
              </w:rPr>
              <w:t>ost</w:t>
            </w:r>
          </w:p>
        </w:tc>
        <w:tc>
          <w:tcPr>
            <w:tcW w:w="2590" w:type="dxa"/>
            <w:tcBorders>
              <w:left w:val="single" w:sz="4" w:space="0" w:color="auto"/>
              <w:bottom w:val="single" w:sz="4" w:space="0" w:color="auto"/>
              <w:right w:val="single" w:sz="4" w:space="0" w:color="auto"/>
            </w:tcBorders>
            <w:shd w:val="clear" w:color="auto" w:fill="auto"/>
            <w:noWrap/>
            <w:vAlign w:val="center"/>
          </w:tcPr>
          <w:p w14:paraId="2D0217C7" w14:textId="77777777" w:rsidR="0095536F" w:rsidRPr="00630A55" w:rsidRDefault="0095536F" w:rsidP="007515AF">
            <w:pPr>
              <w:pStyle w:val="TableTextNumber"/>
              <w:jc w:val="right"/>
            </w:pPr>
            <w:r w:rsidRPr="00630A55">
              <w:t>$303,405,127</w:t>
            </w:r>
          </w:p>
        </w:tc>
      </w:tr>
    </w:tbl>
    <w:p w14:paraId="136008A7" w14:textId="77777777" w:rsidR="00E97C76" w:rsidRPr="00630A55" w:rsidRDefault="00E97C76" w:rsidP="00E97C76">
      <w:pPr>
        <w:pStyle w:val="Source"/>
      </w:pPr>
      <w:r w:rsidRPr="00630A55">
        <w:t xml:space="preserve">Source: Jurisdictional consultations and </w:t>
      </w:r>
      <w:r>
        <w:t>templates</w:t>
      </w:r>
    </w:p>
    <w:p w14:paraId="2505A81F" w14:textId="1FDC8329" w:rsidR="0095536F" w:rsidRPr="00630A55" w:rsidRDefault="0095536F" w:rsidP="00E97C76">
      <w:pPr>
        <w:pStyle w:val="Heading3"/>
        <w:numPr>
          <w:ilvl w:val="2"/>
          <w:numId w:val="25"/>
        </w:numPr>
        <w:rPr>
          <w:rFonts w:ascii="Univers 45 Light" w:hAnsi="Univers 45 Light"/>
          <w:b w:val="0"/>
          <w:color w:val="4FC3FF" w:themeColor="accent2" w:themeTint="99"/>
          <w:szCs w:val="20"/>
        </w:rPr>
      </w:pPr>
      <w:r w:rsidRPr="00630A55">
        <w:t>Sample pa</w:t>
      </w:r>
      <w:r w:rsidRPr="00E97C76">
        <w:t>tient data</w:t>
      </w:r>
    </w:p>
    <w:p w14:paraId="4A78C1C8" w14:textId="660D69D1" w:rsidR="005867DD" w:rsidRDefault="0095536F" w:rsidP="008225C3">
      <w:pPr>
        <w:jc w:val="both"/>
      </w:pPr>
      <w:r w:rsidRPr="00630A55">
        <w:t xml:space="preserve">IHACPA selected a sample of five patients from </w:t>
      </w:r>
      <w:r w:rsidR="007A4A59">
        <w:t>ASH</w:t>
      </w:r>
      <w:r w:rsidRPr="00630A55">
        <w:t xml:space="preserve"> for the purposes of testing the data flow from jurisdictions to IHACPA at </w:t>
      </w:r>
      <w:r w:rsidR="007A4A59">
        <w:t xml:space="preserve">a </w:t>
      </w:r>
      <w:r w:rsidRPr="00630A55">
        <w:t>patient level. The jurisdiction provided the patient level costs for all five patients from each site and these reconciled with IHACPA records. Further information relating to the sample records is availabl</w:t>
      </w:r>
      <w:r w:rsidR="005867DD">
        <w:t xml:space="preserve">e in </w:t>
      </w:r>
      <w:r w:rsidR="005B21F1">
        <w:fldChar w:fldCharType="begin"/>
      </w:r>
      <w:r w:rsidR="005B21F1">
        <w:instrText xml:space="preserve"> REF _Ref115082413 \h </w:instrText>
      </w:r>
      <w:r w:rsidR="008225C3">
        <w:instrText xml:space="preserve"> \* MERGEFORMAT </w:instrText>
      </w:r>
      <w:r w:rsidR="005B21F1">
        <w:fldChar w:fldCharType="separate"/>
      </w:r>
      <w:r w:rsidR="007E2ACB" w:rsidRPr="007E2ACB">
        <w:t xml:space="preserve">Table </w:t>
      </w:r>
      <w:r w:rsidR="007E2ACB" w:rsidRPr="007E2ACB">
        <w:rPr>
          <w:noProof/>
        </w:rPr>
        <w:t>14</w:t>
      </w:r>
      <w:r w:rsidR="005B21F1">
        <w:fldChar w:fldCharType="end"/>
      </w:r>
      <w:r w:rsidR="00773E64">
        <w:t xml:space="preserve">. </w:t>
      </w:r>
    </w:p>
    <w:p w14:paraId="650F6B3A" w14:textId="0A8E3301" w:rsidR="0095536F" w:rsidRDefault="005867DD" w:rsidP="005867DD">
      <w:pPr>
        <w:pStyle w:val="Caption"/>
      </w:pPr>
      <w:bookmarkStart w:id="50" w:name="_Ref115082413"/>
      <w:r w:rsidRPr="00017473">
        <w:rPr>
          <w:b/>
          <w:bCs/>
        </w:rPr>
        <w:lastRenderedPageBreak/>
        <w:t xml:space="preserve">Table </w:t>
      </w:r>
      <w:r w:rsidR="00D91CB1" w:rsidRPr="00017473">
        <w:rPr>
          <w:b/>
          <w:bCs/>
        </w:rPr>
        <w:fldChar w:fldCharType="begin"/>
      </w:r>
      <w:r w:rsidR="00D91CB1" w:rsidRPr="00017473">
        <w:rPr>
          <w:b/>
          <w:bCs/>
        </w:rPr>
        <w:instrText xml:space="preserve"> SEQ Table \* ARABIC </w:instrText>
      </w:r>
      <w:r w:rsidR="00D91CB1" w:rsidRPr="00017473">
        <w:rPr>
          <w:b/>
          <w:bCs/>
        </w:rPr>
        <w:fldChar w:fldCharType="separate"/>
      </w:r>
      <w:r w:rsidR="007E2ACB">
        <w:rPr>
          <w:b/>
          <w:bCs/>
          <w:noProof/>
        </w:rPr>
        <w:t>14</w:t>
      </w:r>
      <w:r w:rsidR="00D91CB1" w:rsidRPr="00017473">
        <w:rPr>
          <w:b/>
          <w:bCs/>
          <w:noProof/>
        </w:rPr>
        <w:fldChar w:fldCharType="end"/>
      </w:r>
      <w:bookmarkEnd w:id="50"/>
      <w:r w:rsidRPr="00017473">
        <w:rPr>
          <w:b/>
          <w:bCs/>
        </w:rPr>
        <w:t>:</w:t>
      </w:r>
      <w:r>
        <w:t xml:space="preserve"> </w:t>
      </w:r>
      <w:r w:rsidR="004247C0">
        <w:t>Northern Territory</w:t>
      </w:r>
      <w:r>
        <w:t xml:space="preserve"> five-patient sample </w:t>
      </w:r>
      <w:r w:rsidR="004247C0">
        <w:t>reconciliation outcome</w:t>
      </w:r>
      <w:r>
        <w:t xml:space="preserve"> </w:t>
      </w:r>
    </w:p>
    <w:tbl>
      <w:tblPr>
        <w:tblStyle w:val="TableGrid"/>
        <w:tblW w:w="9209" w:type="dxa"/>
        <w:tblLook w:val="04A0" w:firstRow="1" w:lastRow="0" w:firstColumn="1" w:lastColumn="0" w:noHBand="0" w:noVBand="1"/>
      </w:tblPr>
      <w:tblGrid>
        <w:gridCol w:w="1400"/>
        <w:gridCol w:w="1485"/>
        <w:gridCol w:w="1561"/>
        <w:gridCol w:w="1623"/>
        <w:gridCol w:w="1685"/>
        <w:gridCol w:w="1455"/>
      </w:tblGrid>
      <w:tr w:rsidR="005867DD" w:rsidRPr="00630A55" w14:paraId="5716DDB6" w14:textId="77777777" w:rsidTr="005867DD">
        <w:trPr>
          <w:tblHeader/>
        </w:trPr>
        <w:tc>
          <w:tcPr>
            <w:tcW w:w="1400" w:type="dxa"/>
            <w:shd w:val="clear" w:color="auto" w:fill="00338D"/>
          </w:tcPr>
          <w:p w14:paraId="2F70C400" w14:textId="77777777" w:rsidR="005867DD" w:rsidRPr="00630A55" w:rsidRDefault="005867DD" w:rsidP="00374C3F">
            <w:pPr>
              <w:pStyle w:val="Tableheading"/>
            </w:pPr>
            <w:r w:rsidRPr="00630A55">
              <w:t xml:space="preserve">Jurisdiction </w:t>
            </w:r>
          </w:p>
        </w:tc>
        <w:tc>
          <w:tcPr>
            <w:tcW w:w="1485" w:type="dxa"/>
            <w:shd w:val="clear" w:color="auto" w:fill="00338D"/>
          </w:tcPr>
          <w:p w14:paraId="141C054D" w14:textId="77777777" w:rsidR="005867DD" w:rsidRPr="00630A55" w:rsidRDefault="005867DD" w:rsidP="00374C3F">
            <w:pPr>
              <w:pStyle w:val="Tableheading"/>
            </w:pPr>
            <w:r w:rsidRPr="00630A55">
              <w:t>Site</w:t>
            </w:r>
          </w:p>
        </w:tc>
        <w:tc>
          <w:tcPr>
            <w:tcW w:w="1561" w:type="dxa"/>
            <w:shd w:val="clear" w:color="auto" w:fill="00338D"/>
          </w:tcPr>
          <w:p w14:paraId="12041186" w14:textId="77777777" w:rsidR="005867DD" w:rsidRPr="00630A55" w:rsidRDefault="005867DD" w:rsidP="00374C3F">
            <w:pPr>
              <w:pStyle w:val="Tableheading"/>
            </w:pPr>
            <w:r w:rsidRPr="00630A55">
              <w:t>Stream</w:t>
            </w:r>
          </w:p>
        </w:tc>
        <w:tc>
          <w:tcPr>
            <w:tcW w:w="1623" w:type="dxa"/>
            <w:shd w:val="clear" w:color="auto" w:fill="00338D"/>
          </w:tcPr>
          <w:p w14:paraId="4120FE26" w14:textId="77777777" w:rsidR="005867DD" w:rsidRPr="00630A55" w:rsidRDefault="005867DD" w:rsidP="00017473">
            <w:pPr>
              <w:pStyle w:val="Tableheading"/>
              <w:jc w:val="center"/>
            </w:pPr>
            <w:r w:rsidRPr="00630A55">
              <w:t>Jurisdiction Records</w:t>
            </w:r>
          </w:p>
        </w:tc>
        <w:tc>
          <w:tcPr>
            <w:tcW w:w="1685" w:type="dxa"/>
            <w:shd w:val="clear" w:color="auto" w:fill="00338D"/>
          </w:tcPr>
          <w:p w14:paraId="29C2C1B0" w14:textId="65867A94" w:rsidR="005867DD" w:rsidRPr="00630A55" w:rsidRDefault="005867DD" w:rsidP="00017473">
            <w:pPr>
              <w:pStyle w:val="Tableheading"/>
              <w:jc w:val="center"/>
            </w:pPr>
            <w:r w:rsidRPr="00630A55">
              <w:t>Received by IHACPA</w:t>
            </w:r>
          </w:p>
        </w:tc>
        <w:tc>
          <w:tcPr>
            <w:tcW w:w="1455" w:type="dxa"/>
            <w:shd w:val="clear" w:color="auto" w:fill="00338D"/>
          </w:tcPr>
          <w:p w14:paraId="2F8D3429" w14:textId="77777777" w:rsidR="005867DD" w:rsidRPr="00630A55" w:rsidRDefault="005867DD" w:rsidP="00017473">
            <w:pPr>
              <w:pStyle w:val="Tableheading"/>
              <w:jc w:val="center"/>
            </w:pPr>
            <w:r w:rsidRPr="00630A55">
              <w:t>Variance</w:t>
            </w:r>
          </w:p>
        </w:tc>
      </w:tr>
      <w:tr w:rsidR="005867DD" w:rsidRPr="00201E3A" w14:paraId="63AE88FA" w14:textId="77777777" w:rsidTr="00374C3F">
        <w:tc>
          <w:tcPr>
            <w:tcW w:w="1400" w:type="dxa"/>
            <w:vMerge w:val="restart"/>
          </w:tcPr>
          <w:p w14:paraId="234480A3" w14:textId="77777777" w:rsidR="005867DD" w:rsidRPr="00630A55" w:rsidRDefault="005867DD" w:rsidP="00374C3F">
            <w:pPr>
              <w:pStyle w:val="Tabletext"/>
            </w:pPr>
            <w:r w:rsidRPr="00630A55">
              <w:t>Northern Territory</w:t>
            </w:r>
          </w:p>
        </w:tc>
        <w:tc>
          <w:tcPr>
            <w:tcW w:w="1485" w:type="dxa"/>
            <w:vMerge w:val="restart"/>
          </w:tcPr>
          <w:p w14:paraId="1607A7D0" w14:textId="77777777" w:rsidR="005867DD" w:rsidRPr="00630A55" w:rsidRDefault="005867DD" w:rsidP="00374C3F">
            <w:pPr>
              <w:pStyle w:val="Tabletext"/>
            </w:pPr>
            <w:r w:rsidRPr="00630A55">
              <w:t>Alice Springs Hospital</w:t>
            </w:r>
          </w:p>
        </w:tc>
        <w:tc>
          <w:tcPr>
            <w:tcW w:w="1561" w:type="dxa"/>
          </w:tcPr>
          <w:p w14:paraId="3EBD8BB0" w14:textId="77777777" w:rsidR="005867DD" w:rsidRPr="00630A55" w:rsidRDefault="005867DD" w:rsidP="00374C3F">
            <w:pPr>
              <w:pStyle w:val="Tabletext"/>
            </w:pPr>
            <w:r w:rsidRPr="00630A55">
              <w:t>Acute</w:t>
            </w:r>
          </w:p>
        </w:tc>
        <w:tc>
          <w:tcPr>
            <w:tcW w:w="1623" w:type="dxa"/>
          </w:tcPr>
          <w:p w14:paraId="08A4B077" w14:textId="77777777" w:rsidR="005867DD" w:rsidRPr="00630A55" w:rsidRDefault="005867DD" w:rsidP="00017473">
            <w:pPr>
              <w:pStyle w:val="TableNumberdectab"/>
              <w:jc w:val="center"/>
            </w:pPr>
            <w:r w:rsidRPr="00630A55">
              <w:t>$210.86</w:t>
            </w:r>
          </w:p>
        </w:tc>
        <w:tc>
          <w:tcPr>
            <w:tcW w:w="1685" w:type="dxa"/>
          </w:tcPr>
          <w:p w14:paraId="31126A52" w14:textId="77777777" w:rsidR="005867DD" w:rsidRPr="00201E3A" w:rsidRDefault="005867DD" w:rsidP="00017473">
            <w:pPr>
              <w:pStyle w:val="TableNumberdectab"/>
              <w:jc w:val="center"/>
            </w:pPr>
            <w:r w:rsidRPr="00201E3A">
              <w:t>$210.86</w:t>
            </w:r>
          </w:p>
        </w:tc>
        <w:tc>
          <w:tcPr>
            <w:tcW w:w="1455" w:type="dxa"/>
          </w:tcPr>
          <w:p w14:paraId="2A85A242" w14:textId="77777777" w:rsidR="005867DD" w:rsidRPr="00201E3A" w:rsidRDefault="005867DD" w:rsidP="00017473">
            <w:pPr>
              <w:pStyle w:val="TableNumberdectab"/>
              <w:tabs>
                <w:tab w:val="clear" w:pos="933"/>
                <w:tab w:val="decimal" w:pos="633"/>
              </w:tabs>
              <w:jc w:val="center"/>
            </w:pPr>
            <w:r w:rsidRPr="00201E3A">
              <w:t>$0.00</w:t>
            </w:r>
          </w:p>
        </w:tc>
      </w:tr>
      <w:tr w:rsidR="005867DD" w:rsidRPr="00201E3A" w14:paraId="3B7C61C7" w14:textId="77777777" w:rsidTr="00374C3F">
        <w:tc>
          <w:tcPr>
            <w:tcW w:w="1400" w:type="dxa"/>
            <w:vMerge/>
          </w:tcPr>
          <w:p w14:paraId="39C9D834" w14:textId="77777777" w:rsidR="005867DD" w:rsidRPr="00630A55" w:rsidRDefault="005867DD" w:rsidP="00374C3F">
            <w:pPr>
              <w:pStyle w:val="Tabletext"/>
            </w:pPr>
          </w:p>
        </w:tc>
        <w:tc>
          <w:tcPr>
            <w:tcW w:w="1485" w:type="dxa"/>
            <w:vMerge/>
          </w:tcPr>
          <w:p w14:paraId="0F7826A0" w14:textId="77777777" w:rsidR="005867DD" w:rsidRPr="00630A55" w:rsidRDefault="005867DD" w:rsidP="00374C3F">
            <w:pPr>
              <w:pStyle w:val="Tabletext"/>
            </w:pPr>
          </w:p>
        </w:tc>
        <w:tc>
          <w:tcPr>
            <w:tcW w:w="1561" w:type="dxa"/>
          </w:tcPr>
          <w:p w14:paraId="0F6E728A" w14:textId="77777777" w:rsidR="005867DD" w:rsidRPr="00630A55" w:rsidRDefault="005867DD" w:rsidP="00374C3F">
            <w:pPr>
              <w:pStyle w:val="Tabletext"/>
            </w:pPr>
            <w:r w:rsidRPr="00630A55">
              <w:t>Sub-Acute</w:t>
            </w:r>
          </w:p>
        </w:tc>
        <w:tc>
          <w:tcPr>
            <w:tcW w:w="1623" w:type="dxa"/>
          </w:tcPr>
          <w:p w14:paraId="1B2CC445" w14:textId="77777777" w:rsidR="005867DD" w:rsidRPr="00630A55" w:rsidRDefault="005867DD" w:rsidP="00017473">
            <w:pPr>
              <w:pStyle w:val="TableNumberdectab"/>
              <w:jc w:val="center"/>
            </w:pPr>
            <w:r w:rsidRPr="00630A55">
              <w:t>$116,721.03</w:t>
            </w:r>
          </w:p>
        </w:tc>
        <w:tc>
          <w:tcPr>
            <w:tcW w:w="1685" w:type="dxa"/>
          </w:tcPr>
          <w:p w14:paraId="1F723E05" w14:textId="77777777" w:rsidR="005867DD" w:rsidRPr="00201E3A" w:rsidRDefault="005867DD" w:rsidP="00017473">
            <w:pPr>
              <w:pStyle w:val="TableNumberdectab"/>
              <w:jc w:val="center"/>
            </w:pPr>
            <w:r w:rsidRPr="00201E3A">
              <w:t>$116,721.03</w:t>
            </w:r>
          </w:p>
        </w:tc>
        <w:tc>
          <w:tcPr>
            <w:tcW w:w="1455" w:type="dxa"/>
          </w:tcPr>
          <w:p w14:paraId="7CC20D12" w14:textId="77777777" w:rsidR="005867DD" w:rsidRPr="00201E3A" w:rsidRDefault="005867DD" w:rsidP="00017473">
            <w:pPr>
              <w:pStyle w:val="TableNumberdectab"/>
              <w:tabs>
                <w:tab w:val="clear" w:pos="933"/>
                <w:tab w:val="decimal" w:pos="633"/>
              </w:tabs>
              <w:jc w:val="center"/>
            </w:pPr>
            <w:r w:rsidRPr="00201E3A">
              <w:t>$0.00</w:t>
            </w:r>
          </w:p>
        </w:tc>
      </w:tr>
      <w:tr w:rsidR="005867DD" w:rsidRPr="00201E3A" w14:paraId="646C2F66" w14:textId="77777777" w:rsidTr="00374C3F">
        <w:tc>
          <w:tcPr>
            <w:tcW w:w="1400" w:type="dxa"/>
            <w:vMerge/>
          </w:tcPr>
          <w:p w14:paraId="2DBFDB0C" w14:textId="77777777" w:rsidR="005867DD" w:rsidRPr="00630A55" w:rsidRDefault="005867DD" w:rsidP="00374C3F">
            <w:pPr>
              <w:pStyle w:val="Tabletext"/>
            </w:pPr>
          </w:p>
        </w:tc>
        <w:tc>
          <w:tcPr>
            <w:tcW w:w="1485" w:type="dxa"/>
            <w:vMerge/>
          </w:tcPr>
          <w:p w14:paraId="34432756" w14:textId="77777777" w:rsidR="005867DD" w:rsidRPr="00630A55" w:rsidRDefault="005867DD" w:rsidP="00374C3F">
            <w:pPr>
              <w:pStyle w:val="Tabletext"/>
            </w:pPr>
          </w:p>
        </w:tc>
        <w:tc>
          <w:tcPr>
            <w:tcW w:w="1561" w:type="dxa"/>
          </w:tcPr>
          <w:p w14:paraId="0F48EF21" w14:textId="77777777" w:rsidR="005867DD" w:rsidRPr="00630A55" w:rsidRDefault="005867DD" w:rsidP="00374C3F">
            <w:pPr>
              <w:pStyle w:val="Tabletext"/>
            </w:pPr>
            <w:r w:rsidRPr="00630A55">
              <w:t>ED</w:t>
            </w:r>
          </w:p>
        </w:tc>
        <w:tc>
          <w:tcPr>
            <w:tcW w:w="1623" w:type="dxa"/>
          </w:tcPr>
          <w:p w14:paraId="7C0A7324" w14:textId="77777777" w:rsidR="005867DD" w:rsidRPr="00630A55" w:rsidRDefault="005867DD" w:rsidP="00017473">
            <w:pPr>
              <w:pStyle w:val="TableNumberdectab"/>
              <w:jc w:val="center"/>
            </w:pPr>
            <w:r w:rsidRPr="00630A55">
              <w:t>$794.52</w:t>
            </w:r>
          </w:p>
        </w:tc>
        <w:tc>
          <w:tcPr>
            <w:tcW w:w="1685" w:type="dxa"/>
          </w:tcPr>
          <w:p w14:paraId="37F02816" w14:textId="77777777" w:rsidR="005867DD" w:rsidRPr="00201E3A" w:rsidRDefault="005867DD" w:rsidP="00017473">
            <w:pPr>
              <w:pStyle w:val="TableNumberdectab"/>
              <w:jc w:val="center"/>
            </w:pPr>
            <w:r w:rsidRPr="00201E3A">
              <w:t>$794.52</w:t>
            </w:r>
          </w:p>
        </w:tc>
        <w:tc>
          <w:tcPr>
            <w:tcW w:w="1455" w:type="dxa"/>
          </w:tcPr>
          <w:p w14:paraId="133E9F26" w14:textId="77777777" w:rsidR="005867DD" w:rsidRPr="00201E3A" w:rsidRDefault="005867DD" w:rsidP="00017473">
            <w:pPr>
              <w:pStyle w:val="TableNumberdectab"/>
              <w:tabs>
                <w:tab w:val="clear" w:pos="933"/>
                <w:tab w:val="decimal" w:pos="633"/>
              </w:tabs>
              <w:jc w:val="center"/>
            </w:pPr>
            <w:r w:rsidRPr="00201E3A">
              <w:t>$0.00</w:t>
            </w:r>
          </w:p>
        </w:tc>
      </w:tr>
      <w:tr w:rsidR="005867DD" w:rsidRPr="00201E3A" w14:paraId="7E0EDF01" w14:textId="77777777" w:rsidTr="00374C3F">
        <w:tc>
          <w:tcPr>
            <w:tcW w:w="1400" w:type="dxa"/>
            <w:vMerge/>
          </w:tcPr>
          <w:p w14:paraId="2563378B" w14:textId="77777777" w:rsidR="005867DD" w:rsidRPr="00630A55" w:rsidRDefault="005867DD" w:rsidP="00374C3F">
            <w:pPr>
              <w:pStyle w:val="Tabletext"/>
            </w:pPr>
          </w:p>
        </w:tc>
        <w:tc>
          <w:tcPr>
            <w:tcW w:w="1485" w:type="dxa"/>
            <w:vMerge/>
          </w:tcPr>
          <w:p w14:paraId="6A56A104" w14:textId="77777777" w:rsidR="005867DD" w:rsidRPr="00630A55" w:rsidRDefault="005867DD" w:rsidP="00374C3F">
            <w:pPr>
              <w:pStyle w:val="Tabletext"/>
            </w:pPr>
          </w:p>
        </w:tc>
        <w:tc>
          <w:tcPr>
            <w:tcW w:w="1561" w:type="dxa"/>
          </w:tcPr>
          <w:p w14:paraId="186C0846" w14:textId="77777777" w:rsidR="005867DD" w:rsidRPr="00630A55" w:rsidRDefault="005867DD" w:rsidP="00374C3F">
            <w:pPr>
              <w:pStyle w:val="Tabletext"/>
            </w:pPr>
            <w:r w:rsidRPr="00630A55">
              <w:t>Non-Admitted</w:t>
            </w:r>
          </w:p>
        </w:tc>
        <w:tc>
          <w:tcPr>
            <w:tcW w:w="1623" w:type="dxa"/>
          </w:tcPr>
          <w:p w14:paraId="0386158A" w14:textId="77777777" w:rsidR="005867DD" w:rsidRPr="00630A55" w:rsidRDefault="005867DD" w:rsidP="00017473">
            <w:pPr>
              <w:pStyle w:val="TableNumberdectab"/>
              <w:jc w:val="center"/>
            </w:pPr>
            <w:r w:rsidRPr="00630A55">
              <w:t>$59,157.21</w:t>
            </w:r>
          </w:p>
        </w:tc>
        <w:tc>
          <w:tcPr>
            <w:tcW w:w="1685" w:type="dxa"/>
          </w:tcPr>
          <w:p w14:paraId="49F4F3C6" w14:textId="77777777" w:rsidR="005867DD" w:rsidRPr="00201E3A" w:rsidRDefault="005867DD" w:rsidP="00017473">
            <w:pPr>
              <w:pStyle w:val="TableNumberdectab"/>
              <w:jc w:val="center"/>
            </w:pPr>
            <w:r w:rsidRPr="00201E3A">
              <w:t>$59,157.21</w:t>
            </w:r>
          </w:p>
        </w:tc>
        <w:tc>
          <w:tcPr>
            <w:tcW w:w="1455" w:type="dxa"/>
          </w:tcPr>
          <w:p w14:paraId="5538C5F3" w14:textId="77777777" w:rsidR="005867DD" w:rsidRPr="00201E3A" w:rsidRDefault="005867DD" w:rsidP="00017473">
            <w:pPr>
              <w:pStyle w:val="TableNumberdectab"/>
              <w:tabs>
                <w:tab w:val="clear" w:pos="933"/>
                <w:tab w:val="decimal" w:pos="633"/>
              </w:tabs>
              <w:jc w:val="center"/>
            </w:pPr>
            <w:r w:rsidRPr="00201E3A">
              <w:t>$0.00</w:t>
            </w:r>
          </w:p>
        </w:tc>
      </w:tr>
      <w:tr w:rsidR="005867DD" w:rsidRPr="00201E3A" w14:paraId="66CD9A87" w14:textId="77777777" w:rsidTr="00374C3F">
        <w:tc>
          <w:tcPr>
            <w:tcW w:w="1400" w:type="dxa"/>
            <w:vMerge/>
          </w:tcPr>
          <w:p w14:paraId="1B8E2080" w14:textId="77777777" w:rsidR="005867DD" w:rsidRPr="00630A55" w:rsidRDefault="005867DD" w:rsidP="00374C3F">
            <w:pPr>
              <w:pStyle w:val="Tabletext"/>
            </w:pPr>
          </w:p>
        </w:tc>
        <w:tc>
          <w:tcPr>
            <w:tcW w:w="1485" w:type="dxa"/>
            <w:vMerge/>
          </w:tcPr>
          <w:p w14:paraId="3681A126" w14:textId="77777777" w:rsidR="005867DD" w:rsidRPr="00630A55" w:rsidRDefault="005867DD" w:rsidP="00374C3F">
            <w:pPr>
              <w:pStyle w:val="Tabletext"/>
            </w:pPr>
          </w:p>
        </w:tc>
        <w:tc>
          <w:tcPr>
            <w:tcW w:w="1561" w:type="dxa"/>
          </w:tcPr>
          <w:p w14:paraId="260FEFB2" w14:textId="77777777" w:rsidR="005867DD" w:rsidRPr="00630A55" w:rsidRDefault="005867DD" w:rsidP="00374C3F">
            <w:pPr>
              <w:pStyle w:val="Tabletext"/>
            </w:pPr>
            <w:r w:rsidRPr="00630A55">
              <w:t>Mental Health</w:t>
            </w:r>
          </w:p>
        </w:tc>
        <w:tc>
          <w:tcPr>
            <w:tcW w:w="1623" w:type="dxa"/>
          </w:tcPr>
          <w:p w14:paraId="4C6B3EAE" w14:textId="77777777" w:rsidR="005867DD" w:rsidRPr="00630A55" w:rsidRDefault="005867DD" w:rsidP="00017473">
            <w:pPr>
              <w:pStyle w:val="TableNumberdectab"/>
              <w:jc w:val="center"/>
            </w:pPr>
            <w:r w:rsidRPr="00630A55">
              <w:t>$3,006.96</w:t>
            </w:r>
          </w:p>
        </w:tc>
        <w:tc>
          <w:tcPr>
            <w:tcW w:w="1685" w:type="dxa"/>
          </w:tcPr>
          <w:p w14:paraId="495069D5" w14:textId="77777777" w:rsidR="005867DD" w:rsidRPr="00201E3A" w:rsidRDefault="005867DD" w:rsidP="00017473">
            <w:pPr>
              <w:pStyle w:val="TableNumberdectab"/>
              <w:jc w:val="center"/>
            </w:pPr>
            <w:r w:rsidRPr="00201E3A">
              <w:t>$3,006.96</w:t>
            </w:r>
          </w:p>
        </w:tc>
        <w:tc>
          <w:tcPr>
            <w:tcW w:w="1455" w:type="dxa"/>
          </w:tcPr>
          <w:p w14:paraId="2CF8FB4E" w14:textId="77777777" w:rsidR="005867DD" w:rsidRPr="00201E3A" w:rsidRDefault="005867DD" w:rsidP="00017473">
            <w:pPr>
              <w:pStyle w:val="TableNumberdectab"/>
              <w:tabs>
                <w:tab w:val="clear" w:pos="933"/>
                <w:tab w:val="decimal" w:pos="633"/>
              </w:tabs>
              <w:jc w:val="center"/>
            </w:pPr>
            <w:r w:rsidRPr="00201E3A">
              <w:t>$0.00</w:t>
            </w:r>
          </w:p>
        </w:tc>
      </w:tr>
    </w:tbl>
    <w:p w14:paraId="71BA7247" w14:textId="77777777" w:rsidR="00E97C76" w:rsidRPr="00630A55" w:rsidRDefault="00E97C76" w:rsidP="00E97C76">
      <w:pPr>
        <w:pStyle w:val="Source"/>
      </w:pPr>
      <w:r w:rsidRPr="00630A55">
        <w:t xml:space="preserve">Source: Jurisdictional consultations and </w:t>
      </w:r>
      <w:r>
        <w:t>templates</w:t>
      </w:r>
    </w:p>
    <w:p w14:paraId="1B91723B" w14:textId="77777777" w:rsidR="0095536F" w:rsidRPr="00630A55" w:rsidRDefault="0095536F" w:rsidP="00AE7FAA">
      <w:pPr>
        <w:pStyle w:val="Heading3"/>
        <w:rPr>
          <w:rFonts w:ascii="Univers 45 Light" w:hAnsi="Univers 45 Light"/>
          <w:b w:val="0"/>
          <w:color w:val="4FC3FF" w:themeColor="accent2" w:themeTint="99"/>
          <w:szCs w:val="20"/>
        </w:rPr>
      </w:pPr>
      <w:r w:rsidRPr="00630A55">
        <w:t>Governance arrangements</w:t>
      </w:r>
    </w:p>
    <w:p w14:paraId="35D7F2F6" w14:textId="2EF70D0A" w:rsidR="0095536F" w:rsidRPr="00630A55" w:rsidRDefault="0095536F" w:rsidP="008225C3">
      <w:pPr>
        <w:jc w:val="both"/>
      </w:pPr>
      <w:r w:rsidRPr="00630A55">
        <w:t>With the creation of the one integrated health system (NT Health), other governance changes occurred</w:t>
      </w:r>
      <w:r w:rsidR="007A4A59">
        <w:t>,</w:t>
      </w:r>
      <w:r w:rsidRPr="00630A55">
        <w:t xml:space="preserve"> </w:t>
      </w:r>
      <w:r w:rsidR="00025DE2">
        <w:t>including</w:t>
      </w:r>
      <w:r w:rsidRPr="00630A55">
        <w:t xml:space="preserve"> the </w:t>
      </w:r>
      <w:r w:rsidR="00025DE2">
        <w:t>transfer</w:t>
      </w:r>
      <w:r w:rsidRPr="00630A55">
        <w:t xml:space="preserve"> of the costing function from the ABF team to Finance to better connect the function to the business. In the same restructure</w:t>
      </w:r>
      <w:r w:rsidR="007A4A59">
        <w:t>,</w:t>
      </w:r>
      <w:r w:rsidRPr="00630A55">
        <w:t xml:space="preserve"> the </w:t>
      </w:r>
      <w:r w:rsidR="00F37D4B">
        <w:t>f</w:t>
      </w:r>
      <w:r w:rsidR="007138D9">
        <w:t>i</w:t>
      </w:r>
      <w:r w:rsidRPr="00630A55">
        <w:t xml:space="preserve">nance teams were merged into one and are working more constructively with the ABF team. Coding and health information functions also report through to Finance. To upskill stakeholders, workshops have been </w:t>
      </w:r>
      <w:r w:rsidR="007A4A59">
        <w:t>held</w:t>
      </w:r>
      <w:r w:rsidR="007A4A59" w:rsidRPr="00630A55">
        <w:t xml:space="preserve"> </w:t>
      </w:r>
      <w:r w:rsidRPr="00630A55">
        <w:t>with the Finance teams, taking them through the costing process in order to understand the need for costing and the impact on the NT Health system</w:t>
      </w:r>
      <w:r w:rsidR="00EF1AC3">
        <w:t xml:space="preserve"> if data is inaccurate. </w:t>
      </w:r>
    </w:p>
    <w:p w14:paraId="3890A3AE" w14:textId="26B674FA" w:rsidR="0095536F" w:rsidRPr="00630A55" w:rsidRDefault="0095536F" w:rsidP="008225C3">
      <w:pPr>
        <w:jc w:val="both"/>
      </w:pPr>
      <w:r w:rsidRPr="00630A55">
        <w:t>During the costing year</w:t>
      </w:r>
      <w:r w:rsidR="001854E2">
        <w:t>,</w:t>
      </w:r>
      <w:r w:rsidRPr="00630A55">
        <w:t xml:space="preserve"> once regional health service results are collated, the </w:t>
      </w:r>
      <w:r w:rsidR="007515AF">
        <w:t>c</w:t>
      </w:r>
      <w:r w:rsidRPr="00630A55">
        <w:t xml:space="preserve">osting team run sessions with operational units for validation. The data and outputs are also provided to the hospital executive for visibility on the </w:t>
      </w:r>
      <w:r w:rsidR="001854E2">
        <w:t>r</w:t>
      </w:r>
      <w:r w:rsidRPr="00630A55">
        <w:t xml:space="preserve">esults for their hospital. The results are then rolled up to the regional level and are presented to the </w:t>
      </w:r>
      <w:r w:rsidR="00F37D4B">
        <w:t>r</w:t>
      </w:r>
      <w:r w:rsidRPr="00630A55">
        <w:t xml:space="preserve">egional </w:t>
      </w:r>
      <w:r w:rsidR="00F37D4B">
        <w:t>e</w:t>
      </w:r>
      <w:r w:rsidRPr="00630A55">
        <w:t xml:space="preserve">xecutive team. At the jurisdictional level, the </w:t>
      </w:r>
      <w:r w:rsidR="00B9154C">
        <w:t>c</w:t>
      </w:r>
      <w:r w:rsidRPr="00630A55">
        <w:t>osting team</w:t>
      </w:r>
      <w:r w:rsidR="007A4A59">
        <w:t>,</w:t>
      </w:r>
      <w:r w:rsidRPr="00630A55">
        <w:t xml:space="preserve"> together with the ABF and the </w:t>
      </w:r>
      <w:r w:rsidR="007138D9">
        <w:t>F</w:t>
      </w:r>
      <w:r w:rsidRPr="00630A55">
        <w:t xml:space="preserve">unding and </w:t>
      </w:r>
      <w:r w:rsidR="007138D9">
        <w:t>P</w:t>
      </w:r>
      <w:r w:rsidRPr="00630A55">
        <w:t xml:space="preserve">erformance </w:t>
      </w:r>
      <w:r w:rsidR="007A4A59">
        <w:t>team</w:t>
      </w:r>
      <w:r w:rsidR="007138D9">
        <w:t>s</w:t>
      </w:r>
      <w:r w:rsidR="007A4A59">
        <w:t>,</w:t>
      </w:r>
      <w:r w:rsidRPr="00630A55">
        <w:t xml:space="preserve"> will run various sessions to ensure there are no unexpected or unexplained variances. A brief and memo</w:t>
      </w:r>
      <w:r w:rsidR="00324C95">
        <w:t>randum</w:t>
      </w:r>
      <w:r w:rsidRPr="00630A55">
        <w:t xml:space="preserve"> with the respective results </w:t>
      </w:r>
      <w:r w:rsidR="00D91CB1" w:rsidRPr="00630A55">
        <w:t>is</w:t>
      </w:r>
      <w:r w:rsidRPr="00630A55">
        <w:t xml:space="preserve"> presented to the CFO for sign-off and submission to IHACPA. Once final results of the submission are received from IHACPA and the respective data outputs </w:t>
      </w:r>
      <w:r w:rsidR="007A4A59">
        <w:t>are collated,</w:t>
      </w:r>
      <w:r w:rsidRPr="00630A55">
        <w:t xml:space="preserve"> the team will </w:t>
      </w:r>
      <w:r w:rsidR="007A4A59">
        <w:t>review</w:t>
      </w:r>
      <w:r w:rsidRPr="00630A55">
        <w:t xml:space="preserve"> </w:t>
      </w:r>
      <w:r w:rsidR="00FB6A97">
        <w:t>all output</w:t>
      </w:r>
      <w:r w:rsidRPr="00630A55">
        <w:t xml:space="preserve"> and provide a summary to the CEO prior to submitting the final sign-off and Data Quality Statement. </w:t>
      </w:r>
    </w:p>
    <w:p w14:paraId="1FE41BA9" w14:textId="500DEF8F" w:rsidR="007515AF" w:rsidRDefault="0095536F" w:rsidP="008225C3">
      <w:pPr>
        <w:jc w:val="both"/>
      </w:pPr>
      <w:bookmarkStart w:id="51" w:name="OLE_LINK1"/>
      <w:r w:rsidRPr="00630A55">
        <w:t xml:space="preserve">The changes to process and the various governance arrangements </w:t>
      </w:r>
      <w:r w:rsidR="00D91CB1" w:rsidRPr="00630A55">
        <w:t>have</w:t>
      </w:r>
      <w:r w:rsidRPr="00630A55">
        <w:t xml:space="preserve"> </w:t>
      </w:r>
      <w:r w:rsidR="00D91CB1">
        <w:t xml:space="preserve">resulted in </w:t>
      </w:r>
      <w:r w:rsidRPr="00630A55">
        <w:t>rapid development for all involved</w:t>
      </w:r>
      <w:r w:rsidR="00D91CB1">
        <w:t xml:space="preserve"> in the costing process</w:t>
      </w:r>
      <w:r w:rsidRPr="00630A55">
        <w:t xml:space="preserve">, with </w:t>
      </w:r>
      <w:r w:rsidR="00595A9F">
        <w:t>FY20/21</w:t>
      </w:r>
      <w:r w:rsidRPr="00630A55">
        <w:t xml:space="preserve"> as step one, </w:t>
      </w:r>
      <w:r w:rsidR="007A4A59">
        <w:t xml:space="preserve">and </w:t>
      </w:r>
      <w:r w:rsidR="00AC2316">
        <w:t>the FY21/22 IFR</w:t>
      </w:r>
      <w:r w:rsidRPr="00630A55">
        <w:t xml:space="preserve"> will </w:t>
      </w:r>
      <w:r w:rsidR="00FB6A97">
        <w:t>focus on</w:t>
      </w:r>
      <w:r w:rsidRPr="00630A55">
        <w:t xml:space="preserve"> further embedding the changes</w:t>
      </w:r>
      <w:r w:rsidR="00FB6A97">
        <w:t>,</w:t>
      </w:r>
      <w:r w:rsidRPr="00630A55">
        <w:t xml:space="preserve"> with plans for </w:t>
      </w:r>
      <w:r>
        <w:t>Round</w:t>
      </w:r>
      <w:r w:rsidR="005C759B">
        <w:t> </w:t>
      </w:r>
      <w:r w:rsidRPr="00630A55">
        <w:t>27 to further refine and manage the process as business as usual.</w:t>
      </w:r>
    </w:p>
    <w:bookmarkEnd w:id="51"/>
    <w:p w14:paraId="01706E2F" w14:textId="77777777" w:rsidR="007515AF" w:rsidRDefault="007515AF">
      <w:pPr>
        <w:spacing w:before="0" w:after="160" w:line="259" w:lineRule="auto"/>
      </w:pPr>
      <w:r>
        <w:br w:type="page"/>
      </w:r>
    </w:p>
    <w:p w14:paraId="485B872F" w14:textId="77777777" w:rsidR="0095536F" w:rsidRPr="00630A55" w:rsidRDefault="0095536F" w:rsidP="0095536F"/>
    <w:p w14:paraId="36772054" w14:textId="0E18032E" w:rsidR="0095536F" w:rsidRPr="00630A55" w:rsidRDefault="00AD608F" w:rsidP="00AD608F">
      <w:pPr>
        <w:pStyle w:val="Caption"/>
      </w:pPr>
      <w:r w:rsidRPr="002C2171">
        <w:rPr>
          <w:b/>
          <w:bCs/>
        </w:rPr>
        <w:t xml:space="preserve">Table </w:t>
      </w:r>
      <w:r w:rsidR="00D91CB1" w:rsidRPr="002C2171">
        <w:rPr>
          <w:b/>
          <w:bCs/>
        </w:rPr>
        <w:fldChar w:fldCharType="begin"/>
      </w:r>
      <w:r w:rsidR="00D91CB1" w:rsidRPr="002C2171">
        <w:rPr>
          <w:b/>
          <w:bCs/>
        </w:rPr>
        <w:instrText xml:space="preserve"> SEQ Table \* ARABIC </w:instrText>
      </w:r>
      <w:r w:rsidR="00D91CB1" w:rsidRPr="002C2171">
        <w:rPr>
          <w:b/>
          <w:bCs/>
        </w:rPr>
        <w:fldChar w:fldCharType="separate"/>
      </w:r>
      <w:r w:rsidR="007E2ACB">
        <w:rPr>
          <w:b/>
          <w:bCs/>
          <w:noProof/>
        </w:rPr>
        <w:t>15</w:t>
      </w:r>
      <w:r w:rsidR="00D91CB1" w:rsidRPr="002C2171">
        <w:rPr>
          <w:b/>
          <w:bCs/>
          <w:noProof/>
        </w:rPr>
        <w:fldChar w:fldCharType="end"/>
      </w:r>
      <w:r w:rsidRPr="002C2171">
        <w:rPr>
          <w:b/>
          <w:bCs/>
        </w:rPr>
        <w:t>:</w:t>
      </w:r>
      <w:r w:rsidR="0095536F" w:rsidRPr="00630A55">
        <w:t xml:space="preserve"> Summary of </w:t>
      </w:r>
      <w:r w:rsidR="00FB6A97">
        <w:t>quality assurance (</w:t>
      </w:r>
      <w:r w:rsidR="0095536F" w:rsidRPr="00630A55">
        <w:t>QA</w:t>
      </w:r>
      <w:r w:rsidR="00FB6A97">
        <w:t>)</w:t>
      </w:r>
      <w:r w:rsidR="0095536F" w:rsidRPr="00630A55">
        <w:t xml:space="preserve"> checks performed – Northern Territory</w:t>
      </w:r>
    </w:p>
    <w:tbl>
      <w:tblPr>
        <w:tblW w:w="8779" w:type="dxa"/>
        <w:tblCellMar>
          <w:top w:w="28" w:type="dxa"/>
          <w:left w:w="28" w:type="dxa"/>
          <w:bottom w:w="28" w:type="dxa"/>
          <w:right w:w="28" w:type="dxa"/>
        </w:tblCellMar>
        <w:tblLook w:val="04A0" w:firstRow="1" w:lastRow="0" w:firstColumn="1" w:lastColumn="0" w:noHBand="0" w:noVBand="1"/>
      </w:tblPr>
      <w:tblGrid>
        <w:gridCol w:w="3534"/>
        <w:gridCol w:w="2552"/>
        <w:gridCol w:w="2693"/>
      </w:tblGrid>
      <w:tr w:rsidR="0095536F" w:rsidRPr="00630A55" w14:paraId="64120C37" w14:textId="77777777" w:rsidTr="001C04DE">
        <w:trPr>
          <w:trHeight w:val="280"/>
          <w:tblHeader/>
        </w:trPr>
        <w:tc>
          <w:tcPr>
            <w:tcW w:w="3534" w:type="dxa"/>
            <w:tcBorders>
              <w:top w:val="single" w:sz="8" w:space="0" w:color="auto"/>
              <w:left w:val="single" w:sz="8" w:space="0" w:color="auto"/>
              <w:bottom w:val="single" w:sz="8" w:space="0" w:color="auto"/>
              <w:right w:val="single" w:sz="8" w:space="0" w:color="auto"/>
            </w:tcBorders>
            <w:shd w:val="clear" w:color="auto" w:fill="00338D"/>
            <w:tcMar>
              <w:top w:w="0" w:type="dxa"/>
              <w:left w:w="108" w:type="dxa"/>
              <w:bottom w:w="0" w:type="dxa"/>
              <w:right w:w="108" w:type="dxa"/>
            </w:tcMar>
            <w:vAlign w:val="center"/>
            <w:hideMark/>
          </w:tcPr>
          <w:p w14:paraId="13200126" w14:textId="77777777" w:rsidR="0095536F" w:rsidRPr="00630A55" w:rsidRDefault="0095536F" w:rsidP="00A92341">
            <w:pPr>
              <w:pStyle w:val="Tableheading"/>
              <w:spacing w:before="0" w:after="0"/>
              <w:rPr>
                <w:rFonts w:ascii="Univers 45 Light" w:hAnsi="Univers 45 Light"/>
              </w:rPr>
            </w:pPr>
            <w:r w:rsidRPr="00630A55">
              <w:rPr>
                <w:rFonts w:ascii="Univers 45 Light" w:hAnsi="Univers 45 Light"/>
              </w:rPr>
              <w:t>QA Test</w:t>
            </w:r>
          </w:p>
        </w:tc>
        <w:tc>
          <w:tcPr>
            <w:tcW w:w="2552" w:type="dxa"/>
            <w:tcBorders>
              <w:top w:val="single" w:sz="8" w:space="0" w:color="auto"/>
              <w:left w:val="nil"/>
              <w:bottom w:val="single" w:sz="8" w:space="0" w:color="auto"/>
              <w:right w:val="single" w:sz="8" w:space="0" w:color="auto"/>
            </w:tcBorders>
            <w:shd w:val="clear" w:color="auto" w:fill="00338D"/>
            <w:tcMar>
              <w:top w:w="0" w:type="dxa"/>
              <w:left w:w="108" w:type="dxa"/>
              <w:bottom w:w="0" w:type="dxa"/>
              <w:right w:w="108" w:type="dxa"/>
            </w:tcMar>
            <w:vAlign w:val="center"/>
            <w:hideMark/>
          </w:tcPr>
          <w:p w14:paraId="4DD8BEFC" w14:textId="77777777" w:rsidR="0095536F" w:rsidRPr="00630A55" w:rsidRDefault="0095536F" w:rsidP="00A92341">
            <w:pPr>
              <w:pStyle w:val="Tableheading"/>
              <w:spacing w:before="0" w:after="0"/>
              <w:rPr>
                <w:rFonts w:ascii="Univers 45 Light" w:hAnsi="Univers 45 Light"/>
              </w:rPr>
            </w:pPr>
            <w:r w:rsidRPr="00630A55">
              <w:rPr>
                <w:rFonts w:ascii="Univers 45 Light" w:hAnsi="Univers 45 Light"/>
              </w:rPr>
              <w:t>NT Health</w:t>
            </w:r>
          </w:p>
        </w:tc>
        <w:tc>
          <w:tcPr>
            <w:tcW w:w="2693" w:type="dxa"/>
            <w:tcBorders>
              <w:top w:val="single" w:sz="8" w:space="0" w:color="auto"/>
              <w:left w:val="nil"/>
              <w:bottom w:val="single" w:sz="8" w:space="0" w:color="auto"/>
              <w:right w:val="single" w:sz="8" w:space="0" w:color="auto"/>
            </w:tcBorders>
            <w:shd w:val="clear" w:color="auto" w:fill="00338D"/>
            <w:tcMar>
              <w:top w:w="0" w:type="dxa"/>
              <w:left w:w="108" w:type="dxa"/>
              <w:bottom w:w="0" w:type="dxa"/>
              <w:right w:w="108" w:type="dxa"/>
            </w:tcMar>
            <w:vAlign w:val="center"/>
            <w:hideMark/>
          </w:tcPr>
          <w:p w14:paraId="0F239B86" w14:textId="77777777" w:rsidR="0095536F" w:rsidRPr="00630A55" w:rsidRDefault="0095536F" w:rsidP="00A92341">
            <w:pPr>
              <w:pStyle w:val="Tableheading"/>
              <w:spacing w:before="0" w:after="0"/>
              <w:rPr>
                <w:rFonts w:ascii="Univers 45 Light" w:hAnsi="Univers 45 Light"/>
              </w:rPr>
            </w:pPr>
            <w:r w:rsidRPr="00630A55">
              <w:rPr>
                <w:rFonts w:ascii="Univers 45 Light" w:hAnsi="Univers 45 Light"/>
              </w:rPr>
              <w:t>Alice Springs Hospital</w:t>
            </w:r>
          </w:p>
        </w:tc>
      </w:tr>
      <w:tr w:rsidR="0095536F" w:rsidRPr="00630A55" w14:paraId="6DD0DF3E" w14:textId="77777777" w:rsidTr="00A92341">
        <w:trPr>
          <w:trHeight w:val="263"/>
        </w:trPr>
        <w:tc>
          <w:tcPr>
            <w:tcW w:w="8779" w:type="dxa"/>
            <w:gridSpan w:val="3"/>
            <w:tcBorders>
              <w:top w:val="nil"/>
              <w:left w:val="single" w:sz="8" w:space="0" w:color="auto"/>
              <w:bottom w:val="single" w:sz="8" w:space="0" w:color="auto"/>
              <w:right w:val="single" w:sz="8" w:space="0" w:color="auto"/>
            </w:tcBorders>
            <w:shd w:val="clear" w:color="auto" w:fill="808080"/>
            <w:tcMar>
              <w:top w:w="0" w:type="dxa"/>
              <w:left w:w="108" w:type="dxa"/>
              <w:bottom w:w="0" w:type="dxa"/>
              <w:right w:w="108" w:type="dxa"/>
            </w:tcMar>
            <w:vAlign w:val="center"/>
            <w:hideMark/>
          </w:tcPr>
          <w:p w14:paraId="236B7E16" w14:textId="77777777" w:rsidR="0095536F" w:rsidRPr="0048310B" w:rsidRDefault="0095536F" w:rsidP="00A92341">
            <w:pPr>
              <w:pStyle w:val="Tableheading"/>
              <w:rPr>
                <w:rFonts w:ascii="Univers 45 Light" w:hAnsi="Univers 45 Light"/>
                <w:color w:val="000000" w:themeColor="text1"/>
              </w:rPr>
            </w:pPr>
            <w:r w:rsidRPr="0048310B">
              <w:rPr>
                <w:rFonts w:ascii="Univers 45 Light" w:hAnsi="Univers 45 Light"/>
                <w:color w:val="000000" w:themeColor="text1"/>
              </w:rPr>
              <w:t>Source data and systems</w:t>
            </w:r>
          </w:p>
        </w:tc>
      </w:tr>
      <w:tr w:rsidR="0095536F" w:rsidRPr="00630A55" w14:paraId="36E713E3" w14:textId="77777777" w:rsidTr="009A2708">
        <w:trPr>
          <w:trHeight w:val="543"/>
        </w:trPr>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1131C8" w14:textId="77777777" w:rsidR="0095536F" w:rsidRPr="00B16266" w:rsidRDefault="0095536F" w:rsidP="008A5614">
            <w:pPr>
              <w:pStyle w:val="Tabletext"/>
            </w:pPr>
            <w:r w:rsidRPr="00B16266">
              <w:t>Reconciliation back to GL and audited statements</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0BAF7AA2" w14:textId="77777777" w:rsidR="0095536F" w:rsidRPr="00B16266" w:rsidRDefault="0095536F" w:rsidP="009A2708">
            <w:pPr>
              <w:pStyle w:val="Tabletext"/>
            </w:pPr>
            <w:r>
              <w:t>GL is reconciled for each costing cycle</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66005C70" w14:textId="77777777" w:rsidR="0095536F" w:rsidRPr="00B16266" w:rsidRDefault="0095536F" w:rsidP="009A2708">
            <w:pPr>
              <w:pStyle w:val="Tabletext"/>
            </w:pPr>
            <w:r>
              <w:t>N/A</w:t>
            </w:r>
          </w:p>
        </w:tc>
      </w:tr>
      <w:tr w:rsidR="0095536F" w:rsidRPr="00630A55" w14:paraId="41C1CAE6" w14:textId="77777777" w:rsidTr="009A2708">
        <w:trPr>
          <w:trHeight w:val="543"/>
        </w:trPr>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F2A981" w14:textId="77777777" w:rsidR="0095536F" w:rsidRPr="00B16266" w:rsidRDefault="0095536F" w:rsidP="008A5614">
            <w:pPr>
              <w:pStyle w:val="Tabletext"/>
            </w:pPr>
            <w:r w:rsidRPr="00B16266">
              <w:t>Reconciliation of activity data back to source systems</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4D5DA2FD" w14:textId="77777777" w:rsidR="0095536F" w:rsidRPr="00B16266" w:rsidRDefault="0095536F" w:rsidP="009A2708">
            <w:pPr>
              <w:pStyle w:val="Tabletext"/>
            </w:pPr>
            <w:r>
              <w:t>Numerous checks performed when activity data is extracted from source systems</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1C4297AF" w14:textId="77777777" w:rsidR="0095536F" w:rsidRPr="00B16266" w:rsidRDefault="0095536F" w:rsidP="009A2708">
            <w:pPr>
              <w:pStyle w:val="Tabletext"/>
            </w:pPr>
            <w:r w:rsidRPr="00332640">
              <w:t>Numerous checks performed when activity data is extracted from source systems</w:t>
            </w:r>
          </w:p>
        </w:tc>
      </w:tr>
      <w:tr w:rsidR="0095536F" w:rsidRPr="00630A55" w14:paraId="68D2EFED" w14:textId="77777777" w:rsidTr="009A2708">
        <w:trPr>
          <w:trHeight w:val="280"/>
        </w:trPr>
        <w:tc>
          <w:tcPr>
            <w:tcW w:w="8779" w:type="dxa"/>
            <w:gridSpan w:val="3"/>
            <w:tcBorders>
              <w:top w:val="nil"/>
              <w:left w:val="single" w:sz="8" w:space="0" w:color="auto"/>
              <w:bottom w:val="single" w:sz="8" w:space="0" w:color="auto"/>
              <w:right w:val="single" w:sz="8" w:space="0" w:color="auto"/>
            </w:tcBorders>
            <w:shd w:val="clear" w:color="auto" w:fill="808080"/>
            <w:tcMar>
              <w:top w:w="0" w:type="dxa"/>
              <w:left w:w="108" w:type="dxa"/>
              <w:bottom w:w="0" w:type="dxa"/>
              <w:right w:w="108" w:type="dxa"/>
            </w:tcMar>
            <w:hideMark/>
          </w:tcPr>
          <w:p w14:paraId="4291A77B" w14:textId="6B93C1AB" w:rsidR="0095536F" w:rsidRPr="00630A55" w:rsidRDefault="0095536F" w:rsidP="009A2708">
            <w:pPr>
              <w:pStyle w:val="Tableheading"/>
              <w:rPr>
                <w:rFonts w:ascii="Univers 45 Light" w:hAnsi="Univers 45 Light"/>
              </w:rPr>
            </w:pPr>
            <w:r w:rsidRPr="0048310B">
              <w:rPr>
                <w:rFonts w:ascii="Univers 45 Light" w:hAnsi="Univers 45 Light"/>
                <w:color w:val="000000" w:themeColor="text1"/>
              </w:rPr>
              <w:t xml:space="preserve">Costing </w:t>
            </w:r>
            <w:r w:rsidR="00FB6A97">
              <w:rPr>
                <w:rFonts w:ascii="Univers 45 Light" w:hAnsi="Univers 45 Light"/>
                <w:color w:val="000000" w:themeColor="text1"/>
              </w:rPr>
              <w:t>d</w:t>
            </w:r>
            <w:r w:rsidRPr="0048310B">
              <w:rPr>
                <w:rFonts w:ascii="Univers 45 Light" w:hAnsi="Univers 45 Light"/>
                <w:color w:val="000000" w:themeColor="text1"/>
              </w:rPr>
              <w:t xml:space="preserve">ata – </w:t>
            </w:r>
            <w:r w:rsidR="00FB6A97">
              <w:rPr>
                <w:rFonts w:ascii="Univers 45 Light" w:hAnsi="Univers 45 Light"/>
                <w:color w:val="000000" w:themeColor="text1"/>
              </w:rPr>
              <w:t>v</w:t>
            </w:r>
            <w:r w:rsidRPr="0048310B">
              <w:rPr>
                <w:rFonts w:ascii="Univers 45 Light" w:hAnsi="Univers 45 Light"/>
                <w:color w:val="000000" w:themeColor="text1"/>
              </w:rPr>
              <w:t>alidation</w:t>
            </w:r>
          </w:p>
        </w:tc>
      </w:tr>
      <w:tr w:rsidR="0095536F" w:rsidRPr="00630A55" w14:paraId="1A228743" w14:textId="77777777" w:rsidTr="009C41D0">
        <w:trPr>
          <w:trHeight w:val="543"/>
        </w:trPr>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F4B338E" w14:textId="77777777" w:rsidR="0095536F" w:rsidRPr="00B16266" w:rsidRDefault="0095536F" w:rsidP="008A5614">
            <w:pPr>
              <w:pStyle w:val="Tabletext"/>
            </w:pPr>
            <w:r w:rsidRPr="00B16266">
              <w:t>Trend analysis to prior periods across cost products</w:t>
            </w:r>
          </w:p>
        </w:tc>
        <w:tc>
          <w:tcPr>
            <w:tcW w:w="2552" w:type="dxa"/>
            <w:vMerge w:val="restart"/>
            <w:tcBorders>
              <w:top w:val="nil"/>
              <w:left w:val="nil"/>
              <w:right w:val="single" w:sz="8" w:space="0" w:color="auto"/>
            </w:tcBorders>
            <w:tcMar>
              <w:top w:w="0" w:type="dxa"/>
              <w:left w:w="108" w:type="dxa"/>
              <w:bottom w:w="0" w:type="dxa"/>
              <w:right w:w="108" w:type="dxa"/>
            </w:tcMar>
          </w:tcPr>
          <w:p w14:paraId="0305D456" w14:textId="34E35BC2" w:rsidR="0095536F" w:rsidRPr="00B16266" w:rsidRDefault="0095536F" w:rsidP="009A2708">
            <w:pPr>
              <w:pStyle w:val="Tabletext"/>
            </w:pPr>
            <w:r>
              <w:t>Yes, with both internal stakeholders and external costing</w:t>
            </w:r>
            <w:r w:rsidR="00243EC5">
              <w:t>s</w:t>
            </w:r>
            <w:r>
              <w:t xml:space="preserve"> consultants</w:t>
            </w:r>
          </w:p>
        </w:tc>
        <w:tc>
          <w:tcPr>
            <w:tcW w:w="2693"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14:paraId="11AFA390" w14:textId="77777777" w:rsidR="0095536F" w:rsidRPr="00B16266" w:rsidRDefault="0095536F" w:rsidP="009A2708">
            <w:pPr>
              <w:pStyle w:val="Tabletext"/>
            </w:pPr>
            <w:r>
              <w:t>Yes</w:t>
            </w:r>
          </w:p>
        </w:tc>
      </w:tr>
      <w:tr w:rsidR="0095536F" w:rsidRPr="00630A55" w14:paraId="6744568E" w14:textId="77777777" w:rsidTr="009C41D0">
        <w:trPr>
          <w:trHeight w:val="543"/>
        </w:trPr>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ABC572" w14:textId="77777777" w:rsidR="0095536F" w:rsidRPr="00B16266" w:rsidRDefault="0095536F" w:rsidP="008A5614">
            <w:pPr>
              <w:pStyle w:val="Tabletext"/>
            </w:pPr>
            <w:r w:rsidRPr="00B16266">
              <w:t>Reasonableness test of excluded data and outliers</w:t>
            </w:r>
          </w:p>
        </w:tc>
        <w:tc>
          <w:tcPr>
            <w:tcW w:w="2552" w:type="dxa"/>
            <w:vMerge/>
            <w:tcBorders>
              <w:left w:val="nil"/>
              <w:right w:val="single" w:sz="8" w:space="0" w:color="auto"/>
            </w:tcBorders>
            <w:tcMar>
              <w:top w:w="0" w:type="dxa"/>
              <w:left w:w="108" w:type="dxa"/>
              <w:bottom w:w="0" w:type="dxa"/>
              <w:right w:w="108" w:type="dxa"/>
            </w:tcMar>
          </w:tcPr>
          <w:p w14:paraId="0DC2716C" w14:textId="77777777" w:rsidR="0095536F" w:rsidRPr="00B16266" w:rsidRDefault="0095536F" w:rsidP="009A2708">
            <w:pPr>
              <w:pStyle w:val="Tabletext"/>
            </w:pPr>
          </w:p>
        </w:tc>
        <w:tc>
          <w:tcPr>
            <w:tcW w:w="2693"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14:paraId="7785E8E3" w14:textId="77777777" w:rsidR="0095536F" w:rsidRPr="00B16266" w:rsidRDefault="0095536F" w:rsidP="009A2708">
            <w:pPr>
              <w:pStyle w:val="Tabletext"/>
            </w:pPr>
            <w:r>
              <w:t>Yes</w:t>
            </w:r>
          </w:p>
        </w:tc>
      </w:tr>
      <w:tr w:rsidR="0095536F" w:rsidRPr="00630A55" w14:paraId="4B0B1037" w14:textId="77777777" w:rsidTr="009C41D0">
        <w:trPr>
          <w:trHeight w:val="806"/>
        </w:trPr>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3B97CCC" w14:textId="39C30D4E" w:rsidR="0095536F" w:rsidRPr="00B16266" w:rsidRDefault="0095536F" w:rsidP="008A5614">
            <w:pPr>
              <w:pStyle w:val="Tabletext"/>
            </w:pPr>
            <w:r w:rsidRPr="00B16266">
              <w:t>Analysis of outliers at the cost, LOS or cost bucket level</w:t>
            </w:r>
          </w:p>
        </w:tc>
        <w:tc>
          <w:tcPr>
            <w:tcW w:w="2552" w:type="dxa"/>
            <w:vMerge/>
            <w:tcBorders>
              <w:left w:val="nil"/>
              <w:right w:val="single" w:sz="8" w:space="0" w:color="auto"/>
            </w:tcBorders>
            <w:tcMar>
              <w:top w:w="0" w:type="dxa"/>
              <w:left w:w="108" w:type="dxa"/>
              <w:bottom w:w="0" w:type="dxa"/>
              <w:right w:w="108" w:type="dxa"/>
            </w:tcMar>
          </w:tcPr>
          <w:p w14:paraId="3DF57793" w14:textId="77777777" w:rsidR="0095536F" w:rsidRPr="00B16266" w:rsidRDefault="0095536F" w:rsidP="009A2708">
            <w:pPr>
              <w:pStyle w:val="Tabletext"/>
            </w:pPr>
          </w:p>
        </w:tc>
        <w:tc>
          <w:tcPr>
            <w:tcW w:w="2693"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14:paraId="0CF91799" w14:textId="77777777" w:rsidR="0095536F" w:rsidRPr="00B16266" w:rsidRDefault="0095536F" w:rsidP="009A2708">
            <w:pPr>
              <w:pStyle w:val="Tabletext"/>
            </w:pPr>
            <w:r>
              <w:t>Yes</w:t>
            </w:r>
          </w:p>
        </w:tc>
      </w:tr>
      <w:tr w:rsidR="0095536F" w:rsidRPr="00630A55" w14:paraId="38188535" w14:textId="77777777" w:rsidTr="009C41D0">
        <w:trPr>
          <w:trHeight w:val="543"/>
        </w:trPr>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279DA56" w14:textId="77777777" w:rsidR="0095536F" w:rsidRPr="00B16266" w:rsidRDefault="0095536F" w:rsidP="008A5614">
            <w:pPr>
              <w:pStyle w:val="Tabletext"/>
            </w:pPr>
            <w:r w:rsidRPr="00B16266">
              <w:t>Reasonableness of direct vs overhead allocations</w:t>
            </w:r>
          </w:p>
        </w:tc>
        <w:tc>
          <w:tcPr>
            <w:tcW w:w="2552" w:type="dxa"/>
            <w:vMerge/>
            <w:tcBorders>
              <w:left w:val="nil"/>
              <w:bottom w:val="single" w:sz="8" w:space="0" w:color="auto"/>
              <w:right w:val="single" w:sz="8" w:space="0" w:color="auto"/>
            </w:tcBorders>
            <w:tcMar>
              <w:top w:w="0" w:type="dxa"/>
              <w:left w:w="108" w:type="dxa"/>
              <w:bottom w:w="0" w:type="dxa"/>
              <w:right w:w="108" w:type="dxa"/>
            </w:tcMar>
          </w:tcPr>
          <w:p w14:paraId="17B9CC3E" w14:textId="77777777" w:rsidR="0095536F" w:rsidRPr="00B16266" w:rsidRDefault="0095536F" w:rsidP="009A2708">
            <w:pPr>
              <w:pStyle w:val="Tabletext"/>
            </w:pPr>
          </w:p>
        </w:tc>
        <w:tc>
          <w:tcPr>
            <w:tcW w:w="2693"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14:paraId="4DDD2670" w14:textId="77777777" w:rsidR="0095536F" w:rsidRPr="00B16266" w:rsidRDefault="0095536F" w:rsidP="009A2708">
            <w:pPr>
              <w:pStyle w:val="Tabletext"/>
            </w:pPr>
            <w:r>
              <w:t>Yes</w:t>
            </w:r>
          </w:p>
        </w:tc>
      </w:tr>
      <w:tr w:rsidR="0095536F" w:rsidRPr="00630A55" w14:paraId="6356AFC1" w14:textId="77777777" w:rsidTr="009A2708">
        <w:trPr>
          <w:trHeight w:val="280"/>
        </w:trPr>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BB1906" w14:textId="77777777" w:rsidR="0095536F" w:rsidRPr="00B16266" w:rsidRDefault="0095536F" w:rsidP="008A5614">
            <w:pPr>
              <w:pStyle w:val="Tabletext"/>
            </w:pPr>
            <w:r w:rsidRPr="00B16266">
              <w:t>Specific business rule tests</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67BBBBB1" w14:textId="77777777" w:rsidR="0095536F" w:rsidRPr="00B16266" w:rsidRDefault="0095536F" w:rsidP="009A2708">
            <w:pPr>
              <w:pStyle w:val="Tabletext"/>
            </w:pPr>
            <w:r w:rsidRPr="00D65E59">
              <w:t>Yes, various business rules are tested when data is loaded</w:t>
            </w:r>
            <w:r>
              <w:t>.</w:t>
            </w:r>
          </w:p>
        </w:tc>
        <w:tc>
          <w:tcPr>
            <w:tcW w:w="2693"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81C5E34" w14:textId="77777777" w:rsidR="0095536F" w:rsidRPr="00B16266" w:rsidRDefault="0095536F" w:rsidP="009A2708">
            <w:pPr>
              <w:pStyle w:val="Tabletext"/>
            </w:pPr>
            <w:r>
              <w:t>Completed centrally</w:t>
            </w:r>
          </w:p>
        </w:tc>
      </w:tr>
      <w:tr w:rsidR="0095536F" w:rsidRPr="00630A55" w14:paraId="3E25E00F" w14:textId="77777777" w:rsidTr="009A2708">
        <w:trPr>
          <w:trHeight w:val="280"/>
        </w:trPr>
        <w:tc>
          <w:tcPr>
            <w:tcW w:w="8779" w:type="dxa"/>
            <w:gridSpan w:val="3"/>
            <w:tcBorders>
              <w:top w:val="nil"/>
              <w:left w:val="single" w:sz="8" w:space="0" w:color="auto"/>
              <w:bottom w:val="single" w:sz="8" w:space="0" w:color="auto"/>
              <w:right w:val="single" w:sz="8" w:space="0" w:color="auto"/>
            </w:tcBorders>
            <w:shd w:val="clear" w:color="auto" w:fill="808080"/>
            <w:tcMar>
              <w:top w:w="0" w:type="dxa"/>
              <w:left w:w="108" w:type="dxa"/>
              <w:bottom w:w="0" w:type="dxa"/>
              <w:right w:w="108" w:type="dxa"/>
            </w:tcMar>
            <w:hideMark/>
          </w:tcPr>
          <w:p w14:paraId="0FA1682B" w14:textId="5B961AB1" w:rsidR="0095536F" w:rsidRPr="00630A55" w:rsidRDefault="0095536F" w:rsidP="009A2708">
            <w:pPr>
              <w:pStyle w:val="Tableheading"/>
              <w:rPr>
                <w:rFonts w:ascii="Univers 45 Light" w:hAnsi="Univers 45 Light"/>
              </w:rPr>
            </w:pPr>
            <w:r w:rsidRPr="0048310B">
              <w:rPr>
                <w:rFonts w:ascii="Univers 45 Light" w:hAnsi="Univers 45 Light"/>
                <w:color w:val="000000" w:themeColor="text1"/>
              </w:rPr>
              <w:t xml:space="preserve">Costing </w:t>
            </w:r>
            <w:r w:rsidR="00BF4567">
              <w:rPr>
                <w:rFonts w:ascii="Univers 45 Light" w:hAnsi="Univers 45 Light"/>
                <w:color w:val="000000" w:themeColor="text1"/>
              </w:rPr>
              <w:t>d</w:t>
            </w:r>
            <w:r w:rsidRPr="0048310B">
              <w:rPr>
                <w:rFonts w:ascii="Univers 45 Light" w:hAnsi="Univers 45 Light"/>
                <w:color w:val="000000" w:themeColor="text1"/>
              </w:rPr>
              <w:t xml:space="preserve">ata – </w:t>
            </w:r>
            <w:r w:rsidR="00BF4567">
              <w:rPr>
                <w:rFonts w:ascii="Univers 45 Light" w:hAnsi="Univers 45 Light"/>
                <w:color w:val="000000" w:themeColor="text1"/>
              </w:rPr>
              <w:t>g</w:t>
            </w:r>
            <w:r w:rsidRPr="0048310B">
              <w:rPr>
                <w:rFonts w:ascii="Univers 45 Light" w:hAnsi="Univers 45 Light"/>
                <w:color w:val="000000" w:themeColor="text1"/>
              </w:rPr>
              <w:t>overnance</w:t>
            </w:r>
          </w:p>
        </w:tc>
      </w:tr>
      <w:tr w:rsidR="0095536F" w:rsidRPr="00630A55" w14:paraId="0B13576F" w14:textId="77777777" w:rsidTr="009A2708">
        <w:trPr>
          <w:trHeight w:val="806"/>
        </w:trPr>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E118042" w14:textId="77777777" w:rsidR="0095536F" w:rsidRPr="00B16266" w:rsidRDefault="0095536F" w:rsidP="008A5614">
            <w:pPr>
              <w:pStyle w:val="Tabletext"/>
            </w:pPr>
            <w:r w:rsidRPr="00B16266">
              <w:t>Regular updates with costing staff</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10723188" w14:textId="77777777" w:rsidR="0095536F" w:rsidRPr="00B16266" w:rsidRDefault="0095536F" w:rsidP="009A2708">
            <w:pPr>
              <w:pStyle w:val="Tabletext"/>
            </w:pPr>
            <w:r w:rsidRPr="001837E9">
              <w:t>Regularly in contact with external costing consultants</w:t>
            </w:r>
            <w:r>
              <w:t>.</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07E2E1D0" w14:textId="77777777" w:rsidR="0095536F" w:rsidRDefault="0095536F" w:rsidP="009A2708">
            <w:pPr>
              <w:pStyle w:val="Tabletext"/>
            </w:pPr>
          </w:p>
          <w:p w14:paraId="25FD8CE8" w14:textId="77777777" w:rsidR="0095536F" w:rsidRPr="00B16266" w:rsidRDefault="0095536F" w:rsidP="009A2708">
            <w:pPr>
              <w:pStyle w:val="Tabletext"/>
            </w:pPr>
            <w:r>
              <w:t>N/A</w:t>
            </w:r>
          </w:p>
        </w:tc>
      </w:tr>
      <w:tr w:rsidR="0095536F" w:rsidRPr="00630A55" w14:paraId="3FD804CC" w14:textId="77777777" w:rsidTr="009A2708">
        <w:trPr>
          <w:trHeight w:val="806"/>
        </w:trPr>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0DE4D1" w14:textId="77777777" w:rsidR="0095536F" w:rsidRPr="00B16266" w:rsidRDefault="0095536F" w:rsidP="008A5614">
            <w:pPr>
              <w:pStyle w:val="Tabletext"/>
            </w:pPr>
            <w:r w:rsidRPr="00B16266">
              <w:t>Local guidelines supporting the AHPCS standards framework</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300FCED7" w14:textId="77777777" w:rsidR="0095536F" w:rsidRPr="00B16266" w:rsidRDefault="0095536F" w:rsidP="009A2708">
            <w:pPr>
              <w:pStyle w:val="Tabletext"/>
            </w:pPr>
            <w:r w:rsidRPr="008A2D64">
              <w:t>Yes, Local Costing Manual exists and is updated annually.</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697EC853" w14:textId="77777777" w:rsidR="0095536F" w:rsidRPr="00BA3ECE" w:rsidRDefault="0095536F" w:rsidP="009A2708">
            <w:pPr>
              <w:pStyle w:val="Tabletext"/>
            </w:pPr>
            <w:r w:rsidRPr="00BA3ECE">
              <w:t xml:space="preserve">No </w:t>
            </w:r>
          </w:p>
        </w:tc>
      </w:tr>
      <w:tr w:rsidR="0095536F" w:rsidRPr="00630A55" w14:paraId="30713AAF" w14:textId="77777777" w:rsidTr="009A2708">
        <w:trPr>
          <w:trHeight w:val="280"/>
        </w:trPr>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3CEE7C" w14:textId="77777777" w:rsidR="0095536F" w:rsidRPr="00B16266" w:rsidRDefault="0095536F" w:rsidP="008A5614">
            <w:pPr>
              <w:pStyle w:val="Tabletext"/>
            </w:pPr>
            <w:r w:rsidRPr="00B16266">
              <w:t>Review of cost allocations</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0595E5DD" w14:textId="77777777" w:rsidR="0095536F" w:rsidRPr="00B16266" w:rsidRDefault="0095536F" w:rsidP="009A2708">
            <w:pPr>
              <w:pStyle w:val="Tabletext"/>
            </w:pPr>
            <w:r>
              <w:t>Yes</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62A00874" w14:textId="77777777" w:rsidR="0095536F" w:rsidRPr="00B16266" w:rsidRDefault="0095536F" w:rsidP="009A2708">
            <w:pPr>
              <w:pStyle w:val="Tabletext"/>
            </w:pPr>
            <w:r w:rsidRPr="004B786E">
              <w:t>Yes</w:t>
            </w:r>
          </w:p>
        </w:tc>
      </w:tr>
      <w:tr w:rsidR="0095536F" w:rsidRPr="00630A55" w14:paraId="0F6BAB6E" w14:textId="77777777" w:rsidTr="009A2708">
        <w:trPr>
          <w:trHeight w:val="806"/>
        </w:trPr>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2E51EAC" w14:textId="77777777" w:rsidR="0095536F" w:rsidRPr="00B16266" w:rsidRDefault="0095536F" w:rsidP="008A5614">
            <w:pPr>
              <w:pStyle w:val="Tabletext"/>
            </w:pPr>
            <w:r w:rsidRPr="00B16266">
              <w:t>Review on reasonableness of costing data output</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2AD670D2" w14:textId="77777777" w:rsidR="0095536F" w:rsidRPr="00B16266" w:rsidRDefault="0095536F" w:rsidP="009A2708">
            <w:pPr>
              <w:pStyle w:val="Tabletext"/>
            </w:pPr>
            <w:r>
              <w:t>Data is reviewed for reasonableness and completeness.</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7FB2F4F1" w14:textId="77777777" w:rsidR="0095536F" w:rsidRPr="00B16266" w:rsidRDefault="0095536F" w:rsidP="009A2708">
            <w:pPr>
              <w:pStyle w:val="Tabletext"/>
            </w:pPr>
            <w:r>
              <w:t>Review of data throughout the process</w:t>
            </w:r>
          </w:p>
        </w:tc>
      </w:tr>
      <w:tr w:rsidR="0095536F" w:rsidRPr="00630A55" w14:paraId="0EF3C096" w14:textId="77777777" w:rsidTr="009A2708">
        <w:trPr>
          <w:trHeight w:val="543"/>
        </w:trPr>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9C4167" w14:textId="77777777" w:rsidR="0095536F" w:rsidRPr="00B16266" w:rsidRDefault="0095536F" w:rsidP="008A5614">
            <w:pPr>
              <w:pStyle w:val="Tabletext"/>
            </w:pPr>
            <w:r w:rsidRPr="00B16266">
              <w:t>Formal sign-off</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7585C6DC" w14:textId="77777777" w:rsidR="0095536F" w:rsidRPr="00B16266" w:rsidRDefault="0095536F" w:rsidP="009A2708">
            <w:pPr>
              <w:pStyle w:val="Tabletext"/>
            </w:pPr>
            <w:r>
              <w:t>Formal sign-off by CEO</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282AD9D6" w14:textId="77777777" w:rsidR="0095536F" w:rsidRPr="00B16266" w:rsidRDefault="0095536F" w:rsidP="009A2708">
            <w:pPr>
              <w:pStyle w:val="Tabletext"/>
            </w:pPr>
            <w:r>
              <w:t>Formal sign-off by CFO</w:t>
            </w:r>
          </w:p>
        </w:tc>
      </w:tr>
    </w:tbl>
    <w:p w14:paraId="30DEB52E" w14:textId="625751BE" w:rsidR="00861CB0" w:rsidRPr="00630A55" w:rsidRDefault="00861CB0" w:rsidP="00861CB0">
      <w:pPr>
        <w:pStyle w:val="Source"/>
      </w:pPr>
      <w:r w:rsidRPr="00630A55">
        <w:t xml:space="preserve">Source: Jurisdictional consultations and </w:t>
      </w:r>
      <w:r>
        <w:t>data quality statements</w:t>
      </w:r>
    </w:p>
    <w:p w14:paraId="382FE5CD" w14:textId="70422588" w:rsidR="0095536F" w:rsidRPr="00630A55" w:rsidRDefault="0095536F" w:rsidP="00AE7FAA">
      <w:pPr>
        <w:pStyle w:val="Heading3"/>
        <w:rPr>
          <w:rFonts w:ascii="Univers 45 Light" w:hAnsi="Univers 45 Light"/>
          <w:b w:val="0"/>
          <w:color w:val="4FC3FF" w:themeColor="accent2" w:themeTint="99"/>
          <w:szCs w:val="20"/>
        </w:rPr>
      </w:pPr>
      <w:r w:rsidRPr="00630A55">
        <w:t xml:space="preserve">Business </w:t>
      </w:r>
      <w:r w:rsidR="00BF4567">
        <w:t>r</w:t>
      </w:r>
      <w:r w:rsidRPr="00630A55">
        <w:t>equirements</w:t>
      </w:r>
    </w:p>
    <w:p w14:paraId="208FC2DD" w14:textId="5D755BFC" w:rsidR="0095536F" w:rsidRPr="00630A55" w:rsidRDefault="0095536F" w:rsidP="008225C3">
      <w:pPr>
        <w:jc w:val="both"/>
      </w:pPr>
      <w:r w:rsidRPr="00630A55">
        <w:t>In the past</w:t>
      </w:r>
      <w:r w:rsidR="007A4A59">
        <w:t>,</w:t>
      </w:r>
      <w:r w:rsidRPr="00630A55">
        <w:t xml:space="preserve"> NT costing data was not timely</w:t>
      </w:r>
      <w:r w:rsidR="003A4393">
        <w:t>,</w:t>
      </w:r>
      <w:r w:rsidRPr="00630A55">
        <w:t xml:space="preserve"> ownership of the data was with a third party</w:t>
      </w:r>
      <w:r w:rsidR="003A4393">
        <w:t>, and</w:t>
      </w:r>
      <w:r w:rsidRPr="00630A55">
        <w:t xml:space="preserve"> the reliance and use of the data outside of the NHCDC process was negligible. </w:t>
      </w:r>
      <w:r w:rsidR="003A4393">
        <w:t xml:space="preserve">Following </w:t>
      </w:r>
      <w:r w:rsidRPr="00630A55">
        <w:t xml:space="preserve">inclusion in the Health </w:t>
      </w:r>
      <w:r>
        <w:t>Round</w:t>
      </w:r>
      <w:r w:rsidR="005C759B">
        <w:t> </w:t>
      </w:r>
      <w:r w:rsidRPr="00630A55">
        <w:t>Table</w:t>
      </w:r>
      <w:r w:rsidR="007A4A59">
        <w:t>,</w:t>
      </w:r>
      <w:r w:rsidRPr="00630A55">
        <w:t xml:space="preserve"> the team are working on completing the first six-monthly costing run. This is a </w:t>
      </w:r>
      <w:r w:rsidR="003A4393">
        <w:t xml:space="preserve">significant </w:t>
      </w:r>
      <w:r w:rsidRPr="00630A55">
        <w:t xml:space="preserve">process change for NT Health who are trying to improve engagement on this process with both corporate and clinical stakeholders. </w:t>
      </w:r>
    </w:p>
    <w:p w14:paraId="46336683" w14:textId="547B90C9" w:rsidR="0095536F" w:rsidRPr="00630A55" w:rsidRDefault="0095536F" w:rsidP="008225C3">
      <w:pPr>
        <w:jc w:val="both"/>
      </w:pPr>
      <w:r w:rsidRPr="00630A55">
        <w:t>This will give NT Health an opportunity to validate</w:t>
      </w:r>
      <w:r w:rsidR="003A4393">
        <w:t xml:space="preserve"> costing results more proactively</w:t>
      </w:r>
      <w:r w:rsidRPr="00630A55">
        <w:t xml:space="preserve"> with clinical stakeholders, allowing costing to be timely, relevant, and accurate to support the hospitals, the </w:t>
      </w:r>
      <w:r w:rsidRPr="00630A55">
        <w:lastRenderedPageBreak/>
        <w:t xml:space="preserve">staff and costing needs. Stakeholders are keen to have the data provided back to them in a </w:t>
      </w:r>
      <w:r w:rsidR="0078462D" w:rsidRPr="00630A55">
        <w:t>user-friendly</w:t>
      </w:r>
      <w:r w:rsidRPr="00630A55">
        <w:t xml:space="preserve"> way, with the potential to add Power BI dashboards to the reporting suite.</w:t>
      </w:r>
    </w:p>
    <w:p w14:paraId="3CF07B58" w14:textId="77777777" w:rsidR="0095536F" w:rsidRPr="00861CB0" w:rsidRDefault="0095536F" w:rsidP="00861CB0">
      <w:pPr>
        <w:pStyle w:val="Heading3"/>
        <w:numPr>
          <w:ilvl w:val="2"/>
          <w:numId w:val="25"/>
        </w:numPr>
      </w:pPr>
      <w:r w:rsidRPr="00630A55">
        <w:t>Implications</w:t>
      </w:r>
      <w:r w:rsidRPr="00861CB0">
        <w:t xml:space="preserve"> of COVID-19</w:t>
      </w:r>
    </w:p>
    <w:p w14:paraId="70B8AAF2" w14:textId="5F5CEFB6" w:rsidR="0095536F" w:rsidRPr="00630A55" w:rsidRDefault="0095536F" w:rsidP="008225C3">
      <w:pPr>
        <w:jc w:val="both"/>
      </w:pPr>
      <w:r w:rsidRPr="00630A55">
        <w:t xml:space="preserve">To account for COVID-19 cost implications, NT Health isolated business as usual from </w:t>
      </w:r>
      <w:r w:rsidR="00244289">
        <w:t xml:space="preserve">the </w:t>
      </w:r>
      <w:r w:rsidRPr="00630A55">
        <w:t xml:space="preserve">COVID-19 costs in the </w:t>
      </w:r>
      <w:r w:rsidR="00E1715B">
        <w:t>GL</w:t>
      </w:r>
      <w:r w:rsidRPr="00630A55">
        <w:t xml:space="preserve"> </w:t>
      </w:r>
      <w:r w:rsidR="001328B2">
        <w:t>through</w:t>
      </w:r>
      <w:r w:rsidRPr="00630A55">
        <w:t xml:space="preserve"> the creation of standalone cost centres. Across the NT</w:t>
      </w:r>
      <w:r w:rsidR="007A4A59">
        <w:t>,</w:t>
      </w:r>
      <w:r w:rsidRPr="00630A55">
        <w:t xml:space="preserve"> a cost centre naming convention was implemented to allow for identification of COVID-19 costs even at the cost centre level if required. When NT Health created a new COVID-19 ward</w:t>
      </w:r>
      <w:r w:rsidR="007A4A59">
        <w:t>,</w:t>
      </w:r>
      <w:r w:rsidRPr="00630A55">
        <w:t xml:space="preserve"> a corresponding COVID ABF cost centre was created. </w:t>
      </w:r>
    </w:p>
    <w:p w14:paraId="7782E6CB" w14:textId="5F221DAB" w:rsidR="0095536F" w:rsidRPr="00630A55" w:rsidRDefault="0095536F" w:rsidP="008225C3">
      <w:pPr>
        <w:jc w:val="both"/>
      </w:pPr>
      <w:r w:rsidRPr="00630A55">
        <w:t>As there was low COVID-19 patient activity</w:t>
      </w:r>
      <w:r w:rsidR="00024220">
        <w:t xml:space="preserve"> during </w:t>
      </w:r>
      <w:r w:rsidR="00595A9F">
        <w:t>FY20/21</w:t>
      </w:r>
      <w:r w:rsidRPr="00630A55">
        <w:t xml:space="preserve">, allocating all costs to a handful of patients would not </w:t>
      </w:r>
      <w:r w:rsidR="007A4A59">
        <w:t>have</w:t>
      </w:r>
      <w:r w:rsidR="007A4A59" w:rsidRPr="00630A55">
        <w:t xml:space="preserve"> </w:t>
      </w:r>
      <w:r w:rsidRPr="00630A55">
        <w:t>been an accurate representation</w:t>
      </w:r>
      <w:r w:rsidR="007A4A59">
        <w:t>;</w:t>
      </w:r>
      <w:r w:rsidRPr="00630A55">
        <w:t xml:space="preserve"> as such</w:t>
      </w:r>
      <w:r w:rsidR="007A4A59">
        <w:t>,</w:t>
      </w:r>
      <w:r w:rsidRPr="00630A55">
        <w:t xml:space="preserve"> those costs were allocated to COVID</w:t>
      </w:r>
      <w:r w:rsidR="007A4A59">
        <w:noBreakHyphen/>
      </w:r>
      <w:r w:rsidRPr="00630A55">
        <w:t xml:space="preserve">19 public health cost centres. In-hospital screening </w:t>
      </w:r>
      <w:r w:rsidR="007A4A59">
        <w:t>occurred</w:t>
      </w:r>
      <w:r w:rsidR="007A4A59" w:rsidRPr="00630A55">
        <w:t xml:space="preserve"> </w:t>
      </w:r>
      <w:r w:rsidR="00D91CB1" w:rsidRPr="00630A55">
        <w:t>regularly,</w:t>
      </w:r>
      <w:r w:rsidRPr="00630A55">
        <w:t xml:space="preserve"> and those costs </w:t>
      </w:r>
      <w:r w:rsidR="007B6705">
        <w:t xml:space="preserve">already followed the </w:t>
      </w:r>
      <w:r w:rsidRPr="00630A55">
        <w:t>patient. In hindsight, cost</w:t>
      </w:r>
      <w:r w:rsidR="007B6705">
        <w:t xml:space="preserve"> allocations</w:t>
      </w:r>
      <w:r w:rsidRPr="00630A55">
        <w:t xml:space="preserve"> may have been determined too far into the primary health space</w:t>
      </w:r>
      <w:r w:rsidR="00AA0283">
        <w:t>, due to an overabundance of caution and concerns about grossing up other hospital activity.</w:t>
      </w:r>
      <w:r w:rsidRPr="00630A55">
        <w:t xml:space="preserve"> </w:t>
      </w:r>
      <w:r w:rsidR="00BC24D5">
        <w:t>COVID-19 c</w:t>
      </w:r>
      <w:r w:rsidRPr="00630A55">
        <w:t>osts were excluded from the NHCDC submission and then included for claims under the</w:t>
      </w:r>
      <w:r w:rsidR="002B511D">
        <w:t xml:space="preserve"> National Partnership Agreement</w:t>
      </w:r>
      <w:r w:rsidRPr="00630A55">
        <w:t xml:space="preserve"> </w:t>
      </w:r>
      <w:r w:rsidR="002B511D">
        <w:t>(</w:t>
      </w:r>
      <w:r w:rsidRPr="00630A55">
        <w:t>NPA</w:t>
      </w:r>
      <w:r w:rsidR="002B511D">
        <w:t>)</w:t>
      </w:r>
      <w:r w:rsidRPr="00630A55">
        <w:t>.</w:t>
      </w:r>
    </w:p>
    <w:p w14:paraId="1A423E7F" w14:textId="5B21072B" w:rsidR="0049375A" w:rsidRDefault="0049375A" w:rsidP="008225C3">
      <w:pPr>
        <w:jc w:val="both"/>
      </w:pPr>
      <w:r>
        <w:t xml:space="preserve">The </w:t>
      </w:r>
      <w:r w:rsidR="00807BB3">
        <w:t xml:space="preserve">most significant COVID-19 impact </w:t>
      </w:r>
      <w:r w:rsidR="00AF529F">
        <w:t>for the FY20/21 IFR period</w:t>
      </w:r>
      <w:r w:rsidR="00807BB3">
        <w:t xml:space="preserve"> in the NT has been a reduction in activity; </w:t>
      </w:r>
      <w:r w:rsidR="0071452E">
        <w:t>however,</w:t>
      </w:r>
      <w:r w:rsidR="00807BB3">
        <w:t xml:space="preserve"> the impacts of this </w:t>
      </w:r>
      <w:r w:rsidR="0071452E">
        <w:t>are</w:t>
      </w:r>
      <w:r w:rsidR="00807BB3">
        <w:t xml:space="preserve"> more likely to be apparent in </w:t>
      </w:r>
      <w:r w:rsidR="00AC2316">
        <w:t>the FY21/22 IFR</w:t>
      </w:r>
      <w:r w:rsidR="00807BB3">
        <w:t xml:space="preserve">. </w:t>
      </w:r>
      <w:r w:rsidR="0071452E">
        <w:t xml:space="preserve">In </w:t>
      </w:r>
      <w:r w:rsidR="00595A9F">
        <w:t>FY20/21</w:t>
      </w:r>
      <w:r w:rsidR="0071452E">
        <w:t xml:space="preserve">, COVID-19 had </w:t>
      </w:r>
      <w:r w:rsidR="00CF1F52">
        <w:t xml:space="preserve">major </w:t>
      </w:r>
      <w:r w:rsidR="0071452E">
        <w:t xml:space="preserve">implications on the availability of interstate surgeons and </w:t>
      </w:r>
      <w:r w:rsidR="00CF1F52">
        <w:t>specialists</w:t>
      </w:r>
      <w:r w:rsidR="003046E2">
        <w:t xml:space="preserve"> due to border closures and restrictions. Furthermore, with a limited</w:t>
      </w:r>
      <w:r w:rsidR="00CF1F52">
        <w:t xml:space="preserve"> local workforce to draw from, </w:t>
      </w:r>
      <w:r w:rsidR="003046E2">
        <w:t>the NT was forced</w:t>
      </w:r>
      <w:r w:rsidR="00CF1F52">
        <w:t xml:space="preserve"> to use expensive agency staff to </w:t>
      </w:r>
      <w:r w:rsidR="003046E2">
        <w:t xml:space="preserve">fill </w:t>
      </w:r>
      <w:r w:rsidR="0046725E">
        <w:t xml:space="preserve">workforce </w:t>
      </w:r>
      <w:r w:rsidR="007063FE">
        <w:t xml:space="preserve">gaps. </w:t>
      </w:r>
    </w:p>
    <w:p w14:paraId="7EA47A13" w14:textId="7F096C0A" w:rsidR="0095536F" w:rsidRPr="00630A55" w:rsidRDefault="0095536F" w:rsidP="008225C3">
      <w:pPr>
        <w:jc w:val="both"/>
      </w:pPr>
      <w:r w:rsidRPr="00630A55">
        <w:t>In summary</w:t>
      </w:r>
      <w:r w:rsidR="007A4A59">
        <w:t>,</w:t>
      </w:r>
      <w:r w:rsidRPr="00630A55">
        <w:t xml:space="preserve"> </w:t>
      </w:r>
      <w:r w:rsidR="0046725E">
        <w:t xml:space="preserve">due to NT Health applying a conservative approach to costing for COVID-19, its </w:t>
      </w:r>
      <w:r w:rsidR="002C2171">
        <w:t>impact</w:t>
      </w:r>
      <w:r w:rsidR="0046725E">
        <w:t xml:space="preserve"> on costing is expected to be understated, as opposed to overstated in </w:t>
      </w:r>
      <w:r w:rsidR="00595A9F">
        <w:t>FY20/21</w:t>
      </w:r>
      <w:r w:rsidR="0046725E">
        <w:t xml:space="preserve">. </w:t>
      </w:r>
    </w:p>
    <w:p w14:paraId="06EC1F45" w14:textId="77777777" w:rsidR="0095536F" w:rsidRPr="00861CB0" w:rsidRDefault="0095536F" w:rsidP="00861CB0">
      <w:pPr>
        <w:pStyle w:val="Heading3"/>
        <w:numPr>
          <w:ilvl w:val="2"/>
          <w:numId w:val="25"/>
        </w:numPr>
      </w:pPr>
      <w:r w:rsidRPr="00630A55">
        <w:t>Key lear</w:t>
      </w:r>
      <w:r w:rsidRPr="00861CB0">
        <w:t>nings and future improvements</w:t>
      </w:r>
    </w:p>
    <w:p w14:paraId="2B7850FE" w14:textId="78FE3C51" w:rsidR="0095536F" w:rsidRPr="00630A55" w:rsidRDefault="0095536F" w:rsidP="008225C3">
      <w:pPr>
        <w:jc w:val="both"/>
      </w:pPr>
      <w:r w:rsidRPr="00630A55">
        <w:t>With the advent of bringing the costing function in-house</w:t>
      </w:r>
      <w:r w:rsidR="007A4A59">
        <w:t>,</w:t>
      </w:r>
      <w:r w:rsidRPr="00630A55">
        <w:t xml:space="preserve"> the journey of resourcing the </w:t>
      </w:r>
      <w:r w:rsidR="009204BB">
        <w:t xml:space="preserve">costing </w:t>
      </w:r>
      <w:r w:rsidRPr="00630A55">
        <w:t xml:space="preserve">team and educating all stakeholders has commenced. The various improvements </w:t>
      </w:r>
      <w:r w:rsidR="007A4A59">
        <w:t>previously</w:t>
      </w:r>
      <w:r w:rsidR="007A4A59" w:rsidRPr="00630A55">
        <w:t xml:space="preserve"> </w:t>
      </w:r>
      <w:r w:rsidRPr="00630A55">
        <w:t>undertaken and planned include six-monthly uploading of activity data with the endeavour to implement the practice monthly</w:t>
      </w:r>
      <w:r w:rsidR="007A4A59">
        <w:t>.</w:t>
      </w:r>
      <w:r w:rsidRPr="00630A55">
        <w:t xml:space="preserve"> </w:t>
      </w:r>
      <w:r w:rsidR="007A4A59">
        <w:t>T</w:t>
      </w:r>
      <w:r w:rsidRPr="00630A55">
        <w:t xml:space="preserve">his will ensure that staff are </w:t>
      </w:r>
      <w:r w:rsidR="00D91CB1" w:rsidRPr="00630A55">
        <w:t>engaged,</w:t>
      </w:r>
      <w:r w:rsidRPr="00630A55">
        <w:t xml:space="preserve"> and it can be a business</w:t>
      </w:r>
      <w:r w:rsidR="002F4B6B" w:rsidRPr="00630A55">
        <w:t>-</w:t>
      </w:r>
      <w:r w:rsidRPr="00630A55">
        <w:t>as</w:t>
      </w:r>
      <w:r w:rsidR="002F4B6B" w:rsidRPr="00630A55">
        <w:t>-</w:t>
      </w:r>
      <w:r w:rsidRPr="00630A55">
        <w:t xml:space="preserve">usual monthly task. NT Health have also started a small Data Reference Group to discuss some of these </w:t>
      </w:r>
      <w:r w:rsidR="00622F2B">
        <w:t xml:space="preserve">improvement </w:t>
      </w:r>
      <w:r w:rsidRPr="00630A55">
        <w:t>opportunities.</w:t>
      </w:r>
    </w:p>
    <w:p w14:paraId="41C7D938" w14:textId="1E72DD4B" w:rsidR="0095536F" w:rsidRPr="00630A55" w:rsidRDefault="0095536F" w:rsidP="008225C3">
      <w:pPr>
        <w:jc w:val="both"/>
      </w:pPr>
      <w:r w:rsidRPr="00630A55">
        <w:t xml:space="preserve">A system wide improvement scheduled for the near future </w:t>
      </w:r>
      <w:r w:rsidR="007A4A59">
        <w:t>that</w:t>
      </w:r>
      <w:r w:rsidR="007A4A59" w:rsidRPr="00630A55">
        <w:t xml:space="preserve"> </w:t>
      </w:r>
      <w:r w:rsidRPr="00630A55">
        <w:t xml:space="preserve">will positively impact patient costing is the implementation of </w:t>
      </w:r>
      <w:r w:rsidR="007A4A59">
        <w:t>‘</w:t>
      </w:r>
      <w:r w:rsidRPr="00630A55">
        <w:t>one PAS</w:t>
      </w:r>
      <w:r w:rsidR="007A4A59">
        <w:t>’</w:t>
      </w:r>
      <w:r w:rsidRPr="00630A55">
        <w:t xml:space="preserve"> system that will be a replacement or an upgrade</w:t>
      </w:r>
      <w:r w:rsidR="006F1483">
        <w:t>,</w:t>
      </w:r>
      <w:r w:rsidRPr="00630A55">
        <w:t xml:space="preserve"> depending on the current system in place at each respective site, incorporating one patient ID across all NT Hospitals, primary health care and mental health. </w:t>
      </w:r>
    </w:p>
    <w:p w14:paraId="2AE514FC" w14:textId="4A29EF5B" w:rsidR="0095536F" w:rsidRPr="00630A55" w:rsidRDefault="0095536F" w:rsidP="008225C3">
      <w:pPr>
        <w:jc w:val="both"/>
      </w:pPr>
      <w:r w:rsidRPr="00630A55">
        <w:t>The continued improvement of capturing data for feeder files means that</w:t>
      </w:r>
      <w:r w:rsidR="006F1483">
        <w:t>,</w:t>
      </w:r>
      <w:r w:rsidRPr="00630A55">
        <w:t xml:space="preserve"> for </w:t>
      </w:r>
      <w:r w:rsidR="00AC2316">
        <w:t>the FY21/22 IFR</w:t>
      </w:r>
      <w:r w:rsidR="006F1483">
        <w:t>,</w:t>
      </w:r>
      <w:r w:rsidRPr="00630A55">
        <w:t xml:space="preserve"> there will be </w:t>
      </w:r>
      <w:r w:rsidR="002C2171" w:rsidRPr="00630A55">
        <w:t>several</w:t>
      </w:r>
      <w:r w:rsidRPr="00630A55">
        <w:t xml:space="preserve"> new files such as</w:t>
      </w:r>
      <w:r w:rsidR="00D817C2">
        <w:t xml:space="preserve"> improving patient transport costing allocations (including air services such as </w:t>
      </w:r>
      <w:r w:rsidRPr="00630A55">
        <w:t>CareFlight</w:t>
      </w:r>
      <w:r w:rsidR="00D817C2">
        <w:t>)</w:t>
      </w:r>
      <w:r w:rsidRPr="00630A55">
        <w:t>. The team are keen to improve and drill down on linking data and breaking down the patient journey to cost them more definitively. This will make it easier for the team to check</w:t>
      </w:r>
      <w:r w:rsidR="00261C35">
        <w:t xml:space="preserve"> for errors</w:t>
      </w:r>
      <w:r w:rsidRPr="00630A55">
        <w:t xml:space="preserve">, explain variances and ensure the reporting of </w:t>
      </w:r>
      <w:r w:rsidR="00C925A9" w:rsidRPr="00630A55">
        <w:t>user-friendly</w:t>
      </w:r>
      <w:r w:rsidRPr="00630A55">
        <w:t xml:space="preserve"> data when validating data with </w:t>
      </w:r>
      <w:r w:rsidR="00DF010F">
        <w:t xml:space="preserve">all NT Health </w:t>
      </w:r>
      <w:r w:rsidRPr="00630A55">
        <w:t xml:space="preserve">stakeholders. </w:t>
      </w:r>
    </w:p>
    <w:p w14:paraId="3162C0A5" w14:textId="77777777" w:rsidR="0095536F" w:rsidRPr="00630A55" w:rsidRDefault="0095536F" w:rsidP="006B134D">
      <w:pPr>
        <w:pStyle w:val="Heading3"/>
        <w:rPr>
          <w:rFonts w:ascii="Univers 45 Light" w:hAnsi="Univers 45 Light"/>
          <w:b w:val="0"/>
          <w:color w:val="4FC3FF" w:themeColor="accent2" w:themeTint="99"/>
          <w:szCs w:val="20"/>
        </w:rPr>
      </w:pPr>
      <w:r w:rsidRPr="00630A55">
        <w:t>Conclusion</w:t>
      </w:r>
    </w:p>
    <w:p w14:paraId="34853D27" w14:textId="04BF2533" w:rsidR="0095536F" w:rsidRPr="00630A55" w:rsidRDefault="0095536F" w:rsidP="008225C3">
      <w:pPr>
        <w:jc w:val="both"/>
      </w:pPr>
      <w:r w:rsidRPr="00630A55">
        <w:t xml:space="preserve">The </w:t>
      </w:r>
      <w:r w:rsidR="00710D0C">
        <w:t>NT</w:t>
      </w:r>
      <w:r w:rsidRPr="00630A55">
        <w:t xml:space="preserve"> continues to make best efforts to adhere to AHPCS </w:t>
      </w:r>
      <w:r w:rsidR="00710D0C">
        <w:t xml:space="preserve">version </w:t>
      </w:r>
      <w:r w:rsidRPr="00630A55">
        <w:t xml:space="preserve">4.1 and is compliant with exception </w:t>
      </w:r>
      <w:r w:rsidR="006F1483">
        <w:t>of</w:t>
      </w:r>
      <w:r w:rsidR="006F1483" w:rsidRPr="00630A55">
        <w:t xml:space="preserve"> </w:t>
      </w:r>
      <w:r w:rsidRPr="00630A55">
        <w:t>the costing of expenses in trust accounts, Mental Health Care at the phase level</w:t>
      </w:r>
      <w:r w:rsidR="00527C85">
        <w:t>,</w:t>
      </w:r>
      <w:r w:rsidRPr="00630A55">
        <w:t xml:space="preserve"> </w:t>
      </w:r>
      <w:r w:rsidR="006F1483">
        <w:t>TTR</w:t>
      </w:r>
      <w:r w:rsidRPr="00630A55">
        <w:t xml:space="preserve">, </w:t>
      </w:r>
      <w:r w:rsidR="006F1483">
        <w:t>o</w:t>
      </w:r>
      <w:r w:rsidRPr="00630A55">
        <w:t xml:space="preserve">rgan </w:t>
      </w:r>
      <w:r w:rsidR="006F1483">
        <w:t>d</w:t>
      </w:r>
      <w:r w:rsidRPr="00630A55">
        <w:t xml:space="preserve">onation and </w:t>
      </w:r>
      <w:r w:rsidR="006F1483">
        <w:t>m</w:t>
      </w:r>
      <w:r w:rsidRPr="00630A55">
        <w:t xml:space="preserve">ental </w:t>
      </w:r>
      <w:r w:rsidR="006F1483">
        <w:t>h</w:t>
      </w:r>
      <w:r w:rsidRPr="00630A55">
        <w:t xml:space="preserve">ealth </w:t>
      </w:r>
      <w:r w:rsidR="006F1483">
        <w:t>s</w:t>
      </w:r>
      <w:r w:rsidRPr="00630A55">
        <w:t>ervices due to system and data limitations.</w:t>
      </w:r>
    </w:p>
    <w:p w14:paraId="7687D862" w14:textId="1376FE36" w:rsidR="0095536F" w:rsidRPr="00630A55" w:rsidRDefault="0095536F" w:rsidP="008225C3">
      <w:pPr>
        <w:jc w:val="both"/>
      </w:pPr>
      <w:r w:rsidRPr="00630A55">
        <w:t xml:space="preserve">The </w:t>
      </w:r>
      <w:r w:rsidR="00710D0C">
        <w:t>NT</w:t>
      </w:r>
      <w:r w:rsidRPr="00630A55">
        <w:t xml:space="preserve"> reported their costing submission was prepared in accordance with the AHPCS version 4.1 for </w:t>
      </w:r>
      <w:r w:rsidR="00595A9F">
        <w:t>FY20/21</w:t>
      </w:r>
      <w:r w:rsidRPr="00630A55">
        <w:t xml:space="preserve">. Based on the methodology outlined above, </w:t>
      </w:r>
      <w:r w:rsidR="007A4A59">
        <w:t>ASH</w:t>
      </w:r>
      <w:r w:rsidRPr="00630A55">
        <w:t xml:space="preserve"> have suitable reconciliation </w:t>
      </w:r>
      <w:r w:rsidRPr="00630A55">
        <w:lastRenderedPageBreak/>
        <w:t xml:space="preserve">processes in place and the financial and activity data is considered fit for NHCDC submission. </w:t>
      </w:r>
      <w:r w:rsidR="00506309">
        <w:t xml:space="preserve">NT acknowledged their submission was late in </w:t>
      </w:r>
      <w:r w:rsidR="00595A9F">
        <w:t>FY20/21</w:t>
      </w:r>
      <w:r w:rsidR="00506309">
        <w:t xml:space="preserve">, due to the </w:t>
      </w:r>
      <w:r w:rsidR="005D4E1B">
        <w:t>issues outlined previously, but</w:t>
      </w:r>
      <w:r w:rsidR="00C0171A">
        <w:t xml:space="preserve"> </w:t>
      </w:r>
      <w:r w:rsidR="00D441D6">
        <w:t>have already</w:t>
      </w:r>
      <w:r w:rsidR="004D6035">
        <w:t xml:space="preserve"> worked</w:t>
      </w:r>
      <w:r w:rsidR="00D441D6">
        <w:t xml:space="preserve"> (and will continue to</w:t>
      </w:r>
      <w:r w:rsidR="004D6035">
        <w:t xml:space="preserve"> work</w:t>
      </w:r>
      <w:r w:rsidR="00D441D6">
        <w:t xml:space="preserve">) </w:t>
      </w:r>
      <w:r w:rsidR="00DE1668">
        <w:t xml:space="preserve">on improving the timeliness of data flow process </w:t>
      </w:r>
      <w:r w:rsidR="00B71D29">
        <w:t xml:space="preserve">ahead of </w:t>
      </w:r>
      <w:r w:rsidR="00AC2316">
        <w:t>the FY21/22 IFR</w:t>
      </w:r>
      <w:r w:rsidR="00B71D29">
        <w:t xml:space="preserve">. </w:t>
      </w:r>
    </w:p>
    <w:p w14:paraId="548511ED" w14:textId="77777777" w:rsidR="0095536F" w:rsidRPr="00630A55" w:rsidRDefault="0095536F" w:rsidP="008225C3">
      <w:pPr>
        <w:jc w:val="both"/>
        <w:rPr>
          <w:highlight w:val="yellow"/>
        </w:rPr>
      </w:pPr>
    </w:p>
    <w:p w14:paraId="69AC004B" w14:textId="1BE6F3E1" w:rsidR="000F23B5" w:rsidRDefault="000F23B5" w:rsidP="000F23B5">
      <w:pPr>
        <w:pStyle w:val="Heading2"/>
      </w:pPr>
      <w:bookmarkStart w:id="52" w:name="_Toc128376727"/>
      <w:r w:rsidRPr="00A16B1D">
        <w:t>Queensland</w:t>
      </w:r>
      <w:bookmarkEnd w:id="52"/>
      <w:r w:rsidRPr="00A16B1D">
        <w:t xml:space="preserve"> </w:t>
      </w:r>
    </w:p>
    <w:p w14:paraId="06941ECE" w14:textId="03005BB1" w:rsidR="000F23B5" w:rsidRDefault="000F23B5" w:rsidP="000F23B5">
      <w:pPr>
        <w:pStyle w:val="Heading3"/>
      </w:pPr>
      <w:r w:rsidRPr="00A16B1D">
        <w:t>Jurisdictional summary</w:t>
      </w:r>
    </w:p>
    <w:p w14:paraId="38FA38ED" w14:textId="6B78D3AD" w:rsidR="00C00379" w:rsidRPr="00630A55" w:rsidRDefault="00C00379" w:rsidP="0096009C">
      <w:pPr>
        <w:pStyle w:val="Heading4"/>
        <w:rPr>
          <w:rFonts w:ascii="Univers 45 Light" w:hAnsi="Univers 45 Light"/>
        </w:rPr>
      </w:pPr>
      <w:r w:rsidRPr="00630A55">
        <w:t xml:space="preserve">Health Service </w:t>
      </w:r>
      <w:r w:rsidR="008E17E9">
        <w:t>o</w:t>
      </w:r>
      <w:r w:rsidRPr="00630A55">
        <w:t>verview</w:t>
      </w:r>
    </w:p>
    <w:p w14:paraId="7266B868" w14:textId="7AA4CBB9" w:rsidR="00C00379" w:rsidRPr="00630A55" w:rsidRDefault="00C00379" w:rsidP="008225C3">
      <w:pPr>
        <w:pStyle w:val="BodyText"/>
        <w:rPr>
          <w:rFonts w:ascii="Univers 45 Light" w:hAnsi="Univers 45 Light" w:cs="Arial"/>
          <w:b/>
        </w:rPr>
      </w:pPr>
      <w:bookmarkStart w:id="53" w:name="OLE_LINK2"/>
      <w:r w:rsidRPr="00630A55">
        <w:t xml:space="preserve">Queensland Health comprises </w:t>
      </w:r>
      <w:r w:rsidR="007930D3">
        <w:t>16</w:t>
      </w:r>
      <w:r w:rsidRPr="00630A55">
        <w:t xml:space="preserve"> HHS </w:t>
      </w:r>
      <w:r w:rsidR="006F1483">
        <w:t>in addition to</w:t>
      </w:r>
      <w:r w:rsidR="006F1483" w:rsidRPr="00630A55">
        <w:t xml:space="preserve"> </w:t>
      </w:r>
      <w:r w:rsidRPr="00630A55">
        <w:t xml:space="preserve">the Mater Public Hospitals (Adult and Mothers’). </w:t>
      </w:r>
      <w:bookmarkEnd w:id="53"/>
      <w:r w:rsidRPr="00630A55">
        <w:t>Each HHS is responsible for the provision of health services to their community across a range of settings including admitted, emergency department and non</w:t>
      </w:r>
      <w:r w:rsidR="006F1483">
        <w:noBreakHyphen/>
      </w:r>
      <w:r w:rsidRPr="00630A55">
        <w:t xml:space="preserve">admitted services. In </w:t>
      </w:r>
      <w:r w:rsidR="00595A9F">
        <w:t>FY20/21</w:t>
      </w:r>
      <w:r w:rsidRPr="00630A55">
        <w:t xml:space="preserve"> of the IFR, three </w:t>
      </w:r>
      <w:r w:rsidR="00CA73DC">
        <w:t>HHS</w:t>
      </w:r>
      <w:r w:rsidRPr="00630A55">
        <w:t>s were selected as sample sites for the review</w:t>
      </w:r>
      <w:r w:rsidR="006F1483">
        <w:t>:</w:t>
      </w:r>
      <w:r w:rsidRPr="00630A55">
        <w:t xml:space="preserve"> Central Queensland HHS, Mackay HHS and Metro South HHS</w:t>
      </w:r>
      <w:r w:rsidR="0018005C">
        <w:t xml:space="preserve">, </w:t>
      </w:r>
      <w:r w:rsidR="0018005C" w:rsidRPr="00630A55">
        <w:t>based upon the sampling framework</w:t>
      </w:r>
      <w:r w:rsidR="00086254">
        <w:t>.</w:t>
      </w:r>
      <w:r w:rsidRPr="00630A55">
        <w:t xml:space="preserve"> Central Queensland HHS includes four ABF hospitals</w:t>
      </w:r>
      <w:r w:rsidR="006F1483">
        <w:t>,</w:t>
      </w:r>
      <w:r w:rsidRPr="00630A55">
        <w:t xml:space="preserve"> eight block funded hospitals and two residential aged care facilities. Mackay HHS comprises two ABF hospitals and six block-funded hospitals. Metro South HHS consists of five ABF hospitals and no block-funded or aged care facilities. Each of the reviewed HHSs operate several other health care services</w:t>
      </w:r>
      <w:r w:rsidR="006F1483">
        <w:t>,</w:t>
      </w:r>
      <w:r w:rsidRPr="00630A55">
        <w:t xml:space="preserve"> including </w:t>
      </w:r>
      <w:r w:rsidR="00CC3249">
        <w:t>o</w:t>
      </w:r>
      <w:r w:rsidRPr="00630A55">
        <w:t xml:space="preserve">ral </w:t>
      </w:r>
      <w:r w:rsidR="00CC3249">
        <w:t>h</w:t>
      </w:r>
      <w:r w:rsidRPr="00630A55">
        <w:t>ealth</w:t>
      </w:r>
      <w:r w:rsidR="006F1483">
        <w:t>,</w:t>
      </w:r>
      <w:r w:rsidR="006F1483" w:rsidRPr="00630A55">
        <w:t xml:space="preserve"> </w:t>
      </w:r>
      <w:r w:rsidR="00CC3249">
        <w:t>c</w:t>
      </w:r>
      <w:r w:rsidRPr="00630A55">
        <w:t xml:space="preserve">ommunity </w:t>
      </w:r>
      <w:r w:rsidR="00CC3249">
        <w:t>m</w:t>
      </w:r>
      <w:r w:rsidRPr="00630A55">
        <w:t xml:space="preserve">ental </w:t>
      </w:r>
      <w:r w:rsidR="00CC3249">
        <w:t>h</w:t>
      </w:r>
      <w:r w:rsidRPr="00630A55">
        <w:t xml:space="preserve">ealth, </w:t>
      </w:r>
      <w:r w:rsidR="00CC3249">
        <w:t>p</w:t>
      </w:r>
      <w:r w:rsidRPr="00630A55">
        <w:t xml:space="preserve">ublic </w:t>
      </w:r>
      <w:r w:rsidR="00CC3249">
        <w:t>h</w:t>
      </w:r>
      <w:r w:rsidRPr="00630A55">
        <w:t xml:space="preserve">ealth </w:t>
      </w:r>
      <w:r w:rsidR="00CC3249">
        <w:t>s</w:t>
      </w:r>
      <w:r w:rsidRPr="00630A55">
        <w:t xml:space="preserve">ervices, </w:t>
      </w:r>
      <w:r w:rsidR="00CC3249">
        <w:t>g</w:t>
      </w:r>
      <w:r w:rsidRPr="00630A55">
        <w:t xml:space="preserve">eneral </w:t>
      </w:r>
      <w:r w:rsidR="00CC3249">
        <w:t>c</w:t>
      </w:r>
      <w:r w:rsidRPr="00630A55">
        <w:t xml:space="preserve">ommunity </w:t>
      </w:r>
      <w:r w:rsidR="00CC3249">
        <w:t>h</w:t>
      </w:r>
      <w:r w:rsidRPr="00630A55">
        <w:t xml:space="preserve">ealth </w:t>
      </w:r>
      <w:r w:rsidR="00CC3249">
        <w:t>s</w:t>
      </w:r>
      <w:r w:rsidRPr="00630A55">
        <w:t xml:space="preserve">ervices, </w:t>
      </w:r>
      <w:r w:rsidR="00CC3249">
        <w:t>c</w:t>
      </w:r>
      <w:r w:rsidRPr="00630A55">
        <w:t xml:space="preserve">ancer </w:t>
      </w:r>
      <w:r w:rsidR="00CC3249">
        <w:t>s</w:t>
      </w:r>
      <w:r w:rsidRPr="00630A55">
        <w:t xml:space="preserve">creening </w:t>
      </w:r>
      <w:r w:rsidR="00CC3249">
        <w:t>s</w:t>
      </w:r>
      <w:r w:rsidRPr="00630A55">
        <w:t xml:space="preserve">ervices, </w:t>
      </w:r>
      <w:r w:rsidR="00CC3249">
        <w:t>d</w:t>
      </w:r>
      <w:r w:rsidRPr="00630A55">
        <w:t xml:space="preserve">rug and </w:t>
      </w:r>
      <w:r w:rsidR="00CC3249">
        <w:t>a</w:t>
      </w:r>
      <w:r w:rsidRPr="00630A55">
        <w:t xml:space="preserve">lcohol </w:t>
      </w:r>
      <w:r w:rsidR="00CC3249">
        <w:t>s</w:t>
      </w:r>
      <w:r w:rsidRPr="00630A55">
        <w:t xml:space="preserve">ervices, Aboriginal and Torres Strait Islander </w:t>
      </w:r>
      <w:r w:rsidR="00CC3249">
        <w:t>h</w:t>
      </w:r>
      <w:r w:rsidRPr="00630A55">
        <w:t xml:space="preserve">ealth </w:t>
      </w:r>
      <w:r w:rsidR="00CC3249">
        <w:t>s</w:t>
      </w:r>
      <w:r w:rsidRPr="00630A55">
        <w:t xml:space="preserve">ervices, </w:t>
      </w:r>
      <w:r w:rsidR="00CC3249">
        <w:t>s</w:t>
      </w:r>
      <w:r w:rsidRPr="00630A55">
        <w:t xml:space="preserve">exual </w:t>
      </w:r>
      <w:r w:rsidR="00CC3249">
        <w:t>h</w:t>
      </w:r>
      <w:r w:rsidRPr="00630A55">
        <w:t xml:space="preserve">ealth </w:t>
      </w:r>
      <w:r w:rsidR="00CC3249">
        <w:t>s</w:t>
      </w:r>
      <w:r w:rsidRPr="00630A55">
        <w:t>ervices and Hospital in the Home. Central Queensland HHS and Mackay HHS have co</w:t>
      </w:r>
      <w:r w:rsidR="006F1483">
        <w:noBreakHyphen/>
      </w:r>
      <w:r w:rsidRPr="00630A55">
        <w:t>located</w:t>
      </w:r>
      <w:r w:rsidR="006F1483">
        <w:t>,</w:t>
      </w:r>
      <w:r w:rsidRPr="00630A55">
        <w:t xml:space="preserve"> </w:t>
      </w:r>
      <w:r w:rsidR="006F1483">
        <w:t>m</w:t>
      </w:r>
      <w:r w:rsidRPr="00630A55">
        <w:t>ulti-</w:t>
      </w:r>
      <w:r w:rsidR="006F1483">
        <w:t>p</w:t>
      </w:r>
      <w:r w:rsidRPr="00630A55">
        <w:t xml:space="preserve">urpose </w:t>
      </w:r>
      <w:r w:rsidR="006F1483">
        <w:t>h</w:t>
      </w:r>
      <w:r w:rsidRPr="00630A55">
        <w:t xml:space="preserve">ealth </w:t>
      </w:r>
      <w:r w:rsidR="006F1483">
        <w:t>s</w:t>
      </w:r>
      <w:r w:rsidRPr="00630A55">
        <w:t xml:space="preserve">ervices within their rural acute </w:t>
      </w:r>
      <w:r w:rsidR="006F1483">
        <w:t>h</w:t>
      </w:r>
      <w:r w:rsidRPr="00630A55">
        <w:t>ospitals.</w:t>
      </w:r>
    </w:p>
    <w:p w14:paraId="69BD6597" w14:textId="1EDC4843" w:rsidR="00C00379" w:rsidRPr="00630A55" w:rsidRDefault="00C00379" w:rsidP="0096009C">
      <w:pPr>
        <w:pStyle w:val="Heading4"/>
        <w:rPr>
          <w:rFonts w:ascii="Univers 45 Light" w:hAnsi="Univers 45 Light"/>
        </w:rPr>
      </w:pPr>
      <w:r w:rsidRPr="00630A55">
        <w:t xml:space="preserve">Costing </w:t>
      </w:r>
      <w:r w:rsidR="00C52F10">
        <w:t>o</w:t>
      </w:r>
      <w:r w:rsidRPr="00630A55">
        <w:t>verview</w:t>
      </w:r>
    </w:p>
    <w:p w14:paraId="21EF3CC8" w14:textId="782CD010" w:rsidR="00C00379" w:rsidRPr="00630A55" w:rsidRDefault="00C00379" w:rsidP="008225C3">
      <w:pPr>
        <w:jc w:val="both"/>
      </w:pPr>
      <w:r w:rsidRPr="00630A55">
        <w:t xml:space="preserve">Each HHS reviewed in this year’s IFR utilises the </w:t>
      </w:r>
      <w:r w:rsidR="00D16FE7">
        <w:t>statewide</w:t>
      </w:r>
      <w:r w:rsidRPr="00630A55">
        <w:t xml:space="preserve"> costing solution, CostPro. CostPro automatically runs an update costing process on a nightly basis and costs reflect a year-to-date cost for completed costing structures and products. At the close of each fiscal period</w:t>
      </w:r>
      <w:r w:rsidR="00D16FE7">
        <w:t>,</w:t>
      </w:r>
      <w:r w:rsidRPr="00630A55">
        <w:t xml:space="preserve"> costing from the prior month is reviewed by the </w:t>
      </w:r>
      <w:r w:rsidR="004E3482">
        <w:t>c</w:t>
      </w:r>
      <w:r w:rsidRPr="00630A55">
        <w:t>osting team. New products for costing from source feeder systems and any changes in financial data are updated in the costing application as part of a monthly costing management process. Costing is not considered final until after the formal close of the costing ledger within each HHS</w:t>
      </w:r>
      <w:r w:rsidR="005A2901">
        <w:t>,</w:t>
      </w:r>
      <w:r w:rsidRPr="00630A55">
        <w:t xml:space="preserve"> which includes the end of year accrual </w:t>
      </w:r>
      <w:r w:rsidR="00E1715B">
        <w:t>GL</w:t>
      </w:r>
      <w:r w:rsidRPr="00630A55">
        <w:t xml:space="preserve"> transactions. At this time</w:t>
      </w:r>
      <w:r w:rsidR="00D16FE7">
        <w:t>,</w:t>
      </w:r>
      <w:r w:rsidRPr="00630A55">
        <w:t xml:space="preserve"> a number of end</w:t>
      </w:r>
      <w:r w:rsidR="004E3482">
        <w:t>-</w:t>
      </w:r>
      <w:r w:rsidRPr="00630A55">
        <w:t>of</w:t>
      </w:r>
      <w:r w:rsidR="004E3482">
        <w:t>-</w:t>
      </w:r>
      <w:r w:rsidRPr="00630A55">
        <w:t xml:space="preserve">year audits are undertaken by the </w:t>
      </w:r>
      <w:r w:rsidR="00B217CC">
        <w:t>c</w:t>
      </w:r>
      <w:r w:rsidRPr="00630A55">
        <w:t>osting team prior to completing a costing survey (</w:t>
      </w:r>
      <w:r w:rsidR="001D4ACD">
        <w:t>that</w:t>
      </w:r>
      <w:r w:rsidRPr="00630A55">
        <w:t xml:space="preserve"> includes the reconciliation of patient level costing data to the </w:t>
      </w:r>
      <w:r w:rsidR="00E1715B">
        <w:t>GL</w:t>
      </w:r>
      <w:r w:rsidRPr="00630A55">
        <w:t xml:space="preserve">). This data is then provided to the Queensland Department of Health Activity Costing team who undertake the final data transformation processes, including matching to the submitted ABF activity data collections, numerous data quality checks and format of the final files required for submission to the IHACPA </w:t>
      </w:r>
      <w:r w:rsidR="000940E7">
        <w:t>p</w:t>
      </w:r>
      <w:r w:rsidRPr="00630A55">
        <w:t>ortal, as part of the annual NHCDC.</w:t>
      </w:r>
    </w:p>
    <w:p w14:paraId="71FB7FD9" w14:textId="34335865" w:rsidR="00C00379" w:rsidRPr="00630A55" w:rsidRDefault="00C00379" w:rsidP="008225C3">
      <w:pPr>
        <w:jc w:val="both"/>
      </w:pPr>
      <w:r w:rsidRPr="00630A55">
        <w:t>Pharmac</w:t>
      </w:r>
      <w:r w:rsidR="004E007C">
        <w:t>eutical</w:t>
      </w:r>
      <w:r w:rsidRPr="00630A55">
        <w:t xml:space="preserve"> Benefit</w:t>
      </w:r>
      <w:r w:rsidR="004E007C">
        <w:t>s</w:t>
      </w:r>
      <w:r w:rsidRPr="00630A55">
        <w:t xml:space="preserve"> Sche</w:t>
      </w:r>
      <w:r w:rsidR="004E007C">
        <w:t>me</w:t>
      </w:r>
      <w:r w:rsidRPr="00630A55">
        <w:t xml:space="preserve"> (PBS) </w:t>
      </w:r>
      <w:r w:rsidR="00E1715B">
        <w:t>l</w:t>
      </w:r>
      <w:r w:rsidRPr="00630A55">
        <w:t xml:space="preserve">ine </w:t>
      </w:r>
      <w:r w:rsidR="00086254">
        <w:t>i</w:t>
      </w:r>
      <w:r w:rsidRPr="00630A55">
        <w:t xml:space="preserve">tem allocations were undertaken at a jurisdictional level for </w:t>
      </w:r>
      <w:r w:rsidR="00595A9F">
        <w:t>FY20/21</w:t>
      </w:r>
      <w:r w:rsidRPr="00630A55">
        <w:t xml:space="preserve">, with all submitted HHS data attributed to </w:t>
      </w:r>
      <w:r w:rsidR="00E1715B">
        <w:t>n</w:t>
      </w:r>
      <w:r w:rsidRPr="00630A55">
        <w:t>on-PBS drugs</w:t>
      </w:r>
      <w:r>
        <w:t xml:space="preserve">. </w:t>
      </w:r>
      <w:r w:rsidRPr="00630A55">
        <w:t xml:space="preserve">Queensland Health </w:t>
      </w:r>
      <w:r w:rsidR="005221C2">
        <w:t>intend</w:t>
      </w:r>
      <w:r w:rsidRPr="00630A55">
        <w:t xml:space="preserve"> to implement this at an HHS level in future rounds.</w:t>
      </w:r>
    </w:p>
    <w:p w14:paraId="586494B4" w14:textId="2635AB83" w:rsidR="00C00379" w:rsidRPr="00630A55" w:rsidRDefault="00C00379" w:rsidP="0096009C">
      <w:pPr>
        <w:pStyle w:val="Heading4"/>
        <w:rPr>
          <w:rFonts w:ascii="Univers 45 Light" w:hAnsi="Univers 45 Light"/>
        </w:rPr>
      </w:pPr>
      <w:r w:rsidRPr="00630A55">
        <w:t xml:space="preserve">Systems </w:t>
      </w:r>
      <w:r w:rsidR="005221C2">
        <w:t>e</w:t>
      </w:r>
      <w:r w:rsidRPr="00630A55">
        <w:t>nvironment</w:t>
      </w:r>
    </w:p>
    <w:p w14:paraId="25A99462" w14:textId="3EC26433" w:rsidR="00C00379" w:rsidRPr="00630A55" w:rsidRDefault="00C00379" w:rsidP="003910CC">
      <w:pPr>
        <w:jc w:val="both"/>
      </w:pPr>
      <w:r w:rsidRPr="00630A55">
        <w:t>The costing software used by Queensland Health for the three sites involved in this review is CostPro. CostPro includes several built-in reports</w:t>
      </w:r>
      <w:r w:rsidR="00E1715B">
        <w:t>,</w:t>
      </w:r>
      <w:r w:rsidRPr="00630A55">
        <w:t xml:space="preserve"> including full system end</w:t>
      </w:r>
      <w:r w:rsidR="00E1715B">
        <w:t>-</w:t>
      </w:r>
      <w:r w:rsidRPr="00630A55">
        <w:t>to</w:t>
      </w:r>
      <w:r w:rsidR="00E1715B">
        <w:t>-</w:t>
      </w:r>
      <w:r w:rsidRPr="00630A55">
        <w:t xml:space="preserve">end reconciliation (updated each day with the daily costing run). The CostPro application is a SQL front end with the SQL databases in a product called IntelPlus. IntelPlus is currently implanted </w:t>
      </w:r>
      <w:r w:rsidRPr="00630A55">
        <w:lastRenderedPageBreak/>
        <w:t xml:space="preserve">using a cloud-based infrastructure. It has several standardised views for reporting via SQL Server Management Studio. In addition, a schema has been created for each HHS to create additional views for reporting as required. The application and database have a schema based/table-based security model </w:t>
      </w:r>
      <w:r w:rsidR="001D4ACD">
        <w:t>that</w:t>
      </w:r>
      <w:r w:rsidRPr="00630A55">
        <w:t xml:space="preserve"> ensures the integrity of the data. As an Open Database Connectivity (ODBC) compliant database, HHS teams also review and report over the costing data using other business intelligence (BI) tools such as Power BI and QlikView. In addition</w:t>
      </w:r>
      <w:r w:rsidR="00E1715B">
        <w:t>,</w:t>
      </w:r>
      <w:r w:rsidRPr="00630A55">
        <w:t xml:space="preserve"> the </w:t>
      </w:r>
      <w:r w:rsidR="00710D0C">
        <w:t>statewide</w:t>
      </w:r>
      <w:r w:rsidRPr="00630A55">
        <w:t xml:space="preserve"> financial and activity reporting BI tool, the Decision Support System (DSS) is used by all HHSs</w:t>
      </w:r>
      <w:r w:rsidR="00674A47">
        <w:t>,</w:t>
      </w:r>
      <w:r w:rsidRPr="00630A55">
        <w:t xml:space="preserve"> as is the </w:t>
      </w:r>
      <w:r w:rsidR="00710D0C">
        <w:t>statewide</w:t>
      </w:r>
      <w:r w:rsidRPr="00630A55">
        <w:t xml:space="preserve"> System Performance Reporting tool (SPR).</w:t>
      </w:r>
    </w:p>
    <w:p w14:paraId="75AE4904" w14:textId="77777777" w:rsidR="00C00379" w:rsidRPr="00630A55" w:rsidRDefault="00C00379" w:rsidP="0096009C">
      <w:pPr>
        <w:pStyle w:val="Heading4"/>
        <w:rPr>
          <w:rFonts w:ascii="Univers 45 Light" w:hAnsi="Univers 45 Light"/>
        </w:rPr>
      </w:pPr>
      <w:r w:rsidRPr="00630A55">
        <w:t>Improvements</w:t>
      </w:r>
    </w:p>
    <w:p w14:paraId="3A34215B" w14:textId="4D2692FA" w:rsidR="00C00379" w:rsidRPr="00630A55" w:rsidRDefault="00C00379" w:rsidP="003910CC">
      <w:pPr>
        <w:jc w:val="both"/>
      </w:pPr>
      <w:r w:rsidRPr="00630A55">
        <w:t>With the introduction of CostPro</w:t>
      </w:r>
      <w:r w:rsidR="00E1715B">
        <w:t>,</w:t>
      </w:r>
      <w:r w:rsidRPr="00630A55">
        <w:t xml:space="preserve"> there was a review of all cost centres and the cost allocation methodology </w:t>
      </w:r>
      <w:r w:rsidR="001D4ACD">
        <w:t>that</w:t>
      </w:r>
      <w:r w:rsidRPr="00630A55">
        <w:t xml:space="preserve"> led to changes in costing line items and the allocation of direct and overhead cost centres.</w:t>
      </w:r>
    </w:p>
    <w:p w14:paraId="7CF0601E" w14:textId="1570DEB5" w:rsidR="00C00379" w:rsidRPr="00630A55" w:rsidRDefault="00C00379" w:rsidP="003910CC">
      <w:pPr>
        <w:jc w:val="both"/>
      </w:pPr>
      <w:r w:rsidRPr="00630A55">
        <w:t xml:space="preserve">Over the past two years, Queensland Health has been investing in initiatives to improve data quality, such as automated notifications in the event of non-matching of activity, high percentage allocation for overheads, </w:t>
      </w:r>
      <w:r w:rsidR="008230F5">
        <w:t>negative costs</w:t>
      </w:r>
      <w:r w:rsidRPr="00630A55">
        <w:t xml:space="preserve"> and other data quality tests</w:t>
      </w:r>
      <w:r w:rsidR="008230F5">
        <w:t xml:space="preserve"> that accelerate the identification of issues</w:t>
      </w:r>
      <w:r w:rsidRPr="00630A55">
        <w:t>. Several improvements have been made to the costing process including:</w:t>
      </w:r>
    </w:p>
    <w:p w14:paraId="2CA46AB7" w14:textId="746CD911" w:rsidR="00C00379" w:rsidRPr="00630A55" w:rsidRDefault="00D254BD" w:rsidP="003910CC">
      <w:pPr>
        <w:pStyle w:val="Bullet1stlevel"/>
        <w:jc w:val="both"/>
      </w:pPr>
      <w:r>
        <w:t>T</w:t>
      </w:r>
      <w:r w:rsidR="00C00379" w:rsidRPr="00630A55">
        <w:t xml:space="preserve">he introduction of </w:t>
      </w:r>
      <w:r w:rsidR="005949BC">
        <w:t>o</w:t>
      </w:r>
      <w:r w:rsidR="00C00379" w:rsidRPr="00630A55">
        <w:t xml:space="preserve">ral </w:t>
      </w:r>
      <w:r w:rsidR="005949BC">
        <w:t>h</w:t>
      </w:r>
      <w:r w:rsidR="00C00379" w:rsidRPr="00630A55">
        <w:t>ealth activity data</w:t>
      </w:r>
    </w:p>
    <w:p w14:paraId="3A9EC639" w14:textId="38D815B8" w:rsidR="00C00379" w:rsidRPr="00630A55" w:rsidRDefault="00D254BD" w:rsidP="003910CC">
      <w:pPr>
        <w:pStyle w:val="Bullet1stlevel"/>
        <w:jc w:val="both"/>
      </w:pPr>
      <w:r>
        <w:t>I</w:t>
      </w:r>
      <w:r w:rsidR="00C00379" w:rsidRPr="00630A55">
        <w:t>mproved identification of PBS drugs</w:t>
      </w:r>
    </w:p>
    <w:p w14:paraId="78274714" w14:textId="70DDAD01" w:rsidR="00C00379" w:rsidRPr="00630A55" w:rsidRDefault="00D254BD" w:rsidP="003910CC">
      <w:pPr>
        <w:pStyle w:val="Bullet1stlevel"/>
        <w:jc w:val="both"/>
      </w:pPr>
      <w:r>
        <w:t>I</w:t>
      </w:r>
      <w:r w:rsidR="00C00379" w:rsidRPr="00630A55">
        <w:t xml:space="preserve">mproved identification of </w:t>
      </w:r>
      <w:r w:rsidR="00053B31">
        <w:t>o</w:t>
      </w:r>
      <w:r w:rsidR="00C00379" w:rsidRPr="00630A55">
        <w:t xml:space="preserve">rgan </w:t>
      </w:r>
      <w:r w:rsidR="00053B31">
        <w:t>d</w:t>
      </w:r>
      <w:r w:rsidR="00C00379" w:rsidRPr="00630A55">
        <w:t xml:space="preserve">onation activity </w:t>
      </w:r>
    </w:p>
    <w:p w14:paraId="15DECA52" w14:textId="38315F04" w:rsidR="00C00379" w:rsidRPr="00630A55" w:rsidRDefault="00D254BD" w:rsidP="003910CC">
      <w:pPr>
        <w:pStyle w:val="Bullet1stlevel"/>
        <w:jc w:val="both"/>
      </w:pPr>
      <w:r>
        <w:t>C</w:t>
      </w:r>
      <w:r w:rsidR="00C00379" w:rsidRPr="00630A55">
        <w:t>apturing and costing COVID-19 vaccination data</w:t>
      </w:r>
      <w:r w:rsidR="002054F8">
        <w:t>.</w:t>
      </w:r>
    </w:p>
    <w:p w14:paraId="1F046F9A" w14:textId="742CE50C" w:rsidR="00C00379" w:rsidRPr="00630A55" w:rsidRDefault="00C00379" w:rsidP="003910CC">
      <w:pPr>
        <w:jc w:val="both"/>
      </w:pPr>
      <w:r w:rsidRPr="00630A55">
        <w:t xml:space="preserve">Several differences have been noted with respect to costing at Queensland Health between </w:t>
      </w:r>
      <w:r w:rsidR="00595A9F">
        <w:t>FY19/20</w:t>
      </w:r>
      <w:r w:rsidRPr="00630A55">
        <w:t xml:space="preserve"> and </w:t>
      </w:r>
      <w:r w:rsidR="00595A9F">
        <w:t>FY20/21</w:t>
      </w:r>
      <w:r w:rsidRPr="00630A55">
        <w:t>, including:</w:t>
      </w:r>
    </w:p>
    <w:p w14:paraId="083A2930" w14:textId="75263F0A" w:rsidR="00C00379" w:rsidRPr="00630A55" w:rsidRDefault="00D254BD" w:rsidP="003910CC">
      <w:pPr>
        <w:pStyle w:val="Bullet1stlevel"/>
        <w:jc w:val="both"/>
      </w:pPr>
      <w:r>
        <w:t>D</w:t>
      </w:r>
      <w:r w:rsidR="00C00379" w:rsidRPr="00630A55">
        <w:t xml:space="preserve">eveloping a method of acknowledging depreciation by shifting from amortisation to the expensing of </w:t>
      </w:r>
      <w:r w:rsidR="00EF07E6">
        <w:t>all</w:t>
      </w:r>
      <w:r w:rsidR="00C00379" w:rsidRPr="00630A55">
        <w:t xml:space="preserve"> assets following a system-wide review</w:t>
      </w:r>
    </w:p>
    <w:p w14:paraId="3A4AB96E" w14:textId="3C4FFA8A" w:rsidR="00C00379" w:rsidRPr="00630A55" w:rsidRDefault="00D254BD" w:rsidP="003910CC">
      <w:pPr>
        <w:pStyle w:val="Bullet1stlevel"/>
        <w:jc w:val="both"/>
      </w:pPr>
      <w:r>
        <w:t>I</w:t>
      </w:r>
      <w:r w:rsidR="00C00379" w:rsidRPr="00630A55">
        <w:t>mplementation of new feeder systems and refinement of information from existing feeder systems</w:t>
      </w:r>
    </w:p>
    <w:p w14:paraId="5FB88421" w14:textId="77632600" w:rsidR="00C00379" w:rsidRPr="00630A55" w:rsidRDefault="00D254BD" w:rsidP="003910CC">
      <w:pPr>
        <w:pStyle w:val="Bullet1stlevel"/>
        <w:jc w:val="both"/>
      </w:pPr>
      <w:r>
        <w:t>R</w:t>
      </w:r>
      <w:r w:rsidR="00C00379" w:rsidRPr="00630A55">
        <w:t xml:space="preserve">eview </w:t>
      </w:r>
      <w:r w:rsidR="00C00379" w:rsidRPr="00630A55" w:rsidDel="007D3937">
        <w:t xml:space="preserve">of </w:t>
      </w:r>
      <w:r w:rsidR="00C00379" w:rsidRPr="00630A55">
        <w:t>overhead classifications and their relationship to direct costs at the higher level</w:t>
      </w:r>
    </w:p>
    <w:p w14:paraId="44B1D7A8" w14:textId="64E3A929" w:rsidR="00C00379" w:rsidRPr="00630A55" w:rsidRDefault="00D254BD" w:rsidP="003910CC">
      <w:pPr>
        <w:pStyle w:val="Bullet1stlevel"/>
        <w:jc w:val="both"/>
      </w:pPr>
      <w:r>
        <w:t>A</w:t>
      </w:r>
      <w:r w:rsidR="00C00379" w:rsidRPr="00630A55">
        <w:t xml:space="preserve"> decrease in the overall percentage of salaries and wages in </w:t>
      </w:r>
      <w:r w:rsidR="00595A9F">
        <w:t>FY20/21</w:t>
      </w:r>
      <w:r w:rsidR="00C00379" w:rsidRPr="00630A55">
        <w:t xml:space="preserve"> </w:t>
      </w:r>
      <w:r w:rsidR="009C41D0" w:rsidRPr="00630A55">
        <w:t>because of</w:t>
      </w:r>
      <w:r w:rsidR="00C00379" w:rsidRPr="00630A55">
        <w:t xml:space="preserve"> reallocations of superannuation expenses to oncosts and deferral </w:t>
      </w:r>
      <w:r w:rsidR="00E1715B">
        <w:t>e</w:t>
      </w:r>
      <w:r w:rsidR="00C00379" w:rsidRPr="00630A55">
        <w:t xml:space="preserve">nterprise </w:t>
      </w:r>
      <w:r w:rsidR="00E1715B">
        <w:t>b</w:t>
      </w:r>
      <w:r w:rsidR="00C00379" w:rsidRPr="00630A55">
        <w:t>argaining wage increases as part of the COVID-19 response plan.</w:t>
      </w:r>
    </w:p>
    <w:p w14:paraId="75AB108F" w14:textId="556C797A" w:rsidR="00C00379" w:rsidRPr="00630A55" w:rsidRDefault="00C00379" w:rsidP="003910CC">
      <w:pPr>
        <w:jc w:val="both"/>
      </w:pPr>
      <w:r w:rsidRPr="00630A55">
        <w:t xml:space="preserve">One key focus following </w:t>
      </w:r>
      <w:r w:rsidR="00595A9F">
        <w:t>FY19/20</w:t>
      </w:r>
      <w:r w:rsidRPr="00630A55">
        <w:t xml:space="preserve"> was improving quality assurance checks. Each HHS has its own quality assurance processes in place to ensure accurate costing of services. Once the HHS has finalised the costing for the period and data quality issues have been addressed, they advise the jurisdiction that the data is ready to be extracted</w:t>
      </w:r>
      <w:r w:rsidR="00E1715B">
        <w:t>;</w:t>
      </w:r>
      <w:r w:rsidRPr="00630A55">
        <w:t xml:space="preserve"> the Department of Health Activity Costing team then assess the suitability of data for inclusion in the NHCDC.</w:t>
      </w:r>
    </w:p>
    <w:p w14:paraId="3EA7378F" w14:textId="77777777" w:rsidR="00C00379" w:rsidRPr="00630A55" w:rsidRDefault="00C00379" w:rsidP="00C00379">
      <w:pPr>
        <w:pStyle w:val="Heading3"/>
      </w:pPr>
      <w:r w:rsidRPr="00630A55">
        <w:t>Data flow and reconciliation</w:t>
      </w:r>
    </w:p>
    <w:p w14:paraId="300B3B4C" w14:textId="77777777" w:rsidR="00C00379" w:rsidRPr="000D1F83" w:rsidRDefault="00C00379" w:rsidP="0096009C">
      <w:pPr>
        <w:pStyle w:val="Heading4"/>
        <w:rPr>
          <w:rFonts w:cs="Arial"/>
        </w:rPr>
      </w:pPr>
      <w:r w:rsidRPr="000D1F83">
        <w:rPr>
          <w:rFonts w:cs="Arial"/>
        </w:rPr>
        <w:t>Central Queensland HHS</w:t>
      </w:r>
    </w:p>
    <w:p w14:paraId="39EE9DFD" w14:textId="3EEAD7AB" w:rsidR="00C00379" w:rsidRPr="00630A55" w:rsidRDefault="00C00379" w:rsidP="003910CC">
      <w:pPr>
        <w:jc w:val="both"/>
      </w:pPr>
      <w:r w:rsidRPr="00630A55">
        <w:t xml:space="preserve">The Central Queensland HHS total submission in the GL was $701,961,380, which was the same value that was transferred to the costing system for </w:t>
      </w:r>
      <w:r w:rsidR="00595A9F">
        <w:t>FY20/21</w:t>
      </w:r>
      <w:r w:rsidRPr="00630A55">
        <w:t>. The direct post allocation amounts totalled $604,289,226 (86 per cent).</w:t>
      </w:r>
    </w:p>
    <w:p w14:paraId="122FC26A" w14:textId="32D475AF" w:rsidR="00C00379" w:rsidRPr="00630A55" w:rsidRDefault="00C00379" w:rsidP="003910CC">
      <w:pPr>
        <w:jc w:val="both"/>
      </w:pPr>
      <w:r w:rsidRPr="00630A55">
        <w:t xml:space="preserve">The total costs submitted to the jurisdiction for Central Queensland HHS as per the line items (per IHACPA standards) was $684,989,127. The net WIP adjustment was -$16,972,253. This </w:t>
      </w:r>
      <w:r w:rsidRPr="00630A55">
        <w:lastRenderedPageBreak/>
        <w:t>includes $8,240,636 of inclusions and $25,212,889 of exclusions. WIP inclusions comprised patients admitted in prior years and discharged in the NHCDC reference year and includes costs for reference year plus one for ancillary system</w:t>
      </w:r>
      <w:r w:rsidR="00013843">
        <w:t>-</w:t>
      </w:r>
      <w:r w:rsidRPr="00630A55">
        <w:t>matched data. Exclusions considered NHCDC reference year costs for patients not discharged within the reference year.</w:t>
      </w:r>
    </w:p>
    <w:p w14:paraId="0DDB6AA6" w14:textId="77777777" w:rsidR="00D91CB1" w:rsidRDefault="00C00379" w:rsidP="003910CC">
      <w:pPr>
        <w:jc w:val="both"/>
      </w:pPr>
      <w:r w:rsidRPr="00630A55">
        <w:t xml:space="preserve">The total costs submitted to IHACPA from the jurisdiction for Central Queensland HHS was $531,808,203, </w:t>
      </w:r>
      <w:r w:rsidR="00E1715B">
        <w:t>and</w:t>
      </w:r>
      <w:r w:rsidRPr="00630A55">
        <w:t xml:space="preserve"> adjustments by the jurisdiction of $153,180,923 are attributed to services and expenditure that do not form part of the NHCDC submission. </w:t>
      </w:r>
    </w:p>
    <w:p w14:paraId="78D0FAB6" w14:textId="2B10F44D" w:rsidR="00C00379" w:rsidRPr="00630A55" w:rsidRDefault="00C00379" w:rsidP="003910CC">
      <w:pPr>
        <w:jc w:val="both"/>
      </w:pPr>
      <w:r w:rsidRPr="00630A55">
        <w:t>This includes services such as virtual patients, unlinked feeder system activity and services that are out of scope for the NHCDC.</w:t>
      </w:r>
      <w:r w:rsidR="009C41D0">
        <w:t xml:space="preserve"> </w:t>
      </w:r>
      <w:r w:rsidRPr="00630A55">
        <w:t xml:space="preserve">For further details on the costs and activity submitted for the Central Queensland HHS </w:t>
      </w:r>
      <w:r>
        <w:t xml:space="preserve">see </w:t>
      </w:r>
      <w:r w:rsidR="00AD608F">
        <w:fldChar w:fldCharType="begin"/>
      </w:r>
      <w:r w:rsidR="00AD608F">
        <w:instrText xml:space="preserve"> REF _Ref114758152 \h </w:instrText>
      </w:r>
      <w:r w:rsidR="003910CC">
        <w:instrText xml:space="preserve"> \* MERGEFORMAT </w:instrText>
      </w:r>
      <w:r w:rsidR="00AD608F">
        <w:fldChar w:fldCharType="separate"/>
      </w:r>
      <w:r w:rsidR="007E2ACB" w:rsidRPr="007E2ACB">
        <w:t xml:space="preserve">Table </w:t>
      </w:r>
      <w:r w:rsidR="007E2ACB" w:rsidRPr="007E2ACB">
        <w:rPr>
          <w:noProof/>
        </w:rPr>
        <w:t>16</w:t>
      </w:r>
      <w:r w:rsidR="00AD608F">
        <w:fldChar w:fldCharType="end"/>
      </w:r>
      <w:r w:rsidRPr="00630A55">
        <w:t>.</w:t>
      </w:r>
    </w:p>
    <w:p w14:paraId="042EFF5F" w14:textId="77777777" w:rsidR="00C00379" w:rsidRPr="000D1F83" w:rsidRDefault="00C00379" w:rsidP="00997762">
      <w:pPr>
        <w:pStyle w:val="Heading4"/>
      </w:pPr>
      <w:r w:rsidRPr="00630A55">
        <w:t>Mackay</w:t>
      </w:r>
      <w:r w:rsidRPr="000D1F83">
        <w:t xml:space="preserve"> HHS</w:t>
      </w:r>
    </w:p>
    <w:p w14:paraId="1A079EAE" w14:textId="17F9D7B0" w:rsidR="00C00379" w:rsidRPr="00630A55" w:rsidRDefault="00C00379" w:rsidP="003910CC">
      <w:pPr>
        <w:jc w:val="both"/>
      </w:pPr>
      <w:r w:rsidRPr="00630A55">
        <w:t xml:space="preserve">Mackay HHS total submission in the GL was $526,636,741, which was the same value that was transferred to the costing system for </w:t>
      </w:r>
      <w:r w:rsidR="00595A9F">
        <w:t>FY20/21</w:t>
      </w:r>
      <w:r w:rsidRPr="00630A55">
        <w:t>. The direct post allocation amounts totalled $450,059,252 (85 per cent).</w:t>
      </w:r>
    </w:p>
    <w:p w14:paraId="315F3169" w14:textId="77777777" w:rsidR="00C00379" w:rsidRPr="00630A55" w:rsidRDefault="00C00379" w:rsidP="003910CC">
      <w:pPr>
        <w:jc w:val="both"/>
      </w:pPr>
      <w:r w:rsidRPr="00630A55">
        <w:t>The total costs submitted to the jurisdiction for Mackay HHS as per the line items (per IHACPA standards) was $522,117,303. The net WIP adjustment was -$4,519,438. This includes $9,739,898 of inclusions and $14,259,336 of exclusions. WIP inclusions comprised patients admitted in prior years and discharged in the NHCDC reference year and includes costs for reference year plus one for ancillary system matched data. Exclusions considered NHCDC reference year costs for patients not discharged within the reference year.</w:t>
      </w:r>
    </w:p>
    <w:p w14:paraId="2BF74577" w14:textId="09AE5573" w:rsidR="00C00379" w:rsidRPr="00630A55" w:rsidRDefault="00C00379" w:rsidP="003910CC">
      <w:pPr>
        <w:jc w:val="both"/>
      </w:pPr>
      <w:r w:rsidRPr="00630A55">
        <w:t xml:space="preserve">The total cost submitted to IHACPA from the jurisdiction for Mackay HHS was $430,352,429, </w:t>
      </w:r>
      <w:r w:rsidR="00E1715B">
        <w:t xml:space="preserve">and </w:t>
      </w:r>
      <w:r w:rsidRPr="00630A55">
        <w:t xml:space="preserve">adjustments by the jurisdiction of $91,764,874 are attributed to services and expenditure that do not form part of the NHCDC submission. This includes services such as virtual patients and services that are out of scope for the NHCDC. For further details on the costs and activity submitted for the Mackay HHS </w:t>
      </w:r>
      <w:r w:rsidR="00222ECB">
        <w:t xml:space="preserve">see </w:t>
      </w:r>
      <w:r w:rsidR="00AD608F">
        <w:fldChar w:fldCharType="begin"/>
      </w:r>
      <w:r w:rsidR="00AD608F">
        <w:instrText xml:space="preserve"> REF _Ref114758164 \h </w:instrText>
      </w:r>
      <w:r w:rsidR="003910CC">
        <w:instrText xml:space="preserve"> \* MERGEFORMAT </w:instrText>
      </w:r>
      <w:r w:rsidR="00AD608F">
        <w:fldChar w:fldCharType="separate"/>
      </w:r>
      <w:r w:rsidR="007E2ACB" w:rsidRPr="007E2ACB">
        <w:t xml:space="preserve">Table </w:t>
      </w:r>
      <w:r w:rsidR="007E2ACB" w:rsidRPr="007E2ACB">
        <w:rPr>
          <w:noProof/>
        </w:rPr>
        <w:t>17</w:t>
      </w:r>
      <w:r w:rsidR="00AD608F">
        <w:fldChar w:fldCharType="end"/>
      </w:r>
      <w:r w:rsidRPr="00630A55">
        <w:t>.</w:t>
      </w:r>
    </w:p>
    <w:p w14:paraId="0CCA57D1" w14:textId="59A68762" w:rsidR="00C00379" w:rsidRPr="00630A55" w:rsidRDefault="00C00379" w:rsidP="00997762">
      <w:pPr>
        <w:pStyle w:val="Heading4"/>
        <w:rPr>
          <w:b w:val="0"/>
          <w:bCs/>
        </w:rPr>
      </w:pPr>
      <w:r w:rsidRPr="00630A55">
        <w:t>Metro South</w:t>
      </w:r>
      <w:r w:rsidR="007B62FC">
        <w:t xml:space="preserve"> HHS</w:t>
      </w:r>
      <w:r w:rsidRPr="00630A55">
        <w:t xml:space="preserve"> </w:t>
      </w:r>
    </w:p>
    <w:p w14:paraId="49979AA2" w14:textId="6047B667" w:rsidR="00C00379" w:rsidRPr="00630A55" w:rsidRDefault="00C00379" w:rsidP="003910CC">
      <w:pPr>
        <w:jc w:val="both"/>
      </w:pPr>
      <w:r w:rsidRPr="00630A55">
        <w:t xml:space="preserve">Metro South HHS total submission in the GL was $2,772,053,223, which was the same value that was transferred to the costing system for </w:t>
      </w:r>
      <w:r w:rsidR="00595A9F">
        <w:t>FY20/21</w:t>
      </w:r>
      <w:r w:rsidRPr="00630A55">
        <w:t>. The direct post allocation amounts totalled to $2,356,943,190 (85 per cent).</w:t>
      </w:r>
    </w:p>
    <w:p w14:paraId="58140B0C" w14:textId="77777777" w:rsidR="00C00379" w:rsidRPr="00630A55" w:rsidRDefault="00C00379" w:rsidP="003910CC">
      <w:pPr>
        <w:jc w:val="both"/>
      </w:pPr>
      <w:r w:rsidRPr="00630A55">
        <w:t>The total costs submitted to the jurisdiction for Metro South HHS as per the line items (per IHACPA standards) was $2,761,396,563. The net WIP adjustment was -$10,656,660. This includes $48,647,777 of inclusions and $59,304,437 of exclusions. WIP inclusions comprised patients admitted in prior years and discharged in the NHCDC reference year and includes costs for reference year plus one for ancillary system matched data. Exclusions considered NHCDC reference year costs for patients not discharged within the reference year.</w:t>
      </w:r>
    </w:p>
    <w:p w14:paraId="13F8AF2B" w14:textId="7AB4BC64" w:rsidR="00C00379" w:rsidRPr="00630A55" w:rsidRDefault="00C00379" w:rsidP="003910CC">
      <w:pPr>
        <w:jc w:val="both"/>
      </w:pPr>
      <w:r w:rsidRPr="00630A55">
        <w:t xml:space="preserve">The total cost submitted to IHACPA from the jurisdiction for Metro South HHS was $2,184,228,374, </w:t>
      </w:r>
      <w:r w:rsidR="00E1715B">
        <w:t xml:space="preserve">and </w:t>
      </w:r>
      <w:r w:rsidRPr="00630A55">
        <w:t>adjustments by the jurisdiction of $577,168,188 was primarily attributed to services and expenditure that do not form part of the NHCDC submission. This includes services such as virtual patients and services that are out of scope for the NHCDC. For further details on the costs and activity submitted for the Metro South HHS</w:t>
      </w:r>
      <w:r>
        <w:t xml:space="preserve"> see </w:t>
      </w:r>
      <w:r w:rsidR="00AD608F">
        <w:fldChar w:fldCharType="begin"/>
      </w:r>
      <w:r w:rsidR="00AD608F">
        <w:instrText xml:space="preserve"> REF _Ref114758172 \h </w:instrText>
      </w:r>
      <w:r w:rsidR="003910CC">
        <w:instrText xml:space="preserve"> \* MERGEFORMAT </w:instrText>
      </w:r>
      <w:r w:rsidR="00AD608F">
        <w:fldChar w:fldCharType="separate"/>
      </w:r>
      <w:r w:rsidR="007E2ACB" w:rsidRPr="007E2ACB">
        <w:t xml:space="preserve">Table </w:t>
      </w:r>
      <w:r w:rsidR="007E2ACB" w:rsidRPr="007E2ACB">
        <w:rPr>
          <w:noProof/>
        </w:rPr>
        <w:t>18</w:t>
      </w:r>
      <w:r w:rsidR="00AD608F">
        <w:fldChar w:fldCharType="end"/>
      </w:r>
      <w:r w:rsidRPr="00630A55">
        <w:t>.</w:t>
      </w:r>
    </w:p>
    <w:p w14:paraId="39D0727F" w14:textId="77777777" w:rsidR="008374D4" w:rsidRDefault="008374D4" w:rsidP="000D1F83">
      <w:pPr>
        <w:tabs>
          <w:tab w:val="left" w:pos="7938"/>
        </w:tabs>
        <w:spacing w:before="0" w:after="160" w:line="259" w:lineRule="auto"/>
        <w:rPr>
          <w:iCs/>
          <w:sz w:val="20"/>
          <w:szCs w:val="16"/>
        </w:rPr>
      </w:pPr>
      <w:bookmarkStart w:id="54" w:name="_Ref113974567"/>
      <w:r>
        <w:br w:type="page"/>
      </w:r>
    </w:p>
    <w:p w14:paraId="7BF82E3B" w14:textId="337ACCC6" w:rsidR="00C00379" w:rsidRPr="00630A55" w:rsidRDefault="00AD608F" w:rsidP="00AD608F">
      <w:pPr>
        <w:pStyle w:val="Caption"/>
      </w:pPr>
      <w:bookmarkStart w:id="55" w:name="_Ref114758152"/>
      <w:bookmarkEnd w:id="54"/>
      <w:r w:rsidRPr="00A8310C">
        <w:rPr>
          <w:b/>
          <w:bCs/>
        </w:rPr>
        <w:lastRenderedPageBreak/>
        <w:t xml:space="preserve">Table </w:t>
      </w:r>
      <w:r w:rsidR="00D91CB1" w:rsidRPr="00A8310C">
        <w:rPr>
          <w:b/>
          <w:bCs/>
        </w:rPr>
        <w:fldChar w:fldCharType="begin"/>
      </w:r>
      <w:r w:rsidR="00D91CB1" w:rsidRPr="00A8310C">
        <w:rPr>
          <w:b/>
          <w:bCs/>
        </w:rPr>
        <w:instrText xml:space="preserve"> SEQ Table \* ARABIC </w:instrText>
      </w:r>
      <w:r w:rsidR="00D91CB1" w:rsidRPr="00A8310C">
        <w:rPr>
          <w:b/>
          <w:bCs/>
        </w:rPr>
        <w:fldChar w:fldCharType="separate"/>
      </w:r>
      <w:r w:rsidR="007E2ACB">
        <w:rPr>
          <w:b/>
          <w:bCs/>
          <w:noProof/>
        </w:rPr>
        <w:t>16</w:t>
      </w:r>
      <w:r w:rsidR="00D91CB1" w:rsidRPr="00A8310C">
        <w:rPr>
          <w:b/>
          <w:bCs/>
          <w:noProof/>
        </w:rPr>
        <w:fldChar w:fldCharType="end"/>
      </w:r>
      <w:bookmarkEnd w:id="55"/>
      <w:r w:rsidRPr="00A8310C">
        <w:rPr>
          <w:b/>
          <w:bCs/>
        </w:rPr>
        <w:t>:</w:t>
      </w:r>
      <w:r w:rsidR="00C00379" w:rsidRPr="00630A55">
        <w:t xml:space="preserve"> Reconciliation from GL to NHCDC </w:t>
      </w:r>
      <w:r w:rsidR="00DC397A">
        <w:t>c</w:t>
      </w:r>
      <w:r w:rsidR="00C00379" w:rsidRPr="00630A55">
        <w:t xml:space="preserve">osted </w:t>
      </w:r>
      <w:r w:rsidR="00DC397A">
        <w:t>p</w:t>
      </w:r>
      <w:r w:rsidR="00C00379" w:rsidRPr="00630A55">
        <w:t>roducts - Queensland Health (Central Queensland HHS)</w:t>
      </w:r>
    </w:p>
    <w:tbl>
      <w:tblPr>
        <w:tblW w:w="9147" w:type="dxa"/>
        <w:tblBorders>
          <w:top w:val="single" w:sz="12" w:space="0" w:color="auto"/>
          <w:left w:val="single" w:sz="12" w:space="0" w:color="auto"/>
          <w:bottom w:val="single" w:sz="12" w:space="0" w:color="auto"/>
          <w:right w:val="single" w:sz="12" w:space="0" w:color="auto"/>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81"/>
        <w:gridCol w:w="6083"/>
        <w:gridCol w:w="2783"/>
      </w:tblGrid>
      <w:tr w:rsidR="00C00379" w:rsidRPr="00630A55" w14:paraId="02076AE4" w14:textId="77777777" w:rsidTr="009C41D0">
        <w:trPr>
          <w:trHeight w:val="258"/>
          <w:tblHeader/>
        </w:trPr>
        <w:tc>
          <w:tcPr>
            <w:tcW w:w="6364" w:type="dxa"/>
            <w:gridSpan w:val="2"/>
            <w:tcBorders>
              <w:top w:val="single" w:sz="4" w:space="0" w:color="auto"/>
              <w:left w:val="single" w:sz="4" w:space="0" w:color="auto"/>
              <w:bottom w:val="single" w:sz="12" w:space="0" w:color="auto"/>
              <w:right w:val="single" w:sz="4" w:space="0" w:color="auto"/>
            </w:tcBorders>
            <w:shd w:val="clear" w:color="000000" w:fill="00338D"/>
            <w:noWrap/>
            <w:vAlign w:val="center"/>
            <w:hideMark/>
          </w:tcPr>
          <w:p w14:paraId="7B127E7F" w14:textId="79F5CD6D" w:rsidR="00C00379" w:rsidRPr="00630A55" w:rsidRDefault="00CA73DC" w:rsidP="00997762">
            <w:pPr>
              <w:pStyle w:val="Tableheading"/>
              <w:rPr>
                <w:lang w:eastAsia="en-AU"/>
              </w:rPr>
            </w:pPr>
            <w:r>
              <w:rPr>
                <w:lang w:eastAsia="en-AU"/>
              </w:rPr>
              <w:t>HHS</w:t>
            </w:r>
            <w:r w:rsidR="00C00379" w:rsidRPr="00630A55">
              <w:rPr>
                <w:lang w:eastAsia="en-AU"/>
              </w:rPr>
              <w:t xml:space="preserve"> level </w:t>
            </w:r>
            <w:r w:rsidR="00DC397A">
              <w:rPr>
                <w:lang w:eastAsia="en-AU"/>
              </w:rPr>
              <w:t>d</w:t>
            </w:r>
            <w:r w:rsidR="00C00379" w:rsidRPr="00630A55">
              <w:rPr>
                <w:lang w:eastAsia="en-AU"/>
              </w:rPr>
              <w:t>ata</w:t>
            </w:r>
          </w:p>
        </w:tc>
        <w:tc>
          <w:tcPr>
            <w:tcW w:w="2783" w:type="dxa"/>
            <w:tcBorders>
              <w:top w:val="single" w:sz="4" w:space="0" w:color="auto"/>
              <w:left w:val="single" w:sz="4" w:space="0" w:color="auto"/>
              <w:bottom w:val="single" w:sz="12" w:space="0" w:color="auto"/>
              <w:right w:val="single" w:sz="4" w:space="0" w:color="auto"/>
            </w:tcBorders>
            <w:shd w:val="clear" w:color="000000" w:fill="00338D"/>
            <w:noWrap/>
            <w:vAlign w:val="center"/>
            <w:hideMark/>
          </w:tcPr>
          <w:p w14:paraId="0F8BD217" w14:textId="557A1AF7" w:rsidR="00C00379" w:rsidRPr="00630A55" w:rsidRDefault="00C00379" w:rsidP="00997762">
            <w:pPr>
              <w:pStyle w:val="Tableheading"/>
              <w:rPr>
                <w:color w:val="FFFFFF"/>
                <w:lang w:eastAsia="en-AU"/>
              </w:rPr>
            </w:pPr>
            <w:r w:rsidRPr="00630A55">
              <w:rPr>
                <w:lang w:eastAsia="en-AU"/>
              </w:rPr>
              <w:t> </w:t>
            </w:r>
            <w:r w:rsidR="0048310B">
              <w:rPr>
                <w:lang w:eastAsia="en-AU"/>
              </w:rPr>
              <w:t xml:space="preserve">Value </w:t>
            </w:r>
          </w:p>
        </w:tc>
      </w:tr>
      <w:tr w:rsidR="00C00379" w:rsidRPr="00630A55" w14:paraId="547EC386" w14:textId="77777777" w:rsidTr="009C41D0">
        <w:trPr>
          <w:trHeight w:val="248"/>
        </w:trPr>
        <w:tc>
          <w:tcPr>
            <w:tcW w:w="6364" w:type="dxa"/>
            <w:gridSpan w:val="2"/>
            <w:tcBorders>
              <w:top w:val="single" w:sz="12" w:space="0" w:color="auto"/>
              <w:left w:val="single" w:sz="4" w:space="0" w:color="auto"/>
              <w:right w:val="single" w:sz="4" w:space="0" w:color="auto"/>
            </w:tcBorders>
            <w:shd w:val="clear" w:color="auto" w:fill="808080"/>
            <w:noWrap/>
            <w:vAlign w:val="center"/>
            <w:hideMark/>
          </w:tcPr>
          <w:p w14:paraId="00A1B71A" w14:textId="699322BA" w:rsidR="00C00379" w:rsidRPr="0048310B" w:rsidRDefault="00CA73DC" w:rsidP="00997762">
            <w:pPr>
              <w:pStyle w:val="Tableheading"/>
              <w:rPr>
                <w:rFonts w:ascii="Arial" w:hAnsi="Arial" w:cs="Arial"/>
                <w:b w:val="0"/>
                <w:bCs/>
                <w:color w:val="000000" w:themeColor="text1"/>
                <w:lang w:eastAsia="en-AU"/>
              </w:rPr>
            </w:pPr>
            <w:r>
              <w:rPr>
                <w:rFonts w:ascii="Arial" w:hAnsi="Arial" w:cs="Arial"/>
                <w:b w:val="0"/>
                <w:bCs/>
                <w:color w:val="000000" w:themeColor="text1"/>
                <w:lang w:eastAsia="en-AU"/>
              </w:rPr>
              <w:t>HHS</w:t>
            </w:r>
            <w:r w:rsidR="00C00379" w:rsidRPr="0048310B">
              <w:rPr>
                <w:rFonts w:ascii="Arial" w:hAnsi="Arial" w:cs="Arial"/>
                <w:b w:val="0"/>
                <w:bCs/>
                <w:color w:val="000000" w:themeColor="text1"/>
                <w:lang w:eastAsia="en-AU"/>
              </w:rPr>
              <w:t xml:space="preserve"> General Ledger</w:t>
            </w:r>
          </w:p>
        </w:tc>
        <w:tc>
          <w:tcPr>
            <w:tcW w:w="2783" w:type="dxa"/>
            <w:tcBorders>
              <w:top w:val="single" w:sz="12" w:space="0" w:color="auto"/>
              <w:left w:val="single" w:sz="4" w:space="0" w:color="auto"/>
              <w:right w:val="single" w:sz="4" w:space="0" w:color="auto"/>
            </w:tcBorders>
            <w:shd w:val="clear" w:color="auto" w:fill="808080"/>
            <w:noWrap/>
            <w:vAlign w:val="center"/>
            <w:hideMark/>
          </w:tcPr>
          <w:p w14:paraId="56FA1EDC" w14:textId="3E2279DE" w:rsidR="00C00379" w:rsidRPr="0048310B" w:rsidRDefault="00C00379" w:rsidP="007515AF">
            <w:pPr>
              <w:pStyle w:val="Tableheading"/>
              <w:jc w:val="right"/>
              <w:rPr>
                <w:rFonts w:ascii="Arial" w:hAnsi="Arial" w:cs="Arial"/>
                <w:b w:val="0"/>
                <w:bCs/>
                <w:color w:val="000000" w:themeColor="text1"/>
                <w:lang w:eastAsia="en-AU"/>
              </w:rPr>
            </w:pPr>
            <w:r w:rsidRPr="0048310B">
              <w:rPr>
                <w:rFonts w:ascii="Arial" w:hAnsi="Arial" w:cs="Arial"/>
                <w:b w:val="0"/>
                <w:bCs/>
                <w:color w:val="000000" w:themeColor="text1"/>
                <w:lang w:eastAsia="en-AU"/>
              </w:rPr>
              <w:t xml:space="preserve"> </w:t>
            </w:r>
          </w:p>
        </w:tc>
      </w:tr>
      <w:tr w:rsidR="00C00379" w:rsidRPr="00630A55" w14:paraId="03D2A385" w14:textId="77777777" w:rsidTr="009C41D0">
        <w:trPr>
          <w:trHeight w:val="258"/>
        </w:trPr>
        <w:tc>
          <w:tcPr>
            <w:tcW w:w="6364" w:type="dxa"/>
            <w:gridSpan w:val="2"/>
            <w:tcBorders>
              <w:left w:val="single" w:sz="4" w:space="0" w:color="auto"/>
              <w:right w:val="single" w:sz="4" w:space="0" w:color="auto"/>
            </w:tcBorders>
            <w:shd w:val="clear" w:color="000000" w:fill="FFFFFF"/>
            <w:noWrap/>
            <w:vAlign w:val="center"/>
            <w:hideMark/>
          </w:tcPr>
          <w:p w14:paraId="1E1FDCAD" w14:textId="7ABF66C3" w:rsidR="00C00379" w:rsidRPr="00630A55" w:rsidRDefault="00C00379" w:rsidP="00997762">
            <w:pPr>
              <w:pStyle w:val="Tabletext"/>
              <w:rPr>
                <w:color w:val="000000"/>
                <w:lang w:eastAsia="en-AU"/>
              </w:rPr>
            </w:pPr>
            <w:r w:rsidRPr="00630A55">
              <w:rPr>
                <w:lang w:eastAsia="en-AU"/>
              </w:rPr>
              <w:t xml:space="preserve">Transferred to </w:t>
            </w:r>
            <w:r w:rsidR="00EF5C26">
              <w:rPr>
                <w:lang w:eastAsia="en-AU"/>
              </w:rPr>
              <w:t>c</w:t>
            </w:r>
            <w:r w:rsidRPr="00630A55">
              <w:rPr>
                <w:lang w:eastAsia="en-AU"/>
              </w:rPr>
              <w:t xml:space="preserve">osting </w:t>
            </w:r>
            <w:r w:rsidR="00EF5C26">
              <w:rPr>
                <w:lang w:eastAsia="en-AU"/>
              </w:rPr>
              <w:t>s</w:t>
            </w:r>
            <w:r w:rsidRPr="00630A55">
              <w:rPr>
                <w:lang w:eastAsia="en-AU"/>
              </w:rPr>
              <w:t xml:space="preserve">ystem </w:t>
            </w:r>
          </w:p>
        </w:tc>
        <w:tc>
          <w:tcPr>
            <w:tcW w:w="2783" w:type="dxa"/>
            <w:tcBorders>
              <w:left w:val="single" w:sz="4" w:space="0" w:color="auto"/>
              <w:right w:val="single" w:sz="4" w:space="0" w:color="auto"/>
            </w:tcBorders>
            <w:shd w:val="clear" w:color="auto" w:fill="auto"/>
            <w:noWrap/>
            <w:vAlign w:val="bottom"/>
            <w:hideMark/>
          </w:tcPr>
          <w:p w14:paraId="47618907" w14:textId="2D5D0FE3" w:rsidR="00C00379" w:rsidRPr="00630A55" w:rsidRDefault="00C00379" w:rsidP="007515AF">
            <w:pPr>
              <w:pStyle w:val="TableTextNumber"/>
              <w:jc w:val="right"/>
            </w:pPr>
            <w:r w:rsidRPr="00630A55">
              <w:t>$701,961,380</w:t>
            </w:r>
          </w:p>
        </w:tc>
      </w:tr>
      <w:tr w:rsidR="00C00379" w:rsidRPr="00630A55" w14:paraId="7EA83F38" w14:textId="77777777" w:rsidTr="009C41D0">
        <w:trPr>
          <w:trHeight w:val="258"/>
        </w:trPr>
        <w:tc>
          <w:tcPr>
            <w:tcW w:w="6364" w:type="dxa"/>
            <w:gridSpan w:val="2"/>
            <w:tcBorders>
              <w:left w:val="single" w:sz="4" w:space="0" w:color="auto"/>
              <w:right w:val="single" w:sz="4" w:space="0" w:color="auto"/>
            </w:tcBorders>
            <w:shd w:val="clear" w:color="000000" w:fill="FFFFFF"/>
            <w:noWrap/>
            <w:vAlign w:val="center"/>
            <w:hideMark/>
          </w:tcPr>
          <w:p w14:paraId="42D7CDDA" w14:textId="52795968" w:rsidR="00C00379" w:rsidRPr="00630A55" w:rsidRDefault="00C00379" w:rsidP="00997762">
            <w:pPr>
              <w:pStyle w:val="Tabletext"/>
              <w:rPr>
                <w:color w:val="000000"/>
                <w:lang w:eastAsia="en-AU"/>
              </w:rPr>
            </w:pPr>
            <w:r w:rsidRPr="00630A55">
              <w:rPr>
                <w:lang w:eastAsia="en-AU"/>
              </w:rPr>
              <w:t xml:space="preserve">Post </w:t>
            </w:r>
            <w:r w:rsidR="00EF5C26">
              <w:rPr>
                <w:lang w:eastAsia="en-AU"/>
              </w:rPr>
              <w:t>a</w:t>
            </w:r>
            <w:r w:rsidRPr="00630A55">
              <w:rPr>
                <w:lang w:eastAsia="en-AU"/>
              </w:rPr>
              <w:t xml:space="preserve">llocation </w:t>
            </w:r>
            <w:r w:rsidR="00EF5C26">
              <w:rPr>
                <w:lang w:eastAsia="en-AU"/>
              </w:rPr>
              <w:t>a</w:t>
            </w:r>
            <w:r w:rsidRPr="00630A55">
              <w:rPr>
                <w:lang w:eastAsia="en-AU"/>
              </w:rPr>
              <w:t xml:space="preserve">mounts </w:t>
            </w:r>
          </w:p>
        </w:tc>
        <w:tc>
          <w:tcPr>
            <w:tcW w:w="2783" w:type="dxa"/>
            <w:tcBorders>
              <w:left w:val="single" w:sz="4" w:space="0" w:color="auto"/>
              <w:right w:val="single" w:sz="4" w:space="0" w:color="auto"/>
            </w:tcBorders>
            <w:shd w:val="clear" w:color="auto" w:fill="auto"/>
            <w:noWrap/>
            <w:vAlign w:val="bottom"/>
            <w:hideMark/>
          </w:tcPr>
          <w:p w14:paraId="6C01084C" w14:textId="77777777" w:rsidR="00C00379" w:rsidRPr="00630A55" w:rsidRDefault="00C00379" w:rsidP="007515AF">
            <w:pPr>
              <w:pStyle w:val="TableTextNumber"/>
              <w:jc w:val="right"/>
            </w:pPr>
            <w:r w:rsidRPr="00630A55">
              <w:t>$701,961,380</w:t>
            </w:r>
          </w:p>
        </w:tc>
      </w:tr>
      <w:tr w:rsidR="00C00379" w:rsidRPr="00630A55" w14:paraId="4B55DE5C" w14:textId="77777777" w:rsidTr="009C41D0">
        <w:trPr>
          <w:trHeight w:val="258"/>
        </w:trPr>
        <w:tc>
          <w:tcPr>
            <w:tcW w:w="6364" w:type="dxa"/>
            <w:gridSpan w:val="2"/>
            <w:tcBorders>
              <w:left w:val="single" w:sz="4" w:space="0" w:color="auto"/>
              <w:right w:val="single" w:sz="4" w:space="0" w:color="auto"/>
            </w:tcBorders>
            <w:shd w:val="clear" w:color="000000" w:fill="FFFFFF"/>
            <w:noWrap/>
            <w:vAlign w:val="center"/>
            <w:hideMark/>
          </w:tcPr>
          <w:p w14:paraId="178E520A" w14:textId="0C31F848" w:rsidR="00C00379" w:rsidRPr="00630A55" w:rsidRDefault="00C00379" w:rsidP="00997762">
            <w:pPr>
              <w:pStyle w:val="Tabletext"/>
              <w:rPr>
                <w:color w:val="000000"/>
                <w:lang w:eastAsia="en-AU"/>
              </w:rPr>
            </w:pPr>
            <w:r w:rsidRPr="00630A55">
              <w:rPr>
                <w:lang w:eastAsia="en-AU"/>
              </w:rPr>
              <w:t xml:space="preserve">Adjustments </w:t>
            </w:r>
          </w:p>
        </w:tc>
        <w:tc>
          <w:tcPr>
            <w:tcW w:w="2783" w:type="dxa"/>
            <w:tcBorders>
              <w:left w:val="single" w:sz="4" w:space="0" w:color="auto"/>
              <w:right w:val="single" w:sz="4" w:space="0" w:color="auto"/>
            </w:tcBorders>
            <w:shd w:val="clear" w:color="auto" w:fill="auto"/>
            <w:noWrap/>
            <w:vAlign w:val="bottom"/>
            <w:hideMark/>
          </w:tcPr>
          <w:p w14:paraId="49EE0580" w14:textId="77777777" w:rsidR="00C00379" w:rsidRPr="00630A55" w:rsidRDefault="00C00379" w:rsidP="007515AF">
            <w:pPr>
              <w:pStyle w:val="TableTextNumber"/>
              <w:jc w:val="right"/>
            </w:pPr>
            <w:r w:rsidRPr="00630A55">
              <w:t>($16,972,253)</w:t>
            </w:r>
          </w:p>
        </w:tc>
      </w:tr>
      <w:tr w:rsidR="00C00379" w:rsidRPr="00630A55" w14:paraId="74546FE2" w14:textId="77777777" w:rsidTr="009C41D0">
        <w:trPr>
          <w:trHeight w:val="258"/>
        </w:trPr>
        <w:tc>
          <w:tcPr>
            <w:tcW w:w="6364" w:type="dxa"/>
            <w:gridSpan w:val="2"/>
            <w:tcBorders>
              <w:left w:val="single" w:sz="4" w:space="0" w:color="auto"/>
              <w:right w:val="single" w:sz="4" w:space="0" w:color="auto"/>
            </w:tcBorders>
            <w:shd w:val="clear" w:color="000000" w:fill="FFFFFF"/>
            <w:noWrap/>
            <w:vAlign w:val="center"/>
            <w:hideMark/>
          </w:tcPr>
          <w:p w14:paraId="3840479D" w14:textId="77777777" w:rsidR="00C00379" w:rsidRPr="00630A55" w:rsidRDefault="00C00379" w:rsidP="00997762">
            <w:pPr>
              <w:pStyle w:val="Tabletext"/>
              <w:rPr>
                <w:color w:val="000000"/>
                <w:lang w:eastAsia="en-AU"/>
              </w:rPr>
            </w:pPr>
            <w:r w:rsidRPr="00630A55">
              <w:rPr>
                <w:lang w:eastAsia="en-AU"/>
              </w:rPr>
              <w:t xml:space="preserve">Line items as per standards </w:t>
            </w:r>
          </w:p>
        </w:tc>
        <w:tc>
          <w:tcPr>
            <w:tcW w:w="2783" w:type="dxa"/>
            <w:tcBorders>
              <w:left w:val="single" w:sz="4" w:space="0" w:color="auto"/>
              <w:right w:val="single" w:sz="4" w:space="0" w:color="auto"/>
            </w:tcBorders>
            <w:shd w:val="clear" w:color="auto" w:fill="auto"/>
            <w:noWrap/>
            <w:vAlign w:val="bottom"/>
            <w:hideMark/>
          </w:tcPr>
          <w:p w14:paraId="150823DC" w14:textId="77777777" w:rsidR="00C00379" w:rsidRPr="00630A55" w:rsidRDefault="00C00379" w:rsidP="007515AF">
            <w:pPr>
              <w:pStyle w:val="TableTextNumber"/>
              <w:jc w:val="right"/>
            </w:pPr>
            <w:r w:rsidRPr="00630A55">
              <w:t>$684,989,127</w:t>
            </w:r>
          </w:p>
        </w:tc>
      </w:tr>
      <w:tr w:rsidR="00C00379" w:rsidRPr="00630A55" w14:paraId="3C72FBD5" w14:textId="77777777" w:rsidTr="009C41D0">
        <w:trPr>
          <w:trHeight w:val="258"/>
        </w:trPr>
        <w:tc>
          <w:tcPr>
            <w:tcW w:w="6364" w:type="dxa"/>
            <w:gridSpan w:val="2"/>
            <w:tcBorders>
              <w:left w:val="single" w:sz="4" w:space="0" w:color="auto"/>
              <w:bottom w:val="single" w:sz="12" w:space="0" w:color="auto"/>
              <w:right w:val="single" w:sz="4" w:space="0" w:color="auto"/>
            </w:tcBorders>
            <w:shd w:val="clear" w:color="000000" w:fill="FFFFFF"/>
            <w:noWrap/>
            <w:vAlign w:val="center"/>
            <w:hideMark/>
          </w:tcPr>
          <w:p w14:paraId="66551D72" w14:textId="79E24917" w:rsidR="00C00379" w:rsidRPr="00630A55" w:rsidRDefault="00C00379" w:rsidP="00997762">
            <w:pPr>
              <w:pStyle w:val="Tabletext"/>
              <w:rPr>
                <w:color w:val="000000"/>
                <w:lang w:eastAsia="en-AU"/>
              </w:rPr>
            </w:pPr>
            <w:r w:rsidRPr="00630A55">
              <w:rPr>
                <w:lang w:eastAsia="en-AU"/>
              </w:rPr>
              <w:t xml:space="preserve">Costs </w:t>
            </w:r>
            <w:r w:rsidR="00EF5C26">
              <w:rPr>
                <w:lang w:eastAsia="en-AU"/>
              </w:rPr>
              <w:t>s</w:t>
            </w:r>
            <w:r w:rsidRPr="00630A55">
              <w:rPr>
                <w:lang w:eastAsia="en-AU"/>
              </w:rPr>
              <w:t xml:space="preserve">ubmitted to </w:t>
            </w:r>
            <w:r w:rsidR="00EF5C26">
              <w:rPr>
                <w:lang w:eastAsia="en-AU"/>
              </w:rPr>
              <w:t>j</w:t>
            </w:r>
            <w:r w:rsidRPr="00630A55">
              <w:rPr>
                <w:lang w:eastAsia="en-AU"/>
              </w:rPr>
              <w:t xml:space="preserve">urisdiction </w:t>
            </w:r>
          </w:p>
        </w:tc>
        <w:tc>
          <w:tcPr>
            <w:tcW w:w="2783" w:type="dxa"/>
            <w:tcBorders>
              <w:left w:val="single" w:sz="4" w:space="0" w:color="auto"/>
              <w:bottom w:val="single" w:sz="12" w:space="0" w:color="auto"/>
              <w:right w:val="single" w:sz="4" w:space="0" w:color="auto"/>
            </w:tcBorders>
            <w:shd w:val="clear" w:color="auto" w:fill="auto"/>
            <w:noWrap/>
            <w:vAlign w:val="bottom"/>
            <w:hideMark/>
          </w:tcPr>
          <w:p w14:paraId="6A57916D" w14:textId="77777777" w:rsidR="00C00379" w:rsidRPr="00630A55" w:rsidRDefault="00C00379" w:rsidP="007515AF">
            <w:pPr>
              <w:pStyle w:val="TableTextNumber"/>
              <w:jc w:val="right"/>
            </w:pPr>
            <w:r w:rsidRPr="00630A55">
              <w:t>$684,989,127</w:t>
            </w:r>
          </w:p>
        </w:tc>
      </w:tr>
      <w:tr w:rsidR="00C00379" w:rsidRPr="00630A55" w14:paraId="16DA4EC0" w14:textId="77777777" w:rsidTr="009C41D0">
        <w:trPr>
          <w:trHeight w:val="258"/>
        </w:trPr>
        <w:tc>
          <w:tcPr>
            <w:tcW w:w="6364" w:type="dxa"/>
            <w:gridSpan w:val="2"/>
            <w:tcBorders>
              <w:top w:val="single" w:sz="12" w:space="0" w:color="auto"/>
              <w:left w:val="single" w:sz="4" w:space="0" w:color="auto"/>
              <w:bottom w:val="single" w:sz="12" w:space="0" w:color="auto"/>
              <w:right w:val="single" w:sz="4" w:space="0" w:color="auto"/>
            </w:tcBorders>
            <w:shd w:val="clear" w:color="000000" w:fill="00338D"/>
            <w:noWrap/>
            <w:vAlign w:val="center"/>
            <w:hideMark/>
          </w:tcPr>
          <w:p w14:paraId="2233F02D" w14:textId="77777777" w:rsidR="00C00379" w:rsidRPr="00630A55" w:rsidRDefault="00C00379" w:rsidP="00997762">
            <w:pPr>
              <w:pStyle w:val="Tableheading"/>
              <w:rPr>
                <w:lang w:eastAsia="en-AU"/>
              </w:rPr>
            </w:pPr>
            <w:r w:rsidRPr="00630A55">
              <w:rPr>
                <w:lang w:eastAsia="en-AU"/>
              </w:rPr>
              <w:t>Activity</w:t>
            </w:r>
          </w:p>
        </w:tc>
        <w:tc>
          <w:tcPr>
            <w:tcW w:w="2783" w:type="dxa"/>
            <w:tcBorders>
              <w:top w:val="single" w:sz="12" w:space="0" w:color="auto"/>
              <w:left w:val="single" w:sz="4" w:space="0" w:color="auto"/>
              <w:bottom w:val="single" w:sz="12" w:space="0" w:color="auto"/>
              <w:right w:val="single" w:sz="4" w:space="0" w:color="auto"/>
            </w:tcBorders>
            <w:shd w:val="clear" w:color="000000" w:fill="00338D"/>
            <w:noWrap/>
            <w:vAlign w:val="center"/>
            <w:hideMark/>
          </w:tcPr>
          <w:p w14:paraId="3D91A100" w14:textId="77777777" w:rsidR="00C00379" w:rsidRPr="00630A55" w:rsidRDefault="00C00379" w:rsidP="0048310B">
            <w:pPr>
              <w:pStyle w:val="Tableheading"/>
              <w:rPr>
                <w:color w:val="FFFFFF"/>
                <w:lang w:eastAsia="en-AU"/>
              </w:rPr>
            </w:pPr>
            <w:r w:rsidRPr="00630A55">
              <w:rPr>
                <w:lang w:eastAsia="en-AU"/>
              </w:rPr>
              <w:t xml:space="preserve">Value </w:t>
            </w:r>
          </w:p>
        </w:tc>
      </w:tr>
      <w:tr w:rsidR="00C00379" w:rsidRPr="00630A55" w14:paraId="1F4C0FE7" w14:textId="77777777" w:rsidTr="009C41D0">
        <w:trPr>
          <w:trHeight w:val="198"/>
        </w:trPr>
        <w:tc>
          <w:tcPr>
            <w:tcW w:w="6364" w:type="dxa"/>
            <w:gridSpan w:val="2"/>
            <w:tcBorders>
              <w:top w:val="single" w:sz="12" w:space="0" w:color="auto"/>
              <w:left w:val="single" w:sz="4" w:space="0" w:color="auto"/>
              <w:right w:val="single" w:sz="4" w:space="0" w:color="auto"/>
            </w:tcBorders>
            <w:shd w:val="clear" w:color="000000" w:fill="FFFFFF"/>
            <w:vAlign w:val="center"/>
            <w:hideMark/>
          </w:tcPr>
          <w:p w14:paraId="500BD5BE" w14:textId="1A0416E3" w:rsidR="00C00379" w:rsidRPr="00630A55" w:rsidRDefault="00C00379" w:rsidP="00997762">
            <w:pPr>
              <w:pStyle w:val="Tabletext"/>
              <w:rPr>
                <w:color w:val="000000"/>
                <w:lang w:eastAsia="en-AU"/>
              </w:rPr>
            </w:pPr>
            <w:r w:rsidRPr="00630A55">
              <w:rPr>
                <w:lang w:eastAsia="en-AU"/>
              </w:rPr>
              <w:t xml:space="preserve">Data </w:t>
            </w:r>
            <w:r w:rsidR="00EF5C26">
              <w:rPr>
                <w:lang w:eastAsia="en-AU"/>
              </w:rPr>
              <w:t>l</w:t>
            </w:r>
            <w:r w:rsidRPr="00630A55">
              <w:rPr>
                <w:lang w:eastAsia="en-AU"/>
              </w:rPr>
              <w:t xml:space="preserve">oaded to the costing </w:t>
            </w:r>
            <w:r w:rsidR="00EF5C26">
              <w:rPr>
                <w:lang w:eastAsia="en-AU"/>
              </w:rPr>
              <w:t>s</w:t>
            </w:r>
            <w:r w:rsidRPr="00630A55">
              <w:rPr>
                <w:lang w:eastAsia="en-AU"/>
              </w:rPr>
              <w:t>ystem for costing purposes</w:t>
            </w:r>
          </w:p>
        </w:tc>
        <w:tc>
          <w:tcPr>
            <w:tcW w:w="2783" w:type="dxa"/>
            <w:tcBorders>
              <w:top w:val="single" w:sz="12" w:space="0" w:color="auto"/>
              <w:left w:val="single" w:sz="4" w:space="0" w:color="auto"/>
              <w:right w:val="single" w:sz="4" w:space="0" w:color="auto"/>
            </w:tcBorders>
            <w:shd w:val="clear" w:color="auto" w:fill="auto"/>
            <w:vAlign w:val="center"/>
            <w:hideMark/>
          </w:tcPr>
          <w:p w14:paraId="7113CA7D" w14:textId="77777777" w:rsidR="00C00379" w:rsidRPr="00630A55" w:rsidRDefault="00C00379" w:rsidP="007515AF">
            <w:pPr>
              <w:pStyle w:val="TableTextNumber"/>
              <w:jc w:val="right"/>
            </w:pPr>
            <w:r w:rsidRPr="00630A55">
              <w:t> </w:t>
            </w:r>
          </w:p>
        </w:tc>
      </w:tr>
      <w:tr w:rsidR="00C00379" w:rsidRPr="00630A55" w14:paraId="4A88B26C" w14:textId="77777777" w:rsidTr="009C41D0">
        <w:trPr>
          <w:trHeight w:val="258"/>
        </w:trPr>
        <w:tc>
          <w:tcPr>
            <w:tcW w:w="281" w:type="dxa"/>
            <w:tcBorders>
              <w:left w:val="single" w:sz="4" w:space="0" w:color="auto"/>
            </w:tcBorders>
            <w:shd w:val="clear" w:color="000000" w:fill="FFFFFF"/>
            <w:noWrap/>
            <w:vAlign w:val="center"/>
            <w:hideMark/>
          </w:tcPr>
          <w:p w14:paraId="440AD960" w14:textId="77777777" w:rsidR="00C00379" w:rsidRPr="00630A55" w:rsidRDefault="00C00379" w:rsidP="00997762">
            <w:pPr>
              <w:pStyle w:val="Tabletext"/>
              <w:rPr>
                <w:color w:val="000000"/>
                <w:lang w:eastAsia="en-AU"/>
              </w:rPr>
            </w:pPr>
            <w:r w:rsidRPr="00630A55">
              <w:rPr>
                <w:lang w:eastAsia="en-AU"/>
              </w:rPr>
              <w:t> </w:t>
            </w:r>
          </w:p>
        </w:tc>
        <w:tc>
          <w:tcPr>
            <w:tcW w:w="6083" w:type="dxa"/>
            <w:tcBorders>
              <w:right w:val="single" w:sz="4" w:space="0" w:color="auto"/>
            </w:tcBorders>
            <w:shd w:val="clear" w:color="000000" w:fill="FFFFFF"/>
            <w:noWrap/>
            <w:vAlign w:val="center"/>
            <w:hideMark/>
          </w:tcPr>
          <w:p w14:paraId="6F420426" w14:textId="44EF19EC" w:rsidR="00C00379" w:rsidRPr="00630A55" w:rsidRDefault="00C00379" w:rsidP="00997762">
            <w:pPr>
              <w:pStyle w:val="Tabletext"/>
              <w:rPr>
                <w:color w:val="000000"/>
                <w:lang w:eastAsia="en-AU"/>
              </w:rPr>
            </w:pPr>
            <w:r w:rsidRPr="00630A55">
              <w:rPr>
                <w:lang w:eastAsia="en-AU"/>
              </w:rPr>
              <w:t xml:space="preserve">Activity </w:t>
            </w:r>
            <w:r w:rsidR="00EF5C26">
              <w:rPr>
                <w:lang w:eastAsia="en-AU"/>
              </w:rPr>
              <w:t>d</w:t>
            </w:r>
            <w:r w:rsidRPr="00630A55">
              <w:rPr>
                <w:lang w:eastAsia="en-AU"/>
              </w:rPr>
              <w:t xml:space="preserve">ata </w:t>
            </w:r>
          </w:p>
        </w:tc>
        <w:tc>
          <w:tcPr>
            <w:tcW w:w="2783" w:type="dxa"/>
            <w:tcBorders>
              <w:left w:val="single" w:sz="4" w:space="0" w:color="auto"/>
              <w:right w:val="single" w:sz="4" w:space="0" w:color="auto"/>
            </w:tcBorders>
            <w:shd w:val="clear" w:color="auto" w:fill="auto"/>
            <w:noWrap/>
            <w:vAlign w:val="center"/>
          </w:tcPr>
          <w:p w14:paraId="52A6228F" w14:textId="77777777" w:rsidR="00C00379" w:rsidRPr="00630A55" w:rsidRDefault="00C00379" w:rsidP="007515AF">
            <w:pPr>
              <w:pStyle w:val="TableTextNumber"/>
              <w:jc w:val="right"/>
            </w:pPr>
            <w:r w:rsidRPr="00630A55">
              <w:t>995,084</w:t>
            </w:r>
          </w:p>
        </w:tc>
      </w:tr>
      <w:tr w:rsidR="00C00379" w:rsidRPr="00630A55" w14:paraId="40B64E67" w14:textId="77777777" w:rsidTr="009C41D0">
        <w:trPr>
          <w:trHeight w:val="258"/>
        </w:trPr>
        <w:tc>
          <w:tcPr>
            <w:tcW w:w="281" w:type="dxa"/>
            <w:tcBorders>
              <w:left w:val="single" w:sz="4" w:space="0" w:color="auto"/>
            </w:tcBorders>
            <w:shd w:val="clear" w:color="000000" w:fill="FFFFFF"/>
            <w:noWrap/>
            <w:vAlign w:val="center"/>
            <w:hideMark/>
          </w:tcPr>
          <w:p w14:paraId="7931B757" w14:textId="77777777" w:rsidR="00C00379" w:rsidRPr="00630A55" w:rsidRDefault="00C00379" w:rsidP="00997762">
            <w:pPr>
              <w:pStyle w:val="Tabletext"/>
              <w:rPr>
                <w:color w:val="000000"/>
                <w:lang w:eastAsia="en-AU"/>
              </w:rPr>
            </w:pPr>
            <w:r w:rsidRPr="00630A55">
              <w:rPr>
                <w:lang w:eastAsia="en-AU"/>
              </w:rPr>
              <w:t> </w:t>
            </w:r>
          </w:p>
        </w:tc>
        <w:tc>
          <w:tcPr>
            <w:tcW w:w="6083" w:type="dxa"/>
            <w:tcBorders>
              <w:right w:val="single" w:sz="4" w:space="0" w:color="auto"/>
            </w:tcBorders>
            <w:shd w:val="clear" w:color="000000" w:fill="FFFFFF"/>
            <w:noWrap/>
            <w:vAlign w:val="center"/>
            <w:hideMark/>
          </w:tcPr>
          <w:p w14:paraId="03538A35" w14:textId="70429219" w:rsidR="00C00379" w:rsidRPr="00630A55" w:rsidRDefault="00C00379" w:rsidP="00997762">
            <w:pPr>
              <w:pStyle w:val="Tabletext"/>
              <w:rPr>
                <w:color w:val="000000"/>
                <w:lang w:eastAsia="en-AU"/>
              </w:rPr>
            </w:pPr>
            <w:r w:rsidRPr="00630A55">
              <w:rPr>
                <w:lang w:eastAsia="en-AU"/>
              </w:rPr>
              <w:t xml:space="preserve">Feeder </w:t>
            </w:r>
            <w:r w:rsidR="00EF5C26">
              <w:rPr>
                <w:lang w:eastAsia="en-AU"/>
              </w:rPr>
              <w:t>d</w:t>
            </w:r>
            <w:r w:rsidRPr="00630A55">
              <w:rPr>
                <w:lang w:eastAsia="en-AU"/>
              </w:rPr>
              <w:t>ata</w:t>
            </w:r>
          </w:p>
        </w:tc>
        <w:tc>
          <w:tcPr>
            <w:tcW w:w="2783" w:type="dxa"/>
            <w:tcBorders>
              <w:left w:val="single" w:sz="4" w:space="0" w:color="auto"/>
              <w:right w:val="single" w:sz="4" w:space="0" w:color="auto"/>
            </w:tcBorders>
            <w:shd w:val="clear" w:color="auto" w:fill="auto"/>
            <w:noWrap/>
            <w:vAlign w:val="center"/>
          </w:tcPr>
          <w:p w14:paraId="36E9C1A3" w14:textId="77777777" w:rsidR="00C00379" w:rsidRPr="00630A55" w:rsidRDefault="00C00379" w:rsidP="007515AF">
            <w:pPr>
              <w:pStyle w:val="TableTextNumber"/>
              <w:jc w:val="right"/>
              <w:rPr>
                <w:color w:val="000000"/>
              </w:rPr>
            </w:pPr>
            <w:r w:rsidRPr="00630A55">
              <w:t>178,586,428</w:t>
            </w:r>
          </w:p>
        </w:tc>
      </w:tr>
      <w:tr w:rsidR="00C00379" w:rsidRPr="00630A55" w14:paraId="3CBC91B5" w14:textId="77777777" w:rsidTr="009C41D0">
        <w:trPr>
          <w:trHeight w:val="393"/>
        </w:trPr>
        <w:tc>
          <w:tcPr>
            <w:tcW w:w="6364" w:type="dxa"/>
            <w:gridSpan w:val="2"/>
            <w:tcBorders>
              <w:left w:val="single" w:sz="4" w:space="0" w:color="auto"/>
              <w:right w:val="single" w:sz="4" w:space="0" w:color="auto"/>
            </w:tcBorders>
            <w:shd w:val="clear" w:color="000000" w:fill="FFFFFF"/>
            <w:vAlign w:val="center"/>
            <w:hideMark/>
          </w:tcPr>
          <w:p w14:paraId="2CEA9B23" w14:textId="76806657" w:rsidR="00C00379" w:rsidRPr="00630A55" w:rsidRDefault="00C00379" w:rsidP="00997762">
            <w:pPr>
              <w:pStyle w:val="Tabletext"/>
              <w:rPr>
                <w:color w:val="000000"/>
                <w:lang w:eastAsia="en-AU"/>
              </w:rPr>
            </w:pPr>
            <w:r w:rsidRPr="00630A55">
              <w:rPr>
                <w:lang w:eastAsia="en-AU"/>
              </w:rPr>
              <w:t xml:space="preserve">NHCDC </w:t>
            </w:r>
            <w:r w:rsidR="00F678EC">
              <w:rPr>
                <w:lang w:eastAsia="en-AU"/>
              </w:rPr>
              <w:t>p</w:t>
            </w:r>
            <w:r w:rsidRPr="00630A55">
              <w:rPr>
                <w:lang w:eastAsia="en-AU"/>
              </w:rPr>
              <w:t xml:space="preserve">roduct </w:t>
            </w:r>
            <w:r w:rsidR="00F678EC">
              <w:rPr>
                <w:lang w:eastAsia="en-AU"/>
              </w:rPr>
              <w:t>o</w:t>
            </w:r>
            <w:r w:rsidRPr="00630A55">
              <w:rPr>
                <w:lang w:eastAsia="en-AU"/>
              </w:rPr>
              <w:t xml:space="preserve">utput </w:t>
            </w:r>
            <w:r w:rsidR="00F678EC">
              <w:rPr>
                <w:lang w:eastAsia="en-AU"/>
              </w:rPr>
              <w:t>a</w:t>
            </w:r>
            <w:r w:rsidRPr="00630A55">
              <w:rPr>
                <w:lang w:eastAsia="en-AU"/>
              </w:rPr>
              <w:t xml:space="preserve">ctivity - </w:t>
            </w:r>
            <w:r w:rsidR="00F678EC">
              <w:rPr>
                <w:lang w:eastAsia="en-AU"/>
              </w:rPr>
              <w:t>p</w:t>
            </w:r>
            <w:r w:rsidRPr="00630A55">
              <w:rPr>
                <w:lang w:eastAsia="en-AU"/>
              </w:rPr>
              <w:t xml:space="preserve">ost </w:t>
            </w:r>
            <w:r w:rsidR="00F678EC">
              <w:rPr>
                <w:lang w:eastAsia="en-AU"/>
              </w:rPr>
              <w:t>l</w:t>
            </w:r>
            <w:r w:rsidRPr="00630A55">
              <w:rPr>
                <w:lang w:eastAsia="en-AU"/>
              </w:rPr>
              <w:t xml:space="preserve">inking and </w:t>
            </w:r>
            <w:r w:rsidR="00F678EC">
              <w:rPr>
                <w:lang w:eastAsia="en-AU"/>
              </w:rPr>
              <w:t>l</w:t>
            </w:r>
            <w:r w:rsidRPr="00630A55">
              <w:rPr>
                <w:lang w:eastAsia="en-AU"/>
              </w:rPr>
              <w:t>oading</w:t>
            </w:r>
          </w:p>
        </w:tc>
        <w:tc>
          <w:tcPr>
            <w:tcW w:w="2783" w:type="dxa"/>
            <w:tcBorders>
              <w:left w:val="single" w:sz="4" w:space="0" w:color="auto"/>
              <w:right w:val="single" w:sz="4" w:space="0" w:color="auto"/>
            </w:tcBorders>
            <w:shd w:val="clear" w:color="auto" w:fill="auto"/>
            <w:noWrap/>
            <w:vAlign w:val="bottom"/>
          </w:tcPr>
          <w:p w14:paraId="3F4E5FC3" w14:textId="77777777" w:rsidR="00C00379" w:rsidRPr="00630A55" w:rsidRDefault="00C00379" w:rsidP="007515AF">
            <w:pPr>
              <w:pStyle w:val="TableTextNumber"/>
              <w:jc w:val="right"/>
            </w:pPr>
            <w:r w:rsidRPr="00630A55">
              <w:t>995,084</w:t>
            </w:r>
          </w:p>
        </w:tc>
      </w:tr>
      <w:tr w:rsidR="00C00379" w:rsidRPr="00630A55" w14:paraId="32697D41" w14:textId="77777777" w:rsidTr="009C41D0">
        <w:trPr>
          <w:trHeight w:val="258"/>
        </w:trPr>
        <w:tc>
          <w:tcPr>
            <w:tcW w:w="6364" w:type="dxa"/>
            <w:gridSpan w:val="2"/>
            <w:tcBorders>
              <w:left w:val="single" w:sz="4" w:space="0" w:color="auto"/>
              <w:right w:val="single" w:sz="4" w:space="0" w:color="auto"/>
            </w:tcBorders>
            <w:shd w:val="clear" w:color="000000" w:fill="FFFFFF"/>
            <w:vAlign w:val="center"/>
            <w:hideMark/>
          </w:tcPr>
          <w:p w14:paraId="292EACBD" w14:textId="34447F1D" w:rsidR="00C00379" w:rsidRPr="00630A55" w:rsidRDefault="00C00379" w:rsidP="00997762">
            <w:pPr>
              <w:pStyle w:val="Tabletext"/>
              <w:rPr>
                <w:color w:val="000000"/>
                <w:lang w:eastAsia="en-AU"/>
              </w:rPr>
            </w:pPr>
            <w:r w:rsidRPr="00630A55">
              <w:rPr>
                <w:lang w:eastAsia="en-AU"/>
              </w:rPr>
              <w:t xml:space="preserve">Final </w:t>
            </w:r>
            <w:r w:rsidR="00DC397A">
              <w:rPr>
                <w:lang w:eastAsia="en-AU"/>
              </w:rPr>
              <w:t>s</w:t>
            </w:r>
            <w:r w:rsidRPr="00630A55">
              <w:rPr>
                <w:lang w:eastAsia="en-AU"/>
              </w:rPr>
              <w:t xml:space="preserve">ubmission to </w:t>
            </w:r>
            <w:r w:rsidR="00DC397A">
              <w:rPr>
                <w:lang w:eastAsia="en-AU"/>
              </w:rPr>
              <w:t>j</w:t>
            </w:r>
            <w:r w:rsidRPr="00630A55">
              <w:rPr>
                <w:lang w:eastAsia="en-AU"/>
              </w:rPr>
              <w:t xml:space="preserve">urisdiction - </w:t>
            </w:r>
            <w:r w:rsidR="00F678EC">
              <w:rPr>
                <w:lang w:eastAsia="en-AU"/>
              </w:rPr>
              <w:t>a</w:t>
            </w:r>
            <w:r w:rsidRPr="00630A55">
              <w:rPr>
                <w:lang w:eastAsia="en-AU"/>
              </w:rPr>
              <w:t xml:space="preserve">ctivity by </w:t>
            </w:r>
            <w:r w:rsidR="00F678EC">
              <w:rPr>
                <w:lang w:eastAsia="en-AU"/>
              </w:rPr>
              <w:t>p</w:t>
            </w:r>
            <w:r w:rsidRPr="00630A55">
              <w:rPr>
                <w:lang w:eastAsia="en-AU"/>
              </w:rPr>
              <w:t>roduct</w:t>
            </w:r>
          </w:p>
        </w:tc>
        <w:tc>
          <w:tcPr>
            <w:tcW w:w="2783" w:type="dxa"/>
            <w:tcBorders>
              <w:left w:val="single" w:sz="4" w:space="0" w:color="auto"/>
              <w:right w:val="single" w:sz="4" w:space="0" w:color="auto"/>
            </w:tcBorders>
            <w:shd w:val="clear" w:color="auto" w:fill="auto"/>
            <w:noWrap/>
            <w:vAlign w:val="bottom"/>
          </w:tcPr>
          <w:p w14:paraId="7EA59C48" w14:textId="77777777" w:rsidR="00C00379" w:rsidRPr="00630A55" w:rsidRDefault="00C00379" w:rsidP="007515AF">
            <w:pPr>
              <w:pStyle w:val="TableTextNumber"/>
              <w:jc w:val="right"/>
            </w:pPr>
            <w:r w:rsidRPr="00630A55">
              <w:t>994,620</w:t>
            </w:r>
          </w:p>
        </w:tc>
      </w:tr>
      <w:tr w:rsidR="00C00379" w:rsidRPr="00630A55" w14:paraId="323BA7F1" w14:textId="77777777" w:rsidTr="009C41D0">
        <w:trPr>
          <w:trHeight w:val="258"/>
        </w:trPr>
        <w:tc>
          <w:tcPr>
            <w:tcW w:w="6364" w:type="dxa"/>
            <w:gridSpan w:val="2"/>
            <w:tcBorders>
              <w:left w:val="single" w:sz="4" w:space="0" w:color="auto"/>
              <w:bottom w:val="single" w:sz="12" w:space="0" w:color="auto"/>
              <w:right w:val="single" w:sz="4" w:space="0" w:color="auto"/>
            </w:tcBorders>
            <w:shd w:val="clear" w:color="000000" w:fill="FFFFFF"/>
            <w:vAlign w:val="center"/>
            <w:hideMark/>
          </w:tcPr>
          <w:p w14:paraId="13F6ED46" w14:textId="1103974C" w:rsidR="00C00379" w:rsidRPr="00630A55" w:rsidRDefault="00C00379" w:rsidP="00997762">
            <w:pPr>
              <w:pStyle w:val="Tabletext"/>
              <w:rPr>
                <w:color w:val="000000"/>
                <w:lang w:eastAsia="en-AU"/>
              </w:rPr>
            </w:pPr>
            <w:r w:rsidRPr="00630A55">
              <w:rPr>
                <w:lang w:eastAsia="en-AU"/>
              </w:rPr>
              <w:t xml:space="preserve">Final </w:t>
            </w:r>
            <w:r w:rsidR="00DC397A">
              <w:rPr>
                <w:lang w:eastAsia="en-AU"/>
              </w:rPr>
              <w:t>s</w:t>
            </w:r>
            <w:r w:rsidRPr="00630A55">
              <w:rPr>
                <w:lang w:eastAsia="en-AU"/>
              </w:rPr>
              <w:t xml:space="preserve">ubmission to </w:t>
            </w:r>
            <w:r w:rsidR="00DC397A">
              <w:rPr>
                <w:lang w:eastAsia="en-AU"/>
              </w:rPr>
              <w:t>j</w:t>
            </w:r>
            <w:r w:rsidRPr="00630A55">
              <w:rPr>
                <w:lang w:eastAsia="en-AU"/>
              </w:rPr>
              <w:t xml:space="preserve">urisdiction - </w:t>
            </w:r>
            <w:r w:rsidR="00F678EC">
              <w:rPr>
                <w:lang w:eastAsia="en-AU"/>
              </w:rPr>
              <w:t>a</w:t>
            </w:r>
            <w:r w:rsidRPr="00630A55">
              <w:rPr>
                <w:lang w:eastAsia="en-AU"/>
              </w:rPr>
              <w:t xml:space="preserve">ctivity and </w:t>
            </w:r>
            <w:r w:rsidR="00F678EC">
              <w:rPr>
                <w:lang w:eastAsia="en-AU"/>
              </w:rPr>
              <w:t>c</w:t>
            </w:r>
            <w:r w:rsidRPr="00630A55">
              <w:rPr>
                <w:lang w:eastAsia="en-AU"/>
              </w:rPr>
              <w:t xml:space="preserve">ost by </w:t>
            </w:r>
            <w:r w:rsidR="00F678EC">
              <w:rPr>
                <w:lang w:eastAsia="en-AU"/>
              </w:rPr>
              <w:t>p</w:t>
            </w:r>
            <w:r w:rsidRPr="00630A55">
              <w:rPr>
                <w:lang w:eastAsia="en-AU"/>
              </w:rPr>
              <w:t>roduct</w:t>
            </w:r>
          </w:p>
        </w:tc>
        <w:tc>
          <w:tcPr>
            <w:tcW w:w="2783" w:type="dxa"/>
            <w:tcBorders>
              <w:left w:val="single" w:sz="4" w:space="0" w:color="auto"/>
              <w:bottom w:val="single" w:sz="12" w:space="0" w:color="auto"/>
              <w:right w:val="single" w:sz="4" w:space="0" w:color="auto"/>
            </w:tcBorders>
            <w:shd w:val="clear" w:color="auto" w:fill="auto"/>
            <w:noWrap/>
            <w:vAlign w:val="bottom"/>
          </w:tcPr>
          <w:p w14:paraId="02F954ED" w14:textId="77777777" w:rsidR="00C00379" w:rsidRPr="00630A55" w:rsidRDefault="00C00379" w:rsidP="007515AF">
            <w:pPr>
              <w:pStyle w:val="TableTextNumber"/>
              <w:jc w:val="right"/>
            </w:pPr>
            <w:r w:rsidRPr="00630A55">
              <w:t>994,620</w:t>
            </w:r>
          </w:p>
        </w:tc>
      </w:tr>
      <w:tr w:rsidR="00C00379" w:rsidRPr="00630A55" w14:paraId="1D6420A5" w14:textId="77777777" w:rsidTr="009C41D0">
        <w:trPr>
          <w:trHeight w:val="258"/>
        </w:trPr>
        <w:tc>
          <w:tcPr>
            <w:tcW w:w="6364" w:type="dxa"/>
            <w:gridSpan w:val="2"/>
            <w:tcBorders>
              <w:top w:val="single" w:sz="12" w:space="0" w:color="auto"/>
              <w:left w:val="single" w:sz="4" w:space="0" w:color="auto"/>
              <w:bottom w:val="single" w:sz="12" w:space="0" w:color="auto"/>
              <w:right w:val="single" w:sz="4" w:space="0" w:color="auto"/>
            </w:tcBorders>
            <w:shd w:val="clear" w:color="000000" w:fill="00338D"/>
            <w:noWrap/>
            <w:vAlign w:val="center"/>
            <w:hideMark/>
          </w:tcPr>
          <w:p w14:paraId="35A6A9F6" w14:textId="7BE0C3B9" w:rsidR="00C00379" w:rsidRPr="00630A55" w:rsidRDefault="00C00379" w:rsidP="00997762">
            <w:pPr>
              <w:pStyle w:val="Tableheading"/>
              <w:rPr>
                <w:color w:val="FFFFFF"/>
                <w:lang w:eastAsia="en-AU"/>
              </w:rPr>
            </w:pPr>
            <w:r w:rsidRPr="00630A55">
              <w:rPr>
                <w:lang w:eastAsia="en-AU"/>
              </w:rPr>
              <w:t xml:space="preserve">Cost submitted to </w:t>
            </w:r>
            <w:r w:rsidR="00F678EC">
              <w:rPr>
                <w:lang w:eastAsia="en-AU"/>
              </w:rPr>
              <w:t>j</w:t>
            </w:r>
            <w:r w:rsidRPr="00630A55">
              <w:rPr>
                <w:lang w:eastAsia="en-AU"/>
              </w:rPr>
              <w:t xml:space="preserve">urisdiction </w:t>
            </w:r>
          </w:p>
        </w:tc>
        <w:tc>
          <w:tcPr>
            <w:tcW w:w="2783" w:type="dxa"/>
            <w:tcBorders>
              <w:top w:val="single" w:sz="12" w:space="0" w:color="auto"/>
              <w:left w:val="single" w:sz="4" w:space="0" w:color="auto"/>
              <w:bottom w:val="single" w:sz="12" w:space="0" w:color="auto"/>
              <w:right w:val="single" w:sz="4" w:space="0" w:color="auto"/>
            </w:tcBorders>
            <w:shd w:val="clear" w:color="000000" w:fill="00338D"/>
            <w:noWrap/>
            <w:vAlign w:val="center"/>
          </w:tcPr>
          <w:p w14:paraId="55D311F1" w14:textId="5DDB5BE3" w:rsidR="00C00379" w:rsidRPr="00630A55" w:rsidRDefault="0048310B" w:rsidP="00997762">
            <w:pPr>
              <w:pStyle w:val="Tableheading"/>
              <w:rPr>
                <w:lang w:eastAsia="en-AU"/>
              </w:rPr>
            </w:pPr>
            <w:r>
              <w:rPr>
                <w:lang w:eastAsia="en-AU"/>
              </w:rPr>
              <w:t>Value</w:t>
            </w:r>
          </w:p>
        </w:tc>
      </w:tr>
      <w:tr w:rsidR="00C00379" w:rsidRPr="00630A55" w14:paraId="2F14676B" w14:textId="77777777" w:rsidTr="009C41D0">
        <w:trPr>
          <w:trHeight w:val="258"/>
        </w:trPr>
        <w:tc>
          <w:tcPr>
            <w:tcW w:w="6364" w:type="dxa"/>
            <w:gridSpan w:val="2"/>
            <w:tcBorders>
              <w:top w:val="single" w:sz="12" w:space="0" w:color="auto"/>
              <w:left w:val="single" w:sz="4" w:space="0" w:color="auto"/>
              <w:right w:val="single" w:sz="4" w:space="0" w:color="auto"/>
            </w:tcBorders>
            <w:shd w:val="clear" w:color="000000" w:fill="FFFFFF"/>
            <w:vAlign w:val="center"/>
            <w:hideMark/>
          </w:tcPr>
          <w:p w14:paraId="25452878" w14:textId="42574CE1" w:rsidR="00C00379" w:rsidRPr="00630A55" w:rsidRDefault="009A79AC" w:rsidP="00997762">
            <w:pPr>
              <w:pStyle w:val="Tabletext"/>
              <w:rPr>
                <w:color w:val="000000"/>
                <w:lang w:eastAsia="en-AU"/>
              </w:rPr>
            </w:pPr>
            <w:r>
              <w:rPr>
                <w:lang w:eastAsia="en-AU"/>
              </w:rPr>
              <w:t>Summary submission to jurisdiction</w:t>
            </w:r>
          </w:p>
        </w:tc>
        <w:tc>
          <w:tcPr>
            <w:tcW w:w="2783" w:type="dxa"/>
            <w:tcBorders>
              <w:top w:val="single" w:sz="12" w:space="0" w:color="auto"/>
              <w:left w:val="single" w:sz="4" w:space="0" w:color="auto"/>
              <w:right w:val="single" w:sz="4" w:space="0" w:color="auto"/>
            </w:tcBorders>
            <w:shd w:val="clear" w:color="auto" w:fill="auto"/>
            <w:vAlign w:val="center"/>
            <w:hideMark/>
          </w:tcPr>
          <w:p w14:paraId="692E44DB" w14:textId="77777777" w:rsidR="00C00379" w:rsidRPr="00630A55" w:rsidRDefault="00C00379" w:rsidP="00200F8E">
            <w:pPr>
              <w:pStyle w:val="TableTextNumber"/>
              <w:jc w:val="right"/>
            </w:pPr>
            <w:r w:rsidRPr="00630A55">
              <w:t> </w:t>
            </w:r>
          </w:p>
        </w:tc>
      </w:tr>
      <w:tr w:rsidR="00C00379" w:rsidRPr="00630A55" w14:paraId="37523F74" w14:textId="77777777" w:rsidTr="009C41D0">
        <w:trPr>
          <w:trHeight w:val="258"/>
        </w:trPr>
        <w:tc>
          <w:tcPr>
            <w:tcW w:w="281" w:type="dxa"/>
            <w:tcBorders>
              <w:left w:val="single" w:sz="4" w:space="0" w:color="auto"/>
            </w:tcBorders>
            <w:shd w:val="clear" w:color="000000" w:fill="FFFFFF"/>
            <w:noWrap/>
            <w:vAlign w:val="center"/>
            <w:hideMark/>
          </w:tcPr>
          <w:p w14:paraId="3CD02FE4" w14:textId="77777777" w:rsidR="00C00379" w:rsidRPr="00630A55" w:rsidRDefault="00C00379" w:rsidP="00997762">
            <w:pPr>
              <w:pStyle w:val="Tabletext"/>
              <w:rPr>
                <w:color w:val="000000"/>
                <w:lang w:eastAsia="en-AU"/>
              </w:rPr>
            </w:pPr>
            <w:r w:rsidRPr="00630A55">
              <w:rPr>
                <w:lang w:eastAsia="en-AU"/>
              </w:rPr>
              <w:t> </w:t>
            </w:r>
          </w:p>
        </w:tc>
        <w:tc>
          <w:tcPr>
            <w:tcW w:w="6083" w:type="dxa"/>
            <w:tcBorders>
              <w:right w:val="single" w:sz="4" w:space="0" w:color="auto"/>
            </w:tcBorders>
            <w:shd w:val="clear" w:color="000000" w:fill="FFFFFF"/>
            <w:vAlign w:val="center"/>
            <w:hideMark/>
          </w:tcPr>
          <w:p w14:paraId="19CA0443" w14:textId="47586A09" w:rsidR="00C00379" w:rsidRPr="00630A55" w:rsidRDefault="00C00379" w:rsidP="00997762">
            <w:pPr>
              <w:pStyle w:val="Tabletext"/>
              <w:rPr>
                <w:color w:val="000000"/>
                <w:lang w:eastAsia="en-AU"/>
              </w:rPr>
            </w:pPr>
            <w:r w:rsidRPr="00630A55">
              <w:rPr>
                <w:lang w:eastAsia="en-AU"/>
              </w:rPr>
              <w:t xml:space="preserve">Activity submitted to </w:t>
            </w:r>
            <w:r w:rsidR="00F678EC">
              <w:rPr>
                <w:lang w:eastAsia="en-AU"/>
              </w:rPr>
              <w:t>j</w:t>
            </w:r>
            <w:r w:rsidRPr="00630A55">
              <w:rPr>
                <w:lang w:eastAsia="en-AU"/>
              </w:rPr>
              <w:t>urisdiction</w:t>
            </w:r>
          </w:p>
        </w:tc>
        <w:tc>
          <w:tcPr>
            <w:tcW w:w="2783" w:type="dxa"/>
            <w:tcBorders>
              <w:left w:val="single" w:sz="4" w:space="0" w:color="auto"/>
              <w:right w:val="single" w:sz="4" w:space="0" w:color="auto"/>
            </w:tcBorders>
            <w:shd w:val="clear" w:color="auto" w:fill="auto"/>
            <w:noWrap/>
            <w:vAlign w:val="bottom"/>
            <w:hideMark/>
          </w:tcPr>
          <w:p w14:paraId="76124E49" w14:textId="77777777" w:rsidR="00C00379" w:rsidRPr="00630A55" w:rsidRDefault="00C00379" w:rsidP="00200F8E">
            <w:pPr>
              <w:pStyle w:val="TableTextNumber"/>
              <w:jc w:val="right"/>
            </w:pPr>
            <w:r w:rsidRPr="00630A55">
              <w:t>994,620</w:t>
            </w:r>
          </w:p>
        </w:tc>
      </w:tr>
      <w:tr w:rsidR="00C00379" w:rsidRPr="00630A55" w14:paraId="743B8058" w14:textId="77777777" w:rsidTr="009C41D0">
        <w:trPr>
          <w:trHeight w:val="258"/>
        </w:trPr>
        <w:tc>
          <w:tcPr>
            <w:tcW w:w="281" w:type="dxa"/>
            <w:tcBorders>
              <w:left w:val="single" w:sz="4" w:space="0" w:color="auto"/>
            </w:tcBorders>
            <w:shd w:val="clear" w:color="000000" w:fill="FFFFFF"/>
            <w:noWrap/>
            <w:vAlign w:val="center"/>
            <w:hideMark/>
          </w:tcPr>
          <w:p w14:paraId="69592592" w14:textId="77777777" w:rsidR="00C00379" w:rsidRPr="00630A55" w:rsidRDefault="00C00379" w:rsidP="00997762">
            <w:pPr>
              <w:pStyle w:val="Tabletext"/>
              <w:rPr>
                <w:color w:val="000000"/>
                <w:lang w:eastAsia="en-AU"/>
              </w:rPr>
            </w:pPr>
            <w:r w:rsidRPr="00630A55">
              <w:rPr>
                <w:lang w:eastAsia="en-AU"/>
              </w:rPr>
              <w:t> </w:t>
            </w:r>
          </w:p>
        </w:tc>
        <w:tc>
          <w:tcPr>
            <w:tcW w:w="6083" w:type="dxa"/>
            <w:tcBorders>
              <w:right w:val="single" w:sz="4" w:space="0" w:color="auto"/>
            </w:tcBorders>
            <w:shd w:val="clear" w:color="000000" w:fill="FFFFFF"/>
            <w:vAlign w:val="center"/>
            <w:hideMark/>
          </w:tcPr>
          <w:p w14:paraId="1C03497A" w14:textId="4C825179" w:rsidR="00C00379" w:rsidRPr="00630A55" w:rsidRDefault="00C00379" w:rsidP="00997762">
            <w:pPr>
              <w:pStyle w:val="Tabletext"/>
              <w:rPr>
                <w:color w:val="000000"/>
                <w:lang w:eastAsia="en-AU"/>
              </w:rPr>
            </w:pPr>
            <w:r w:rsidRPr="00630A55">
              <w:rPr>
                <w:lang w:eastAsia="en-AU"/>
              </w:rPr>
              <w:t xml:space="preserve">Costs submitted to </w:t>
            </w:r>
            <w:r w:rsidR="00F678EC">
              <w:rPr>
                <w:lang w:eastAsia="en-AU"/>
              </w:rPr>
              <w:t>j</w:t>
            </w:r>
            <w:r w:rsidRPr="00630A55">
              <w:rPr>
                <w:lang w:eastAsia="en-AU"/>
              </w:rPr>
              <w:t>urisdiction</w:t>
            </w:r>
          </w:p>
        </w:tc>
        <w:tc>
          <w:tcPr>
            <w:tcW w:w="2783" w:type="dxa"/>
            <w:tcBorders>
              <w:left w:val="single" w:sz="4" w:space="0" w:color="auto"/>
              <w:right w:val="single" w:sz="4" w:space="0" w:color="auto"/>
            </w:tcBorders>
            <w:shd w:val="clear" w:color="auto" w:fill="auto"/>
            <w:noWrap/>
            <w:vAlign w:val="bottom"/>
            <w:hideMark/>
          </w:tcPr>
          <w:p w14:paraId="45269554" w14:textId="77777777" w:rsidR="00C00379" w:rsidRPr="00630A55" w:rsidRDefault="00C00379" w:rsidP="00200F8E">
            <w:pPr>
              <w:pStyle w:val="TableTextNumber"/>
              <w:jc w:val="right"/>
            </w:pPr>
            <w:r w:rsidRPr="00630A55">
              <w:t>$684,989,127</w:t>
            </w:r>
          </w:p>
        </w:tc>
      </w:tr>
      <w:tr w:rsidR="00C00379" w:rsidRPr="00630A55" w14:paraId="2415AF54" w14:textId="77777777" w:rsidTr="009C41D0">
        <w:trPr>
          <w:trHeight w:val="258"/>
        </w:trPr>
        <w:tc>
          <w:tcPr>
            <w:tcW w:w="6364" w:type="dxa"/>
            <w:gridSpan w:val="2"/>
            <w:tcBorders>
              <w:top w:val="single" w:sz="12" w:space="0" w:color="auto"/>
              <w:left w:val="single" w:sz="4" w:space="0" w:color="auto"/>
              <w:bottom w:val="single" w:sz="12" w:space="0" w:color="auto"/>
              <w:right w:val="single" w:sz="4" w:space="0" w:color="auto"/>
            </w:tcBorders>
            <w:shd w:val="clear" w:color="000000" w:fill="00338D"/>
            <w:noWrap/>
            <w:vAlign w:val="center"/>
            <w:hideMark/>
          </w:tcPr>
          <w:p w14:paraId="411B1D01" w14:textId="5190CF44" w:rsidR="00C00379" w:rsidRPr="00630A55" w:rsidRDefault="00C00379" w:rsidP="00997762">
            <w:pPr>
              <w:pStyle w:val="Tableheading"/>
              <w:rPr>
                <w:color w:val="FFFFFF"/>
                <w:lang w:eastAsia="en-AU"/>
              </w:rPr>
            </w:pPr>
            <w:r w:rsidRPr="00630A55">
              <w:rPr>
                <w:lang w:eastAsia="en-AU"/>
              </w:rPr>
              <w:t>Costs</w:t>
            </w:r>
            <w:r w:rsidR="00F678EC">
              <w:rPr>
                <w:lang w:eastAsia="en-AU"/>
              </w:rPr>
              <w:t xml:space="preserve"> and activity</w:t>
            </w:r>
            <w:r w:rsidRPr="00630A55">
              <w:rPr>
                <w:lang w:eastAsia="en-AU"/>
              </w:rPr>
              <w:t xml:space="preserve"> submitted to IHACPA</w:t>
            </w:r>
          </w:p>
        </w:tc>
        <w:tc>
          <w:tcPr>
            <w:tcW w:w="2783" w:type="dxa"/>
            <w:tcBorders>
              <w:top w:val="single" w:sz="12" w:space="0" w:color="auto"/>
              <w:left w:val="single" w:sz="4" w:space="0" w:color="auto"/>
              <w:bottom w:val="single" w:sz="12" w:space="0" w:color="auto"/>
              <w:right w:val="single" w:sz="4" w:space="0" w:color="auto"/>
            </w:tcBorders>
            <w:shd w:val="clear" w:color="000000" w:fill="00338D"/>
            <w:noWrap/>
            <w:vAlign w:val="center"/>
            <w:hideMark/>
          </w:tcPr>
          <w:p w14:paraId="483493C4" w14:textId="77777777" w:rsidR="00C00379" w:rsidRPr="00630A55" w:rsidRDefault="00C00379" w:rsidP="0048310B">
            <w:pPr>
              <w:pStyle w:val="Tableheading"/>
              <w:rPr>
                <w:color w:val="FFFFFF"/>
                <w:lang w:eastAsia="en-AU"/>
              </w:rPr>
            </w:pPr>
            <w:r w:rsidRPr="00630A55">
              <w:rPr>
                <w:lang w:eastAsia="en-AU"/>
              </w:rPr>
              <w:t xml:space="preserve">Value </w:t>
            </w:r>
          </w:p>
        </w:tc>
      </w:tr>
      <w:tr w:rsidR="00C00379" w:rsidRPr="00630A55" w14:paraId="7D82DD40" w14:textId="77777777" w:rsidTr="009C41D0">
        <w:trPr>
          <w:trHeight w:val="258"/>
        </w:trPr>
        <w:tc>
          <w:tcPr>
            <w:tcW w:w="6364" w:type="dxa"/>
            <w:gridSpan w:val="2"/>
            <w:tcBorders>
              <w:top w:val="single" w:sz="12" w:space="0" w:color="auto"/>
              <w:left w:val="single" w:sz="4" w:space="0" w:color="auto"/>
              <w:right w:val="single" w:sz="4" w:space="0" w:color="auto"/>
            </w:tcBorders>
            <w:shd w:val="clear" w:color="000000" w:fill="FFFFFF"/>
            <w:vAlign w:val="center"/>
            <w:hideMark/>
          </w:tcPr>
          <w:p w14:paraId="6EF3FD48" w14:textId="36239EEC" w:rsidR="00C00379" w:rsidRPr="00630A55" w:rsidRDefault="00C00379" w:rsidP="00997762">
            <w:pPr>
              <w:pStyle w:val="Tabletext"/>
              <w:rPr>
                <w:color w:val="000000"/>
                <w:lang w:eastAsia="en-AU"/>
              </w:rPr>
            </w:pPr>
            <w:r w:rsidRPr="00630A55">
              <w:rPr>
                <w:lang w:eastAsia="en-AU"/>
              </w:rPr>
              <w:t xml:space="preserve">Final </w:t>
            </w:r>
            <w:r w:rsidR="00F678EC">
              <w:rPr>
                <w:lang w:eastAsia="en-AU"/>
              </w:rPr>
              <w:t>s</w:t>
            </w:r>
            <w:r w:rsidRPr="00630A55">
              <w:rPr>
                <w:lang w:eastAsia="en-AU"/>
              </w:rPr>
              <w:t xml:space="preserve">ubmission from </w:t>
            </w:r>
            <w:r w:rsidR="00F678EC">
              <w:rPr>
                <w:lang w:eastAsia="en-AU"/>
              </w:rPr>
              <w:t>j</w:t>
            </w:r>
            <w:r w:rsidRPr="00630A55">
              <w:rPr>
                <w:lang w:eastAsia="en-AU"/>
              </w:rPr>
              <w:t xml:space="preserve">urisdiction to IHACPA for NHCDC - </w:t>
            </w:r>
            <w:r w:rsidR="00F678EC">
              <w:rPr>
                <w:lang w:eastAsia="en-AU"/>
              </w:rPr>
              <w:t>c</w:t>
            </w:r>
            <w:r w:rsidRPr="00630A55">
              <w:rPr>
                <w:lang w:eastAsia="en-AU"/>
              </w:rPr>
              <w:t xml:space="preserve">ost and </w:t>
            </w:r>
            <w:r w:rsidR="00F678EC">
              <w:rPr>
                <w:lang w:eastAsia="en-AU"/>
              </w:rPr>
              <w:t>a</w:t>
            </w:r>
            <w:r w:rsidRPr="00630A55">
              <w:rPr>
                <w:lang w:eastAsia="en-AU"/>
              </w:rPr>
              <w:t xml:space="preserve">ctivity by </w:t>
            </w:r>
            <w:r w:rsidR="00F678EC">
              <w:rPr>
                <w:lang w:eastAsia="en-AU"/>
              </w:rPr>
              <w:t>p</w:t>
            </w:r>
            <w:r w:rsidRPr="00630A55">
              <w:rPr>
                <w:lang w:eastAsia="en-AU"/>
              </w:rPr>
              <w:t xml:space="preserve">roduct </w:t>
            </w:r>
          </w:p>
        </w:tc>
        <w:tc>
          <w:tcPr>
            <w:tcW w:w="2783" w:type="dxa"/>
            <w:tcBorders>
              <w:top w:val="single" w:sz="12" w:space="0" w:color="auto"/>
              <w:left w:val="single" w:sz="4" w:space="0" w:color="auto"/>
              <w:right w:val="single" w:sz="4" w:space="0" w:color="auto"/>
            </w:tcBorders>
            <w:shd w:val="clear" w:color="auto" w:fill="auto"/>
            <w:vAlign w:val="center"/>
            <w:hideMark/>
          </w:tcPr>
          <w:p w14:paraId="2148B635" w14:textId="77777777" w:rsidR="00C00379" w:rsidRPr="00630A55" w:rsidRDefault="00C00379" w:rsidP="00200F8E">
            <w:pPr>
              <w:pStyle w:val="TableTextNumber"/>
              <w:jc w:val="right"/>
            </w:pPr>
            <w:r w:rsidRPr="00630A55">
              <w:t> </w:t>
            </w:r>
          </w:p>
        </w:tc>
      </w:tr>
      <w:tr w:rsidR="00C00379" w:rsidRPr="00630A55" w14:paraId="1BB856FE" w14:textId="77777777" w:rsidTr="009C41D0">
        <w:trPr>
          <w:trHeight w:val="258"/>
        </w:trPr>
        <w:tc>
          <w:tcPr>
            <w:tcW w:w="281" w:type="dxa"/>
            <w:tcBorders>
              <w:left w:val="single" w:sz="4" w:space="0" w:color="auto"/>
            </w:tcBorders>
            <w:shd w:val="clear" w:color="000000" w:fill="FFFFFF"/>
            <w:noWrap/>
            <w:vAlign w:val="center"/>
            <w:hideMark/>
          </w:tcPr>
          <w:p w14:paraId="206EE3D4" w14:textId="77777777" w:rsidR="00C00379" w:rsidRPr="00630A55" w:rsidRDefault="00C00379" w:rsidP="00997762">
            <w:pPr>
              <w:pStyle w:val="Tabletext"/>
              <w:rPr>
                <w:color w:val="000000"/>
                <w:lang w:eastAsia="en-AU"/>
              </w:rPr>
            </w:pPr>
            <w:r w:rsidRPr="00630A55">
              <w:rPr>
                <w:lang w:eastAsia="en-AU"/>
              </w:rPr>
              <w:t> </w:t>
            </w:r>
          </w:p>
        </w:tc>
        <w:tc>
          <w:tcPr>
            <w:tcW w:w="6083" w:type="dxa"/>
            <w:tcBorders>
              <w:right w:val="single" w:sz="4" w:space="0" w:color="auto"/>
            </w:tcBorders>
            <w:shd w:val="clear" w:color="000000" w:fill="FFFFFF"/>
            <w:vAlign w:val="center"/>
            <w:hideMark/>
          </w:tcPr>
          <w:p w14:paraId="5926EDFE" w14:textId="77777777" w:rsidR="00C00379" w:rsidRPr="00630A55" w:rsidRDefault="00C00379" w:rsidP="00997762">
            <w:pPr>
              <w:pStyle w:val="Tabletext"/>
              <w:rPr>
                <w:color w:val="000000"/>
                <w:lang w:eastAsia="en-AU"/>
              </w:rPr>
            </w:pPr>
            <w:r w:rsidRPr="00630A55">
              <w:rPr>
                <w:lang w:eastAsia="en-AU"/>
              </w:rPr>
              <w:t>Activity</w:t>
            </w:r>
          </w:p>
        </w:tc>
        <w:tc>
          <w:tcPr>
            <w:tcW w:w="2783" w:type="dxa"/>
            <w:tcBorders>
              <w:left w:val="single" w:sz="4" w:space="0" w:color="auto"/>
              <w:right w:val="single" w:sz="4" w:space="0" w:color="auto"/>
            </w:tcBorders>
            <w:shd w:val="clear" w:color="auto" w:fill="auto"/>
            <w:noWrap/>
            <w:vAlign w:val="bottom"/>
          </w:tcPr>
          <w:p w14:paraId="45850908" w14:textId="77777777" w:rsidR="00C00379" w:rsidRPr="00630A55" w:rsidRDefault="00C00379" w:rsidP="00200F8E">
            <w:pPr>
              <w:pStyle w:val="TableTextNumber"/>
              <w:jc w:val="right"/>
            </w:pPr>
            <w:r w:rsidRPr="00630A55">
              <w:t>994,620</w:t>
            </w:r>
          </w:p>
        </w:tc>
      </w:tr>
      <w:tr w:rsidR="00C00379" w:rsidRPr="00630A55" w14:paraId="3A0DC876" w14:textId="77777777" w:rsidTr="009C41D0">
        <w:trPr>
          <w:trHeight w:val="258"/>
        </w:trPr>
        <w:tc>
          <w:tcPr>
            <w:tcW w:w="281" w:type="dxa"/>
            <w:tcBorders>
              <w:left w:val="single" w:sz="4" w:space="0" w:color="auto"/>
            </w:tcBorders>
            <w:shd w:val="clear" w:color="000000" w:fill="FFFFFF"/>
            <w:noWrap/>
            <w:vAlign w:val="center"/>
            <w:hideMark/>
          </w:tcPr>
          <w:p w14:paraId="09EE1502" w14:textId="77777777" w:rsidR="00C00379" w:rsidRPr="00630A55" w:rsidRDefault="00C00379" w:rsidP="00997762">
            <w:pPr>
              <w:pStyle w:val="Tabletext"/>
              <w:rPr>
                <w:color w:val="000000"/>
                <w:lang w:eastAsia="en-AU"/>
              </w:rPr>
            </w:pPr>
            <w:r w:rsidRPr="00630A55">
              <w:rPr>
                <w:lang w:eastAsia="en-AU"/>
              </w:rPr>
              <w:t> </w:t>
            </w:r>
          </w:p>
        </w:tc>
        <w:tc>
          <w:tcPr>
            <w:tcW w:w="6083" w:type="dxa"/>
            <w:tcBorders>
              <w:right w:val="single" w:sz="4" w:space="0" w:color="auto"/>
            </w:tcBorders>
            <w:shd w:val="clear" w:color="000000" w:fill="FFFFFF"/>
            <w:vAlign w:val="center"/>
            <w:hideMark/>
          </w:tcPr>
          <w:p w14:paraId="0DA8B330" w14:textId="77777777" w:rsidR="00C00379" w:rsidRPr="00630A55" w:rsidRDefault="00C00379" w:rsidP="00997762">
            <w:pPr>
              <w:pStyle w:val="Tabletext"/>
              <w:rPr>
                <w:color w:val="000000"/>
                <w:lang w:eastAsia="en-AU"/>
              </w:rPr>
            </w:pPr>
            <w:r w:rsidRPr="00630A55">
              <w:rPr>
                <w:lang w:eastAsia="en-AU"/>
              </w:rPr>
              <w:t>Costs</w:t>
            </w:r>
          </w:p>
        </w:tc>
        <w:tc>
          <w:tcPr>
            <w:tcW w:w="2783" w:type="dxa"/>
            <w:tcBorders>
              <w:left w:val="single" w:sz="4" w:space="0" w:color="auto"/>
              <w:right w:val="single" w:sz="4" w:space="0" w:color="auto"/>
            </w:tcBorders>
            <w:shd w:val="clear" w:color="auto" w:fill="auto"/>
            <w:noWrap/>
            <w:vAlign w:val="bottom"/>
          </w:tcPr>
          <w:p w14:paraId="1BEEFA87" w14:textId="77777777" w:rsidR="00C00379" w:rsidRPr="00630A55" w:rsidRDefault="00C00379" w:rsidP="00200F8E">
            <w:pPr>
              <w:pStyle w:val="TableTextNumber"/>
              <w:jc w:val="right"/>
            </w:pPr>
            <w:r w:rsidRPr="00630A55">
              <w:t>$684,989,127</w:t>
            </w:r>
          </w:p>
        </w:tc>
      </w:tr>
      <w:tr w:rsidR="00C00379" w:rsidRPr="00630A55" w14:paraId="7E121BB0" w14:textId="77777777" w:rsidTr="009C41D0">
        <w:trPr>
          <w:trHeight w:val="258"/>
        </w:trPr>
        <w:tc>
          <w:tcPr>
            <w:tcW w:w="6364" w:type="dxa"/>
            <w:gridSpan w:val="2"/>
            <w:tcBorders>
              <w:left w:val="single" w:sz="4" w:space="0" w:color="auto"/>
              <w:right w:val="single" w:sz="4" w:space="0" w:color="auto"/>
            </w:tcBorders>
            <w:shd w:val="clear" w:color="000000" w:fill="FFFFFF"/>
            <w:vAlign w:val="center"/>
            <w:hideMark/>
          </w:tcPr>
          <w:p w14:paraId="3DD03248" w14:textId="3EEACCDC" w:rsidR="00C00379" w:rsidRPr="00630A55" w:rsidRDefault="00C00379" w:rsidP="00997762">
            <w:pPr>
              <w:pStyle w:val="Tabletext"/>
              <w:rPr>
                <w:color w:val="000000"/>
                <w:lang w:eastAsia="en-AU"/>
              </w:rPr>
            </w:pPr>
            <w:r w:rsidRPr="00630A55">
              <w:rPr>
                <w:lang w:eastAsia="en-AU"/>
              </w:rPr>
              <w:t xml:space="preserve">Adjustments to </w:t>
            </w:r>
            <w:r w:rsidR="00F678EC">
              <w:rPr>
                <w:lang w:eastAsia="en-AU"/>
              </w:rPr>
              <w:t>j</w:t>
            </w:r>
            <w:r w:rsidRPr="00630A55">
              <w:rPr>
                <w:lang w:eastAsia="en-AU"/>
              </w:rPr>
              <w:t xml:space="preserve">urisdictional </w:t>
            </w:r>
            <w:r w:rsidR="00F678EC">
              <w:rPr>
                <w:lang w:eastAsia="en-AU"/>
              </w:rPr>
              <w:t>s</w:t>
            </w:r>
            <w:r w:rsidRPr="00630A55">
              <w:rPr>
                <w:lang w:eastAsia="en-AU"/>
              </w:rPr>
              <w:t xml:space="preserve">ubmission prior to finalisation of </w:t>
            </w:r>
            <w:r w:rsidR="00F678EC">
              <w:rPr>
                <w:lang w:eastAsia="en-AU"/>
              </w:rPr>
              <w:t>j</w:t>
            </w:r>
            <w:r w:rsidRPr="00630A55">
              <w:rPr>
                <w:lang w:eastAsia="en-AU"/>
              </w:rPr>
              <w:t>urisdictional data</w:t>
            </w:r>
          </w:p>
        </w:tc>
        <w:tc>
          <w:tcPr>
            <w:tcW w:w="2783" w:type="dxa"/>
            <w:tcBorders>
              <w:left w:val="single" w:sz="4" w:space="0" w:color="auto"/>
              <w:right w:val="single" w:sz="4" w:space="0" w:color="auto"/>
            </w:tcBorders>
            <w:shd w:val="clear" w:color="auto" w:fill="auto"/>
            <w:vAlign w:val="center"/>
          </w:tcPr>
          <w:p w14:paraId="7725BEB5" w14:textId="77777777" w:rsidR="00C00379" w:rsidRPr="00630A55" w:rsidRDefault="00C00379" w:rsidP="00200F8E">
            <w:pPr>
              <w:pStyle w:val="TableTextNumber"/>
              <w:jc w:val="right"/>
            </w:pPr>
          </w:p>
        </w:tc>
      </w:tr>
      <w:tr w:rsidR="00C00379" w:rsidRPr="00630A55" w14:paraId="7456A775" w14:textId="77777777" w:rsidTr="009C41D0">
        <w:trPr>
          <w:trHeight w:val="258"/>
        </w:trPr>
        <w:tc>
          <w:tcPr>
            <w:tcW w:w="281" w:type="dxa"/>
            <w:tcBorders>
              <w:left w:val="single" w:sz="4" w:space="0" w:color="auto"/>
            </w:tcBorders>
            <w:shd w:val="clear" w:color="000000" w:fill="FFFFFF"/>
            <w:noWrap/>
            <w:vAlign w:val="center"/>
            <w:hideMark/>
          </w:tcPr>
          <w:p w14:paraId="17BD2B8C" w14:textId="77777777" w:rsidR="00C00379" w:rsidRPr="00630A55" w:rsidRDefault="00C00379" w:rsidP="00997762">
            <w:pPr>
              <w:pStyle w:val="Tabletext"/>
              <w:rPr>
                <w:color w:val="000000"/>
                <w:lang w:eastAsia="en-AU"/>
              </w:rPr>
            </w:pPr>
            <w:r w:rsidRPr="00630A55">
              <w:rPr>
                <w:lang w:eastAsia="en-AU"/>
              </w:rPr>
              <w:t> </w:t>
            </w:r>
          </w:p>
        </w:tc>
        <w:tc>
          <w:tcPr>
            <w:tcW w:w="6083" w:type="dxa"/>
            <w:tcBorders>
              <w:right w:val="single" w:sz="4" w:space="0" w:color="auto"/>
            </w:tcBorders>
            <w:shd w:val="clear" w:color="000000" w:fill="FFFFFF"/>
            <w:noWrap/>
            <w:vAlign w:val="center"/>
            <w:hideMark/>
          </w:tcPr>
          <w:p w14:paraId="4F3C5008" w14:textId="77777777" w:rsidR="00C00379" w:rsidRPr="00630A55" w:rsidRDefault="00C00379" w:rsidP="00997762">
            <w:pPr>
              <w:pStyle w:val="Tabletext"/>
              <w:rPr>
                <w:color w:val="000000"/>
                <w:lang w:eastAsia="en-AU"/>
              </w:rPr>
            </w:pPr>
            <w:r w:rsidRPr="00630A55">
              <w:rPr>
                <w:lang w:eastAsia="en-AU"/>
              </w:rPr>
              <w:t xml:space="preserve">Activity totals </w:t>
            </w:r>
          </w:p>
        </w:tc>
        <w:tc>
          <w:tcPr>
            <w:tcW w:w="2783" w:type="dxa"/>
            <w:tcBorders>
              <w:left w:val="single" w:sz="4" w:space="0" w:color="auto"/>
              <w:right w:val="single" w:sz="4" w:space="0" w:color="auto"/>
            </w:tcBorders>
            <w:shd w:val="clear" w:color="auto" w:fill="auto"/>
            <w:noWrap/>
            <w:vAlign w:val="bottom"/>
          </w:tcPr>
          <w:p w14:paraId="57D72942" w14:textId="77777777" w:rsidR="00C00379" w:rsidRPr="00630A55" w:rsidRDefault="00C00379" w:rsidP="00200F8E">
            <w:pPr>
              <w:pStyle w:val="TableTextNumber"/>
              <w:jc w:val="right"/>
            </w:pPr>
            <w:r w:rsidRPr="00630A55">
              <w:t>(435,886)</w:t>
            </w:r>
          </w:p>
        </w:tc>
      </w:tr>
      <w:tr w:rsidR="00C00379" w:rsidRPr="00630A55" w14:paraId="6C257B34" w14:textId="77777777" w:rsidTr="009C41D0">
        <w:trPr>
          <w:trHeight w:val="258"/>
        </w:trPr>
        <w:tc>
          <w:tcPr>
            <w:tcW w:w="281" w:type="dxa"/>
            <w:tcBorders>
              <w:left w:val="single" w:sz="4" w:space="0" w:color="auto"/>
            </w:tcBorders>
            <w:shd w:val="clear" w:color="000000" w:fill="FFFFFF"/>
            <w:noWrap/>
            <w:vAlign w:val="center"/>
            <w:hideMark/>
          </w:tcPr>
          <w:p w14:paraId="3B633594" w14:textId="77777777" w:rsidR="00C00379" w:rsidRPr="00630A55" w:rsidRDefault="00C00379" w:rsidP="00997762">
            <w:pPr>
              <w:pStyle w:val="Tabletext"/>
              <w:rPr>
                <w:color w:val="000000"/>
                <w:lang w:eastAsia="en-AU"/>
              </w:rPr>
            </w:pPr>
            <w:r w:rsidRPr="00630A55">
              <w:rPr>
                <w:lang w:eastAsia="en-AU"/>
              </w:rPr>
              <w:t> </w:t>
            </w:r>
          </w:p>
        </w:tc>
        <w:tc>
          <w:tcPr>
            <w:tcW w:w="6083" w:type="dxa"/>
            <w:tcBorders>
              <w:right w:val="single" w:sz="4" w:space="0" w:color="auto"/>
            </w:tcBorders>
            <w:shd w:val="clear" w:color="000000" w:fill="FFFFFF"/>
            <w:noWrap/>
            <w:vAlign w:val="center"/>
            <w:hideMark/>
          </w:tcPr>
          <w:p w14:paraId="680B5531" w14:textId="77777777" w:rsidR="00C00379" w:rsidRPr="00630A55" w:rsidRDefault="00C00379" w:rsidP="00997762">
            <w:pPr>
              <w:pStyle w:val="Tabletext"/>
              <w:rPr>
                <w:color w:val="000000"/>
                <w:lang w:eastAsia="en-AU"/>
              </w:rPr>
            </w:pPr>
            <w:r w:rsidRPr="00630A55">
              <w:rPr>
                <w:lang w:eastAsia="en-AU"/>
              </w:rPr>
              <w:t>Cost totals</w:t>
            </w:r>
          </w:p>
        </w:tc>
        <w:tc>
          <w:tcPr>
            <w:tcW w:w="2783" w:type="dxa"/>
            <w:tcBorders>
              <w:left w:val="single" w:sz="4" w:space="0" w:color="auto"/>
              <w:right w:val="single" w:sz="4" w:space="0" w:color="auto"/>
            </w:tcBorders>
            <w:shd w:val="clear" w:color="auto" w:fill="auto"/>
            <w:noWrap/>
            <w:vAlign w:val="bottom"/>
          </w:tcPr>
          <w:p w14:paraId="15D01E42" w14:textId="77777777" w:rsidR="00C00379" w:rsidRPr="00630A55" w:rsidRDefault="00C00379" w:rsidP="00200F8E">
            <w:pPr>
              <w:pStyle w:val="TableTextNumber"/>
              <w:jc w:val="right"/>
            </w:pPr>
            <w:r w:rsidRPr="00630A55">
              <w:t>($153,180,923)</w:t>
            </w:r>
          </w:p>
        </w:tc>
      </w:tr>
      <w:tr w:rsidR="00C00379" w:rsidRPr="00630A55" w14:paraId="3095E8DC" w14:textId="77777777" w:rsidTr="009C41D0">
        <w:trPr>
          <w:trHeight w:val="258"/>
        </w:trPr>
        <w:tc>
          <w:tcPr>
            <w:tcW w:w="6364" w:type="dxa"/>
            <w:gridSpan w:val="2"/>
            <w:tcBorders>
              <w:left w:val="single" w:sz="4" w:space="0" w:color="auto"/>
              <w:right w:val="single" w:sz="4" w:space="0" w:color="auto"/>
            </w:tcBorders>
            <w:shd w:val="clear" w:color="000000" w:fill="FFFFFF"/>
            <w:vAlign w:val="center"/>
            <w:hideMark/>
          </w:tcPr>
          <w:p w14:paraId="74F460B0" w14:textId="5503A0F5" w:rsidR="00C00379" w:rsidRPr="00630A55" w:rsidRDefault="00C00379" w:rsidP="00997762">
            <w:pPr>
              <w:pStyle w:val="Tabletext"/>
              <w:rPr>
                <w:color w:val="000000"/>
              </w:rPr>
            </w:pPr>
            <w:r w:rsidRPr="00630A55">
              <w:t xml:space="preserve">Final </w:t>
            </w:r>
            <w:r w:rsidR="00F678EC">
              <w:t>j</w:t>
            </w:r>
            <w:r w:rsidRPr="00630A55">
              <w:t xml:space="preserve">urisdictional </w:t>
            </w:r>
            <w:r w:rsidR="00F678EC">
              <w:t>d</w:t>
            </w:r>
            <w:r w:rsidRPr="00630A55">
              <w:t xml:space="preserve">ata for </w:t>
            </w:r>
            <w:r w:rsidR="00F678EC">
              <w:t>c</w:t>
            </w:r>
            <w:r w:rsidRPr="00630A55">
              <w:t xml:space="preserve">ost </w:t>
            </w:r>
            <w:r w:rsidR="00F678EC">
              <w:t>w</w:t>
            </w:r>
            <w:r w:rsidRPr="00630A55">
              <w:t xml:space="preserve">eight </w:t>
            </w:r>
            <w:r w:rsidR="00F678EC">
              <w:t>p</w:t>
            </w:r>
            <w:r w:rsidRPr="00630A55">
              <w:t>roduction</w:t>
            </w:r>
          </w:p>
        </w:tc>
        <w:tc>
          <w:tcPr>
            <w:tcW w:w="2783" w:type="dxa"/>
            <w:tcBorders>
              <w:left w:val="single" w:sz="4" w:space="0" w:color="auto"/>
              <w:right w:val="single" w:sz="4" w:space="0" w:color="auto"/>
            </w:tcBorders>
            <w:shd w:val="clear" w:color="auto" w:fill="auto"/>
            <w:vAlign w:val="center"/>
          </w:tcPr>
          <w:p w14:paraId="5E2E483B" w14:textId="77777777" w:rsidR="00C00379" w:rsidRPr="00630A55" w:rsidRDefault="00C00379" w:rsidP="00200F8E">
            <w:pPr>
              <w:pStyle w:val="TableTextNumber"/>
              <w:jc w:val="right"/>
            </w:pPr>
          </w:p>
        </w:tc>
      </w:tr>
      <w:tr w:rsidR="00C00379" w:rsidRPr="00630A55" w14:paraId="5384EE99" w14:textId="77777777" w:rsidTr="009C41D0">
        <w:trPr>
          <w:trHeight w:val="258"/>
        </w:trPr>
        <w:tc>
          <w:tcPr>
            <w:tcW w:w="281" w:type="dxa"/>
            <w:tcBorders>
              <w:left w:val="single" w:sz="4" w:space="0" w:color="auto"/>
            </w:tcBorders>
            <w:shd w:val="clear" w:color="000000" w:fill="FFFFFF"/>
            <w:noWrap/>
            <w:vAlign w:val="center"/>
            <w:hideMark/>
          </w:tcPr>
          <w:p w14:paraId="02130935" w14:textId="77777777" w:rsidR="00C00379" w:rsidRPr="00630A55" w:rsidRDefault="00C00379" w:rsidP="00997762">
            <w:pPr>
              <w:pStyle w:val="Tabletext"/>
              <w:rPr>
                <w:color w:val="000000"/>
                <w:lang w:eastAsia="en-AU"/>
              </w:rPr>
            </w:pPr>
            <w:r w:rsidRPr="00630A55">
              <w:rPr>
                <w:lang w:eastAsia="en-AU"/>
              </w:rPr>
              <w:t> </w:t>
            </w:r>
          </w:p>
        </w:tc>
        <w:tc>
          <w:tcPr>
            <w:tcW w:w="6083" w:type="dxa"/>
            <w:tcBorders>
              <w:right w:val="single" w:sz="4" w:space="0" w:color="auto"/>
            </w:tcBorders>
            <w:shd w:val="clear" w:color="000000" w:fill="FFFFFF"/>
            <w:vAlign w:val="center"/>
            <w:hideMark/>
          </w:tcPr>
          <w:p w14:paraId="2F54DC18" w14:textId="26B7B54F" w:rsidR="00C00379" w:rsidRPr="00630A55" w:rsidRDefault="00C00379" w:rsidP="00997762">
            <w:pPr>
              <w:pStyle w:val="Tabletext"/>
              <w:rPr>
                <w:color w:val="000000"/>
              </w:rPr>
            </w:pPr>
            <w:r w:rsidRPr="00630A55">
              <w:t xml:space="preserve">Finalised </w:t>
            </w:r>
            <w:r w:rsidR="00F678EC">
              <w:t>a</w:t>
            </w:r>
            <w:r w:rsidRPr="00630A55">
              <w:t>ctivity</w:t>
            </w:r>
          </w:p>
        </w:tc>
        <w:tc>
          <w:tcPr>
            <w:tcW w:w="2783" w:type="dxa"/>
            <w:tcBorders>
              <w:left w:val="single" w:sz="4" w:space="0" w:color="auto"/>
              <w:right w:val="single" w:sz="4" w:space="0" w:color="auto"/>
            </w:tcBorders>
            <w:shd w:val="clear" w:color="auto" w:fill="auto"/>
            <w:noWrap/>
            <w:vAlign w:val="bottom"/>
          </w:tcPr>
          <w:p w14:paraId="658C5425" w14:textId="77777777" w:rsidR="00C00379" w:rsidRPr="00630A55" w:rsidRDefault="00C00379" w:rsidP="00200F8E">
            <w:pPr>
              <w:pStyle w:val="TableTextNumber"/>
              <w:jc w:val="right"/>
            </w:pPr>
            <w:r w:rsidRPr="00630A55">
              <w:t>558,734</w:t>
            </w:r>
          </w:p>
        </w:tc>
      </w:tr>
      <w:tr w:rsidR="00C00379" w:rsidRPr="00630A55" w14:paraId="2D4E75AE" w14:textId="77777777" w:rsidTr="009C41D0">
        <w:trPr>
          <w:trHeight w:val="258"/>
        </w:trPr>
        <w:tc>
          <w:tcPr>
            <w:tcW w:w="281" w:type="dxa"/>
            <w:tcBorders>
              <w:left w:val="single" w:sz="4" w:space="0" w:color="auto"/>
              <w:bottom w:val="single" w:sz="4" w:space="0" w:color="auto"/>
            </w:tcBorders>
            <w:shd w:val="clear" w:color="000000" w:fill="FFFFFF"/>
            <w:noWrap/>
            <w:vAlign w:val="center"/>
            <w:hideMark/>
          </w:tcPr>
          <w:p w14:paraId="2DC257A6" w14:textId="77777777" w:rsidR="00C00379" w:rsidRPr="00630A55" w:rsidRDefault="00C00379" w:rsidP="00997762">
            <w:pPr>
              <w:pStyle w:val="Tabletext"/>
              <w:rPr>
                <w:color w:val="000000"/>
                <w:lang w:eastAsia="en-AU"/>
              </w:rPr>
            </w:pPr>
            <w:r w:rsidRPr="00630A55">
              <w:rPr>
                <w:lang w:eastAsia="en-AU"/>
              </w:rPr>
              <w:t> </w:t>
            </w:r>
          </w:p>
        </w:tc>
        <w:tc>
          <w:tcPr>
            <w:tcW w:w="6083" w:type="dxa"/>
            <w:tcBorders>
              <w:bottom w:val="single" w:sz="4" w:space="0" w:color="auto"/>
              <w:right w:val="single" w:sz="4" w:space="0" w:color="auto"/>
            </w:tcBorders>
            <w:shd w:val="clear" w:color="000000" w:fill="FFFFFF"/>
            <w:vAlign w:val="center"/>
            <w:hideMark/>
          </w:tcPr>
          <w:p w14:paraId="13A93CA5" w14:textId="2E9BF25E" w:rsidR="00C00379" w:rsidRPr="00630A55" w:rsidRDefault="00C00379" w:rsidP="00997762">
            <w:pPr>
              <w:pStyle w:val="Tabletext"/>
              <w:rPr>
                <w:color w:val="000000"/>
              </w:rPr>
            </w:pPr>
            <w:r w:rsidRPr="00630A55">
              <w:t xml:space="preserve">Finalised </w:t>
            </w:r>
            <w:r w:rsidR="00F678EC">
              <w:t>c</w:t>
            </w:r>
            <w:r w:rsidRPr="00630A55">
              <w:t>ost</w:t>
            </w:r>
          </w:p>
        </w:tc>
        <w:tc>
          <w:tcPr>
            <w:tcW w:w="2783" w:type="dxa"/>
            <w:tcBorders>
              <w:left w:val="single" w:sz="4" w:space="0" w:color="auto"/>
              <w:bottom w:val="single" w:sz="4" w:space="0" w:color="auto"/>
              <w:right w:val="single" w:sz="4" w:space="0" w:color="auto"/>
            </w:tcBorders>
            <w:shd w:val="clear" w:color="auto" w:fill="auto"/>
            <w:noWrap/>
            <w:vAlign w:val="bottom"/>
            <w:hideMark/>
          </w:tcPr>
          <w:p w14:paraId="5E884867" w14:textId="77777777" w:rsidR="00C00379" w:rsidRPr="00630A55" w:rsidRDefault="00C00379" w:rsidP="00200F8E">
            <w:pPr>
              <w:pStyle w:val="TableTextNumber"/>
              <w:jc w:val="right"/>
            </w:pPr>
            <w:r w:rsidRPr="00630A55">
              <w:t>$531,808,203</w:t>
            </w:r>
          </w:p>
        </w:tc>
      </w:tr>
    </w:tbl>
    <w:p w14:paraId="343B6CCA" w14:textId="77777777" w:rsidR="00861CB0" w:rsidRPr="00630A55" w:rsidRDefault="00861CB0" w:rsidP="00861CB0">
      <w:pPr>
        <w:pStyle w:val="Source"/>
      </w:pPr>
      <w:r w:rsidRPr="00630A55">
        <w:t xml:space="preserve">Source: Jurisdictional consultations and </w:t>
      </w:r>
      <w:r>
        <w:t>templates</w:t>
      </w:r>
    </w:p>
    <w:p w14:paraId="3951AA73" w14:textId="77777777" w:rsidR="00F678EC" w:rsidRDefault="00F678EC">
      <w:pPr>
        <w:spacing w:before="0" w:after="160" w:line="259" w:lineRule="auto"/>
        <w:rPr>
          <w:iCs/>
          <w:sz w:val="20"/>
          <w:szCs w:val="16"/>
        </w:rPr>
      </w:pPr>
      <w:bookmarkStart w:id="56" w:name="_Ref113988888"/>
      <w:r>
        <w:br w:type="page"/>
      </w:r>
    </w:p>
    <w:p w14:paraId="45EFB048" w14:textId="3DC62946" w:rsidR="00C00379" w:rsidRPr="00630A55" w:rsidRDefault="00AD608F" w:rsidP="00AD608F">
      <w:pPr>
        <w:pStyle w:val="Caption"/>
      </w:pPr>
      <w:bookmarkStart w:id="57" w:name="_Ref114758164"/>
      <w:bookmarkEnd w:id="56"/>
      <w:r w:rsidRPr="00A8310C">
        <w:rPr>
          <w:b/>
          <w:bCs/>
        </w:rPr>
        <w:lastRenderedPageBreak/>
        <w:t xml:space="preserve">Table </w:t>
      </w:r>
      <w:r w:rsidR="00D91CB1" w:rsidRPr="00A8310C">
        <w:rPr>
          <w:b/>
          <w:bCs/>
        </w:rPr>
        <w:fldChar w:fldCharType="begin"/>
      </w:r>
      <w:r w:rsidR="00D91CB1" w:rsidRPr="00A8310C">
        <w:rPr>
          <w:b/>
          <w:bCs/>
        </w:rPr>
        <w:instrText xml:space="preserve"> SEQ Table \* ARABIC </w:instrText>
      </w:r>
      <w:r w:rsidR="00D91CB1" w:rsidRPr="00A8310C">
        <w:rPr>
          <w:b/>
          <w:bCs/>
        </w:rPr>
        <w:fldChar w:fldCharType="separate"/>
      </w:r>
      <w:r w:rsidR="007E2ACB">
        <w:rPr>
          <w:b/>
          <w:bCs/>
          <w:noProof/>
        </w:rPr>
        <w:t>17</w:t>
      </w:r>
      <w:r w:rsidR="00D91CB1" w:rsidRPr="00A8310C">
        <w:rPr>
          <w:b/>
          <w:bCs/>
          <w:noProof/>
        </w:rPr>
        <w:fldChar w:fldCharType="end"/>
      </w:r>
      <w:bookmarkEnd w:id="57"/>
      <w:r w:rsidRPr="00A8310C">
        <w:rPr>
          <w:b/>
          <w:bCs/>
        </w:rPr>
        <w:t>:</w:t>
      </w:r>
      <w:r w:rsidR="00C00379" w:rsidRPr="00630A55">
        <w:t xml:space="preserve"> Reconciliation from GL to NHCDC </w:t>
      </w:r>
      <w:r w:rsidR="00DC397A">
        <w:t>c</w:t>
      </w:r>
      <w:r w:rsidR="00C00379" w:rsidRPr="00630A55">
        <w:t xml:space="preserve">osted </w:t>
      </w:r>
      <w:r w:rsidR="00DC397A">
        <w:t>p</w:t>
      </w:r>
      <w:r w:rsidR="00C00379" w:rsidRPr="00630A55">
        <w:t>roducts - Queensland Health (Mackay HHS)</w:t>
      </w:r>
    </w:p>
    <w:tbl>
      <w:tblPr>
        <w:tblW w:w="9174" w:type="dxa"/>
        <w:tblBorders>
          <w:top w:val="single" w:sz="12" w:space="0" w:color="auto"/>
          <w:left w:val="single" w:sz="12" w:space="0" w:color="auto"/>
          <w:bottom w:val="single" w:sz="12" w:space="0" w:color="auto"/>
          <w:right w:val="single" w:sz="12" w:space="0" w:color="auto"/>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81"/>
        <w:gridCol w:w="6606"/>
        <w:gridCol w:w="2287"/>
      </w:tblGrid>
      <w:tr w:rsidR="00C00379" w:rsidRPr="00630A55" w14:paraId="5D56E845" w14:textId="77777777" w:rsidTr="009C41D0">
        <w:trPr>
          <w:trHeight w:val="258"/>
          <w:tblHeader/>
        </w:trPr>
        <w:tc>
          <w:tcPr>
            <w:tcW w:w="6887" w:type="dxa"/>
            <w:gridSpan w:val="2"/>
            <w:tcBorders>
              <w:top w:val="single" w:sz="4" w:space="0" w:color="auto"/>
              <w:left w:val="single" w:sz="4" w:space="0" w:color="auto"/>
              <w:bottom w:val="single" w:sz="12" w:space="0" w:color="auto"/>
              <w:right w:val="single" w:sz="4" w:space="0" w:color="auto"/>
            </w:tcBorders>
            <w:shd w:val="clear" w:color="000000" w:fill="00338D"/>
            <w:noWrap/>
            <w:vAlign w:val="center"/>
            <w:hideMark/>
          </w:tcPr>
          <w:p w14:paraId="174AA502" w14:textId="7E5C67B7" w:rsidR="00C00379" w:rsidRPr="00630A55" w:rsidRDefault="00CA73DC" w:rsidP="001755CC">
            <w:pPr>
              <w:pStyle w:val="Tableheading"/>
              <w:rPr>
                <w:lang w:eastAsia="en-AU"/>
              </w:rPr>
            </w:pPr>
            <w:r>
              <w:rPr>
                <w:lang w:eastAsia="en-AU"/>
              </w:rPr>
              <w:t>HHS</w:t>
            </w:r>
            <w:r w:rsidR="00C00379" w:rsidRPr="00630A55">
              <w:rPr>
                <w:lang w:eastAsia="en-AU"/>
              </w:rPr>
              <w:t xml:space="preserve"> level </w:t>
            </w:r>
            <w:r w:rsidR="00DC397A">
              <w:rPr>
                <w:lang w:eastAsia="en-AU"/>
              </w:rPr>
              <w:t>d</w:t>
            </w:r>
            <w:r w:rsidR="00C00379" w:rsidRPr="00630A55">
              <w:rPr>
                <w:lang w:eastAsia="en-AU"/>
              </w:rPr>
              <w:t>ata</w:t>
            </w:r>
          </w:p>
        </w:tc>
        <w:tc>
          <w:tcPr>
            <w:tcW w:w="2287" w:type="dxa"/>
            <w:tcBorders>
              <w:top w:val="single" w:sz="4" w:space="0" w:color="auto"/>
              <w:left w:val="single" w:sz="4" w:space="0" w:color="auto"/>
              <w:bottom w:val="single" w:sz="12" w:space="0" w:color="auto"/>
              <w:right w:val="single" w:sz="4" w:space="0" w:color="auto"/>
            </w:tcBorders>
            <w:shd w:val="clear" w:color="000000" w:fill="00338D"/>
            <w:noWrap/>
            <w:vAlign w:val="center"/>
            <w:hideMark/>
          </w:tcPr>
          <w:p w14:paraId="25A8F1F4" w14:textId="7DFBBBCB" w:rsidR="00C00379" w:rsidRPr="00630A55" w:rsidRDefault="00043F1C" w:rsidP="001755CC">
            <w:pPr>
              <w:pStyle w:val="Tableheading"/>
              <w:rPr>
                <w:color w:val="FFFFFF"/>
                <w:lang w:eastAsia="en-AU"/>
              </w:rPr>
            </w:pPr>
            <w:r>
              <w:rPr>
                <w:lang w:eastAsia="en-AU"/>
              </w:rPr>
              <w:t>Value</w:t>
            </w:r>
            <w:r w:rsidR="00C00379" w:rsidRPr="00630A55">
              <w:rPr>
                <w:lang w:eastAsia="en-AU"/>
              </w:rPr>
              <w:t> </w:t>
            </w:r>
          </w:p>
        </w:tc>
      </w:tr>
      <w:tr w:rsidR="00C00379" w:rsidRPr="00630A55" w14:paraId="27835685" w14:textId="77777777" w:rsidTr="009C41D0">
        <w:trPr>
          <w:trHeight w:val="248"/>
        </w:trPr>
        <w:tc>
          <w:tcPr>
            <w:tcW w:w="6887" w:type="dxa"/>
            <w:gridSpan w:val="2"/>
            <w:tcBorders>
              <w:top w:val="single" w:sz="12" w:space="0" w:color="auto"/>
              <w:left w:val="single" w:sz="4" w:space="0" w:color="auto"/>
              <w:right w:val="single" w:sz="4" w:space="0" w:color="auto"/>
            </w:tcBorders>
            <w:shd w:val="clear" w:color="auto" w:fill="808080"/>
            <w:noWrap/>
            <w:vAlign w:val="center"/>
            <w:hideMark/>
          </w:tcPr>
          <w:p w14:paraId="41C46830" w14:textId="7BF56874" w:rsidR="00C00379" w:rsidRPr="00043F1C" w:rsidRDefault="00CA73DC" w:rsidP="001755CC">
            <w:pPr>
              <w:pStyle w:val="Tableheading"/>
              <w:rPr>
                <w:rFonts w:ascii="Arial" w:hAnsi="Arial" w:cs="Arial"/>
                <w:b w:val="0"/>
                <w:bCs/>
                <w:color w:val="000000" w:themeColor="text1"/>
                <w:lang w:eastAsia="en-AU"/>
              </w:rPr>
            </w:pPr>
            <w:r>
              <w:rPr>
                <w:rFonts w:ascii="Arial" w:hAnsi="Arial" w:cs="Arial"/>
                <w:b w:val="0"/>
                <w:bCs/>
                <w:color w:val="000000" w:themeColor="text1"/>
                <w:lang w:eastAsia="en-AU"/>
              </w:rPr>
              <w:t>HHS</w:t>
            </w:r>
            <w:r w:rsidR="00C00379" w:rsidRPr="00043F1C">
              <w:rPr>
                <w:rFonts w:ascii="Arial" w:hAnsi="Arial" w:cs="Arial"/>
                <w:b w:val="0"/>
                <w:bCs/>
                <w:color w:val="000000" w:themeColor="text1"/>
                <w:lang w:eastAsia="en-AU"/>
              </w:rPr>
              <w:t xml:space="preserve"> General Ledger</w:t>
            </w:r>
          </w:p>
        </w:tc>
        <w:tc>
          <w:tcPr>
            <w:tcW w:w="2287" w:type="dxa"/>
            <w:tcBorders>
              <w:top w:val="single" w:sz="12" w:space="0" w:color="auto"/>
              <w:left w:val="single" w:sz="4" w:space="0" w:color="auto"/>
              <w:right w:val="single" w:sz="4" w:space="0" w:color="auto"/>
            </w:tcBorders>
            <w:shd w:val="clear" w:color="auto" w:fill="808080"/>
            <w:noWrap/>
            <w:vAlign w:val="center"/>
            <w:hideMark/>
          </w:tcPr>
          <w:p w14:paraId="26DDD6BA" w14:textId="41B27A54" w:rsidR="00C00379" w:rsidRPr="00043F1C" w:rsidRDefault="00C00379" w:rsidP="00043F1C">
            <w:pPr>
              <w:pStyle w:val="Tableheading"/>
              <w:rPr>
                <w:rFonts w:ascii="Arial" w:hAnsi="Arial" w:cs="Arial"/>
                <w:b w:val="0"/>
                <w:bCs/>
                <w:color w:val="000000" w:themeColor="text1"/>
                <w:lang w:eastAsia="en-AU"/>
              </w:rPr>
            </w:pPr>
          </w:p>
        </w:tc>
      </w:tr>
      <w:tr w:rsidR="00C00379" w:rsidRPr="00630A55" w14:paraId="00B60FCA" w14:textId="77777777" w:rsidTr="009C41D0">
        <w:trPr>
          <w:trHeight w:val="258"/>
        </w:trPr>
        <w:tc>
          <w:tcPr>
            <w:tcW w:w="6887" w:type="dxa"/>
            <w:gridSpan w:val="2"/>
            <w:tcBorders>
              <w:left w:val="single" w:sz="4" w:space="0" w:color="auto"/>
              <w:right w:val="single" w:sz="4" w:space="0" w:color="auto"/>
            </w:tcBorders>
            <w:shd w:val="clear" w:color="000000" w:fill="FFFFFF"/>
            <w:noWrap/>
            <w:vAlign w:val="center"/>
            <w:hideMark/>
          </w:tcPr>
          <w:p w14:paraId="749AE196" w14:textId="69197A61" w:rsidR="00C00379" w:rsidRPr="00630A55" w:rsidRDefault="00F678EC" w:rsidP="001755CC">
            <w:pPr>
              <w:pStyle w:val="Tabletext"/>
              <w:rPr>
                <w:color w:val="000000"/>
                <w:lang w:eastAsia="en-AU"/>
              </w:rPr>
            </w:pPr>
            <w:r>
              <w:rPr>
                <w:lang w:eastAsia="en-AU"/>
              </w:rPr>
              <w:t>GL t</w:t>
            </w:r>
            <w:r w:rsidR="00C00379" w:rsidRPr="00630A55">
              <w:rPr>
                <w:lang w:eastAsia="en-AU"/>
              </w:rPr>
              <w:t xml:space="preserve">ransferred to </w:t>
            </w:r>
            <w:r>
              <w:rPr>
                <w:lang w:eastAsia="en-AU"/>
              </w:rPr>
              <w:t>c</w:t>
            </w:r>
            <w:r w:rsidR="00C00379" w:rsidRPr="00630A55">
              <w:rPr>
                <w:lang w:eastAsia="en-AU"/>
              </w:rPr>
              <w:t xml:space="preserve">osting </w:t>
            </w:r>
            <w:r>
              <w:rPr>
                <w:lang w:eastAsia="en-AU"/>
              </w:rPr>
              <w:t>s</w:t>
            </w:r>
            <w:r w:rsidR="00C00379" w:rsidRPr="00630A55">
              <w:rPr>
                <w:lang w:eastAsia="en-AU"/>
              </w:rPr>
              <w:t xml:space="preserve">ystem </w:t>
            </w:r>
          </w:p>
        </w:tc>
        <w:tc>
          <w:tcPr>
            <w:tcW w:w="2287" w:type="dxa"/>
            <w:tcBorders>
              <w:left w:val="single" w:sz="4" w:space="0" w:color="auto"/>
              <w:right w:val="single" w:sz="4" w:space="0" w:color="auto"/>
            </w:tcBorders>
            <w:shd w:val="clear" w:color="auto" w:fill="auto"/>
            <w:noWrap/>
            <w:vAlign w:val="bottom"/>
            <w:hideMark/>
          </w:tcPr>
          <w:p w14:paraId="74CD3D50" w14:textId="77777777" w:rsidR="00C00379" w:rsidRPr="00630A55" w:rsidRDefault="00C00379" w:rsidP="00F678EC">
            <w:pPr>
              <w:pStyle w:val="TableTextNumber"/>
              <w:jc w:val="right"/>
            </w:pPr>
            <w:r w:rsidRPr="00630A55">
              <w:t>$526,636,741</w:t>
            </w:r>
          </w:p>
        </w:tc>
      </w:tr>
      <w:tr w:rsidR="00C00379" w:rsidRPr="00630A55" w14:paraId="72859373" w14:textId="77777777" w:rsidTr="009C41D0">
        <w:trPr>
          <w:trHeight w:val="258"/>
        </w:trPr>
        <w:tc>
          <w:tcPr>
            <w:tcW w:w="6887" w:type="dxa"/>
            <w:gridSpan w:val="2"/>
            <w:tcBorders>
              <w:left w:val="single" w:sz="4" w:space="0" w:color="auto"/>
              <w:right w:val="single" w:sz="4" w:space="0" w:color="auto"/>
            </w:tcBorders>
            <w:shd w:val="clear" w:color="000000" w:fill="FFFFFF"/>
            <w:noWrap/>
            <w:vAlign w:val="center"/>
            <w:hideMark/>
          </w:tcPr>
          <w:p w14:paraId="6388773F" w14:textId="6E5350C4" w:rsidR="00C00379" w:rsidRPr="00630A55" w:rsidRDefault="00C00379" w:rsidP="001755CC">
            <w:pPr>
              <w:pStyle w:val="Tabletext"/>
              <w:rPr>
                <w:color w:val="000000"/>
                <w:lang w:eastAsia="en-AU"/>
              </w:rPr>
            </w:pPr>
            <w:r w:rsidRPr="00630A55">
              <w:rPr>
                <w:lang w:eastAsia="en-AU"/>
              </w:rPr>
              <w:t xml:space="preserve">Post </w:t>
            </w:r>
            <w:r w:rsidR="00F678EC">
              <w:rPr>
                <w:lang w:eastAsia="en-AU"/>
              </w:rPr>
              <w:t>a</w:t>
            </w:r>
            <w:r w:rsidRPr="00630A55">
              <w:rPr>
                <w:lang w:eastAsia="en-AU"/>
              </w:rPr>
              <w:t xml:space="preserve">llocation </w:t>
            </w:r>
            <w:r w:rsidR="00F678EC">
              <w:rPr>
                <w:lang w:eastAsia="en-AU"/>
              </w:rPr>
              <w:t>a</w:t>
            </w:r>
            <w:r w:rsidRPr="00630A55">
              <w:rPr>
                <w:lang w:eastAsia="en-AU"/>
              </w:rPr>
              <w:t xml:space="preserve">mounts </w:t>
            </w:r>
          </w:p>
        </w:tc>
        <w:tc>
          <w:tcPr>
            <w:tcW w:w="2287" w:type="dxa"/>
            <w:tcBorders>
              <w:left w:val="single" w:sz="4" w:space="0" w:color="auto"/>
              <w:right w:val="single" w:sz="4" w:space="0" w:color="auto"/>
            </w:tcBorders>
            <w:shd w:val="clear" w:color="auto" w:fill="auto"/>
            <w:noWrap/>
            <w:vAlign w:val="bottom"/>
            <w:hideMark/>
          </w:tcPr>
          <w:p w14:paraId="055394F1" w14:textId="77777777" w:rsidR="00C00379" w:rsidRPr="00630A55" w:rsidRDefault="00C00379" w:rsidP="00F678EC">
            <w:pPr>
              <w:pStyle w:val="TableTextNumber"/>
              <w:jc w:val="right"/>
            </w:pPr>
            <w:r w:rsidRPr="00630A55">
              <w:t>$526,636,741</w:t>
            </w:r>
          </w:p>
        </w:tc>
      </w:tr>
      <w:tr w:rsidR="00C00379" w:rsidRPr="00630A55" w14:paraId="52BBE859" w14:textId="77777777" w:rsidTr="009C41D0">
        <w:trPr>
          <w:trHeight w:val="258"/>
        </w:trPr>
        <w:tc>
          <w:tcPr>
            <w:tcW w:w="6887" w:type="dxa"/>
            <w:gridSpan w:val="2"/>
            <w:tcBorders>
              <w:left w:val="single" w:sz="4" w:space="0" w:color="auto"/>
              <w:right w:val="single" w:sz="4" w:space="0" w:color="auto"/>
            </w:tcBorders>
            <w:shd w:val="clear" w:color="000000" w:fill="FFFFFF"/>
            <w:noWrap/>
            <w:vAlign w:val="center"/>
            <w:hideMark/>
          </w:tcPr>
          <w:p w14:paraId="0976A1EF" w14:textId="0D4E7195" w:rsidR="00C00379" w:rsidRPr="00630A55" w:rsidRDefault="00C00379" w:rsidP="001755CC">
            <w:pPr>
              <w:pStyle w:val="Tabletext"/>
              <w:rPr>
                <w:color w:val="000000"/>
                <w:lang w:eastAsia="en-AU"/>
              </w:rPr>
            </w:pPr>
            <w:r w:rsidRPr="00630A55">
              <w:rPr>
                <w:lang w:eastAsia="en-AU"/>
              </w:rPr>
              <w:t xml:space="preserve">Adjustments </w:t>
            </w:r>
          </w:p>
        </w:tc>
        <w:tc>
          <w:tcPr>
            <w:tcW w:w="2287" w:type="dxa"/>
            <w:tcBorders>
              <w:left w:val="single" w:sz="4" w:space="0" w:color="auto"/>
              <w:right w:val="single" w:sz="4" w:space="0" w:color="auto"/>
            </w:tcBorders>
            <w:shd w:val="clear" w:color="auto" w:fill="auto"/>
            <w:noWrap/>
            <w:vAlign w:val="bottom"/>
            <w:hideMark/>
          </w:tcPr>
          <w:p w14:paraId="272F0ABE" w14:textId="77777777" w:rsidR="00C00379" w:rsidRPr="00630A55" w:rsidRDefault="00C00379" w:rsidP="00F678EC">
            <w:pPr>
              <w:pStyle w:val="TableTextNumber"/>
              <w:jc w:val="right"/>
              <w:rPr>
                <w:color w:val="000000"/>
              </w:rPr>
            </w:pPr>
            <w:r w:rsidRPr="00630A55">
              <w:t>($4,519,438)</w:t>
            </w:r>
          </w:p>
        </w:tc>
      </w:tr>
      <w:tr w:rsidR="00C00379" w:rsidRPr="00630A55" w14:paraId="52845A0E" w14:textId="77777777" w:rsidTr="009C41D0">
        <w:trPr>
          <w:trHeight w:val="258"/>
        </w:trPr>
        <w:tc>
          <w:tcPr>
            <w:tcW w:w="6887" w:type="dxa"/>
            <w:gridSpan w:val="2"/>
            <w:tcBorders>
              <w:left w:val="single" w:sz="4" w:space="0" w:color="auto"/>
              <w:right w:val="single" w:sz="4" w:space="0" w:color="auto"/>
            </w:tcBorders>
            <w:shd w:val="clear" w:color="000000" w:fill="FFFFFF"/>
            <w:noWrap/>
            <w:vAlign w:val="center"/>
            <w:hideMark/>
          </w:tcPr>
          <w:p w14:paraId="0DCD898F" w14:textId="77777777" w:rsidR="00C00379" w:rsidRPr="00630A55" w:rsidRDefault="00C00379" w:rsidP="001755CC">
            <w:pPr>
              <w:pStyle w:val="Tabletext"/>
              <w:rPr>
                <w:color w:val="000000"/>
                <w:lang w:eastAsia="en-AU"/>
              </w:rPr>
            </w:pPr>
            <w:r w:rsidRPr="00630A55">
              <w:rPr>
                <w:lang w:eastAsia="en-AU"/>
              </w:rPr>
              <w:t xml:space="preserve">Line items as per standards </w:t>
            </w:r>
          </w:p>
        </w:tc>
        <w:tc>
          <w:tcPr>
            <w:tcW w:w="2287" w:type="dxa"/>
            <w:tcBorders>
              <w:left w:val="single" w:sz="4" w:space="0" w:color="auto"/>
              <w:right w:val="single" w:sz="4" w:space="0" w:color="auto"/>
            </w:tcBorders>
            <w:shd w:val="clear" w:color="auto" w:fill="auto"/>
            <w:noWrap/>
            <w:vAlign w:val="bottom"/>
            <w:hideMark/>
          </w:tcPr>
          <w:p w14:paraId="2122E3A8" w14:textId="77777777" w:rsidR="00C00379" w:rsidRPr="00630A55" w:rsidRDefault="00C00379" w:rsidP="00F678EC">
            <w:pPr>
              <w:pStyle w:val="TableTextNumber"/>
              <w:jc w:val="right"/>
            </w:pPr>
            <w:r w:rsidRPr="00630A55">
              <w:t>$522,117,303</w:t>
            </w:r>
          </w:p>
        </w:tc>
      </w:tr>
      <w:tr w:rsidR="00C00379" w:rsidRPr="00630A55" w14:paraId="7F692808" w14:textId="77777777" w:rsidTr="009C41D0">
        <w:trPr>
          <w:trHeight w:val="258"/>
        </w:trPr>
        <w:tc>
          <w:tcPr>
            <w:tcW w:w="6887" w:type="dxa"/>
            <w:gridSpan w:val="2"/>
            <w:tcBorders>
              <w:left w:val="single" w:sz="4" w:space="0" w:color="auto"/>
              <w:bottom w:val="single" w:sz="12" w:space="0" w:color="auto"/>
              <w:right w:val="single" w:sz="4" w:space="0" w:color="auto"/>
            </w:tcBorders>
            <w:shd w:val="clear" w:color="000000" w:fill="FFFFFF"/>
            <w:noWrap/>
            <w:vAlign w:val="center"/>
            <w:hideMark/>
          </w:tcPr>
          <w:p w14:paraId="3A7FA381" w14:textId="2D68804E" w:rsidR="00C00379" w:rsidRPr="00630A55" w:rsidRDefault="00C00379" w:rsidP="001755CC">
            <w:pPr>
              <w:pStyle w:val="Tabletext"/>
              <w:rPr>
                <w:color w:val="000000"/>
                <w:lang w:eastAsia="en-AU"/>
              </w:rPr>
            </w:pPr>
            <w:r w:rsidRPr="00630A55">
              <w:rPr>
                <w:lang w:eastAsia="en-AU"/>
              </w:rPr>
              <w:t xml:space="preserve">Costs </w:t>
            </w:r>
            <w:r w:rsidR="00F678EC">
              <w:rPr>
                <w:lang w:eastAsia="en-AU"/>
              </w:rPr>
              <w:t>s</w:t>
            </w:r>
            <w:r w:rsidRPr="00630A55">
              <w:rPr>
                <w:lang w:eastAsia="en-AU"/>
              </w:rPr>
              <w:t xml:space="preserve">ubmitted to </w:t>
            </w:r>
            <w:r w:rsidR="00F678EC">
              <w:rPr>
                <w:lang w:eastAsia="en-AU"/>
              </w:rPr>
              <w:t>j</w:t>
            </w:r>
            <w:r w:rsidRPr="00630A55">
              <w:rPr>
                <w:lang w:eastAsia="en-AU"/>
              </w:rPr>
              <w:t xml:space="preserve">urisdiction </w:t>
            </w:r>
          </w:p>
        </w:tc>
        <w:tc>
          <w:tcPr>
            <w:tcW w:w="2287" w:type="dxa"/>
            <w:tcBorders>
              <w:left w:val="single" w:sz="4" w:space="0" w:color="auto"/>
              <w:bottom w:val="single" w:sz="12" w:space="0" w:color="auto"/>
              <w:right w:val="single" w:sz="4" w:space="0" w:color="auto"/>
            </w:tcBorders>
            <w:shd w:val="clear" w:color="auto" w:fill="auto"/>
            <w:noWrap/>
            <w:vAlign w:val="bottom"/>
            <w:hideMark/>
          </w:tcPr>
          <w:p w14:paraId="4DB04C3A" w14:textId="77777777" w:rsidR="00C00379" w:rsidRPr="00630A55" w:rsidRDefault="00C00379" w:rsidP="00F678EC">
            <w:pPr>
              <w:pStyle w:val="TableTextNumber"/>
              <w:jc w:val="right"/>
            </w:pPr>
            <w:r w:rsidRPr="00630A55">
              <w:t>$522,117,303</w:t>
            </w:r>
          </w:p>
        </w:tc>
      </w:tr>
      <w:tr w:rsidR="00C00379" w:rsidRPr="00630A55" w14:paraId="29279911" w14:textId="77777777" w:rsidTr="009C41D0">
        <w:trPr>
          <w:trHeight w:val="258"/>
        </w:trPr>
        <w:tc>
          <w:tcPr>
            <w:tcW w:w="6887" w:type="dxa"/>
            <w:gridSpan w:val="2"/>
            <w:tcBorders>
              <w:top w:val="single" w:sz="12" w:space="0" w:color="auto"/>
              <w:left w:val="single" w:sz="4" w:space="0" w:color="auto"/>
              <w:bottom w:val="single" w:sz="12" w:space="0" w:color="auto"/>
              <w:right w:val="single" w:sz="4" w:space="0" w:color="auto"/>
            </w:tcBorders>
            <w:shd w:val="clear" w:color="000000" w:fill="00338D"/>
            <w:noWrap/>
            <w:vAlign w:val="center"/>
            <w:hideMark/>
          </w:tcPr>
          <w:p w14:paraId="0031A861" w14:textId="77777777" w:rsidR="00C00379" w:rsidRPr="00630A55" w:rsidRDefault="00C00379" w:rsidP="001755CC">
            <w:pPr>
              <w:pStyle w:val="Tableheading"/>
              <w:rPr>
                <w:lang w:eastAsia="en-AU"/>
              </w:rPr>
            </w:pPr>
            <w:r w:rsidRPr="00630A55">
              <w:rPr>
                <w:lang w:eastAsia="en-AU"/>
              </w:rPr>
              <w:t>Activity</w:t>
            </w:r>
          </w:p>
        </w:tc>
        <w:tc>
          <w:tcPr>
            <w:tcW w:w="2287" w:type="dxa"/>
            <w:tcBorders>
              <w:top w:val="single" w:sz="12" w:space="0" w:color="auto"/>
              <w:left w:val="single" w:sz="4" w:space="0" w:color="auto"/>
              <w:bottom w:val="single" w:sz="12" w:space="0" w:color="auto"/>
              <w:right w:val="single" w:sz="4" w:space="0" w:color="auto"/>
            </w:tcBorders>
            <w:shd w:val="clear" w:color="000000" w:fill="00338D"/>
            <w:noWrap/>
            <w:vAlign w:val="center"/>
            <w:hideMark/>
          </w:tcPr>
          <w:p w14:paraId="0C155341" w14:textId="77777777" w:rsidR="00C00379" w:rsidRPr="00630A55" w:rsidRDefault="00C00379" w:rsidP="00043F1C">
            <w:pPr>
              <w:pStyle w:val="Tableheading"/>
              <w:rPr>
                <w:color w:val="FFFFFF"/>
                <w:lang w:eastAsia="en-AU"/>
              </w:rPr>
            </w:pPr>
            <w:r w:rsidRPr="00630A55">
              <w:rPr>
                <w:lang w:eastAsia="en-AU"/>
              </w:rPr>
              <w:t xml:space="preserve">Value </w:t>
            </w:r>
          </w:p>
        </w:tc>
      </w:tr>
      <w:tr w:rsidR="00C00379" w:rsidRPr="00630A55" w14:paraId="53A1388D" w14:textId="77777777" w:rsidTr="009C41D0">
        <w:trPr>
          <w:trHeight w:val="465"/>
        </w:trPr>
        <w:tc>
          <w:tcPr>
            <w:tcW w:w="6887" w:type="dxa"/>
            <w:gridSpan w:val="2"/>
            <w:tcBorders>
              <w:top w:val="single" w:sz="12" w:space="0" w:color="auto"/>
              <w:left w:val="single" w:sz="4" w:space="0" w:color="auto"/>
              <w:right w:val="single" w:sz="4" w:space="0" w:color="auto"/>
            </w:tcBorders>
            <w:shd w:val="clear" w:color="000000" w:fill="FFFFFF"/>
            <w:vAlign w:val="center"/>
            <w:hideMark/>
          </w:tcPr>
          <w:p w14:paraId="6F27E8B8" w14:textId="100C9CF9" w:rsidR="00C00379" w:rsidRPr="00630A55" w:rsidRDefault="00C00379" w:rsidP="001755CC">
            <w:pPr>
              <w:pStyle w:val="Tabletext"/>
              <w:rPr>
                <w:color w:val="000000"/>
                <w:lang w:eastAsia="en-AU"/>
              </w:rPr>
            </w:pPr>
            <w:r w:rsidRPr="00630A55">
              <w:rPr>
                <w:lang w:eastAsia="en-AU"/>
              </w:rPr>
              <w:t xml:space="preserve">Data </w:t>
            </w:r>
            <w:r w:rsidR="00F678EC">
              <w:rPr>
                <w:lang w:eastAsia="en-AU"/>
              </w:rPr>
              <w:t>l</w:t>
            </w:r>
            <w:r w:rsidRPr="00630A55">
              <w:rPr>
                <w:lang w:eastAsia="en-AU"/>
              </w:rPr>
              <w:t xml:space="preserve">oaded to the costing </w:t>
            </w:r>
            <w:r w:rsidR="00F678EC">
              <w:rPr>
                <w:lang w:eastAsia="en-AU"/>
              </w:rPr>
              <w:t>s</w:t>
            </w:r>
            <w:r w:rsidRPr="00630A55">
              <w:rPr>
                <w:lang w:eastAsia="en-AU"/>
              </w:rPr>
              <w:t>ystem for costing purposes</w:t>
            </w:r>
          </w:p>
        </w:tc>
        <w:tc>
          <w:tcPr>
            <w:tcW w:w="2287" w:type="dxa"/>
            <w:tcBorders>
              <w:top w:val="single" w:sz="12" w:space="0" w:color="auto"/>
              <w:left w:val="single" w:sz="4" w:space="0" w:color="auto"/>
              <w:right w:val="single" w:sz="4" w:space="0" w:color="auto"/>
            </w:tcBorders>
            <w:shd w:val="clear" w:color="auto" w:fill="auto"/>
            <w:vAlign w:val="center"/>
            <w:hideMark/>
          </w:tcPr>
          <w:p w14:paraId="6917DDB4" w14:textId="77777777" w:rsidR="00C00379" w:rsidRPr="00630A55" w:rsidRDefault="00C00379" w:rsidP="00F678EC">
            <w:pPr>
              <w:pStyle w:val="TableTextNumber"/>
              <w:jc w:val="right"/>
            </w:pPr>
            <w:r w:rsidRPr="00630A55">
              <w:t> </w:t>
            </w:r>
          </w:p>
        </w:tc>
      </w:tr>
      <w:tr w:rsidR="00C00379" w:rsidRPr="00630A55" w14:paraId="2F98F94B" w14:textId="77777777" w:rsidTr="009C41D0">
        <w:trPr>
          <w:trHeight w:val="258"/>
        </w:trPr>
        <w:tc>
          <w:tcPr>
            <w:tcW w:w="281" w:type="dxa"/>
            <w:tcBorders>
              <w:left w:val="single" w:sz="4" w:space="0" w:color="auto"/>
            </w:tcBorders>
            <w:shd w:val="clear" w:color="000000" w:fill="FFFFFF"/>
            <w:noWrap/>
            <w:vAlign w:val="center"/>
            <w:hideMark/>
          </w:tcPr>
          <w:p w14:paraId="6B036438" w14:textId="77777777" w:rsidR="00C00379" w:rsidRPr="00630A55" w:rsidRDefault="00C00379" w:rsidP="001755CC">
            <w:pPr>
              <w:pStyle w:val="Tabletext"/>
              <w:rPr>
                <w:color w:val="000000"/>
                <w:lang w:eastAsia="en-AU"/>
              </w:rPr>
            </w:pPr>
            <w:r w:rsidRPr="00630A55">
              <w:rPr>
                <w:lang w:eastAsia="en-AU"/>
              </w:rPr>
              <w:t> </w:t>
            </w:r>
          </w:p>
        </w:tc>
        <w:tc>
          <w:tcPr>
            <w:tcW w:w="6606" w:type="dxa"/>
            <w:tcBorders>
              <w:right w:val="single" w:sz="4" w:space="0" w:color="auto"/>
            </w:tcBorders>
            <w:shd w:val="clear" w:color="000000" w:fill="FFFFFF"/>
            <w:noWrap/>
            <w:vAlign w:val="center"/>
            <w:hideMark/>
          </w:tcPr>
          <w:p w14:paraId="7C28A0DE" w14:textId="341FE0AD" w:rsidR="00C00379" w:rsidRPr="00630A55" w:rsidRDefault="00C00379" w:rsidP="001755CC">
            <w:pPr>
              <w:pStyle w:val="Tabletext"/>
              <w:rPr>
                <w:color w:val="000000"/>
                <w:lang w:eastAsia="en-AU"/>
              </w:rPr>
            </w:pPr>
            <w:r w:rsidRPr="00630A55">
              <w:rPr>
                <w:lang w:eastAsia="en-AU"/>
              </w:rPr>
              <w:t xml:space="preserve">Activity </w:t>
            </w:r>
            <w:r w:rsidR="00F678EC">
              <w:rPr>
                <w:lang w:eastAsia="en-AU"/>
              </w:rPr>
              <w:t>d</w:t>
            </w:r>
            <w:r w:rsidRPr="00630A55">
              <w:rPr>
                <w:lang w:eastAsia="en-AU"/>
              </w:rPr>
              <w:t xml:space="preserve">ata </w:t>
            </w:r>
          </w:p>
        </w:tc>
        <w:tc>
          <w:tcPr>
            <w:tcW w:w="2287" w:type="dxa"/>
            <w:tcBorders>
              <w:left w:val="single" w:sz="4" w:space="0" w:color="auto"/>
              <w:right w:val="single" w:sz="4" w:space="0" w:color="auto"/>
            </w:tcBorders>
            <w:shd w:val="clear" w:color="auto" w:fill="auto"/>
            <w:noWrap/>
            <w:vAlign w:val="bottom"/>
          </w:tcPr>
          <w:p w14:paraId="3DB04D79" w14:textId="77777777" w:rsidR="00C00379" w:rsidRPr="00630A55" w:rsidRDefault="00C00379" w:rsidP="00F678EC">
            <w:pPr>
              <w:pStyle w:val="TableTextNumber"/>
              <w:jc w:val="right"/>
            </w:pPr>
            <w:r w:rsidRPr="00630A55">
              <w:t>914,886</w:t>
            </w:r>
          </w:p>
        </w:tc>
      </w:tr>
      <w:tr w:rsidR="00C00379" w:rsidRPr="00630A55" w14:paraId="33E4B763" w14:textId="77777777" w:rsidTr="009C41D0">
        <w:trPr>
          <w:trHeight w:val="258"/>
        </w:trPr>
        <w:tc>
          <w:tcPr>
            <w:tcW w:w="281" w:type="dxa"/>
            <w:tcBorders>
              <w:left w:val="single" w:sz="4" w:space="0" w:color="auto"/>
            </w:tcBorders>
            <w:shd w:val="clear" w:color="000000" w:fill="FFFFFF"/>
            <w:noWrap/>
            <w:vAlign w:val="center"/>
            <w:hideMark/>
          </w:tcPr>
          <w:p w14:paraId="1AA08006" w14:textId="77777777" w:rsidR="00C00379" w:rsidRPr="00630A55" w:rsidRDefault="00C00379" w:rsidP="001755CC">
            <w:pPr>
              <w:pStyle w:val="Tabletext"/>
              <w:rPr>
                <w:color w:val="000000"/>
                <w:lang w:eastAsia="en-AU"/>
              </w:rPr>
            </w:pPr>
            <w:r w:rsidRPr="00630A55">
              <w:rPr>
                <w:lang w:eastAsia="en-AU"/>
              </w:rPr>
              <w:t> </w:t>
            </w:r>
          </w:p>
        </w:tc>
        <w:tc>
          <w:tcPr>
            <w:tcW w:w="6606" w:type="dxa"/>
            <w:tcBorders>
              <w:right w:val="single" w:sz="4" w:space="0" w:color="auto"/>
            </w:tcBorders>
            <w:shd w:val="clear" w:color="000000" w:fill="FFFFFF"/>
            <w:noWrap/>
            <w:vAlign w:val="center"/>
            <w:hideMark/>
          </w:tcPr>
          <w:p w14:paraId="1A5C2E7D" w14:textId="4C368012" w:rsidR="00C00379" w:rsidRPr="00630A55" w:rsidRDefault="00C00379" w:rsidP="001755CC">
            <w:pPr>
              <w:pStyle w:val="Tabletext"/>
              <w:rPr>
                <w:color w:val="000000"/>
                <w:lang w:eastAsia="en-AU"/>
              </w:rPr>
            </w:pPr>
            <w:r w:rsidRPr="00630A55">
              <w:rPr>
                <w:lang w:eastAsia="en-AU"/>
              </w:rPr>
              <w:t xml:space="preserve">Feeder </w:t>
            </w:r>
            <w:r w:rsidR="00F678EC">
              <w:rPr>
                <w:lang w:eastAsia="en-AU"/>
              </w:rPr>
              <w:t>d</w:t>
            </w:r>
            <w:r w:rsidRPr="00630A55">
              <w:rPr>
                <w:lang w:eastAsia="en-AU"/>
              </w:rPr>
              <w:t>ata</w:t>
            </w:r>
          </w:p>
        </w:tc>
        <w:tc>
          <w:tcPr>
            <w:tcW w:w="2287" w:type="dxa"/>
            <w:tcBorders>
              <w:left w:val="single" w:sz="4" w:space="0" w:color="auto"/>
              <w:right w:val="single" w:sz="4" w:space="0" w:color="auto"/>
            </w:tcBorders>
            <w:shd w:val="clear" w:color="auto" w:fill="auto"/>
            <w:noWrap/>
            <w:vAlign w:val="bottom"/>
          </w:tcPr>
          <w:p w14:paraId="5D702FC0" w14:textId="77777777" w:rsidR="00C00379" w:rsidRPr="00630A55" w:rsidRDefault="00C00379" w:rsidP="00F678EC">
            <w:pPr>
              <w:pStyle w:val="TableTextNumber"/>
              <w:jc w:val="right"/>
              <w:rPr>
                <w:color w:val="000000"/>
              </w:rPr>
            </w:pPr>
            <w:r w:rsidRPr="00630A55">
              <w:t>141,393,458</w:t>
            </w:r>
          </w:p>
        </w:tc>
      </w:tr>
      <w:tr w:rsidR="00C00379" w:rsidRPr="00630A55" w14:paraId="1EB3BD87" w14:textId="77777777" w:rsidTr="009C41D0">
        <w:trPr>
          <w:trHeight w:val="393"/>
        </w:trPr>
        <w:tc>
          <w:tcPr>
            <w:tcW w:w="6887" w:type="dxa"/>
            <w:gridSpan w:val="2"/>
            <w:tcBorders>
              <w:left w:val="single" w:sz="4" w:space="0" w:color="auto"/>
              <w:right w:val="single" w:sz="4" w:space="0" w:color="auto"/>
            </w:tcBorders>
            <w:shd w:val="clear" w:color="000000" w:fill="FFFFFF"/>
            <w:vAlign w:val="center"/>
            <w:hideMark/>
          </w:tcPr>
          <w:p w14:paraId="685C1440" w14:textId="334C3C5D" w:rsidR="00C00379" w:rsidRPr="00630A55" w:rsidRDefault="00C00379" w:rsidP="001755CC">
            <w:pPr>
              <w:pStyle w:val="Tabletext"/>
              <w:rPr>
                <w:color w:val="000000"/>
                <w:lang w:eastAsia="en-AU"/>
              </w:rPr>
            </w:pPr>
            <w:r w:rsidRPr="00630A55">
              <w:rPr>
                <w:lang w:eastAsia="en-AU"/>
              </w:rPr>
              <w:t xml:space="preserve">NHCDC </w:t>
            </w:r>
            <w:r w:rsidR="00F678EC">
              <w:rPr>
                <w:lang w:eastAsia="en-AU"/>
              </w:rPr>
              <w:t>p</w:t>
            </w:r>
            <w:r w:rsidRPr="00630A55">
              <w:rPr>
                <w:lang w:eastAsia="en-AU"/>
              </w:rPr>
              <w:t xml:space="preserve">roduct </w:t>
            </w:r>
            <w:r w:rsidR="00F678EC">
              <w:rPr>
                <w:lang w:eastAsia="en-AU"/>
              </w:rPr>
              <w:t>o</w:t>
            </w:r>
            <w:r w:rsidRPr="00630A55">
              <w:rPr>
                <w:lang w:eastAsia="en-AU"/>
              </w:rPr>
              <w:t xml:space="preserve">utput </w:t>
            </w:r>
            <w:r w:rsidR="00F678EC">
              <w:rPr>
                <w:lang w:eastAsia="en-AU"/>
              </w:rPr>
              <w:t>a</w:t>
            </w:r>
            <w:r w:rsidRPr="00630A55">
              <w:rPr>
                <w:lang w:eastAsia="en-AU"/>
              </w:rPr>
              <w:t xml:space="preserve">ctivity - </w:t>
            </w:r>
            <w:r w:rsidR="00F678EC">
              <w:rPr>
                <w:lang w:eastAsia="en-AU"/>
              </w:rPr>
              <w:t>p</w:t>
            </w:r>
            <w:r w:rsidRPr="00630A55">
              <w:rPr>
                <w:lang w:eastAsia="en-AU"/>
              </w:rPr>
              <w:t xml:space="preserve">ost </w:t>
            </w:r>
            <w:r w:rsidR="00F678EC">
              <w:rPr>
                <w:lang w:eastAsia="en-AU"/>
              </w:rPr>
              <w:t>l</w:t>
            </w:r>
            <w:r w:rsidRPr="00630A55">
              <w:rPr>
                <w:lang w:eastAsia="en-AU"/>
              </w:rPr>
              <w:t xml:space="preserve">inking and </w:t>
            </w:r>
            <w:r w:rsidR="00F678EC">
              <w:rPr>
                <w:lang w:eastAsia="en-AU"/>
              </w:rPr>
              <w:t>l</w:t>
            </w:r>
            <w:r w:rsidRPr="00630A55">
              <w:rPr>
                <w:lang w:eastAsia="en-AU"/>
              </w:rPr>
              <w:t>oading</w:t>
            </w:r>
          </w:p>
        </w:tc>
        <w:tc>
          <w:tcPr>
            <w:tcW w:w="2287" w:type="dxa"/>
            <w:tcBorders>
              <w:left w:val="single" w:sz="4" w:space="0" w:color="auto"/>
              <w:right w:val="single" w:sz="4" w:space="0" w:color="auto"/>
            </w:tcBorders>
            <w:shd w:val="clear" w:color="auto" w:fill="auto"/>
            <w:noWrap/>
            <w:vAlign w:val="bottom"/>
          </w:tcPr>
          <w:p w14:paraId="2F81B970" w14:textId="77777777" w:rsidR="00C00379" w:rsidRPr="00630A55" w:rsidRDefault="00C00379" w:rsidP="00F678EC">
            <w:pPr>
              <w:pStyle w:val="TableTextNumber"/>
              <w:jc w:val="right"/>
            </w:pPr>
            <w:r w:rsidRPr="00630A55">
              <w:t>914,886</w:t>
            </w:r>
          </w:p>
        </w:tc>
      </w:tr>
      <w:tr w:rsidR="00C00379" w:rsidRPr="00630A55" w14:paraId="6FE63306" w14:textId="77777777" w:rsidTr="009C41D0">
        <w:trPr>
          <w:trHeight w:val="258"/>
        </w:trPr>
        <w:tc>
          <w:tcPr>
            <w:tcW w:w="6887" w:type="dxa"/>
            <w:gridSpan w:val="2"/>
            <w:tcBorders>
              <w:left w:val="single" w:sz="4" w:space="0" w:color="auto"/>
              <w:right w:val="single" w:sz="4" w:space="0" w:color="auto"/>
            </w:tcBorders>
            <w:shd w:val="clear" w:color="000000" w:fill="FFFFFF"/>
            <w:vAlign w:val="center"/>
            <w:hideMark/>
          </w:tcPr>
          <w:p w14:paraId="707AB497" w14:textId="37743873" w:rsidR="00C00379" w:rsidRPr="00630A55" w:rsidRDefault="00C00379" w:rsidP="001755CC">
            <w:pPr>
              <w:pStyle w:val="Tabletext"/>
              <w:rPr>
                <w:color w:val="000000"/>
                <w:lang w:eastAsia="en-AU"/>
              </w:rPr>
            </w:pPr>
            <w:r w:rsidRPr="00630A55">
              <w:rPr>
                <w:lang w:eastAsia="en-AU"/>
              </w:rPr>
              <w:t xml:space="preserve">Final </w:t>
            </w:r>
            <w:r w:rsidR="00F678EC">
              <w:rPr>
                <w:lang w:eastAsia="en-AU"/>
              </w:rPr>
              <w:t>s</w:t>
            </w:r>
            <w:r w:rsidRPr="00630A55">
              <w:rPr>
                <w:lang w:eastAsia="en-AU"/>
              </w:rPr>
              <w:t xml:space="preserve">ubmission to </w:t>
            </w:r>
            <w:r w:rsidR="00F678EC">
              <w:rPr>
                <w:lang w:eastAsia="en-AU"/>
              </w:rPr>
              <w:t>j</w:t>
            </w:r>
            <w:r w:rsidRPr="00630A55">
              <w:rPr>
                <w:lang w:eastAsia="en-AU"/>
              </w:rPr>
              <w:t xml:space="preserve">urisdiction - </w:t>
            </w:r>
            <w:r w:rsidR="00F678EC">
              <w:rPr>
                <w:lang w:eastAsia="en-AU"/>
              </w:rPr>
              <w:t>a</w:t>
            </w:r>
            <w:r w:rsidRPr="00630A55">
              <w:rPr>
                <w:lang w:eastAsia="en-AU"/>
              </w:rPr>
              <w:t xml:space="preserve">ctivity by </w:t>
            </w:r>
            <w:r w:rsidR="00F678EC">
              <w:rPr>
                <w:lang w:eastAsia="en-AU"/>
              </w:rPr>
              <w:t>p</w:t>
            </w:r>
            <w:r w:rsidRPr="00630A55">
              <w:rPr>
                <w:lang w:eastAsia="en-AU"/>
              </w:rPr>
              <w:t>roduct</w:t>
            </w:r>
          </w:p>
        </w:tc>
        <w:tc>
          <w:tcPr>
            <w:tcW w:w="2287" w:type="dxa"/>
            <w:tcBorders>
              <w:left w:val="single" w:sz="4" w:space="0" w:color="auto"/>
              <w:right w:val="single" w:sz="4" w:space="0" w:color="auto"/>
            </w:tcBorders>
            <w:shd w:val="clear" w:color="auto" w:fill="auto"/>
            <w:noWrap/>
            <w:vAlign w:val="bottom"/>
          </w:tcPr>
          <w:p w14:paraId="2E6EE8D0" w14:textId="77777777" w:rsidR="00C00379" w:rsidRPr="00630A55" w:rsidRDefault="00C00379" w:rsidP="00F678EC">
            <w:pPr>
              <w:pStyle w:val="TableTextNumber"/>
              <w:jc w:val="right"/>
            </w:pPr>
            <w:r w:rsidRPr="00630A55">
              <w:t>914,519</w:t>
            </w:r>
          </w:p>
        </w:tc>
      </w:tr>
      <w:tr w:rsidR="00C00379" w:rsidRPr="00630A55" w14:paraId="0921AF0F" w14:textId="77777777" w:rsidTr="009C41D0">
        <w:trPr>
          <w:trHeight w:val="258"/>
        </w:trPr>
        <w:tc>
          <w:tcPr>
            <w:tcW w:w="6887" w:type="dxa"/>
            <w:gridSpan w:val="2"/>
            <w:tcBorders>
              <w:left w:val="single" w:sz="4" w:space="0" w:color="auto"/>
              <w:bottom w:val="single" w:sz="12" w:space="0" w:color="auto"/>
              <w:right w:val="single" w:sz="4" w:space="0" w:color="auto"/>
            </w:tcBorders>
            <w:shd w:val="clear" w:color="000000" w:fill="FFFFFF"/>
            <w:vAlign w:val="center"/>
            <w:hideMark/>
          </w:tcPr>
          <w:p w14:paraId="6D40679C" w14:textId="52CE21AA" w:rsidR="00C00379" w:rsidRPr="00630A55" w:rsidRDefault="00C00379" w:rsidP="001755CC">
            <w:pPr>
              <w:pStyle w:val="Tabletext"/>
              <w:rPr>
                <w:color w:val="000000"/>
                <w:lang w:eastAsia="en-AU"/>
              </w:rPr>
            </w:pPr>
            <w:r w:rsidRPr="00630A55">
              <w:rPr>
                <w:lang w:eastAsia="en-AU"/>
              </w:rPr>
              <w:t xml:space="preserve">Final </w:t>
            </w:r>
            <w:r w:rsidR="005624BF">
              <w:rPr>
                <w:lang w:eastAsia="en-AU"/>
              </w:rPr>
              <w:t>s</w:t>
            </w:r>
            <w:r w:rsidRPr="00630A55">
              <w:rPr>
                <w:lang w:eastAsia="en-AU"/>
              </w:rPr>
              <w:t xml:space="preserve">ubmission to </w:t>
            </w:r>
            <w:r w:rsidR="005624BF">
              <w:rPr>
                <w:lang w:eastAsia="en-AU"/>
              </w:rPr>
              <w:t>j</w:t>
            </w:r>
            <w:r w:rsidRPr="00630A55">
              <w:rPr>
                <w:lang w:eastAsia="en-AU"/>
              </w:rPr>
              <w:t xml:space="preserve">urisdiction - </w:t>
            </w:r>
            <w:r w:rsidR="005624BF">
              <w:rPr>
                <w:lang w:eastAsia="en-AU"/>
              </w:rPr>
              <w:t>a</w:t>
            </w:r>
            <w:r w:rsidRPr="00630A55">
              <w:rPr>
                <w:lang w:eastAsia="en-AU"/>
              </w:rPr>
              <w:t xml:space="preserve">ctivity and </w:t>
            </w:r>
            <w:r w:rsidR="005624BF">
              <w:rPr>
                <w:lang w:eastAsia="en-AU"/>
              </w:rPr>
              <w:t>c</w:t>
            </w:r>
            <w:r w:rsidRPr="00630A55">
              <w:rPr>
                <w:lang w:eastAsia="en-AU"/>
              </w:rPr>
              <w:t xml:space="preserve">ost by </w:t>
            </w:r>
            <w:r w:rsidR="005624BF">
              <w:rPr>
                <w:lang w:eastAsia="en-AU"/>
              </w:rPr>
              <w:t>p</w:t>
            </w:r>
            <w:r w:rsidRPr="00630A55">
              <w:rPr>
                <w:lang w:eastAsia="en-AU"/>
              </w:rPr>
              <w:t>roduct</w:t>
            </w:r>
          </w:p>
        </w:tc>
        <w:tc>
          <w:tcPr>
            <w:tcW w:w="2287" w:type="dxa"/>
            <w:tcBorders>
              <w:left w:val="single" w:sz="4" w:space="0" w:color="auto"/>
              <w:bottom w:val="single" w:sz="12" w:space="0" w:color="auto"/>
              <w:right w:val="single" w:sz="4" w:space="0" w:color="auto"/>
            </w:tcBorders>
            <w:shd w:val="clear" w:color="auto" w:fill="auto"/>
            <w:noWrap/>
            <w:vAlign w:val="bottom"/>
          </w:tcPr>
          <w:p w14:paraId="5AD3C461" w14:textId="77777777" w:rsidR="00C00379" w:rsidRPr="00630A55" w:rsidRDefault="00C00379" w:rsidP="00F678EC">
            <w:pPr>
              <w:pStyle w:val="TableTextNumber"/>
              <w:jc w:val="right"/>
            </w:pPr>
            <w:r w:rsidRPr="00630A55">
              <w:t>914,519</w:t>
            </w:r>
          </w:p>
        </w:tc>
      </w:tr>
      <w:tr w:rsidR="00C00379" w:rsidRPr="00630A55" w14:paraId="56BD0FF3" w14:textId="77777777" w:rsidTr="009C41D0">
        <w:trPr>
          <w:trHeight w:val="258"/>
        </w:trPr>
        <w:tc>
          <w:tcPr>
            <w:tcW w:w="6887" w:type="dxa"/>
            <w:gridSpan w:val="2"/>
            <w:tcBorders>
              <w:top w:val="single" w:sz="12" w:space="0" w:color="auto"/>
              <w:left w:val="single" w:sz="4" w:space="0" w:color="auto"/>
              <w:bottom w:val="single" w:sz="12" w:space="0" w:color="auto"/>
              <w:right w:val="single" w:sz="4" w:space="0" w:color="auto"/>
            </w:tcBorders>
            <w:shd w:val="clear" w:color="000000" w:fill="00338D"/>
            <w:noWrap/>
            <w:vAlign w:val="center"/>
            <w:hideMark/>
          </w:tcPr>
          <w:p w14:paraId="6C45828D" w14:textId="7A2F33DC" w:rsidR="00C00379" w:rsidRPr="00630A55" w:rsidRDefault="00C00379" w:rsidP="001755CC">
            <w:pPr>
              <w:pStyle w:val="Tableheading"/>
              <w:rPr>
                <w:color w:val="FFFFFF"/>
                <w:lang w:eastAsia="en-AU"/>
              </w:rPr>
            </w:pPr>
            <w:r w:rsidRPr="00630A55">
              <w:rPr>
                <w:lang w:eastAsia="en-AU"/>
              </w:rPr>
              <w:t xml:space="preserve">Cost submitted to </w:t>
            </w:r>
            <w:r w:rsidR="005624BF">
              <w:rPr>
                <w:lang w:eastAsia="en-AU"/>
              </w:rPr>
              <w:t>j</w:t>
            </w:r>
            <w:r w:rsidRPr="00630A55">
              <w:rPr>
                <w:lang w:eastAsia="en-AU"/>
              </w:rPr>
              <w:t xml:space="preserve">urisdiction </w:t>
            </w:r>
          </w:p>
        </w:tc>
        <w:tc>
          <w:tcPr>
            <w:tcW w:w="2287" w:type="dxa"/>
            <w:tcBorders>
              <w:top w:val="single" w:sz="12" w:space="0" w:color="auto"/>
              <w:left w:val="single" w:sz="4" w:space="0" w:color="auto"/>
              <w:bottom w:val="single" w:sz="12" w:space="0" w:color="auto"/>
              <w:right w:val="single" w:sz="4" w:space="0" w:color="auto"/>
            </w:tcBorders>
            <w:shd w:val="clear" w:color="000000" w:fill="00338D"/>
            <w:noWrap/>
            <w:vAlign w:val="center"/>
          </w:tcPr>
          <w:p w14:paraId="41AE4C97" w14:textId="6170DBF0" w:rsidR="00C00379" w:rsidRPr="00630A55" w:rsidRDefault="00043F1C" w:rsidP="00043F1C">
            <w:pPr>
              <w:pStyle w:val="Tableheading"/>
              <w:rPr>
                <w:lang w:eastAsia="en-AU"/>
              </w:rPr>
            </w:pPr>
            <w:r>
              <w:rPr>
                <w:lang w:eastAsia="en-AU"/>
              </w:rPr>
              <w:t>Value</w:t>
            </w:r>
          </w:p>
        </w:tc>
      </w:tr>
      <w:tr w:rsidR="00C00379" w:rsidRPr="00630A55" w14:paraId="257B8AD4" w14:textId="77777777" w:rsidTr="009C41D0">
        <w:trPr>
          <w:trHeight w:val="258"/>
        </w:trPr>
        <w:tc>
          <w:tcPr>
            <w:tcW w:w="6887" w:type="dxa"/>
            <w:gridSpan w:val="2"/>
            <w:tcBorders>
              <w:top w:val="single" w:sz="12" w:space="0" w:color="auto"/>
              <w:left w:val="single" w:sz="4" w:space="0" w:color="auto"/>
              <w:right w:val="single" w:sz="4" w:space="0" w:color="auto"/>
            </w:tcBorders>
            <w:shd w:val="clear" w:color="000000" w:fill="FFFFFF"/>
            <w:vAlign w:val="center"/>
            <w:hideMark/>
          </w:tcPr>
          <w:p w14:paraId="2E19C7FA" w14:textId="1EBBCAB3" w:rsidR="00C00379" w:rsidRPr="00630A55" w:rsidRDefault="009A79AC" w:rsidP="001755CC">
            <w:pPr>
              <w:pStyle w:val="Tabletext"/>
              <w:rPr>
                <w:color w:val="000000"/>
                <w:lang w:eastAsia="en-AU"/>
              </w:rPr>
            </w:pPr>
            <w:r>
              <w:rPr>
                <w:lang w:eastAsia="en-AU"/>
              </w:rPr>
              <w:t>Summary submission to jurisdiction</w:t>
            </w:r>
          </w:p>
        </w:tc>
        <w:tc>
          <w:tcPr>
            <w:tcW w:w="2287" w:type="dxa"/>
            <w:tcBorders>
              <w:top w:val="single" w:sz="12" w:space="0" w:color="auto"/>
              <w:left w:val="single" w:sz="4" w:space="0" w:color="auto"/>
              <w:right w:val="single" w:sz="4" w:space="0" w:color="auto"/>
            </w:tcBorders>
            <w:shd w:val="clear" w:color="auto" w:fill="auto"/>
            <w:vAlign w:val="center"/>
            <w:hideMark/>
          </w:tcPr>
          <w:p w14:paraId="2E198E79" w14:textId="77777777" w:rsidR="00C00379" w:rsidRPr="00630A55" w:rsidRDefault="00C00379" w:rsidP="00F678EC">
            <w:pPr>
              <w:pStyle w:val="TableTextNumber"/>
              <w:jc w:val="right"/>
            </w:pPr>
            <w:r w:rsidRPr="00630A55">
              <w:t> </w:t>
            </w:r>
          </w:p>
        </w:tc>
      </w:tr>
      <w:tr w:rsidR="00C00379" w:rsidRPr="00630A55" w14:paraId="48F12CEE" w14:textId="77777777" w:rsidTr="009C41D0">
        <w:trPr>
          <w:trHeight w:val="258"/>
        </w:trPr>
        <w:tc>
          <w:tcPr>
            <w:tcW w:w="281" w:type="dxa"/>
            <w:tcBorders>
              <w:left w:val="single" w:sz="4" w:space="0" w:color="auto"/>
            </w:tcBorders>
            <w:shd w:val="clear" w:color="000000" w:fill="FFFFFF"/>
            <w:noWrap/>
            <w:vAlign w:val="center"/>
            <w:hideMark/>
          </w:tcPr>
          <w:p w14:paraId="0F89BCD0" w14:textId="77777777" w:rsidR="00C00379" w:rsidRPr="00630A55" w:rsidRDefault="00C00379" w:rsidP="001755CC">
            <w:pPr>
              <w:pStyle w:val="Tabletext"/>
              <w:rPr>
                <w:color w:val="000000"/>
                <w:lang w:eastAsia="en-AU"/>
              </w:rPr>
            </w:pPr>
            <w:r w:rsidRPr="00630A55">
              <w:rPr>
                <w:lang w:eastAsia="en-AU"/>
              </w:rPr>
              <w:t> </w:t>
            </w:r>
          </w:p>
        </w:tc>
        <w:tc>
          <w:tcPr>
            <w:tcW w:w="6606" w:type="dxa"/>
            <w:tcBorders>
              <w:right w:val="single" w:sz="4" w:space="0" w:color="auto"/>
            </w:tcBorders>
            <w:shd w:val="clear" w:color="000000" w:fill="FFFFFF"/>
            <w:vAlign w:val="center"/>
            <w:hideMark/>
          </w:tcPr>
          <w:p w14:paraId="321D2A37" w14:textId="2D1AD09F" w:rsidR="00C00379" w:rsidRPr="00630A55" w:rsidRDefault="00C00379" w:rsidP="001755CC">
            <w:pPr>
              <w:pStyle w:val="Tabletext"/>
              <w:rPr>
                <w:color w:val="000000"/>
                <w:lang w:eastAsia="en-AU"/>
              </w:rPr>
            </w:pPr>
            <w:r w:rsidRPr="00630A55">
              <w:rPr>
                <w:lang w:eastAsia="en-AU"/>
              </w:rPr>
              <w:t xml:space="preserve">Activity submitted to </w:t>
            </w:r>
            <w:r w:rsidR="005624BF">
              <w:rPr>
                <w:lang w:eastAsia="en-AU"/>
              </w:rPr>
              <w:t>j</w:t>
            </w:r>
            <w:r w:rsidRPr="00630A55">
              <w:rPr>
                <w:lang w:eastAsia="en-AU"/>
              </w:rPr>
              <w:t>urisdiction</w:t>
            </w:r>
          </w:p>
        </w:tc>
        <w:tc>
          <w:tcPr>
            <w:tcW w:w="2287" w:type="dxa"/>
            <w:tcBorders>
              <w:left w:val="single" w:sz="4" w:space="0" w:color="auto"/>
              <w:right w:val="single" w:sz="4" w:space="0" w:color="auto"/>
            </w:tcBorders>
            <w:shd w:val="clear" w:color="auto" w:fill="auto"/>
            <w:noWrap/>
            <w:vAlign w:val="bottom"/>
          </w:tcPr>
          <w:p w14:paraId="23E951BB" w14:textId="77777777" w:rsidR="00C00379" w:rsidRPr="00630A55" w:rsidRDefault="00C00379" w:rsidP="00F678EC">
            <w:pPr>
              <w:pStyle w:val="TableTextNumber"/>
              <w:jc w:val="right"/>
            </w:pPr>
            <w:r w:rsidRPr="00630A55">
              <w:t>914,519</w:t>
            </w:r>
          </w:p>
        </w:tc>
      </w:tr>
      <w:tr w:rsidR="00C00379" w:rsidRPr="00630A55" w14:paraId="4DF21A86" w14:textId="77777777" w:rsidTr="009C41D0">
        <w:trPr>
          <w:trHeight w:val="258"/>
        </w:trPr>
        <w:tc>
          <w:tcPr>
            <w:tcW w:w="281" w:type="dxa"/>
            <w:tcBorders>
              <w:left w:val="single" w:sz="4" w:space="0" w:color="auto"/>
            </w:tcBorders>
            <w:shd w:val="clear" w:color="000000" w:fill="FFFFFF"/>
            <w:noWrap/>
            <w:vAlign w:val="center"/>
            <w:hideMark/>
          </w:tcPr>
          <w:p w14:paraId="67557090" w14:textId="77777777" w:rsidR="00C00379" w:rsidRPr="00630A55" w:rsidRDefault="00C00379" w:rsidP="001755CC">
            <w:pPr>
              <w:pStyle w:val="Tabletext"/>
              <w:rPr>
                <w:color w:val="000000"/>
                <w:lang w:eastAsia="en-AU"/>
              </w:rPr>
            </w:pPr>
            <w:r w:rsidRPr="00630A55">
              <w:rPr>
                <w:lang w:eastAsia="en-AU"/>
              </w:rPr>
              <w:t> </w:t>
            </w:r>
          </w:p>
        </w:tc>
        <w:tc>
          <w:tcPr>
            <w:tcW w:w="6606" w:type="dxa"/>
            <w:tcBorders>
              <w:right w:val="single" w:sz="4" w:space="0" w:color="auto"/>
            </w:tcBorders>
            <w:shd w:val="clear" w:color="000000" w:fill="FFFFFF"/>
            <w:vAlign w:val="center"/>
            <w:hideMark/>
          </w:tcPr>
          <w:p w14:paraId="53CC36CD" w14:textId="78C2259F" w:rsidR="00C00379" w:rsidRPr="00630A55" w:rsidRDefault="00C00379" w:rsidP="001755CC">
            <w:pPr>
              <w:pStyle w:val="Tabletext"/>
              <w:rPr>
                <w:color w:val="000000"/>
                <w:lang w:eastAsia="en-AU"/>
              </w:rPr>
            </w:pPr>
            <w:r w:rsidRPr="00630A55">
              <w:rPr>
                <w:lang w:eastAsia="en-AU"/>
              </w:rPr>
              <w:t xml:space="preserve">Costs submitted to </w:t>
            </w:r>
            <w:r w:rsidR="005624BF">
              <w:rPr>
                <w:lang w:eastAsia="en-AU"/>
              </w:rPr>
              <w:t>j</w:t>
            </w:r>
            <w:r w:rsidRPr="00630A55">
              <w:rPr>
                <w:lang w:eastAsia="en-AU"/>
              </w:rPr>
              <w:t>urisdiction</w:t>
            </w:r>
          </w:p>
        </w:tc>
        <w:tc>
          <w:tcPr>
            <w:tcW w:w="2287" w:type="dxa"/>
            <w:tcBorders>
              <w:left w:val="single" w:sz="4" w:space="0" w:color="auto"/>
              <w:right w:val="single" w:sz="4" w:space="0" w:color="auto"/>
            </w:tcBorders>
            <w:shd w:val="clear" w:color="auto" w:fill="auto"/>
            <w:noWrap/>
            <w:vAlign w:val="bottom"/>
          </w:tcPr>
          <w:p w14:paraId="5C5F454A" w14:textId="77777777" w:rsidR="00C00379" w:rsidRPr="00630A55" w:rsidRDefault="00C00379" w:rsidP="00F678EC">
            <w:pPr>
              <w:pStyle w:val="TableTextNumber"/>
              <w:jc w:val="right"/>
            </w:pPr>
            <w:r w:rsidRPr="00630A55">
              <w:t>$522,117,303</w:t>
            </w:r>
          </w:p>
        </w:tc>
      </w:tr>
      <w:tr w:rsidR="00C00379" w:rsidRPr="00630A55" w14:paraId="7B797B04" w14:textId="77777777" w:rsidTr="009C41D0">
        <w:trPr>
          <w:trHeight w:val="258"/>
        </w:trPr>
        <w:tc>
          <w:tcPr>
            <w:tcW w:w="6887" w:type="dxa"/>
            <w:gridSpan w:val="2"/>
            <w:tcBorders>
              <w:top w:val="single" w:sz="12" w:space="0" w:color="auto"/>
              <w:left w:val="single" w:sz="4" w:space="0" w:color="auto"/>
              <w:bottom w:val="single" w:sz="12" w:space="0" w:color="auto"/>
              <w:right w:val="single" w:sz="4" w:space="0" w:color="auto"/>
            </w:tcBorders>
            <w:shd w:val="clear" w:color="000000" w:fill="00338D"/>
            <w:noWrap/>
            <w:vAlign w:val="center"/>
            <w:hideMark/>
          </w:tcPr>
          <w:p w14:paraId="5BEB31A8" w14:textId="77777777" w:rsidR="00C00379" w:rsidRPr="00630A55" w:rsidRDefault="00C00379" w:rsidP="001755CC">
            <w:pPr>
              <w:pStyle w:val="Tableheading"/>
              <w:rPr>
                <w:color w:val="FFFFFF"/>
                <w:lang w:eastAsia="en-AU"/>
              </w:rPr>
            </w:pPr>
            <w:r w:rsidRPr="00630A55">
              <w:rPr>
                <w:lang w:eastAsia="en-AU"/>
              </w:rPr>
              <w:t>Costs submitted to IHACPA</w:t>
            </w:r>
          </w:p>
        </w:tc>
        <w:tc>
          <w:tcPr>
            <w:tcW w:w="2287" w:type="dxa"/>
            <w:tcBorders>
              <w:top w:val="single" w:sz="12" w:space="0" w:color="auto"/>
              <w:left w:val="single" w:sz="4" w:space="0" w:color="auto"/>
              <w:bottom w:val="single" w:sz="12" w:space="0" w:color="auto"/>
              <w:right w:val="single" w:sz="4" w:space="0" w:color="auto"/>
            </w:tcBorders>
            <w:shd w:val="clear" w:color="000000" w:fill="00338D"/>
            <w:noWrap/>
            <w:vAlign w:val="center"/>
            <w:hideMark/>
          </w:tcPr>
          <w:p w14:paraId="68DCD8E3" w14:textId="77777777" w:rsidR="00C00379" w:rsidRPr="00630A55" w:rsidRDefault="00C00379" w:rsidP="00043F1C">
            <w:pPr>
              <w:pStyle w:val="Tableheading"/>
              <w:rPr>
                <w:color w:val="FFFFFF"/>
                <w:lang w:eastAsia="en-AU"/>
              </w:rPr>
            </w:pPr>
            <w:r w:rsidRPr="00630A55">
              <w:rPr>
                <w:lang w:eastAsia="en-AU"/>
              </w:rPr>
              <w:t xml:space="preserve">Value </w:t>
            </w:r>
          </w:p>
        </w:tc>
      </w:tr>
      <w:tr w:rsidR="00C00379" w:rsidRPr="00630A55" w14:paraId="25545E8E" w14:textId="77777777" w:rsidTr="009C41D0">
        <w:trPr>
          <w:trHeight w:val="258"/>
        </w:trPr>
        <w:tc>
          <w:tcPr>
            <w:tcW w:w="6887" w:type="dxa"/>
            <w:gridSpan w:val="2"/>
            <w:tcBorders>
              <w:top w:val="single" w:sz="12" w:space="0" w:color="auto"/>
              <w:left w:val="single" w:sz="4" w:space="0" w:color="auto"/>
              <w:right w:val="single" w:sz="4" w:space="0" w:color="auto"/>
            </w:tcBorders>
            <w:shd w:val="clear" w:color="000000" w:fill="FFFFFF"/>
            <w:vAlign w:val="center"/>
            <w:hideMark/>
          </w:tcPr>
          <w:p w14:paraId="7E7140A2" w14:textId="0272BF36" w:rsidR="00C00379" w:rsidRPr="00630A55" w:rsidRDefault="00C00379" w:rsidP="001755CC">
            <w:pPr>
              <w:pStyle w:val="Tabletext"/>
              <w:rPr>
                <w:color w:val="000000"/>
                <w:lang w:eastAsia="en-AU"/>
              </w:rPr>
            </w:pPr>
            <w:r w:rsidRPr="00630A55">
              <w:rPr>
                <w:lang w:eastAsia="en-AU"/>
              </w:rPr>
              <w:t xml:space="preserve">Final </w:t>
            </w:r>
            <w:r w:rsidR="005624BF">
              <w:rPr>
                <w:lang w:eastAsia="en-AU"/>
              </w:rPr>
              <w:t>s</w:t>
            </w:r>
            <w:r w:rsidRPr="00630A55">
              <w:rPr>
                <w:lang w:eastAsia="en-AU"/>
              </w:rPr>
              <w:t xml:space="preserve">ubmission from </w:t>
            </w:r>
            <w:r w:rsidR="003E3541">
              <w:rPr>
                <w:lang w:eastAsia="en-AU"/>
              </w:rPr>
              <w:t>j</w:t>
            </w:r>
            <w:r w:rsidRPr="00630A55">
              <w:rPr>
                <w:lang w:eastAsia="en-AU"/>
              </w:rPr>
              <w:t xml:space="preserve">urisdiction to IHACPA for NHCDC - </w:t>
            </w:r>
            <w:r w:rsidR="003E3541">
              <w:rPr>
                <w:lang w:eastAsia="en-AU"/>
              </w:rPr>
              <w:t>c</w:t>
            </w:r>
            <w:r w:rsidRPr="00630A55">
              <w:rPr>
                <w:lang w:eastAsia="en-AU"/>
              </w:rPr>
              <w:t xml:space="preserve">ost and </w:t>
            </w:r>
            <w:r w:rsidR="003E3541">
              <w:rPr>
                <w:lang w:eastAsia="en-AU"/>
              </w:rPr>
              <w:t>a</w:t>
            </w:r>
            <w:r w:rsidRPr="00630A55">
              <w:rPr>
                <w:lang w:eastAsia="en-AU"/>
              </w:rPr>
              <w:t xml:space="preserve">ctivity by </w:t>
            </w:r>
            <w:r w:rsidR="003E3541">
              <w:rPr>
                <w:lang w:eastAsia="en-AU"/>
              </w:rPr>
              <w:t>p</w:t>
            </w:r>
            <w:r w:rsidRPr="00630A55">
              <w:rPr>
                <w:lang w:eastAsia="en-AU"/>
              </w:rPr>
              <w:t xml:space="preserve">roduct </w:t>
            </w:r>
          </w:p>
        </w:tc>
        <w:tc>
          <w:tcPr>
            <w:tcW w:w="2287" w:type="dxa"/>
            <w:tcBorders>
              <w:top w:val="single" w:sz="12" w:space="0" w:color="auto"/>
              <w:left w:val="single" w:sz="4" w:space="0" w:color="auto"/>
              <w:right w:val="single" w:sz="4" w:space="0" w:color="auto"/>
            </w:tcBorders>
            <w:shd w:val="clear" w:color="auto" w:fill="auto"/>
            <w:vAlign w:val="center"/>
            <w:hideMark/>
          </w:tcPr>
          <w:p w14:paraId="59C9948A" w14:textId="77777777" w:rsidR="00C00379" w:rsidRPr="00630A55" w:rsidRDefault="00C00379" w:rsidP="00F678EC">
            <w:pPr>
              <w:pStyle w:val="TableTextNumber"/>
              <w:jc w:val="right"/>
            </w:pPr>
            <w:r w:rsidRPr="00630A55">
              <w:t> </w:t>
            </w:r>
          </w:p>
        </w:tc>
      </w:tr>
      <w:tr w:rsidR="00C00379" w:rsidRPr="00630A55" w14:paraId="4428277E" w14:textId="77777777" w:rsidTr="009C41D0">
        <w:trPr>
          <w:trHeight w:val="258"/>
        </w:trPr>
        <w:tc>
          <w:tcPr>
            <w:tcW w:w="281" w:type="dxa"/>
            <w:tcBorders>
              <w:left w:val="single" w:sz="4" w:space="0" w:color="auto"/>
            </w:tcBorders>
            <w:shd w:val="clear" w:color="000000" w:fill="FFFFFF"/>
            <w:noWrap/>
            <w:vAlign w:val="center"/>
            <w:hideMark/>
          </w:tcPr>
          <w:p w14:paraId="30BC410F" w14:textId="77777777" w:rsidR="00C00379" w:rsidRPr="00630A55" w:rsidRDefault="00C00379" w:rsidP="001755CC">
            <w:pPr>
              <w:pStyle w:val="Tabletext"/>
              <w:rPr>
                <w:color w:val="000000"/>
                <w:lang w:eastAsia="en-AU"/>
              </w:rPr>
            </w:pPr>
            <w:r w:rsidRPr="00630A55">
              <w:rPr>
                <w:lang w:eastAsia="en-AU"/>
              </w:rPr>
              <w:t> </w:t>
            </w:r>
          </w:p>
        </w:tc>
        <w:tc>
          <w:tcPr>
            <w:tcW w:w="6606" w:type="dxa"/>
            <w:tcBorders>
              <w:right w:val="single" w:sz="4" w:space="0" w:color="auto"/>
            </w:tcBorders>
            <w:shd w:val="clear" w:color="000000" w:fill="FFFFFF"/>
            <w:vAlign w:val="center"/>
            <w:hideMark/>
          </w:tcPr>
          <w:p w14:paraId="41189D43" w14:textId="77777777" w:rsidR="00C00379" w:rsidRPr="00630A55" w:rsidRDefault="00C00379" w:rsidP="001755CC">
            <w:pPr>
              <w:pStyle w:val="Tabletext"/>
              <w:rPr>
                <w:color w:val="000000"/>
                <w:lang w:eastAsia="en-AU"/>
              </w:rPr>
            </w:pPr>
            <w:r w:rsidRPr="00630A55">
              <w:rPr>
                <w:lang w:eastAsia="en-AU"/>
              </w:rPr>
              <w:t>Activity</w:t>
            </w:r>
          </w:p>
        </w:tc>
        <w:tc>
          <w:tcPr>
            <w:tcW w:w="2287" w:type="dxa"/>
            <w:tcBorders>
              <w:left w:val="single" w:sz="4" w:space="0" w:color="auto"/>
              <w:right w:val="single" w:sz="4" w:space="0" w:color="auto"/>
            </w:tcBorders>
            <w:shd w:val="clear" w:color="auto" w:fill="auto"/>
            <w:noWrap/>
            <w:vAlign w:val="bottom"/>
          </w:tcPr>
          <w:p w14:paraId="6855F1BF" w14:textId="77777777" w:rsidR="00C00379" w:rsidRPr="00630A55" w:rsidRDefault="00C00379" w:rsidP="00F678EC">
            <w:pPr>
              <w:pStyle w:val="TableTextNumber"/>
              <w:jc w:val="right"/>
            </w:pPr>
            <w:r w:rsidRPr="00630A55">
              <w:t>914,519</w:t>
            </w:r>
          </w:p>
        </w:tc>
      </w:tr>
      <w:tr w:rsidR="00C00379" w:rsidRPr="00630A55" w14:paraId="32B841E2" w14:textId="77777777" w:rsidTr="009C41D0">
        <w:trPr>
          <w:trHeight w:val="258"/>
        </w:trPr>
        <w:tc>
          <w:tcPr>
            <w:tcW w:w="281" w:type="dxa"/>
            <w:tcBorders>
              <w:left w:val="single" w:sz="4" w:space="0" w:color="auto"/>
            </w:tcBorders>
            <w:shd w:val="clear" w:color="000000" w:fill="FFFFFF"/>
            <w:noWrap/>
            <w:vAlign w:val="center"/>
            <w:hideMark/>
          </w:tcPr>
          <w:p w14:paraId="537FF752" w14:textId="77777777" w:rsidR="00C00379" w:rsidRPr="00630A55" w:rsidRDefault="00C00379" w:rsidP="001755CC">
            <w:pPr>
              <w:pStyle w:val="Tabletext"/>
              <w:rPr>
                <w:color w:val="000000"/>
                <w:lang w:eastAsia="en-AU"/>
              </w:rPr>
            </w:pPr>
            <w:r w:rsidRPr="00630A55">
              <w:rPr>
                <w:lang w:eastAsia="en-AU"/>
              </w:rPr>
              <w:t> </w:t>
            </w:r>
          </w:p>
        </w:tc>
        <w:tc>
          <w:tcPr>
            <w:tcW w:w="6606" w:type="dxa"/>
            <w:tcBorders>
              <w:right w:val="single" w:sz="4" w:space="0" w:color="auto"/>
            </w:tcBorders>
            <w:shd w:val="clear" w:color="000000" w:fill="FFFFFF"/>
            <w:vAlign w:val="center"/>
            <w:hideMark/>
          </w:tcPr>
          <w:p w14:paraId="6F3FE9DD" w14:textId="77777777" w:rsidR="00C00379" w:rsidRPr="00630A55" w:rsidRDefault="00C00379" w:rsidP="001755CC">
            <w:pPr>
              <w:pStyle w:val="Tabletext"/>
              <w:rPr>
                <w:color w:val="000000"/>
                <w:lang w:eastAsia="en-AU"/>
              </w:rPr>
            </w:pPr>
            <w:r w:rsidRPr="00630A55">
              <w:rPr>
                <w:lang w:eastAsia="en-AU"/>
              </w:rPr>
              <w:t>Costs</w:t>
            </w:r>
          </w:p>
        </w:tc>
        <w:tc>
          <w:tcPr>
            <w:tcW w:w="2287" w:type="dxa"/>
            <w:tcBorders>
              <w:left w:val="single" w:sz="4" w:space="0" w:color="auto"/>
              <w:right w:val="single" w:sz="4" w:space="0" w:color="auto"/>
            </w:tcBorders>
            <w:shd w:val="clear" w:color="auto" w:fill="auto"/>
            <w:noWrap/>
            <w:vAlign w:val="bottom"/>
          </w:tcPr>
          <w:p w14:paraId="01FBC4C4" w14:textId="77777777" w:rsidR="00C00379" w:rsidRPr="00630A55" w:rsidRDefault="00C00379" w:rsidP="00F678EC">
            <w:pPr>
              <w:pStyle w:val="TableTextNumber"/>
              <w:jc w:val="right"/>
            </w:pPr>
            <w:r w:rsidRPr="00630A55">
              <w:t>$522,117,303</w:t>
            </w:r>
          </w:p>
        </w:tc>
      </w:tr>
      <w:tr w:rsidR="00C00379" w:rsidRPr="00630A55" w14:paraId="64C6F851" w14:textId="77777777" w:rsidTr="009C41D0">
        <w:trPr>
          <w:trHeight w:val="258"/>
        </w:trPr>
        <w:tc>
          <w:tcPr>
            <w:tcW w:w="6887" w:type="dxa"/>
            <w:gridSpan w:val="2"/>
            <w:tcBorders>
              <w:left w:val="single" w:sz="4" w:space="0" w:color="auto"/>
              <w:right w:val="single" w:sz="4" w:space="0" w:color="auto"/>
            </w:tcBorders>
            <w:shd w:val="clear" w:color="000000" w:fill="FFFFFF"/>
            <w:vAlign w:val="center"/>
            <w:hideMark/>
          </w:tcPr>
          <w:p w14:paraId="61C45B29" w14:textId="59A6EA25" w:rsidR="00C00379" w:rsidRPr="00630A55" w:rsidRDefault="00C00379" w:rsidP="001755CC">
            <w:pPr>
              <w:pStyle w:val="Tabletext"/>
              <w:rPr>
                <w:color w:val="000000"/>
                <w:lang w:eastAsia="en-AU"/>
              </w:rPr>
            </w:pPr>
            <w:r w:rsidRPr="00630A55">
              <w:rPr>
                <w:lang w:eastAsia="en-AU"/>
              </w:rPr>
              <w:t xml:space="preserve">Adjustments to </w:t>
            </w:r>
            <w:r w:rsidR="003E3541">
              <w:rPr>
                <w:lang w:eastAsia="en-AU"/>
              </w:rPr>
              <w:t>j</w:t>
            </w:r>
            <w:r w:rsidRPr="00630A55">
              <w:rPr>
                <w:lang w:eastAsia="en-AU"/>
              </w:rPr>
              <w:t xml:space="preserve">urisdictional </w:t>
            </w:r>
            <w:r w:rsidR="003E3541">
              <w:rPr>
                <w:lang w:eastAsia="en-AU"/>
              </w:rPr>
              <w:t>s</w:t>
            </w:r>
            <w:r w:rsidRPr="00630A55">
              <w:rPr>
                <w:lang w:eastAsia="en-AU"/>
              </w:rPr>
              <w:t xml:space="preserve">ubmission prior to finalisation of </w:t>
            </w:r>
            <w:r w:rsidR="003E3541">
              <w:rPr>
                <w:lang w:eastAsia="en-AU"/>
              </w:rPr>
              <w:t>j</w:t>
            </w:r>
            <w:r w:rsidRPr="00630A55">
              <w:rPr>
                <w:lang w:eastAsia="en-AU"/>
              </w:rPr>
              <w:t>urisdictional data</w:t>
            </w:r>
          </w:p>
        </w:tc>
        <w:tc>
          <w:tcPr>
            <w:tcW w:w="2287" w:type="dxa"/>
            <w:tcBorders>
              <w:left w:val="single" w:sz="4" w:space="0" w:color="auto"/>
              <w:right w:val="single" w:sz="4" w:space="0" w:color="auto"/>
            </w:tcBorders>
            <w:shd w:val="clear" w:color="auto" w:fill="auto"/>
            <w:vAlign w:val="center"/>
          </w:tcPr>
          <w:p w14:paraId="44EA1F7E" w14:textId="77777777" w:rsidR="00C00379" w:rsidRPr="00630A55" w:rsidRDefault="00C00379" w:rsidP="00F678EC">
            <w:pPr>
              <w:pStyle w:val="TableTextNumber"/>
              <w:jc w:val="right"/>
            </w:pPr>
          </w:p>
        </w:tc>
      </w:tr>
      <w:tr w:rsidR="00C00379" w:rsidRPr="00630A55" w14:paraId="2494ACE1" w14:textId="77777777" w:rsidTr="009C41D0">
        <w:trPr>
          <w:trHeight w:val="258"/>
        </w:trPr>
        <w:tc>
          <w:tcPr>
            <w:tcW w:w="281" w:type="dxa"/>
            <w:tcBorders>
              <w:left w:val="single" w:sz="4" w:space="0" w:color="auto"/>
            </w:tcBorders>
            <w:shd w:val="clear" w:color="000000" w:fill="FFFFFF"/>
            <w:noWrap/>
            <w:vAlign w:val="center"/>
            <w:hideMark/>
          </w:tcPr>
          <w:p w14:paraId="40312992" w14:textId="77777777" w:rsidR="00C00379" w:rsidRPr="00630A55" w:rsidRDefault="00C00379" w:rsidP="001755CC">
            <w:pPr>
              <w:pStyle w:val="Tabletext"/>
              <w:rPr>
                <w:color w:val="000000"/>
                <w:lang w:eastAsia="en-AU"/>
              </w:rPr>
            </w:pPr>
            <w:r w:rsidRPr="00630A55">
              <w:rPr>
                <w:lang w:eastAsia="en-AU"/>
              </w:rPr>
              <w:t> </w:t>
            </w:r>
          </w:p>
        </w:tc>
        <w:tc>
          <w:tcPr>
            <w:tcW w:w="6606" w:type="dxa"/>
            <w:tcBorders>
              <w:right w:val="single" w:sz="4" w:space="0" w:color="auto"/>
            </w:tcBorders>
            <w:shd w:val="clear" w:color="000000" w:fill="FFFFFF"/>
            <w:noWrap/>
            <w:vAlign w:val="center"/>
            <w:hideMark/>
          </w:tcPr>
          <w:p w14:paraId="3914A054" w14:textId="77777777" w:rsidR="00C00379" w:rsidRPr="00630A55" w:rsidRDefault="00C00379" w:rsidP="001755CC">
            <w:pPr>
              <w:pStyle w:val="Tabletext"/>
              <w:rPr>
                <w:color w:val="000000"/>
                <w:lang w:eastAsia="en-AU"/>
              </w:rPr>
            </w:pPr>
            <w:r w:rsidRPr="00630A55">
              <w:rPr>
                <w:lang w:eastAsia="en-AU"/>
              </w:rPr>
              <w:t xml:space="preserve">Activity totals </w:t>
            </w:r>
          </w:p>
        </w:tc>
        <w:tc>
          <w:tcPr>
            <w:tcW w:w="2287" w:type="dxa"/>
            <w:tcBorders>
              <w:left w:val="single" w:sz="4" w:space="0" w:color="auto"/>
              <w:right w:val="single" w:sz="4" w:space="0" w:color="auto"/>
            </w:tcBorders>
            <w:shd w:val="clear" w:color="auto" w:fill="auto"/>
            <w:noWrap/>
            <w:vAlign w:val="bottom"/>
          </w:tcPr>
          <w:p w14:paraId="67578BA2" w14:textId="77777777" w:rsidR="00C00379" w:rsidRPr="00630A55" w:rsidRDefault="00C00379" w:rsidP="00F678EC">
            <w:pPr>
              <w:pStyle w:val="TableTextNumber"/>
              <w:jc w:val="right"/>
            </w:pPr>
            <w:r w:rsidRPr="00630A55">
              <w:t>(483,220)</w:t>
            </w:r>
          </w:p>
        </w:tc>
      </w:tr>
      <w:tr w:rsidR="00C00379" w:rsidRPr="00630A55" w14:paraId="3F21D604" w14:textId="77777777" w:rsidTr="009C41D0">
        <w:trPr>
          <w:trHeight w:val="258"/>
        </w:trPr>
        <w:tc>
          <w:tcPr>
            <w:tcW w:w="281" w:type="dxa"/>
            <w:tcBorders>
              <w:left w:val="single" w:sz="4" w:space="0" w:color="auto"/>
            </w:tcBorders>
            <w:shd w:val="clear" w:color="000000" w:fill="FFFFFF"/>
            <w:noWrap/>
            <w:vAlign w:val="center"/>
            <w:hideMark/>
          </w:tcPr>
          <w:p w14:paraId="76B90435" w14:textId="77777777" w:rsidR="00C00379" w:rsidRPr="00630A55" w:rsidRDefault="00C00379" w:rsidP="001755CC">
            <w:pPr>
              <w:pStyle w:val="Tabletext"/>
              <w:rPr>
                <w:color w:val="000000"/>
                <w:lang w:eastAsia="en-AU"/>
              </w:rPr>
            </w:pPr>
            <w:r w:rsidRPr="00630A55">
              <w:rPr>
                <w:lang w:eastAsia="en-AU"/>
              </w:rPr>
              <w:t> </w:t>
            </w:r>
          </w:p>
        </w:tc>
        <w:tc>
          <w:tcPr>
            <w:tcW w:w="6606" w:type="dxa"/>
            <w:tcBorders>
              <w:right w:val="single" w:sz="4" w:space="0" w:color="auto"/>
            </w:tcBorders>
            <w:shd w:val="clear" w:color="000000" w:fill="FFFFFF"/>
            <w:noWrap/>
            <w:vAlign w:val="center"/>
            <w:hideMark/>
          </w:tcPr>
          <w:p w14:paraId="32E3689B" w14:textId="77777777" w:rsidR="00C00379" w:rsidRPr="00630A55" w:rsidRDefault="00C00379" w:rsidP="001755CC">
            <w:pPr>
              <w:pStyle w:val="Tabletext"/>
              <w:rPr>
                <w:color w:val="000000"/>
                <w:lang w:eastAsia="en-AU"/>
              </w:rPr>
            </w:pPr>
            <w:r w:rsidRPr="00630A55">
              <w:rPr>
                <w:lang w:eastAsia="en-AU"/>
              </w:rPr>
              <w:t>Cost totals</w:t>
            </w:r>
          </w:p>
        </w:tc>
        <w:tc>
          <w:tcPr>
            <w:tcW w:w="2287" w:type="dxa"/>
            <w:tcBorders>
              <w:left w:val="single" w:sz="4" w:space="0" w:color="auto"/>
              <w:right w:val="single" w:sz="4" w:space="0" w:color="auto"/>
            </w:tcBorders>
            <w:shd w:val="clear" w:color="auto" w:fill="auto"/>
            <w:noWrap/>
            <w:vAlign w:val="bottom"/>
          </w:tcPr>
          <w:p w14:paraId="5930C5D1" w14:textId="77777777" w:rsidR="00C00379" w:rsidRPr="00630A55" w:rsidRDefault="00C00379" w:rsidP="00F678EC">
            <w:pPr>
              <w:pStyle w:val="TableTextNumber"/>
              <w:jc w:val="right"/>
            </w:pPr>
            <w:r w:rsidRPr="00630A55">
              <w:t>($91,764,874)</w:t>
            </w:r>
          </w:p>
        </w:tc>
      </w:tr>
      <w:tr w:rsidR="00C00379" w:rsidRPr="00630A55" w14:paraId="0A509FC4" w14:textId="77777777" w:rsidTr="009C41D0">
        <w:trPr>
          <w:trHeight w:val="258"/>
        </w:trPr>
        <w:tc>
          <w:tcPr>
            <w:tcW w:w="6887" w:type="dxa"/>
            <w:gridSpan w:val="2"/>
            <w:tcBorders>
              <w:left w:val="single" w:sz="4" w:space="0" w:color="auto"/>
              <w:right w:val="single" w:sz="4" w:space="0" w:color="auto"/>
            </w:tcBorders>
            <w:shd w:val="clear" w:color="000000" w:fill="FFFFFF"/>
            <w:vAlign w:val="center"/>
            <w:hideMark/>
          </w:tcPr>
          <w:p w14:paraId="101C314C" w14:textId="71F0E2FB" w:rsidR="00C00379" w:rsidRPr="00630A55" w:rsidRDefault="00C00379" w:rsidP="001755CC">
            <w:pPr>
              <w:pStyle w:val="Tabletext"/>
              <w:rPr>
                <w:color w:val="000000"/>
                <w:lang w:eastAsia="en-AU"/>
              </w:rPr>
            </w:pPr>
            <w:r w:rsidRPr="00630A55">
              <w:rPr>
                <w:lang w:eastAsia="en-AU"/>
              </w:rPr>
              <w:t xml:space="preserve">Final </w:t>
            </w:r>
            <w:r w:rsidR="003E3541">
              <w:rPr>
                <w:lang w:eastAsia="en-AU"/>
              </w:rPr>
              <w:t>j</w:t>
            </w:r>
            <w:r w:rsidRPr="00630A55">
              <w:rPr>
                <w:lang w:eastAsia="en-AU"/>
              </w:rPr>
              <w:t xml:space="preserve">urisdictional </w:t>
            </w:r>
            <w:r w:rsidR="003E3541">
              <w:rPr>
                <w:lang w:eastAsia="en-AU"/>
              </w:rPr>
              <w:t>d</w:t>
            </w:r>
            <w:r w:rsidRPr="00630A55">
              <w:rPr>
                <w:lang w:eastAsia="en-AU"/>
              </w:rPr>
              <w:t xml:space="preserve">ata for </w:t>
            </w:r>
            <w:r w:rsidR="003E3541">
              <w:rPr>
                <w:lang w:eastAsia="en-AU"/>
              </w:rPr>
              <w:t>c</w:t>
            </w:r>
            <w:r w:rsidRPr="00630A55">
              <w:rPr>
                <w:lang w:eastAsia="en-AU"/>
              </w:rPr>
              <w:t xml:space="preserve">ost </w:t>
            </w:r>
            <w:r w:rsidR="003E3541">
              <w:rPr>
                <w:lang w:eastAsia="en-AU"/>
              </w:rPr>
              <w:t>w</w:t>
            </w:r>
            <w:r w:rsidRPr="00630A55">
              <w:rPr>
                <w:lang w:eastAsia="en-AU"/>
              </w:rPr>
              <w:t xml:space="preserve">eight </w:t>
            </w:r>
            <w:r w:rsidR="003E3541">
              <w:rPr>
                <w:lang w:eastAsia="en-AU"/>
              </w:rPr>
              <w:t>p</w:t>
            </w:r>
            <w:r w:rsidRPr="00630A55">
              <w:rPr>
                <w:lang w:eastAsia="en-AU"/>
              </w:rPr>
              <w:t>roduction</w:t>
            </w:r>
          </w:p>
        </w:tc>
        <w:tc>
          <w:tcPr>
            <w:tcW w:w="2287" w:type="dxa"/>
            <w:tcBorders>
              <w:left w:val="single" w:sz="4" w:space="0" w:color="auto"/>
              <w:right w:val="single" w:sz="4" w:space="0" w:color="auto"/>
            </w:tcBorders>
            <w:shd w:val="clear" w:color="auto" w:fill="auto"/>
            <w:vAlign w:val="center"/>
          </w:tcPr>
          <w:p w14:paraId="249BDBEC" w14:textId="77777777" w:rsidR="00C00379" w:rsidRPr="00630A55" w:rsidRDefault="00C00379" w:rsidP="00F678EC">
            <w:pPr>
              <w:pStyle w:val="TableTextNumber"/>
              <w:jc w:val="right"/>
            </w:pPr>
          </w:p>
        </w:tc>
      </w:tr>
      <w:tr w:rsidR="00C00379" w:rsidRPr="00630A55" w14:paraId="0697C8B9" w14:textId="77777777" w:rsidTr="009C41D0">
        <w:trPr>
          <w:trHeight w:val="258"/>
        </w:trPr>
        <w:tc>
          <w:tcPr>
            <w:tcW w:w="281" w:type="dxa"/>
            <w:tcBorders>
              <w:left w:val="single" w:sz="4" w:space="0" w:color="auto"/>
            </w:tcBorders>
            <w:shd w:val="clear" w:color="000000" w:fill="FFFFFF"/>
            <w:noWrap/>
            <w:vAlign w:val="center"/>
            <w:hideMark/>
          </w:tcPr>
          <w:p w14:paraId="520DCA10" w14:textId="77777777" w:rsidR="00C00379" w:rsidRPr="00630A55" w:rsidRDefault="00C00379" w:rsidP="001755CC">
            <w:pPr>
              <w:pStyle w:val="Tabletext"/>
              <w:rPr>
                <w:color w:val="000000"/>
                <w:lang w:eastAsia="en-AU"/>
              </w:rPr>
            </w:pPr>
            <w:r w:rsidRPr="00630A55">
              <w:rPr>
                <w:lang w:eastAsia="en-AU"/>
              </w:rPr>
              <w:t> </w:t>
            </w:r>
          </w:p>
        </w:tc>
        <w:tc>
          <w:tcPr>
            <w:tcW w:w="6606" w:type="dxa"/>
            <w:tcBorders>
              <w:right w:val="single" w:sz="4" w:space="0" w:color="auto"/>
            </w:tcBorders>
            <w:shd w:val="clear" w:color="000000" w:fill="FFFFFF"/>
            <w:vAlign w:val="center"/>
            <w:hideMark/>
          </w:tcPr>
          <w:p w14:paraId="760DB9ED" w14:textId="79C59367" w:rsidR="00C00379" w:rsidRPr="00630A55" w:rsidRDefault="00C00379" w:rsidP="001755CC">
            <w:pPr>
              <w:pStyle w:val="Tabletext"/>
              <w:rPr>
                <w:color w:val="000000"/>
                <w:lang w:eastAsia="en-AU"/>
              </w:rPr>
            </w:pPr>
            <w:r w:rsidRPr="00630A55">
              <w:rPr>
                <w:lang w:eastAsia="en-AU"/>
              </w:rPr>
              <w:t xml:space="preserve">Finalised </w:t>
            </w:r>
            <w:r w:rsidR="00DC397A">
              <w:rPr>
                <w:lang w:eastAsia="en-AU"/>
              </w:rPr>
              <w:t>a</w:t>
            </w:r>
            <w:r w:rsidRPr="00630A55">
              <w:rPr>
                <w:lang w:eastAsia="en-AU"/>
              </w:rPr>
              <w:t>ctivity</w:t>
            </w:r>
          </w:p>
        </w:tc>
        <w:tc>
          <w:tcPr>
            <w:tcW w:w="2287" w:type="dxa"/>
            <w:tcBorders>
              <w:left w:val="single" w:sz="4" w:space="0" w:color="auto"/>
              <w:right w:val="single" w:sz="4" w:space="0" w:color="auto"/>
            </w:tcBorders>
            <w:shd w:val="clear" w:color="auto" w:fill="auto"/>
            <w:noWrap/>
            <w:vAlign w:val="bottom"/>
          </w:tcPr>
          <w:p w14:paraId="07A2AB71" w14:textId="77777777" w:rsidR="00C00379" w:rsidRPr="00630A55" w:rsidRDefault="00C00379" w:rsidP="00F678EC">
            <w:pPr>
              <w:pStyle w:val="TableTextNumber"/>
              <w:jc w:val="right"/>
            </w:pPr>
            <w:r w:rsidRPr="00630A55">
              <w:t>431,299</w:t>
            </w:r>
          </w:p>
        </w:tc>
      </w:tr>
      <w:tr w:rsidR="00C00379" w:rsidRPr="00630A55" w14:paraId="29C76257" w14:textId="77777777" w:rsidTr="009C41D0">
        <w:trPr>
          <w:trHeight w:val="258"/>
        </w:trPr>
        <w:tc>
          <w:tcPr>
            <w:tcW w:w="281" w:type="dxa"/>
            <w:tcBorders>
              <w:left w:val="single" w:sz="4" w:space="0" w:color="auto"/>
              <w:bottom w:val="single" w:sz="4" w:space="0" w:color="auto"/>
            </w:tcBorders>
            <w:shd w:val="clear" w:color="000000" w:fill="FFFFFF"/>
            <w:noWrap/>
            <w:vAlign w:val="center"/>
            <w:hideMark/>
          </w:tcPr>
          <w:p w14:paraId="07FC1D4E" w14:textId="77777777" w:rsidR="00C00379" w:rsidRPr="00630A55" w:rsidRDefault="00C00379" w:rsidP="001755CC">
            <w:pPr>
              <w:pStyle w:val="Tabletext"/>
              <w:rPr>
                <w:color w:val="000000"/>
                <w:lang w:eastAsia="en-AU"/>
              </w:rPr>
            </w:pPr>
            <w:r w:rsidRPr="00630A55">
              <w:rPr>
                <w:lang w:eastAsia="en-AU"/>
              </w:rPr>
              <w:t> </w:t>
            </w:r>
          </w:p>
        </w:tc>
        <w:tc>
          <w:tcPr>
            <w:tcW w:w="6606" w:type="dxa"/>
            <w:tcBorders>
              <w:bottom w:val="single" w:sz="4" w:space="0" w:color="auto"/>
              <w:right w:val="single" w:sz="4" w:space="0" w:color="auto"/>
            </w:tcBorders>
            <w:shd w:val="clear" w:color="000000" w:fill="FFFFFF"/>
            <w:vAlign w:val="center"/>
            <w:hideMark/>
          </w:tcPr>
          <w:p w14:paraId="6DFCE05F" w14:textId="52A60E93" w:rsidR="00C00379" w:rsidRPr="00630A55" w:rsidRDefault="00C00379" w:rsidP="001755CC">
            <w:pPr>
              <w:pStyle w:val="Tabletext"/>
              <w:rPr>
                <w:color w:val="000000"/>
                <w:lang w:eastAsia="en-AU"/>
              </w:rPr>
            </w:pPr>
            <w:r w:rsidRPr="00630A55">
              <w:rPr>
                <w:lang w:eastAsia="en-AU"/>
              </w:rPr>
              <w:t xml:space="preserve">Finalised </w:t>
            </w:r>
            <w:r w:rsidR="00DC397A">
              <w:rPr>
                <w:lang w:eastAsia="en-AU"/>
              </w:rPr>
              <w:t>c</w:t>
            </w:r>
            <w:r w:rsidRPr="00630A55">
              <w:rPr>
                <w:lang w:eastAsia="en-AU"/>
              </w:rPr>
              <w:t>ost</w:t>
            </w:r>
          </w:p>
        </w:tc>
        <w:tc>
          <w:tcPr>
            <w:tcW w:w="2287" w:type="dxa"/>
            <w:tcBorders>
              <w:left w:val="single" w:sz="4" w:space="0" w:color="auto"/>
              <w:bottom w:val="single" w:sz="4" w:space="0" w:color="auto"/>
              <w:right w:val="single" w:sz="4" w:space="0" w:color="auto"/>
            </w:tcBorders>
            <w:shd w:val="clear" w:color="auto" w:fill="auto"/>
            <w:noWrap/>
            <w:vAlign w:val="bottom"/>
          </w:tcPr>
          <w:p w14:paraId="19388EB5" w14:textId="77777777" w:rsidR="00C00379" w:rsidRPr="00630A55" w:rsidRDefault="00C00379" w:rsidP="00F678EC">
            <w:pPr>
              <w:pStyle w:val="TableTextNumber"/>
              <w:jc w:val="right"/>
            </w:pPr>
            <w:r w:rsidRPr="00630A55">
              <w:t>$430,352,429</w:t>
            </w:r>
          </w:p>
        </w:tc>
      </w:tr>
    </w:tbl>
    <w:p w14:paraId="5E801BA3" w14:textId="77777777" w:rsidR="00861CB0" w:rsidRPr="00630A55" w:rsidRDefault="00861CB0" w:rsidP="00861CB0">
      <w:pPr>
        <w:pStyle w:val="Source"/>
      </w:pPr>
      <w:r w:rsidRPr="00630A55">
        <w:t xml:space="preserve">Source: Jurisdictional consultations and </w:t>
      </w:r>
      <w:r>
        <w:t>templates</w:t>
      </w:r>
    </w:p>
    <w:p w14:paraId="103F111C" w14:textId="77777777" w:rsidR="00861CB0" w:rsidRDefault="00861CB0" w:rsidP="00861CB0"/>
    <w:p w14:paraId="75DE55DE" w14:textId="77777777" w:rsidR="00E1715B" w:rsidRPr="00D45E75" w:rsidRDefault="00E1715B" w:rsidP="00D45E75">
      <w:pPr>
        <w:sectPr w:rsidR="00E1715B" w:rsidRPr="00D45E75" w:rsidSect="00146B60">
          <w:pgSz w:w="11906" w:h="16838"/>
          <w:pgMar w:top="1134" w:right="1418" w:bottom="1418" w:left="1418" w:header="709" w:footer="454" w:gutter="0"/>
          <w:cols w:space="708"/>
          <w:docGrid w:linePitch="360"/>
        </w:sectPr>
      </w:pPr>
    </w:p>
    <w:p w14:paraId="6E6104FF" w14:textId="426CC7FC" w:rsidR="00C00379" w:rsidRPr="00630A55" w:rsidRDefault="00AD608F" w:rsidP="00AD608F">
      <w:pPr>
        <w:pStyle w:val="Caption"/>
      </w:pPr>
      <w:bookmarkStart w:id="58" w:name="_Ref114758172"/>
      <w:r w:rsidRPr="00A8310C">
        <w:rPr>
          <w:b/>
          <w:bCs/>
        </w:rPr>
        <w:lastRenderedPageBreak/>
        <w:t xml:space="preserve">Table </w:t>
      </w:r>
      <w:r w:rsidR="00D91CB1" w:rsidRPr="00A8310C">
        <w:rPr>
          <w:b/>
          <w:bCs/>
        </w:rPr>
        <w:fldChar w:fldCharType="begin"/>
      </w:r>
      <w:r w:rsidR="00D91CB1" w:rsidRPr="00A8310C">
        <w:rPr>
          <w:b/>
          <w:bCs/>
        </w:rPr>
        <w:instrText xml:space="preserve"> SEQ Table \* ARABIC </w:instrText>
      </w:r>
      <w:r w:rsidR="00D91CB1" w:rsidRPr="00A8310C">
        <w:rPr>
          <w:b/>
          <w:bCs/>
        </w:rPr>
        <w:fldChar w:fldCharType="separate"/>
      </w:r>
      <w:r w:rsidR="007E2ACB">
        <w:rPr>
          <w:b/>
          <w:bCs/>
          <w:noProof/>
        </w:rPr>
        <w:t>18</w:t>
      </w:r>
      <w:r w:rsidR="00D91CB1" w:rsidRPr="00A8310C">
        <w:rPr>
          <w:b/>
          <w:bCs/>
          <w:noProof/>
        </w:rPr>
        <w:fldChar w:fldCharType="end"/>
      </w:r>
      <w:bookmarkEnd w:id="58"/>
      <w:r w:rsidRPr="00A8310C">
        <w:rPr>
          <w:b/>
          <w:bCs/>
        </w:rPr>
        <w:t>:</w:t>
      </w:r>
      <w:r w:rsidR="00C00379" w:rsidRPr="00630A55">
        <w:t xml:space="preserve"> Reconciliation from GL to NHCDC </w:t>
      </w:r>
      <w:r w:rsidR="0071519F">
        <w:t>c</w:t>
      </w:r>
      <w:r w:rsidR="00C00379" w:rsidRPr="00630A55">
        <w:t xml:space="preserve">osted </w:t>
      </w:r>
      <w:r w:rsidR="0071519F">
        <w:t>p</w:t>
      </w:r>
      <w:r w:rsidR="00C00379" w:rsidRPr="00630A55">
        <w:t>roducts - Queensland Health (Metro South HHS)</w:t>
      </w:r>
    </w:p>
    <w:tbl>
      <w:tblPr>
        <w:tblW w:w="9174" w:type="dxa"/>
        <w:tblBorders>
          <w:top w:val="single" w:sz="12" w:space="0" w:color="auto"/>
          <w:left w:val="single" w:sz="12" w:space="0" w:color="auto"/>
          <w:bottom w:val="single" w:sz="12" w:space="0" w:color="auto"/>
          <w:right w:val="single" w:sz="12" w:space="0" w:color="auto"/>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81"/>
        <w:gridCol w:w="6606"/>
        <w:gridCol w:w="2287"/>
      </w:tblGrid>
      <w:tr w:rsidR="00C00379" w:rsidRPr="00630A55" w14:paraId="339237EE" w14:textId="77777777" w:rsidTr="009C41D0">
        <w:trPr>
          <w:trHeight w:val="258"/>
          <w:tblHeader/>
        </w:trPr>
        <w:tc>
          <w:tcPr>
            <w:tcW w:w="6887" w:type="dxa"/>
            <w:gridSpan w:val="2"/>
            <w:tcBorders>
              <w:top w:val="single" w:sz="4" w:space="0" w:color="auto"/>
              <w:left w:val="single" w:sz="4" w:space="0" w:color="auto"/>
              <w:bottom w:val="single" w:sz="12" w:space="0" w:color="auto"/>
              <w:right w:val="single" w:sz="4" w:space="0" w:color="auto"/>
            </w:tcBorders>
            <w:shd w:val="clear" w:color="000000" w:fill="00338D"/>
            <w:noWrap/>
            <w:vAlign w:val="center"/>
            <w:hideMark/>
          </w:tcPr>
          <w:p w14:paraId="1B09ACA4" w14:textId="61B13489" w:rsidR="00C00379" w:rsidRPr="00630A55" w:rsidRDefault="00CA73DC" w:rsidP="001755CC">
            <w:pPr>
              <w:pStyle w:val="Tableheading"/>
              <w:rPr>
                <w:lang w:eastAsia="en-AU"/>
              </w:rPr>
            </w:pPr>
            <w:r>
              <w:rPr>
                <w:lang w:eastAsia="en-AU"/>
              </w:rPr>
              <w:t>HHS</w:t>
            </w:r>
            <w:r w:rsidR="00C00379" w:rsidRPr="00630A55">
              <w:rPr>
                <w:lang w:eastAsia="en-AU"/>
              </w:rPr>
              <w:t xml:space="preserve"> level </w:t>
            </w:r>
            <w:r w:rsidR="0071519F">
              <w:rPr>
                <w:lang w:eastAsia="en-AU"/>
              </w:rPr>
              <w:t>d</w:t>
            </w:r>
            <w:r w:rsidR="00C00379" w:rsidRPr="00630A55">
              <w:rPr>
                <w:lang w:eastAsia="en-AU"/>
              </w:rPr>
              <w:t>ata</w:t>
            </w:r>
          </w:p>
        </w:tc>
        <w:tc>
          <w:tcPr>
            <w:tcW w:w="2287" w:type="dxa"/>
            <w:tcBorders>
              <w:top w:val="single" w:sz="4" w:space="0" w:color="auto"/>
              <w:left w:val="single" w:sz="4" w:space="0" w:color="auto"/>
              <w:bottom w:val="single" w:sz="12" w:space="0" w:color="auto"/>
              <w:right w:val="single" w:sz="4" w:space="0" w:color="auto"/>
            </w:tcBorders>
            <w:shd w:val="clear" w:color="000000" w:fill="00338D"/>
            <w:noWrap/>
            <w:vAlign w:val="center"/>
            <w:hideMark/>
          </w:tcPr>
          <w:p w14:paraId="5D30C8BF" w14:textId="7BE78214" w:rsidR="00C00379" w:rsidRPr="00630A55" w:rsidRDefault="00043F1C" w:rsidP="00043F1C">
            <w:pPr>
              <w:pStyle w:val="Tableheading"/>
              <w:rPr>
                <w:color w:val="FFFFFF"/>
                <w:lang w:eastAsia="en-AU"/>
              </w:rPr>
            </w:pPr>
            <w:r>
              <w:rPr>
                <w:lang w:eastAsia="en-AU"/>
              </w:rPr>
              <w:t>Value</w:t>
            </w:r>
            <w:r w:rsidR="00C00379" w:rsidRPr="00630A55">
              <w:rPr>
                <w:lang w:eastAsia="en-AU"/>
              </w:rPr>
              <w:t> </w:t>
            </w:r>
          </w:p>
        </w:tc>
      </w:tr>
      <w:tr w:rsidR="00C00379" w:rsidRPr="00630A55" w14:paraId="041E1F2D" w14:textId="77777777" w:rsidTr="009C41D0">
        <w:trPr>
          <w:trHeight w:val="248"/>
        </w:trPr>
        <w:tc>
          <w:tcPr>
            <w:tcW w:w="6887" w:type="dxa"/>
            <w:gridSpan w:val="2"/>
            <w:tcBorders>
              <w:top w:val="single" w:sz="12" w:space="0" w:color="auto"/>
              <w:left w:val="single" w:sz="4" w:space="0" w:color="auto"/>
              <w:right w:val="single" w:sz="4" w:space="0" w:color="auto"/>
            </w:tcBorders>
            <w:shd w:val="clear" w:color="auto" w:fill="808080"/>
            <w:noWrap/>
            <w:vAlign w:val="center"/>
            <w:hideMark/>
          </w:tcPr>
          <w:p w14:paraId="0B78788F" w14:textId="0FB826D9" w:rsidR="00C00379" w:rsidRPr="00043F1C" w:rsidRDefault="00CA73DC" w:rsidP="001755CC">
            <w:pPr>
              <w:pStyle w:val="Tableheading"/>
              <w:rPr>
                <w:rFonts w:ascii="Arial" w:hAnsi="Arial" w:cs="Arial"/>
                <w:b w:val="0"/>
                <w:bCs/>
                <w:color w:val="000000" w:themeColor="text1"/>
                <w:lang w:eastAsia="en-AU"/>
              </w:rPr>
            </w:pPr>
            <w:r>
              <w:rPr>
                <w:rFonts w:ascii="Arial" w:hAnsi="Arial" w:cs="Arial"/>
                <w:b w:val="0"/>
                <w:bCs/>
                <w:color w:val="000000" w:themeColor="text1"/>
                <w:lang w:eastAsia="en-AU"/>
              </w:rPr>
              <w:t>HHS</w:t>
            </w:r>
            <w:r w:rsidR="00C00379" w:rsidRPr="00043F1C">
              <w:rPr>
                <w:rFonts w:ascii="Arial" w:hAnsi="Arial" w:cs="Arial"/>
                <w:b w:val="0"/>
                <w:bCs/>
                <w:color w:val="000000" w:themeColor="text1"/>
                <w:lang w:eastAsia="en-AU"/>
              </w:rPr>
              <w:t xml:space="preserve"> General Ledger</w:t>
            </w:r>
          </w:p>
        </w:tc>
        <w:tc>
          <w:tcPr>
            <w:tcW w:w="2287" w:type="dxa"/>
            <w:tcBorders>
              <w:top w:val="single" w:sz="12" w:space="0" w:color="auto"/>
              <w:left w:val="single" w:sz="4" w:space="0" w:color="auto"/>
              <w:right w:val="single" w:sz="4" w:space="0" w:color="auto"/>
            </w:tcBorders>
            <w:shd w:val="clear" w:color="auto" w:fill="808080"/>
            <w:noWrap/>
            <w:vAlign w:val="center"/>
            <w:hideMark/>
          </w:tcPr>
          <w:p w14:paraId="27B5CA49" w14:textId="7B7636C4" w:rsidR="00C00379" w:rsidRPr="00043F1C" w:rsidRDefault="00C00379" w:rsidP="00467F5A">
            <w:pPr>
              <w:pStyle w:val="Tableheading"/>
              <w:rPr>
                <w:rFonts w:ascii="Arial" w:hAnsi="Arial" w:cs="Arial"/>
                <w:b w:val="0"/>
                <w:bCs/>
                <w:color w:val="000000" w:themeColor="text1"/>
                <w:lang w:eastAsia="en-AU"/>
              </w:rPr>
            </w:pPr>
          </w:p>
        </w:tc>
      </w:tr>
      <w:tr w:rsidR="00C00379" w:rsidRPr="00630A55" w14:paraId="18C8D5B6" w14:textId="77777777" w:rsidTr="009C41D0">
        <w:trPr>
          <w:trHeight w:val="258"/>
        </w:trPr>
        <w:tc>
          <w:tcPr>
            <w:tcW w:w="6887" w:type="dxa"/>
            <w:gridSpan w:val="2"/>
            <w:tcBorders>
              <w:left w:val="single" w:sz="4" w:space="0" w:color="auto"/>
              <w:right w:val="single" w:sz="4" w:space="0" w:color="auto"/>
            </w:tcBorders>
            <w:shd w:val="clear" w:color="000000" w:fill="FFFFFF"/>
            <w:noWrap/>
            <w:vAlign w:val="center"/>
            <w:hideMark/>
          </w:tcPr>
          <w:p w14:paraId="129EADDC" w14:textId="59611BC6" w:rsidR="00C00379" w:rsidRPr="00630A55" w:rsidRDefault="00C00379" w:rsidP="001755CC">
            <w:pPr>
              <w:pStyle w:val="Tabletext"/>
              <w:rPr>
                <w:color w:val="000000"/>
                <w:lang w:eastAsia="en-AU"/>
              </w:rPr>
            </w:pPr>
            <w:r w:rsidRPr="00630A55">
              <w:rPr>
                <w:lang w:eastAsia="en-AU"/>
              </w:rPr>
              <w:t xml:space="preserve">Transferred to </w:t>
            </w:r>
            <w:r w:rsidR="008C3DA7">
              <w:rPr>
                <w:lang w:eastAsia="en-AU"/>
              </w:rPr>
              <w:t>c</w:t>
            </w:r>
            <w:r w:rsidRPr="00630A55">
              <w:rPr>
                <w:lang w:eastAsia="en-AU"/>
              </w:rPr>
              <w:t xml:space="preserve">osting </w:t>
            </w:r>
            <w:r w:rsidR="008C3DA7">
              <w:rPr>
                <w:lang w:eastAsia="en-AU"/>
              </w:rPr>
              <w:t>s</w:t>
            </w:r>
            <w:r w:rsidRPr="00630A55">
              <w:rPr>
                <w:lang w:eastAsia="en-AU"/>
              </w:rPr>
              <w:t xml:space="preserve">ystem </w:t>
            </w:r>
          </w:p>
        </w:tc>
        <w:tc>
          <w:tcPr>
            <w:tcW w:w="2287" w:type="dxa"/>
            <w:tcBorders>
              <w:left w:val="single" w:sz="4" w:space="0" w:color="auto"/>
              <w:right w:val="single" w:sz="4" w:space="0" w:color="auto"/>
            </w:tcBorders>
            <w:shd w:val="clear" w:color="auto" w:fill="auto"/>
            <w:noWrap/>
            <w:vAlign w:val="bottom"/>
            <w:hideMark/>
          </w:tcPr>
          <w:p w14:paraId="6C808059" w14:textId="77777777" w:rsidR="00C00379" w:rsidRPr="00630A55" w:rsidRDefault="00C00379" w:rsidP="008C3DA7">
            <w:pPr>
              <w:pStyle w:val="TableTextNumber"/>
              <w:jc w:val="right"/>
            </w:pPr>
            <w:r w:rsidRPr="00630A55">
              <w:t>$2,772,053,223</w:t>
            </w:r>
          </w:p>
        </w:tc>
      </w:tr>
      <w:tr w:rsidR="00C00379" w:rsidRPr="00630A55" w14:paraId="54580232" w14:textId="77777777" w:rsidTr="009C41D0">
        <w:trPr>
          <w:trHeight w:val="258"/>
        </w:trPr>
        <w:tc>
          <w:tcPr>
            <w:tcW w:w="6887" w:type="dxa"/>
            <w:gridSpan w:val="2"/>
            <w:tcBorders>
              <w:left w:val="single" w:sz="4" w:space="0" w:color="auto"/>
              <w:right w:val="single" w:sz="4" w:space="0" w:color="auto"/>
            </w:tcBorders>
            <w:shd w:val="clear" w:color="000000" w:fill="FFFFFF"/>
            <w:noWrap/>
            <w:vAlign w:val="center"/>
            <w:hideMark/>
          </w:tcPr>
          <w:p w14:paraId="6BBB78DD" w14:textId="78836231" w:rsidR="00C00379" w:rsidRPr="00630A55" w:rsidRDefault="00C00379" w:rsidP="001755CC">
            <w:pPr>
              <w:pStyle w:val="Tabletext"/>
              <w:rPr>
                <w:color w:val="000000"/>
                <w:lang w:eastAsia="en-AU"/>
              </w:rPr>
            </w:pPr>
            <w:r w:rsidRPr="00630A55">
              <w:rPr>
                <w:lang w:eastAsia="en-AU"/>
              </w:rPr>
              <w:t xml:space="preserve">Post </w:t>
            </w:r>
            <w:r w:rsidR="008C3DA7">
              <w:rPr>
                <w:lang w:eastAsia="en-AU"/>
              </w:rPr>
              <w:t>a</w:t>
            </w:r>
            <w:r w:rsidRPr="00630A55">
              <w:rPr>
                <w:lang w:eastAsia="en-AU"/>
              </w:rPr>
              <w:t xml:space="preserve">llocation </w:t>
            </w:r>
            <w:r w:rsidR="008C3DA7">
              <w:rPr>
                <w:lang w:eastAsia="en-AU"/>
              </w:rPr>
              <w:t>a</w:t>
            </w:r>
            <w:r w:rsidRPr="00630A55">
              <w:rPr>
                <w:lang w:eastAsia="en-AU"/>
              </w:rPr>
              <w:t xml:space="preserve">mounts </w:t>
            </w:r>
          </w:p>
        </w:tc>
        <w:tc>
          <w:tcPr>
            <w:tcW w:w="2287" w:type="dxa"/>
            <w:tcBorders>
              <w:left w:val="single" w:sz="4" w:space="0" w:color="auto"/>
              <w:right w:val="single" w:sz="4" w:space="0" w:color="auto"/>
            </w:tcBorders>
            <w:shd w:val="clear" w:color="auto" w:fill="auto"/>
            <w:noWrap/>
            <w:vAlign w:val="bottom"/>
            <w:hideMark/>
          </w:tcPr>
          <w:p w14:paraId="121896A5" w14:textId="77777777" w:rsidR="00C00379" w:rsidRPr="00630A55" w:rsidRDefault="00C00379" w:rsidP="008C3DA7">
            <w:pPr>
              <w:pStyle w:val="TableTextNumber"/>
              <w:jc w:val="right"/>
            </w:pPr>
            <w:r w:rsidRPr="00630A55">
              <w:t>$2,772,053,223</w:t>
            </w:r>
          </w:p>
        </w:tc>
      </w:tr>
      <w:tr w:rsidR="00C00379" w:rsidRPr="00630A55" w14:paraId="23A0AA55" w14:textId="77777777" w:rsidTr="009C41D0">
        <w:trPr>
          <w:trHeight w:val="258"/>
        </w:trPr>
        <w:tc>
          <w:tcPr>
            <w:tcW w:w="6887" w:type="dxa"/>
            <w:gridSpan w:val="2"/>
            <w:tcBorders>
              <w:left w:val="single" w:sz="4" w:space="0" w:color="auto"/>
              <w:right w:val="single" w:sz="4" w:space="0" w:color="auto"/>
            </w:tcBorders>
            <w:shd w:val="clear" w:color="000000" w:fill="FFFFFF"/>
            <w:noWrap/>
            <w:vAlign w:val="center"/>
            <w:hideMark/>
          </w:tcPr>
          <w:p w14:paraId="4F59123A" w14:textId="635AEC28" w:rsidR="00C00379" w:rsidRPr="00630A55" w:rsidRDefault="00C00379" w:rsidP="001755CC">
            <w:pPr>
              <w:pStyle w:val="Tabletext"/>
              <w:rPr>
                <w:color w:val="000000"/>
                <w:lang w:eastAsia="en-AU"/>
              </w:rPr>
            </w:pPr>
            <w:r w:rsidRPr="00630A55">
              <w:rPr>
                <w:lang w:eastAsia="en-AU"/>
              </w:rPr>
              <w:t xml:space="preserve">Adjustments </w:t>
            </w:r>
          </w:p>
        </w:tc>
        <w:tc>
          <w:tcPr>
            <w:tcW w:w="2287" w:type="dxa"/>
            <w:tcBorders>
              <w:left w:val="single" w:sz="4" w:space="0" w:color="auto"/>
              <w:right w:val="single" w:sz="4" w:space="0" w:color="auto"/>
            </w:tcBorders>
            <w:shd w:val="clear" w:color="auto" w:fill="auto"/>
            <w:noWrap/>
            <w:vAlign w:val="bottom"/>
            <w:hideMark/>
          </w:tcPr>
          <w:p w14:paraId="271D21A6" w14:textId="77777777" w:rsidR="00C00379" w:rsidRPr="00630A55" w:rsidRDefault="00C00379" w:rsidP="008C3DA7">
            <w:pPr>
              <w:pStyle w:val="TableTextNumber"/>
              <w:jc w:val="right"/>
              <w:rPr>
                <w:color w:val="000000"/>
              </w:rPr>
            </w:pPr>
            <w:r w:rsidRPr="00630A55">
              <w:t>($10,656,660)</w:t>
            </w:r>
          </w:p>
        </w:tc>
      </w:tr>
      <w:tr w:rsidR="00C00379" w:rsidRPr="00630A55" w14:paraId="12EB24A7" w14:textId="77777777" w:rsidTr="009C41D0">
        <w:trPr>
          <w:trHeight w:val="258"/>
        </w:trPr>
        <w:tc>
          <w:tcPr>
            <w:tcW w:w="6887" w:type="dxa"/>
            <w:gridSpan w:val="2"/>
            <w:tcBorders>
              <w:left w:val="single" w:sz="4" w:space="0" w:color="auto"/>
              <w:right w:val="single" w:sz="4" w:space="0" w:color="auto"/>
            </w:tcBorders>
            <w:shd w:val="clear" w:color="000000" w:fill="FFFFFF"/>
            <w:noWrap/>
            <w:vAlign w:val="center"/>
            <w:hideMark/>
          </w:tcPr>
          <w:p w14:paraId="65B34E3A" w14:textId="77777777" w:rsidR="00C00379" w:rsidRPr="00630A55" w:rsidRDefault="00C00379" w:rsidP="001755CC">
            <w:pPr>
              <w:pStyle w:val="Tabletext"/>
              <w:rPr>
                <w:color w:val="000000"/>
                <w:lang w:eastAsia="en-AU"/>
              </w:rPr>
            </w:pPr>
            <w:r w:rsidRPr="00630A55">
              <w:rPr>
                <w:lang w:eastAsia="en-AU"/>
              </w:rPr>
              <w:t xml:space="preserve">Line items as per standards </w:t>
            </w:r>
          </w:p>
        </w:tc>
        <w:tc>
          <w:tcPr>
            <w:tcW w:w="2287" w:type="dxa"/>
            <w:tcBorders>
              <w:left w:val="single" w:sz="4" w:space="0" w:color="auto"/>
              <w:right w:val="single" w:sz="4" w:space="0" w:color="auto"/>
            </w:tcBorders>
            <w:shd w:val="clear" w:color="auto" w:fill="auto"/>
            <w:noWrap/>
            <w:vAlign w:val="bottom"/>
            <w:hideMark/>
          </w:tcPr>
          <w:p w14:paraId="2ACCEE9F" w14:textId="77777777" w:rsidR="00C00379" w:rsidRPr="00630A55" w:rsidRDefault="00C00379" w:rsidP="008C3DA7">
            <w:pPr>
              <w:pStyle w:val="TableTextNumber"/>
              <w:jc w:val="right"/>
            </w:pPr>
            <w:r w:rsidRPr="00630A55">
              <w:t>$2,761,396,563</w:t>
            </w:r>
          </w:p>
        </w:tc>
      </w:tr>
      <w:tr w:rsidR="00C00379" w:rsidRPr="00630A55" w14:paraId="26AFA073" w14:textId="77777777" w:rsidTr="009C41D0">
        <w:trPr>
          <w:trHeight w:val="258"/>
        </w:trPr>
        <w:tc>
          <w:tcPr>
            <w:tcW w:w="6887" w:type="dxa"/>
            <w:gridSpan w:val="2"/>
            <w:tcBorders>
              <w:left w:val="single" w:sz="4" w:space="0" w:color="auto"/>
              <w:bottom w:val="single" w:sz="12" w:space="0" w:color="auto"/>
              <w:right w:val="single" w:sz="4" w:space="0" w:color="auto"/>
            </w:tcBorders>
            <w:shd w:val="clear" w:color="000000" w:fill="FFFFFF"/>
            <w:noWrap/>
            <w:vAlign w:val="center"/>
            <w:hideMark/>
          </w:tcPr>
          <w:p w14:paraId="61E9DACE" w14:textId="2BDCFA03" w:rsidR="00C00379" w:rsidRPr="00630A55" w:rsidRDefault="00C00379" w:rsidP="001755CC">
            <w:pPr>
              <w:pStyle w:val="Tabletext"/>
              <w:rPr>
                <w:color w:val="000000"/>
                <w:lang w:eastAsia="en-AU"/>
              </w:rPr>
            </w:pPr>
            <w:r w:rsidRPr="00630A55">
              <w:rPr>
                <w:lang w:eastAsia="en-AU"/>
              </w:rPr>
              <w:t xml:space="preserve">Costs </w:t>
            </w:r>
            <w:r w:rsidR="008C3DA7">
              <w:rPr>
                <w:lang w:eastAsia="en-AU"/>
              </w:rPr>
              <w:t>s</w:t>
            </w:r>
            <w:r w:rsidRPr="00630A55">
              <w:rPr>
                <w:lang w:eastAsia="en-AU"/>
              </w:rPr>
              <w:t xml:space="preserve">ubmitted to </w:t>
            </w:r>
            <w:r w:rsidR="008C3DA7">
              <w:rPr>
                <w:lang w:eastAsia="en-AU"/>
              </w:rPr>
              <w:t>j</w:t>
            </w:r>
            <w:r w:rsidRPr="00630A55">
              <w:rPr>
                <w:lang w:eastAsia="en-AU"/>
              </w:rPr>
              <w:t xml:space="preserve">urisdiction </w:t>
            </w:r>
          </w:p>
        </w:tc>
        <w:tc>
          <w:tcPr>
            <w:tcW w:w="2287" w:type="dxa"/>
            <w:tcBorders>
              <w:left w:val="single" w:sz="4" w:space="0" w:color="auto"/>
              <w:bottom w:val="single" w:sz="12" w:space="0" w:color="auto"/>
              <w:right w:val="single" w:sz="4" w:space="0" w:color="auto"/>
            </w:tcBorders>
            <w:shd w:val="clear" w:color="auto" w:fill="auto"/>
            <w:noWrap/>
            <w:vAlign w:val="bottom"/>
            <w:hideMark/>
          </w:tcPr>
          <w:p w14:paraId="637BFD41" w14:textId="77777777" w:rsidR="00C00379" w:rsidRPr="00630A55" w:rsidRDefault="00C00379" w:rsidP="008C3DA7">
            <w:pPr>
              <w:pStyle w:val="TableTextNumber"/>
              <w:jc w:val="right"/>
            </w:pPr>
            <w:r w:rsidRPr="00630A55">
              <w:t>$2,761,396,563</w:t>
            </w:r>
          </w:p>
        </w:tc>
      </w:tr>
      <w:tr w:rsidR="00C00379" w:rsidRPr="00630A55" w14:paraId="03DB2473" w14:textId="77777777" w:rsidTr="009C41D0">
        <w:trPr>
          <w:trHeight w:val="258"/>
        </w:trPr>
        <w:tc>
          <w:tcPr>
            <w:tcW w:w="6887" w:type="dxa"/>
            <w:gridSpan w:val="2"/>
            <w:tcBorders>
              <w:top w:val="single" w:sz="12" w:space="0" w:color="auto"/>
              <w:left w:val="single" w:sz="4" w:space="0" w:color="auto"/>
              <w:bottom w:val="single" w:sz="12" w:space="0" w:color="auto"/>
              <w:right w:val="single" w:sz="4" w:space="0" w:color="auto"/>
            </w:tcBorders>
            <w:shd w:val="clear" w:color="000000" w:fill="00338D"/>
            <w:noWrap/>
            <w:vAlign w:val="center"/>
            <w:hideMark/>
          </w:tcPr>
          <w:p w14:paraId="3AAB1C97" w14:textId="77777777" w:rsidR="00C00379" w:rsidRPr="00630A55" w:rsidRDefault="00C00379" w:rsidP="001755CC">
            <w:pPr>
              <w:pStyle w:val="Tableheading"/>
              <w:rPr>
                <w:lang w:eastAsia="en-AU"/>
              </w:rPr>
            </w:pPr>
            <w:r w:rsidRPr="00630A55">
              <w:rPr>
                <w:lang w:eastAsia="en-AU"/>
              </w:rPr>
              <w:t>Activity</w:t>
            </w:r>
          </w:p>
        </w:tc>
        <w:tc>
          <w:tcPr>
            <w:tcW w:w="2287" w:type="dxa"/>
            <w:tcBorders>
              <w:top w:val="single" w:sz="12" w:space="0" w:color="auto"/>
              <w:left w:val="single" w:sz="4" w:space="0" w:color="auto"/>
              <w:bottom w:val="single" w:sz="12" w:space="0" w:color="auto"/>
              <w:right w:val="single" w:sz="4" w:space="0" w:color="auto"/>
            </w:tcBorders>
            <w:shd w:val="clear" w:color="000000" w:fill="00338D"/>
            <w:noWrap/>
            <w:vAlign w:val="center"/>
            <w:hideMark/>
          </w:tcPr>
          <w:p w14:paraId="5174AB44" w14:textId="77777777" w:rsidR="00C00379" w:rsidRPr="00630A55" w:rsidRDefault="00C00379" w:rsidP="00467F5A">
            <w:pPr>
              <w:pStyle w:val="Tableheading"/>
              <w:rPr>
                <w:color w:val="FFFFFF"/>
                <w:lang w:eastAsia="en-AU"/>
              </w:rPr>
            </w:pPr>
            <w:r w:rsidRPr="00630A55">
              <w:rPr>
                <w:lang w:eastAsia="en-AU"/>
              </w:rPr>
              <w:t xml:space="preserve">Value </w:t>
            </w:r>
          </w:p>
        </w:tc>
      </w:tr>
      <w:tr w:rsidR="00C00379" w:rsidRPr="00630A55" w14:paraId="03355588" w14:textId="77777777" w:rsidTr="009C41D0">
        <w:trPr>
          <w:trHeight w:val="297"/>
        </w:trPr>
        <w:tc>
          <w:tcPr>
            <w:tcW w:w="6887" w:type="dxa"/>
            <w:gridSpan w:val="2"/>
            <w:tcBorders>
              <w:top w:val="single" w:sz="12" w:space="0" w:color="auto"/>
              <w:left w:val="single" w:sz="4" w:space="0" w:color="auto"/>
              <w:right w:val="single" w:sz="4" w:space="0" w:color="auto"/>
            </w:tcBorders>
            <w:shd w:val="clear" w:color="000000" w:fill="FFFFFF"/>
            <w:vAlign w:val="center"/>
            <w:hideMark/>
          </w:tcPr>
          <w:p w14:paraId="091213F7" w14:textId="4D294F1E" w:rsidR="00C00379" w:rsidRPr="00630A55" w:rsidRDefault="00C00379" w:rsidP="001755CC">
            <w:pPr>
              <w:pStyle w:val="Tabletext"/>
              <w:rPr>
                <w:color w:val="000000"/>
                <w:lang w:eastAsia="en-AU"/>
              </w:rPr>
            </w:pPr>
            <w:r w:rsidRPr="00630A55">
              <w:rPr>
                <w:lang w:eastAsia="en-AU"/>
              </w:rPr>
              <w:t xml:space="preserve">Data </w:t>
            </w:r>
            <w:r w:rsidR="008C3DA7">
              <w:rPr>
                <w:lang w:eastAsia="en-AU"/>
              </w:rPr>
              <w:t>l</w:t>
            </w:r>
            <w:r w:rsidRPr="00630A55">
              <w:rPr>
                <w:lang w:eastAsia="en-AU"/>
              </w:rPr>
              <w:t xml:space="preserve">oaded to the costing </w:t>
            </w:r>
            <w:r w:rsidR="008C3DA7">
              <w:rPr>
                <w:lang w:eastAsia="en-AU"/>
              </w:rPr>
              <w:t>s</w:t>
            </w:r>
            <w:r w:rsidRPr="00630A55">
              <w:rPr>
                <w:lang w:eastAsia="en-AU"/>
              </w:rPr>
              <w:t>ystem for costing purposes</w:t>
            </w:r>
          </w:p>
        </w:tc>
        <w:tc>
          <w:tcPr>
            <w:tcW w:w="2287" w:type="dxa"/>
            <w:tcBorders>
              <w:top w:val="single" w:sz="12" w:space="0" w:color="auto"/>
              <w:left w:val="single" w:sz="4" w:space="0" w:color="auto"/>
              <w:right w:val="single" w:sz="4" w:space="0" w:color="auto"/>
            </w:tcBorders>
            <w:shd w:val="clear" w:color="auto" w:fill="auto"/>
            <w:vAlign w:val="center"/>
            <w:hideMark/>
          </w:tcPr>
          <w:p w14:paraId="1594A973" w14:textId="77777777" w:rsidR="00C00379" w:rsidRPr="00630A55" w:rsidRDefault="00C00379" w:rsidP="008C3DA7">
            <w:pPr>
              <w:pStyle w:val="TableTextNumber"/>
              <w:jc w:val="right"/>
            </w:pPr>
            <w:r w:rsidRPr="00630A55">
              <w:t> </w:t>
            </w:r>
          </w:p>
        </w:tc>
      </w:tr>
      <w:tr w:rsidR="00C00379" w:rsidRPr="00630A55" w14:paraId="68850455" w14:textId="77777777" w:rsidTr="009C41D0">
        <w:trPr>
          <w:trHeight w:val="258"/>
        </w:trPr>
        <w:tc>
          <w:tcPr>
            <w:tcW w:w="281" w:type="dxa"/>
            <w:tcBorders>
              <w:left w:val="single" w:sz="4" w:space="0" w:color="auto"/>
            </w:tcBorders>
            <w:shd w:val="clear" w:color="000000" w:fill="FFFFFF"/>
            <w:noWrap/>
            <w:vAlign w:val="center"/>
            <w:hideMark/>
          </w:tcPr>
          <w:p w14:paraId="301EF116" w14:textId="77777777" w:rsidR="00C00379" w:rsidRPr="00630A55" w:rsidRDefault="00C00379" w:rsidP="001755CC">
            <w:pPr>
              <w:pStyle w:val="Tabletext"/>
              <w:rPr>
                <w:color w:val="000000"/>
                <w:lang w:eastAsia="en-AU"/>
              </w:rPr>
            </w:pPr>
            <w:r w:rsidRPr="00630A55">
              <w:rPr>
                <w:lang w:eastAsia="en-AU"/>
              </w:rPr>
              <w:t> </w:t>
            </w:r>
          </w:p>
        </w:tc>
        <w:tc>
          <w:tcPr>
            <w:tcW w:w="6606" w:type="dxa"/>
            <w:tcBorders>
              <w:right w:val="single" w:sz="4" w:space="0" w:color="auto"/>
            </w:tcBorders>
            <w:shd w:val="clear" w:color="000000" w:fill="FFFFFF"/>
            <w:noWrap/>
            <w:vAlign w:val="center"/>
            <w:hideMark/>
          </w:tcPr>
          <w:p w14:paraId="2E13B90E" w14:textId="0742BA9D" w:rsidR="00C00379" w:rsidRPr="00630A55" w:rsidRDefault="00C00379" w:rsidP="001755CC">
            <w:pPr>
              <w:pStyle w:val="Tabletext"/>
              <w:rPr>
                <w:color w:val="000000"/>
                <w:lang w:eastAsia="en-AU"/>
              </w:rPr>
            </w:pPr>
            <w:r w:rsidRPr="00630A55">
              <w:rPr>
                <w:lang w:eastAsia="en-AU"/>
              </w:rPr>
              <w:t xml:space="preserve">Activity </w:t>
            </w:r>
            <w:r w:rsidR="008C3DA7">
              <w:rPr>
                <w:lang w:eastAsia="en-AU"/>
              </w:rPr>
              <w:t>d</w:t>
            </w:r>
            <w:r w:rsidRPr="00630A55">
              <w:rPr>
                <w:lang w:eastAsia="en-AU"/>
              </w:rPr>
              <w:t xml:space="preserve">ata </w:t>
            </w:r>
          </w:p>
        </w:tc>
        <w:tc>
          <w:tcPr>
            <w:tcW w:w="2287" w:type="dxa"/>
            <w:tcBorders>
              <w:left w:val="single" w:sz="4" w:space="0" w:color="auto"/>
              <w:right w:val="single" w:sz="4" w:space="0" w:color="auto"/>
            </w:tcBorders>
            <w:shd w:val="clear" w:color="auto" w:fill="auto"/>
            <w:noWrap/>
            <w:vAlign w:val="bottom"/>
          </w:tcPr>
          <w:p w14:paraId="45AF1352" w14:textId="77777777" w:rsidR="00C00379" w:rsidRPr="00630A55" w:rsidRDefault="00C00379" w:rsidP="008C3DA7">
            <w:pPr>
              <w:pStyle w:val="TableTextNumber"/>
              <w:jc w:val="right"/>
            </w:pPr>
            <w:r w:rsidRPr="00630A55">
              <w:t>3,930,942</w:t>
            </w:r>
          </w:p>
        </w:tc>
      </w:tr>
      <w:tr w:rsidR="00C00379" w:rsidRPr="00630A55" w14:paraId="0C121826" w14:textId="77777777" w:rsidTr="009C41D0">
        <w:trPr>
          <w:trHeight w:val="258"/>
        </w:trPr>
        <w:tc>
          <w:tcPr>
            <w:tcW w:w="281" w:type="dxa"/>
            <w:tcBorders>
              <w:left w:val="single" w:sz="4" w:space="0" w:color="auto"/>
            </w:tcBorders>
            <w:shd w:val="clear" w:color="000000" w:fill="FFFFFF"/>
            <w:noWrap/>
            <w:vAlign w:val="center"/>
            <w:hideMark/>
          </w:tcPr>
          <w:p w14:paraId="52041F06" w14:textId="77777777" w:rsidR="00C00379" w:rsidRPr="00630A55" w:rsidRDefault="00C00379" w:rsidP="001755CC">
            <w:pPr>
              <w:pStyle w:val="Tabletext"/>
              <w:rPr>
                <w:color w:val="000000"/>
                <w:lang w:eastAsia="en-AU"/>
              </w:rPr>
            </w:pPr>
            <w:r w:rsidRPr="00630A55">
              <w:rPr>
                <w:lang w:eastAsia="en-AU"/>
              </w:rPr>
              <w:t> </w:t>
            </w:r>
          </w:p>
        </w:tc>
        <w:tc>
          <w:tcPr>
            <w:tcW w:w="6606" w:type="dxa"/>
            <w:tcBorders>
              <w:right w:val="single" w:sz="4" w:space="0" w:color="auto"/>
            </w:tcBorders>
            <w:shd w:val="clear" w:color="000000" w:fill="FFFFFF"/>
            <w:noWrap/>
            <w:vAlign w:val="center"/>
            <w:hideMark/>
          </w:tcPr>
          <w:p w14:paraId="03270379" w14:textId="1678B9CC" w:rsidR="00C00379" w:rsidRPr="00630A55" w:rsidRDefault="00C00379" w:rsidP="001755CC">
            <w:pPr>
              <w:pStyle w:val="Tabletext"/>
              <w:rPr>
                <w:color w:val="000000"/>
                <w:lang w:eastAsia="en-AU"/>
              </w:rPr>
            </w:pPr>
            <w:r w:rsidRPr="00630A55">
              <w:rPr>
                <w:lang w:eastAsia="en-AU"/>
              </w:rPr>
              <w:t xml:space="preserve">Feeder </w:t>
            </w:r>
            <w:r w:rsidR="008C3DA7">
              <w:rPr>
                <w:lang w:eastAsia="en-AU"/>
              </w:rPr>
              <w:t>d</w:t>
            </w:r>
            <w:r w:rsidRPr="00630A55">
              <w:rPr>
                <w:lang w:eastAsia="en-AU"/>
              </w:rPr>
              <w:t>ata</w:t>
            </w:r>
          </w:p>
        </w:tc>
        <w:tc>
          <w:tcPr>
            <w:tcW w:w="2287" w:type="dxa"/>
            <w:tcBorders>
              <w:left w:val="single" w:sz="4" w:space="0" w:color="auto"/>
              <w:right w:val="single" w:sz="4" w:space="0" w:color="auto"/>
            </w:tcBorders>
            <w:shd w:val="clear" w:color="auto" w:fill="auto"/>
            <w:noWrap/>
            <w:vAlign w:val="bottom"/>
          </w:tcPr>
          <w:p w14:paraId="0ABCE7B7" w14:textId="77777777" w:rsidR="00C00379" w:rsidRPr="00630A55" w:rsidRDefault="00C00379" w:rsidP="008C3DA7">
            <w:pPr>
              <w:pStyle w:val="TableTextNumber"/>
              <w:jc w:val="right"/>
              <w:rPr>
                <w:color w:val="000000"/>
              </w:rPr>
            </w:pPr>
            <w:r w:rsidRPr="00630A55">
              <w:t>455,008,746</w:t>
            </w:r>
          </w:p>
        </w:tc>
      </w:tr>
      <w:tr w:rsidR="00C00379" w:rsidRPr="00630A55" w14:paraId="24252D48" w14:textId="77777777" w:rsidTr="009C41D0">
        <w:trPr>
          <w:trHeight w:val="393"/>
        </w:trPr>
        <w:tc>
          <w:tcPr>
            <w:tcW w:w="6887" w:type="dxa"/>
            <w:gridSpan w:val="2"/>
            <w:tcBorders>
              <w:left w:val="single" w:sz="4" w:space="0" w:color="auto"/>
              <w:right w:val="single" w:sz="4" w:space="0" w:color="auto"/>
            </w:tcBorders>
            <w:shd w:val="clear" w:color="000000" w:fill="FFFFFF"/>
            <w:vAlign w:val="center"/>
            <w:hideMark/>
          </w:tcPr>
          <w:p w14:paraId="2D352AE9" w14:textId="504D4773" w:rsidR="00C00379" w:rsidRPr="00630A55" w:rsidRDefault="00C00379" w:rsidP="001755CC">
            <w:pPr>
              <w:pStyle w:val="Tabletext"/>
              <w:rPr>
                <w:color w:val="000000"/>
                <w:lang w:eastAsia="en-AU"/>
              </w:rPr>
            </w:pPr>
            <w:r w:rsidRPr="00630A55">
              <w:rPr>
                <w:lang w:eastAsia="en-AU"/>
              </w:rPr>
              <w:t xml:space="preserve">NHCDC </w:t>
            </w:r>
            <w:r w:rsidR="008C3DA7">
              <w:rPr>
                <w:lang w:eastAsia="en-AU"/>
              </w:rPr>
              <w:t>p</w:t>
            </w:r>
            <w:r w:rsidRPr="00630A55">
              <w:rPr>
                <w:lang w:eastAsia="en-AU"/>
              </w:rPr>
              <w:t xml:space="preserve">roduct </w:t>
            </w:r>
            <w:r w:rsidR="008C3DA7">
              <w:rPr>
                <w:lang w:eastAsia="en-AU"/>
              </w:rPr>
              <w:t>o</w:t>
            </w:r>
            <w:r w:rsidRPr="00630A55">
              <w:rPr>
                <w:lang w:eastAsia="en-AU"/>
              </w:rPr>
              <w:t xml:space="preserve">utput </w:t>
            </w:r>
            <w:r w:rsidR="008C3DA7">
              <w:rPr>
                <w:lang w:eastAsia="en-AU"/>
              </w:rPr>
              <w:t>a</w:t>
            </w:r>
            <w:r w:rsidRPr="00630A55">
              <w:rPr>
                <w:lang w:eastAsia="en-AU"/>
              </w:rPr>
              <w:t xml:space="preserve">ctivity - </w:t>
            </w:r>
            <w:r w:rsidR="008C3DA7">
              <w:rPr>
                <w:lang w:eastAsia="en-AU"/>
              </w:rPr>
              <w:t>p</w:t>
            </w:r>
            <w:r w:rsidRPr="00630A55">
              <w:rPr>
                <w:lang w:eastAsia="en-AU"/>
              </w:rPr>
              <w:t xml:space="preserve">ost </w:t>
            </w:r>
            <w:r w:rsidR="008C3DA7">
              <w:rPr>
                <w:lang w:eastAsia="en-AU"/>
              </w:rPr>
              <w:t>l</w:t>
            </w:r>
            <w:r w:rsidRPr="00630A55">
              <w:rPr>
                <w:lang w:eastAsia="en-AU"/>
              </w:rPr>
              <w:t xml:space="preserve">inking and </w:t>
            </w:r>
            <w:r w:rsidR="008C3DA7">
              <w:rPr>
                <w:lang w:eastAsia="en-AU"/>
              </w:rPr>
              <w:t>l</w:t>
            </w:r>
            <w:r w:rsidRPr="00630A55">
              <w:rPr>
                <w:lang w:eastAsia="en-AU"/>
              </w:rPr>
              <w:t>oading</w:t>
            </w:r>
          </w:p>
        </w:tc>
        <w:tc>
          <w:tcPr>
            <w:tcW w:w="2287" w:type="dxa"/>
            <w:tcBorders>
              <w:left w:val="single" w:sz="4" w:space="0" w:color="auto"/>
              <w:right w:val="single" w:sz="4" w:space="0" w:color="auto"/>
            </w:tcBorders>
            <w:shd w:val="clear" w:color="auto" w:fill="auto"/>
            <w:noWrap/>
            <w:vAlign w:val="bottom"/>
          </w:tcPr>
          <w:p w14:paraId="6BBBF14E" w14:textId="77777777" w:rsidR="00C00379" w:rsidRPr="00630A55" w:rsidRDefault="00C00379" w:rsidP="008C3DA7">
            <w:pPr>
              <w:pStyle w:val="TableTextNumber"/>
              <w:jc w:val="right"/>
            </w:pPr>
            <w:r w:rsidRPr="00630A55">
              <w:t>3,930,942</w:t>
            </w:r>
          </w:p>
        </w:tc>
      </w:tr>
      <w:tr w:rsidR="00C00379" w:rsidRPr="00630A55" w14:paraId="64961713" w14:textId="77777777" w:rsidTr="009C41D0">
        <w:trPr>
          <w:trHeight w:val="258"/>
        </w:trPr>
        <w:tc>
          <w:tcPr>
            <w:tcW w:w="6887" w:type="dxa"/>
            <w:gridSpan w:val="2"/>
            <w:tcBorders>
              <w:left w:val="single" w:sz="4" w:space="0" w:color="auto"/>
              <w:right w:val="single" w:sz="4" w:space="0" w:color="auto"/>
            </w:tcBorders>
            <w:shd w:val="clear" w:color="000000" w:fill="FFFFFF"/>
            <w:vAlign w:val="center"/>
            <w:hideMark/>
          </w:tcPr>
          <w:p w14:paraId="4146E505" w14:textId="5F888DF1" w:rsidR="00C00379" w:rsidRPr="00630A55" w:rsidRDefault="00C00379" w:rsidP="001755CC">
            <w:pPr>
              <w:pStyle w:val="Tabletext"/>
              <w:rPr>
                <w:color w:val="000000"/>
                <w:lang w:eastAsia="en-AU"/>
              </w:rPr>
            </w:pPr>
            <w:r w:rsidRPr="00630A55">
              <w:rPr>
                <w:lang w:eastAsia="en-AU"/>
              </w:rPr>
              <w:t xml:space="preserve">Final </w:t>
            </w:r>
            <w:r w:rsidR="008C3DA7">
              <w:rPr>
                <w:lang w:eastAsia="en-AU"/>
              </w:rPr>
              <w:t>s</w:t>
            </w:r>
            <w:r w:rsidRPr="00630A55">
              <w:rPr>
                <w:lang w:eastAsia="en-AU"/>
              </w:rPr>
              <w:t xml:space="preserve">ubmission to </w:t>
            </w:r>
            <w:r w:rsidR="008C3DA7">
              <w:rPr>
                <w:lang w:eastAsia="en-AU"/>
              </w:rPr>
              <w:t>j</w:t>
            </w:r>
            <w:r w:rsidRPr="00630A55">
              <w:rPr>
                <w:lang w:eastAsia="en-AU"/>
              </w:rPr>
              <w:t xml:space="preserve">urisdiction - </w:t>
            </w:r>
            <w:r w:rsidR="009A79AC">
              <w:rPr>
                <w:lang w:eastAsia="en-AU"/>
              </w:rPr>
              <w:t>a</w:t>
            </w:r>
            <w:r w:rsidRPr="00630A55">
              <w:rPr>
                <w:lang w:eastAsia="en-AU"/>
              </w:rPr>
              <w:t xml:space="preserve">ctivity by </w:t>
            </w:r>
            <w:r w:rsidR="009A79AC">
              <w:rPr>
                <w:lang w:eastAsia="en-AU"/>
              </w:rPr>
              <w:t>p</w:t>
            </w:r>
            <w:r w:rsidRPr="00630A55">
              <w:rPr>
                <w:lang w:eastAsia="en-AU"/>
              </w:rPr>
              <w:t>roduct</w:t>
            </w:r>
          </w:p>
        </w:tc>
        <w:tc>
          <w:tcPr>
            <w:tcW w:w="2287" w:type="dxa"/>
            <w:tcBorders>
              <w:left w:val="single" w:sz="4" w:space="0" w:color="auto"/>
              <w:right w:val="single" w:sz="4" w:space="0" w:color="auto"/>
            </w:tcBorders>
            <w:shd w:val="clear" w:color="auto" w:fill="auto"/>
            <w:noWrap/>
            <w:vAlign w:val="bottom"/>
          </w:tcPr>
          <w:p w14:paraId="57CCBDB1" w14:textId="77777777" w:rsidR="00C00379" w:rsidRPr="00630A55" w:rsidRDefault="00C00379" w:rsidP="008C3DA7">
            <w:pPr>
              <w:pStyle w:val="TableTextNumber"/>
              <w:jc w:val="right"/>
            </w:pPr>
            <w:r w:rsidRPr="00630A55">
              <w:t>3,930,618</w:t>
            </w:r>
          </w:p>
        </w:tc>
      </w:tr>
      <w:tr w:rsidR="00C00379" w:rsidRPr="00630A55" w14:paraId="225DCF18" w14:textId="77777777" w:rsidTr="009C41D0">
        <w:trPr>
          <w:trHeight w:val="258"/>
        </w:trPr>
        <w:tc>
          <w:tcPr>
            <w:tcW w:w="6887" w:type="dxa"/>
            <w:gridSpan w:val="2"/>
            <w:tcBorders>
              <w:left w:val="single" w:sz="4" w:space="0" w:color="auto"/>
              <w:bottom w:val="single" w:sz="12" w:space="0" w:color="auto"/>
              <w:right w:val="single" w:sz="4" w:space="0" w:color="auto"/>
            </w:tcBorders>
            <w:shd w:val="clear" w:color="000000" w:fill="FFFFFF"/>
            <w:vAlign w:val="center"/>
            <w:hideMark/>
          </w:tcPr>
          <w:p w14:paraId="6D0023B1" w14:textId="0E3BADB0" w:rsidR="00C00379" w:rsidRPr="00630A55" w:rsidRDefault="00C00379" w:rsidP="001755CC">
            <w:pPr>
              <w:pStyle w:val="Tabletext"/>
              <w:rPr>
                <w:color w:val="000000"/>
                <w:lang w:eastAsia="en-AU"/>
              </w:rPr>
            </w:pPr>
            <w:r w:rsidRPr="00630A55">
              <w:rPr>
                <w:lang w:eastAsia="en-AU"/>
              </w:rPr>
              <w:t xml:space="preserve">Final </w:t>
            </w:r>
            <w:r w:rsidR="008C3DA7">
              <w:rPr>
                <w:lang w:eastAsia="en-AU"/>
              </w:rPr>
              <w:t>s</w:t>
            </w:r>
            <w:r w:rsidRPr="00630A55">
              <w:rPr>
                <w:lang w:eastAsia="en-AU"/>
              </w:rPr>
              <w:t xml:space="preserve">ubmission to </w:t>
            </w:r>
            <w:r w:rsidR="008C3DA7">
              <w:rPr>
                <w:lang w:eastAsia="en-AU"/>
              </w:rPr>
              <w:t>j</w:t>
            </w:r>
            <w:r w:rsidRPr="00630A55">
              <w:rPr>
                <w:lang w:eastAsia="en-AU"/>
              </w:rPr>
              <w:t xml:space="preserve">urisdiction - </w:t>
            </w:r>
            <w:r w:rsidR="009A79AC">
              <w:rPr>
                <w:lang w:eastAsia="en-AU"/>
              </w:rPr>
              <w:t>a</w:t>
            </w:r>
            <w:r w:rsidRPr="00630A55">
              <w:rPr>
                <w:lang w:eastAsia="en-AU"/>
              </w:rPr>
              <w:t xml:space="preserve">ctivity and </w:t>
            </w:r>
            <w:r w:rsidR="009A79AC">
              <w:rPr>
                <w:lang w:eastAsia="en-AU"/>
              </w:rPr>
              <w:t>c</w:t>
            </w:r>
            <w:r w:rsidRPr="00630A55">
              <w:rPr>
                <w:lang w:eastAsia="en-AU"/>
              </w:rPr>
              <w:t xml:space="preserve">ost by </w:t>
            </w:r>
            <w:r w:rsidR="009A79AC">
              <w:rPr>
                <w:lang w:eastAsia="en-AU"/>
              </w:rPr>
              <w:t>p</w:t>
            </w:r>
            <w:r w:rsidRPr="00630A55">
              <w:rPr>
                <w:lang w:eastAsia="en-AU"/>
              </w:rPr>
              <w:t>roduct</w:t>
            </w:r>
          </w:p>
        </w:tc>
        <w:tc>
          <w:tcPr>
            <w:tcW w:w="2287" w:type="dxa"/>
            <w:tcBorders>
              <w:left w:val="single" w:sz="4" w:space="0" w:color="auto"/>
              <w:bottom w:val="single" w:sz="12" w:space="0" w:color="auto"/>
              <w:right w:val="single" w:sz="4" w:space="0" w:color="auto"/>
            </w:tcBorders>
            <w:shd w:val="clear" w:color="auto" w:fill="auto"/>
            <w:noWrap/>
            <w:vAlign w:val="bottom"/>
          </w:tcPr>
          <w:p w14:paraId="39663DCE" w14:textId="77777777" w:rsidR="00C00379" w:rsidRPr="00630A55" w:rsidRDefault="00C00379" w:rsidP="008C3DA7">
            <w:pPr>
              <w:pStyle w:val="TableTextNumber"/>
              <w:jc w:val="right"/>
            </w:pPr>
            <w:r w:rsidRPr="00630A55">
              <w:t>3,930,618</w:t>
            </w:r>
          </w:p>
        </w:tc>
      </w:tr>
      <w:tr w:rsidR="00C00379" w:rsidRPr="00630A55" w14:paraId="45FB19B1" w14:textId="77777777" w:rsidTr="009C41D0">
        <w:trPr>
          <w:trHeight w:val="258"/>
        </w:trPr>
        <w:tc>
          <w:tcPr>
            <w:tcW w:w="6887" w:type="dxa"/>
            <w:gridSpan w:val="2"/>
            <w:tcBorders>
              <w:top w:val="single" w:sz="12" w:space="0" w:color="auto"/>
              <w:left w:val="single" w:sz="4" w:space="0" w:color="auto"/>
              <w:bottom w:val="single" w:sz="12" w:space="0" w:color="auto"/>
              <w:right w:val="single" w:sz="4" w:space="0" w:color="auto"/>
            </w:tcBorders>
            <w:shd w:val="clear" w:color="000000" w:fill="00338D"/>
            <w:noWrap/>
            <w:vAlign w:val="center"/>
            <w:hideMark/>
          </w:tcPr>
          <w:p w14:paraId="03DE9B99" w14:textId="70C0DDC8" w:rsidR="00C00379" w:rsidRPr="00630A55" w:rsidRDefault="00C00379" w:rsidP="001755CC">
            <w:pPr>
              <w:pStyle w:val="Tableheading"/>
              <w:rPr>
                <w:color w:val="FFFFFF"/>
                <w:lang w:eastAsia="en-AU"/>
              </w:rPr>
            </w:pPr>
            <w:r w:rsidRPr="00630A55">
              <w:rPr>
                <w:lang w:eastAsia="en-AU"/>
              </w:rPr>
              <w:t xml:space="preserve">Cost submitted to </w:t>
            </w:r>
            <w:r w:rsidR="0071519F">
              <w:rPr>
                <w:lang w:eastAsia="en-AU"/>
              </w:rPr>
              <w:t>j</w:t>
            </w:r>
            <w:r w:rsidRPr="00630A55">
              <w:rPr>
                <w:lang w:eastAsia="en-AU"/>
              </w:rPr>
              <w:t xml:space="preserve">urisdiction </w:t>
            </w:r>
          </w:p>
        </w:tc>
        <w:tc>
          <w:tcPr>
            <w:tcW w:w="2287" w:type="dxa"/>
            <w:tcBorders>
              <w:top w:val="single" w:sz="12" w:space="0" w:color="auto"/>
              <w:left w:val="single" w:sz="4" w:space="0" w:color="auto"/>
              <w:bottom w:val="single" w:sz="12" w:space="0" w:color="auto"/>
              <w:right w:val="single" w:sz="4" w:space="0" w:color="auto"/>
            </w:tcBorders>
            <w:shd w:val="clear" w:color="000000" w:fill="00338D"/>
            <w:noWrap/>
            <w:vAlign w:val="center"/>
          </w:tcPr>
          <w:p w14:paraId="0E03E1D3" w14:textId="0BE977CB" w:rsidR="00C00379" w:rsidRPr="00630A55" w:rsidRDefault="00467F5A" w:rsidP="00467F5A">
            <w:pPr>
              <w:pStyle w:val="Tableheading"/>
              <w:rPr>
                <w:lang w:eastAsia="en-AU"/>
              </w:rPr>
            </w:pPr>
            <w:r>
              <w:rPr>
                <w:lang w:eastAsia="en-AU"/>
              </w:rPr>
              <w:t>Value</w:t>
            </w:r>
          </w:p>
        </w:tc>
      </w:tr>
      <w:tr w:rsidR="00C00379" w:rsidRPr="00630A55" w14:paraId="2D217BD6" w14:textId="77777777" w:rsidTr="009C41D0">
        <w:trPr>
          <w:trHeight w:val="258"/>
        </w:trPr>
        <w:tc>
          <w:tcPr>
            <w:tcW w:w="6887" w:type="dxa"/>
            <w:gridSpan w:val="2"/>
            <w:tcBorders>
              <w:top w:val="single" w:sz="12" w:space="0" w:color="auto"/>
              <w:left w:val="single" w:sz="4" w:space="0" w:color="auto"/>
              <w:right w:val="single" w:sz="4" w:space="0" w:color="auto"/>
            </w:tcBorders>
            <w:shd w:val="clear" w:color="000000" w:fill="FFFFFF"/>
            <w:vAlign w:val="center"/>
            <w:hideMark/>
          </w:tcPr>
          <w:p w14:paraId="4D15846D" w14:textId="08C9E924" w:rsidR="00C00379" w:rsidRPr="00630A55" w:rsidRDefault="009A79AC" w:rsidP="001755CC">
            <w:pPr>
              <w:pStyle w:val="Tabletext"/>
              <w:rPr>
                <w:color w:val="000000"/>
                <w:lang w:eastAsia="en-AU"/>
              </w:rPr>
            </w:pPr>
            <w:r>
              <w:rPr>
                <w:lang w:eastAsia="en-AU"/>
              </w:rPr>
              <w:t>Summary submission to jurisdiction</w:t>
            </w:r>
            <w:r w:rsidR="00C00379" w:rsidRPr="00630A55">
              <w:rPr>
                <w:lang w:eastAsia="en-AU"/>
              </w:rPr>
              <w:t xml:space="preserve"> </w:t>
            </w:r>
          </w:p>
        </w:tc>
        <w:tc>
          <w:tcPr>
            <w:tcW w:w="2287" w:type="dxa"/>
            <w:tcBorders>
              <w:top w:val="single" w:sz="12" w:space="0" w:color="auto"/>
              <w:left w:val="single" w:sz="4" w:space="0" w:color="auto"/>
              <w:right w:val="single" w:sz="4" w:space="0" w:color="auto"/>
            </w:tcBorders>
            <w:shd w:val="clear" w:color="auto" w:fill="auto"/>
            <w:vAlign w:val="center"/>
            <w:hideMark/>
          </w:tcPr>
          <w:p w14:paraId="4D861D5E" w14:textId="77777777" w:rsidR="00C00379" w:rsidRPr="00630A55" w:rsidRDefault="00C00379" w:rsidP="008C3DA7">
            <w:pPr>
              <w:pStyle w:val="TableTextNumber"/>
              <w:jc w:val="right"/>
            </w:pPr>
            <w:r w:rsidRPr="00630A55">
              <w:t> </w:t>
            </w:r>
          </w:p>
        </w:tc>
      </w:tr>
      <w:tr w:rsidR="00C00379" w:rsidRPr="00630A55" w14:paraId="4258B824" w14:textId="77777777" w:rsidTr="009C41D0">
        <w:trPr>
          <w:trHeight w:val="258"/>
        </w:trPr>
        <w:tc>
          <w:tcPr>
            <w:tcW w:w="281" w:type="dxa"/>
            <w:tcBorders>
              <w:left w:val="single" w:sz="4" w:space="0" w:color="auto"/>
            </w:tcBorders>
            <w:shd w:val="clear" w:color="000000" w:fill="FFFFFF"/>
            <w:noWrap/>
            <w:vAlign w:val="center"/>
            <w:hideMark/>
          </w:tcPr>
          <w:p w14:paraId="78988EAA" w14:textId="77777777" w:rsidR="00C00379" w:rsidRPr="00630A55" w:rsidRDefault="00C00379" w:rsidP="001755CC">
            <w:pPr>
              <w:pStyle w:val="Tabletext"/>
              <w:rPr>
                <w:color w:val="000000"/>
                <w:lang w:eastAsia="en-AU"/>
              </w:rPr>
            </w:pPr>
            <w:r w:rsidRPr="00630A55">
              <w:rPr>
                <w:lang w:eastAsia="en-AU"/>
              </w:rPr>
              <w:t> </w:t>
            </w:r>
          </w:p>
        </w:tc>
        <w:tc>
          <w:tcPr>
            <w:tcW w:w="6606" w:type="dxa"/>
            <w:tcBorders>
              <w:right w:val="single" w:sz="4" w:space="0" w:color="auto"/>
            </w:tcBorders>
            <w:shd w:val="clear" w:color="000000" w:fill="FFFFFF"/>
            <w:vAlign w:val="center"/>
            <w:hideMark/>
          </w:tcPr>
          <w:p w14:paraId="0FA60C5E" w14:textId="1718A3C2" w:rsidR="00C00379" w:rsidRPr="00630A55" w:rsidRDefault="00C00379" w:rsidP="001755CC">
            <w:pPr>
              <w:pStyle w:val="Tabletext"/>
              <w:rPr>
                <w:color w:val="000000"/>
                <w:lang w:eastAsia="en-AU"/>
              </w:rPr>
            </w:pPr>
            <w:r w:rsidRPr="00630A55">
              <w:rPr>
                <w:lang w:eastAsia="en-AU"/>
              </w:rPr>
              <w:t xml:space="preserve">Activity submitted to </w:t>
            </w:r>
            <w:r w:rsidR="0071519F">
              <w:rPr>
                <w:lang w:eastAsia="en-AU"/>
              </w:rPr>
              <w:t>j</w:t>
            </w:r>
            <w:r w:rsidRPr="00630A55">
              <w:rPr>
                <w:lang w:eastAsia="en-AU"/>
              </w:rPr>
              <w:t>urisdiction</w:t>
            </w:r>
          </w:p>
        </w:tc>
        <w:tc>
          <w:tcPr>
            <w:tcW w:w="2287" w:type="dxa"/>
            <w:tcBorders>
              <w:left w:val="single" w:sz="4" w:space="0" w:color="auto"/>
              <w:right w:val="single" w:sz="4" w:space="0" w:color="auto"/>
            </w:tcBorders>
            <w:shd w:val="clear" w:color="auto" w:fill="auto"/>
            <w:noWrap/>
            <w:vAlign w:val="bottom"/>
          </w:tcPr>
          <w:p w14:paraId="70352852" w14:textId="77777777" w:rsidR="00C00379" w:rsidRPr="00630A55" w:rsidRDefault="00C00379" w:rsidP="008C3DA7">
            <w:pPr>
              <w:pStyle w:val="TableTextNumber"/>
              <w:jc w:val="right"/>
            </w:pPr>
            <w:r w:rsidRPr="00630A55">
              <w:t>3,930,618</w:t>
            </w:r>
          </w:p>
        </w:tc>
      </w:tr>
      <w:tr w:rsidR="00C00379" w:rsidRPr="00630A55" w14:paraId="2DEB532B" w14:textId="77777777" w:rsidTr="009C41D0">
        <w:trPr>
          <w:trHeight w:val="258"/>
        </w:trPr>
        <w:tc>
          <w:tcPr>
            <w:tcW w:w="281" w:type="dxa"/>
            <w:tcBorders>
              <w:left w:val="single" w:sz="4" w:space="0" w:color="auto"/>
            </w:tcBorders>
            <w:shd w:val="clear" w:color="000000" w:fill="FFFFFF"/>
            <w:noWrap/>
            <w:vAlign w:val="center"/>
            <w:hideMark/>
          </w:tcPr>
          <w:p w14:paraId="609D1BB6" w14:textId="77777777" w:rsidR="00C00379" w:rsidRPr="00630A55" w:rsidRDefault="00C00379" w:rsidP="001755CC">
            <w:pPr>
              <w:pStyle w:val="Tabletext"/>
              <w:rPr>
                <w:color w:val="000000"/>
                <w:lang w:eastAsia="en-AU"/>
              </w:rPr>
            </w:pPr>
            <w:r w:rsidRPr="00630A55">
              <w:rPr>
                <w:lang w:eastAsia="en-AU"/>
              </w:rPr>
              <w:t> </w:t>
            </w:r>
          </w:p>
        </w:tc>
        <w:tc>
          <w:tcPr>
            <w:tcW w:w="6606" w:type="dxa"/>
            <w:tcBorders>
              <w:right w:val="single" w:sz="4" w:space="0" w:color="auto"/>
            </w:tcBorders>
            <w:shd w:val="clear" w:color="000000" w:fill="FFFFFF"/>
            <w:vAlign w:val="center"/>
            <w:hideMark/>
          </w:tcPr>
          <w:p w14:paraId="063CFEC5" w14:textId="1BA715B0" w:rsidR="00C00379" w:rsidRPr="00630A55" w:rsidRDefault="00C00379" w:rsidP="001755CC">
            <w:pPr>
              <w:pStyle w:val="Tabletext"/>
              <w:rPr>
                <w:color w:val="000000"/>
                <w:lang w:eastAsia="en-AU"/>
              </w:rPr>
            </w:pPr>
            <w:r w:rsidRPr="00630A55">
              <w:rPr>
                <w:lang w:eastAsia="en-AU"/>
              </w:rPr>
              <w:t xml:space="preserve">Costs submitted to </w:t>
            </w:r>
            <w:r w:rsidR="0071519F">
              <w:rPr>
                <w:lang w:eastAsia="en-AU"/>
              </w:rPr>
              <w:t>j</w:t>
            </w:r>
            <w:r w:rsidRPr="00630A55">
              <w:rPr>
                <w:lang w:eastAsia="en-AU"/>
              </w:rPr>
              <w:t>urisdiction</w:t>
            </w:r>
          </w:p>
        </w:tc>
        <w:tc>
          <w:tcPr>
            <w:tcW w:w="2287" w:type="dxa"/>
            <w:tcBorders>
              <w:left w:val="single" w:sz="4" w:space="0" w:color="auto"/>
              <w:right w:val="single" w:sz="4" w:space="0" w:color="auto"/>
            </w:tcBorders>
            <w:shd w:val="clear" w:color="auto" w:fill="auto"/>
            <w:noWrap/>
            <w:vAlign w:val="bottom"/>
          </w:tcPr>
          <w:p w14:paraId="6D068363" w14:textId="77777777" w:rsidR="00C00379" w:rsidRPr="00630A55" w:rsidRDefault="00C00379" w:rsidP="008C3DA7">
            <w:pPr>
              <w:pStyle w:val="TableTextNumber"/>
              <w:jc w:val="right"/>
            </w:pPr>
            <w:r w:rsidRPr="00630A55">
              <w:t>$2,761,396,563</w:t>
            </w:r>
          </w:p>
        </w:tc>
      </w:tr>
      <w:tr w:rsidR="00C00379" w:rsidRPr="00630A55" w14:paraId="0E5B22A0" w14:textId="77777777" w:rsidTr="009C41D0">
        <w:trPr>
          <w:trHeight w:val="258"/>
        </w:trPr>
        <w:tc>
          <w:tcPr>
            <w:tcW w:w="6887" w:type="dxa"/>
            <w:gridSpan w:val="2"/>
            <w:tcBorders>
              <w:top w:val="single" w:sz="12" w:space="0" w:color="auto"/>
              <w:left w:val="single" w:sz="4" w:space="0" w:color="auto"/>
              <w:bottom w:val="single" w:sz="12" w:space="0" w:color="auto"/>
              <w:right w:val="single" w:sz="4" w:space="0" w:color="auto"/>
            </w:tcBorders>
            <w:shd w:val="clear" w:color="000000" w:fill="00338D"/>
            <w:noWrap/>
            <w:vAlign w:val="center"/>
            <w:hideMark/>
          </w:tcPr>
          <w:p w14:paraId="6C0F01B4" w14:textId="77777777" w:rsidR="00C00379" w:rsidRPr="00630A55" w:rsidRDefault="00C00379" w:rsidP="001755CC">
            <w:pPr>
              <w:pStyle w:val="Tableheading"/>
              <w:rPr>
                <w:color w:val="FFFFFF"/>
                <w:lang w:eastAsia="en-AU"/>
              </w:rPr>
            </w:pPr>
            <w:r w:rsidRPr="00630A55">
              <w:rPr>
                <w:lang w:eastAsia="en-AU"/>
              </w:rPr>
              <w:t>Costs submitted to IHACPA</w:t>
            </w:r>
          </w:p>
        </w:tc>
        <w:tc>
          <w:tcPr>
            <w:tcW w:w="2287" w:type="dxa"/>
            <w:tcBorders>
              <w:top w:val="single" w:sz="12" w:space="0" w:color="auto"/>
              <w:left w:val="single" w:sz="4" w:space="0" w:color="auto"/>
              <w:bottom w:val="single" w:sz="12" w:space="0" w:color="auto"/>
              <w:right w:val="single" w:sz="4" w:space="0" w:color="auto"/>
            </w:tcBorders>
            <w:shd w:val="clear" w:color="000000" w:fill="00338D"/>
            <w:noWrap/>
            <w:vAlign w:val="center"/>
            <w:hideMark/>
          </w:tcPr>
          <w:p w14:paraId="16C13D58" w14:textId="77777777" w:rsidR="00C00379" w:rsidRPr="00630A55" w:rsidRDefault="00C00379" w:rsidP="00467F5A">
            <w:pPr>
              <w:pStyle w:val="Tableheading"/>
              <w:rPr>
                <w:color w:val="FFFFFF"/>
                <w:lang w:eastAsia="en-AU"/>
              </w:rPr>
            </w:pPr>
            <w:r w:rsidRPr="00630A55">
              <w:rPr>
                <w:lang w:eastAsia="en-AU"/>
              </w:rPr>
              <w:t xml:space="preserve">Value </w:t>
            </w:r>
          </w:p>
        </w:tc>
      </w:tr>
      <w:tr w:rsidR="00C00379" w:rsidRPr="00630A55" w14:paraId="29E045D9" w14:textId="77777777" w:rsidTr="009C41D0">
        <w:trPr>
          <w:trHeight w:val="258"/>
        </w:trPr>
        <w:tc>
          <w:tcPr>
            <w:tcW w:w="6887" w:type="dxa"/>
            <w:gridSpan w:val="2"/>
            <w:tcBorders>
              <w:top w:val="single" w:sz="12" w:space="0" w:color="auto"/>
              <w:left w:val="single" w:sz="4" w:space="0" w:color="auto"/>
              <w:right w:val="single" w:sz="4" w:space="0" w:color="auto"/>
            </w:tcBorders>
            <w:shd w:val="clear" w:color="000000" w:fill="FFFFFF"/>
            <w:vAlign w:val="center"/>
            <w:hideMark/>
          </w:tcPr>
          <w:p w14:paraId="594C1CCE" w14:textId="49A85711" w:rsidR="00C00379" w:rsidRPr="00630A55" w:rsidRDefault="00C00379" w:rsidP="001755CC">
            <w:pPr>
              <w:pStyle w:val="Tabletext"/>
              <w:rPr>
                <w:color w:val="000000"/>
                <w:lang w:eastAsia="en-AU"/>
              </w:rPr>
            </w:pPr>
            <w:r w:rsidRPr="00630A55">
              <w:rPr>
                <w:lang w:eastAsia="en-AU"/>
              </w:rPr>
              <w:t xml:space="preserve">Final </w:t>
            </w:r>
            <w:r w:rsidR="00973701">
              <w:rPr>
                <w:lang w:eastAsia="en-AU"/>
              </w:rPr>
              <w:t>s</w:t>
            </w:r>
            <w:r w:rsidRPr="00630A55">
              <w:rPr>
                <w:lang w:eastAsia="en-AU"/>
              </w:rPr>
              <w:t xml:space="preserve">ubmission from </w:t>
            </w:r>
            <w:r w:rsidR="00973701">
              <w:rPr>
                <w:lang w:eastAsia="en-AU"/>
              </w:rPr>
              <w:t>j</w:t>
            </w:r>
            <w:r w:rsidRPr="00630A55">
              <w:rPr>
                <w:lang w:eastAsia="en-AU"/>
              </w:rPr>
              <w:t xml:space="preserve">urisdiction to IHACPA for NHCDC - </w:t>
            </w:r>
            <w:r w:rsidR="00973701">
              <w:rPr>
                <w:lang w:eastAsia="en-AU"/>
              </w:rPr>
              <w:t>c</w:t>
            </w:r>
            <w:r w:rsidRPr="00630A55">
              <w:rPr>
                <w:lang w:eastAsia="en-AU"/>
              </w:rPr>
              <w:t xml:space="preserve">ost and </w:t>
            </w:r>
            <w:r w:rsidR="00973701">
              <w:rPr>
                <w:lang w:eastAsia="en-AU"/>
              </w:rPr>
              <w:t>a</w:t>
            </w:r>
            <w:r w:rsidRPr="00630A55">
              <w:rPr>
                <w:lang w:eastAsia="en-AU"/>
              </w:rPr>
              <w:t xml:space="preserve">ctivity by </w:t>
            </w:r>
            <w:r w:rsidR="00973701">
              <w:rPr>
                <w:lang w:eastAsia="en-AU"/>
              </w:rPr>
              <w:t>p</w:t>
            </w:r>
            <w:r w:rsidRPr="00630A55">
              <w:rPr>
                <w:lang w:eastAsia="en-AU"/>
              </w:rPr>
              <w:t xml:space="preserve">roduct </w:t>
            </w:r>
          </w:p>
        </w:tc>
        <w:tc>
          <w:tcPr>
            <w:tcW w:w="2287" w:type="dxa"/>
            <w:tcBorders>
              <w:top w:val="single" w:sz="12" w:space="0" w:color="auto"/>
              <w:left w:val="single" w:sz="4" w:space="0" w:color="auto"/>
              <w:right w:val="single" w:sz="4" w:space="0" w:color="auto"/>
            </w:tcBorders>
            <w:shd w:val="clear" w:color="auto" w:fill="auto"/>
            <w:vAlign w:val="center"/>
            <w:hideMark/>
          </w:tcPr>
          <w:p w14:paraId="57F9EC04" w14:textId="77777777" w:rsidR="00C00379" w:rsidRPr="00630A55" w:rsidRDefault="00C00379" w:rsidP="008C3DA7">
            <w:pPr>
              <w:pStyle w:val="TableTextNumber"/>
              <w:jc w:val="right"/>
            </w:pPr>
            <w:r w:rsidRPr="00630A55">
              <w:t> </w:t>
            </w:r>
          </w:p>
        </w:tc>
      </w:tr>
      <w:tr w:rsidR="00C00379" w:rsidRPr="00630A55" w14:paraId="655F51FE" w14:textId="77777777" w:rsidTr="009C41D0">
        <w:trPr>
          <w:trHeight w:val="258"/>
        </w:trPr>
        <w:tc>
          <w:tcPr>
            <w:tcW w:w="281" w:type="dxa"/>
            <w:tcBorders>
              <w:left w:val="single" w:sz="4" w:space="0" w:color="auto"/>
            </w:tcBorders>
            <w:shd w:val="clear" w:color="000000" w:fill="FFFFFF"/>
            <w:noWrap/>
            <w:vAlign w:val="center"/>
            <w:hideMark/>
          </w:tcPr>
          <w:p w14:paraId="1BE45AFE" w14:textId="77777777" w:rsidR="00C00379" w:rsidRPr="00630A55" w:rsidRDefault="00C00379" w:rsidP="001755CC">
            <w:pPr>
              <w:pStyle w:val="Tabletext"/>
              <w:rPr>
                <w:color w:val="000000"/>
                <w:lang w:eastAsia="en-AU"/>
              </w:rPr>
            </w:pPr>
            <w:r w:rsidRPr="00630A55">
              <w:rPr>
                <w:lang w:eastAsia="en-AU"/>
              </w:rPr>
              <w:t> </w:t>
            </w:r>
          </w:p>
        </w:tc>
        <w:tc>
          <w:tcPr>
            <w:tcW w:w="6606" w:type="dxa"/>
            <w:tcBorders>
              <w:right w:val="single" w:sz="4" w:space="0" w:color="auto"/>
            </w:tcBorders>
            <w:shd w:val="clear" w:color="000000" w:fill="FFFFFF"/>
            <w:vAlign w:val="center"/>
            <w:hideMark/>
          </w:tcPr>
          <w:p w14:paraId="22838EDA" w14:textId="77777777" w:rsidR="00C00379" w:rsidRPr="00630A55" w:rsidRDefault="00C00379" w:rsidP="001755CC">
            <w:pPr>
              <w:pStyle w:val="Tabletext"/>
              <w:rPr>
                <w:color w:val="000000"/>
                <w:lang w:eastAsia="en-AU"/>
              </w:rPr>
            </w:pPr>
            <w:r w:rsidRPr="00630A55">
              <w:rPr>
                <w:lang w:eastAsia="en-AU"/>
              </w:rPr>
              <w:t>Activity</w:t>
            </w:r>
          </w:p>
        </w:tc>
        <w:tc>
          <w:tcPr>
            <w:tcW w:w="2287" w:type="dxa"/>
            <w:tcBorders>
              <w:left w:val="single" w:sz="4" w:space="0" w:color="auto"/>
              <w:right w:val="single" w:sz="4" w:space="0" w:color="auto"/>
            </w:tcBorders>
            <w:shd w:val="clear" w:color="auto" w:fill="auto"/>
            <w:noWrap/>
            <w:vAlign w:val="bottom"/>
          </w:tcPr>
          <w:p w14:paraId="2C0C0D19" w14:textId="77777777" w:rsidR="00C00379" w:rsidRPr="00630A55" w:rsidRDefault="00C00379" w:rsidP="008C3DA7">
            <w:pPr>
              <w:pStyle w:val="TableTextNumber"/>
              <w:jc w:val="right"/>
            </w:pPr>
            <w:r w:rsidRPr="00630A55">
              <w:t>3,930,618</w:t>
            </w:r>
          </w:p>
        </w:tc>
      </w:tr>
      <w:tr w:rsidR="00C00379" w:rsidRPr="00630A55" w14:paraId="173CFBD1" w14:textId="77777777" w:rsidTr="009C41D0">
        <w:trPr>
          <w:trHeight w:val="258"/>
        </w:trPr>
        <w:tc>
          <w:tcPr>
            <w:tcW w:w="281" w:type="dxa"/>
            <w:tcBorders>
              <w:left w:val="single" w:sz="4" w:space="0" w:color="auto"/>
            </w:tcBorders>
            <w:shd w:val="clear" w:color="000000" w:fill="FFFFFF"/>
            <w:noWrap/>
            <w:vAlign w:val="center"/>
            <w:hideMark/>
          </w:tcPr>
          <w:p w14:paraId="14D97C48" w14:textId="77777777" w:rsidR="00C00379" w:rsidRPr="00630A55" w:rsidRDefault="00C00379" w:rsidP="001755CC">
            <w:pPr>
              <w:pStyle w:val="Tabletext"/>
              <w:rPr>
                <w:color w:val="000000"/>
                <w:lang w:eastAsia="en-AU"/>
              </w:rPr>
            </w:pPr>
            <w:r w:rsidRPr="00630A55">
              <w:rPr>
                <w:lang w:eastAsia="en-AU"/>
              </w:rPr>
              <w:t> </w:t>
            </w:r>
          </w:p>
        </w:tc>
        <w:tc>
          <w:tcPr>
            <w:tcW w:w="6606" w:type="dxa"/>
            <w:tcBorders>
              <w:right w:val="single" w:sz="4" w:space="0" w:color="auto"/>
            </w:tcBorders>
            <w:shd w:val="clear" w:color="000000" w:fill="FFFFFF"/>
            <w:vAlign w:val="center"/>
            <w:hideMark/>
          </w:tcPr>
          <w:p w14:paraId="7681850F" w14:textId="77777777" w:rsidR="00C00379" w:rsidRPr="00630A55" w:rsidRDefault="00C00379" w:rsidP="001755CC">
            <w:pPr>
              <w:pStyle w:val="Tabletext"/>
              <w:rPr>
                <w:color w:val="000000"/>
                <w:lang w:eastAsia="en-AU"/>
              </w:rPr>
            </w:pPr>
            <w:r w:rsidRPr="00630A55">
              <w:rPr>
                <w:lang w:eastAsia="en-AU"/>
              </w:rPr>
              <w:t>Costs</w:t>
            </w:r>
          </w:p>
        </w:tc>
        <w:tc>
          <w:tcPr>
            <w:tcW w:w="2287" w:type="dxa"/>
            <w:tcBorders>
              <w:left w:val="single" w:sz="4" w:space="0" w:color="auto"/>
              <w:right w:val="single" w:sz="4" w:space="0" w:color="auto"/>
            </w:tcBorders>
            <w:shd w:val="clear" w:color="auto" w:fill="auto"/>
            <w:noWrap/>
            <w:vAlign w:val="bottom"/>
          </w:tcPr>
          <w:p w14:paraId="61DA8569" w14:textId="77777777" w:rsidR="00C00379" w:rsidRPr="00630A55" w:rsidRDefault="00C00379" w:rsidP="008C3DA7">
            <w:pPr>
              <w:pStyle w:val="TableTextNumber"/>
              <w:jc w:val="right"/>
            </w:pPr>
            <w:r w:rsidRPr="00630A55">
              <w:t>$2,761,396,563</w:t>
            </w:r>
          </w:p>
        </w:tc>
      </w:tr>
      <w:tr w:rsidR="00C00379" w:rsidRPr="00630A55" w14:paraId="2565B6E5" w14:textId="77777777" w:rsidTr="009C41D0">
        <w:trPr>
          <w:trHeight w:val="258"/>
        </w:trPr>
        <w:tc>
          <w:tcPr>
            <w:tcW w:w="6887" w:type="dxa"/>
            <w:gridSpan w:val="2"/>
            <w:tcBorders>
              <w:left w:val="single" w:sz="4" w:space="0" w:color="auto"/>
              <w:right w:val="single" w:sz="4" w:space="0" w:color="auto"/>
            </w:tcBorders>
            <w:shd w:val="clear" w:color="000000" w:fill="FFFFFF"/>
            <w:vAlign w:val="center"/>
            <w:hideMark/>
          </w:tcPr>
          <w:p w14:paraId="19953F45" w14:textId="5ADD7527" w:rsidR="00C00379" w:rsidRPr="00630A55" w:rsidRDefault="00C00379" w:rsidP="001755CC">
            <w:pPr>
              <w:pStyle w:val="Tabletext"/>
              <w:rPr>
                <w:color w:val="000000"/>
                <w:lang w:eastAsia="en-AU"/>
              </w:rPr>
            </w:pPr>
            <w:r w:rsidRPr="00630A55">
              <w:rPr>
                <w:lang w:eastAsia="en-AU"/>
              </w:rPr>
              <w:t xml:space="preserve">Adjustments to </w:t>
            </w:r>
            <w:r w:rsidR="00973701">
              <w:rPr>
                <w:lang w:eastAsia="en-AU"/>
              </w:rPr>
              <w:t>j</w:t>
            </w:r>
            <w:r w:rsidRPr="00630A55">
              <w:rPr>
                <w:lang w:eastAsia="en-AU"/>
              </w:rPr>
              <w:t xml:space="preserve">urisdictional </w:t>
            </w:r>
            <w:r w:rsidR="00973701">
              <w:rPr>
                <w:lang w:eastAsia="en-AU"/>
              </w:rPr>
              <w:t>s</w:t>
            </w:r>
            <w:r w:rsidRPr="00630A55">
              <w:rPr>
                <w:lang w:eastAsia="en-AU"/>
              </w:rPr>
              <w:t xml:space="preserve">ubmission prior to finalisation of </w:t>
            </w:r>
            <w:r w:rsidR="00973701">
              <w:rPr>
                <w:lang w:eastAsia="en-AU"/>
              </w:rPr>
              <w:t>j</w:t>
            </w:r>
            <w:r w:rsidRPr="00630A55">
              <w:rPr>
                <w:lang w:eastAsia="en-AU"/>
              </w:rPr>
              <w:t>urisdictional data</w:t>
            </w:r>
          </w:p>
        </w:tc>
        <w:tc>
          <w:tcPr>
            <w:tcW w:w="2287" w:type="dxa"/>
            <w:tcBorders>
              <w:left w:val="single" w:sz="4" w:space="0" w:color="auto"/>
              <w:right w:val="single" w:sz="4" w:space="0" w:color="auto"/>
            </w:tcBorders>
            <w:shd w:val="clear" w:color="auto" w:fill="auto"/>
            <w:vAlign w:val="center"/>
          </w:tcPr>
          <w:p w14:paraId="0DA8F257" w14:textId="77777777" w:rsidR="00C00379" w:rsidRPr="00630A55" w:rsidRDefault="00C00379" w:rsidP="008C3DA7">
            <w:pPr>
              <w:pStyle w:val="TableTextNumber"/>
              <w:jc w:val="right"/>
            </w:pPr>
          </w:p>
        </w:tc>
      </w:tr>
      <w:tr w:rsidR="00C00379" w:rsidRPr="00630A55" w14:paraId="6A3CACB3" w14:textId="77777777" w:rsidTr="009C41D0">
        <w:trPr>
          <w:trHeight w:val="258"/>
        </w:trPr>
        <w:tc>
          <w:tcPr>
            <w:tcW w:w="281" w:type="dxa"/>
            <w:tcBorders>
              <w:left w:val="single" w:sz="4" w:space="0" w:color="auto"/>
            </w:tcBorders>
            <w:shd w:val="clear" w:color="000000" w:fill="FFFFFF"/>
            <w:noWrap/>
            <w:vAlign w:val="center"/>
            <w:hideMark/>
          </w:tcPr>
          <w:p w14:paraId="4A262703" w14:textId="77777777" w:rsidR="00C00379" w:rsidRPr="00630A55" w:rsidRDefault="00C00379" w:rsidP="001755CC">
            <w:pPr>
              <w:pStyle w:val="Tabletext"/>
              <w:rPr>
                <w:color w:val="000000"/>
                <w:lang w:eastAsia="en-AU"/>
              </w:rPr>
            </w:pPr>
            <w:r w:rsidRPr="00630A55">
              <w:rPr>
                <w:lang w:eastAsia="en-AU"/>
              </w:rPr>
              <w:t> </w:t>
            </w:r>
          </w:p>
        </w:tc>
        <w:tc>
          <w:tcPr>
            <w:tcW w:w="6606" w:type="dxa"/>
            <w:tcBorders>
              <w:right w:val="single" w:sz="4" w:space="0" w:color="auto"/>
            </w:tcBorders>
            <w:shd w:val="clear" w:color="000000" w:fill="FFFFFF"/>
            <w:noWrap/>
            <w:vAlign w:val="center"/>
            <w:hideMark/>
          </w:tcPr>
          <w:p w14:paraId="34B3844B" w14:textId="77777777" w:rsidR="00C00379" w:rsidRPr="00630A55" w:rsidRDefault="00C00379" w:rsidP="001755CC">
            <w:pPr>
              <w:pStyle w:val="Tabletext"/>
              <w:rPr>
                <w:color w:val="000000"/>
                <w:lang w:eastAsia="en-AU"/>
              </w:rPr>
            </w:pPr>
            <w:r w:rsidRPr="00630A55">
              <w:rPr>
                <w:lang w:eastAsia="en-AU"/>
              </w:rPr>
              <w:t xml:space="preserve">Activity totals </w:t>
            </w:r>
          </w:p>
        </w:tc>
        <w:tc>
          <w:tcPr>
            <w:tcW w:w="2287" w:type="dxa"/>
            <w:tcBorders>
              <w:left w:val="single" w:sz="4" w:space="0" w:color="auto"/>
              <w:right w:val="single" w:sz="4" w:space="0" w:color="auto"/>
            </w:tcBorders>
            <w:shd w:val="clear" w:color="auto" w:fill="auto"/>
            <w:noWrap/>
            <w:vAlign w:val="bottom"/>
          </w:tcPr>
          <w:p w14:paraId="65E701CB" w14:textId="77777777" w:rsidR="00C00379" w:rsidRPr="00630A55" w:rsidRDefault="00C00379" w:rsidP="008C3DA7">
            <w:pPr>
              <w:pStyle w:val="TableTextNumber"/>
              <w:jc w:val="right"/>
            </w:pPr>
            <w:r w:rsidRPr="00630A55">
              <w:t>(2,079,337)</w:t>
            </w:r>
          </w:p>
        </w:tc>
      </w:tr>
      <w:tr w:rsidR="00C00379" w:rsidRPr="00630A55" w14:paraId="6DD0F7F8" w14:textId="77777777" w:rsidTr="009C41D0">
        <w:trPr>
          <w:trHeight w:val="258"/>
        </w:trPr>
        <w:tc>
          <w:tcPr>
            <w:tcW w:w="281" w:type="dxa"/>
            <w:tcBorders>
              <w:left w:val="single" w:sz="4" w:space="0" w:color="auto"/>
            </w:tcBorders>
            <w:shd w:val="clear" w:color="000000" w:fill="FFFFFF"/>
            <w:noWrap/>
            <w:vAlign w:val="center"/>
            <w:hideMark/>
          </w:tcPr>
          <w:p w14:paraId="34BA34B5" w14:textId="77777777" w:rsidR="00C00379" w:rsidRPr="00630A55" w:rsidRDefault="00C00379" w:rsidP="001755CC">
            <w:pPr>
              <w:pStyle w:val="Tabletext"/>
              <w:rPr>
                <w:color w:val="000000"/>
                <w:lang w:eastAsia="en-AU"/>
              </w:rPr>
            </w:pPr>
            <w:r w:rsidRPr="00630A55">
              <w:rPr>
                <w:lang w:eastAsia="en-AU"/>
              </w:rPr>
              <w:t> </w:t>
            </w:r>
          </w:p>
        </w:tc>
        <w:tc>
          <w:tcPr>
            <w:tcW w:w="6606" w:type="dxa"/>
            <w:tcBorders>
              <w:right w:val="single" w:sz="4" w:space="0" w:color="auto"/>
            </w:tcBorders>
            <w:shd w:val="clear" w:color="000000" w:fill="FFFFFF"/>
            <w:noWrap/>
            <w:vAlign w:val="center"/>
            <w:hideMark/>
          </w:tcPr>
          <w:p w14:paraId="6684C9E2" w14:textId="77777777" w:rsidR="00C00379" w:rsidRPr="00630A55" w:rsidRDefault="00C00379" w:rsidP="001755CC">
            <w:pPr>
              <w:pStyle w:val="Tabletext"/>
              <w:rPr>
                <w:color w:val="000000"/>
                <w:lang w:eastAsia="en-AU"/>
              </w:rPr>
            </w:pPr>
            <w:r w:rsidRPr="00630A55">
              <w:rPr>
                <w:lang w:eastAsia="en-AU"/>
              </w:rPr>
              <w:t>Cost totals</w:t>
            </w:r>
          </w:p>
        </w:tc>
        <w:tc>
          <w:tcPr>
            <w:tcW w:w="2287" w:type="dxa"/>
            <w:tcBorders>
              <w:left w:val="single" w:sz="4" w:space="0" w:color="auto"/>
              <w:right w:val="single" w:sz="4" w:space="0" w:color="auto"/>
            </w:tcBorders>
            <w:shd w:val="clear" w:color="auto" w:fill="auto"/>
            <w:noWrap/>
            <w:vAlign w:val="bottom"/>
          </w:tcPr>
          <w:p w14:paraId="0F41E3E8" w14:textId="77777777" w:rsidR="00C00379" w:rsidRPr="00630A55" w:rsidRDefault="00C00379" w:rsidP="008C3DA7">
            <w:pPr>
              <w:pStyle w:val="TableTextNumber"/>
              <w:jc w:val="right"/>
            </w:pPr>
            <w:r w:rsidRPr="00630A55">
              <w:t>($577,168,188)</w:t>
            </w:r>
          </w:p>
        </w:tc>
      </w:tr>
      <w:tr w:rsidR="00C00379" w:rsidRPr="00630A55" w14:paraId="2D5CDE34" w14:textId="77777777" w:rsidTr="009C41D0">
        <w:trPr>
          <w:trHeight w:val="258"/>
        </w:trPr>
        <w:tc>
          <w:tcPr>
            <w:tcW w:w="6887" w:type="dxa"/>
            <w:gridSpan w:val="2"/>
            <w:tcBorders>
              <w:left w:val="single" w:sz="4" w:space="0" w:color="auto"/>
              <w:right w:val="single" w:sz="4" w:space="0" w:color="auto"/>
            </w:tcBorders>
            <w:shd w:val="clear" w:color="000000" w:fill="FFFFFF"/>
            <w:vAlign w:val="center"/>
            <w:hideMark/>
          </w:tcPr>
          <w:p w14:paraId="04C5EA3F" w14:textId="37560C42" w:rsidR="00C00379" w:rsidRPr="00630A55" w:rsidRDefault="00C00379" w:rsidP="001755CC">
            <w:pPr>
              <w:pStyle w:val="Tabletext"/>
              <w:rPr>
                <w:color w:val="000000"/>
                <w:lang w:eastAsia="en-AU"/>
              </w:rPr>
            </w:pPr>
            <w:r w:rsidRPr="00630A55">
              <w:rPr>
                <w:lang w:eastAsia="en-AU"/>
              </w:rPr>
              <w:t xml:space="preserve">Final </w:t>
            </w:r>
            <w:r w:rsidR="00973701">
              <w:rPr>
                <w:lang w:eastAsia="en-AU"/>
              </w:rPr>
              <w:t>j</w:t>
            </w:r>
            <w:r w:rsidRPr="00630A55">
              <w:rPr>
                <w:lang w:eastAsia="en-AU"/>
              </w:rPr>
              <w:t xml:space="preserve">urisdictional </w:t>
            </w:r>
            <w:r w:rsidR="00973701">
              <w:rPr>
                <w:lang w:eastAsia="en-AU"/>
              </w:rPr>
              <w:t>d</w:t>
            </w:r>
            <w:r w:rsidRPr="00630A55">
              <w:rPr>
                <w:lang w:eastAsia="en-AU"/>
              </w:rPr>
              <w:t xml:space="preserve">ata for </w:t>
            </w:r>
            <w:r w:rsidR="00973701">
              <w:rPr>
                <w:lang w:eastAsia="en-AU"/>
              </w:rPr>
              <w:t>c</w:t>
            </w:r>
            <w:r w:rsidRPr="00630A55">
              <w:rPr>
                <w:lang w:eastAsia="en-AU"/>
              </w:rPr>
              <w:t xml:space="preserve">ost </w:t>
            </w:r>
            <w:r w:rsidR="00973701">
              <w:rPr>
                <w:lang w:eastAsia="en-AU"/>
              </w:rPr>
              <w:t>w</w:t>
            </w:r>
            <w:r w:rsidRPr="00630A55">
              <w:rPr>
                <w:lang w:eastAsia="en-AU"/>
              </w:rPr>
              <w:t xml:space="preserve">eight </w:t>
            </w:r>
            <w:r w:rsidR="00973701">
              <w:rPr>
                <w:lang w:eastAsia="en-AU"/>
              </w:rPr>
              <w:t>p</w:t>
            </w:r>
            <w:r w:rsidRPr="00630A55">
              <w:rPr>
                <w:lang w:eastAsia="en-AU"/>
              </w:rPr>
              <w:t>roduction</w:t>
            </w:r>
          </w:p>
        </w:tc>
        <w:tc>
          <w:tcPr>
            <w:tcW w:w="2287" w:type="dxa"/>
            <w:tcBorders>
              <w:left w:val="single" w:sz="4" w:space="0" w:color="auto"/>
              <w:right w:val="single" w:sz="4" w:space="0" w:color="auto"/>
            </w:tcBorders>
            <w:shd w:val="clear" w:color="auto" w:fill="auto"/>
            <w:vAlign w:val="center"/>
          </w:tcPr>
          <w:p w14:paraId="37B81DD2" w14:textId="77777777" w:rsidR="00C00379" w:rsidRPr="00630A55" w:rsidRDefault="00C00379" w:rsidP="008C3DA7">
            <w:pPr>
              <w:pStyle w:val="TableTextNumber"/>
              <w:jc w:val="right"/>
            </w:pPr>
          </w:p>
        </w:tc>
      </w:tr>
      <w:tr w:rsidR="00C00379" w:rsidRPr="00630A55" w14:paraId="21AFF9C5" w14:textId="77777777" w:rsidTr="009C41D0">
        <w:trPr>
          <w:trHeight w:val="258"/>
        </w:trPr>
        <w:tc>
          <w:tcPr>
            <w:tcW w:w="281" w:type="dxa"/>
            <w:tcBorders>
              <w:left w:val="single" w:sz="4" w:space="0" w:color="auto"/>
            </w:tcBorders>
            <w:shd w:val="clear" w:color="000000" w:fill="FFFFFF"/>
            <w:noWrap/>
            <w:vAlign w:val="center"/>
            <w:hideMark/>
          </w:tcPr>
          <w:p w14:paraId="5EC52D5B" w14:textId="77777777" w:rsidR="00C00379" w:rsidRPr="00630A55" w:rsidRDefault="00C00379" w:rsidP="001755CC">
            <w:pPr>
              <w:pStyle w:val="Tabletext"/>
              <w:rPr>
                <w:color w:val="000000"/>
                <w:lang w:eastAsia="en-AU"/>
              </w:rPr>
            </w:pPr>
            <w:r w:rsidRPr="00630A55">
              <w:rPr>
                <w:lang w:eastAsia="en-AU"/>
              </w:rPr>
              <w:t> </w:t>
            </w:r>
          </w:p>
        </w:tc>
        <w:tc>
          <w:tcPr>
            <w:tcW w:w="6606" w:type="dxa"/>
            <w:tcBorders>
              <w:right w:val="single" w:sz="4" w:space="0" w:color="auto"/>
            </w:tcBorders>
            <w:shd w:val="clear" w:color="000000" w:fill="FFFFFF"/>
            <w:vAlign w:val="center"/>
            <w:hideMark/>
          </w:tcPr>
          <w:p w14:paraId="4D69EC4D" w14:textId="3ED16525" w:rsidR="00C00379" w:rsidRPr="00630A55" w:rsidRDefault="00C00379" w:rsidP="001755CC">
            <w:pPr>
              <w:pStyle w:val="Tabletext"/>
              <w:rPr>
                <w:color w:val="000000"/>
                <w:lang w:eastAsia="en-AU"/>
              </w:rPr>
            </w:pPr>
            <w:r w:rsidRPr="00630A55">
              <w:rPr>
                <w:lang w:eastAsia="en-AU"/>
              </w:rPr>
              <w:t xml:space="preserve">Finalised </w:t>
            </w:r>
            <w:r w:rsidR="00973701">
              <w:rPr>
                <w:lang w:eastAsia="en-AU"/>
              </w:rPr>
              <w:t>a</w:t>
            </w:r>
            <w:r w:rsidRPr="00630A55">
              <w:rPr>
                <w:lang w:eastAsia="en-AU"/>
              </w:rPr>
              <w:t>ctivity</w:t>
            </w:r>
          </w:p>
        </w:tc>
        <w:tc>
          <w:tcPr>
            <w:tcW w:w="2287" w:type="dxa"/>
            <w:tcBorders>
              <w:left w:val="single" w:sz="4" w:space="0" w:color="auto"/>
              <w:right w:val="single" w:sz="4" w:space="0" w:color="auto"/>
            </w:tcBorders>
            <w:shd w:val="clear" w:color="auto" w:fill="auto"/>
            <w:noWrap/>
            <w:vAlign w:val="bottom"/>
          </w:tcPr>
          <w:p w14:paraId="739B238E" w14:textId="77777777" w:rsidR="00C00379" w:rsidRPr="00630A55" w:rsidRDefault="00C00379" w:rsidP="008C3DA7">
            <w:pPr>
              <w:pStyle w:val="TableTextNumber"/>
              <w:jc w:val="right"/>
            </w:pPr>
            <w:r w:rsidRPr="00630A55">
              <w:t>1,851,281</w:t>
            </w:r>
          </w:p>
        </w:tc>
      </w:tr>
      <w:tr w:rsidR="00C00379" w:rsidRPr="00630A55" w14:paraId="62B3F9A1" w14:textId="77777777" w:rsidTr="009C41D0">
        <w:trPr>
          <w:trHeight w:val="258"/>
        </w:trPr>
        <w:tc>
          <w:tcPr>
            <w:tcW w:w="281" w:type="dxa"/>
            <w:tcBorders>
              <w:left w:val="single" w:sz="4" w:space="0" w:color="auto"/>
              <w:bottom w:val="single" w:sz="4" w:space="0" w:color="auto"/>
            </w:tcBorders>
            <w:shd w:val="clear" w:color="000000" w:fill="FFFFFF"/>
            <w:noWrap/>
            <w:vAlign w:val="center"/>
            <w:hideMark/>
          </w:tcPr>
          <w:p w14:paraId="770DC5B7" w14:textId="77777777" w:rsidR="00C00379" w:rsidRPr="00630A55" w:rsidRDefault="00C00379" w:rsidP="001755CC">
            <w:pPr>
              <w:pStyle w:val="Tabletext"/>
              <w:rPr>
                <w:color w:val="000000"/>
                <w:lang w:eastAsia="en-AU"/>
              </w:rPr>
            </w:pPr>
            <w:r w:rsidRPr="00630A55">
              <w:rPr>
                <w:lang w:eastAsia="en-AU"/>
              </w:rPr>
              <w:t> </w:t>
            </w:r>
          </w:p>
        </w:tc>
        <w:tc>
          <w:tcPr>
            <w:tcW w:w="6606" w:type="dxa"/>
            <w:tcBorders>
              <w:bottom w:val="single" w:sz="4" w:space="0" w:color="auto"/>
              <w:right w:val="single" w:sz="4" w:space="0" w:color="auto"/>
            </w:tcBorders>
            <w:shd w:val="clear" w:color="000000" w:fill="FFFFFF"/>
            <w:vAlign w:val="center"/>
            <w:hideMark/>
          </w:tcPr>
          <w:p w14:paraId="666704CD" w14:textId="6D5980E2" w:rsidR="00C00379" w:rsidRPr="00630A55" w:rsidRDefault="00C00379" w:rsidP="001755CC">
            <w:pPr>
              <w:pStyle w:val="Tabletext"/>
              <w:rPr>
                <w:color w:val="000000"/>
                <w:lang w:eastAsia="en-AU"/>
              </w:rPr>
            </w:pPr>
            <w:r w:rsidRPr="00630A55">
              <w:rPr>
                <w:lang w:eastAsia="en-AU"/>
              </w:rPr>
              <w:t xml:space="preserve">Finalised </w:t>
            </w:r>
            <w:r w:rsidR="00973701">
              <w:rPr>
                <w:lang w:eastAsia="en-AU"/>
              </w:rPr>
              <w:t>c</w:t>
            </w:r>
            <w:r w:rsidRPr="00630A55">
              <w:rPr>
                <w:lang w:eastAsia="en-AU"/>
              </w:rPr>
              <w:t>ost</w:t>
            </w:r>
          </w:p>
        </w:tc>
        <w:tc>
          <w:tcPr>
            <w:tcW w:w="2287" w:type="dxa"/>
            <w:tcBorders>
              <w:left w:val="single" w:sz="4" w:space="0" w:color="auto"/>
              <w:bottom w:val="single" w:sz="4" w:space="0" w:color="auto"/>
              <w:right w:val="single" w:sz="4" w:space="0" w:color="auto"/>
            </w:tcBorders>
            <w:shd w:val="clear" w:color="auto" w:fill="auto"/>
            <w:noWrap/>
            <w:vAlign w:val="bottom"/>
          </w:tcPr>
          <w:p w14:paraId="1930081D" w14:textId="77777777" w:rsidR="00C00379" w:rsidRPr="00630A55" w:rsidRDefault="00C00379" w:rsidP="008C3DA7">
            <w:pPr>
              <w:pStyle w:val="TableTextNumber"/>
              <w:jc w:val="right"/>
            </w:pPr>
            <w:r w:rsidRPr="00630A55">
              <w:t>$2,184,228,374</w:t>
            </w:r>
          </w:p>
        </w:tc>
      </w:tr>
    </w:tbl>
    <w:p w14:paraId="218C2673" w14:textId="77777777" w:rsidR="00861CB0" w:rsidRPr="00630A55" w:rsidRDefault="00861CB0" w:rsidP="00861CB0">
      <w:pPr>
        <w:pStyle w:val="Source"/>
      </w:pPr>
      <w:r w:rsidRPr="00630A55">
        <w:t xml:space="preserve">Source: Jurisdictional consultations and </w:t>
      </w:r>
      <w:r>
        <w:t>templates</w:t>
      </w:r>
    </w:p>
    <w:p w14:paraId="7517C7E2" w14:textId="77777777" w:rsidR="00C00379" w:rsidRPr="00630A55" w:rsidRDefault="00C00379" w:rsidP="00C00379"/>
    <w:p w14:paraId="2C5C1526" w14:textId="50D563A3" w:rsidR="00C00379" w:rsidRPr="00630A55" w:rsidRDefault="00C00379" w:rsidP="00C00379">
      <w:pPr>
        <w:pStyle w:val="Heading3"/>
      </w:pPr>
      <w:r w:rsidRPr="00630A55">
        <w:t xml:space="preserve">Sample </w:t>
      </w:r>
      <w:r w:rsidR="00FA323F">
        <w:t>p</w:t>
      </w:r>
      <w:r w:rsidRPr="00630A55">
        <w:t xml:space="preserve">atient </w:t>
      </w:r>
      <w:r w:rsidR="00FA323F">
        <w:t>d</w:t>
      </w:r>
      <w:r w:rsidRPr="00630A55">
        <w:t xml:space="preserve">ata </w:t>
      </w:r>
    </w:p>
    <w:p w14:paraId="63A429F2" w14:textId="20AC39EA" w:rsidR="00467F5A" w:rsidRPr="00222ECB" w:rsidRDefault="00C00379" w:rsidP="009C7FDA">
      <w:pPr>
        <w:pStyle w:val="BodyText"/>
        <w:rPr>
          <w:b/>
          <w:bCs/>
        </w:rPr>
      </w:pPr>
      <w:r w:rsidRPr="00630A55">
        <w:t xml:space="preserve">IHACPA selected a sample of five patients from each HHS for the purposes of testing the data flow from jurisdictions to IHACPA at patient level. The jurisdiction provided the patient level costs for all five patients from each HHS and these reconciled with IHACPA records. Further information relating to the sample records is available in </w:t>
      </w:r>
      <w:r w:rsidR="00222527" w:rsidRPr="00222ECB">
        <w:fldChar w:fldCharType="begin"/>
      </w:r>
      <w:r w:rsidR="00222527" w:rsidRPr="00222ECB">
        <w:instrText xml:space="preserve"> REF _Ref114755771 \h </w:instrText>
      </w:r>
      <w:r w:rsidR="00222ECB" w:rsidRPr="00222ECB">
        <w:instrText xml:space="preserve"> \* MERGEFORMAT </w:instrText>
      </w:r>
      <w:r w:rsidR="00222527" w:rsidRPr="00222ECB">
        <w:fldChar w:fldCharType="separate"/>
      </w:r>
      <w:r w:rsidR="007E2ACB" w:rsidRPr="007E2ACB">
        <w:t xml:space="preserve">Table </w:t>
      </w:r>
      <w:r w:rsidR="007E2ACB" w:rsidRPr="007E2ACB">
        <w:rPr>
          <w:noProof/>
        </w:rPr>
        <w:t>19</w:t>
      </w:r>
      <w:r w:rsidR="00222527" w:rsidRPr="00222ECB">
        <w:fldChar w:fldCharType="end"/>
      </w:r>
      <w:r w:rsidR="001C75FE" w:rsidRPr="00222ECB">
        <w:rPr>
          <w:b/>
          <w:bCs/>
        </w:rPr>
        <w:t xml:space="preserve">. </w:t>
      </w:r>
    </w:p>
    <w:p w14:paraId="686496C6" w14:textId="77777777" w:rsidR="00467F5A" w:rsidRDefault="00467F5A">
      <w:pPr>
        <w:spacing w:before="0" w:after="160" w:line="259" w:lineRule="auto"/>
      </w:pPr>
      <w:r>
        <w:br w:type="page"/>
      </w:r>
    </w:p>
    <w:p w14:paraId="6881D4C7" w14:textId="77777777" w:rsidR="00C00379" w:rsidRDefault="00C00379" w:rsidP="00C00379"/>
    <w:p w14:paraId="18BA93BD" w14:textId="3F6E93A7" w:rsidR="00D947D4" w:rsidRPr="00630A55" w:rsidRDefault="00222527" w:rsidP="00222527">
      <w:pPr>
        <w:pStyle w:val="Caption"/>
      </w:pPr>
      <w:bookmarkStart w:id="59" w:name="_Ref114755771"/>
      <w:r w:rsidRPr="00A8310C">
        <w:rPr>
          <w:b/>
          <w:bCs/>
        </w:rPr>
        <w:t xml:space="preserve">Table </w:t>
      </w:r>
      <w:r w:rsidR="00D91CB1" w:rsidRPr="00A8310C">
        <w:rPr>
          <w:b/>
          <w:bCs/>
        </w:rPr>
        <w:fldChar w:fldCharType="begin"/>
      </w:r>
      <w:r w:rsidR="00D91CB1" w:rsidRPr="00A8310C">
        <w:rPr>
          <w:b/>
          <w:bCs/>
        </w:rPr>
        <w:instrText xml:space="preserve"> SEQ Table \* ARABIC </w:instrText>
      </w:r>
      <w:r w:rsidR="00D91CB1" w:rsidRPr="00A8310C">
        <w:rPr>
          <w:b/>
          <w:bCs/>
        </w:rPr>
        <w:fldChar w:fldCharType="separate"/>
      </w:r>
      <w:r w:rsidR="007E2ACB">
        <w:rPr>
          <w:b/>
          <w:bCs/>
          <w:noProof/>
        </w:rPr>
        <w:t>19</w:t>
      </w:r>
      <w:r w:rsidR="00D91CB1" w:rsidRPr="00A8310C">
        <w:rPr>
          <w:b/>
          <w:bCs/>
          <w:noProof/>
        </w:rPr>
        <w:fldChar w:fldCharType="end"/>
      </w:r>
      <w:bookmarkEnd w:id="59"/>
      <w:r w:rsidRPr="00A8310C">
        <w:rPr>
          <w:b/>
          <w:bCs/>
        </w:rPr>
        <w:t>:</w:t>
      </w:r>
      <w:r>
        <w:t xml:space="preserve"> Queensland five patient sample reconciliation outcomes</w:t>
      </w:r>
    </w:p>
    <w:tbl>
      <w:tblPr>
        <w:tblStyle w:val="TableGrid"/>
        <w:tblW w:w="0" w:type="auto"/>
        <w:tblLook w:val="04A0" w:firstRow="1" w:lastRow="0" w:firstColumn="1" w:lastColumn="0" w:noHBand="0" w:noVBand="1"/>
      </w:tblPr>
      <w:tblGrid>
        <w:gridCol w:w="1413"/>
        <w:gridCol w:w="1559"/>
        <w:gridCol w:w="1701"/>
        <w:gridCol w:w="1559"/>
        <w:gridCol w:w="1496"/>
        <w:gridCol w:w="1332"/>
      </w:tblGrid>
      <w:tr w:rsidR="00D947D4" w:rsidRPr="003A7E92" w14:paraId="124672ED" w14:textId="77777777" w:rsidTr="00BF38BA">
        <w:tc>
          <w:tcPr>
            <w:tcW w:w="1413" w:type="dxa"/>
            <w:shd w:val="clear" w:color="auto" w:fill="00338D"/>
          </w:tcPr>
          <w:p w14:paraId="70A449FE" w14:textId="77777777" w:rsidR="00D947D4" w:rsidRPr="00467F5A" w:rsidRDefault="00D947D4" w:rsidP="00374C3F">
            <w:pPr>
              <w:spacing w:before="0" w:after="0"/>
              <w:rPr>
                <w:b/>
                <w:bCs/>
                <w:color w:val="FFFFFF" w:themeColor="background1"/>
                <w:sz w:val="20"/>
                <w:szCs w:val="20"/>
              </w:rPr>
            </w:pPr>
            <w:r w:rsidRPr="00467F5A">
              <w:rPr>
                <w:b/>
                <w:bCs/>
                <w:color w:val="FFFFFF" w:themeColor="background1"/>
                <w:sz w:val="20"/>
                <w:szCs w:val="20"/>
              </w:rPr>
              <w:t xml:space="preserve">Jurisdiction </w:t>
            </w:r>
          </w:p>
        </w:tc>
        <w:tc>
          <w:tcPr>
            <w:tcW w:w="1559" w:type="dxa"/>
            <w:shd w:val="clear" w:color="auto" w:fill="00338D"/>
          </w:tcPr>
          <w:p w14:paraId="69B77674" w14:textId="77777777" w:rsidR="00D947D4" w:rsidRPr="00467F5A" w:rsidRDefault="00D947D4" w:rsidP="00374C3F">
            <w:pPr>
              <w:spacing w:before="0" w:after="0"/>
              <w:rPr>
                <w:b/>
                <w:bCs/>
                <w:color w:val="FFFFFF" w:themeColor="background1"/>
                <w:sz w:val="20"/>
                <w:szCs w:val="20"/>
              </w:rPr>
            </w:pPr>
            <w:r w:rsidRPr="00467F5A">
              <w:rPr>
                <w:b/>
                <w:bCs/>
                <w:color w:val="FFFFFF" w:themeColor="background1"/>
                <w:sz w:val="20"/>
                <w:szCs w:val="20"/>
              </w:rPr>
              <w:t>Site</w:t>
            </w:r>
          </w:p>
        </w:tc>
        <w:tc>
          <w:tcPr>
            <w:tcW w:w="1701" w:type="dxa"/>
            <w:shd w:val="clear" w:color="auto" w:fill="00338D"/>
          </w:tcPr>
          <w:p w14:paraId="3E48309C" w14:textId="77777777" w:rsidR="00D947D4" w:rsidRPr="00467F5A" w:rsidRDefault="00D947D4" w:rsidP="00374C3F">
            <w:pPr>
              <w:spacing w:before="0" w:after="0"/>
              <w:rPr>
                <w:b/>
                <w:bCs/>
                <w:color w:val="FFFFFF" w:themeColor="background1"/>
                <w:sz w:val="20"/>
                <w:szCs w:val="20"/>
              </w:rPr>
            </w:pPr>
            <w:r w:rsidRPr="00467F5A">
              <w:rPr>
                <w:b/>
                <w:bCs/>
                <w:color w:val="FFFFFF" w:themeColor="background1"/>
                <w:sz w:val="20"/>
                <w:szCs w:val="20"/>
              </w:rPr>
              <w:t>Stream</w:t>
            </w:r>
          </w:p>
        </w:tc>
        <w:tc>
          <w:tcPr>
            <w:tcW w:w="1559" w:type="dxa"/>
            <w:shd w:val="clear" w:color="auto" w:fill="00338D"/>
          </w:tcPr>
          <w:p w14:paraId="727D9CCC" w14:textId="5D4CE1B3" w:rsidR="00D947D4" w:rsidRPr="00467F5A" w:rsidRDefault="00D947D4" w:rsidP="00A8310C">
            <w:pPr>
              <w:spacing w:before="0" w:after="0"/>
              <w:jc w:val="center"/>
              <w:rPr>
                <w:b/>
                <w:bCs/>
                <w:color w:val="FFFFFF" w:themeColor="background1"/>
                <w:sz w:val="20"/>
                <w:szCs w:val="20"/>
              </w:rPr>
            </w:pPr>
            <w:r w:rsidRPr="00467F5A">
              <w:rPr>
                <w:b/>
                <w:bCs/>
                <w:color w:val="FFFFFF" w:themeColor="background1"/>
                <w:sz w:val="20"/>
                <w:szCs w:val="20"/>
              </w:rPr>
              <w:t xml:space="preserve">Jurisdiction </w:t>
            </w:r>
            <w:r w:rsidR="00FA323F">
              <w:rPr>
                <w:b/>
                <w:bCs/>
                <w:color w:val="FFFFFF" w:themeColor="background1"/>
                <w:sz w:val="20"/>
                <w:szCs w:val="20"/>
              </w:rPr>
              <w:t>r</w:t>
            </w:r>
            <w:r w:rsidRPr="00467F5A">
              <w:rPr>
                <w:b/>
                <w:bCs/>
                <w:color w:val="FFFFFF" w:themeColor="background1"/>
                <w:sz w:val="20"/>
                <w:szCs w:val="20"/>
              </w:rPr>
              <w:t>ecords</w:t>
            </w:r>
          </w:p>
        </w:tc>
        <w:tc>
          <w:tcPr>
            <w:tcW w:w="1496" w:type="dxa"/>
            <w:shd w:val="clear" w:color="auto" w:fill="00338D"/>
          </w:tcPr>
          <w:p w14:paraId="57F52CED" w14:textId="458C2D1B" w:rsidR="00D947D4" w:rsidRPr="00467F5A" w:rsidRDefault="00D947D4" w:rsidP="00A8310C">
            <w:pPr>
              <w:spacing w:before="0" w:after="0"/>
              <w:jc w:val="center"/>
              <w:rPr>
                <w:b/>
                <w:bCs/>
                <w:color w:val="FFFFFF" w:themeColor="background1"/>
                <w:sz w:val="20"/>
                <w:szCs w:val="20"/>
              </w:rPr>
            </w:pPr>
            <w:r w:rsidRPr="00467F5A">
              <w:rPr>
                <w:b/>
                <w:bCs/>
                <w:color w:val="FFFFFF" w:themeColor="background1"/>
                <w:sz w:val="20"/>
                <w:szCs w:val="20"/>
              </w:rPr>
              <w:t>Received by IHACPA</w:t>
            </w:r>
          </w:p>
        </w:tc>
        <w:tc>
          <w:tcPr>
            <w:tcW w:w="1332" w:type="dxa"/>
            <w:shd w:val="clear" w:color="auto" w:fill="00338D"/>
          </w:tcPr>
          <w:p w14:paraId="73C972CF" w14:textId="77777777" w:rsidR="00D947D4" w:rsidRPr="00467F5A" w:rsidRDefault="00D947D4" w:rsidP="00A8310C">
            <w:pPr>
              <w:spacing w:before="0" w:after="0"/>
              <w:jc w:val="center"/>
              <w:rPr>
                <w:b/>
                <w:bCs/>
                <w:color w:val="FFFFFF" w:themeColor="background1"/>
                <w:sz w:val="20"/>
                <w:szCs w:val="20"/>
              </w:rPr>
            </w:pPr>
            <w:r w:rsidRPr="00467F5A">
              <w:rPr>
                <w:b/>
                <w:bCs/>
                <w:color w:val="FFFFFF" w:themeColor="background1"/>
                <w:sz w:val="20"/>
                <w:szCs w:val="20"/>
              </w:rPr>
              <w:t>Variance</w:t>
            </w:r>
          </w:p>
        </w:tc>
      </w:tr>
      <w:tr w:rsidR="00D947D4" w:rsidRPr="00B87F0A" w14:paraId="06A2598E" w14:textId="77777777" w:rsidTr="00374C3F">
        <w:tc>
          <w:tcPr>
            <w:tcW w:w="1413" w:type="dxa"/>
            <w:vMerge w:val="restart"/>
          </w:tcPr>
          <w:p w14:paraId="33B3AE2A" w14:textId="34C8DD12" w:rsidR="00D947D4" w:rsidRPr="00D947D4" w:rsidRDefault="00D947D4" w:rsidP="00D947D4">
            <w:pPr>
              <w:spacing w:before="0" w:after="0"/>
              <w:rPr>
                <w:sz w:val="20"/>
                <w:szCs w:val="20"/>
              </w:rPr>
            </w:pPr>
            <w:r w:rsidRPr="00630A55">
              <w:t>Queensland</w:t>
            </w:r>
          </w:p>
        </w:tc>
        <w:tc>
          <w:tcPr>
            <w:tcW w:w="1559" w:type="dxa"/>
            <w:vMerge w:val="restart"/>
          </w:tcPr>
          <w:p w14:paraId="0F2D405A" w14:textId="5FA9AD6D" w:rsidR="00D947D4" w:rsidRPr="00D947D4" w:rsidRDefault="00D947D4" w:rsidP="00D947D4">
            <w:pPr>
              <w:spacing w:before="0" w:after="0"/>
              <w:rPr>
                <w:sz w:val="20"/>
                <w:szCs w:val="20"/>
              </w:rPr>
            </w:pPr>
            <w:r w:rsidRPr="00630A55">
              <w:t>Central Queensland HHS</w:t>
            </w:r>
          </w:p>
        </w:tc>
        <w:tc>
          <w:tcPr>
            <w:tcW w:w="1701" w:type="dxa"/>
          </w:tcPr>
          <w:p w14:paraId="560A6DEC" w14:textId="3D644534" w:rsidR="00D947D4" w:rsidRPr="00D947D4" w:rsidRDefault="00D947D4" w:rsidP="00D947D4">
            <w:pPr>
              <w:spacing w:before="0" w:after="0"/>
              <w:rPr>
                <w:sz w:val="20"/>
                <w:szCs w:val="20"/>
              </w:rPr>
            </w:pPr>
            <w:r w:rsidRPr="00630A55">
              <w:t>Acute</w:t>
            </w:r>
          </w:p>
        </w:tc>
        <w:tc>
          <w:tcPr>
            <w:tcW w:w="1559" w:type="dxa"/>
          </w:tcPr>
          <w:p w14:paraId="6927DD89" w14:textId="4ABFC337" w:rsidR="00D947D4" w:rsidRPr="00D947D4" w:rsidRDefault="00D947D4" w:rsidP="00FA323F">
            <w:pPr>
              <w:spacing w:before="0" w:after="0"/>
              <w:jc w:val="right"/>
              <w:rPr>
                <w:sz w:val="20"/>
                <w:szCs w:val="20"/>
              </w:rPr>
            </w:pPr>
            <w:r w:rsidRPr="00630A55">
              <w:t>$1,067.28</w:t>
            </w:r>
          </w:p>
        </w:tc>
        <w:tc>
          <w:tcPr>
            <w:tcW w:w="1496" w:type="dxa"/>
          </w:tcPr>
          <w:p w14:paraId="396AB2B4" w14:textId="39B10154" w:rsidR="00D947D4" w:rsidRPr="00D947D4" w:rsidRDefault="00D947D4" w:rsidP="00FA323F">
            <w:pPr>
              <w:spacing w:before="0" w:after="0"/>
              <w:jc w:val="right"/>
              <w:rPr>
                <w:sz w:val="20"/>
                <w:szCs w:val="20"/>
              </w:rPr>
            </w:pPr>
            <w:r w:rsidRPr="00201E3A">
              <w:t>$1,067.28</w:t>
            </w:r>
          </w:p>
        </w:tc>
        <w:tc>
          <w:tcPr>
            <w:tcW w:w="1332" w:type="dxa"/>
          </w:tcPr>
          <w:p w14:paraId="4D566660" w14:textId="568CC004" w:rsidR="00D947D4" w:rsidRPr="00D947D4" w:rsidRDefault="00D947D4" w:rsidP="00FA323F">
            <w:pPr>
              <w:spacing w:before="0" w:after="0"/>
              <w:jc w:val="right"/>
              <w:rPr>
                <w:sz w:val="20"/>
                <w:szCs w:val="20"/>
              </w:rPr>
            </w:pPr>
            <w:r w:rsidRPr="00201E3A">
              <w:t>$0.00</w:t>
            </w:r>
          </w:p>
        </w:tc>
      </w:tr>
      <w:tr w:rsidR="00D947D4" w:rsidRPr="00B87F0A" w14:paraId="27CD90A4" w14:textId="77777777" w:rsidTr="00374C3F">
        <w:tc>
          <w:tcPr>
            <w:tcW w:w="1413" w:type="dxa"/>
            <w:vMerge/>
          </w:tcPr>
          <w:p w14:paraId="1D52468C" w14:textId="77777777" w:rsidR="00D947D4" w:rsidRPr="00D947D4" w:rsidRDefault="00D947D4" w:rsidP="00D947D4">
            <w:pPr>
              <w:spacing w:before="0" w:after="0"/>
              <w:rPr>
                <w:sz w:val="20"/>
                <w:szCs w:val="20"/>
              </w:rPr>
            </w:pPr>
          </w:p>
        </w:tc>
        <w:tc>
          <w:tcPr>
            <w:tcW w:w="1559" w:type="dxa"/>
            <w:vMerge/>
          </w:tcPr>
          <w:p w14:paraId="786937E8" w14:textId="77777777" w:rsidR="00D947D4" w:rsidRPr="00D947D4" w:rsidRDefault="00D947D4" w:rsidP="00D947D4">
            <w:pPr>
              <w:spacing w:before="0" w:after="0"/>
              <w:rPr>
                <w:sz w:val="20"/>
                <w:szCs w:val="20"/>
              </w:rPr>
            </w:pPr>
          </w:p>
        </w:tc>
        <w:tc>
          <w:tcPr>
            <w:tcW w:w="1701" w:type="dxa"/>
          </w:tcPr>
          <w:p w14:paraId="7792B152" w14:textId="0EED57CA" w:rsidR="00D947D4" w:rsidRPr="00D947D4" w:rsidRDefault="00D947D4" w:rsidP="00D947D4">
            <w:pPr>
              <w:spacing w:before="0" w:after="0"/>
              <w:rPr>
                <w:sz w:val="20"/>
                <w:szCs w:val="20"/>
              </w:rPr>
            </w:pPr>
            <w:r w:rsidRPr="00630A55">
              <w:t>Sub-Acute</w:t>
            </w:r>
          </w:p>
        </w:tc>
        <w:tc>
          <w:tcPr>
            <w:tcW w:w="1559" w:type="dxa"/>
          </w:tcPr>
          <w:p w14:paraId="51A9824F" w14:textId="424D925C" w:rsidR="00D947D4" w:rsidRPr="00D947D4" w:rsidRDefault="00D947D4" w:rsidP="00FA323F">
            <w:pPr>
              <w:spacing w:before="0" w:after="0"/>
              <w:jc w:val="right"/>
              <w:rPr>
                <w:sz w:val="20"/>
                <w:szCs w:val="20"/>
              </w:rPr>
            </w:pPr>
            <w:r w:rsidRPr="00630A55">
              <w:t>$122,033.81</w:t>
            </w:r>
          </w:p>
        </w:tc>
        <w:tc>
          <w:tcPr>
            <w:tcW w:w="1496" w:type="dxa"/>
          </w:tcPr>
          <w:p w14:paraId="6EF903B6" w14:textId="34F4B32E" w:rsidR="00D947D4" w:rsidRPr="00D947D4" w:rsidRDefault="00D947D4" w:rsidP="00FA323F">
            <w:pPr>
              <w:spacing w:before="0" w:after="0"/>
              <w:jc w:val="right"/>
              <w:rPr>
                <w:sz w:val="20"/>
                <w:szCs w:val="20"/>
              </w:rPr>
            </w:pPr>
            <w:r w:rsidRPr="00201E3A">
              <w:t>$122,033.81</w:t>
            </w:r>
          </w:p>
        </w:tc>
        <w:tc>
          <w:tcPr>
            <w:tcW w:w="1332" w:type="dxa"/>
          </w:tcPr>
          <w:p w14:paraId="62105659" w14:textId="2A8ACACC" w:rsidR="00D947D4" w:rsidRPr="00D947D4" w:rsidRDefault="00D947D4" w:rsidP="00FA323F">
            <w:pPr>
              <w:spacing w:before="0" w:after="0"/>
              <w:jc w:val="right"/>
              <w:rPr>
                <w:sz w:val="20"/>
                <w:szCs w:val="20"/>
              </w:rPr>
            </w:pPr>
            <w:r w:rsidRPr="00201E3A">
              <w:t>$0.00</w:t>
            </w:r>
          </w:p>
        </w:tc>
      </w:tr>
      <w:tr w:rsidR="00D947D4" w:rsidRPr="00B87F0A" w14:paraId="04F483A6" w14:textId="77777777" w:rsidTr="00374C3F">
        <w:tc>
          <w:tcPr>
            <w:tcW w:w="1413" w:type="dxa"/>
            <w:vMerge/>
          </w:tcPr>
          <w:p w14:paraId="1432A42B" w14:textId="77777777" w:rsidR="00D947D4" w:rsidRPr="00D947D4" w:rsidRDefault="00D947D4" w:rsidP="00D947D4">
            <w:pPr>
              <w:spacing w:before="0" w:after="0"/>
              <w:rPr>
                <w:sz w:val="20"/>
                <w:szCs w:val="20"/>
              </w:rPr>
            </w:pPr>
          </w:p>
        </w:tc>
        <w:tc>
          <w:tcPr>
            <w:tcW w:w="1559" w:type="dxa"/>
            <w:vMerge/>
          </w:tcPr>
          <w:p w14:paraId="75D0CF1F" w14:textId="77777777" w:rsidR="00D947D4" w:rsidRPr="00D947D4" w:rsidRDefault="00D947D4" w:rsidP="00D947D4">
            <w:pPr>
              <w:spacing w:before="0" w:after="0"/>
              <w:rPr>
                <w:sz w:val="20"/>
                <w:szCs w:val="20"/>
              </w:rPr>
            </w:pPr>
          </w:p>
        </w:tc>
        <w:tc>
          <w:tcPr>
            <w:tcW w:w="1701" w:type="dxa"/>
          </w:tcPr>
          <w:p w14:paraId="66A6DFBB" w14:textId="7D16B5ED" w:rsidR="00D947D4" w:rsidRPr="00D947D4" w:rsidRDefault="00D947D4" w:rsidP="00D947D4">
            <w:pPr>
              <w:spacing w:before="0" w:after="0"/>
              <w:rPr>
                <w:sz w:val="20"/>
                <w:szCs w:val="20"/>
              </w:rPr>
            </w:pPr>
            <w:r w:rsidRPr="00630A55">
              <w:t>ED</w:t>
            </w:r>
          </w:p>
        </w:tc>
        <w:tc>
          <w:tcPr>
            <w:tcW w:w="1559" w:type="dxa"/>
          </w:tcPr>
          <w:p w14:paraId="2AE1F25C" w14:textId="6B4E2D8C" w:rsidR="00D947D4" w:rsidRPr="00D947D4" w:rsidRDefault="00D947D4" w:rsidP="00FA323F">
            <w:pPr>
              <w:spacing w:before="0" w:after="0"/>
              <w:jc w:val="right"/>
              <w:rPr>
                <w:sz w:val="20"/>
                <w:szCs w:val="20"/>
              </w:rPr>
            </w:pPr>
            <w:r w:rsidRPr="00630A55">
              <w:t>$4.49</w:t>
            </w:r>
          </w:p>
        </w:tc>
        <w:tc>
          <w:tcPr>
            <w:tcW w:w="1496" w:type="dxa"/>
          </w:tcPr>
          <w:p w14:paraId="391B7CB4" w14:textId="313635CB" w:rsidR="00D947D4" w:rsidRPr="00D947D4" w:rsidRDefault="00D947D4" w:rsidP="00FA323F">
            <w:pPr>
              <w:spacing w:before="0" w:after="0"/>
              <w:jc w:val="right"/>
              <w:rPr>
                <w:sz w:val="20"/>
                <w:szCs w:val="20"/>
              </w:rPr>
            </w:pPr>
            <w:r w:rsidRPr="00201E3A">
              <w:t>$4.49</w:t>
            </w:r>
          </w:p>
        </w:tc>
        <w:tc>
          <w:tcPr>
            <w:tcW w:w="1332" w:type="dxa"/>
          </w:tcPr>
          <w:p w14:paraId="6E8BD197" w14:textId="07BA6FD0" w:rsidR="00D947D4" w:rsidRPr="00D947D4" w:rsidRDefault="00D947D4" w:rsidP="00FA323F">
            <w:pPr>
              <w:spacing w:before="0" w:after="0"/>
              <w:jc w:val="right"/>
              <w:rPr>
                <w:sz w:val="20"/>
                <w:szCs w:val="20"/>
              </w:rPr>
            </w:pPr>
            <w:r w:rsidRPr="00201E3A">
              <w:t>$0.00</w:t>
            </w:r>
          </w:p>
        </w:tc>
      </w:tr>
      <w:tr w:rsidR="00D947D4" w:rsidRPr="00B87F0A" w14:paraId="66D39153" w14:textId="77777777" w:rsidTr="00374C3F">
        <w:tc>
          <w:tcPr>
            <w:tcW w:w="1413" w:type="dxa"/>
            <w:vMerge/>
          </w:tcPr>
          <w:p w14:paraId="336B1919" w14:textId="77777777" w:rsidR="00D947D4" w:rsidRPr="00D947D4" w:rsidRDefault="00D947D4" w:rsidP="00D947D4">
            <w:pPr>
              <w:spacing w:before="0" w:after="0"/>
              <w:rPr>
                <w:sz w:val="20"/>
                <w:szCs w:val="20"/>
              </w:rPr>
            </w:pPr>
          </w:p>
        </w:tc>
        <w:tc>
          <w:tcPr>
            <w:tcW w:w="1559" w:type="dxa"/>
            <w:vMerge/>
          </w:tcPr>
          <w:p w14:paraId="2EAEAADA" w14:textId="77777777" w:rsidR="00D947D4" w:rsidRPr="00D947D4" w:rsidRDefault="00D947D4" w:rsidP="00D947D4">
            <w:pPr>
              <w:spacing w:before="0" w:after="0"/>
              <w:rPr>
                <w:sz w:val="20"/>
                <w:szCs w:val="20"/>
              </w:rPr>
            </w:pPr>
          </w:p>
        </w:tc>
        <w:tc>
          <w:tcPr>
            <w:tcW w:w="1701" w:type="dxa"/>
          </w:tcPr>
          <w:p w14:paraId="7DDD2DB5" w14:textId="00F137E4" w:rsidR="00D947D4" w:rsidRPr="00D947D4" w:rsidRDefault="00D947D4" w:rsidP="00D947D4">
            <w:pPr>
              <w:spacing w:before="0" w:after="0"/>
              <w:rPr>
                <w:sz w:val="20"/>
                <w:szCs w:val="20"/>
              </w:rPr>
            </w:pPr>
            <w:r w:rsidRPr="00630A55">
              <w:t>Non-Admitted</w:t>
            </w:r>
          </w:p>
        </w:tc>
        <w:tc>
          <w:tcPr>
            <w:tcW w:w="1559" w:type="dxa"/>
          </w:tcPr>
          <w:p w14:paraId="292F61A8" w14:textId="40F9CEE4" w:rsidR="00D947D4" w:rsidRPr="00D947D4" w:rsidRDefault="00D947D4" w:rsidP="00FA323F">
            <w:pPr>
              <w:spacing w:before="0" w:after="0"/>
              <w:jc w:val="right"/>
              <w:rPr>
                <w:sz w:val="20"/>
                <w:szCs w:val="20"/>
              </w:rPr>
            </w:pPr>
            <w:r w:rsidRPr="00630A55">
              <w:t>$336.52</w:t>
            </w:r>
          </w:p>
        </w:tc>
        <w:tc>
          <w:tcPr>
            <w:tcW w:w="1496" w:type="dxa"/>
          </w:tcPr>
          <w:p w14:paraId="19C228E6" w14:textId="4A82C8FC" w:rsidR="00D947D4" w:rsidRPr="00D947D4" w:rsidRDefault="00D947D4" w:rsidP="00FA323F">
            <w:pPr>
              <w:spacing w:before="0" w:after="0"/>
              <w:jc w:val="right"/>
              <w:rPr>
                <w:sz w:val="20"/>
                <w:szCs w:val="20"/>
              </w:rPr>
            </w:pPr>
            <w:r w:rsidRPr="00201E3A">
              <w:t>$336.52</w:t>
            </w:r>
          </w:p>
        </w:tc>
        <w:tc>
          <w:tcPr>
            <w:tcW w:w="1332" w:type="dxa"/>
          </w:tcPr>
          <w:p w14:paraId="48A7C23E" w14:textId="16654DC8" w:rsidR="00D947D4" w:rsidRPr="00D947D4" w:rsidRDefault="00D947D4" w:rsidP="00FA323F">
            <w:pPr>
              <w:spacing w:before="0" w:after="0"/>
              <w:jc w:val="right"/>
              <w:rPr>
                <w:sz w:val="20"/>
                <w:szCs w:val="20"/>
              </w:rPr>
            </w:pPr>
            <w:r w:rsidRPr="00201E3A">
              <w:t>$0.00</w:t>
            </w:r>
          </w:p>
        </w:tc>
      </w:tr>
      <w:tr w:rsidR="00D947D4" w:rsidRPr="00B87F0A" w14:paraId="2603556B" w14:textId="77777777" w:rsidTr="00374C3F">
        <w:tc>
          <w:tcPr>
            <w:tcW w:w="1413" w:type="dxa"/>
            <w:vMerge/>
          </w:tcPr>
          <w:p w14:paraId="5D7AFDF5" w14:textId="77777777" w:rsidR="00D947D4" w:rsidRPr="00D947D4" w:rsidRDefault="00D947D4" w:rsidP="00D947D4">
            <w:pPr>
              <w:spacing w:before="0" w:after="0"/>
              <w:rPr>
                <w:sz w:val="20"/>
                <w:szCs w:val="20"/>
              </w:rPr>
            </w:pPr>
          </w:p>
        </w:tc>
        <w:tc>
          <w:tcPr>
            <w:tcW w:w="1559" w:type="dxa"/>
            <w:vMerge/>
          </w:tcPr>
          <w:p w14:paraId="526D93EB" w14:textId="77777777" w:rsidR="00D947D4" w:rsidRPr="00D947D4" w:rsidRDefault="00D947D4" w:rsidP="00D947D4">
            <w:pPr>
              <w:spacing w:before="0" w:after="0"/>
              <w:rPr>
                <w:sz w:val="20"/>
                <w:szCs w:val="20"/>
              </w:rPr>
            </w:pPr>
          </w:p>
        </w:tc>
        <w:tc>
          <w:tcPr>
            <w:tcW w:w="1701" w:type="dxa"/>
          </w:tcPr>
          <w:p w14:paraId="50D07822" w14:textId="223D725C" w:rsidR="00D947D4" w:rsidRPr="00D947D4" w:rsidRDefault="00D947D4" w:rsidP="00D947D4">
            <w:pPr>
              <w:spacing w:before="0" w:after="0"/>
              <w:rPr>
                <w:sz w:val="20"/>
                <w:szCs w:val="20"/>
              </w:rPr>
            </w:pPr>
            <w:r w:rsidRPr="00630A55">
              <w:t>Mental Health</w:t>
            </w:r>
          </w:p>
        </w:tc>
        <w:tc>
          <w:tcPr>
            <w:tcW w:w="1559" w:type="dxa"/>
          </w:tcPr>
          <w:p w14:paraId="689DA16B" w14:textId="2A59053F" w:rsidR="00D947D4" w:rsidRPr="00D947D4" w:rsidRDefault="00D947D4" w:rsidP="00FA323F">
            <w:pPr>
              <w:spacing w:before="0" w:after="0"/>
              <w:jc w:val="right"/>
              <w:rPr>
                <w:sz w:val="20"/>
                <w:szCs w:val="20"/>
              </w:rPr>
            </w:pPr>
            <w:r w:rsidRPr="00630A55">
              <w:t>$20,943.89</w:t>
            </w:r>
          </w:p>
        </w:tc>
        <w:tc>
          <w:tcPr>
            <w:tcW w:w="1496" w:type="dxa"/>
          </w:tcPr>
          <w:p w14:paraId="02466363" w14:textId="342B02DA" w:rsidR="00D947D4" w:rsidRPr="00D947D4" w:rsidRDefault="00D947D4" w:rsidP="00FA323F">
            <w:pPr>
              <w:spacing w:before="0" w:after="0"/>
              <w:jc w:val="right"/>
              <w:rPr>
                <w:sz w:val="20"/>
                <w:szCs w:val="20"/>
              </w:rPr>
            </w:pPr>
            <w:r w:rsidRPr="00630A55">
              <w:t>$20,943.89</w:t>
            </w:r>
          </w:p>
        </w:tc>
        <w:tc>
          <w:tcPr>
            <w:tcW w:w="1332" w:type="dxa"/>
          </w:tcPr>
          <w:p w14:paraId="615F7473" w14:textId="71192B2D" w:rsidR="00D947D4" w:rsidRPr="00D947D4" w:rsidRDefault="00D947D4" w:rsidP="00FA323F">
            <w:pPr>
              <w:spacing w:before="0" w:after="0"/>
              <w:jc w:val="right"/>
              <w:rPr>
                <w:sz w:val="20"/>
                <w:szCs w:val="20"/>
              </w:rPr>
            </w:pPr>
            <w:r w:rsidRPr="00630A55">
              <w:t>$0.00</w:t>
            </w:r>
          </w:p>
        </w:tc>
      </w:tr>
      <w:tr w:rsidR="001E19FD" w:rsidRPr="00B87F0A" w14:paraId="2CD819CD" w14:textId="77777777" w:rsidTr="00374C3F">
        <w:tc>
          <w:tcPr>
            <w:tcW w:w="1413" w:type="dxa"/>
            <w:vMerge w:val="restart"/>
          </w:tcPr>
          <w:p w14:paraId="7CC619AA" w14:textId="79629E64" w:rsidR="001E19FD" w:rsidRPr="00D947D4" w:rsidRDefault="001E19FD" w:rsidP="00D947D4">
            <w:pPr>
              <w:spacing w:before="0" w:after="0"/>
              <w:rPr>
                <w:sz w:val="20"/>
                <w:szCs w:val="20"/>
              </w:rPr>
            </w:pPr>
            <w:r w:rsidRPr="00630A55">
              <w:t>Queensland</w:t>
            </w:r>
          </w:p>
        </w:tc>
        <w:tc>
          <w:tcPr>
            <w:tcW w:w="1559" w:type="dxa"/>
            <w:vMerge w:val="restart"/>
          </w:tcPr>
          <w:p w14:paraId="56D38D9C" w14:textId="5763691F" w:rsidR="001E19FD" w:rsidRPr="00D947D4" w:rsidRDefault="001E19FD" w:rsidP="00D947D4">
            <w:pPr>
              <w:spacing w:before="0" w:after="0"/>
              <w:rPr>
                <w:sz w:val="20"/>
                <w:szCs w:val="20"/>
              </w:rPr>
            </w:pPr>
            <w:r w:rsidRPr="00630A55">
              <w:t>Mackay HHS</w:t>
            </w:r>
          </w:p>
        </w:tc>
        <w:tc>
          <w:tcPr>
            <w:tcW w:w="1701" w:type="dxa"/>
          </w:tcPr>
          <w:p w14:paraId="0CEC8772" w14:textId="1BC4C1C6" w:rsidR="001E19FD" w:rsidRPr="00630A55" w:rsidRDefault="001E19FD" w:rsidP="00D947D4">
            <w:pPr>
              <w:spacing w:before="0" w:after="0"/>
            </w:pPr>
            <w:r w:rsidRPr="00630A55">
              <w:t>Acute</w:t>
            </w:r>
          </w:p>
        </w:tc>
        <w:tc>
          <w:tcPr>
            <w:tcW w:w="1559" w:type="dxa"/>
          </w:tcPr>
          <w:p w14:paraId="6914D7DC" w14:textId="664A97E7" w:rsidR="001E19FD" w:rsidRPr="00630A55" w:rsidRDefault="001E19FD" w:rsidP="00FA323F">
            <w:pPr>
              <w:spacing w:before="0" w:after="0"/>
              <w:jc w:val="right"/>
            </w:pPr>
            <w:r w:rsidRPr="00630A55">
              <w:t>$3,128.42</w:t>
            </w:r>
          </w:p>
        </w:tc>
        <w:tc>
          <w:tcPr>
            <w:tcW w:w="1496" w:type="dxa"/>
          </w:tcPr>
          <w:p w14:paraId="5FA9FCA5" w14:textId="56B263FD" w:rsidR="001E19FD" w:rsidRPr="00630A55" w:rsidRDefault="001E19FD" w:rsidP="00FA323F">
            <w:pPr>
              <w:spacing w:before="0" w:after="0"/>
              <w:jc w:val="right"/>
            </w:pPr>
            <w:r w:rsidRPr="00630A55">
              <w:t>$3,128.42</w:t>
            </w:r>
          </w:p>
        </w:tc>
        <w:tc>
          <w:tcPr>
            <w:tcW w:w="1332" w:type="dxa"/>
          </w:tcPr>
          <w:p w14:paraId="174E2B19" w14:textId="14B2D068" w:rsidR="001E19FD" w:rsidRPr="00630A55" w:rsidRDefault="001E19FD" w:rsidP="00FA323F">
            <w:pPr>
              <w:spacing w:before="0" w:after="0"/>
              <w:jc w:val="right"/>
            </w:pPr>
            <w:r w:rsidRPr="00630A55">
              <w:t>$0.00</w:t>
            </w:r>
          </w:p>
        </w:tc>
      </w:tr>
      <w:tr w:rsidR="001E19FD" w:rsidRPr="00B87F0A" w14:paraId="4341EFB9" w14:textId="77777777" w:rsidTr="00374C3F">
        <w:tc>
          <w:tcPr>
            <w:tcW w:w="1413" w:type="dxa"/>
            <w:vMerge/>
          </w:tcPr>
          <w:p w14:paraId="10ECF5F0" w14:textId="77777777" w:rsidR="001E19FD" w:rsidRPr="00630A55" w:rsidRDefault="001E19FD" w:rsidP="00D947D4">
            <w:pPr>
              <w:spacing w:before="0" w:after="0"/>
            </w:pPr>
          </w:p>
        </w:tc>
        <w:tc>
          <w:tcPr>
            <w:tcW w:w="1559" w:type="dxa"/>
            <w:vMerge/>
          </w:tcPr>
          <w:p w14:paraId="6DA3A2BF" w14:textId="77777777" w:rsidR="001E19FD" w:rsidRPr="00630A55" w:rsidRDefault="001E19FD" w:rsidP="00D947D4">
            <w:pPr>
              <w:spacing w:before="0" w:after="0"/>
            </w:pPr>
          </w:p>
        </w:tc>
        <w:tc>
          <w:tcPr>
            <w:tcW w:w="1701" w:type="dxa"/>
          </w:tcPr>
          <w:p w14:paraId="39A759D2" w14:textId="539670D6" w:rsidR="001E19FD" w:rsidRPr="00630A55" w:rsidRDefault="001E19FD" w:rsidP="00D947D4">
            <w:pPr>
              <w:spacing w:before="0" w:after="0"/>
            </w:pPr>
            <w:r w:rsidRPr="00630A55">
              <w:t>Sub-Acute</w:t>
            </w:r>
          </w:p>
        </w:tc>
        <w:tc>
          <w:tcPr>
            <w:tcW w:w="1559" w:type="dxa"/>
          </w:tcPr>
          <w:p w14:paraId="642D9E6F" w14:textId="4D739968" w:rsidR="001E19FD" w:rsidRPr="00630A55" w:rsidRDefault="001E19FD" w:rsidP="00FA323F">
            <w:pPr>
              <w:spacing w:before="0" w:after="0"/>
              <w:jc w:val="right"/>
            </w:pPr>
            <w:r w:rsidRPr="00630A55">
              <w:t>$307,459.18</w:t>
            </w:r>
          </w:p>
        </w:tc>
        <w:tc>
          <w:tcPr>
            <w:tcW w:w="1496" w:type="dxa"/>
          </w:tcPr>
          <w:p w14:paraId="4523FDA9" w14:textId="66D1188D" w:rsidR="001E19FD" w:rsidRPr="00630A55" w:rsidRDefault="001E19FD" w:rsidP="00FA323F">
            <w:pPr>
              <w:spacing w:before="0" w:after="0"/>
              <w:jc w:val="right"/>
            </w:pPr>
            <w:r w:rsidRPr="00630A55">
              <w:t>$307,459.18</w:t>
            </w:r>
          </w:p>
        </w:tc>
        <w:tc>
          <w:tcPr>
            <w:tcW w:w="1332" w:type="dxa"/>
          </w:tcPr>
          <w:p w14:paraId="10C72778" w14:textId="7EA7B708" w:rsidR="001E19FD" w:rsidRPr="00630A55" w:rsidRDefault="001E19FD" w:rsidP="00FA323F">
            <w:pPr>
              <w:spacing w:before="0" w:after="0"/>
              <w:jc w:val="right"/>
            </w:pPr>
            <w:r w:rsidRPr="00630A55">
              <w:t>$0.00</w:t>
            </w:r>
          </w:p>
        </w:tc>
      </w:tr>
      <w:tr w:rsidR="001E19FD" w:rsidRPr="00B87F0A" w14:paraId="407422AB" w14:textId="77777777" w:rsidTr="00374C3F">
        <w:tc>
          <w:tcPr>
            <w:tcW w:w="1413" w:type="dxa"/>
            <w:vMerge/>
          </w:tcPr>
          <w:p w14:paraId="5D1D0BCC" w14:textId="77777777" w:rsidR="001E19FD" w:rsidRPr="00630A55" w:rsidRDefault="001E19FD" w:rsidP="00D947D4">
            <w:pPr>
              <w:spacing w:before="0" w:after="0"/>
            </w:pPr>
          </w:p>
        </w:tc>
        <w:tc>
          <w:tcPr>
            <w:tcW w:w="1559" w:type="dxa"/>
            <w:vMerge/>
          </w:tcPr>
          <w:p w14:paraId="3E5A7B35" w14:textId="77777777" w:rsidR="001E19FD" w:rsidRPr="00630A55" w:rsidRDefault="001E19FD" w:rsidP="00D947D4">
            <w:pPr>
              <w:spacing w:before="0" w:after="0"/>
            </w:pPr>
          </w:p>
        </w:tc>
        <w:tc>
          <w:tcPr>
            <w:tcW w:w="1701" w:type="dxa"/>
          </w:tcPr>
          <w:p w14:paraId="303581E3" w14:textId="4262CB7E" w:rsidR="001E19FD" w:rsidRPr="00630A55" w:rsidRDefault="001E19FD" w:rsidP="00D947D4">
            <w:pPr>
              <w:spacing w:before="0" w:after="0"/>
            </w:pPr>
            <w:r w:rsidRPr="00630A55">
              <w:t>ED</w:t>
            </w:r>
          </w:p>
        </w:tc>
        <w:tc>
          <w:tcPr>
            <w:tcW w:w="1559" w:type="dxa"/>
          </w:tcPr>
          <w:p w14:paraId="0FC4AEF2" w14:textId="632584A7" w:rsidR="001E19FD" w:rsidRPr="00630A55" w:rsidRDefault="001E19FD" w:rsidP="00FA323F">
            <w:pPr>
              <w:spacing w:before="0" w:after="0"/>
              <w:jc w:val="right"/>
            </w:pPr>
            <w:r w:rsidRPr="00630A55">
              <w:t>$456.44</w:t>
            </w:r>
          </w:p>
        </w:tc>
        <w:tc>
          <w:tcPr>
            <w:tcW w:w="1496" w:type="dxa"/>
          </w:tcPr>
          <w:p w14:paraId="0778265A" w14:textId="315ED961" w:rsidR="001E19FD" w:rsidRPr="00630A55" w:rsidRDefault="001E19FD" w:rsidP="00FA323F">
            <w:pPr>
              <w:spacing w:before="0" w:after="0"/>
              <w:jc w:val="right"/>
            </w:pPr>
            <w:r w:rsidRPr="00630A55">
              <w:t>$456.44</w:t>
            </w:r>
          </w:p>
        </w:tc>
        <w:tc>
          <w:tcPr>
            <w:tcW w:w="1332" w:type="dxa"/>
          </w:tcPr>
          <w:p w14:paraId="2763F329" w14:textId="1EC6287F" w:rsidR="001E19FD" w:rsidRPr="00630A55" w:rsidRDefault="001E19FD" w:rsidP="00FA323F">
            <w:pPr>
              <w:spacing w:before="0" w:after="0"/>
              <w:jc w:val="right"/>
            </w:pPr>
            <w:r w:rsidRPr="00630A55">
              <w:t>$0.00</w:t>
            </w:r>
          </w:p>
        </w:tc>
      </w:tr>
      <w:tr w:rsidR="001E19FD" w:rsidRPr="00B87F0A" w14:paraId="7B47B1D1" w14:textId="77777777" w:rsidTr="00374C3F">
        <w:tc>
          <w:tcPr>
            <w:tcW w:w="1413" w:type="dxa"/>
            <w:vMerge/>
          </w:tcPr>
          <w:p w14:paraId="4CC4730A" w14:textId="77777777" w:rsidR="001E19FD" w:rsidRPr="00630A55" w:rsidRDefault="001E19FD" w:rsidP="00D947D4">
            <w:pPr>
              <w:spacing w:before="0" w:after="0"/>
            </w:pPr>
          </w:p>
        </w:tc>
        <w:tc>
          <w:tcPr>
            <w:tcW w:w="1559" w:type="dxa"/>
            <w:vMerge/>
          </w:tcPr>
          <w:p w14:paraId="277E330E" w14:textId="77777777" w:rsidR="001E19FD" w:rsidRPr="00630A55" w:rsidRDefault="001E19FD" w:rsidP="00D947D4">
            <w:pPr>
              <w:spacing w:before="0" w:after="0"/>
            </w:pPr>
          </w:p>
        </w:tc>
        <w:tc>
          <w:tcPr>
            <w:tcW w:w="1701" w:type="dxa"/>
          </w:tcPr>
          <w:p w14:paraId="2F79738F" w14:textId="087DAA5F" w:rsidR="001E19FD" w:rsidRPr="00630A55" w:rsidRDefault="001E19FD" w:rsidP="00D947D4">
            <w:pPr>
              <w:spacing w:before="0" w:after="0"/>
            </w:pPr>
            <w:r w:rsidRPr="00630A55">
              <w:t>Non-Admitted</w:t>
            </w:r>
          </w:p>
        </w:tc>
        <w:tc>
          <w:tcPr>
            <w:tcW w:w="1559" w:type="dxa"/>
          </w:tcPr>
          <w:p w14:paraId="6152F5C3" w14:textId="57FDB356" w:rsidR="001E19FD" w:rsidRPr="00630A55" w:rsidRDefault="001E19FD" w:rsidP="00FA323F">
            <w:pPr>
              <w:spacing w:before="0" w:after="0"/>
              <w:jc w:val="right"/>
            </w:pPr>
            <w:r w:rsidRPr="00630A55">
              <w:t>$1,168.62</w:t>
            </w:r>
          </w:p>
        </w:tc>
        <w:tc>
          <w:tcPr>
            <w:tcW w:w="1496" w:type="dxa"/>
          </w:tcPr>
          <w:p w14:paraId="46AB1840" w14:textId="3AD5C641" w:rsidR="001E19FD" w:rsidRPr="00630A55" w:rsidRDefault="001E19FD" w:rsidP="00FA323F">
            <w:pPr>
              <w:spacing w:before="0" w:after="0"/>
              <w:jc w:val="right"/>
            </w:pPr>
            <w:r w:rsidRPr="00630A55">
              <w:t>$1,168.62</w:t>
            </w:r>
          </w:p>
        </w:tc>
        <w:tc>
          <w:tcPr>
            <w:tcW w:w="1332" w:type="dxa"/>
          </w:tcPr>
          <w:p w14:paraId="2CCE23FF" w14:textId="3623878D" w:rsidR="001E19FD" w:rsidRPr="00630A55" w:rsidRDefault="001E19FD" w:rsidP="00FA323F">
            <w:pPr>
              <w:spacing w:before="0" w:after="0"/>
              <w:jc w:val="right"/>
            </w:pPr>
            <w:r w:rsidRPr="00630A55">
              <w:t>$0.00</w:t>
            </w:r>
          </w:p>
        </w:tc>
      </w:tr>
      <w:tr w:rsidR="001E19FD" w:rsidRPr="00B87F0A" w14:paraId="192E95AF" w14:textId="77777777" w:rsidTr="00374C3F">
        <w:tc>
          <w:tcPr>
            <w:tcW w:w="1413" w:type="dxa"/>
            <w:vMerge/>
          </w:tcPr>
          <w:p w14:paraId="33063FA9" w14:textId="77777777" w:rsidR="001E19FD" w:rsidRPr="00630A55" w:rsidRDefault="001E19FD" w:rsidP="00D947D4">
            <w:pPr>
              <w:spacing w:before="0" w:after="0"/>
            </w:pPr>
          </w:p>
        </w:tc>
        <w:tc>
          <w:tcPr>
            <w:tcW w:w="1559" w:type="dxa"/>
            <w:vMerge/>
          </w:tcPr>
          <w:p w14:paraId="11C504EC" w14:textId="77777777" w:rsidR="001E19FD" w:rsidRPr="00630A55" w:rsidRDefault="001E19FD" w:rsidP="00D947D4">
            <w:pPr>
              <w:spacing w:before="0" w:after="0"/>
            </w:pPr>
          </w:p>
        </w:tc>
        <w:tc>
          <w:tcPr>
            <w:tcW w:w="1701" w:type="dxa"/>
          </w:tcPr>
          <w:p w14:paraId="4E5A92FF" w14:textId="2B3106C9" w:rsidR="001E19FD" w:rsidRPr="00630A55" w:rsidRDefault="001E19FD" w:rsidP="00D947D4">
            <w:pPr>
              <w:spacing w:before="0" w:after="0"/>
            </w:pPr>
            <w:r w:rsidRPr="00630A55">
              <w:t>Mental Health</w:t>
            </w:r>
          </w:p>
        </w:tc>
        <w:tc>
          <w:tcPr>
            <w:tcW w:w="1559" w:type="dxa"/>
          </w:tcPr>
          <w:p w14:paraId="03C6227F" w14:textId="12DE06F1" w:rsidR="001E19FD" w:rsidRPr="00630A55" w:rsidRDefault="001E19FD" w:rsidP="00FA323F">
            <w:pPr>
              <w:spacing w:before="0" w:after="0"/>
              <w:jc w:val="right"/>
            </w:pPr>
            <w:r w:rsidRPr="00630A55">
              <w:t>$374.05</w:t>
            </w:r>
          </w:p>
        </w:tc>
        <w:tc>
          <w:tcPr>
            <w:tcW w:w="1496" w:type="dxa"/>
          </w:tcPr>
          <w:p w14:paraId="63261E27" w14:textId="6ABD0EAF" w:rsidR="001E19FD" w:rsidRPr="00630A55" w:rsidRDefault="001E19FD" w:rsidP="00FA323F">
            <w:pPr>
              <w:spacing w:before="0" w:after="0"/>
              <w:jc w:val="right"/>
            </w:pPr>
            <w:r w:rsidRPr="00630A55">
              <w:t>$374.05</w:t>
            </w:r>
          </w:p>
        </w:tc>
        <w:tc>
          <w:tcPr>
            <w:tcW w:w="1332" w:type="dxa"/>
          </w:tcPr>
          <w:p w14:paraId="485FAAF7" w14:textId="71E9462F" w:rsidR="001E19FD" w:rsidRPr="00630A55" w:rsidRDefault="001E19FD" w:rsidP="00FA323F">
            <w:pPr>
              <w:spacing w:before="0" w:after="0"/>
              <w:jc w:val="right"/>
            </w:pPr>
            <w:r w:rsidRPr="00630A55">
              <w:t>$0.00</w:t>
            </w:r>
          </w:p>
        </w:tc>
      </w:tr>
      <w:tr w:rsidR="001E19FD" w:rsidRPr="00B87F0A" w14:paraId="0DF399A0" w14:textId="77777777" w:rsidTr="00374C3F">
        <w:tc>
          <w:tcPr>
            <w:tcW w:w="1413" w:type="dxa"/>
            <w:vMerge w:val="restart"/>
          </w:tcPr>
          <w:p w14:paraId="7D283162" w14:textId="55594692" w:rsidR="001E19FD" w:rsidRPr="00630A55" w:rsidRDefault="001E19FD" w:rsidP="00D947D4">
            <w:pPr>
              <w:spacing w:before="0" w:after="0"/>
            </w:pPr>
            <w:r w:rsidRPr="00630A55">
              <w:t>Queensland</w:t>
            </w:r>
          </w:p>
        </w:tc>
        <w:tc>
          <w:tcPr>
            <w:tcW w:w="1559" w:type="dxa"/>
            <w:vMerge w:val="restart"/>
          </w:tcPr>
          <w:p w14:paraId="09FB72C4" w14:textId="5CF538C3" w:rsidR="001E19FD" w:rsidRPr="00630A55" w:rsidRDefault="001E19FD" w:rsidP="00D947D4">
            <w:pPr>
              <w:spacing w:before="0" w:after="0"/>
            </w:pPr>
            <w:r w:rsidRPr="00630A55">
              <w:t>Metro South HHS</w:t>
            </w:r>
          </w:p>
        </w:tc>
        <w:tc>
          <w:tcPr>
            <w:tcW w:w="1701" w:type="dxa"/>
          </w:tcPr>
          <w:p w14:paraId="0E6E8DEA" w14:textId="468F75FE" w:rsidR="001E19FD" w:rsidRPr="00630A55" w:rsidRDefault="001E19FD" w:rsidP="00D947D4">
            <w:pPr>
              <w:spacing w:before="0" w:after="0"/>
            </w:pPr>
            <w:r w:rsidRPr="00630A55">
              <w:t>Acute</w:t>
            </w:r>
          </w:p>
        </w:tc>
        <w:tc>
          <w:tcPr>
            <w:tcW w:w="1559" w:type="dxa"/>
          </w:tcPr>
          <w:p w14:paraId="42471323" w14:textId="08AE735C" w:rsidR="001E19FD" w:rsidRPr="00630A55" w:rsidRDefault="001E19FD" w:rsidP="00FA323F">
            <w:pPr>
              <w:spacing w:before="0" w:after="0"/>
              <w:jc w:val="right"/>
            </w:pPr>
            <w:r w:rsidRPr="00630A55">
              <w:t>$193,891.32</w:t>
            </w:r>
          </w:p>
        </w:tc>
        <w:tc>
          <w:tcPr>
            <w:tcW w:w="1496" w:type="dxa"/>
          </w:tcPr>
          <w:p w14:paraId="3BB60A58" w14:textId="278C3AFC" w:rsidR="001E19FD" w:rsidRPr="00630A55" w:rsidRDefault="001E19FD" w:rsidP="00FA323F">
            <w:pPr>
              <w:spacing w:before="0" w:after="0"/>
              <w:jc w:val="right"/>
            </w:pPr>
            <w:r w:rsidRPr="00630A55">
              <w:t>$193,891.32</w:t>
            </w:r>
          </w:p>
        </w:tc>
        <w:tc>
          <w:tcPr>
            <w:tcW w:w="1332" w:type="dxa"/>
          </w:tcPr>
          <w:p w14:paraId="51B7A9A2" w14:textId="49BF8F9E" w:rsidR="001E19FD" w:rsidRPr="00630A55" w:rsidRDefault="001E19FD" w:rsidP="00FA323F">
            <w:pPr>
              <w:spacing w:before="0" w:after="0"/>
              <w:jc w:val="right"/>
            </w:pPr>
            <w:r w:rsidRPr="00630A55">
              <w:t>$0.00</w:t>
            </w:r>
          </w:p>
        </w:tc>
      </w:tr>
      <w:tr w:rsidR="001E19FD" w:rsidRPr="00B87F0A" w14:paraId="219C6367" w14:textId="77777777" w:rsidTr="00374C3F">
        <w:tc>
          <w:tcPr>
            <w:tcW w:w="1413" w:type="dxa"/>
            <w:vMerge/>
          </w:tcPr>
          <w:p w14:paraId="4852B622" w14:textId="77777777" w:rsidR="001E19FD" w:rsidRPr="00630A55" w:rsidRDefault="001E19FD" w:rsidP="00D947D4">
            <w:pPr>
              <w:spacing w:before="0" w:after="0"/>
            </w:pPr>
          </w:p>
        </w:tc>
        <w:tc>
          <w:tcPr>
            <w:tcW w:w="1559" w:type="dxa"/>
            <w:vMerge/>
          </w:tcPr>
          <w:p w14:paraId="2821FF69" w14:textId="77777777" w:rsidR="001E19FD" w:rsidRPr="00630A55" w:rsidRDefault="001E19FD" w:rsidP="00D947D4">
            <w:pPr>
              <w:spacing w:before="0" w:after="0"/>
            </w:pPr>
          </w:p>
        </w:tc>
        <w:tc>
          <w:tcPr>
            <w:tcW w:w="1701" w:type="dxa"/>
          </w:tcPr>
          <w:p w14:paraId="3B501671" w14:textId="079E2A4F" w:rsidR="001E19FD" w:rsidRPr="00630A55" w:rsidRDefault="001E19FD" w:rsidP="00D947D4">
            <w:pPr>
              <w:spacing w:before="0" w:after="0"/>
            </w:pPr>
            <w:r w:rsidRPr="00630A55">
              <w:t>Sub-Acute</w:t>
            </w:r>
          </w:p>
        </w:tc>
        <w:tc>
          <w:tcPr>
            <w:tcW w:w="1559" w:type="dxa"/>
          </w:tcPr>
          <w:p w14:paraId="0A79C8D7" w14:textId="59C9D28B" w:rsidR="001E19FD" w:rsidRPr="00630A55" w:rsidRDefault="001E19FD" w:rsidP="00FA323F">
            <w:pPr>
              <w:spacing w:before="0" w:after="0"/>
              <w:jc w:val="right"/>
            </w:pPr>
            <w:r w:rsidRPr="00630A55">
              <w:t>$9,544.24</w:t>
            </w:r>
          </w:p>
        </w:tc>
        <w:tc>
          <w:tcPr>
            <w:tcW w:w="1496" w:type="dxa"/>
          </w:tcPr>
          <w:p w14:paraId="7D1AA722" w14:textId="2E9F0107" w:rsidR="001E19FD" w:rsidRPr="00630A55" w:rsidRDefault="001E19FD" w:rsidP="00FA323F">
            <w:pPr>
              <w:spacing w:before="0" w:after="0"/>
              <w:jc w:val="right"/>
            </w:pPr>
            <w:r w:rsidRPr="00630A55">
              <w:t>$9,544.24</w:t>
            </w:r>
          </w:p>
        </w:tc>
        <w:tc>
          <w:tcPr>
            <w:tcW w:w="1332" w:type="dxa"/>
          </w:tcPr>
          <w:p w14:paraId="028ACB0D" w14:textId="24F73DEA" w:rsidR="001E19FD" w:rsidRPr="00630A55" w:rsidRDefault="001E19FD" w:rsidP="00FA323F">
            <w:pPr>
              <w:spacing w:before="0" w:after="0"/>
              <w:jc w:val="right"/>
            </w:pPr>
            <w:r w:rsidRPr="00630A55">
              <w:t>$0.00</w:t>
            </w:r>
          </w:p>
        </w:tc>
      </w:tr>
      <w:tr w:rsidR="001E19FD" w:rsidRPr="00B87F0A" w14:paraId="3AD2CD32" w14:textId="77777777" w:rsidTr="00374C3F">
        <w:tc>
          <w:tcPr>
            <w:tcW w:w="1413" w:type="dxa"/>
            <w:vMerge/>
          </w:tcPr>
          <w:p w14:paraId="081876D8" w14:textId="77777777" w:rsidR="001E19FD" w:rsidRPr="00630A55" w:rsidRDefault="001E19FD" w:rsidP="00D947D4">
            <w:pPr>
              <w:spacing w:before="0" w:after="0"/>
            </w:pPr>
          </w:p>
        </w:tc>
        <w:tc>
          <w:tcPr>
            <w:tcW w:w="1559" w:type="dxa"/>
            <w:vMerge/>
          </w:tcPr>
          <w:p w14:paraId="2D93EE39" w14:textId="77777777" w:rsidR="001E19FD" w:rsidRPr="00630A55" w:rsidRDefault="001E19FD" w:rsidP="00D947D4">
            <w:pPr>
              <w:spacing w:before="0" w:after="0"/>
            </w:pPr>
          </w:p>
        </w:tc>
        <w:tc>
          <w:tcPr>
            <w:tcW w:w="1701" w:type="dxa"/>
          </w:tcPr>
          <w:p w14:paraId="1F26CB90" w14:textId="4416D353" w:rsidR="001E19FD" w:rsidRPr="00630A55" w:rsidRDefault="001E19FD" w:rsidP="00D947D4">
            <w:pPr>
              <w:spacing w:before="0" w:after="0"/>
            </w:pPr>
            <w:r w:rsidRPr="00630A55">
              <w:t>ED</w:t>
            </w:r>
          </w:p>
        </w:tc>
        <w:tc>
          <w:tcPr>
            <w:tcW w:w="1559" w:type="dxa"/>
          </w:tcPr>
          <w:p w14:paraId="2E5C1866" w14:textId="3AB60107" w:rsidR="001E19FD" w:rsidRPr="00630A55" w:rsidRDefault="001E19FD" w:rsidP="00FA323F">
            <w:pPr>
              <w:spacing w:before="0" w:after="0"/>
              <w:jc w:val="right"/>
            </w:pPr>
            <w:r w:rsidRPr="00630A55">
              <w:t>$246.43</w:t>
            </w:r>
          </w:p>
        </w:tc>
        <w:tc>
          <w:tcPr>
            <w:tcW w:w="1496" w:type="dxa"/>
          </w:tcPr>
          <w:p w14:paraId="1E20C6AA" w14:textId="73523644" w:rsidR="001E19FD" w:rsidRPr="00630A55" w:rsidRDefault="001E19FD" w:rsidP="00FA323F">
            <w:pPr>
              <w:spacing w:before="0" w:after="0"/>
              <w:jc w:val="right"/>
            </w:pPr>
            <w:r w:rsidRPr="00630A55">
              <w:t>$246.43</w:t>
            </w:r>
          </w:p>
        </w:tc>
        <w:tc>
          <w:tcPr>
            <w:tcW w:w="1332" w:type="dxa"/>
          </w:tcPr>
          <w:p w14:paraId="6A7237C7" w14:textId="33F8CEE8" w:rsidR="001E19FD" w:rsidRPr="00630A55" w:rsidRDefault="001E19FD" w:rsidP="00FA323F">
            <w:pPr>
              <w:spacing w:before="0" w:after="0"/>
              <w:jc w:val="right"/>
            </w:pPr>
            <w:r w:rsidRPr="00630A55">
              <w:t>$0.00</w:t>
            </w:r>
          </w:p>
        </w:tc>
      </w:tr>
      <w:tr w:rsidR="001E19FD" w:rsidRPr="00B87F0A" w14:paraId="23A15656" w14:textId="77777777" w:rsidTr="00374C3F">
        <w:tc>
          <w:tcPr>
            <w:tcW w:w="1413" w:type="dxa"/>
            <w:vMerge/>
          </w:tcPr>
          <w:p w14:paraId="09892D55" w14:textId="77777777" w:rsidR="001E19FD" w:rsidRPr="00630A55" w:rsidRDefault="001E19FD" w:rsidP="00D947D4">
            <w:pPr>
              <w:spacing w:before="0" w:after="0"/>
            </w:pPr>
          </w:p>
        </w:tc>
        <w:tc>
          <w:tcPr>
            <w:tcW w:w="1559" w:type="dxa"/>
            <w:vMerge/>
          </w:tcPr>
          <w:p w14:paraId="6E9CD710" w14:textId="77777777" w:rsidR="001E19FD" w:rsidRPr="00630A55" w:rsidRDefault="001E19FD" w:rsidP="00D947D4">
            <w:pPr>
              <w:spacing w:before="0" w:after="0"/>
            </w:pPr>
          </w:p>
        </w:tc>
        <w:tc>
          <w:tcPr>
            <w:tcW w:w="1701" w:type="dxa"/>
          </w:tcPr>
          <w:p w14:paraId="11F38211" w14:textId="7F79D5C3" w:rsidR="001E19FD" w:rsidRPr="00630A55" w:rsidRDefault="001E19FD" w:rsidP="00D947D4">
            <w:pPr>
              <w:spacing w:before="0" w:after="0"/>
            </w:pPr>
            <w:r w:rsidRPr="00630A55">
              <w:t>Non-Admitted</w:t>
            </w:r>
          </w:p>
        </w:tc>
        <w:tc>
          <w:tcPr>
            <w:tcW w:w="1559" w:type="dxa"/>
          </w:tcPr>
          <w:p w14:paraId="45D18664" w14:textId="000AA6B6" w:rsidR="001E19FD" w:rsidRPr="00630A55" w:rsidRDefault="001E19FD" w:rsidP="00FA323F">
            <w:pPr>
              <w:spacing w:before="0" w:after="0"/>
              <w:jc w:val="right"/>
            </w:pPr>
            <w:r w:rsidRPr="00630A55">
              <w:t>$15,297.28</w:t>
            </w:r>
          </w:p>
        </w:tc>
        <w:tc>
          <w:tcPr>
            <w:tcW w:w="1496" w:type="dxa"/>
          </w:tcPr>
          <w:p w14:paraId="121D775C" w14:textId="33AA33D0" w:rsidR="001E19FD" w:rsidRPr="00630A55" w:rsidRDefault="001E19FD" w:rsidP="00FA323F">
            <w:pPr>
              <w:spacing w:before="0" w:after="0"/>
              <w:jc w:val="right"/>
            </w:pPr>
            <w:r w:rsidRPr="00630A55">
              <w:t>$15,297.28</w:t>
            </w:r>
          </w:p>
        </w:tc>
        <w:tc>
          <w:tcPr>
            <w:tcW w:w="1332" w:type="dxa"/>
          </w:tcPr>
          <w:p w14:paraId="0F78AD69" w14:textId="23928609" w:rsidR="001E19FD" w:rsidRPr="00630A55" w:rsidRDefault="001E19FD" w:rsidP="00FA323F">
            <w:pPr>
              <w:spacing w:before="0" w:after="0"/>
              <w:jc w:val="right"/>
            </w:pPr>
            <w:r w:rsidRPr="00630A55">
              <w:t>$0.00</w:t>
            </w:r>
          </w:p>
        </w:tc>
      </w:tr>
      <w:tr w:rsidR="001E19FD" w:rsidRPr="00B87F0A" w14:paraId="060E3EF4" w14:textId="77777777" w:rsidTr="00374C3F">
        <w:tc>
          <w:tcPr>
            <w:tcW w:w="1413" w:type="dxa"/>
            <w:vMerge/>
          </w:tcPr>
          <w:p w14:paraId="4555AC81" w14:textId="77777777" w:rsidR="001E19FD" w:rsidRPr="00630A55" w:rsidRDefault="001E19FD" w:rsidP="00D947D4">
            <w:pPr>
              <w:spacing w:before="0" w:after="0"/>
            </w:pPr>
          </w:p>
        </w:tc>
        <w:tc>
          <w:tcPr>
            <w:tcW w:w="1559" w:type="dxa"/>
            <w:vMerge/>
          </w:tcPr>
          <w:p w14:paraId="02C79C65" w14:textId="77777777" w:rsidR="001E19FD" w:rsidRPr="00630A55" w:rsidRDefault="001E19FD" w:rsidP="00D947D4">
            <w:pPr>
              <w:spacing w:before="0" w:after="0"/>
            </w:pPr>
          </w:p>
        </w:tc>
        <w:tc>
          <w:tcPr>
            <w:tcW w:w="1701" w:type="dxa"/>
          </w:tcPr>
          <w:p w14:paraId="3EC785C4" w14:textId="6B91C492" w:rsidR="001E19FD" w:rsidRPr="00630A55" w:rsidRDefault="001E19FD" w:rsidP="00D947D4">
            <w:pPr>
              <w:spacing w:before="0" w:after="0"/>
            </w:pPr>
            <w:r w:rsidRPr="00630A55">
              <w:t>Mental Health</w:t>
            </w:r>
          </w:p>
        </w:tc>
        <w:tc>
          <w:tcPr>
            <w:tcW w:w="1559" w:type="dxa"/>
          </w:tcPr>
          <w:p w14:paraId="07637717" w14:textId="522EFC24" w:rsidR="001E19FD" w:rsidRPr="00630A55" w:rsidRDefault="001E19FD" w:rsidP="00FA323F">
            <w:pPr>
              <w:spacing w:before="0" w:after="0"/>
              <w:jc w:val="right"/>
            </w:pPr>
            <w:r w:rsidRPr="00630A55">
              <w:t>$7,212.87</w:t>
            </w:r>
          </w:p>
        </w:tc>
        <w:tc>
          <w:tcPr>
            <w:tcW w:w="1496" w:type="dxa"/>
          </w:tcPr>
          <w:p w14:paraId="0DDC7165" w14:textId="6F8BC884" w:rsidR="001E19FD" w:rsidRPr="00630A55" w:rsidRDefault="001E19FD" w:rsidP="00FA323F">
            <w:pPr>
              <w:spacing w:before="0" w:after="0"/>
              <w:jc w:val="right"/>
            </w:pPr>
            <w:r w:rsidRPr="00630A55">
              <w:t>$7,212.87</w:t>
            </w:r>
          </w:p>
        </w:tc>
        <w:tc>
          <w:tcPr>
            <w:tcW w:w="1332" w:type="dxa"/>
          </w:tcPr>
          <w:p w14:paraId="5CF6E078" w14:textId="60986F2E" w:rsidR="001E19FD" w:rsidRPr="00630A55" w:rsidRDefault="001E19FD" w:rsidP="00FA323F">
            <w:pPr>
              <w:spacing w:before="0" w:after="0"/>
              <w:jc w:val="right"/>
            </w:pPr>
            <w:r w:rsidRPr="00630A55">
              <w:t>$0.00</w:t>
            </w:r>
          </w:p>
        </w:tc>
      </w:tr>
    </w:tbl>
    <w:p w14:paraId="6F633BFD" w14:textId="77777777" w:rsidR="00EF14E7" w:rsidRPr="00630A55" w:rsidRDefault="00EF14E7" w:rsidP="00EF14E7">
      <w:pPr>
        <w:pStyle w:val="Source"/>
      </w:pPr>
      <w:r w:rsidRPr="00630A55">
        <w:t xml:space="preserve">Source: Jurisdictional consultations and </w:t>
      </w:r>
      <w:r>
        <w:t>templates</w:t>
      </w:r>
    </w:p>
    <w:p w14:paraId="2BEA0C45" w14:textId="77777777" w:rsidR="00C00379" w:rsidRPr="00630A55" w:rsidRDefault="00C00379" w:rsidP="00C00379">
      <w:pPr>
        <w:pStyle w:val="Heading3"/>
      </w:pPr>
      <w:r w:rsidRPr="00630A55">
        <w:t>Governance arrangements</w:t>
      </w:r>
    </w:p>
    <w:p w14:paraId="4CE5875C" w14:textId="0B17806B" w:rsidR="00222527" w:rsidRDefault="00C00379" w:rsidP="009C7FDA">
      <w:pPr>
        <w:pStyle w:val="BodyText"/>
      </w:pPr>
      <w:r w:rsidRPr="00630A55">
        <w:t xml:space="preserve">QA processes are conducted by each HHS as part of the costing process </w:t>
      </w:r>
      <w:r w:rsidR="001D4ACD">
        <w:t>that</w:t>
      </w:r>
      <w:r w:rsidRPr="00630A55">
        <w:t xml:space="preserve"> includes system-based audit reports at each stage of the costing process. Prior to submission to Queensland Health</w:t>
      </w:r>
      <w:r w:rsidR="00E1715B">
        <w:t>,</w:t>
      </w:r>
      <w:r w:rsidRPr="00630A55">
        <w:t xml:space="preserve"> each HHS reviewed has a formal sign-off process that involves </w:t>
      </w:r>
      <w:r w:rsidR="009C41D0">
        <w:t xml:space="preserve">submission </w:t>
      </w:r>
      <w:r w:rsidRPr="00630A55">
        <w:t>sign</w:t>
      </w:r>
      <w:r w:rsidR="00E1715B">
        <w:noBreakHyphen/>
      </w:r>
      <w:r w:rsidR="009C41D0" w:rsidRPr="00630A55">
        <w:t>off</w:t>
      </w:r>
      <w:r w:rsidRPr="00630A55">
        <w:t xml:space="preserve"> by the CFO. Furthermore, Queensland Health undertake annual validation of costing data as part of the NHCDC data transformation process prior to submission. </w:t>
      </w:r>
      <w:r w:rsidR="00222527">
        <w:fldChar w:fldCharType="begin"/>
      </w:r>
      <w:r w:rsidR="00222527">
        <w:instrText xml:space="preserve"> REF _Ref114755806 \h </w:instrText>
      </w:r>
      <w:r w:rsidR="003910CC">
        <w:instrText xml:space="preserve"> \* MERGEFORMAT </w:instrText>
      </w:r>
      <w:r w:rsidR="00222527">
        <w:fldChar w:fldCharType="separate"/>
      </w:r>
      <w:r w:rsidR="007E2ACB" w:rsidRPr="007E2ACB">
        <w:t xml:space="preserve">Table </w:t>
      </w:r>
      <w:r w:rsidR="007E2ACB" w:rsidRPr="007E2ACB">
        <w:rPr>
          <w:noProof/>
        </w:rPr>
        <w:t>20</w:t>
      </w:r>
      <w:r w:rsidR="00222527">
        <w:fldChar w:fldCharType="end"/>
      </w:r>
      <w:r w:rsidRPr="00630A55">
        <w:t xml:space="preserve"> identifies a summary of the QA checks performed by Queensland.</w:t>
      </w:r>
    </w:p>
    <w:p w14:paraId="04E5AA3D" w14:textId="77777777" w:rsidR="00222527" w:rsidRDefault="00222527">
      <w:pPr>
        <w:spacing w:before="0" w:after="160" w:line="259" w:lineRule="auto"/>
      </w:pPr>
      <w:r>
        <w:br w:type="page"/>
      </w:r>
    </w:p>
    <w:p w14:paraId="7F93FEB6" w14:textId="404D53F2" w:rsidR="00C00379" w:rsidRPr="00630A55" w:rsidRDefault="00222527" w:rsidP="00222527">
      <w:pPr>
        <w:pStyle w:val="Caption"/>
      </w:pPr>
      <w:bookmarkStart w:id="60" w:name="_Ref114755806"/>
      <w:r w:rsidRPr="00A8310C">
        <w:rPr>
          <w:b/>
          <w:bCs/>
        </w:rPr>
        <w:lastRenderedPageBreak/>
        <w:t xml:space="preserve">Table </w:t>
      </w:r>
      <w:r w:rsidR="00D91CB1" w:rsidRPr="00A8310C">
        <w:rPr>
          <w:b/>
          <w:bCs/>
        </w:rPr>
        <w:fldChar w:fldCharType="begin"/>
      </w:r>
      <w:r w:rsidR="00D91CB1" w:rsidRPr="00A8310C">
        <w:rPr>
          <w:b/>
          <w:bCs/>
        </w:rPr>
        <w:instrText xml:space="preserve"> SEQ Table \* ARABIC </w:instrText>
      </w:r>
      <w:r w:rsidR="00D91CB1" w:rsidRPr="00A8310C">
        <w:rPr>
          <w:b/>
          <w:bCs/>
        </w:rPr>
        <w:fldChar w:fldCharType="separate"/>
      </w:r>
      <w:r w:rsidR="007E2ACB">
        <w:rPr>
          <w:b/>
          <w:bCs/>
          <w:noProof/>
        </w:rPr>
        <w:t>20</w:t>
      </w:r>
      <w:r w:rsidR="00D91CB1" w:rsidRPr="00A8310C">
        <w:rPr>
          <w:b/>
          <w:bCs/>
          <w:noProof/>
        </w:rPr>
        <w:fldChar w:fldCharType="end"/>
      </w:r>
      <w:bookmarkEnd w:id="60"/>
      <w:r w:rsidRPr="00A8310C">
        <w:rPr>
          <w:b/>
          <w:bCs/>
        </w:rPr>
        <w:t>:</w:t>
      </w:r>
      <w:r>
        <w:t xml:space="preserve"> </w:t>
      </w:r>
      <w:r w:rsidR="00C00379" w:rsidRPr="00630A55">
        <w:t xml:space="preserve">Summary of </w:t>
      </w:r>
      <w:r w:rsidR="006A1EF7">
        <w:t>quality assurance (</w:t>
      </w:r>
      <w:r w:rsidR="00C00379" w:rsidRPr="00630A55">
        <w:t>QA</w:t>
      </w:r>
      <w:r w:rsidR="006A1EF7">
        <w:t>)</w:t>
      </w:r>
      <w:r w:rsidR="00C00379" w:rsidRPr="00630A55">
        <w:t xml:space="preserve"> checks performed - Queensland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27"/>
        <w:gridCol w:w="2002"/>
        <w:gridCol w:w="1527"/>
        <w:gridCol w:w="1527"/>
        <w:gridCol w:w="1677"/>
      </w:tblGrid>
      <w:tr w:rsidR="00C00379" w:rsidRPr="00630A55" w14:paraId="735CE1EA" w14:textId="77777777" w:rsidTr="002473E8">
        <w:trPr>
          <w:trHeight w:val="280"/>
          <w:tblHeader/>
        </w:trPr>
        <w:tc>
          <w:tcPr>
            <w:tcW w:w="2804" w:type="dxa"/>
            <w:shd w:val="clear" w:color="auto" w:fill="00338D"/>
            <w:tcMar>
              <w:top w:w="0" w:type="dxa"/>
              <w:left w:w="108" w:type="dxa"/>
              <w:bottom w:w="0" w:type="dxa"/>
              <w:right w:w="108" w:type="dxa"/>
            </w:tcMar>
            <w:hideMark/>
          </w:tcPr>
          <w:p w14:paraId="6B9F94EF" w14:textId="77777777" w:rsidR="00C00379" w:rsidRPr="00630A55" w:rsidRDefault="00C00379" w:rsidP="00A92341">
            <w:pPr>
              <w:pStyle w:val="Tableheading"/>
              <w:spacing w:before="0" w:after="0"/>
              <w:rPr>
                <w:rFonts w:ascii="Univers 45 Light" w:hAnsi="Univers 45 Light"/>
                <w:sz w:val="22"/>
              </w:rPr>
            </w:pPr>
            <w:r w:rsidRPr="00630A55">
              <w:rPr>
                <w:rFonts w:ascii="Univers 45 Light" w:hAnsi="Univers 45 Light"/>
                <w:sz w:val="22"/>
              </w:rPr>
              <w:t>QA Test</w:t>
            </w:r>
          </w:p>
        </w:tc>
        <w:tc>
          <w:tcPr>
            <w:tcW w:w="2289" w:type="dxa"/>
            <w:shd w:val="clear" w:color="auto" w:fill="00338D"/>
            <w:tcMar>
              <w:top w:w="0" w:type="dxa"/>
              <w:left w:w="108" w:type="dxa"/>
              <w:bottom w:w="0" w:type="dxa"/>
              <w:right w:w="108" w:type="dxa"/>
            </w:tcMar>
            <w:hideMark/>
          </w:tcPr>
          <w:p w14:paraId="642188BD" w14:textId="750C3E61" w:rsidR="00C00379" w:rsidRPr="00630A55" w:rsidRDefault="00C00379" w:rsidP="00A92341">
            <w:pPr>
              <w:pStyle w:val="Tableheading"/>
              <w:spacing w:before="0" w:after="0"/>
              <w:rPr>
                <w:rFonts w:ascii="Univers 45 Light" w:hAnsi="Univers 45 Light"/>
                <w:sz w:val="22"/>
              </w:rPr>
            </w:pPr>
            <w:r w:rsidRPr="00630A55">
              <w:rPr>
                <w:rFonts w:ascii="Univers 45 Light" w:hAnsi="Univers 45 Light"/>
                <w:sz w:val="22"/>
              </w:rPr>
              <w:t xml:space="preserve">Queensland </w:t>
            </w:r>
            <w:r w:rsidR="001C04DE">
              <w:rPr>
                <w:rFonts w:ascii="Univers 45 Light" w:hAnsi="Univers 45 Light"/>
                <w:sz w:val="22"/>
              </w:rPr>
              <w:br/>
            </w:r>
            <w:r w:rsidRPr="00630A55">
              <w:rPr>
                <w:rFonts w:ascii="Univers 45 Light" w:hAnsi="Univers 45 Light"/>
                <w:sz w:val="22"/>
              </w:rPr>
              <w:t>Health</w:t>
            </w:r>
          </w:p>
        </w:tc>
        <w:tc>
          <w:tcPr>
            <w:tcW w:w="1701" w:type="dxa"/>
            <w:shd w:val="clear" w:color="auto" w:fill="00338D"/>
          </w:tcPr>
          <w:p w14:paraId="7587947F" w14:textId="77777777" w:rsidR="00C00379" w:rsidRPr="00630A55" w:rsidRDefault="00C00379" w:rsidP="00A92341">
            <w:pPr>
              <w:pStyle w:val="Tableheading"/>
              <w:spacing w:before="0" w:after="0"/>
              <w:rPr>
                <w:rFonts w:ascii="Univers 45 Light" w:hAnsi="Univers 45 Light"/>
                <w:sz w:val="22"/>
              </w:rPr>
            </w:pPr>
            <w:r w:rsidRPr="00630A55">
              <w:rPr>
                <w:rFonts w:ascii="Univers 45 Light" w:hAnsi="Univers 45 Light"/>
                <w:sz w:val="22"/>
              </w:rPr>
              <w:t>Central Queensland</w:t>
            </w:r>
          </w:p>
        </w:tc>
        <w:tc>
          <w:tcPr>
            <w:tcW w:w="1701" w:type="dxa"/>
            <w:shd w:val="clear" w:color="auto" w:fill="00338D"/>
          </w:tcPr>
          <w:p w14:paraId="6D58C42B" w14:textId="77777777" w:rsidR="00C00379" w:rsidRPr="00630A55" w:rsidRDefault="00C00379" w:rsidP="00A92341">
            <w:pPr>
              <w:pStyle w:val="Tableheading"/>
              <w:spacing w:before="0" w:after="0"/>
              <w:rPr>
                <w:rFonts w:ascii="Univers 45 Light" w:hAnsi="Univers 45 Light"/>
                <w:sz w:val="22"/>
              </w:rPr>
            </w:pPr>
            <w:r w:rsidRPr="00630A55">
              <w:rPr>
                <w:rFonts w:ascii="Univers 45 Light" w:hAnsi="Univers 45 Light"/>
                <w:sz w:val="22"/>
              </w:rPr>
              <w:t>Mackay</w:t>
            </w:r>
          </w:p>
        </w:tc>
        <w:tc>
          <w:tcPr>
            <w:tcW w:w="1843" w:type="dxa"/>
            <w:shd w:val="clear" w:color="auto" w:fill="00338D"/>
            <w:tcMar>
              <w:top w:w="0" w:type="dxa"/>
              <w:left w:w="108" w:type="dxa"/>
              <w:bottom w:w="0" w:type="dxa"/>
              <w:right w:w="108" w:type="dxa"/>
            </w:tcMar>
            <w:hideMark/>
          </w:tcPr>
          <w:p w14:paraId="016AA587" w14:textId="77777777" w:rsidR="00C00379" w:rsidRPr="00630A55" w:rsidRDefault="00C00379" w:rsidP="00A92341">
            <w:pPr>
              <w:pStyle w:val="Tableheading"/>
              <w:spacing w:before="0" w:after="0"/>
              <w:rPr>
                <w:rFonts w:ascii="Univers 45 Light" w:hAnsi="Univers 45 Light"/>
                <w:sz w:val="22"/>
              </w:rPr>
            </w:pPr>
            <w:r w:rsidRPr="00630A55">
              <w:rPr>
                <w:rFonts w:ascii="Univers 45 Light" w:hAnsi="Univers 45 Light"/>
                <w:sz w:val="22"/>
              </w:rPr>
              <w:t>Metro South</w:t>
            </w:r>
          </w:p>
        </w:tc>
      </w:tr>
      <w:tr w:rsidR="00C00379" w:rsidRPr="00630A55" w14:paraId="20CD8558" w14:textId="77777777" w:rsidTr="002473E8">
        <w:trPr>
          <w:trHeight w:val="263"/>
        </w:trPr>
        <w:tc>
          <w:tcPr>
            <w:tcW w:w="10338" w:type="dxa"/>
            <w:gridSpan w:val="5"/>
            <w:shd w:val="clear" w:color="auto" w:fill="808080"/>
          </w:tcPr>
          <w:p w14:paraId="4D53BEDA" w14:textId="77777777" w:rsidR="00C00379" w:rsidRPr="00630A55" w:rsidRDefault="00C00379" w:rsidP="00A92341">
            <w:pPr>
              <w:pStyle w:val="Tableheading"/>
              <w:rPr>
                <w:rFonts w:ascii="Univers 45 Light" w:hAnsi="Univers 45 Light"/>
                <w:sz w:val="22"/>
              </w:rPr>
            </w:pPr>
            <w:r w:rsidRPr="00467F5A">
              <w:rPr>
                <w:rFonts w:ascii="Univers 45 Light" w:hAnsi="Univers 45 Light"/>
                <w:color w:val="000000" w:themeColor="text1"/>
                <w:sz w:val="22"/>
              </w:rPr>
              <w:t>Source data and systems</w:t>
            </w:r>
          </w:p>
        </w:tc>
      </w:tr>
      <w:tr w:rsidR="00C00379" w:rsidRPr="00630A55" w14:paraId="41D358AF" w14:textId="77777777" w:rsidTr="002473E8">
        <w:trPr>
          <w:trHeight w:val="543"/>
        </w:trPr>
        <w:tc>
          <w:tcPr>
            <w:tcW w:w="2804" w:type="dxa"/>
            <w:tcMar>
              <w:top w:w="0" w:type="dxa"/>
              <w:left w:w="108" w:type="dxa"/>
              <w:bottom w:w="0" w:type="dxa"/>
              <w:right w:w="108" w:type="dxa"/>
            </w:tcMar>
            <w:hideMark/>
          </w:tcPr>
          <w:p w14:paraId="078133C6" w14:textId="77777777" w:rsidR="00C00379" w:rsidRPr="00B0700F" w:rsidRDefault="00C00379" w:rsidP="009527C7">
            <w:pPr>
              <w:pStyle w:val="Tabletext"/>
            </w:pPr>
            <w:r w:rsidRPr="00B0700F">
              <w:t>Reconciliation back to GL and audited statements</w:t>
            </w:r>
          </w:p>
        </w:tc>
        <w:tc>
          <w:tcPr>
            <w:tcW w:w="2289" w:type="dxa"/>
            <w:tcMar>
              <w:top w:w="0" w:type="dxa"/>
              <w:left w:w="108" w:type="dxa"/>
              <w:bottom w:w="0" w:type="dxa"/>
              <w:right w:w="108" w:type="dxa"/>
            </w:tcMar>
          </w:tcPr>
          <w:p w14:paraId="02ABEC41" w14:textId="77777777" w:rsidR="00C00379" w:rsidRPr="00B0700F" w:rsidRDefault="00C00379" w:rsidP="000D1F83">
            <w:pPr>
              <w:pStyle w:val="Tabletext"/>
            </w:pPr>
            <w:r w:rsidRPr="00B0700F">
              <w:t>Annual reconciliation and checks undertaken by Queensland Health</w:t>
            </w:r>
          </w:p>
        </w:tc>
        <w:tc>
          <w:tcPr>
            <w:tcW w:w="1701" w:type="dxa"/>
          </w:tcPr>
          <w:p w14:paraId="18932B5E" w14:textId="77777777" w:rsidR="00C00379" w:rsidRPr="00B0700F" w:rsidRDefault="00C00379" w:rsidP="000D1F83">
            <w:pPr>
              <w:pStyle w:val="Tabletext"/>
            </w:pPr>
            <w:r w:rsidRPr="00B0700F">
              <w:t>Reconciliation undertaken annually</w:t>
            </w:r>
          </w:p>
        </w:tc>
        <w:tc>
          <w:tcPr>
            <w:tcW w:w="1701" w:type="dxa"/>
          </w:tcPr>
          <w:p w14:paraId="60F38001" w14:textId="77777777" w:rsidR="00C00379" w:rsidRPr="00B0700F" w:rsidRDefault="00C00379" w:rsidP="000D1F83">
            <w:pPr>
              <w:pStyle w:val="Tabletext"/>
            </w:pPr>
            <w:r w:rsidRPr="00B0700F">
              <w:t>Reconciliation undertaken annually</w:t>
            </w:r>
          </w:p>
        </w:tc>
        <w:tc>
          <w:tcPr>
            <w:tcW w:w="1843" w:type="dxa"/>
            <w:tcMar>
              <w:top w:w="0" w:type="dxa"/>
              <w:left w:w="108" w:type="dxa"/>
              <w:bottom w:w="0" w:type="dxa"/>
              <w:right w:w="108" w:type="dxa"/>
            </w:tcMar>
          </w:tcPr>
          <w:p w14:paraId="78828272" w14:textId="77777777" w:rsidR="00C00379" w:rsidRPr="00B0700F" w:rsidRDefault="00C00379" w:rsidP="000D1F83">
            <w:pPr>
              <w:pStyle w:val="Tabletext"/>
            </w:pPr>
            <w:r w:rsidRPr="00B0700F">
              <w:t>Reconciliation undertaken annually</w:t>
            </w:r>
          </w:p>
        </w:tc>
      </w:tr>
      <w:tr w:rsidR="00C00379" w:rsidRPr="00630A55" w14:paraId="3C0B015D" w14:textId="77777777" w:rsidTr="002473E8">
        <w:trPr>
          <w:trHeight w:val="543"/>
        </w:trPr>
        <w:tc>
          <w:tcPr>
            <w:tcW w:w="2804" w:type="dxa"/>
            <w:tcMar>
              <w:top w:w="0" w:type="dxa"/>
              <w:left w:w="108" w:type="dxa"/>
              <w:bottom w:w="0" w:type="dxa"/>
              <w:right w:w="108" w:type="dxa"/>
            </w:tcMar>
            <w:hideMark/>
          </w:tcPr>
          <w:p w14:paraId="63FE026C" w14:textId="77777777" w:rsidR="00C00379" w:rsidRPr="00B0700F" w:rsidRDefault="00C00379" w:rsidP="009527C7">
            <w:pPr>
              <w:pStyle w:val="Tabletext"/>
            </w:pPr>
            <w:r w:rsidRPr="00B0700F">
              <w:t>Reconciliation of activity data back to source systems</w:t>
            </w:r>
          </w:p>
        </w:tc>
        <w:tc>
          <w:tcPr>
            <w:tcW w:w="2289" w:type="dxa"/>
            <w:tcMar>
              <w:top w:w="0" w:type="dxa"/>
              <w:left w:w="108" w:type="dxa"/>
              <w:bottom w:w="0" w:type="dxa"/>
              <w:right w:w="108" w:type="dxa"/>
            </w:tcMar>
          </w:tcPr>
          <w:p w14:paraId="22AFC2B3" w14:textId="77777777" w:rsidR="00C00379" w:rsidRPr="00B0700F" w:rsidRDefault="00C00379" w:rsidP="000D1F83">
            <w:pPr>
              <w:pStyle w:val="Tabletext"/>
            </w:pPr>
            <w:r w:rsidRPr="00B0700F">
              <w:t>N/A</w:t>
            </w:r>
          </w:p>
        </w:tc>
        <w:tc>
          <w:tcPr>
            <w:tcW w:w="1701" w:type="dxa"/>
          </w:tcPr>
          <w:p w14:paraId="4BCD2238" w14:textId="77777777" w:rsidR="00C00379" w:rsidRPr="00B0700F" w:rsidRDefault="00C00379" w:rsidP="000D1F83">
            <w:pPr>
              <w:pStyle w:val="Tabletext"/>
            </w:pPr>
            <w:r w:rsidRPr="00B0700F">
              <w:t>Conducted by HHS</w:t>
            </w:r>
          </w:p>
        </w:tc>
        <w:tc>
          <w:tcPr>
            <w:tcW w:w="1701" w:type="dxa"/>
          </w:tcPr>
          <w:p w14:paraId="17A6AC57" w14:textId="77777777" w:rsidR="00C00379" w:rsidRPr="00B0700F" w:rsidRDefault="00C00379" w:rsidP="000D1F83">
            <w:pPr>
              <w:pStyle w:val="Tabletext"/>
            </w:pPr>
            <w:r w:rsidRPr="00B0700F">
              <w:t>Conducted by HHS</w:t>
            </w:r>
          </w:p>
        </w:tc>
        <w:tc>
          <w:tcPr>
            <w:tcW w:w="1843" w:type="dxa"/>
            <w:tcMar>
              <w:top w:w="0" w:type="dxa"/>
              <w:left w:w="108" w:type="dxa"/>
              <w:bottom w:w="0" w:type="dxa"/>
              <w:right w:w="108" w:type="dxa"/>
            </w:tcMar>
          </w:tcPr>
          <w:p w14:paraId="702E51F4" w14:textId="77777777" w:rsidR="00C00379" w:rsidRPr="00B0700F" w:rsidRDefault="00C00379" w:rsidP="000D1F83">
            <w:pPr>
              <w:pStyle w:val="Tabletext"/>
            </w:pPr>
            <w:r w:rsidRPr="00B0700F">
              <w:t>Conducted by HHS</w:t>
            </w:r>
          </w:p>
        </w:tc>
      </w:tr>
      <w:tr w:rsidR="00C00379" w:rsidRPr="00630A55" w14:paraId="72F98411" w14:textId="77777777" w:rsidTr="002473E8">
        <w:trPr>
          <w:trHeight w:val="280"/>
        </w:trPr>
        <w:tc>
          <w:tcPr>
            <w:tcW w:w="10338" w:type="dxa"/>
            <w:gridSpan w:val="5"/>
            <w:shd w:val="clear" w:color="auto" w:fill="808080"/>
          </w:tcPr>
          <w:p w14:paraId="0D403337" w14:textId="1FAC3C75" w:rsidR="00C00379" w:rsidRPr="00630A55" w:rsidRDefault="00C00379" w:rsidP="00A92341">
            <w:pPr>
              <w:pStyle w:val="Tableheading"/>
              <w:rPr>
                <w:rFonts w:ascii="Univers 45 Light" w:hAnsi="Univers 45 Light"/>
                <w:sz w:val="22"/>
              </w:rPr>
            </w:pPr>
            <w:r w:rsidRPr="00467F5A">
              <w:rPr>
                <w:rFonts w:ascii="Univers 45 Light" w:hAnsi="Univers 45 Light"/>
                <w:color w:val="000000" w:themeColor="text1"/>
                <w:sz w:val="22"/>
              </w:rPr>
              <w:t xml:space="preserve">Costing </w:t>
            </w:r>
            <w:r w:rsidR="00553168">
              <w:rPr>
                <w:rFonts w:ascii="Univers 45 Light" w:hAnsi="Univers 45 Light"/>
                <w:color w:val="000000" w:themeColor="text1"/>
                <w:sz w:val="22"/>
              </w:rPr>
              <w:t>d</w:t>
            </w:r>
            <w:r w:rsidRPr="00467F5A">
              <w:rPr>
                <w:rFonts w:ascii="Univers 45 Light" w:hAnsi="Univers 45 Light"/>
                <w:color w:val="000000" w:themeColor="text1"/>
                <w:sz w:val="22"/>
              </w:rPr>
              <w:t xml:space="preserve">ata – </w:t>
            </w:r>
            <w:r w:rsidR="00553168">
              <w:rPr>
                <w:rFonts w:ascii="Univers 45 Light" w:hAnsi="Univers 45 Light"/>
                <w:color w:val="000000" w:themeColor="text1"/>
                <w:sz w:val="22"/>
              </w:rPr>
              <w:t>v</w:t>
            </w:r>
            <w:r w:rsidRPr="00467F5A">
              <w:rPr>
                <w:rFonts w:ascii="Univers 45 Light" w:hAnsi="Univers 45 Light"/>
                <w:color w:val="000000" w:themeColor="text1"/>
                <w:sz w:val="22"/>
              </w:rPr>
              <w:t>alidation</w:t>
            </w:r>
          </w:p>
        </w:tc>
      </w:tr>
      <w:tr w:rsidR="00C00379" w:rsidRPr="00630A55" w14:paraId="75090AFA" w14:textId="77777777" w:rsidTr="002473E8">
        <w:trPr>
          <w:trHeight w:val="543"/>
        </w:trPr>
        <w:tc>
          <w:tcPr>
            <w:tcW w:w="2804" w:type="dxa"/>
            <w:tcMar>
              <w:top w:w="0" w:type="dxa"/>
              <w:left w:w="108" w:type="dxa"/>
              <w:bottom w:w="0" w:type="dxa"/>
              <w:right w:w="108" w:type="dxa"/>
            </w:tcMar>
            <w:hideMark/>
          </w:tcPr>
          <w:p w14:paraId="694C7E21" w14:textId="77777777" w:rsidR="00C00379" w:rsidRPr="00B0700F" w:rsidRDefault="00C00379" w:rsidP="009527C7">
            <w:pPr>
              <w:pStyle w:val="Tabletext"/>
            </w:pPr>
            <w:r w:rsidRPr="00B0700F">
              <w:t>Trend analysis to prior periods across cost products</w:t>
            </w:r>
          </w:p>
        </w:tc>
        <w:tc>
          <w:tcPr>
            <w:tcW w:w="2289" w:type="dxa"/>
            <w:vMerge w:val="restart"/>
            <w:tcMar>
              <w:top w:w="0" w:type="dxa"/>
              <w:left w:w="108" w:type="dxa"/>
              <w:bottom w:w="0" w:type="dxa"/>
              <w:right w:w="108" w:type="dxa"/>
            </w:tcMar>
          </w:tcPr>
          <w:p w14:paraId="368F9EDE" w14:textId="10BE6769" w:rsidR="00C00379" w:rsidRPr="00B0700F" w:rsidRDefault="00C00379" w:rsidP="000D1F83">
            <w:pPr>
              <w:pStyle w:val="Tabletext"/>
            </w:pPr>
            <w:r w:rsidRPr="00B0700F">
              <w:t xml:space="preserve">Yes – annually as part of the NHCDC </w:t>
            </w:r>
            <w:r w:rsidR="00553168">
              <w:t>d</w:t>
            </w:r>
            <w:r w:rsidRPr="00B0700F">
              <w:t xml:space="preserve">ata </w:t>
            </w:r>
            <w:r w:rsidR="00553168">
              <w:t>t</w:t>
            </w:r>
            <w:r w:rsidRPr="00B0700F">
              <w:t>ransformation process</w:t>
            </w:r>
          </w:p>
        </w:tc>
        <w:tc>
          <w:tcPr>
            <w:tcW w:w="5245" w:type="dxa"/>
            <w:gridSpan w:val="3"/>
            <w:vMerge w:val="restart"/>
          </w:tcPr>
          <w:p w14:paraId="3ECE6D2F" w14:textId="77777777" w:rsidR="00C00379" w:rsidRPr="00B0700F" w:rsidRDefault="00C00379" w:rsidP="000D1F83">
            <w:pPr>
              <w:pStyle w:val="Tabletext"/>
            </w:pPr>
            <w:r w:rsidRPr="00B0700F">
              <w:t xml:space="preserve">Internal processes to review data in CostPro. </w:t>
            </w:r>
          </w:p>
          <w:p w14:paraId="103F894E" w14:textId="77777777" w:rsidR="00C00379" w:rsidRPr="00B0700F" w:rsidRDefault="00C00379" w:rsidP="000D1F83">
            <w:pPr>
              <w:pStyle w:val="Tabletext"/>
            </w:pPr>
          </w:p>
          <w:p w14:paraId="70833805" w14:textId="2D98238E" w:rsidR="00C00379" w:rsidRPr="00B0700F" w:rsidRDefault="00C00379" w:rsidP="000D1F83">
            <w:pPr>
              <w:pStyle w:val="Tabletext"/>
            </w:pPr>
            <w:r w:rsidRPr="00B0700F">
              <w:t xml:space="preserve">This includes system-based audit reports at each stage of the costing process </w:t>
            </w:r>
            <w:r w:rsidR="001D4ACD">
              <w:t>that</w:t>
            </w:r>
            <w:r w:rsidRPr="00B0700F">
              <w:t xml:space="preserve"> are updated daily</w:t>
            </w:r>
            <w:r>
              <w:t xml:space="preserve">. </w:t>
            </w:r>
          </w:p>
        </w:tc>
      </w:tr>
      <w:tr w:rsidR="00C00379" w:rsidRPr="00630A55" w14:paraId="40CE258A" w14:textId="77777777" w:rsidTr="002473E8">
        <w:trPr>
          <w:trHeight w:val="543"/>
        </w:trPr>
        <w:tc>
          <w:tcPr>
            <w:tcW w:w="2804" w:type="dxa"/>
            <w:tcMar>
              <w:top w:w="0" w:type="dxa"/>
              <w:left w:w="108" w:type="dxa"/>
              <w:bottom w:w="0" w:type="dxa"/>
              <w:right w:w="108" w:type="dxa"/>
            </w:tcMar>
            <w:hideMark/>
          </w:tcPr>
          <w:p w14:paraId="76F72010" w14:textId="77777777" w:rsidR="00C00379" w:rsidRPr="00B0700F" w:rsidRDefault="00C00379" w:rsidP="009527C7">
            <w:pPr>
              <w:pStyle w:val="Tabletext"/>
            </w:pPr>
            <w:r w:rsidRPr="00B0700F">
              <w:t>Reasonableness test of excluded data and outliers</w:t>
            </w:r>
          </w:p>
        </w:tc>
        <w:tc>
          <w:tcPr>
            <w:tcW w:w="2289" w:type="dxa"/>
            <w:vMerge/>
            <w:tcMar>
              <w:top w:w="0" w:type="dxa"/>
              <w:left w:w="108" w:type="dxa"/>
              <w:bottom w:w="0" w:type="dxa"/>
              <w:right w:w="108" w:type="dxa"/>
            </w:tcMar>
          </w:tcPr>
          <w:p w14:paraId="019600C6" w14:textId="77777777" w:rsidR="00C00379" w:rsidRPr="00B0700F" w:rsidRDefault="00C00379" w:rsidP="000D1F83">
            <w:pPr>
              <w:pStyle w:val="BodyText1"/>
            </w:pPr>
          </w:p>
        </w:tc>
        <w:tc>
          <w:tcPr>
            <w:tcW w:w="5245" w:type="dxa"/>
            <w:gridSpan w:val="3"/>
            <w:vMerge/>
          </w:tcPr>
          <w:p w14:paraId="72A86240" w14:textId="77777777" w:rsidR="00C00379" w:rsidRPr="00B0700F" w:rsidRDefault="00C00379" w:rsidP="00085947">
            <w:pPr>
              <w:pStyle w:val="BodyText1"/>
            </w:pPr>
          </w:p>
        </w:tc>
      </w:tr>
      <w:tr w:rsidR="00C00379" w:rsidRPr="00630A55" w14:paraId="2512D5F5" w14:textId="77777777" w:rsidTr="002473E8">
        <w:trPr>
          <w:trHeight w:val="806"/>
        </w:trPr>
        <w:tc>
          <w:tcPr>
            <w:tcW w:w="2804" w:type="dxa"/>
            <w:tcMar>
              <w:top w:w="0" w:type="dxa"/>
              <w:left w:w="108" w:type="dxa"/>
              <w:bottom w:w="0" w:type="dxa"/>
              <w:right w:w="108" w:type="dxa"/>
            </w:tcMar>
            <w:hideMark/>
          </w:tcPr>
          <w:p w14:paraId="3F8300EA" w14:textId="304CA9C6" w:rsidR="00C00379" w:rsidRPr="00B0700F" w:rsidRDefault="00C00379" w:rsidP="009527C7">
            <w:pPr>
              <w:pStyle w:val="Tabletext"/>
            </w:pPr>
            <w:r w:rsidRPr="00B0700F">
              <w:t>Analysis of outliers at the cost, LOS or cost bucket level</w:t>
            </w:r>
          </w:p>
        </w:tc>
        <w:tc>
          <w:tcPr>
            <w:tcW w:w="2289" w:type="dxa"/>
            <w:vMerge/>
            <w:tcMar>
              <w:top w:w="0" w:type="dxa"/>
              <w:left w:w="108" w:type="dxa"/>
              <w:bottom w:w="0" w:type="dxa"/>
              <w:right w:w="108" w:type="dxa"/>
            </w:tcMar>
          </w:tcPr>
          <w:p w14:paraId="1FC6EC6C" w14:textId="77777777" w:rsidR="00C00379" w:rsidRPr="00B0700F" w:rsidRDefault="00C00379" w:rsidP="000D1F83">
            <w:pPr>
              <w:pStyle w:val="BodyText1"/>
            </w:pPr>
          </w:p>
        </w:tc>
        <w:tc>
          <w:tcPr>
            <w:tcW w:w="5245" w:type="dxa"/>
            <w:gridSpan w:val="3"/>
            <w:vMerge/>
          </w:tcPr>
          <w:p w14:paraId="2D68B5CA" w14:textId="77777777" w:rsidR="00C00379" w:rsidRPr="00B0700F" w:rsidRDefault="00C00379" w:rsidP="00085947">
            <w:pPr>
              <w:pStyle w:val="BodyText1"/>
            </w:pPr>
          </w:p>
        </w:tc>
      </w:tr>
      <w:tr w:rsidR="00C00379" w:rsidRPr="00630A55" w14:paraId="6C810AAE" w14:textId="77777777" w:rsidTr="002473E8">
        <w:trPr>
          <w:trHeight w:val="543"/>
        </w:trPr>
        <w:tc>
          <w:tcPr>
            <w:tcW w:w="2804" w:type="dxa"/>
            <w:tcMar>
              <w:top w:w="0" w:type="dxa"/>
              <w:left w:w="108" w:type="dxa"/>
              <w:bottom w:w="0" w:type="dxa"/>
              <w:right w:w="108" w:type="dxa"/>
            </w:tcMar>
            <w:hideMark/>
          </w:tcPr>
          <w:p w14:paraId="5EA6EE18" w14:textId="77777777" w:rsidR="00C00379" w:rsidRPr="00B0700F" w:rsidRDefault="00C00379" w:rsidP="009527C7">
            <w:pPr>
              <w:pStyle w:val="Tabletext"/>
            </w:pPr>
            <w:r w:rsidRPr="00B0700F">
              <w:t>Reasonableness of direct vs overhead allocations</w:t>
            </w:r>
          </w:p>
        </w:tc>
        <w:tc>
          <w:tcPr>
            <w:tcW w:w="2289" w:type="dxa"/>
            <w:vMerge/>
            <w:tcMar>
              <w:top w:w="0" w:type="dxa"/>
              <w:left w:w="108" w:type="dxa"/>
              <w:bottom w:w="0" w:type="dxa"/>
              <w:right w:w="108" w:type="dxa"/>
            </w:tcMar>
          </w:tcPr>
          <w:p w14:paraId="4509039B" w14:textId="77777777" w:rsidR="00C00379" w:rsidRPr="00B0700F" w:rsidRDefault="00C00379" w:rsidP="000D1F83">
            <w:pPr>
              <w:pStyle w:val="BodyText1"/>
            </w:pPr>
          </w:p>
        </w:tc>
        <w:tc>
          <w:tcPr>
            <w:tcW w:w="5245" w:type="dxa"/>
            <w:gridSpan w:val="3"/>
            <w:vMerge/>
          </w:tcPr>
          <w:p w14:paraId="05DC38F0" w14:textId="77777777" w:rsidR="00C00379" w:rsidRPr="00B0700F" w:rsidRDefault="00C00379" w:rsidP="00085947">
            <w:pPr>
              <w:pStyle w:val="BodyText1"/>
            </w:pPr>
          </w:p>
        </w:tc>
      </w:tr>
      <w:tr w:rsidR="00C00379" w:rsidRPr="00630A55" w14:paraId="6B7A4FDC" w14:textId="77777777" w:rsidTr="002473E8">
        <w:trPr>
          <w:trHeight w:val="280"/>
        </w:trPr>
        <w:tc>
          <w:tcPr>
            <w:tcW w:w="2804" w:type="dxa"/>
            <w:tcMar>
              <w:top w:w="0" w:type="dxa"/>
              <w:left w:w="108" w:type="dxa"/>
              <w:bottom w:w="0" w:type="dxa"/>
              <w:right w:w="108" w:type="dxa"/>
            </w:tcMar>
            <w:hideMark/>
          </w:tcPr>
          <w:p w14:paraId="2D839798" w14:textId="77777777" w:rsidR="00C00379" w:rsidRPr="00B0700F" w:rsidRDefault="00C00379" w:rsidP="009527C7">
            <w:pPr>
              <w:pStyle w:val="Tabletext"/>
            </w:pPr>
            <w:r w:rsidRPr="00B0700F">
              <w:t>Specific business rule tests</w:t>
            </w:r>
          </w:p>
        </w:tc>
        <w:tc>
          <w:tcPr>
            <w:tcW w:w="2289" w:type="dxa"/>
            <w:tcMar>
              <w:top w:w="0" w:type="dxa"/>
              <w:left w:w="108" w:type="dxa"/>
              <w:bottom w:w="0" w:type="dxa"/>
              <w:right w:w="108" w:type="dxa"/>
            </w:tcMar>
          </w:tcPr>
          <w:p w14:paraId="2C5B68BA" w14:textId="1233C6C1" w:rsidR="00C00379" w:rsidRPr="00B0700F" w:rsidRDefault="00C00379" w:rsidP="000D1F83">
            <w:pPr>
              <w:pStyle w:val="Tabletext"/>
            </w:pPr>
            <w:r w:rsidRPr="00B0700F">
              <w:t xml:space="preserve">Yes – as part of the NHCDC </w:t>
            </w:r>
            <w:r w:rsidR="00553168">
              <w:t>d</w:t>
            </w:r>
            <w:r w:rsidRPr="00B0700F">
              <w:t xml:space="preserve">ata </w:t>
            </w:r>
            <w:r w:rsidR="00553168">
              <w:t>t</w:t>
            </w:r>
            <w:r w:rsidRPr="00B0700F">
              <w:t>ransformation process</w:t>
            </w:r>
          </w:p>
        </w:tc>
        <w:tc>
          <w:tcPr>
            <w:tcW w:w="5245" w:type="dxa"/>
            <w:gridSpan w:val="3"/>
            <w:vMerge/>
          </w:tcPr>
          <w:p w14:paraId="49CD7E7D" w14:textId="77777777" w:rsidR="00C00379" w:rsidRPr="00B0700F" w:rsidRDefault="00C00379" w:rsidP="00085947">
            <w:pPr>
              <w:pStyle w:val="BodyText1"/>
            </w:pPr>
          </w:p>
        </w:tc>
      </w:tr>
      <w:tr w:rsidR="00C00379" w:rsidRPr="00630A55" w14:paraId="693592E4" w14:textId="77777777" w:rsidTr="002473E8">
        <w:trPr>
          <w:trHeight w:val="280"/>
        </w:trPr>
        <w:tc>
          <w:tcPr>
            <w:tcW w:w="10338" w:type="dxa"/>
            <w:gridSpan w:val="5"/>
            <w:shd w:val="clear" w:color="auto" w:fill="808080"/>
          </w:tcPr>
          <w:p w14:paraId="4E568B94" w14:textId="42B75C0C" w:rsidR="00C00379" w:rsidRPr="00630A55" w:rsidRDefault="00C00379" w:rsidP="00A92341">
            <w:pPr>
              <w:pStyle w:val="Tableheading"/>
              <w:rPr>
                <w:rFonts w:ascii="Univers 45 Light" w:hAnsi="Univers 45 Light"/>
                <w:sz w:val="22"/>
              </w:rPr>
            </w:pPr>
            <w:r w:rsidRPr="00467F5A">
              <w:rPr>
                <w:rFonts w:ascii="Univers 45 Light" w:hAnsi="Univers 45 Light"/>
                <w:color w:val="000000" w:themeColor="text1"/>
                <w:sz w:val="22"/>
              </w:rPr>
              <w:t xml:space="preserve">Costing </w:t>
            </w:r>
            <w:r w:rsidR="00553168">
              <w:rPr>
                <w:rFonts w:ascii="Univers 45 Light" w:hAnsi="Univers 45 Light"/>
                <w:color w:val="000000" w:themeColor="text1"/>
                <w:sz w:val="22"/>
              </w:rPr>
              <w:t>d</w:t>
            </w:r>
            <w:r w:rsidRPr="00467F5A">
              <w:rPr>
                <w:rFonts w:ascii="Univers 45 Light" w:hAnsi="Univers 45 Light"/>
                <w:color w:val="000000" w:themeColor="text1"/>
                <w:sz w:val="22"/>
              </w:rPr>
              <w:t xml:space="preserve">ata – </w:t>
            </w:r>
            <w:r w:rsidR="00553168">
              <w:rPr>
                <w:rFonts w:ascii="Univers 45 Light" w:hAnsi="Univers 45 Light"/>
                <w:color w:val="000000" w:themeColor="text1"/>
                <w:sz w:val="22"/>
              </w:rPr>
              <w:t>g</w:t>
            </w:r>
            <w:r w:rsidRPr="00467F5A">
              <w:rPr>
                <w:rFonts w:ascii="Univers 45 Light" w:hAnsi="Univers 45 Light"/>
                <w:color w:val="000000" w:themeColor="text1"/>
                <w:sz w:val="22"/>
              </w:rPr>
              <w:t>overnance</w:t>
            </w:r>
          </w:p>
        </w:tc>
      </w:tr>
      <w:tr w:rsidR="00C00379" w:rsidRPr="00630A55" w14:paraId="3B3D36DD" w14:textId="77777777" w:rsidTr="002473E8">
        <w:trPr>
          <w:trHeight w:val="543"/>
        </w:trPr>
        <w:tc>
          <w:tcPr>
            <w:tcW w:w="2804" w:type="dxa"/>
            <w:tcMar>
              <w:top w:w="0" w:type="dxa"/>
              <w:left w:w="108" w:type="dxa"/>
              <w:bottom w:w="0" w:type="dxa"/>
              <w:right w:w="108" w:type="dxa"/>
            </w:tcMar>
            <w:hideMark/>
          </w:tcPr>
          <w:p w14:paraId="475124C5" w14:textId="77777777" w:rsidR="00C00379" w:rsidRPr="00B0700F" w:rsidRDefault="00C00379" w:rsidP="009527C7">
            <w:pPr>
              <w:pStyle w:val="Tabletext"/>
            </w:pPr>
            <w:r w:rsidRPr="00B0700F">
              <w:t>Regular updates with costing staff</w:t>
            </w:r>
          </w:p>
        </w:tc>
        <w:tc>
          <w:tcPr>
            <w:tcW w:w="2289" w:type="dxa"/>
            <w:tcMar>
              <w:top w:w="0" w:type="dxa"/>
              <w:left w:w="108" w:type="dxa"/>
              <w:bottom w:w="0" w:type="dxa"/>
              <w:right w:w="108" w:type="dxa"/>
            </w:tcMar>
          </w:tcPr>
          <w:p w14:paraId="0EFC81A5" w14:textId="77777777" w:rsidR="00C00379" w:rsidRPr="00B0700F" w:rsidRDefault="00C00379" w:rsidP="009527C7">
            <w:pPr>
              <w:pStyle w:val="Tabletext"/>
            </w:pPr>
            <w:r w:rsidRPr="00B0700F">
              <w:t>Monthly meeting</w:t>
            </w:r>
            <w:r>
              <w:t>s</w:t>
            </w:r>
            <w:r w:rsidRPr="00B0700F">
              <w:t xml:space="preserve"> of Clinical Costing Working</w:t>
            </w:r>
            <w:r>
              <w:t xml:space="preserve"> G</w:t>
            </w:r>
            <w:r w:rsidRPr="00B0700F">
              <w:t>roup</w:t>
            </w:r>
            <w:r>
              <w:t xml:space="preserve"> (CCWG)</w:t>
            </w:r>
            <w:r w:rsidRPr="00B0700F">
              <w:t xml:space="preserve">, </w:t>
            </w:r>
            <w:r>
              <w:t xml:space="preserve">HHS Funding and Costing </w:t>
            </w:r>
            <w:r w:rsidRPr="00B0700F">
              <w:t>N</w:t>
            </w:r>
            <w:r>
              <w:t>etwork (HHSFCN)</w:t>
            </w:r>
          </w:p>
        </w:tc>
        <w:tc>
          <w:tcPr>
            <w:tcW w:w="1701" w:type="dxa"/>
          </w:tcPr>
          <w:p w14:paraId="080655E3" w14:textId="77777777" w:rsidR="00C00379" w:rsidRPr="00B0700F" w:rsidRDefault="00C00379" w:rsidP="009527C7">
            <w:pPr>
              <w:pStyle w:val="Tabletext"/>
            </w:pPr>
            <w:r>
              <w:t>Monthly meetings of CCWG, HHSCFN and Statewide Virtual Costing Group (VCG)</w:t>
            </w:r>
          </w:p>
        </w:tc>
        <w:tc>
          <w:tcPr>
            <w:tcW w:w="1701" w:type="dxa"/>
          </w:tcPr>
          <w:p w14:paraId="761988C1" w14:textId="77777777" w:rsidR="00C00379" w:rsidRPr="00B0700F" w:rsidRDefault="00C00379" w:rsidP="009527C7">
            <w:pPr>
              <w:pStyle w:val="Tabletext"/>
            </w:pPr>
            <w:r>
              <w:t>Monthly meetings of CCWG, HHSCFN and Statewide VCG</w:t>
            </w:r>
          </w:p>
        </w:tc>
        <w:tc>
          <w:tcPr>
            <w:tcW w:w="1843" w:type="dxa"/>
            <w:tcMar>
              <w:top w:w="0" w:type="dxa"/>
              <w:left w:w="108" w:type="dxa"/>
              <w:bottom w:w="0" w:type="dxa"/>
              <w:right w:w="108" w:type="dxa"/>
            </w:tcMar>
          </w:tcPr>
          <w:p w14:paraId="4CA04328" w14:textId="77777777" w:rsidR="00C00379" w:rsidRPr="00B0700F" w:rsidRDefault="00C00379" w:rsidP="009527C7">
            <w:pPr>
              <w:pStyle w:val="Tabletext"/>
            </w:pPr>
            <w:r>
              <w:t>Monthly meetings of CCWG, HHSCFN and Statewide VCG</w:t>
            </w:r>
          </w:p>
        </w:tc>
      </w:tr>
      <w:tr w:rsidR="00C00379" w:rsidRPr="00630A55" w14:paraId="0FBFE7F9" w14:textId="77777777" w:rsidTr="002473E8">
        <w:trPr>
          <w:trHeight w:val="806"/>
        </w:trPr>
        <w:tc>
          <w:tcPr>
            <w:tcW w:w="2804" w:type="dxa"/>
            <w:tcMar>
              <w:top w:w="0" w:type="dxa"/>
              <w:left w:w="108" w:type="dxa"/>
              <w:bottom w:w="0" w:type="dxa"/>
              <w:right w:w="108" w:type="dxa"/>
            </w:tcMar>
            <w:hideMark/>
          </w:tcPr>
          <w:p w14:paraId="366E9440" w14:textId="30082D44" w:rsidR="00C00379" w:rsidRPr="00B0700F" w:rsidRDefault="00C00379" w:rsidP="009527C7">
            <w:pPr>
              <w:pStyle w:val="Tabletext"/>
            </w:pPr>
            <w:r w:rsidRPr="00B0700F">
              <w:t>Local guidelines supporting the AHPCS framework</w:t>
            </w:r>
          </w:p>
        </w:tc>
        <w:tc>
          <w:tcPr>
            <w:tcW w:w="2289" w:type="dxa"/>
            <w:tcMar>
              <w:top w:w="0" w:type="dxa"/>
              <w:left w:w="108" w:type="dxa"/>
              <w:bottom w:w="0" w:type="dxa"/>
              <w:right w:w="108" w:type="dxa"/>
            </w:tcMar>
          </w:tcPr>
          <w:p w14:paraId="4B3A3E88" w14:textId="77777777" w:rsidR="00C00379" w:rsidRPr="00B0700F" w:rsidRDefault="00C00379" w:rsidP="000D1F83">
            <w:pPr>
              <w:pStyle w:val="Tabletext"/>
            </w:pPr>
            <w:r w:rsidRPr="00B0700F">
              <w:t xml:space="preserve">Yes </w:t>
            </w:r>
          </w:p>
        </w:tc>
        <w:tc>
          <w:tcPr>
            <w:tcW w:w="1701" w:type="dxa"/>
          </w:tcPr>
          <w:p w14:paraId="147DB4BC" w14:textId="77777777" w:rsidR="00C00379" w:rsidRPr="00B0700F" w:rsidRDefault="00C00379" w:rsidP="000D1F83">
            <w:pPr>
              <w:pStyle w:val="Tabletext"/>
            </w:pPr>
            <w:r w:rsidRPr="00B0700F">
              <w:t>Yes</w:t>
            </w:r>
          </w:p>
        </w:tc>
        <w:tc>
          <w:tcPr>
            <w:tcW w:w="1701" w:type="dxa"/>
          </w:tcPr>
          <w:p w14:paraId="358B5528" w14:textId="77777777" w:rsidR="00C00379" w:rsidRPr="00B0700F" w:rsidRDefault="00C00379" w:rsidP="000D1F83">
            <w:pPr>
              <w:pStyle w:val="Tabletext"/>
            </w:pPr>
            <w:r w:rsidRPr="00B0700F">
              <w:t>Yes</w:t>
            </w:r>
          </w:p>
        </w:tc>
        <w:tc>
          <w:tcPr>
            <w:tcW w:w="1843" w:type="dxa"/>
            <w:tcMar>
              <w:top w:w="0" w:type="dxa"/>
              <w:left w:w="108" w:type="dxa"/>
              <w:bottom w:w="0" w:type="dxa"/>
              <w:right w:w="108" w:type="dxa"/>
            </w:tcMar>
          </w:tcPr>
          <w:p w14:paraId="3D4EB699" w14:textId="77777777" w:rsidR="00C00379" w:rsidRPr="00B0700F" w:rsidRDefault="00C00379" w:rsidP="000D1F83">
            <w:pPr>
              <w:pStyle w:val="Tabletext"/>
            </w:pPr>
            <w:r w:rsidRPr="00B0700F">
              <w:t>Yes</w:t>
            </w:r>
          </w:p>
        </w:tc>
      </w:tr>
      <w:tr w:rsidR="00C00379" w:rsidRPr="00630A55" w14:paraId="39D5B50B" w14:textId="77777777" w:rsidTr="002473E8">
        <w:trPr>
          <w:trHeight w:val="280"/>
        </w:trPr>
        <w:tc>
          <w:tcPr>
            <w:tcW w:w="2804" w:type="dxa"/>
            <w:tcMar>
              <w:top w:w="0" w:type="dxa"/>
              <w:left w:w="108" w:type="dxa"/>
              <w:bottom w:w="0" w:type="dxa"/>
              <w:right w:w="108" w:type="dxa"/>
            </w:tcMar>
            <w:hideMark/>
          </w:tcPr>
          <w:p w14:paraId="5032ED82" w14:textId="77777777" w:rsidR="00C00379" w:rsidRPr="00B0700F" w:rsidRDefault="00C00379" w:rsidP="009527C7">
            <w:pPr>
              <w:pStyle w:val="Tabletext"/>
            </w:pPr>
            <w:r w:rsidRPr="00B0700F">
              <w:t>Review of cost allocations</w:t>
            </w:r>
          </w:p>
        </w:tc>
        <w:tc>
          <w:tcPr>
            <w:tcW w:w="2289" w:type="dxa"/>
            <w:tcMar>
              <w:top w:w="0" w:type="dxa"/>
              <w:left w:w="108" w:type="dxa"/>
              <w:bottom w:w="0" w:type="dxa"/>
              <w:right w:w="108" w:type="dxa"/>
            </w:tcMar>
          </w:tcPr>
          <w:p w14:paraId="4CCE7AF4" w14:textId="110C6875" w:rsidR="00C00379" w:rsidRPr="00B0700F" w:rsidRDefault="00C00379" w:rsidP="009527C7">
            <w:pPr>
              <w:pStyle w:val="Tabletext"/>
            </w:pPr>
            <w:r w:rsidRPr="00B0700F">
              <w:t>Yes</w:t>
            </w:r>
            <w:r w:rsidR="002473E8">
              <w:t>,</w:t>
            </w:r>
            <w:r w:rsidRPr="00B0700F">
              <w:t xml:space="preserve"> as part of the NHCDC </w:t>
            </w:r>
            <w:r w:rsidR="002473E8">
              <w:t>d</w:t>
            </w:r>
            <w:r w:rsidRPr="00B0700F">
              <w:t xml:space="preserve">ata </w:t>
            </w:r>
            <w:r w:rsidR="002473E8">
              <w:t>t</w:t>
            </w:r>
            <w:r w:rsidRPr="00B0700F">
              <w:t>ransformation process</w:t>
            </w:r>
          </w:p>
        </w:tc>
        <w:tc>
          <w:tcPr>
            <w:tcW w:w="1701" w:type="dxa"/>
          </w:tcPr>
          <w:p w14:paraId="284FBD9B" w14:textId="77777777" w:rsidR="00C00379" w:rsidRPr="00B0700F" w:rsidRDefault="00C00379" w:rsidP="009527C7">
            <w:pPr>
              <w:pStyle w:val="Tabletext"/>
            </w:pPr>
            <w:r w:rsidRPr="00B0700F">
              <w:t>Annual review</w:t>
            </w:r>
          </w:p>
        </w:tc>
        <w:tc>
          <w:tcPr>
            <w:tcW w:w="1701" w:type="dxa"/>
          </w:tcPr>
          <w:p w14:paraId="1629AA6B" w14:textId="77777777" w:rsidR="00C00379" w:rsidRPr="00B0700F" w:rsidRDefault="00C00379" w:rsidP="009527C7">
            <w:pPr>
              <w:pStyle w:val="Tabletext"/>
            </w:pPr>
            <w:r w:rsidRPr="00B0700F">
              <w:t>Annual review</w:t>
            </w:r>
          </w:p>
        </w:tc>
        <w:tc>
          <w:tcPr>
            <w:tcW w:w="1843" w:type="dxa"/>
            <w:tcMar>
              <w:top w:w="0" w:type="dxa"/>
              <w:left w:w="108" w:type="dxa"/>
              <w:bottom w:w="0" w:type="dxa"/>
              <w:right w:w="108" w:type="dxa"/>
            </w:tcMar>
          </w:tcPr>
          <w:p w14:paraId="577B8CCF" w14:textId="77777777" w:rsidR="00C00379" w:rsidRPr="00B0700F" w:rsidRDefault="00C00379" w:rsidP="009527C7">
            <w:pPr>
              <w:pStyle w:val="Tabletext"/>
            </w:pPr>
            <w:r w:rsidRPr="00B0700F">
              <w:t>Annual review</w:t>
            </w:r>
          </w:p>
        </w:tc>
      </w:tr>
      <w:tr w:rsidR="00C00379" w:rsidRPr="00630A55" w14:paraId="27605FDE" w14:textId="77777777" w:rsidTr="002473E8">
        <w:trPr>
          <w:trHeight w:val="806"/>
        </w:trPr>
        <w:tc>
          <w:tcPr>
            <w:tcW w:w="2804" w:type="dxa"/>
            <w:tcMar>
              <w:top w:w="0" w:type="dxa"/>
              <w:left w:w="108" w:type="dxa"/>
              <w:bottom w:w="0" w:type="dxa"/>
              <w:right w:w="108" w:type="dxa"/>
            </w:tcMar>
            <w:hideMark/>
          </w:tcPr>
          <w:p w14:paraId="568F4AA6" w14:textId="77777777" w:rsidR="00C00379" w:rsidRPr="00B0700F" w:rsidRDefault="00C00379" w:rsidP="009527C7">
            <w:pPr>
              <w:pStyle w:val="Tabletext"/>
            </w:pPr>
            <w:r w:rsidRPr="00B0700F">
              <w:t>Review on reasonableness of costing data output</w:t>
            </w:r>
          </w:p>
        </w:tc>
        <w:tc>
          <w:tcPr>
            <w:tcW w:w="2289" w:type="dxa"/>
            <w:tcMar>
              <w:top w:w="0" w:type="dxa"/>
              <w:left w:w="108" w:type="dxa"/>
              <w:bottom w:w="0" w:type="dxa"/>
              <w:right w:w="108" w:type="dxa"/>
            </w:tcMar>
          </w:tcPr>
          <w:p w14:paraId="522FB279" w14:textId="77777777" w:rsidR="00C00379" w:rsidRPr="00B0700F" w:rsidRDefault="00C00379" w:rsidP="009527C7">
            <w:pPr>
              <w:pStyle w:val="Tabletext"/>
            </w:pPr>
            <w:r w:rsidRPr="00B0700F">
              <w:t>Data is reviewed for reasonableness and completeness</w:t>
            </w:r>
          </w:p>
        </w:tc>
        <w:tc>
          <w:tcPr>
            <w:tcW w:w="1701" w:type="dxa"/>
          </w:tcPr>
          <w:p w14:paraId="0ADEA294" w14:textId="77777777" w:rsidR="00C00379" w:rsidRPr="00B0700F" w:rsidRDefault="00C00379" w:rsidP="009527C7">
            <w:pPr>
              <w:pStyle w:val="Tabletext"/>
            </w:pPr>
            <w:r w:rsidRPr="00B0700F">
              <w:t>Multiple reviews undertaken prior to signoff</w:t>
            </w:r>
          </w:p>
        </w:tc>
        <w:tc>
          <w:tcPr>
            <w:tcW w:w="1701" w:type="dxa"/>
          </w:tcPr>
          <w:p w14:paraId="1A0FBA58" w14:textId="77777777" w:rsidR="00C00379" w:rsidRPr="00B0700F" w:rsidRDefault="00C00379" w:rsidP="009527C7">
            <w:pPr>
              <w:pStyle w:val="Tabletext"/>
            </w:pPr>
            <w:r w:rsidRPr="00B0700F">
              <w:t>Multiple reviews undertaken prior to signoff</w:t>
            </w:r>
          </w:p>
        </w:tc>
        <w:tc>
          <w:tcPr>
            <w:tcW w:w="1843" w:type="dxa"/>
            <w:tcMar>
              <w:top w:w="0" w:type="dxa"/>
              <w:left w:w="108" w:type="dxa"/>
              <w:bottom w:w="0" w:type="dxa"/>
              <w:right w:w="108" w:type="dxa"/>
            </w:tcMar>
          </w:tcPr>
          <w:p w14:paraId="686C8CBF" w14:textId="77777777" w:rsidR="00C00379" w:rsidRPr="00B0700F" w:rsidRDefault="00C00379" w:rsidP="009527C7">
            <w:pPr>
              <w:pStyle w:val="Tabletext"/>
            </w:pPr>
            <w:r w:rsidRPr="00B0700F">
              <w:t>Multiple reviews undertaken prior to signoff</w:t>
            </w:r>
          </w:p>
        </w:tc>
      </w:tr>
      <w:tr w:rsidR="00C00379" w:rsidRPr="00630A55" w14:paraId="0E1F10D9" w14:textId="77777777" w:rsidTr="002473E8">
        <w:trPr>
          <w:trHeight w:val="543"/>
        </w:trPr>
        <w:tc>
          <w:tcPr>
            <w:tcW w:w="2804" w:type="dxa"/>
            <w:tcMar>
              <w:top w:w="0" w:type="dxa"/>
              <w:left w:w="108" w:type="dxa"/>
              <w:bottom w:w="0" w:type="dxa"/>
              <w:right w:w="108" w:type="dxa"/>
            </w:tcMar>
            <w:hideMark/>
          </w:tcPr>
          <w:p w14:paraId="374A9161" w14:textId="77777777" w:rsidR="00C00379" w:rsidRPr="00B0700F" w:rsidRDefault="00C00379" w:rsidP="009527C7">
            <w:pPr>
              <w:pStyle w:val="Tabletext"/>
            </w:pPr>
            <w:r w:rsidRPr="00B0700F">
              <w:t>Formal sign-off</w:t>
            </w:r>
          </w:p>
        </w:tc>
        <w:tc>
          <w:tcPr>
            <w:tcW w:w="2289" w:type="dxa"/>
            <w:tcMar>
              <w:top w:w="0" w:type="dxa"/>
              <w:left w:w="108" w:type="dxa"/>
              <w:bottom w:w="0" w:type="dxa"/>
              <w:right w:w="108" w:type="dxa"/>
            </w:tcMar>
          </w:tcPr>
          <w:p w14:paraId="42B805E3" w14:textId="77777777" w:rsidR="00C00379" w:rsidRPr="00B0700F" w:rsidRDefault="00C00379" w:rsidP="009527C7">
            <w:pPr>
              <w:pStyle w:val="Tabletext"/>
            </w:pPr>
            <w:r w:rsidRPr="00B0700F">
              <w:t>Deputy Director General</w:t>
            </w:r>
          </w:p>
        </w:tc>
        <w:tc>
          <w:tcPr>
            <w:tcW w:w="1701" w:type="dxa"/>
          </w:tcPr>
          <w:p w14:paraId="28C6B287" w14:textId="77777777" w:rsidR="00C00379" w:rsidRPr="00B0700F" w:rsidRDefault="00C00379" w:rsidP="009527C7">
            <w:pPr>
              <w:pStyle w:val="Tabletext"/>
            </w:pPr>
            <w:r>
              <w:t xml:space="preserve">HHS </w:t>
            </w:r>
            <w:r w:rsidRPr="00B0700F">
              <w:t>CFO</w:t>
            </w:r>
          </w:p>
        </w:tc>
        <w:tc>
          <w:tcPr>
            <w:tcW w:w="1701" w:type="dxa"/>
          </w:tcPr>
          <w:p w14:paraId="69BBAF72" w14:textId="77777777" w:rsidR="00C00379" w:rsidRPr="00B0700F" w:rsidRDefault="00C00379" w:rsidP="009527C7">
            <w:pPr>
              <w:pStyle w:val="Tabletext"/>
            </w:pPr>
            <w:r>
              <w:t xml:space="preserve">HHS </w:t>
            </w:r>
            <w:r w:rsidRPr="00B0700F">
              <w:t>CFO</w:t>
            </w:r>
          </w:p>
        </w:tc>
        <w:tc>
          <w:tcPr>
            <w:tcW w:w="1843" w:type="dxa"/>
            <w:tcMar>
              <w:top w:w="0" w:type="dxa"/>
              <w:left w:w="108" w:type="dxa"/>
              <w:bottom w:w="0" w:type="dxa"/>
              <w:right w:w="108" w:type="dxa"/>
            </w:tcMar>
          </w:tcPr>
          <w:p w14:paraId="6046906A" w14:textId="77777777" w:rsidR="00C00379" w:rsidRPr="00B0700F" w:rsidRDefault="00C00379" w:rsidP="009527C7">
            <w:pPr>
              <w:pStyle w:val="Tabletext"/>
            </w:pPr>
            <w:r>
              <w:t xml:space="preserve">HHS </w:t>
            </w:r>
            <w:r w:rsidRPr="00B0700F">
              <w:t>CFO</w:t>
            </w:r>
          </w:p>
        </w:tc>
      </w:tr>
    </w:tbl>
    <w:p w14:paraId="58D5FC3E" w14:textId="77777777" w:rsidR="00C00379" w:rsidRPr="00630A55" w:rsidRDefault="00C00379" w:rsidP="00C00379">
      <w:pPr>
        <w:pStyle w:val="Source"/>
      </w:pPr>
      <w:r w:rsidRPr="00630A55">
        <w:t>Source: Jurisdictional consultations and data quality statement</w:t>
      </w:r>
    </w:p>
    <w:p w14:paraId="243AC532" w14:textId="77777777" w:rsidR="00C00379" w:rsidRPr="00630A55" w:rsidRDefault="00C00379" w:rsidP="00C00379">
      <w:pPr>
        <w:pStyle w:val="Heading3"/>
      </w:pPr>
      <w:r w:rsidRPr="00630A55">
        <w:lastRenderedPageBreak/>
        <w:t>Business requirements</w:t>
      </w:r>
    </w:p>
    <w:p w14:paraId="7DABCD80" w14:textId="5EF7BF49" w:rsidR="00C00379" w:rsidRPr="00630A55" w:rsidRDefault="00C00379" w:rsidP="003910CC">
      <w:pPr>
        <w:jc w:val="both"/>
      </w:pPr>
      <w:r w:rsidRPr="00630A55">
        <w:t>Queensland Health and selected sample HHSs do not distribute the IHACPA reports and NHCDC data to the broader clinical workforce. Instead, this information sits within the Clinical Costing Unit and is reviewed informally and formally through their annual costing process. There is an opportunity to further engage clinicians and the health workforce to gain a greater understanding of costing processes</w:t>
      </w:r>
      <w:r w:rsidR="004C0E21">
        <w:t xml:space="preserve"> and inform health planning decisions</w:t>
      </w:r>
      <w:r w:rsidRPr="00630A55">
        <w:t>.</w:t>
      </w:r>
    </w:p>
    <w:p w14:paraId="42F7AC7F" w14:textId="77777777" w:rsidR="00C00379" w:rsidRPr="00630A55" w:rsidRDefault="00C00379" w:rsidP="00C00379">
      <w:pPr>
        <w:pStyle w:val="Heading3"/>
      </w:pPr>
      <w:r w:rsidRPr="00630A55">
        <w:t>Implications of COVID-19</w:t>
      </w:r>
    </w:p>
    <w:p w14:paraId="74653F39" w14:textId="5BD3823C" w:rsidR="002C0A8E" w:rsidRDefault="00C00379" w:rsidP="003910CC">
      <w:pPr>
        <w:jc w:val="both"/>
      </w:pPr>
      <w:r w:rsidRPr="00630A55">
        <w:t>Queensland Health and selected sample HHSs utilised a specific cost centre/internal number to allocated COVID-19 related costs</w:t>
      </w:r>
      <w:r w:rsidR="008678A0">
        <w:t>. T</w:t>
      </w:r>
      <w:r w:rsidRPr="00630A55">
        <w:t>here were also COVID-19 vaccine cost centres for each HSS when distributions of vaccines commenced. While review and analysis is still underway of pathology and imaging during the peak of the pandemic, there are signs of incremental increases in costs across the whole health system.</w:t>
      </w:r>
    </w:p>
    <w:p w14:paraId="32A16DDD" w14:textId="4E095BBC" w:rsidR="00C00379" w:rsidRPr="00630A55" w:rsidRDefault="00C00379" w:rsidP="003910CC">
      <w:pPr>
        <w:jc w:val="both"/>
      </w:pPr>
      <w:r w:rsidRPr="00630A55">
        <w:t xml:space="preserve">The </w:t>
      </w:r>
      <w:r w:rsidR="00595A9F">
        <w:t>FY20/21</w:t>
      </w:r>
      <w:r w:rsidRPr="00630A55">
        <w:t xml:space="preserve"> IFR process only covered the approaches and methodologies HHSs utilised in costing COVID-19 activity</w:t>
      </w:r>
      <w:r w:rsidR="008678A0">
        <w:t>;</w:t>
      </w:r>
      <w:r w:rsidRPr="00630A55">
        <w:t xml:space="preserve"> it did not cover any further detail about COVID-19 costing.</w:t>
      </w:r>
    </w:p>
    <w:p w14:paraId="76007612" w14:textId="77777777" w:rsidR="00C00379" w:rsidRPr="00630A55" w:rsidRDefault="00C00379" w:rsidP="00C00379">
      <w:pPr>
        <w:pStyle w:val="Heading3"/>
      </w:pPr>
      <w:r w:rsidRPr="00630A55">
        <w:t xml:space="preserve">Key learning and future improvements </w:t>
      </w:r>
    </w:p>
    <w:p w14:paraId="0ABE98FD" w14:textId="77777777" w:rsidR="00C00379" w:rsidRPr="00630A55" w:rsidRDefault="00C00379" w:rsidP="003910CC">
      <w:pPr>
        <w:jc w:val="both"/>
      </w:pPr>
      <w:r w:rsidRPr="00630A55">
        <w:t>Queensland Health HHSs continually monitor the implementation of new clinical data collection systems to assess whether they can be utilised for clinical costing, and they work collaboratively with data managers to improve existing systems to attain minimum requirements for costing.</w:t>
      </w:r>
    </w:p>
    <w:p w14:paraId="4CFFCC8B" w14:textId="08A65927" w:rsidR="00C00379" w:rsidRPr="00630A55" w:rsidRDefault="00C00379" w:rsidP="003910CC">
      <w:pPr>
        <w:jc w:val="both"/>
      </w:pPr>
      <w:r w:rsidRPr="00630A55">
        <w:t xml:space="preserve">Now into the second year of the implementation of the </w:t>
      </w:r>
      <w:r w:rsidR="00710D0C">
        <w:t>statewide</w:t>
      </w:r>
      <w:r w:rsidRPr="00630A55">
        <w:t xml:space="preserve"> costing solution, this has provided further opportunities to review and modify episode matching rules to better align ancillary feeder system data where point of order data was not available in the legacy feeder system.</w:t>
      </w:r>
    </w:p>
    <w:p w14:paraId="0C56D7E7" w14:textId="70B6D1F5" w:rsidR="00C00379" w:rsidRPr="00630A55" w:rsidRDefault="00C00379" w:rsidP="003910CC">
      <w:pPr>
        <w:jc w:val="both"/>
      </w:pPr>
      <w:r w:rsidRPr="00630A55">
        <w:t xml:space="preserve">The opportunity to continue to improve business intelligence and clinical decision making is ongoing and has been assisted with the implementation of the </w:t>
      </w:r>
      <w:r w:rsidR="00710D0C">
        <w:t>statewide</w:t>
      </w:r>
      <w:r w:rsidRPr="00630A55">
        <w:t xml:space="preserve"> costing system. Improving costing awareness across all business units continues to be a path for future improvements.</w:t>
      </w:r>
    </w:p>
    <w:p w14:paraId="7AA55F81" w14:textId="3C3CED9B" w:rsidR="00C00379" w:rsidRPr="00630A55" w:rsidRDefault="00C00379" w:rsidP="003910CC">
      <w:pPr>
        <w:jc w:val="both"/>
      </w:pPr>
      <w:bookmarkStart w:id="61" w:name="_Hlk112330664"/>
      <w:r w:rsidRPr="00630A55">
        <w:t xml:space="preserve">Queensland Health discussed the absence of </w:t>
      </w:r>
      <w:r w:rsidR="00710D0C">
        <w:t>NSW</w:t>
      </w:r>
      <w:r w:rsidRPr="00630A55">
        <w:t xml:space="preserve"> from participating in the </w:t>
      </w:r>
      <w:r w:rsidR="00595A9F">
        <w:t>FY20/21</w:t>
      </w:r>
      <w:r w:rsidRPr="00630A55">
        <w:t xml:space="preserve"> IFR process and noted that there were also no peer reviewers present during any of the meetings conducted</w:t>
      </w:r>
      <w:r w:rsidR="00943FCB">
        <w:t xml:space="preserve"> for Queensland</w:t>
      </w:r>
      <w:r w:rsidRPr="00630A55">
        <w:t>. There is concern about the ongoing usefulness and validity of the IFR process if jurisdictions can opt out and peer reviewing is minimally undertaken.</w:t>
      </w:r>
      <w:bookmarkEnd w:id="61"/>
    </w:p>
    <w:p w14:paraId="31E9D7AE" w14:textId="77777777" w:rsidR="003910CC" w:rsidRDefault="00C00379" w:rsidP="003910CC">
      <w:pPr>
        <w:jc w:val="both"/>
      </w:pPr>
      <w:r w:rsidRPr="00630A55">
        <w:t xml:space="preserve">Finally, Queensland Health highlighted that all the information required for the National Health Reform Agreement (NHRA) activity components of the Public Hospital Establishment (PHE) collection are included in their NHCDC submission. While Queensland Health recognises the necessity of collecting this information via the PHE collection from jurisdictions </w:t>
      </w:r>
      <w:r w:rsidR="00EC4712">
        <w:t>tha</w:t>
      </w:r>
      <w:r w:rsidR="00DB2390">
        <w:t>t</w:t>
      </w:r>
      <w:r w:rsidRPr="00630A55">
        <w:t xml:space="preserve"> do not provide the level of granularity required in their annual NHCDC submission</w:t>
      </w:r>
      <w:r w:rsidR="00DB2390">
        <w:t>,</w:t>
      </w:r>
      <w:r w:rsidRPr="00630A55">
        <w:t xml:space="preserve"> there is an additional, redundant workload imposed upon some jurisdictions by requiring a separate PHE submission as well. </w:t>
      </w:r>
      <w:bookmarkStart w:id="62" w:name="_Hlk112330293"/>
    </w:p>
    <w:p w14:paraId="354DC69C" w14:textId="7A9647A4" w:rsidR="00C00379" w:rsidRPr="00630A55" w:rsidRDefault="00C00379" w:rsidP="003910CC">
      <w:pPr>
        <w:jc w:val="both"/>
      </w:pPr>
      <w:r w:rsidRPr="00630A55">
        <w:t>Queensland Heath request</w:t>
      </w:r>
      <w:r w:rsidR="00DB2390">
        <w:t>ed</w:t>
      </w:r>
      <w:r w:rsidRPr="00630A55">
        <w:t xml:space="preserve"> that the IHACPA consider introducing non-patient cost elements into the NHCDC to enable jurisdictions to fully report public health service expenditure through the NHCDC and therefore only complete the PHE by exception where this information </w:t>
      </w:r>
      <w:r w:rsidR="00057BC8">
        <w:t>is not</w:t>
      </w:r>
      <w:r w:rsidRPr="00630A55">
        <w:t xml:space="preserve"> available in the jurisdictional NHCDC submission.</w:t>
      </w:r>
      <w:bookmarkEnd w:id="62"/>
    </w:p>
    <w:p w14:paraId="03C91422" w14:textId="77777777" w:rsidR="00C00379" w:rsidRPr="00630A55" w:rsidRDefault="00C00379" w:rsidP="00C00379">
      <w:pPr>
        <w:pStyle w:val="Heading3"/>
      </w:pPr>
      <w:r w:rsidRPr="00630A55">
        <w:t xml:space="preserve">Conclusion </w:t>
      </w:r>
    </w:p>
    <w:p w14:paraId="1B50793C" w14:textId="762892F0" w:rsidR="00951F65" w:rsidRPr="00630A55" w:rsidRDefault="00C00379" w:rsidP="003910CC">
      <w:pPr>
        <w:jc w:val="both"/>
      </w:pPr>
      <w:r w:rsidRPr="00630A55">
        <w:t xml:space="preserve">Queensland Health reported their costing submission was prepared in accordance with AHPCS version 4.1 for </w:t>
      </w:r>
      <w:r w:rsidR="00595A9F">
        <w:t>FY20/21</w:t>
      </w:r>
      <w:r w:rsidRPr="00630A55">
        <w:t xml:space="preserve">. Based on the methodology outlined above, Central </w:t>
      </w:r>
      <w:r w:rsidRPr="00630A55">
        <w:lastRenderedPageBreak/>
        <w:t>Queensland HHS, Mackay HHS and Metro South HHS have suitable reconciliation processes in place and the financial and activity data is considered fit for NHCDC submission.</w:t>
      </w:r>
    </w:p>
    <w:p w14:paraId="7D83B81A" w14:textId="77777777" w:rsidR="0098460E" w:rsidRDefault="0098460E" w:rsidP="000F23B5">
      <w:pPr>
        <w:pStyle w:val="Heading2"/>
        <w:sectPr w:rsidR="0098460E" w:rsidSect="00146B60">
          <w:pgSz w:w="11906" w:h="16838"/>
          <w:pgMar w:top="1134" w:right="1418" w:bottom="1418" w:left="1418" w:header="709" w:footer="454" w:gutter="0"/>
          <w:cols w:space="708"/>
          <w:docGrid w:linePitch="360"/>
        </w:sectPr>
      </w:pPr>
    </w:p>
    <w:p w14:paraId="69A06E30" w14:textId="2A6889D8" w:rsidR="000F23B5" w:rsidRDefault="000F23B5" w:rsidP="000F23B5">
      <w:pPr>
        <w:pStyle w:val="Heading2"/>
      </w:pPr>
      <w:bookmarkStart w:id="63" w:name="_Toc128376728"/>
      <w:r w:rsidRPr="00A16B1D">
        <w:lastRenderedPageBreak/>
        <w:t>South Australia</w:t>
      </w:r>
      <w:bookmarkEnd w:id="63"/>
      <w:r w:rsidRPr="00A16B1D">
        <w:t xml:space="preserve"> </w:t>
      </w:r>
    </w:p>
    <w:p w14:paraId="4AB01595" w14:textId="1A707833" w:rsidR="000F23B5" w:rsidRDefault="000F23B5" w:rsidP="000F23B5">
      <w:pPr>
        <w:pStyle w:val="Heading3"/>
      </w:pPr>
      <w:r w:rsidRPr="00A16B1D">
        <w:t>Jurisdictional summary</w:t>
      </w:r>
    </w:p>
    <w:p w14:paraId="2A430C85" w14:textId="783D01DA" w:rsidR="00A8087C" w:rsidRPr="00EF14E7" w:rsidRDefault="00A8087C" w:rsidP="009527C7">
      <w:pPr>
        <w:pStyle w:val="Heading4"/>
      </w:pPr>
      <w:r w:rsidRPr="00630A55">
        <w:t>Healt</w:t>
      </w:r>
      <w:r w:rsidRPr="00EF14E7">
        <w:t xml:space="preserve">h Service </w:t>
      </w:r>
      <w:r w:rsidR="001D70C2">
        <w:t>o</w:t>
      </w:r>
      <w:r w:rsidRPr="00EF14E7">
        <w:t>verview</w:t>
      </w:r>
    </w:p>
    <w:p w14:paraId="1027E350" w14:textId="2FD0071B" w:rsidR="00D663E3" w:rsidRPr="00630A55" w:rsidRDefault="00D663E3" w:rsidP="003910CC">
      <w:pPr>
        <w:jc w:val="both"/>
      </w:pPr>
      <w:r w:rsidRPr="00630A55">
        <w:t xml:space="preserve">The </w:t>
      </w:r>
      <w:r w:rsidR="00DB2390">
        <w:t>SA</w:t>
      </w:r>
      <w:r w:rsidRPr="00630A55">
        <w:t xml:space="preserve"> Department of Health and Wellbeing (DHW) comprises 10 LHNs, including four metropolitan and six regional health services (established from one country network to six LHNs during </w:t>
      </w:r>
      <w:r w:rsidR="00595A9F">
        <w:t>FY19/20</w:t>
      </w:r>
      <w:r w:rsidRPr="00630A55">
        <w:t xml:space="preserve">). In </w:t>
      </w:r>
      <w:r w:rsidR="00595A9F">
        <w:t>FY20/21</w:t>
      </w:r>
      <w:r w:rsidRPr="00630A55">
        <w:t xml:space="preserve"> of the IFR, two LHNs were selected as sample sites for the review: Flinders and Upper North LHN (FUNLHN) and Northern Adelaide LHN (NALHN), with the </w:t>
      </w:r>
      <w:r w:rsidR="00710D0C">
        <w:t>P</w:t>
      </w:r>
      <w:r w:rsidR="001D70C2">
        <w:t xml:space="preserve">ort </w:t>
      </w:r>
      <w:r w:rsidR="00710D0C">
        <w:t>A</w:t>
      </w:r>
      <w:r w:rsidR="001D70C2">
        <w:t xml:space="preserve">ugusta </w:t>
      </w:r>
      <w:r w:rsidR="00710D0C">
        <w:t>H</w:t>
      </w:r>
      <w:r w:rsidR="001D70C2">
        <w:t>ospital (</w:t>
      </w:r>
      <w:r w:rsidR="00710D0C">
        <w:t>PAH</w:t>
      </w:r>
      <w:r w:rsidR="001D70C2">
        <w:t>)</w:t>
      </w:r>
      <w:r w:rsidRPr="00630A55">
        <w:t xml:space="preserve"> and the </w:t>
      </w:r>
      <w:r w:rsidR="001D70C2">
        <w:t>Lyell McEwin Hospital (</w:t>
      </w:r>
      <w:r w:rsidR="00710D0C">
        <w:t>LMH</w:t>
      </w:r>
      <w:r w:rsidR="001D70C2">
        <w:t>)</w:t>
      </w:r>
      <w:r w:rsidRPr="00630A55">
        <w:t xml:space="preserve"> selected for assessment for FUNLHN and NALHN respectively based upon the sampling framework. </w:t>
      </w:r>
    </w:p>
    <w:p w14:paraId="65483F37" w14:textId="27767175" w:rsidR="00D663E3" w:rsidRPr="00630A55" w:rsidRDefault="00D663E3" w:rsidP="003910CC">
      <w:pPr>
        <w:jc w:val="both"/>
      </w:pPr>
      <w:r w:rsidRPr="00630A55">
        <w:t xml:space="preserve">FUNLHN provides health services across the whole continuum of care for approximately 45,000 people living within the Spencer Gulf, eastern Eyre Peninsula and north to the </w:t>
      </w:r>
      <w:r w:rsidR="00710D0C">
        <w:t>NT</w:t>
      </w:r>
      <w:r w:rsidRPr="00630A55">
        <w:t xml:space="preserve"> border – encompassing an area of almost 541,000km</w:t>
      </w:r>
      <w:r w:rsidRPr="00630A55">
        <w:rPr>
          <w:vertAlign w:val="superscript"/>
        </w:rPr>
        <w:t>2</w:t>
      </w:r>
      <w:r w:rsidRPr="00630A55">
        <w:t>. It comprises five hospitals, three of which are grant-funded, with the remaining two being ABF/case-mix funded</w:t>
      </w:r>
      <w:r w:rsidR="001D10E0">
        <w:t>, including</w:t>
      </w:r>
      <w:r w:rsidRPr="00630A55">
        <w:t xml:space="preserve"> PAH, the subject of the </w:t>
      </w:r>
      <w:r w:rsidR="00595A9F">
        <w:t>FY20/21</w:t>
      </w:r>
      <w:r w:rsidRPr="00630A55">
        <w:t xml:space="preserve"> IFR. PAH is the second largest hospital in the region; it encompasses approximately 100 beds (incl</w:t>
      </w:r>
      <w:r w:rsidR="00A7453D">
        <w:t>uding</w:t>
      </w:r>
      <w:r w:rsidRPr="00630A55">
        <w:t xml:space="preserve"> emergency services, general medical and surgical care services). </w:t>
      </w:r>
    </w:p>
    <w:p w14:paraId="1FAE01F1" w14:textId="5305B78F" w:rsidR="00D663E3" w:rsidRPr="00630A55" w:rsidRDefault="00D663E3" w:rsidP="003910CC">
      <w:pPr>
        <w:jc w:val="both"/>
      </w:pPr>
      <w:r w:rsidRPr="00630A55">
        <w:t xml:space="preserve">NALHN covers SA’s fastest growing region in the north and north-east metropolitan area, with a catchment area covering approximately 400,000 people. It comprises two hospitals, including the LMH, Modbury Hospital (MH), Northern Mental Health Services, Watto Purrunna Aboriginal Primary Health Care Service, and a number of primary health, </w:t>
      </w:r>
      <w:r w:rsidR="0018005C" w:rsidRPr="00630A55">
        <w:t>sub-acute</w:t>
      </w:r>
      <w:r w:rsidRPr="00630A55">
        <w:t xml:space="preserve"> and transitional care services. The LMH is the major hospital in the LHN with </w:t>
      </w:r>
      <w:r w:rsidR="0076040F">
        <w:t xml:space="preserve">over </w:t>
      </w:r>
      <w:r w:rsidRPr="00630A55">
        <w:t>600 beds</w:t>
      </w:r>
      <w:r w:rsidR="00307CF0">
        <w:t>,</w:t>
      </w:r>
      <w:r w:rsidRPr="00630A55">
        <w:t xml:space="preserve"> selected as the sample site for the </w:t>
      </w:r>
      <w:r w:rsidR="00595A9F">
        <w:t>FY20/21</w:t>
      </w:r>
      <w:r w:rsidRPr="00630A55">
        <w:t xml:space="preserve"> IFR. NALHN has additional beds planned with increasing investment in service delivery. </w:t>
      </w:r>
    </w:p>
    <w:p w14:paraId="718D2FAC" w14:textId="014168B6" w:rsidR="00D663E3" w:rsidRPr="00EF14E7" w:rsidRDefault="00D663E3" w:rsidP="009527C7">
      <w:pPr>
        <w:pStyle w:val="Heading4"/>
      </w:pPr>
      <w:r w:rsidRPr="00630A55">
        <w:t>C</w:t>
      </w:r>
      <w:r w:rsidRPr="00EF14E7">
        <w:t xml:space="preserve">osting </w:t>
      </w:r>
      <w:r w:rsidR="00307CF0">
        <w:t>o</w:t>
      </w:r>
      <w:r w:rsidRPr="00EF14E7">
        <w:t>verview</w:t>
      </w:r>
    </w:p>
    <w:p w14:paraId="506AD15E" w14:textId="0E772E34" w:rsidR="00D663E3" w:rsidRPr="00630A55" w:rsidRDefault="00D663E3" w:rsidP="003910CC">
      <w:pPr>
        <w:jc w:val="both"/>
      </w:pPr>
      <w:r w:rsidRPr="00630A55">
        <w:t xml:space="preserve">Patient costing activities are undertaken by costing resources embedded within the LHNs, with separate </w:t>
      </w:r>
      <w:r w:rsidR="0059355D">
        <w:t>c</w:t>
      </w:r>
      <w:r w:rsidRPr="00630A55">
        <w:t xml:space="preserve">osting teams within the four metropolitan LHNs, and one </w:t>
      </w:r>
      <w:r w:rsidR="0059355D">
        <w:t>c</w:t>
      </w:r>
      <w:r w:rsidRPr="00630A55">
        <w:t>osting team dedicated to supporting all six regional LHNs (through Rural Support Services). All LHNs use the same guidelines for costing patient level data and</w:t>
      </w:r>
      <w:r w:rsidR="003166A7">
        <w:t>,</w:t>
      </w:r>
      <w:r w:rsidRPr="00630A55">
        <w:t xml:space="preserve"> whilst LHNs may select different cost drivers in certain instances, their methodology remains consistent. The data from all feeder systems is supplied by individual LHNs and collated into </w:t>
      </w:r>
      <w:r w:rsidR="000772B5">
        <w:t xml:space="preserve">Microsoft </w:t>
      </w:r>
      <w:r w:rsidRPr="00630A55">
        <w:t>Access databases, with activity data extracted from DHW corporate systems. LHNs run QA processes over the data and then supply this to DHW for collation and submission (e.g. costs per activity such as ‘theatre cost per hour’). Additional technical support and subject</w:t>
      </w:r>
      <w:r w:rsidR="003166A7">
        <w:t xml:space="preserve"> </w:t>
      </w:r>
      <w:r w:rsidRPr="00630A55">
        <w:t xml:space="preserve">matter expertise for QA is provided to some LHNs by an external contractor, PowerHealth Solutions. </w:t>
      </w:r>
    </w:p>
    <w:p w14:paraId="2CEEF4F7" w14:textId="0948A09B" w:rsidR="00D663E3" w:rsidRPr="00630A55" w:rsidRDefault="00D663E3" w:rsidP="003910CC">
      <w:pPr>
        <w:jc w:val="both"/>
      </w:pPr>
      <w:r w:rsidRPr="00630A55">
        <w:t xml:space="preserve">DHW experienced staff turnover in </w:t>
      </w:r>
      <w:r w:rsidR="00595A9F">
        <w:t>FY20/21</w:t>
      </w:r>
      <w:r>
        <w:t xml:space="preserve">. </w:t>
      </w:r>
      <w:r w:rsidRPr="00630A55">
        <w:t xml:space="preserve">The newly established team is looking to implement additional </w:t>
      </w:r>
      <w:r w:rsidR="00C7212B">
        <w:t xml:space="preserve">resources and </w:t>
      </w:r>
      <w:r w:rsidRPr="00630A55">
        <w:t xml:space="preserve">improvements to the engagement and QA processes for inclusion in the </w:t>
      </w:r>
      <w:r w:rsidR="00AC2316">
        <w:t>FY21/22 IFR</w:t>
      </w:r>
      <w:r w:rsidRPr="00630A55">
        <w:t xml:space="preserve"> submission.</w:t>
      </w:r>
    </w:p>
    <w:p w14:paraId="66387E32" w14:textId="5F04AEAA" w:rsidR="00D663E3" w:rsidRPr="00630A55" w:rsidRDefault="00D663E3" w:rsidP="009527C7">
      <w:pPr>
        <w:pStyle w:val="Heading4"/>
        <w:rPr>
          <w:rFonts w:ascii="Univers 45 Light" w:hAnsi="Univers 45 Light"/>
          <w:color w:val="4FC3FF" w:themeColor="accent2" w:themeTint="99"/>
          <w:szCs w:val="20"/>
        </w:rPr>
      </w:pPr>
      <w:r w:rsidRPr="00630A55">
        <w:t xml:space="preserve">Systems </w:t>
      </w:r>
      <w:r w:rsidR="00D74212">
        <w:t>e</w:t>
      </w:r>
      <w:r w:rsidRPr="00630A55">
        <w:t>nvironment</w:t>
      </w:r>
    </w:p>
    <w:p w14:paraId="204E3588" w14:textId="1D783903" w:rsidR="00D663E3" w:rsidRPr="00630A55" w:rsidRDefault="00D663E3" w:rsidP="003910CC">
      <w:pPr>
        <w:jc w:val="both"/>
      </w:pPr>
      <w:r w:rsidRPr="00630A55">
        <w:t xml:space="preserve">DHW and the LHNs use the PPM patient costing software for clinical costing. SA LHNs have </w:t>
      </w:r>
      <w:r w:rsidR="00A8310C" w:rsidRPr="00630A55">
        <w:t>several</w:t>
      </w:r>
      <w:r w:rsidRPr="00630A55">
        <w:t xml:space="preserve"> feeders available</w:t>
      </w:r>
      <w:r w:rsidR="008C105B">
        <w:t>,</w:t>
      </w:r>
      <w:r w:rsidRPr="00630A55">
        <w:t xml:space="preserve"> including pathology, imaging and pharmacy systems. LMH currently list the most feeder systems across any SA LHN</w:t>
      </w:r>
      <w:r w:rsidR="008C105B">
        <w:t>,</w:t>
      </w:r>
      <w:r w:rsidRPr="00630A55">
        <w:t xml:space="preserve"> including new sources in </w:t>
      </w:r>
      <w:r w:rsidR="00595A9F">
        <w:t>FY20/21</w:t>
      </w:r>
      <w:r w:rsidRPr="00630A55">
        <w:t xml:space="preserve"> such as specialist nursing, rheumatology and patient incident data to cost Code Black incidents. </w:t>
      </w:r>
    </w:p>
    <w:p w14:paraId="7368756D" w14:textId="13162ABA" w:rsidR="00D663E3" w:rsidRPr="00630A55" w:rsidRDefault="00D663E3" w:rsidP="003910CC">
      <w:pPr>
        <w:jc w:val="both"/>
      </w:pPr>
      <w:r w:rsidRPr="00630A55">
        <w:t xml:space="preserve">There are a number of sites using an electronic PAS, however the rollout of the “Sunrise” </w:t>
      </w:r>
      <w:r w:rsidR="00710D0C">
        <w:t>statewide</w:t>
      </w:r>
      <w:r w:rsidRPr="00630A55">
        <w:t xml:space="preserve"> PAS and Electronic Medical Record (EMR) technology is still underway. PAH is already using the Sunrise system, however the </w:t>
      </w:r>
      <w:r w:rsidR="00710D0C">
        <w:t>LMH</w:t>
      </w:r>
      <w:r w:rsidRPr="00630A55">
        <w:t xml:space="preserve"> still currently uses </w:t>
      </w:r>
      <w:r w:rsidR="00513761">
        <w:t>Homer</w:t>
      </w:r>
      <w:r w:rsidRPr="00630A55">
        <w:t xml:space="preserve">. </w:t>
      </w:r>
    </w:p>
    <w:p w14:paraId="096DBA55" w14:textId="77777777" w:rsidR="00D663E3" w:rsidRPr="00630A55" w:rsidRDefault="00D663E3" w:rsidP="009527C7">
      <w:pPr>
        <w:pStyle w:val="Heading4"/>
        <w:rPr>
          <w:rFonts w:ascii="Univers 45 Light" w:hAnsi="Univers 45 Light"/>
          <w:b w:val="0"/>
          <w:color w:val="4FC3FF" w:themeColor="accent2" w:themeTint="99"/>
          <w:szCs w:val="20"/>
        </w:rPr>
      </w:pPr>
      <w:r w:rsidRPr="00630A55">
        <w:lastRenderedPageBreak/>
        <w:t>Improvements</w:t>
      </w:r>
    </w:p>
    <w:p w14:paraId="5191F95D" w14:textId="49491055" w:rsidR="00D663E3" w:rsidRPr="00630A55" w:rsidRDefault="00D663E3" w:rsidP="003910CC">
      <w:pPr>
        <w:jc w:val="both"/>
      </w:pPr>
      <w:r w:rsidRPr="00630A55">
        <w:t xml:space="preserve">Overall, there were no material changes or improvements in </w:t>
      </w:r>
      <w:r w:rsidR="008C105B">
        <w:t>SA’s</w:t>
      </w:r>
      <w:r w:rsidRPr="00630A55">
        <w:t xml:space="preserve"> costing process or methodology between the previous </w:t>
      </w:r>
      <w:r w:rsidR="00595A9F">
        <w:t>FY19/20</w:t>
      </w:r>
      <w:r w:rsidRPr="00630A55">
        <w:t xml:space="preserve"> and </w:t>
      </w:r>
      <w:r w:rsidR="00595A9F">
        <w:t>FY20/21</w:t>
      </w:r>
      <w:r w:rsidRPr="00630A55">
        <w:t>; however, continuous improvements have been made in some areas to improve robustness and accuracy of costing data. For PAH</w:t>
      </w:r>
      <w:r w:rsidR="008C105B">
        <w:t>,</w:t>
      </w:r>
      <w:r w:rsidRPr="00630A55">
        <w:t xml:space="preserve"> this includes a review of overheads (incl</w:t>
      </w:r>
      <w:r w:rsidR="008C105B">
        <w:t>uding</w:t>
      </w:r>
      <w:r w:rsidRPr="00630A55">
        <w:t xml:space="preserve"> applying minimum and maximum overheads for pharmacy by ‘cost per issue’), review of floor space, and additional feeder files. For LMH</w:t>
      </w:r>
      <w:r w:rsidR="00761A06">
        <w:t>,</w:t>
      </w:r>
      <w:r w:rsidRPr="00630A55">
        <w:t xml:space="preserve"> this includes new or improved feeder files for the </w:t>
      </w:r>
      <w:r w:rsidR="007138D9">
        <w:t>E</w:t>
      </w:r>
      <w:r w:rsidRPr="00630A55">
        <w:t xml:space="preserve">mergency </w:t>
      </w:r>
      <w:r w:rsidR="007138D9">
        <w:t>R</w:t>
      </w:r>
      <w:r w:rsidRPr="00630A55">
        <w:t xml:space="preserve">esponse team, consultation services (e.g. specialist nurses), contracted services, and improvements to the matching and cost allocation of community mental health services that are delivered at Glenside (Central Adelaide </w:t>
      </w:r>
      <w:r w:rsidR="00EE18FD">
        <w:t>LHN</w:t>
      </w:r>
      <w:r w:rsidRPr="00630A55">
        <w:t xml:space="preserve">) for LMH patients. </w:t>
      </w:r>
    </w:p>
    <w:p w14:paraId="68183E3F" w14:textId="348D6F1D" w:rsidR="00D663E3" w:rsidRPr="00630A55" w:rsidRDefault="00D663E3" w:rsidP="003910CC">
      <w:pPr>
        <w:jc w:val="both"/>
      </w:pPr>
      <w:r w:rsidRPr="00630A55">
        <w:t xml:space="preserve">Furthermore, there has been recent recruitment into the DHW Patient Costing team to replenish lost capability. The new team is exploring opportunities for improvements to DHW processes and engagement with LHNs in time for </w:t>
      </w:r>
      <w:r w:rsidR="00AC2316">
        <w:t xml:space="preserve">the FY21/22 </w:t>
      </w:r>
      <w:r w:rsidRPr="00630A55">
        <w:t xml:space="preserve">and </w:t>
      </w:r>
      <w:r w:rsidR="00213311">
        <w:t>FY</w:t>
      </w:r>
      <w:r w:rsidR="0011136D">
        <w:t>22/23</w:t>
      </w:r>
      <w:r w:rsidRPr="00630A55">
        <w:t xml:space="preserve"> </w:t>
      </w:r>
      <w:r w:rsidR="008C392B">
        <w:t>IFR</w:t>
      </w:r>
      <w:r w:rsidR="008C392B" w:rsidRPr="00630A55">
        <w:t xml:space="preserve"> </w:t>
      </w:r>
      <w:r w:rsidRPr="00630A55">
        <w:t xml:space="preserve">submissions. </w:t>
      </w:r>
    </w:p>
    <w:p w14:paraId="0518F273" w14:textId="7A80DFAB" w:rsidR="00D663E3" w:rsidRPr="00630A55" w:rsidRDefault="00D663E3" w:rsidP="0008151F">
      <w:pPr>
        <w:pStyle w:val="Heading3"/>
        <w:rPr>
          <w:rFonts w:ascii="Univers 45 Light" w:hAnsi="Univers 45 Light"/>
          <w:b w:val="0"/>
          <w:color w:val="4FC3FF" w:themeColor="accent2" w:themeTint="99"/>
          <w:szCs w:val="20"/>
        </w:rPr>
      </w:pPr>
      <w:r w:rsidRPr="00630A55">
        <w:t xml:space="preserve">Data flow and </w:t>
      </w:r>
      <w:r w:rsidR="008C392B">
        <w:t>r</w:t>
      </w:r>
      <w:r w:rsidRPr="00630A55">
        <w:t>econciliation</w:t>
      </w:r>
    </w:p>
    <w:p w14:paraId="2919C70C" w14:textId="6D4A621F" w:rsidR="00D663E3" w:rsidRPr="00A74B62" w:rsidRDefault="00D663E3" w:rsidP="0008151F">
      <w:pPr>
        <w:pStyle w:val="Heading4"/>
      </w:pPr>
      <w:r w:rsidRPr="00630A55">
        <w:t xml:space="preserve">Flinders and Upper </w:t>
      </w:r>
      <w:r w:rsidRPr="00A74B62">
        <w:t>North Local Health Network (FUNLHN) – Port Augusta Hospital</w:t>
      </w:r>
    </w:p>
    <w:p w14:paraId="5CF5E3B6" w14:textId="15AA69E4" w:rsidR="00D663E3" w:rsidRPr="00630A55" w:rsidRDefault="00D663E3" w:rsidP="003910CC">
      <w:pPr>
        <w:jc w:val="both"/>
      </w:pPr>
      <w:r w:rsidRPr="00630A55">
        <w:t>The total Country Health GL was $1,068,311,256 as per the Audited Financial Statements, multiple adjustments relating to items including non-operating costs, SA Pathology and other statewide service overhead charges</w:t>
      </w:r>
      <w:r w:rsidR="00045644">
        <w:t>,</w:t>
      </w:r>
      <w:r w:rsidRPr="00630A55">
        <w:t xml:space="preserve"> WorkCover levies and procurement services were applied to arrive at an amount of $1,078,808,367 transferred to the costing system for </w:t>
      </w:r>
      <w:r w:rsidR="00595A9F">
        <w:t>FY20/21</w:t>
      </w:r>
      <w:r w:rsidRPr="00630A55">
        <w:t xml:space="preserve">. The IFR template was completed at the </w:t>
      </w:r>
      <w:r w:rsidR="000B037D">
        <w:t>C</w:t>
      </w:r>
      <w:r w:rsidRPr="00630A55">
        <w:t xml:space="preserve">ountry </w:t>
      </w:r>
      <w:r w:rsidR="000B037D">
        <w:t>H</w:t>
      </w:r>
      <w:r w:rsidRPr="00630A55">
        <w:t xml:space="preserve">ealth level and the </w:t>
      </w:r>
      <w:r w:rsidR="004D41B5">
        <w:t>h</w:t>
      </w:r>
      <w:r w:rsidRPr="00630A55">
        <w:t xml:space="preserve">ospital level, however source data loaded into PPM was provided at the LHN level and information for FUNLHN was derived </w:t>
      </w:r>
      <w:r w:rsidR="004D41B5">
        <w:t xml:space="preserve">as indicated </w:t>
      </w:r>
      <w:r w:rsidRPr="00630A55">
        <w:t>below.</w:t>
      </w:r>
    </w:p>
    <w:p w14:paraId="602D9A7A" w14:textId="6AE287B0" w:rsidR="00D663E3" w:rsidRPr="00630A55" w:rsidRDefault="00D663E3" w:rsidP="003910CC">
      <w:pPr>
        <w:jc w:val="both"/>
      </w:pPr>
      <w:r w:rsidRPr="00630A55">
        <w:t xml:space="preserve">The FUNLHN component of the GL costs loaded into the costing system was $147,673,670 and the </w:t>
      </w:r>
      <w:r w:rsidR="00710D0C">
        <w:t>PAH</w:t>
      </w:r>
      <w:r w:rsidRPr="00630A55">
        <w:t xml:space="preserve"> component of that was $48,152,023. The various adjustments outlined above were made at the </w:t>
      </w:r>
      <w:r w:rsidR="00AF6673">
        <w:t>C</w:t>
      </w:r>
      <w:r w:rsidRPr="00630A55">
        <w:t xml:space="preserve">ountry </w:t>
      </w:r>
      <w:r w:rsidRPr="00630A55" w:rsidDel="004D41B5">
        <w:t>H</w:t>
      </w:r>
      <w:r w:rsidRPr="00630A55">
        <w:t xml:space="preserve">ealth </w:t>
      </w:r>
      <w:r w:rsidR="004D41B5">
        <w:t>l</w:t>
      </w:r>
      <w:r w:rsidRPr="00630A55">
        <w:t xml:space="preserve">evel, the </w:t>
      </w:r>
      <w:r w:rsidR="00710D0C">
        <w:t>PAH</w:t>
      </w:r>
      <w:r w:rsidRPr="00630A55">
        <w:t xml:space="preserve"> adjustments totalled $982,359</w:t>
      </w:r>
      <w:r>
        <w:t xml:space="preserve">. </w:t>
      </w:r>
    </w:p>
    <w:p w14:paraId="2ACB651A" w14:textId="11F0134E" w:rsidR="00D663E3" w:rsidRPr="00630A55" w:rsidRDefault="00D663E3" w:rsidP="003910CC">
      <w:pPr>
        <w:jc w:val="both"/>
      </w:pPr>
      <w:r w:rsidRPr="00630A55">
        <w:t xml:space="preserve">The total costs submitted to the jurisdiction for PAH as per the line items (per IHACPA standards) was $49,134,382. There were no further adjustments made at the jurisdictional level on this amount such that these were submitted as the total costs to IHACPA. For further details on the costs and activity submitted for PAH </w:t>
      </w:r>
      <w:r w:rsidR="00710D0C">
        <w:t xml:space="preserve">see </w:t>
      </w:r>
      <w:r w:rsidR="00500E59">
        <w:fldChar w:fldCharType="begin"/>
      </w:r>
      <w:r w:rsidR="00500E59">
        <w:instrText xml:space="preserve"> REF _Ref114756089 \h </w:instrText>
      </w:r>
      <w:r w:rsidR="003910CC">
        <w:instrText xml:space="preserve"> \* MERGEFORMAT </w:instrText>
      </w:r>
      <w:r w:rsidR="00500E59">
        <w:fldChar w:fldCharType="separate"/>
      </w:r>
      <w:r w:rsidR="007E2ACB" w:rsidRPr="007E2ACB">
        <w:t xml:space="preserve">Table </w:t>
      </w:r>
      <w:r w:rsidR="007E2ACB" w:rsidRPr="007E2ACB">
        <w:rPr>
          <w:noProof/>
        </w:rPr>
        <w:t>21</w:t>
      </w:r>
      <w:r w:rsidR="00500E59">
        <w:fldChar w:fldCharType="end"/>
      </w:r>
    </w:p>
    <w:p w14:paraId="57F24FEA" w14:textId="6A4A4405" w:rsidR="00D663E3" w:rsidRPr="00630A55" w:rsidRDefault="00D663E3" w:rsidP="0008151F">
      <w:pPr>
        <w:pStyle w:val="Heading4"/>
        <w:rPr>
          <w:rFonts w:ascii="Univers 45 Light" w:hAnsi="Univers 45 Light"/>
          <w:b w:val="0"/>
        </w:rPr>
      </w:pPr>
      <w:r w:rsidRPr="00630A55">
        <w:t xml:space="preserve">Northern Adelaide Local Health Network </w:t>
      </w:r>
      <w:r w:rsidR="007F7E4A">
        <w:t>(NALHN)</w:t>
      </w:r>
      <w:r w:rsidRPr="00630A55">
        <w:t xml:space="preserve"> – Lyell McEwin Hospital</w:t>
      </w:r>
    </w:p>
    <w:p w14:paraId="05F0AA10" w14:textId="6FEE08F9" w:rsidR="00D663E3" w:rsidRPr="00630A55" w:rsidRDefault="00D663E3" w:rsidP="003910CC">
      <w:pPr>
        <w:jc w:val="both"/>
      </w:pPr>
      <w:r w:rsidRPr="00630A55">
        <w:t>The Northern Adelaide Local Health Network (NALHN) starting GL was $853,490,391 as per the Audited Financial Statements, multiple adjustments relating to items including non</w:t>
      </w:r>
      <w:r w:rsidR="00B16A4E">
        <w:noBreakHyphen/>
      </w:r>
      <w:r w:rsidRPr="00630A55">
        <w:t xml:space="preserve">operating expenses, SA Pathology overheads, WorkCover levies and procurement services were applied to arrive at an amount of $846,754,224 transferred to the costing system for </w:t>
      </w:r>
      <w:r w:rsidR="00595A9F">
        <w:t>FY20/21</w:t>
      </w:r>
      <w:r w:rsidRPr="00630A55">
        <w:t>.</w:t>
      </w:r>
    </w:p>
    <w:p w14:paraId="7CB8EA6C" w14:textId="2C9A921A" w:rsidR="00D663E3" w:rsidRPr="00630A55" w:rsidRDefault="00D663E3" w:rsidP="003910CC">
      <w:pPr>
        <w:jc w:val="both"/>
        <w:rPr>
          <w:strike/>
        </w:rPr>
      </w:pPr>
      <w:r w:rsidRPr="00630A55">
        <w:t>The LMH</w:t>
      </w:r>
      <w:r w:rsidR="00710D0C">
        <w:t>’s</w:t>
      </w:r>
      <w:r w:rsidRPr="00630A55">
        <w:t xml:space="preserve"> component of the GL costs loaded into the costing system was $553,533,265. The various adjustments outlined above were made at the LHN level</w:t>
      </w:r>
      <w:r w:rsidR="00B16A4E">
        <w:t>,</w:t>
      </w:r>
      <w:r w:rsidRPr="00630A55">
        <w:t xml:space="preserve"> however the net impact of the adjustments for LMH totalled </w:t>
      </w:r>
      <w:r w:rsidRPr="00630A55">
        <w:rPr>
          <w:rFonts w:eastAsia="Times New Roman" w:cs="Calibri"/>
          <w:color w:val="000000"/>
          <w:lang w:eastAsia="en-AU"/>
        </w:rPr>
        <w:t>$39,087,454</w:t>
      </w:r>
      <w:r>
        <w:t xml:space="preserve">. </w:t>
      </w:r>
    </w:p>
    <w:p w14:paraId="5D061D6E" w14:textId="6CBEED18" w:rsidR="00D663E3" w:rsidRPr="00630A55" w:rsidRDefault="00D663E3" w:rsidP="003910CC">
      <w:pPr>
        <w:jc w:val="both"/>
      </w:pPr>
      <w:r w:rsidRPr="00630A55">
        <w:t>The total costs submitted to the jurisdiction for LMH as per the line items (per IHACPA standards) was $592,620,719. There were no further adjustments made at the jurisdictional level on this amount such that these were submitted as the total costs to IHACPA. For further details on the costs and activity submitted for the LMH</w:t>
      </w:r>
      <w:r>
        <w:t xml:space="preserve"> see </w:t>
      </w:r>
      <w:r w:rsidR="001B72FF">
        <w:fldChar w:fldCharType="begin"/>
      </w:r>
      <w:r w:rsidR="001B72FF">
        <w:instrText xml:space="preserve"> REF _Ref114756102 \h </w:instrText>
      </w:r>
      <w:r w:rsidR="003910CC">
        <w:instrText xml:space="preserve"> \* MERGEFORMAT </w:instrText>
      </w:r>
      <w:r w:rsidR="001B72FF">
        <w:fldChar w:fldCharType="separate"/>
      </w:r>
      <w:r w:rsidR="007E2ACB" w:rsidRPr="007E2ACB">
        <w:t xml:space="preserve">Table </w:t>
      </w:r>
      <w:r w:rsidR="007E2ACB" w:rsidRPr="007E2ACB">
        <w:rPr>
          <w:noProof/>
        </w:rPr>
        <w:t>22</w:t>
      </w:r>
      <w:r w:rsidR="001B72FF">
        <w:fldChar w:fldCharType="end"/>
      </w:r>
      <w:r w:rsidRPr="00630A55">
        <w:t>.</w:t>
      </w:r>
    </w:p>
    <w:p w14:paraId="4EA3E9E4" w14:textId="77777777" w:rsidR="00D663E3" w:rsidRPr="00630A55" w:rsidRDefault="00D663E3" w:rsidP="00D663E3">
      <w:pPr>
        <w:pStyle w:val="Caption"/>
        <w:sectPr w:rsidR="00D663E3" w:rsidRPr="00630A55" w:rsidSect="00A92341">
          <w:pgSz w:w="11906" w:h="16838"/>
          <w:pgMar w:top="1134" w:right="1418" w:bottom="1418" w:left="1418" w:header="709" w:footer="454" w:gutter="0"/>
          <w:cols w:space="708"/>
          <w:docGrid w:linePitch="360"/>
        </w:sectPr>
      </w:pPr>
    </w:p>
    <w:p w14:paraId="01509D02" w14:textId="3D58AE45" w:rsidR="00D663E3" w:rsidRPr="00630A55" w:rsidRDefault="00500E59" w:rsidP="00500E59">
      <w:pPr>
        <w:pStyle w:val="Caption"/>
      </w:pPr>
      <w:bookmarkStart w:id="64" w:name="_Ref114756089"/>
      <w:r w:rsidRPr="00A8310C">
        <w:rPr>
          <w:b/>
          <w:bCs/>
        </w:rPr>
        <w:lastRenderedPageBreak/>
        <w:t xml:space="preserve">Table </w:t>
      </w:r>
      <w:r w:rsidR="00D91CB1" w:rsidRPr="00A8310C">
        <w:rPr>
          <w:b/>
          <w:bCs/>
        </w:rPr>
        <w:fldChar w:fldCharType="begin"/>
      </w:r>
      <w:r w:rsidR="00D91CB1" w:rsidRPr="00A8310C">
        <w:rPr>
          <w:b/>
          <w:bCs/>
        </w:rPr>
        <w:instrText xml:space="preserve"> SEQ Table \* ARABIC </w:instrText>
      </w:r>
      <w:r w:rsidR="00D91CB1" w:rsidRPr="00A8310C">
        <w:rPr>
          <w:b/>
          <w:bCs/>
        </w:rPr>
        <w:fldChar w:fldCharType="separate"/>
      </w:r>
      <w:r w:rsidR="007E2ACB">
        <w:rPr>
          <w:b/>
          <w:bCs/>
          <w:noProof/>
        </w:rPr>
        <w:t>21</w:t>
      </w:r>
      <w:r w:rsidR="00D91CB1" w:rsidRPr="00A8310C">
        <w:rPr>
          <w:b/>
          <w:bCs/>
          <w:noProof/>
        </w:rPr>
        <w:fldChar w:fldCharType="end"/>
      </w:r>
      <w:bookmarkEnd w:id="64"/>
      <w:r w:rsidRPr="00A8310C">
        <w:rPr>
          <w:b/>
          <w:bCs/>
        </w:rPr>
        <w:t>:</w:t>
      </w:r>
      <w:r w:rsidR="00D663E3" w:rsidRPr="00630A55">
        <w:t xml:space="preserve"> Reconciliation from General Ledger to NHCDC </w:t>
      </w:r>
      <w:r w:rsidR="00F074DE">
        <w:t>c</w:t>
      </w:r>
      <w:r w:rsidR="00D663E3" w:rsidRPr="00630A55">
        <w:t xml:space="preserve">osted </w:t>
      </w:r>
      <w:r w:rsidR="00F074DE">
        <w:t>p</w:t>
      </w:r>
      <w:r w:rsidR="00D663E3" w:rsidRPr="00630A55">
        <w:t xml:space="preserve">roducts – South Australian Health (Flinders and Upper North Local Health Network) </w:t>
      </w:r>
    </w:p>
    <w:tbl>
      <w:tblPr>
        <w:tblW w:w="9052" w:type="dxa"/>
        <w:tblBorders>
          <w:top w:val="single" w:sz="12" w:space="0" w:color="auto"/>
          <w:left w:val="single" w:sz="12" w:space="0" w:color="auto"/>
          <w:bottom w:val="single" w:sz="12" w:space="0" w:color="auto"/>
          <w:right w:val="single" w:sz="12" w:space="0" w:color="auto"/>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81"/>
        <w:gridCol w:w="6792"/>
        <w:gridCol w:w="1979"/>
      </w:tblGrid>
      <w:tr w:rsidR="00D663E3" w:rsidRPr="00630A55" w14:paraId="0FDE3D2D" w14:textId="77777777" w:rsidTr="003910CC">
        <w:trPr>
          <w:trHeight w:val="258"/>
        </w:trPr>
        <w:tc>
          <w:tcPr>
            <w:tcW w:w="7073" w:type="dxa"/>
            <w:gridSpan w:val="2"/>
            <w:tcBorders>
              <w:top w:val="single" w:sz="4" w:space="0" w:color="auto"/>
              <w:left w:val="single" w:sz="4" w:space="0" w:color="auto"/>
              <w:bottom w:val="single" w:sz="12" w:space="0" w:color="auto"/>
              <w:right w:val="single" w:sz="4" w:space="0" w:color="auto"/>
            </w:tcBorders>
            <w:shd w:val="clear" w:color="000000" w:fill="00338D"/>
            <w:noWrap/>
            <w:vAlign w:val="center"/>
            <w:hideMark/>
          </w:tcPr>
          <w:p w14:paraId="0CA40CA7" w14:textId="4A51F8C4" w:rsidR="00D663E3" w:rsidRPr="00630A55" w:rsidRDefault="00D663E3" w:rsidP="009527C7">
            <w:pPr>
              <w:pStyle w:val="Tableheading"/>
              <w:rPr>
                <w:lang w:eastAsia="en-AU"/>
              </w:rPr>
            </w:pPr>
            <w:r w:rsidRPr="00630A55">
              <w:rPr>
                <w:lang w:eastAsia="en-AU"/>
              </w:rPr>
              <w:t xml:space="preserve">Country Health level </w:t>
            </w:r>
            <w:r w:rsidR="00D027C4">
              <w:rPr>
                <w:lang w:eastAsia="en-AU"/>
              </w:rPr>
              <w:t>d</w:t>
            </w:r>
            <w:r w:rsidRPr="00630A55">
              <w:rPr>
                <w:lang w:eastAsia="en-AU"/>
              </w:rPr>
              <w:t>ata (6 regional LHNs)</w:t>
            </w:r>
          </w:p>
        </w:tc>
        <w:tc>
          <w:tcPr>
            <w:tcW w:w="1979" w:type="dxa"/>
            <w:tcBorders>
              <w:top w:val="single" w:sz="12" w:space="0" w:color="auto"/>
              <w:left w:val="single" w:sz="4" w:space="0" w:color="auto"/>
              <w:bottom w:val="single" w:sz="12" w:space="0" w:color="auto"/>
              <w:right w:val="single" w:sz="4" w:space="0" w:color="auto"/>
            </w:tcBorders>
            <w:shd w:val="clear" w:color="000000" w:fill="00338D"/>
            <w:noWrap/>
            <w:vAlign w:val="center"/>
            <w:hideMark/>
          </w:tcPr>
          <w:p w14:paraId="0C861B9E" w14:textId="7E093D56" w:rsidR="00D663E3" w:rsidRPr="00630A55" w:rsidRDefault="00D663E3" w:rsidP="009527C7">
            <w:pPr>
              <w:pStyle w:val="Tableheading"/>
              <w:rPr>
                <w:color w:val="FFFFFF"/>
                <w:lang w:eastAsia="en-AU"/>
              </w:rPr>
            </w:pPr>
            <w:r w:rsidRPr="00630A55">
              <w:rPr>
                <w:lang w:eastAsia="en-AU"/>
              </w:rPr>
              <w:t> </w:t>
            </w:r>
            <w:r w:rsidR="003758E1">
              <w:rPr>
                <w:lang w:eastAsia="en-AU"/>
              </w:rPr>
              <w:t>Value</w:t>
            </w:r>
          </w:p>
        </w:tc>
      </w:tr>
      <w:tr w:rsidR="00D663E3" w:rsidRPr="00630A55" w14:paraId="39F4C701" w14:textId="77777777" w:rsidTr="003910CC">
        <w:trPr>
          <w:trHeight w:val="248"/>
        </w:trPr>
        <w:tc>
          <w:tcPr>
            <w:tcW w:w="7073" w:type="dxa"/>
            <w:gridSpan w:val="2"/>
            <w:tcBorders>
              <w:top w:val="single" w:sz="12" w:space="0" w:color="auto"/>
              <w:left w:val="single" w:sz="4" w:space="0" w:color="auto"/>
              <w:right w:val="single" w:sz="4" w:space="0" w:color="auto"/>
            </w:tcBorders>
            <w:shd w:val="clear" w:color="auto" w:fill="808080"/>
            <w:noWrap/>
            <w:vAlign w:val="center"/>
            <w:hideMark/>
          </w:tcPr>
          <w:p w14:paraId="5BDDAF17" w14:textId="77777777" w:rsidR="00D663E3" w:rsidRPr="00467F5A" w:rsidRDefault="00D663E3" w:rsidP="009527C7">
            <w:pPr>
              <w:pStyle w:val="Tableheading"/>
              <w:rPr>
                <w:rFonts w:ascii="Arial" w:hAnsi="Arial" w:cs="Arial"/>
                <w:b w:val="0"/>
                <w:bCs/>
                <w:color w:val="000000" w:themeColor="text1"/>
                <w:lang w:eastAsia="en-AU"/>
              </w:rPr>
            </w:pPr>
            <w:r w:rsidRPr="00467F5A">
              <w:rPr>
                <w:rFonts w:ascii="Arial" w:hAnsi="Arial" w:cs="Arial"/>
                <w:b w:val="0"/>
                <w:bCs/>
                <w:color w:val="000000" w:themeColor="text1"/>
                <w:lang w:eastAsia="en-AU"/>
              </w:rPr>
              <w:t>Country Health General Ledger</w:t>
            </w:r>
          </w:p>
        </w:tc>
        <w:tc>
          <w:tcPr>
            <w:tcW w:w="1979" w:type="dxa"/>
            <w:tcBorders>
              <w:top w:val="single" w:sz="12" w:space="0" w:color="auto"/>
              <w:left w:val="single" w:sz="4" w:space="0" w:color="auto"/>
              <w:right w:val="single" w:sz="4" w:space="0" w:color="auto"/>
            </w:tcBorders>
            <w:shd w:val="clear" w:color="auto" w:fill="808080"/>
            <w:noWrap/>
            <w:vAlign w:val="center"/>
            <w:hideMark/>
          </w:tcPr>
          <w:p w14:paraId="6292EF57" w14:textId="3574D80A" w:rsidR="00D663E3" w:rsidRPr="00467F5A" w:rsidRDefault="00D663E3" w:rsidP="00467F5A">
            <w:pPr>
              <w:pStyle w:val="Tableheading"/>
              <w:rPr>
                <w:rFonts w:ascii="Arial" w:hAnsi="Arial" w:cs="Arial"/>
                <w:b w:val="0"/>
                <w:bCs/>
                <w:color w:val="000000" w:themeColor="text1"/>
                <w:lang w:eastAsia="en-AU"/>
              </w:rPr>
            </w:pPr>
          </w:p>
        </w:tc>
      </w:tr>
      <w:tr w:rsidR="00D663E3" w:rsidRPr="00630A55" w14:paraId="375518CA" w14:textId="77777777" w:rsidTr="003910CC">
        <w:trPr>
          <w:trHeight w:val="258"/>
        </w:trPr>
        <w:tc>
          <w:tcPr>
            <w:tcW w:w="7073" w:type="dxa"/>
            <w:gridSpan w:val="2"/>
            <w:tcBorders>
              <w:left w:val="single" w:sz="4" w:space="0" w:color="auto"/>
              <w:right w:val="single" w:sz="4" w:space="0" w:color="auto"/>
            </w:tcBorders>
            <w:shd w:val="clear" w:color="000000" w:fill="FFFFFF"/>
            <w:noWrap/>
            <w:vAlign w:val="center"/>
            <w:hideMark/>
          </w:tcPr>
          <w:p w14:paraId="7E834880" w14:textId="4AE87C45" w:rsidR="00D663E3" w:rsidRPr="00630A55" w:rsidRDefault="00D663E3" w:rsidP="009527C7">
            <w:pPr>
              <w:pStyle w:val="Tabletext"/>
              <w:rPr>
                <w:color w:val="000000"/>
                <w:lang w:eastAsia="en-AU"/>
              </w:rPr>
            </w:pPr>
            <w:r w:rsidRPr="00630A55">
              <w:rPr>
                <w:lang w:eastAsia="en-AU"/>
              </w:rPr>
              <w:t xml:space="preserve">Transferred to </w:t>
            </w:r>
            <w:r w:rsidR="00500E59">
              <w:rPr>
                <w:lang w:eastAsia="en-AU"/>
              </w:rPr>
              <w:t>c</w:t>
            </w:r>
            <w:r w:rsidRPr="00630A55">
              <w:rPr>
                <w:lang w:eastAsia="en-AU"/>
              </w:rPr>
              <w:t xml:space="preserve">osting </w:t>
            </w:r>
            <w:r w:rsidR="00500E59">
              <w:rPr>
                <w:lang w:eastAsia="en-AU"/>
              </w:rPr>
              <w:t>s</w:t>
            </w:r>
            <w:r w:rsidRPr="00630A55">
              <w:rPr>
                <w:lang w:eastAsia="en-AU"/>
              </w:rPr>
              <w:t xml:space="preserve">ystem </w:t>
            </w:r>
          </w:p>
        </w:tc>
        <w:tc>
          <w:tcPr>
            <w:tcW w:w="1979" w:type="dxa"/>
            <w:tcBorders>
              <w:left w:val="single" w:sz="4" w:space="0" w:color="auto"/>
              <w:right w:val="single" w:sz="4" w:space="0" w:color="auto"/>
            </w:tcBorders>
            <w:shd w:val="clear" w:color="auto" w:fill="auto"/>
            <w:noWrap/>
            <w:vAlign w:val="bottom"/>
          </w:tcPr>
          <w:p w14:paraId="0D816039" w14:textId="77777777" w:rsidR="00D663E3" w:rsidRPr="00630A55" w:rsidRDefault="00D663E3" w:rsidP="00500E59">
            <w:pPr>
              <w:pStyle w:val="TableTextNumber"/>
              <w:jc w:val="right"/>
            </w:pPr>
            <w:r w:rsidRPr="00630A55">
              <w:t>$1,078,808,367</w:t>
            </w:r>
          </w:p>
        </w:tc>
      </w:tr>
      <w:tr w:rsidR="00D663E3" w:rsidRPr="00630A55" w14:paraId="11B1FBEC" w14:textId="77777777" w:rsidTr="003910CC">
        <w:trPr>
          <w:trHeight w:val="258"/>
        </w:trPr>
        <w:tc>
          <w:tcPr>
            <w:tcW w:w="7073" w:type="dxa"/>
            <w:gridSpan w:val="2"/>
            <w:tcBorders>
              <w:left w:val="single" w:sz="4" w:space="0" w:color="auto"/>
              <w:right w:val="single" w:sz="4" w:space="0" w:color="auto"/>
            </w:tcBorders>
            <w:shd w:val="clear" w:color="000000" w:fill="FFFFFF"/>
            <w:noWrap/>
            <w:vAlign w:val="center"/>
            <w:hideMark/>
          </w:tcPr>
          <w:p w14:paraId="56A4CC0E" w14:textId="0593DE62" w:rsidR="00D663E3" w:rsidRPr="00630A55" w:rsidRDefault="00D663E3" w:rsidP="009527C7">
            <w:pPr>
              <w:pStyle w:val="Tabletext"/>
              <w:rPr>
                <w:color w:val="000000"/>
                <w:lang w:eastAsia="en-AU"/>
              </w:rPr>
            </w:pPr>
            <w:r w:rsidRPr="00630A55">
              <w:rPr>
                <w:lang w:eastAsia="en-AU"/>
              </w:rPr>
              <w:t xml:space="preserve">Post </w:t>
            </w:r>
            <w:r w:rsidR="00500E59">
              <w:rPr>
                <w:lang w:eastAsia="en-AU"/>
              </w:rPr>
              <w:t>a</w:t>
            </w:r>
            <w:r w:rsidRPr="00630A55">
              <w:rPr>
                <w:lang w:eastAsia="en-AU"/>
              </w:rPr>
              <w:t xml:space="preserve">llocation </w:t>
            </w:r>
            <w:r w:rsidR="00500E59">
              <w:rPr>
                <w:lang w:eastAsia="en-AU"/>
              </w:rPr>
              <w:t>a</w:t>
            </w:r>
            <w:r w:rsidRPr="00630A55">
              <w:rPr>
                <w:lang w:eastAsia="en-AU"/>
              </w:rPr>
              <w:t xml:space="preserve">mounts </w:t>
            </w:r>
          </w:p>
        </w:tc>
        <w:tc>
          <w:tcPr>
            <w:tcW w:w="1979" w:type="dxa"/>
            <w:tcBorders>
              <w:left w:val="single" w:sz="4" w:space="0" w:color="auto"/>
              <w:right w:val="single" w:sz="4" w:space="0" w:color="auto"/>
            </w:tcBorders>
            <w:shd w:val="clear" w:color="auto" w:fill="auto"/>
            <w:noWrap/>
            <w:vAlign w:val="bottom"/>
          </w:tcPr>
          <w:p w14:paraId="0B352AA7" w14:textId="77777777" w:rsidR="00D663E3" w:rsidRPr="00630A55" w:rsidRDefault="00D663E3" w:rsidP="00500E59">
            <w:pPr>
              <w:pStyle w:val="TableTextNumber"/>
              <w:jc w:val="right"/>
            </w:pPr>
            <w:r w:rsidRPr="00630A55">
              <w:t>$1,078,808,367</w:t>
            </w:r>
          </w:p>
        </w:tc>
      </w:tr>
      <w:tr w:rsidR="00D663E3" w:rsidRPr="00630A55" w14:paraId="403E1FDD" w14:textId="77777777" w:rsidTr="003910CC">
        <w:trPr>
          <w:trHeight w:val="258"/>
        </w:trPr>
        <w:tc>
          <w:tcPr>
            <w:tcW w:w="7073" w:type="dxa"/>
            <w:gridSpan w:val="2"/>
            <w:tcBorders>
              <w:left w:val="single" w:sz="4" w:space="0" w:color="auto"/>
              <w:right w:val="single" w:sz="4" w:space="0" w:color="auto"/>
            </w:tcBorders>
            <w:shd w:val="clear" w:color="000000" w:fill="FFFFFF"/>
            <w:noWrap/>
            <w:vAlign w:val="center"/>
            <w:hideMark/>
          </w:tcPr>
          <w:p w14:paraId="741A4980" w14:textId="77777777" w:rsidR="00D663E3" w:rsidRPr="00630A55" w:rsidRDefault="00D663E3" w:rsidP="009527C7">
            <w:pPr>
              <w:pStyle w:val="Tabletext"/>
              <w:rPr>
                <w:color w:val="000000"/>
                <w:lang w:eastAsia="en-AU"/>
              </w:rPr>
            </w:pPr>
            <w:r w:rsidRPr="00630A55">
              <w:rPr>
                <w:lang w:eastAsia="en-AU"/>
              </w:rPr>
              <w:t>Adjustments</w:t>
            </w:r>
          </w:p>
        </w:tc>
        <w:tc>
          <w:tcPr>
            <w:tcW w:w="1979" w:type="dxa"/>
            <w:tcBorders>
              <w:left w:val="single" w:sz="4" w:space="0" w:color="auto"/>
              <w:right w:val="single" w:sz="4" w:space="0" w:color="auto"/>
            </w:tcBorders>
            <w:shd w:val="clear" w:color="auto" w:fill="auto"/>
            <w:noWrap/>
            <w:vAlign w:val="bottom"/>
          </w:tcPr>
          <w:p w14:paraId="2F829941" w14:textId="77777777" w:rsidR="00D663E3" w:rsidRPr="00630A55" w:rsidRDefault="00D663E3" w:rsidP="00500E59">
            <w:pPr>
              <w:pStyle w:val="TableTextNumber"/>
              <w:jc w:val="right"/>
            </w:pPr>
            <w:r w:rsidRPr="00630A55">
              <w:t>($748,861)</w:t>
            </w:r>
          </w:p>
        </w:tc>
      </w:tr>
      <w:tr w:rsidR="00D663E3" w:rsidRPr="00630A55" w14:paraId="13A617CE" w14:textId="77777777" w:rsidTr="003910CC">
        <w:trPr>
          <w:trHeight w:val="258"/>
        </w:trPr>
        <w:tc>
          <w:tcPr>
            <w:tcW w:w="7073" w:type="dxa"/>
            <w:gridSpan w:val="2"/>
            <w:tcBorders>
              <w:left w:val="single" w:sz="4" w:space="0" w:color="auto"/>
              <w:right w:val="single" w:sz="4" w:space="0" w:color="auto"/>
            </w:tcBorders>
            <w:shd w:val="clear" w:color="000000" w:fill="FFFFFF"/>
            <w:noWrap/>
            <w:vAlign w:val="center"/>
            <w:hideMark/>
          </w:tcPr>
          <w:p w14:paraId="2A59458A" w14:textId="77777777" w:rsidR="00D663E3" w:rsidRPr="00630A55" w:rsidRDefault="00D663E3" w:rsidP="009527C7">
            <w:pPr>
              <w:pStyle w:val="Tabletext"/>
              <w:rPr>
                <w:color w:val="000000"/>
                <w:lang w:eastAsia="en-AU"/>
              </w:rPr>
            </w:pPr>
            <w:r w:rsidRPr="00630A55">
              <w:rPr>
                <w:lang w:eastAsia="en-AU"/>
              </w:rPr>
              <w:t xml:space="preserve">Line items as per standards </w:t>
            </w:r>
          </w:p>
        </w:tc>
        <w:tc>
          <w:tcPr>
            <w:tcW w:w="1979" w:type="dxa"/>
            <w:tcBorders>
              <w:left w:val="single" w:sz="4" w:space="0" w:color="auto"/>
              <w:right w:val="single" w:sz="4" w:space="0" w:color="auto"/>
            </w:tcBorders>
            <w:shd w:val="clear" w:color="auto" w:fill="auto"/>
            <w:noWrap/>
            <w:vAlign w:val="bottom"/>
          </w:tcPr>
          <w:p w14:paraId="3DCD9A52" w14:textId="77777777" w:rsidR="00D663E3" w:rsidRPr="00630A55" w:rsidRDefault="00D663E3" w:rsidP="00500E59">
            <w:pPr>
              <w:pStyle w:val="TableTextNumber"/>
              <w:jc w:val="right"/>
            </w:pPr>
            <w:r w:rsidRPr="00630A55">
              <w:t>$1,078,059,505</w:t>
            </w:r>
          </w:p>
        </w:tc>
      </w:tr>
      <w:tr w:rsidR="00D663E3" w:rsidRPr="00630A55" w14:paraId="38A985A0" w14:textId="77777777" w:rsidTr="003910CC">
        <w:trPr>
          <w:trHeight w:val="258"/>
        </w:trPr>
        <w:tc>
          <w:tcPr>
            <w:tcW w:w="7073" w:type="dxa"/>
            <w:gridSpan w:val="2"/>
            <w:tcBorders>
              <w:left w:val="single" w:sz="4" w:space="0" w:color="auto"/>
              <w:right w:val="single" w:sz="4" w:space="0" w:color="auto"/>
            </w:tcBorders>
            <w:shd w:val="clear" w:color="000000" w:fill="FFFFFF"/>
            <w:noWrap/>
            <w:vAlign w:val="center"/>
          </w:tcPr>
          <w:p w14:paraId="65EBEF68" w14:textId="77777777" w:rsidR="00D663E3" w:rsidRPr="00630A55" w:rsidRDefault="00D663E3" w:rsidP="009527C7">
            <w:pPr>
              <w:pStyle w:val="Tabletext"/>
              <w:rPr>
                <w:lang w:eastAsia="en-AU"/>
              </w:rPr>
            </w:pPr>
            <w:r w:rsidRPr="00630A55">
              <w:rPr>
                <w:lang w:eastAsia="en-AU"/>
              </w:rPr>
              <w:t>Excluded costs</w:t>
            </w:r>
          </w:p>
        </w:tc>
        <w:tc>
          <w:tcPr>
            <w:tcW w:w="1979" w:type="dxa"/>
            <w:tcBorders>
              <w:left w:val="single" w:sz="4" w:space="0" w:color="auto"/>
              <w:right w:val="single" w:sz="4" w:space="0" w:color="auto"/>
            </w:tcBorders>
            <w:shd w:val="clear" w:color="auto" w:fill="auto"/>
            <w:noWrap/>
            <w:vAlign w:val="bottom"/>
          </w:tcPr>
          <w:p w14:paraId="274C641D" w14:textId="77777777" w:rsidR="00D663E3" w:rsidRPr="00630A55" w:rsidRDefault="00D663E3" w:rsidP="00500E59">
            <w:pPr>
              <w:pStyle w:val="TableTextNumber"/>
              <w:jc w:val="right"/>
            </w:pPr>
            <w:r w:rsidRPr="00630A55">
              <w:t>($601,478,638)</w:t>
            </w:r>
          </w:p>
        </w:tc>
      </w:tr>
      <w:tr w:rsidR="00D663E3" w:rsidRPr="00630A55" w14:paraId="029CB974" w14:textId="77777777" w:rsidTr="003910CC">
        <w:trPr>
          <w:trHeight w:val="258"/>
        </w:trPr>
        <w:tc>
          <w:tcPr>
            <w:tcW w:w="7073" w:type="dxa"/>
            <w:gridSpan w:val="2"/>
            <w:tcBorders>
              <w:left w:val="single" w:sz="4" w:space="0" w:color="auto"/>
              <w:bottom w:val="single" w:sz="12" w:space="0" w:color="auto"/>
              <w:right w:val="single" w:sz="4" w:space="0" w:color="auto"/>
            </w:tcBorders>
            <w:shd w:val="clear" w:color="000000" w:fill="FFFFFF"/>
            <w:noWrap/>
            <w:vAlign w:val="center"/>
            <w:hideMark/>
          </w:tcPr>
          <w:p w14:paraId="5A7823D7" w14:textId="1B478F85" w:rsidR="00D663E3" w:rsidRPr="00630A55" w:rsidRDefault="00D663E3" w:rsidP="009527C7">
            <w:pPr>
              <w:pStyle w:val="Tabletext"/>
              <w:rPr>
                <w:color w:val="000000"/>
                <w:lang w:eastAsia="en-AU"/>
              </w:rPr>
            </w:pPr>
            <w:r w:rsidRPr="00630A55">
              <w:rPr>
                <w:lang w:eastAsia="en-AU"/>
              </w:rPr>
              <w:t xml:space="preserve">Costs </w:t>
            </w:r>
            <w:r w:rsidR="00500E59">
              <w:rPr>
                <w:lang w:eastAsia="en-AU"/>
              </w:rPr>
              <w:t>s</w:t>
            </w:r>
            <w:r w:rsidRPr="00630A55">
              <w:rPr>
                <w:lang w:eastAsia="en-AU"/>
              </w:rPr>
              <w:t xml:space="preserve">ubmitted to </w:t>
            </w:r>
            <w:r w:rsidR="00500E59">
              <w:rPr>
                <w:lang w:eastAsia="en-AU"/>
              </w:rPr>
              <w:t>j</w:t>
            </w:r>
            <w:r w:rsidRPr="00630A55">
              <w:rPr>
                <w:lang w:eastAsia="en-AU"/>
              </w:rPr>
              <w:t xml:space="preserve">urisdiction </w:t>
            </w:r>
          </w:p>
        </w:tc>
        <w:tc>
          <w:tcPr>
            <w:tcW w:w="1979" w:type="dxa"/>
            <w:tcBorders>
              <w:left w:val="single" w:sz="4" w:space="0" w:color="auto"/>
              <w:bottom w:val="single" w:sz="12" w:space="0" w:color="auto"/>
              <w:right w:val="single" w:sz="4" w:space="0" w:color="auto"/>
            </w:tcBorders>
            <w:shd w:val="clear" w:color="auto" w:fill="auto"/>
            <w:noWrap/>
            <w:vAlign w:val="bottom"/>
          </w:tcPr>
          <w:p w14:paraId="4E03CB57" w14:textId="77777777" w:rsidR="00D663E3" w:rsidRPr="00630A55" w:rsidRDefault="00D663E3" w:rsidP="00500E59">
            <w:pPr>
              <w:pStyle w:val="TableTextNumber"/>
              <w:jc w:val="right"/>
            </w:pPr>
            <w:r w:rsidRPr="00630A55">
              <w:t>$476,580,867</w:t>
            </w:r>
          </w:p>
        </w:tc>
      </w:tr>
      <w:tr w:rsidR="00D663E3" w:rsidRPr="00630A55" w14:paraId="729FBD14" w14:textId="77777777" w:rsidTr="003910CC">
        <w:trPr>
          <w:trHeight w:val="258"/>
        </w:trPr>
        <w:tc>
          <w:tcPr>
            <w:tcW w:w="7073" w:type="dxa"/>
            <w:gridSpan w:val="2"/>
            <w:tcBorders>
              <w:top w:val="single" w:sz="12" w:space="0" w:color="auto"/>
              <w:left w:val="single" w:sz="4" w:space="0" w:color="auto"/>
              <w:bottom w:val="single" w:sz="12" w:space="0" w:color="auto"/>
              <w:right w:val="single" w:sz="4" w:space="0" w:color="auto"/>
            </w:tcBorders>
            <w:shd w:val="clear" w:color="000000" w:fill="00338D"/>
            <w:noWrap/>
            <w:vAlign w:val="center"/>
            <w:hideMark/>
          </w:tcPr>
          <w:p w14:paraId="51833962" w14:textId="2F4B47A2" w:rsidR="00D663E3" w:rsidRPr="00630A55" w:rsidRDefault="00D663E3" w:rsidP="009527C7">
            <w:pPr>
              <w:pStyle w:val="Tableheading"/>
              <w:rPr>
                <w:color w:val="FFFFFF"/>
                <w:lang w:eastAsia="en-AU"/>
              </w:rPr>
            </w:pPr>
            <w:r w:rsidRPr="00630A55">
              <w:rPr>
                <w:lang w:eastAsia="en-AU"/>
              </w:rPr>
              <w:t xml:space="preserve">Hospital level </w:t>
            </w:r>
            <w:r w:rsidR="00FF6A43">
              <w:rPr>
                <w:lang w:eastAsia="en-AU"/>
              </w:rPr>
              <w:t>d</w:t>
            </w:r>
            <w:r w:rsidRPr="00630A55">
              <w:rPr>
                <w:lang w:eastAsia="en-AU"/>
              </w:rPr>
              <w:t>ata (PAH)</w:t>
            </w:r>
          </w:p>
        </w:tc>
        <w:tc>
          <w:tcPr>
            <w:tcW w:w="1979" w:type="dxa"/>
            <w:tcBorders>
              <w:top w:val="single" w:sz="12" w:space="0" w:color="auto"/>
              <w:left w:val="single" w:sz="4" w:space="0" w:color="auto"/>
              <w:bottom w:val="single" w:sz="12" w:space="0" w:color="auto"/>
              <w:right w:val="single" w:sz="4" w:space="0" w:color="auto"/>
            </w:tcBorders>
            <w:shd w:val="clear" w:color="000000" w:fill="00338D"/>
            <w:noWrap/>
            <w:vAlign w:val="center"/>
            <w:hideMark/>
          </w:tcPr>
          <w:p w14:paraId="323D3ED2" w14:textId="77777777" w:rsidR="00D663E3" w:rsidRPr="00630A55" w:rsidRDefault="00D663E3" w:rsidP="00467F5A">
            <w:pPr>
              <w:pStyle w:val="Tableheading"/>
              <w:rPr>
                <w:lang w:eastAsia="en-AU"/>
              </w:rPr>
            </w:pPr>
            <w:r w:rsidRPr="00630A55">
              <w:rPr>
                <w:lang w:eastAsia="en-AU"/>
              </w:rPr>
              <w:t>Value</w:t>
            </w:r>
          </w:p>
        </w:tc>
      </w:tr>
      <w:tr w:rsidR="00D663E3" w:rsidRPr="00630A55" w14:paraId="7CBF02FD" w14:textId="77777777" w:rsidTr="003910CC">
        <w:trPr>
          <w:trHeight w:val="258"/>
        </w:trPr>
        <w:tc>
          <w:tcPr>
            <w:tcW w:w="7073" w:type="dxa"/>
            <w:gridSpan w:val="2"/>
            <w:tcBorders>
              <w:left w:val="single" w:sz="4" w:space="0" w:color="auto"/>
              <w:right w:val="single" w:sz="4" w:space="0" w:color="auto"/>
            </w:tcBorders>
            <w:shd w:val="clear" w:color="000000" w:fill="FFFFFF"/>
            <w:noWrap/>
            <w:vAlign w:val="center"/>
            <w:hideMark/>
          </w:tcPr>
          <w:p w14:paraId="75258A58" w14:textId="17C6E7BE" w:rsidR="00D663E3" w:rsidRPr="00630A55" w:rsidRDefault="00D663E3" w:rsidP="009527C7">
            <w:pPr>
              <w:pStyle w:val="Tabletext"/>
              <w:rPr>
                <w:color w:val="000000"/>
                <w:lang w:eastAsia="en-AU"/>
              </w:rPr>
            </w:pPr>
            <w:r w:rsidRPr="00630A55">
              <w:rPr>
                <w:lang w:eastAsia="en-AU"/>
              </w:rPr>
              <w:t xml:space="preserve">GL transferred to </w:t>
            </w:r>
            <w:r w:rsidR="00500E59">
              <w:rPr>
                <w:lang w:eastAsia="en-AU"/>
              </w:rPr>
              <w:t>c</w:t>
            </w:r>
            <w:r w:rsidRPr="00630A55">
              <w:rPr>
                <w:lang w:eastAsia="en-AU"/>
              </w:rPr>
              <w:t xml:space="preserve">osting </w:t>
            </w:r>
            <w:r w:rsidR="00500E59">
              <w:rPr>
                <w:lang w:eastAsia="en-AU"/>
              </w:rPr>
              <w:t>s</w:t>
            </w:r>
            <w:r w:rsidRPr="00630A55">
              <w:rPr>
                <w:lang w:eastAsia="en-AU"/>
              </w:rPr>
              <w:t xml:space="preserve">ystem </w:t>
            </w:r>
          </w:p>
        </w:tc>
        <w:tc>
          <w:tcPr>
            <w:tcW w:w="1979" w:type="dxa"/>
            <w:tcBorders>
              <w:left w:val="single" w:sz="4" w:space="0" w:color="auto"/>
              <w:right w:val="single" w:sz="4" w:space="0" w:color="auto"/>
            </w:tcBorders>
            <w:shd w:val="clear" w:color="auto" w:fill="auto"/>
            <w:noWrap/>
            <w:vAlign w:val="center"/>
          </w:tcPr>
          <w:p w14:paraId="3C394955" w14:textId="77777777" w:rsidR="00D663E3" w:rsidRPr="00630A55" w:rsidRDefault="00D663E3" w:rsidP="00500E59">
            <w:pPr>
              <w:pStyle w:val="TableTextNumber"/>
              <w:jc w:val="right"/>
            </w:pPr>
            <w:r w:rsidRPr="00630A55">
              <w:t>$48,152,023</w:t>
            </w:r>
          </w:p>
        </w:tc>
      </w:tr>
      <w:tr w:rsidR="00D663E3" w:rsidRPr="00630A55" w14:paraId="4BD92348" w14:textId="77777777" w:rsidTr="003910CC">
        <w:trPr>
          <w:trHeight w:val="258"/>
        </w:trPr>
        <w:tc>
          <w:tcPr>
            <w:tcW w:w="7073" w:type="dxa"/>
            <w:gridSpan w:val="2"/>
            <w:tcBorders>
              <w:left w:val="single" w:sz="4" w:space="0" w:color="auto"/>
              <w:right w:val="single" w:sz="4" w:space="0" w:color="auto"/>
            </w:tcBorders>
            <w:shd w:val="clear" w:color="000000" w:fill="FFFFFF"/>
            <w:noWrap/>
            <w:vAlign w:val="center"/>
            <w:hideMark/>
          </w:tcPr>
          <w:p w14:paraId="46E29E31" w14:textId="77777777" w:rsidR="00D663E3" w:rsidRPr="00630A55" w:rsidRDefault="00D663E3" w:rsidP="009527C7">
            <w:pPr>
              <w:pStyle w:val="Tabletext"/>
              <w:rPr>
                <w:color w:val="000000"/>
                <w:lang w:eastAsia="en-AU"/>
              </w:rPr>
            </w:pPr>
            <w:r w:rsidRPr="00630A55">
              <w:rPr>
                <w:lang w:eastAsia="en-AU"/>
              </w:rPr>
              <w:t xml:space="preserve">Adjustments </w:t>
            </w:r>
          </w:p>
        </w:tc>
        <w:tc>
          <w:tcPr>
            <w:tcW w:w="1979" w:type="dxa"/>
            <w:tcBorders>
              <w:left w:val="single" w:sz="4" w:space="0" w:color="auto"/>
              <w:right w:val="single" w:sz="4" w:space="0" w:color="auto"/>
            </w:tcBorders>
            <w:shd w:val="clear" w:color="auto" w:fill="auto"/>
            <w:noWrap/>
            <w:vAlign w:val="center"/>
          </w:tcPr>
          <w:p w14:paraId="7EDBA86C" w14:textId="77777777" w:rsidR="00D663E3" w:rsidRPr="00630A55" w:rsidRDefault="00D663E3" w:rsidP="00500E59">
            <w:pPr>
              <w:pStyle w:val="TableTextNumber"/>
              <w:jc w:val="right"/>
            </w:pPr>
            <w:r w:rsidRPr="00630A55">
              <w:t>$982,359</w:t>
            </w:r>
          </w:p>
        </w:tc>
      </w:tr>
      <w:tr w:rsidR="00D663E3" w:rsidRPr="00630A55" w14:paraId="5B675E06" w14:textId="77777777" w:rsidTr="003910CC">
        <w:trPr>
          <w:trHeight w:val="258"/>
        </w:trPr>
        <w:tc>
          <w:tcPr>
            <w:tcW w:w="7073" w:type="dxa"/>
            <w:gridSpan w:val="2"/>
            <w:tcBorders>
              <w:left w:val="single" w:sz="4" w:space="0" w:color="auto"/>
              <w:right w:val="single" w:sz="4" w:space="0" w:color="auto"/>
            </w:tcBorders>
            <w:shd w:val="clear" w:color="000000" w:fill="FFFFFF"/>
            <w:noWrap/>
            <w:vAlign w:val="center"/>
            <w:hideMark/>
          </w:tcPr>
          <w:p w14:paraId="642B584C" w14:textId="729D974B" w:rsidR="00D663E3" w:rsidRPr="00630A55" w:rsidRDefault="00D663E3" w:rsidP="009527C7">
            <w:pPr>
              <w:pStyle w:val="Tabletext"/>
              <w:rPr>
                <w:color w:val="000000"/>
                <w:lang w:eastAsia="en-AU"/>
              </w:rPr>
            </w:pPr>
            <w:r w:rsidRPr="00630A55">
              <w:rPr>
                <w:lang w:eastAsia="en-AU"/>
              </w:rPr>
              <w:t xml:space="preserve">Post </w:t>
            </w:r>
            <w:r w:rsidR="00500E59">
              <w:rPr>
                <w:lang w:eastAsia="en-AU"/>
              </w:rPr>
              <w:t>a</w:t>
            </w:r>
            <w:r w:rsidRPr="00630A55">
              <w:rPr>
                <w:lang w:eastAsia="en-AU"/>
              </w:rPr>
              <w:t xml:space="preserve">llocation </w:t>
            </w:r>
            <w:r w:rsidR="00500E59">
              <w:rPr>
                <w:lang w:eastAsia="en-AU"/>
              </w:rPr>
              <w:t>a</w:t>
            </w:r>
            <w:r w:rsidRPr="00630A55">
              <w:rPr>
                <w:lang w:eastAsia="en-AU"/>
              </w:rPr>
              <w:t>mounts</w:t>
            </w:r>
          </w:p>
        </w:tc>
        <w:tc>
          <w:tcPr>
            <w:tcW w:w="1979" w:type="dxa"/>
            <w:tcBorders>
              <w:left w:val="single" w:sz="4" w:space="0" w:color="auto"/>
              <w:right w:val="single" w:sz="4" w:space="0" w:color="auto"/>
            </w:tcBorders>
            <w:shd w:val="clear" w:color="auto" w:fill="auto"/>
            <w:noWrap/>
            <w:vAlign w:val="center"/>
          </w:tcPr>
          <w:p w14:paraId="6DE73EF6" w14:textId="77777777" w:rsidR="00D663E3" w:rsidRPr="00630A55" w:rsidRDefault="00D663E3" w:rsidP="00500E59">
            <w:pPr>
              <w:pStyle w:val="TableTextNumber"/>
              <w:jc w:val="right"/>
            </w:pPr>
            <w:r w:rsidRPr="00630A55">
              <w:t>$49,134,382</w:t>
            </w:r>
          </w:p>
        </w:tc>
      </w:tr>
      <w:tr w:rsidR="00D663E3" w:rsidRPr="00630A55" w14:paraId="48897856" w14:textId="77777777" w:rsidTr="003910CC">
        <w:trPr>
          <w:trHeight w:val="258"/>
        </w:trPr>
        <w:tc>
          <w:tcPr>
            <w:tcW w:w="7073" w:type="dxa"/>
            <w:gridSpan w:val="2"/>
            <w:tcBorders>
              <w:left w:val="single" w:sz="4" w:space="0" w:color="auto"/>
              <w:right w:val="single" w:sz="4" w:space="0" w:color="auto"/>
            </w:tcBorders>
            <w:shd w:val="clear" w:color="000000" w:fill="FFFFFF"/>
            <w:noWrap/>
            <w:vAlign w:val="center"/>
            <w:hideMark/>
          </w:tcPr>
          <w:p w14:paraId="278EF35C" w14:textId="77777777" w:rsidR="00D663E3" w:rsidRPr="00630A55" w:rsidRDefault="00D663E3" w:rsidP="009527C7">
            <w:pPr>
              <w:pStyle w:val="Tabletext"/>
              <w:rPr>
                <w:color w:val="000000"/>
                <w:lang w:eastAsia="en-AU"/>
              </w:rPr>
            </w:pPr>
            <w:r w:rsidRPr="00630A55">
              <w:rPr>
                <w:lang w:eastAsia="en-AU"/>
              </w:rPr>
              <w:t xml:space="preserve">Line items as per standards </w:t>
            </w:r>
          </w:p>
        </w:tc>
        <w:tc>
          <w:tcPr>
            <w:tcW w:w="1979" w:type="dxa"/>
            <w:tcBorders>
              <w:left w:val="single" w:sz="4" w:space="0" w:color="auto"/>
              <w:right w:val="single" w:sz="4" w:space="0" w:color="auto"/>
            </w:tcBorders>
            <w:shd w:val="clear" w:color="auto" w:fill="auto"/>
            <w:noWrap/>
          </w:tcPr>
          <w:p w14:paraId="321AC878" w14:textId="77777777" w:rsidR="00D663E3" w:rsidRPr="00630A55" w:rsidRDefault="00D663E3" w:rsidP="00500E59">
            <w:pPr>
              <w:pStyle w:val="TableTextNumber"/>
              <w:jc w:val="right"/>
            </w:pPr>
            <w:r w:rsidRPr="00630A55">
              <w:t>$49,134,382</w:t>
            </w:r>
          </w:p>
        </w:tc>
      </w:tr>
      <w:tr w:rsidR="00D663E3" w:rsidRPr="00630A55" w14:paraId="611318FA" w14:textId="77777777" w:rsidTr="003910CC">
        <w:trPr>
          <w:trHeight w:val="258"/>
        </w:trPr>
        <w:tc>
          <w:tcPr>
            <w:tcW w:w="7073" w:type="dxa"/>
            <w:gridSpan w:val="2"/>
            <w:tcBorders>
              <w:left w:val="single" w:sz="4" w:space="0" w:color="auto"/>
              <w:bottom w:val="single" w:sz="12" w:space="0" w:color="auto"/>
              <w:right w:val="single" w:sz="4" w:space="0" w:color="auto"/>
            </w:tcBorders>
            <w:shd w:val="clear" w:color="000000" w:fill="FFFFFF"/>
            <w:noWrap/>
            <w:vAlign w:val="center"/>
            <w:hideMark/>
          </w:tcPr>
          <w:p w14:paraId="5CDA65CA" w14:textId="36C229EA" w:rsidR="00D663E3" w:rsidRPr="00630A55" w:rsidRDefault="00D663E3" w:rsidP="009527C7">
            <w:pPr>
              <w:pStyle w:val="Tabletext"/>
              <w:rPr>
                <w:color w:val="000000"/>
                <w:lang w:eastAsia="en-AU"/>
              </w:rPr>
            </w:pPr>
            <w:r w:rsidRPr="00630A55">
              <w:rPr>
                <w:lang w:eastAsia="en-AU"/>
              </w:rPr>
              <w:t xml:space="preserve">Costs </w:t>
            </w:r>
            <w:r w:rsidR="00500E59">
              <w:rPr>
                <w:lang w:eastAsia="en-AU"/>
              </w:rPr>
              <w:t>s</w:t>
            </w:r>
            <w:r w:rsidRPr="00630A55">
              <w:rPr>
                <w:lang w:eastAsia="en-AU"/>
              </w:rPr>
              <w:t xml:space="preserve">ubmitted to </w:t>
            </w:r>
            <w:r w:rsidR="00500E59">
              <w:rPr>
                <w:lang w:eastAsia="en-AU"/>
              </w:rPr>
              <w:t>j</w:t>
            </w:r>
            <w:r w:rsidRPr="00630A55">
              <w:rPr>
                <w:lang w:eastAsia="en-AU"/>
              </w:rPr>
              <w:t xml:space="preserve">urisdiction </w:t>
            </w:r>
          </w:p>
        </w:tc>
        <w:tc>
          <w:tcPr>
            <w:tcW w:w="1979" w:type="dxa"/>
            <w:tcBorders>
              <w:left w:val="single" w:sz="4" w:space="0" w:color="auto"/>
              <w:bottom w:val="single" w:sz="12" w:space="0" w:color="auto"/>
              <w:right w:val="single" w:sz="4" w:space="0" w:color="auto"/>
            </w:tcBorders>
            <w:shd w:val="clear" w:color="auto" w:fill="auto"/>
            <w:noWrap/>
          </w:tcPr>
          <w:p w14:paraId="417FDB76" w14:textId="77777777" w:rsidR="00D663E3" w:rsidRPr="00630A55" w:rsidRDefault="00D663E3" w:rsidP="00500E59">
            <w:pPr>
              <w:pStyle w:val="TableTextNumber"/>
              <w:jc w:val="right"/>
            </w:pPr>
            <w:r w:rsidRPr="00630A55">
              <w:t>$49,134,382</w:t>
            </w:r>
          </w:p>
        </w:tc>
      </w:tr>
      <w:tr w:rsidR="00D663E3" w:rsidRPr="00630A55" w14:paraId="64526D95" w14:textId="77777777" w:rsidTr="003910CC">
        <w:trPr>
          <w:trHeight w:val="258"/>
        </w:trPr>
        <w:tc>
          <w:tcPr>
            <w:tcW w:w="7073" w:type="dxa"/>
            <w:gridSpan w:val="2"/>
            <w:tcBorders>
              <w:top w:val="single" w:sz="12" w:space="0" w:color="auto"/>
              <w:left w:val="single" w:sz="4" w:space="0" w:color="auto"/>
              <w:bottom w:val="single" w:sz="12" w:space="0" w:color="auto"/>
              <w:right w:val="single" w:sz="4" w:space="0" w:color="auto"/>
            </w:tcBorders>
            <w:shd w:val="clear" w:color="000000" w:fill="00338D"/>
            <w:noWrap/>
            <w:vAlign w:val="center"/>
            <w:hideMark/>
          </w:tcPr>
          <w:p w14:paraId="34B22A3A" w14:textId="77777777" w:rsidR="00D663E3" w:rsidRPr="00630A55" w:rsidRDefault="00D663E3" w:rsidP="009527C7">
            <w:pPr>
              <w:pStyle w:val="Tableheading"/>
              <w:rPr>
                <w:lang w:eastAsia="en-AU"/>
              </w:rPr>
            </w:pPr>
            <w:r w:rsidRPr="00630A55">
              <w:rPr>
                <w:lang w:eastAsia="en-AU"/>
              </w:rPr>
              <w:t>PAH Activity</w:t>
            </w:r>
          </w:p>
        </w:tc>
        <w:tc>
          <w:tcPr>
            <w:tcW w:w="1979" w:type="dxa"/>
            <w:tcBorders>
              <w:top w:val="single" w:sz="12" w:space="0" w:color="auto"/>
              <w:left w:val="single" w:sz="4" w:space="0" w:color="auto"/>
              <w:bottom w:val="single" w:sz="12" w:space="0" w:color="auto"/>
              <w:right w:val="single" w:sz="4" w:space="0" w:color="auto"/>
            </w:tcBorders>
            <w:shd w:val="clear" w:color="000000" w:fill="00338D"/>
            <w:noWrap/>
            <w:vAlign w:val="center"/>
            <w:hideMark/>
          </w:tcPr>
          <w:p w14:paraId="320AD321" w14:textId="77777777" w:rsidR="00D663E3" w:rsidRPr="00630A55" w:rsidRDefault="00D663E3" w:rsidP="00467F5A">
            <w:pPr>
              <w:pStyle w:val="Tableheading"/>
              <w:rPr>
                <w:color w:val="FFFFFF"/>
                <w:lang w:eastAsia="en-AU"/>
              </w:rPr>
            </w:pPr>
            <w:r w:rsidRPr="00630A55">
              <w:rPr>
                <w:lang w:eastAsia="en-AU"/>
              </w:rPr>
              <w:t xml:space="preserve">Value </w:t>
            </w:r>
          </w:p>
        </w:tc>
      </w:tr>
      <w:tr w:rsidR="00D663E3" w:rsidRPr="00630A55" w14:paraId="635D2B8C" w14:textId="77777777" w:rsidTr="003910CC">
        <w:trPr>
          <w:trHeight w:val="301"/>
        </w:trPr>
        <w:tc>
          <w:tcPr>
            <w:tcW w:w="7073" w:type="dxa"/>
            <w:gridSpan w:val="2"/>
            <w:tcBorders>
              <w:top w:val="single" w:sz="12" w:space="0" w:color="auto"/>
              <w:left w:val="single" w:sz="4" w:space="0" w:color="auto"/>
              <w:right w:val="single" w:sz="4" w:space="0" w:color="auto"/>
            </w:tcBorders>
            <w:shd w:val="clear" w:color="000000" w:fill="FFFFFF"/>
            <w:vAlign w:val="center"/>
            <w:hideMark/>
          </w:tcPr>
          <w:p w14:paraId="4942C9BD" w14:textId="361A653E" w:rsidR="00D663E3" w:rsidRPr="00630A55" w:rsidRDefault="00D663E3" w:rsidP="009527C7">
            <w:pPr>
              <w:pStyle w:val="Tabletext"/>
              <w:rPr>
                <w:color w:val="000000"/>
                <w:lang w:eastAsia="en-AU"/>
              </w:rPr>
            </w:pPr>
            <w:r w:rsidRPr="00630A55">
              <w:rPr>
                <w:lang w:eastAsia="en-AU"/>
              </w:rPr>
              <w:t xml:space="preserve">Data loaded to the costing </w:t>
            </w:r>
            <w:r w:rsidR="00500E59">
              <w:rPr>
                <w:lang w:eastAsia="en-AU"/>
              </w:rPr>
              <w:t>s</w:t>
            </w:r>
            <w:r w:rsidRPr="00630A55">
              <w:rPr>
                <w:lang w:eastAsia="en-AU"/>
              </w:rPr>
              <w:t>ystem for costing purposes</w:t>
            </w:r>
          </w:p>
        </w:tc>
        <w:tc>
          <w:tcPr>
            <w:tcW w:w="1979" w:type="dxa"/>
            <w:tcBorders>
              <w:top w:val="single" w:sz="12" w:space="0" w:color="auto"/>
              <w:left w:val="single" w:sz="4" w:space="0" w:color="auto"/>
              <w:right w:val="single" w:sz="4" w:space="0" w:color="auto"/>
            </w:tcBorders>
            <w:shd w:val="clear" w:color="auto" w:fill="auto"/>
            <w:vAlign w:val="center"/>
            <w:hideMark/>
          </w:tcPr>
          <w:p w14:paraId="224244FC" w14:textId="77777777" w:rsidR="00D663E3" w:rsidRPr="00630A55" w:rsidRDefault="00D663E3" w:rsidP="00500E59">
            <w:pPr>
              <w:pStyle w:val="TableTextNumber"/>
              <w:jc w:val="right"/>
            </w:pPr>
            <w:r w:rsidRPr="00630A55">
              <w:t> </w:t>
            </w:r>
          </w:p>
        </w:tc>
      </w:tr>
      <w:tr w:rsidR="00D663E3" w:rsidRPr="00630A55" w14:paraId="5DD9BC2D" w14:textId="77777777" w:rsidTr="003910CC">
        <w:trPr>
          <w:trHeight w:val="258"/>
        </w:trPr>
        <w:tc>
          <w:tcPr>
            <w:tcW w:w="281" w:type="dxa"/>
            <w:tcBorders>
              <w:left w:val="single" w:sz="4" w:space="0" w:color="auto"/>
            </w:tcBorders>
            <w:shd w:val="clear" w:color="000000" w:fill="FFFFFF"/>
            <w:noWrap/>
            <w:vAlign w:val="center"/>
            <w:hideMark/>
          </w:tcPr>
          <w:p w14:paraId="085C75F3" w14:textId="77777777" w:rsidR="00D663E3" w:rsidRPr="00630A55" w:rsidRDefault="00D663E3" w:rsidP="009527C7">
            <w:pPr>
              <w:pStyle w:val="Tabletext"/>
              <w:rPr>
                <w:color w:val="000000"/>
                <w:lang w:eastAsia="en-AU"/>
              </w:rPr>
            </w:pPr>
            <w:r w:rsidRPr="00630A55">
              <w:rPr>
                <w:lang w:eastAsia="en-AU"/>
              </w:rPr>
              <w:t> </w:t>
            </w:r>
          </w:p>
        </w:tc>
        <w:tc>
          <w:tcPr>
            <w:tcW w:w="6792" w:type="dxa"/>
            <w:tcBorders>
              <w:right w:val="single" w:sz="4" w:space="0" w:color="auto"/>
            </w:tcBorders>
            <w:shd w:val="clear" w:color="000000" w:fill="FFFFFF"/>
            <w:noWrap/>
            <w:vAlign w:val="center"/>
            <w:hideMark/>
          </w:tcPr>
          <w:p w14:paraId="5E25A7D1" w14:textId="0EC51714" w:rsidR="00D663E3" w:rsidRPr="00630A55" w:rsidRDefault="00D663E3" w:rsidP="009527C7">
            <w:pPr>
              <w:pStyle w:val="Tabletext"/>
              <w:rPr>
                <w:color w:val="000000"/>
                <w:lang w:eastAsia="en-AU"/>
              </w:rPr>
            </w:pPr>
            <w:r w:rsidRPr="00630A55">
              <w:rPr>
                <w:lang w:eastAsia="en-AU"/>
              </w:rPr>
              <w:t xml:space="preserve">Activity </w:t>
            </w:r>
            <w:r w:rsidR="00500E59">
              <w:rPr>
                <w:lang w:eastAsia="en-AU"/>
              </w:rPr>
              <w:t>d</w:t>
            </w:r>
            <w:r w:rsidRPr="00630A55">
              <w:rPr>
                <w:lang w:eastAsia="en-AU"/>
              </w:rPr>
              <w:t xml:space="preserve">ata </w:t>
            </w:r>
          </w:p>
        </w:tc>
        <w:tc>
          <w:tcPr>
            <w:tcW w:w="1979" w:type="dxa"/>
            <w:tcBorders>
              <w:left w:val="single" w:sz="4" w:space="0" w:color="auto"/>
              <w:right w:val="single" w:sz="4" w:space="0" w:color="auto"/>
            </w:tcBorders>
            <w:shd w:val="clear" w:color="auto" w:fill="auto"/>
            <w:noWrap/>
            <w:vAlign w:val="center"/>
          </w:tcPr>
          <w:p w14:paraId="65A3F422" w14:textId="77777777" w:rsidR="00D663E3" w:rsidRPr="00630A55" w:rsidRDefault="00D663E3" w:rsidP="00500E59">
            <w:pPr>
              <w:pStyle w:val="TableTextNumber"/>
              <w:jc w:val="right"/>
            </w:pPr>
            <w:r w:rsidRPr="00630A55">
              <w:t>54,172</w:t>
            </w:r>
          </w:p>
        </w:tc>
      </w:tr>
      <w:tr w:rsidR="00D663E3" w:rsidRPr="00630A55" w14:paraId="61902BC8" w14:textId="77777777" w:rsidTr="003910CC">
        <w:trPr>
          <w:trHeight w:val="258"/>
        </w:trPr>
        <w:tc>
          <w:tcPr>
            <w:tcW w:w="281" w:type="dxa"/>
            <w:tcBorders>
              <w:left w:val="single" w:sz="4" w:space="0" w:color="auto"/>
            </w:tcBorders>
            <w:shd w:val="clear" w:color="000000" w:fill="FFFFFF"/>
            <w:noWrap/>
            <w:vAlign w:val="center"/>
            <w:hideMark/>
          </w:tcPr>
          <w:p w14:paraId="051505E9" w14:textId="77777777" w:rsidR="00D663E3" w:rsidRPr="00630A55" w:rsidRDefault="00D663E3" w:rsidP="009527C7">
            <w:pPr>
              <w:pStyle w:val="Tabletext"/>
              <w:rPr>
                <w:color w:val="000000"/>
                <w:lang w:eastAsia="en-AU"/>
              </w:rPr>
            </w:pPr>
            <w:r w:rsidRPr="00630A55">
              <w:rPr>
                <w:lang w:eastAsia="en-AU"/>
              </w:rPr>
              <w:t> </w:t>
            </w:r>
          </w:p>
        </w:tc>
        <w:tc>
          <w:tcPr>
            <w:tcW w:w="6792" w:type="dxa"/>
            <w:tcBorders>
              <w:right w:val="single" w:sz="4" w:space="0" w:color="auto"/>
            </w:tcBorders>
            <w:shd w:val="clear" w:color="000000" w:fill="FFFFFF"/>
            <w:noWrap/>
            <w:vAlign w:val="center"/>
            <w:hideMark/>
          </w:tcPr>
          <w:p w14:paraId="12905CEA" w14:textId="0B16A043" w:rsidR="00D663E3" w:rsidRPr="00630A55" w:rsidRDefault="00D663E3" w:rsidP="009527C7">
            <w:pPr>
              <w:pStyle w:val="Tabletext"/>
              <w:rPr>
                <w:color w:val="000000"/>
                <w:lang w:eastAsia="en-AU"/>
              </w:rPr>
            </w:pPr>
            <w:r w:rsidRPr="00630A55">
              <w:rPr>
                <w:lang w:eastAsia="en-AU"/>
              </w:rPr>
              <w:t xml:space="preserve">Feeder </w:t>
            </w:r>
            <w:r w:rsidR="00500E59">
              <w:rPr>
                <w:lang w:eastAsia="en-AU"/>
              </w:rPr>
              <w:t>d</w:t>
            </w:r>
            <w:r w:rsidRPr="00630A55">
              <w:rPr>
                <w:lang w:eastAsia="en-AU"/>
              </w:rPr>
              <w:t>ata</w:t>
            </w:r>
          </w:p>
        </w:tc>
        <w:tc>
          <w:tcPr>
            <w:tcW w:w="1979" w:type="dxa"/>
            <w:tcBorders>
              <w:left w:val="single" w:sz="4" w:space="0" w:color="auto"/>
              <w:right w:val="single" w:sz="4" w:space="0" w:color="auto"/>
            </w:tcBorders>
            <w:shd w:val="clear" w:color="auto" w:fill="auto"/>
            <w:noWrap/>
            <w:vAlign w:val="center"/>
          </w:tcPr>
          <w:p w14:paraId="4749495C" w14:textId="77777777" w:rsidR="00D663E3" w:rsidRPr="00630A55" w:rsidRDefault="00D663E3" w:rsidP="00500E59">
            <w:pPr>
              <w:pStyle w:val="TableTextNumber"/>
              <w:jc w:val="right"/>
            </w:pPr>
            <w:r w:rsidRPr="00630A55">
              <w:t>187,936</w:t>
            </w:r>
          </w:p>
        </w:tc>
      </w:tr>
      <w:tr w:rsidR="00D663E3" w:rsidRPr="00630A55" w14:paraId="4BAE1670" w14:textId="77777777" w:rsidTr="003910CC">
        <w:trPr>
          <w:trHeight w:val="257"/>
        </w:trPr>
        <w:tc>
          <w:tcPr>
            <w:tcW w:w="7073" w:type="dxa"/>
            <w:gridSpan w:val="2"/>
            <w:tcBorders>
              <w:left w:val="single" w:sz="4" w:space="0" w:color="auto"/>
              <w:right w:val="single" w:sz="4" w:space="0" w:color="auto"/>
            </w:tcBorders>
            <w:shd w:val="clear" w:color="000000" w:fill="FFFFFF"/>
            <w:vAlign w:val="center"/>
            <w:hideMark/>
          </w:tcPr>
          <w:p w14:paraId="72EC7DEE" w14:textId="27F02EE9" w:rsidR="00D663E3" w:rsidRPr="00630A55" w:rsidRDefault="00D663E3" w:rsidP="009527C7">
            <w:pPr>
              <w:pStyle w:val="Tabletext"/>
              <w:rPr>
                <w:color w:val="000000"/>
                <w:lang w:eastAsia="en-AU"/>
              </w:rPr>
            </w:pPr>
            <w:r w:rsidRPr="00630A55">
              <w:rPr>
                <w:lang w:eastAsia="en-AU"/>
              </w:rPr>
              <w:t xml:space="preserve">NHCDC </w:t>
            </w:r>
            <w:r w:rsidR="00500E59">
              <w:rPr>
                <w:lang w:eastAsia="en-AU"/>
              </w:rPr>
              <w:t>p</w:t>
            </w:r>
            <w:r w:rsidRPr="00630A55">
              <w:rPr>
                <w:lang w:eastAsia="en-AU"/>
              </w:rPr>
              <w:t xml:space="preserve">roduct </w:t>
            </w:r>
            <w:r w:rsidR="00500E59">
              <w:rPr>
                <w:lang w:eastAsia="en-AU"/>
              </w:rPr>
              <w:t>o</w:t>
            </w:r>
            <w:r w:rsidRPr="00630A55">
              <w:rPr>
                <w:lang w:eastAsia="en-AU"/>
              </w:rPr>
              <w:t xml:space="preserve">utput </w:t>
            </w:r>
            <w:r w:rsidR="00500E59">
              <w:rPr>
                <w:lang w:eastAsia="en-AU"/>
              </w:rPr>
              <w:t>a</w:t>
            </w:r>
            <w:r w:rsidRPr="00630A55">
              <w:rPr>
                <w:lang w:eastAsia="en-AU"/>
              </w:rPr>
              <w:t xml:space="preserve">ctivity - </w:t>
            </w:r>
            <w:r w:rsidR="00500E59">
              <w:rPr>
                <w:lang w:eastAsia="en-AU"/>
              </w:rPr>
              <w:t>p</w:t>
            </w:r>
            <w:r w:rsidRPr="00630A55">
              <w:rPr>
                <w:lang w:eastAsia="en-AU"/>
              </w:rPr>
              <w:t xml:space="preserve">ost </w:t>
            </w:r>
            <w:r w:rsidR="00500E59">
              <w:rPr>
                <w:lang w:eastAsia="en-AU"/>
              </w:rPr>
              <w:t>l</w:t>
            </w:r>
            <w:r w:rsidRPr="00630A55">
              <w:rPr>
                <w:lang w:eastAsia="en-AU"/>
              </w:rPr>
              <w:t xml:space="preserve">inking and </w:t>
            </w:r>
            <w:r w:rsidR="00500E59">
              <w:rPr>
                <w:lang w:eastAsia="en-AU"/>
              </w:rPr>
              <w:t>l</w:t>
            </w:r>
            <w:r w:rsidRPr="00630A55">
              <w:rPr>
                <w:lang w:eastAsia="en-AU"/>
              </w:rPr>
              <w:t>oading</w:t>
            </w:r>
          </w:p>
        </w:tc>
        <w:tc>
          <w:tcPr>
            <w:tcW w:w="1979" w:type="dxa"/>
            <w:tcBorders>
              <w:left w:val="single" w:sz="4" w:space="0" w:color="auto"/>
              <w:right w:val="single" w:sz="4" w:space="0" w:color="auto"/>
            </w:tcBorders>
            <w:shd w:val="clear" w:color="auto" w:fill="auto"/>
            <w:noWrap/>
            <w:vAlign w:val="center"/>
          </w:tcPr>
          <w:p w14:paraId="75A81156" w14:textId="77777777" w:rsidR="00D663E3" w:rsidRPr="00630A55" w:rsidRDefault="00D663E3" w:rsidP="00500E59">
            <w:pPr>
              <w:pStyle w:val="TableTextNumber"/>
              <w:jc w:val="right"/>
            </w:pPr>
            <w:r w:rsidRPr="00630A55">
              <w:t>54,172</w:t>
            </w:r>
          </w:p>
        </w:tc>
      </w:tr>
      <w:tr w:rsidR="00D663E3" w:rsidRPr="00630A55" w14:paraId="29821817" w14:textId="77777777" w:rsidTr="003910CC">
        <w:trPr>
          <w:trHeight w:val="258"/>
        </w:trPr>
        <w:tc>
          <w:tcPr>
            <w:tcW w:w="7073" w:type="dxa"/>
            <w:gridSpan w:val="2"/>
            <w:tcBorders>
              <w:left w:val="single" w:sz="4" w:space="0" w:color="auto"/>
              <w:right w:val="single" w:sz="4" w:space="0" w:color="auto"/>
            </w:tcBorders>
            <w:shd w:val="clear" w:color="000000" w:fill="FFFFFF"/>
            <w:vAlign w:val="center"/>
            <w:hideMark/>
          </w:tcPr>
          <w:p w14:paraId="709FACD0" w14:textId="10A0F6AE" w:rsidR="00D663E3" w:rsidRPr="00630A55" w:rsidRDefault="00D663E3" w:rsidP="009527C7">
            <w:pPr>
              <w:pStyle w:val="Tabletext"/>
              <w:rPr>
                <w:color w:val="000000"/>
                <w:lang w:eastAsia="en-AU"/>
              </w:rPr>
            </w:pPr>
            <w:r w:rsidRPr="00630A55">
              <w:rPr>
                <w:lang w:eastAsia="en-AU"/>
              </w:rPr>
              <w:t xml:space="preserve">Final PAH </w:t>
            </w:r>
            <w:r w:rsidR="00500E59">
              <w:rPr>
                <w:lang w:eastAsia="en-AU"/>
              </w:rPr>
              <w:t>s</w:t>
            </w:r>
            <w:r w:rsidRPr="00630A55">
              <w:rPr>
                <w:lang w:eastAsia="en-AU"/>
              </w:rPr>
              <w:t xml:space="preserve">ubmission to </w:t>
            </w:r>
            <w:r w:rsidR="00500E59">
              <w:rPr>
                <w:lang w:eastAsia="en-AU"/>
              </w:rPr>
              <w:t>j</w:t>
            </w:r>
            <w:r w:rsidRPr="00630A55">
              <w:rPr>
                <w:lang w:eastAsia="en-AU"/>
              </w:rPr>
              <w:t xml:space="preserve">urisdiction - </w:t>
            </w:r>
            <w:r w:rsidR="00500E59">
              <w:rPr>
                <w:lang w:eastAsia="en-AU"/>
              </w:rPr>
              <w:t>a</w:t>
            </w:r>
            <w:r w:rsidRPr="00630A55">
              <w:rPr>
                <w:lang w:eastAsia="en-AU"/>
              </w:rPr>
              <w:t xml:space="preserve">ctivity by </w:t>
            </w:r>
            <w:r w:rsidR="00500E59">
              <w:rPr>
                <w:lang w:eastAsia="en-AU"/>
              </w:rPr>
              <w:t>p</w:t>
            </w:r>
            <w:r w:rsidRPr="00630A55">
              <w:rPr>
                <w:lang w:eastAsia="en-AU"/>
              </w:rPr>
              <w:t>roduct</w:t>
            </w:r>
          </w:p>
        </w:tc>
        <w:tc>
          <w:tcPr>
            <w:tcW w:w="1979" w:type="dxa"/>
            <w:tcBorders>
              <w:left w:val="single" w:sz="4" w:space="0" w:color="auto"/>
              <w:right w:val="single" w:sz="4" w:space="0" w:color="auto"/>
            </w:tcBorders>
            <w:shd w:val="clear" w:color="auto" w:fill="auto"/>
            <w:noWrap/>
            <w:vAlign w:val="center"/>
          </w:tcPr>
          <w:p w14:paraId="38B59782" w14:textId="77777777" w:rsidR="00D663E3" w:rsidRPr="00630A55" w:rsidRDefault="00D663E3" w:rsidP="00500E59">
            <w:pPr>
              <w:pStyle w:val="TableTextNumber"/>
              <w:jc w:val="right"/>
            </w:pPr>
            <w:r w:rsidRPr="00630A55">
              <w:t>54,172</w:t>
            </w:r>
          </w:p>
        </w:tc>
      </w:tr>
      <w:tr w:rsidR="00D663E3" w:rsidRPr="00630A55" w14:paraId="25E43320" w14:textId="77777777" w:rsidTr="003910CC">
        <w:trPr>
          <w:trHeight w:val="258"/>
        </w:trPr>
        <w:tc>
          <w:tcPr>
            <w:tcW w:w="7073" w:type="dxa"/>
            <w:gridSpan w:val="2"/>
            <w:tcBorders>
              <w:left w:val="single" w:sz="4" w:space="0" w:color="auto"/>
              <w:bottom w:val="single" w:sz="12" w:space="0" w:color="auto"/>
              <w:right w:val="single" w:sz="4" w:space="0" w:color="auto"/>
            </w:tcBorders>
            <w:shd w:val="clear" w:color="000000" w:fill="FFFFFF"/>
            <w:vAlign w:val="center"/>
            <w:hideMark/>
          </w:tcPr>
          <w:p w14:paraId="7EE2F73A" w14:textId="3E627B45" w:rsidR="00D663E3" w:rsidRPr="00630A55" w:rsidRDefault="00D663E3" w:rsidP="009527C7">
            <w:pPr>
              <w:pStyle w:val="Tabletext"/>
              <w:rPr>
                <w:color w:val="000000"/>
                <w:lang w:eastAsia="en-AU"/>
              </w:rPr>
            </w:pPr>
            <w:r w:rsidRPr="00630A55">
              <w:rPr>
                <w:lang w:eastAsia="en-AU"/>
              </w:rPr>
              <w:t xml:space="preserve">Final PAH </w:t>
            </w:r>
            <w:r w:rsidR="00500E59">
              <w:rPr>
                <w:lang w:eastAsia="en-AU"/>
              </w:rPr>
              <w:t>s</w:t>
            </w:r>
            <w:r w:rsidRPr="00630A55">
              <w:rPr>
                <w:lang w:eastAsia="en-AU"/>
              </w:rPr>
              <w:t xml:space="preserve">ubmission to </w:t>
            </w:r>
            <w:r w:rsidR="00500E59">
              <w:rPr>
                <w:lang w:eastAsia="en-AU"/>
              </w:rPr>
              <w:t>j</w:t>
            </w:r>
            <w:r w:rsidRPr="00630A55">
              <w:rPr>
                <w:lang w:eastAsia="en-AU"/>
              </w:rPr>
              <w:t xml:space="preserve">urisdiction - </w:t>
            </w:r>
            <w:r w:rsidR="00500E59">
              <w:rPr>
                <w:lang w:eastAsia="en-AU"/>
              </w:rPr>
              <w:t>a</w:t>
            </w:r>
            <w:r w:rsidRPr="00630A55">
              <w:rPr>
                <w:lang w:eastAsia="en-AU"/>
              </w:rPr>
              <w:t xml:space="preserve">ctivity and </w:t>
            </w:r>
            <w:r w:rsidR="00500E59">
              <w:rPr>
                <w:lang w:eastAsia="en-AU"/>
              </w:rPr>
              <w:t>c</w:t>
            </w:r>
            <w:r w:rsidRPr="00630A55">
              <w:rPr>
                <w:lang w:eastAsia="en-AU"/>
              </w:rPr>
              <w:t xml:space="preserve">ost by </w:t>
            </w:r>
            <w:r w:rsidR="00500E59">
              <w:rPr>
                <w:lang w:eastAsia="en-AU"/>
              </w:rPr>
              <w:t>p</w:t>
            </w:r>
            <w:r w:rsidRPr="00630A55">
              <w:rPr>
                <w:lang w:eastAsia="en-AU"/>
              </w:rPr>
              <w:t>roduct</w:t>
            </w:r>
          </w:p>
        </w:tc>
        <w:tc>
          <w:tcPr>
            <w:tcW w:w="1979" w:type="dxa"/>
            <w:tcBorders>
              <w:left w:val="single" w:sz="4" w:space="0" w:color="auto"/>
              <w:bottom w:val="single" w:sz="12" w:space="0" w:color="auto"/>
              <w:right w:val="single" w:sz="4" w:space="0" w:color="auto"/>
            </w:tcBorders>
            <w:shd w:val="clear" w:color="auto" w:fill="auto"/>
            <w:noWrap/>
            <w:vAlign w:val="center"/>
          </w:tcPr>
          <w:p w14:paraId="64337A35" w14:textId="77777777" w:rsidR="00D663E3" w:rsidRPr="00630A55" w:rsidRDefault="00D663E3" w:rsidP="00500E59">
            <w:pPr>
              <w:pStyle w:val="TableTextNumber"/>
              <w:jc w:val="right"/>
            </w:pPr>
            <w:r w:rsidRPr="00630A55">
              <w:t>54,172</w:t>
            </w:r>
          </w:p>
        </w:tc>
      </w:tr>
      <w:tr w:rsidR="00D663E3" w:rsidRPr="00630A55" w14:paraId="2EC8A8AF" w14:textId="77777777" w:rsidTr="003910CC">
        <w:trPr>
          <w:trHeight w:val="258"/>
        </w:trPr>
        <w:tc>
          <w:tcPr>
            <w:tcW w:w="7073" w:type="dxa"/>
            <w:gridSpan w:val="2"/>
            <w:tcBorders>
              <w:top w:val="single" w:sz="12" w:space="0" w:color="auto"/>
              <w:left w:val="single" w:sz="4" w:space="0" w:color="auto"/>
              <w:bottom w:val="single" w:sz="12" w:space="0" w:color="auto"/>
              <w:right w:val="single" w:sz="4" w:space="0" w:color="auto"/>
            </w:tcBorders>
            <w:shd w:val="clear" w:color="000000" w:fill="00338D"/>
            <w:noWrap/>
            <w:vAlign w:val="center"/>
            <w:hideMark/>
          </w:tcPr>
          <w:p w14:paraId="3E8A0D5F" w14:textId="26B09095" w:rsidR="00D663E3" w:rsidRPr="00630A55" w:rsidRDefault="00D663E3" w:rsidP="009527C7">
            <w:pPr>
              <w:pStyle w:val="Tableheading"/>
              <w:rPr>
                <w:color w:val="FFFFFF"/>
                <w:lang w:eastAsia="en-AU"/>
              </w:rPr>
            </w:pPr>
            <w:r w:rsidRPr="00630A55">
              <w:rPr>
                <w:lang w:eastAsia="en-AU"/>
              </w:rPr>
              <w:t xml:space="preserve">PAH submitted to </w:t>
            </w:r>
            <w:r w:rsidR="00FF6A43">
              <w:rPr>
                <w:lang w:eastAsia="en-AU"/>
              </w:rPr>
              <w:t>j</w:t>
            </w:r>
            <w:r w:rsidRPr="00630A55">
              <w:rPr>
                <w:lang w:eastAsia="en-AU"/>
              </w:rPr>
              <w:t xml:space="preserve">urisdiction </w:t>
            </w:r>
          </w:p>
        </w:tc>
        <w:tc>
          <w:tcPr>
            <w:tcW w:w="1979" w:type="dxa"/>
            <w:tcBorders>
              <w:top w:val="single" w:sz="12" w:space="0" w:color="auto"/>
              <w:left w:val="single" w:sz="4" w:space="0" w:color="auto"/>
              <w:bottom w:val="single" w:sz="12" w:space="0" w:color="auto"/>
              <w:right w:val="single" w:sz="4" w:space="0" w:color="auto"/>
            </w:tcBorders>
            <w:shd w:val="clear" w:color="000000" w:fill="00338D"/>
            <w:noWrap/>
            <w:vAlign w:val="center"/>
            <w:hideMark/>
          </w:tcPr>
          <w:p w14:paraId="512FB892" w14:textId="77777777" w:rsidR="00D663E3" w:rsidRPr="00630A55" w:rsidRDefault="00D663E3" w:rsidP="00467F5A">
            <w:pPr>
              <w:pStyle w:val="Tableheading"/>
              <w:rPr>
                <w:color w:val="FFFFFF"/>
                <w:lang w:eastAsia="en-AU"/>
              </w:rPr>
            </w:pPr>
            <w:r w:rsidRPr="00630A55">
              <w:rPr>
                <w:lang w:eastAsia="en-AU"/>
              </w:rPr>
              <w:t xml:space="preserve">Value </w:t>
            </w:r>
          </w:p>
        </w:tc>
      </w:tr>
      <w:tr w:rsidR="00D663E3" w:rsidRPr="00630A55" w14:paraId="4E0A0D00" w14:textId="77777777" w:rsidTr="003910CC">
        <w:trPr>
          <w:trHeight w:val="258"/>
        </w:trPr>
        <w:tc>
          <w:tcPr>
            <w:tcW w:w="7073" w:type="dxa"/>
            <w:gridSpan w:val="2"/>
            <w:tcBorders>
              <w:top w:val="single" w:sz="12" w:space="0" w:color="auto"/>
              <w:left w:val="single" w:sz="4" w:space="0" w:color="auto"/>
              <w:right w:val="single" w:sz="4" w:space="0" w:color="auto"/>
            </w:tcBorders>
            <w:shd w:val="clear" w:color="auto" w:fill="auto"/>
            <w:vAlign w:val="center"/>
            <w:hideMark/>
          </w:tcPr>
          <w:p w14:paraId="62FC0DC6" w14:textId="565415E9" w:rsidR="00D663E3" w:rsidRPr="00630A55" w:rsidRDefault="00D663E3" w:rsidP="009527C7">
            <w:pPr>
              <w:pStyle w:val="Tabletext"/>
              <w:rPr>
                <w:color w:val="000000"/>
                <w:lang w:eastAsia="en-AU"/>
              </w:rPr>
            </w:pPr>
            <w:r w:rsidRPr="00630A55">
              <w:rPr>
                <w:lang w:eastAsia="en-AU"/>
              </w:rPr>
              <w:t xml:space="preserve">Summary submission of PAH data to </w:t>
            </w:r>
            <w:r w:rsidR="00FF6A43">
              <w:rPr>
                <w:lang w:eastAsia="en-AU"/>
              </w:rPr>
              <w:t>j</w:t>
            </w:r>
            <w:r w:rsidRPr="00630A55">
              <w:rPr>
                <w:lang w:eastAsia="en-AU"/>
              </w:rPr>
              <w:t xml:space="preserve">urisdiction </w:t>
            </w:r>
          </w:p>
        </w:tc>
        <w:tc>
          <w:tcPr>
            <w:tcW w:w="1979" w:type="dxa"/>
            <w:tcBorders>
              <w:top w:val="single" w:sz="12" w:space="0" w:color="auto"/>
              <w:left w:val="single" w:sz="4" w:space="0" w:color="auto"/>
              <w:right w:val="single" w:sz="4" w:space="0" w:color="auto"/>
            </w:tcBorders>
            <w:shd w:val="clear" w:color="auto" w:fill="auto"/>
            <w:vAlign w:val="center"/>
            <w:hideMark/>
          </w:tcPr>
          <w:p w14:paraId="7AA95AB7" w14:textId="77777777" w:rsidR="00D663E3" w:rsidRPr="00630A55" w:rsidRDefault="00D663E3" w:rsidP="00500E59">
            <w:pPr>
              <w:pStyle w:val="TableTextNumber"/>
              <w:jc w:val="right"/>
            </w:pPr>
            <w:r w:rsidRPr="00630A55">
              <w:t> </w:t>
            </w:r>
          </w:p>
        </w:tc>
      </w:tr>
      <w:tr w:rsidR="00D663E3" w:rsidRPr="00630A55" w14:paraId="655B496E" w14:textId="77777777" w:rsidTr="003910CC">
        <w:trPr>
          <w:trHeight w:val="258"/>
        </w:trPr>
        <w:tc>
          <w:tcPr>
            <w:tcW w:w="281" w:type="dxa"/>
            <w:tcBorders>
              <w:left w:val="single" w:sz="4" w:space="0" w:color="auto"/>
            </w:tcBorders>
            <w:shd w:val="clear" w:color="000000" w:fill="FFFFFF"/>
            <w:noWrap/>
            <w:vAlign w:val="center"/>
            <w:hideMark/>
          </w:tcPr>
          <w:p w14:paraId="72A18FD7" w14:textId="77777777" w:rsidR="00D663E3" w:rsidRPr="00630A55" w:rsidRDefault="00D663E3" w:rsidP="009527C7">
            <w:pPr>
              <w:pStyle w:val="Tabletext"/>
              <w:rPr>
                <w:color w:val="000000"/>
                <w:lang w:eastAsia="en-AU"/>
              </w:rPr>
            </w:pPr>
            <w:r w:rsidRPr="00630A55">
              <w:rPr>
                <w:lang w:eastAsia="en-AU"/>
              </w:rPr>
              <w:t> </w:t>
            </w:r>
          </w:p>
        </w:tc>
        <w:tc>
          <w:tcPr>
            <w:tcW w:w="6792" w:type="dxa"/>
            <w:tcBorders>
              <w:right w:val="single" w:sz="4" w:space="0" w:color="auto"/>
            </w:tcBorders>
            <w:shd w:val="clear" w:color="auto" w:fill="auto"/>
            <w:vAlign w:val="center"/>
            <w:hideMark/>
          </w:tcPr>
          <w:p w14:paraId="3B1818F3" w14:textId="17FD6465" w:rsidR="00D663E3" w:rsidRPr="00630A55" w:rsidRDefault="00D663E3" w:rsidP="009527C7">
            <w:pPr>
              <w:pStyle w:val="Tabletext"/>
              <w:rPr>
                <w:color w:val="000000"/>
                <w:lang w:eastAsia="en-AU"/>
              </w:rPr>
            </w:pPr>
            <w:r w:rsidRPr="00630A55">
              <w:rPr>
                <w:lang w:eastAsia="en-AU"/>
              </w:rPr>
              <w:t xml:space="preserve">Activity submitted to </w:t>
            </w:r>
            <w:r w:rsidR="00FF6A43">
              <w:rPr>
                <w:lang w:eastAsia="en-AU"/>
              </w:rPr>
              <w:t>j</w:t>
            </w:r>
            <w:r w:rsidRPr="00630A55">
              <w:rPr>
                <w:lang w:eastAsia="en-AU"/>
              </w:rPr>
              <w:t>urisdiction</w:t>
            </w:r>
          </w:p>
        </w:tc>
        <w:tc>
          <w:tcPr>
            <w:tcW w:w="1979" w:type="dxa"/>
            <w:tcBorders>
              <w:left w:val="single" w:sz="4" w:space="0" w:color="auto"/>
              <w:right w:val="single" w:sz="4" w:space="0" w:color="auto"/>
            </w:tcBorders>
            <w:shd w:val="clear" w:color="auto" w:fill="auto"/>
            <w:noWrap/>
            <w:vAlign w:val="center"/>
          </w:tcPr>
          <w:p w14:paraId="26820735" w14:textId="77777777" w:rsidR="00D663E3" w:rsidRPr="00630A55" w:rsidRDefault="00D663E3" w:rsidP="00500E59">
            <w:pPr>
              <w:pStyle w:val="TableTextNumber"/>
              <w:jc w:val="right"/>
            </w:pPr>
            <w:r w:rsidRPr="00630A55">
              <w:t>54,172</w:t>
            </w:r>
          </w:p>
        </w:tc>
      </w:tr>
      <w:tr w:rsidR="00D663E3" w:rsidRPr="00630A55" w14:paraId="4E5B12EE" w14:textId="77777777" w:rsidTr="003910CC">
        <w:trPr>
          <w:trHeight w:val="258"/>
        </w:trPr>
        <w:tc>
          <w:tcPr>
            <w:tcW w:w="281" w:type="dxa"/>
            <w:tcBorders>
              <w:left w:val="single" w:sz="4" w:space="0" w:color="auto"/>
            </w:tcBorders>
            <w:shd w:val="clear" w:color="000000" w:fill="FFFFFF"/>
            <w:noWrap/>
            <w:vAlign w:val="center"/>
            <w:hideMark/>
          </w:tcPr>
          <w:p w14:paraId="7A1CDE3E" w14:textId="77777777" w:rsidR="00D663E3" w:rsidRPr="00630A55" w:rsidRDefault="00D663E3" w:rsidP="009527C7">
            <w:pPr>
              <w:pStyle w:val="Tabletext"/>
              <w:rPr>
                <w:color w:val="000000"/>
                <w:lang w:eastAsia="en-AU"/>
              </w:rPr>
            </w:pPr>
            <w:r w:rsidRPr="00630A55">
              <w:rPr>
                <w:lang w:eastAsia="en-AU"/>
              </w:rPr>
              <w:t> </w:t>
            </w:r>
          </w:p>
        </w:tc>
        <w:tc>
          <w:tcPr>
            <w:tcW w:w="6792" w:type="dxa"/>
            <w:tcBorders>
              <w:right w:val="single" w:sz="4" w:space="0" w:color="auto"/>
            </w:tcBorders>
            <w:shd w:val="clear" w:color="auto" w:fill="auto"/>
            <w:vAlign w:val="center"/>
            <w:hideMark/>
          </w:tcPr>
          <w:p w14:paraId="4086F632" w14:textId="1DB26327" w:rsidR="00D663E3" w:rsidRPr="00630A55" w:rsidRDefault="00D663E3" w:rsidP="009527C7">
            <w:pPr>
              <w:pStyle w:val="Tabletext"/>
              <w:rPr>
                <w:color w:val="000000"/>
                <w:lang w:eastAsia="en-AU"/>
              </w:rPr>
            </w:pPr>
            <w:r w:rsidRPr="00630A55">
              <w:rPr>
                <w:lang w:eastAsia="en-AU"/>
              </w:rPr>
              <w:t xml:space="preserve">Costs submitted to </w:t>
            </w:r>
            <w:r w:rsidR="00FF6A43">
              <w:rPr>
                <w:lang w:eastAsia="en-AU"/>
              </w:rPr>
              <w:t>j</w:t>
            </w:r>
            <w:r w:rsidRPr="00630A55">
              <w:rPr>
                <w:lang w:eastAsia="en-AU"/>
              </w:rPr>
              <w:t>urisdiction</w:t>
            </w:r>
          </w:p>
        </w:tc>
        <w:tc>
          <w:tcPr>
            <w:tcW w:w="1979" w:type="dxa"/>
            <w:tcBorders>
              <w:left w:val="single" w:sz="4" w:space="0" w:color="auto"/>
              <w:right w:val="single" w:sz="4" w:space="0" w:color="auto"/>
            </w:tcBorders>
            <w:shd w:val="clear" w:color="auto" w:fill="auto"/>
            <w:noWrap/>
            <w:vAlign w:val="center"/>
          </w:tcPr>
          <w:p w14:paraId="149FB7CE" w14:textId="77777777" w:rsidR="00D663E3" w:rsidRPr="00630A55" w:rsidRDefault="00D663E3" w:rsidP="00500E59">
            <w:pPr>
              <w:pStyle w:val="TableTextNumber"/>
              <w:jc w:val="right"/>
            </w:pPr>
            <w:r w:rsidRPr="00630A55">
              <w:t>$49,134,382</w:t>
            </w:r>
          </w:p>
        </w:tc>
      </w:tr>
      <w:tr w:rsidR="00D663E3" w:rsidRPr="00630A55" w14:paraId="30A67D5F" w14:textId="77777777" w:rsidTr="003910CC">
        <w:trPr>
          <w:trHeight w:val="258"/>
        </w:trPr>
        <w:tc>
          <w:tcPr>
            <w:tcW w:w="7073" w:type="dxa"/>
            <w:gridSpan w:val="2"/>
            <w:tcBorders>
              <w:top w:val="single" w:sz="12" w:space="0" w:color="auto"/>
              <w:left w:val="single" w:sz="4" w:space="0" w:color="auto"/>
              <w:bottom w:val="single" w:sz="12" w:space="0" w:color="auto"/>
              <w:right w:val="single" w:sz="4" w:space="0" w:color="auto"/>
            </w:tcBorders>
            <w:shd w:val="clear" w:color="000000" w:fill="00338D"/>
            <w:noWrap/>
            <w:vAlign w:val="center"/>
            <w:hideMark/>
          </w:tcPr>
          <w:p w14:paraId="16F21E0A" w14:textId="77777777" w:rsidR="00D663E3" w:rsidRPr="00630A55" w:rsidRDefault="00D663E3" w:rsidP="009527C7">
            <w:pPr>
              <w:pStyle w:val="Tableheading"/>
              <w:rPr>
                <w:color w:val="FFFFFF"/>
                <w:lang w:eastAsia="en-AU"/>
              </w:rPr>
            </w:pPr>
            <w:r w:rsidRPr="00630A55">
              <w:rPr>
                <w:lang w:eastAsia="en-AU"/>
              </w:rPr>
              <w:t>PAH costs and activity submitted to IHACPA</w:t>
            </w:r>
          </w:p>
        </w:tc>
        <w:tc>
          <w:tcPr>
            <w:tcW w:w="1979" w:type="dxa"/>
            <w:tcBorders>
              <w:top w:val="single" w:sz="12" w:space="0" w:color="auto"/>
              <w:left w:val="single" w:sz="4" w:space="0" w:color="auto"/>
              <w:bottom w:val="single" w:sz="12" w:space="0" w:color="auto"/>
              <w:right w:val="single" w:sz="4" w:space="0" w:color="auto"/>
            </w:tcBorders>
            <w:shd w:val="clear" w:color="000000" w:fill="00338D"/>
            <w:noWrap/>
            <w:vAlign w:val="center"/>
            <w:hideMark/>
          </w:tcPr>
          <w:p w14:paraId="6177167C" w14:textId="77777777" w:rsidR="00D663E3" w:rsidRPr="00630A55" w:rsidRDefault="00D663E3" w:rsidP="00467F5A">
            <w:pPr>
              <w:pStyle w:val="Tableheading"/>
              <w:rPr>
                <w:color w:val="FFFFFF"/>
                <w:lang w:eastAsia="en-AU"/>
              </w:rPr>
            </w:pPr>
            <w:r w:rsidRPr="00630A55">
              <w:rPr>
                <w:lang w:eastAsia="en-AU"/>
              </w:rPr>
              <w:t xml:space="preserve">Value </w:t>
            </w:r>
          </w:p>
        </w:tc>
      </w:tr>
      <w:tr w:rsidR="00D663E3" w:rsidRPr="00630A55" w14:paraId="072CA0B9" w14:textId="77777777" w:rsidTr="003910CC">
        <w:trPr>
          <w:trHeight w:val="258"/>
        </w:trPr>
        <w:tc>
          <w:tcPr>
            <w:tcW w:w="7073" w:type="dxa"/>
            <w:gridSpan w:val="2"/>
            <w:tcBorders>
              <w:top w:val="single" w:sz="12" w:space="0" w:color="auto"/>
              <w:left w:val="single" w:sz="4" w:space="0" w:color="auto"/>
              <w:right w:val="single" w:sz="4" w:space="0" w:color="auto"/>
            </w:tcBorders>
            <w:shd w:val="clear" w:color="000000" w:fill="FFFFFF"/>
            <w:vAlign w:val="center"/>
            <w:hideMark/>
          </w:tcPr>
          <w:p w14:paraId="7E2475AE" w14:textId="0E3FE147" w:rsidR="00D663E3" w:rsidRPr="00630A55" w:rsidRDefault="00D663E3" w:rsidP="009527C7">
            <w:pPr>
              <w:pStyle w:val="Tabletext"/>
              <w:rPr>
                <w:color w:val="000000"/>
                <w:lang w:eastAsia="en-AU"/>
              </w:rPr>
            </w:pPr>
            <w:r w:rsidRPr="00630A55">
              <w:rPr>
                <w:lang w:eastAsia="en-AU"/>
              </w:rPr>
              <w:t xml:space="preserve">Final </w:t>
            </w:r>
            <w:r w:rsidR="00FF6A43">
              <w:rPr>
                <w:lang w:eastAsia="en-AU"/>
              </w:rPr>
              <w:t>s</w:t>
            </w:r>
            <w:r w:rsidRPr="00630A55">
              <w:rPr>
                <w:lang w:eastAsia="en-AU"/>
              </w:rPr>
              <w:t xml:space="preserve">ubmission of PAH data to </w:t>
            </w:r>
            <w:r w:rsidR="00FF6A43">
              <w:rPr>
                <w:lang w:eastAsia="en-AU"/>
              </w:rPr>
              <w:t>j</w:t>
            </w:r>
            <w:r w:rsidRPr="00630A55">
              <w:rPr>
                <w:lang w:eastAsia="en-AU"/>
              </w:rPr>
              <w:t xml:space="preserve">urisdiction for IHACPA - </w:t>
            </w:r>
            <w:r w:rsidR="00FF6A43">
              <w:rPr>
                <w:lang w:eastAsia="en-AU"/>
              </w:rPr>
              <w:t>c</w:t>
            </w:r>
            <w:r w:rsidRPr="00630A55">
              <w:rPr>
                <w:lang w:eastAsia="en-AU"/>
              </w:rPr>
              <w:t xml:space="preserve">ost and </w:t>
            </w:r>
            <w:r w:rsidR="00FF6A43">
              <w:rPr>
                <w:lang w:eastAsia="en-AU"/>
              </w:rPr>
              <w:t>a</w:t>
            </w:r>
            <w:r w:rsidRPr="00630A55">
              <w:rPr>
                <w:lang w:eastAsia="en-AU"/>
              </w:rPr>
              <w:t xml:space="preserve">ctivity by </w:t>
            </w:r>
            <w:r w:rsidR="00FF6A43">
              <w:rPr>
                <w:lang w:eastAsia="en-AU"/>
              </w:rPr>
              <w:t>p</w:t>
            </w:r>
            <w:r w:rsidRPr="00630A55">
              <w:rPr>
                <w:lang w:eastAsia="en-AU"/>
              </w:rPr>
              <w:t xml:space="preserve">roduct </w:t>
            </w:r>
          </w:p>
        </w:tc>
        <w:tc>
          <w:tcPr>
            <w:tcW w:w="1979" w:type="dxa"/>
            <w:tcBorders>
              <w:top w:val="single" w:sz="12" w:space="0" w:color="auto"/>
              <w:left w:val="single" w:sz="4" w:space="0" w:color="auto"/>
              <w:right w:val="single" w:sz="4" w:space="0" w:color="auto"/>
            </w:tcBorders>
            <w:shd w:val="clear" w:color="auto" w:fill="auto"/>
            <w:vAlign w:val="center"/>
            <w:hideMark/>
          </w:tcPr>
          <w:p w14:paraId="57C3A20D" w14:textId="77777777" w:rsidR="00D663E3" w:rsidRPr="00630A55" w:rsidRDefault="00D663E3" w:rsidP="00500E59">
            <w:pPr>
              <w:pStyle w:val="TableTextNumber"/>
              <w:jc w:val="right"/>
            </w:pPr>
            <w:r w:rsidRPr="00630A55">
              <w:t> </w:t>
            </w:r>
          </w:p>
        </w:tc>
      </w:tr>
      <w:tr w:rsidR="00D663E3" w:rsidRPr="00630A55" w14:paraId="07CA9BA2" w14:textId="77777777" w:rsidTr="003910CC">
        <w:trPr>
          <w:trHeight w:val="258"/>
        </w:trPr>
        <w:tc>
          <w:tcPr>
            <w:tcW w:w="281" w:type="dxa"/>
            <w:tcBorders>
              <w:left w:val="single" w:sz="4" w:space="0" w:color="auto"/>
            </w:tcBorders>
            <w:shd w:val="clear" w:color="000000" w:fill="FFFFFF"/>
            <w:noWrap/>
            <w:vAlign w:val="center"/>
            <w:hideMark/>
          </w:tcPr>
          <w:p w14:paraId="561E7E12" w14:textId="77777777" w:rsidR="00D663E3" w:rsidRPr="00630A55" w:rsidRDefault="00D663E3" w:rsidP="009527C7">
            <w:pPr>
              <w:pStyle w:val="Tabletext"/>
              <w:rPr>
                <w:color w:val="000000"/>
                <w:lang w:eastAsia="en-AU"/>
              </w:rPr>
            </w:pPr>
            <w:r w:rsidRPr="00630A55">
              <w:rPr>
                <w:lang w:eastAsia="en-AU"/>
              </w:rPr>
              <w:t> </w:t>
            </w:r>
          </w:p>
        </w:tc>
        <w:tc>
          <w:tcPr>
            <w:tcW w:w="6792" w:type="dxa"/>
            <w:tcBorders>
              <w:right w:val="single" w:sz="4" w:space="0" w:color="auto"/>
            </w:tcBorders>
            <w:shd w:val="clear" w:color="000000" w:fill="FFFFFF"/>
            <w:vAlign w:val="center"/>
            <w:hideMark/>
          </w:tcPr>
          <w:p w14:paraId="6AD76076" w14:textId="77777777" w:rsidR="00D663E3" w:rsidRPr="00630A55" w:rsidRDefault="00D663E3" w:rsidP="009527C7">
            <w:pPr>
              <w:pStyle w:val="Tabletext"/>
              <w:rPr>
                <w:color w:val="000000"/>
                <w:lang w:eastAsia="en-AU"/>
              </w:rPr>
            </w:pPr>
            <w:r w:rsidRPr="00630A55">
              <w:rPr>
                <w:lang w:eastAsia="en-AU"/>
              </w:rPr>
              <w:t>Activity</w:t>
            </w:r>
          </w:p>
        </w:tc>
        <w:tc>
          <w:tcPr>
            <w:tcW w:w="1979" w:type="dxa"/>
            <w:tcBorders>
              <w:left w:val="single" w:sz="4" w:space="0" w:color="auto"/>
              <w:right w:val="single" w:sz="4" w:space="0" w:color="auto"/>
            </w:tcBorders>
            <w:shd w:val="clear" w:color="auto" w:fill="auto"/>
            <w:noWrap/>
            <w:vAlign w:val="bottom"/>
          </w:tcPr>
          <w:p w14:paraId="639C8C98" w14:textId="77777777" w:rsidR="00D663E3" w:rsidRPr="00630A55" w:rsidRDefault="00D663E3" w:rsidP="00500E59">
            <w:pPr>
              <w:pStyle w:val="TableTextNumber"/>
              <w:jc w:val="right"/>
            </w:pPr>
            <w:r w:rsidRPr="00630A55">
              <w:t>54,172</w:t>
            </w:r>
          </w:p>
        </w:tc>
      </w:tr>
      <w:tr w:rsidR="00D663E3" w:rsidRPr="00630A55" w14:paraId="16ACC680" w14:textId="77777777" w:rsidTr="003910CC">
        <w:trPr>
          <w:trHeight w:val="258"/>
        </w:trPr>
        <w:tc>
          <w:tcPr>
            <w:tcW w:w="281" w:type="dxa"/>
            <w:tcBorders>
              <w:left w:val="single" w:sz="4" w:space="0" w:color="auto"/>
            </w:tcBorders>
            <w:shd w:val="clear" w:color="000000" w:fill="FFFFFF"/>
            <w:noWrap/>
            <w:vAlign w:val="center"/>
            <w:hideMark/>
          </w:tcPr>
          <w:p w14:paraId="02C1455C" w14:textId="77777777" w:rsidR="00D663E3" w:rsidRPr="00630A55" w:rsidRDefault="00D663E3" w:rsidP="009527C7">
            <w:pPr>
              <w:pStyle w:val="Tabletext"/>
              <w:rPr>
                <w:color w:val="000000"/>
                <w:lang w:eastAsia="en-AU"/>
              </w:rPr>
            </w:pPr>
            <w:r w:rsidRPr="00630A55">
              <w:rPr>
                <w:lang w:eastAsia="en-AU"/>
              </w:rPr>
              <w:t> </w:t>
            </w:r>
          </w:p>
        </w:tc>
        <w:tc>
          <w:tcPr>
            <w:tcW w:w="6792" w:type="dxa"/>
            <w:tcBorders>
              <w:right w:val="single" w:sz="4" w:space="0" w:color="auto"/>
            </w:tcBorders>
            <w:shd w:val="clear" w:color="000000" w:fill="FFFFFF"/>
            <w:vAlign w:val="center"/>
            <w:hideMark/>
          </w:tcPr>
          <w:p w14:paraId="4B8E940B" w14:textId="77777777" w:rsidR="00D663E3" w:rsidRPr="00630A55" w:rsidRDefault="00D663E3" w:rsidP="009527C7">
            <w:pPr>
              <w:pStyle w:val="Tabletext"/>
              <w:rPr>
                <w:color w:val="000000"/>
                <w:lang w:eastAsia="en-AU"/>
              </w:rPr>
            </w:pPr>
            <w:r w:rsidRPr="00630A55">
              <w:rPr>
                <w:lang w:eastAsia="en-AU"/>
              </w:rPr>
              <w:t>Costs</w:t>
            </w:r>
          </w:p>
        </w:tc>
        <w:tc>
          <w:tcPr>
            <w:tcW w:w="1979" w:type="dxa"/>
            <w:tcBorders>
              <w:left w:val="single" w:sz="4" w:space="0" w:color="auto"/>
              <w:right w:val="single" w:sz="4" w:space="0" w:color="auto"/>
            </w:tcBorders>
            <w:shd w:val="clear" w:color="auto" w:fill="auto"/>
            <w:noWrap/>
            <w:vAlign w:val="bottom"/>
          </w:tcPr>
          <w:p w14:paraId="37D237A0" w14:textId="77777777" w:rsidR="00D663E3" w:rsidRPr="00630A55" w:rsidRDefault="00D663E3" w:rsidP="00500E59">
            <w:pPr>
              <w:pStyle w:val="TableTextNumber"/>
              <w:jc w:val="right"/>
            </w:pPr>
            <w:r w:rsidRPr="00630A55">
              <w:t>$49,134,382</w:t>
            </w:r>
          </w:p>
        </w:tc>
      </w:tr>
      <w:tr w:rsidR="00D663E3" w:rsidRPr="00630A55" w14:paraId="7E23D782" w14:textId="77777777" w:rsidTr="003910CC">
        <w:trPr>
          <w:trHeight w:val="258"/>
        </w:trPr>
        <w:tc>
          <w:tcPr>
            <w:tcW w:w="7073" w:type="dxa"/>
            <w:gridSpan w:val="2"/>
            <w:tcBorders>
              <w:left w:val="single" w:sz="4" w:space="0" w:color="auto"/>
              <w:right w:val="single" w:sz="4" w:space="0" w:color="auto"/>
            </w:tcBorders>
            <w:shd w:val="clear" w:color="000000" w:fill="FFFFFF"/>
            <w:vAlign w:val="center"/>
            <w:hideMark/>
          </w:tcPr>
          <w:p w14:paraId="7D47DA03" w14:textId="27E18CDE" w:rsidR="00D663E3" w:rsidRPr="00630A55" w:rsidRDefault="00D663E3" w:rsidP="009527C7">
            <w:pPr>
              <w:pStyle w:val="Tabletext"/>
              <w:rPr>
                <w:color w:val="000000"/>
                <w:lang w:eastAsia="en-AU"/>
              </w:rPr>
            </w:pPr>
            <w:r w:rsidRPr="00630A55">
              <w:rPr>
                <w:lang w:eastAsia="en-AU"/>
              </w:rPr>
              <w:t xml:space="preserve">Adjustments to </w:t>
            </w:r>
            <w:r w:rsidR="00FF6A43">
              <w:rPr>
                <w:lang w:eastAsia="en-AU"/>
              </w:rPr>
              <w:t>j</w:t>
            </w:r>
            <w:r w:rsidRPr="00630A55">
              <w:rPr>
                <w:lang w:eastAsia="en-AU"/>
              </w:rPr>
              <w:t xml:space="preserve">urisdictional </w:t>
            </w:r>
            <w:r w:rsidR="00FF6A43">
              <w:rPr>
                <w:lang w:eastAsia="en-AU"/>
              </w:rPr>
              <w:t>s</w:t>
            </w:r>
            <w:r w:rsidRPr="00630A55">
              <w:rPr>
                <w:lang w:eastAsia="en-AU"/>
              </w:rPr>
              <w:t xml:space="preserve">ubmission prior to finalisation of </w:t>
            </w:r>
            <w:r w:rsidR="00FF6A43">
              <w:rPr>
                <w:lang w:eastAsia="en-AU"/>
              </w:rPr>
              <w:t>j</w:t>
            </w:r>
            <w:r w:rsidRPr="00630A55">
              <w:rPr>
                <w:lang w:eastAsia="en-AU"/>
              </w:rPr>
              <w:t>urisdictional data</w:t>
            </w:r>
          </w:p>
        </w:tc>
        <w:tc>
          <w:tcPr>
            <w:tcW w:w="1979" w:type="dxa"/>
            <w:tcBorders>
              <w:left w:val="single" w:sz="4" w:space="0" w:color="auto"/>
              <w:right w:val="single" w:sz="4" w:space="0" w:color="auto"/>
            </w:tcBorders>
            <w:shd w:val="clear" w:color="auto" w:fill="auto"/>
            <w:vAlign w:val="center"/>
          </w:tcPr>
          <w:p w14:paraId="4883AA2A" w14:textId="77777777" w:rsidR="00D663E3" w:rsidRPr="00630A55" w:rsidRDefault="00D663E3" w:rsidP="00500E59">
            <w:pPr>
              <w:pStyle w:val="TableTextNumber"/>
              <w:jc w:val="right"/>
            </w:pPr>
          </w:p>
        </w:tc>
      </w:tr>
      <w:tr w:rsidR="00D663E3" w:rsidRPr="00630A55" w14:paraId="4F1CE023" w14:textId="77777777" w:rsidTr="003910CC">
        <w:trPr>
          <w:trHeight w:val="258"/>
        </w:trPr>
        <w:tc>
          <w:tcPr>
            <w:tcW w:w="281" w:type="dxa"/>
            <w:tcBorders>
              <w:left w:val="single" w:sz="4" w:space="0" w:color="auto"/>
            </w:tcBorders>
            <w:shd w:val="clear" w:color="000000" w:fill="FFFFFF"/>
            <w:noWrap/>
            <w:vAlign w:val="center"/>
            <w:hideMark/>
          </w:tcPr>
          <w:p w14:paraId="400F96A7" w14:textId="77777777" w:rsidR="00D663E3" w:rsidRPr="00630A55" w:rsidRDefault="00D663E3" w:rsidP="009527C7">
            <w:pPr>
              <w:pStyle w:val="Tabletext"/>
              <w:rPr>
                <w:color w:val="000000"/>
                <w:lang w:eastAsia="en-AU"/>
              </w:rPr>
            </w:pPr>
            <w:r w:rsidRPr="00630A55">
              <w:rPr>
                <w:lang w:eastAsia="en-AU"/>
              </w:rPr>
              <w:t> </w:t>
            </w:r>
          </w:p>
        </w:tc>
        <w:tc>
          <w:tcPr>
            <w:tcW w:w="6792" w:type="dxa"/>
            <w:tcBorders>
              <w:right w:val="single" w:sz="4" w:space="0" w:color="auto"/>
            </w:tcBorders>
            <w:shd w:val="clear" w:color="000000" w:fill="FFFFFF"/>
            <w:noWrap/>
            <w:vAlign w:val="center"/>
            <w:hideMark/>
          </w:tcPr>
          <w:p w14:paraId="31136B65" w14:textId="77777777" w:rsidR="00D663E3" w:rsidRPr="00630A55" w:rsidRDefault="00D663E3" w:rsidP="009527C7">
            <w:pPr>
              <w:pStyle w:val="Tabletext"/>
              <w:rPr>
                <w:color w:val="000000"/>
                <w:lang w:eastAsia="en-AU"/>
              </w:rPr>
            </w:pPr>
            <w:r w:rsidRPr="00630A55">
              <w:rPr>
                <w:lang w:eastAsia="en-AU"/>
              </w:rPr>
              <w:t xml:space="preserve">Activity totals </w:t>
            </w:r>
          </w:p>
        </w:tc>
        <w:tc>
          <w:tcPr>
            <w:tcW w:w="1979" w:type="dxa"/>
            <w:tcBorders>
              <w:left w:val="single" w:sz="4" w:space="0" w:color="auto"/>
              <w:right w:val="single" w:sz="4" w:space="0" w:color="auto"/>
            </w:tcBorders>
            <w:shd w:val="clear" w:color="auto" w:fill="auto"/>
            <w:noWrap/>
            <w:vAlign w:val="bottom"/>
          </w:tcPr>
          <w:p w14:paraId="510BDCA7" w14:textId="77777777" w:rsidR="00D663E3" w:rsidRPr="00630A55" w:rsidRDefault="00D663E3" w:rsidP="00500E59">
            <w:pPr>
              <w:pStyle w:val="TableTextNumber"/>
              <w:jc w:val="right"/>
            </w:pPr>
            <w:r w:rsidRPr="00630A55">
              <w:t>-</w:t>
            </w:r>
          </w:p>
        </w:tc>
      </w:tr>
      <w:tr w:rsidR="00D663E3" w:rsidRPr="00630A55" w14:paraId="16FBFD83" w14:textId="77777777" w:rsidTr="003910CC">
        <w:trPr>
          <w:trHeight w:val="258"/>
        </w:trPr>
        <w:tc>
          <w:tcPr>
            <w:tcW w:w="281" w:type="dxa"/>
            <w:tcBorders>
              <w:left w:val="single" w:sz="4" w:space="0" w:color="auto"/>
            </w:tcBorders>
            <w:shd w:val="clear" w:color="000000" w:fill="FFFFFF"/>
            <w:noWrap/>
            <w:vAlign w:val="center"/>
            <w:hideMark/>
          </w:tcPr>
          <w:p w14:paraId="21CF8704" w14:textId="77777777" w:rsidR="00D663E3" w:rsidRPr="00630A55" w:rsidRDefault="00D663E3" w:rsidP="009527C7">
            <w:pPr>
              <w:pStyle w:val="Tabletext"/>
              <w:rPr>
                <w:color w:val="000000"/>
                <w:lang w:eastAsia="en-AU"/>
              </w:rPr>
            </w:pPr>
            <w:r w:rsidRPr="00630A55">
              <w:rPr>
                <w:lang w:eastAsia="en-AU"/>
              </w:rPr>
              <w:t> </w:t>
            </w:r>
          </w:p>
        </w:tc>
        <w:tc>
          <w:tcPr>
            <w:tcW w:w="6792" w:type="dxa"/>
            <w:tcBorders>
              <w:right w:val="single" w:sz="4" w:space="0" w:color="auto"/>
            </w:tcBorders>
            <w:shd w:val="clear" w:color="000000" w:fill="FFFFFF"/>
            <w:noWrap/>
            <w:vAlign w:val="center"/>
            <w:hideMark/>
          </w:tcPr>
          <w:p w14:paraId="317B784D" w14:textId="77777777" w:rsidR="00D663E3" w:rsidRPr="00630A55" w:rsidRDefault="00D663E3" w:rsidP="009527C7">
            <w:pPr>
              <w:pStyle w:val="Tabletext"/>
              <w:rPr>
                <w:color w:val="000000"/>
                <w:lang w:eastAsia="en-AU"/>
              </w:rPr>
            </w:pPr>
            <w:r w:rsidRPr="00630A55">
              <w:rPr>
                <w:lang w:eastAsia="en-AU"/>
              </w:rPr>
              <w:t>Cost totals</w:t>
            </w:r>
          </w:p>
        </w:tc>
        <w:tc>
          <w:tcPr>
            <w:tcW w:w="1979" w:type="dxa"/>
            <w:tcBorders>
              <w:left w:val="single" w:sz="4" w:space="0" w:color="auto"/>
              <w:right w:val="single" w:sz="4" w:space="0" w:color="auto"/>
            </w:tcBorders>
            <w:shd w:val="clear" w:color="auto" w:fill="auto"/>
            <w:noWrap/>
            <w:vAlign w:val="bottom"/>
          </w:tcPr>
          <w:p w14:paraId="68C2DF43" w14:textId="77777777" w:rsidR="00D663E3" w:rsidRPr="00630A55" w:rsidRDefault="00D663E3" w:rsidP="00500E59">
            <w:pPr>
              <w:pStyle w:val="TableTextNumber"/>
              <w:jc w:val="right"/>
            </w:pPr>
            <w:r w:rsidRPr="00630A55">
              <w:t>-</w:t>
            </w:r>
          </w:p>
        </w:tc>
      </w:tr>
      <w:tr w:rsidR="00D663E3" w:rsidRPr="00630A55" w14:paraId="1F740BED" w14:textId="77777777" w:rsidTr="003910CC">
        <w:trPr>
          <w:trHeight w:val="258"/>
        </w:trPr>
        <w:tc>
          <w:tcPr>
            <w:tcW w:w="7073" w:type="dxa"/>
            <w:gridSpan w:val="2"/>
            <w:tcBorders>
              <w:left w:val="single" w:sz="4" w:space="0" w:color="auto"/>
              <w:right w:val="single" w:sz="4" w:space="0" w:color="auto"/>
            </w:tcBorders>
            <w:shd w:val="clear" w:color="000000" w:fill="FFFFFF"/>
            <w:vAlign w:val="center"/>
            <w:hideMark/>
          </w:tcPr>
          <w:p w14:paraId="5C393AD8" w14:textId="63D6C2BA" w:rsidR="00D663E3" w:rsidRPr="00630A55" w:rsidRDefault="00D663E3" w:rsidP="009527C7">
            <w:pPr>
              <w:pStyle w:val="Tabletext"/>
              <w:rPr>
                <w:color w:val="000000"/>
                <w:lang w:eastAsia="en-AU"/>
              </w:rPr>
            </w:pPr>
            <w:r w:rsidRPr="00630A55">
              <w:rPr>
                <w:lang w:eastAsia="en-AU"/>
              </w:rPr>
              <w:t xml:space="preserve">Final </w:t>
            </w:r>
            <w:r w:rsidR="00FF6A43">
              <w:rPr>
                <w:lang w:eastAsia="en-AU"/>
              </w:rPr>
              <w:t>j</w:t>
            </w:r>
            <w:r w:rsidRPr="00630A55">
              <w:rPr>
                <w:lang w:eastAsia="en-AU"/>
              </w:rPr>
              <w:t xml:space="preserve">urisdictional </w:t>
            </w:r>
            <w:r w:rsidR="00FF6A43">
              <w:rPr>
                <w:lang w:eastAsia="en-AU"/>
              </w:rPr>
              <w:t>d</w:t>
            </w:r>
            <w:r w:rsidRPr="00630A55">
              <w:rPr>
                <w:lang w:eastAsia="en-AU"/>
              </w:rPr>
              <w:t xml:space="preserve">ata for </w:t>
            </w:r>
            <w:r w:rsidR="00FF6A43">
              <w:rPr>
                <w:lang w:eastAsia="en-AU"/>
              </w:rPr>
              <w:t>c</w:t>
            </w:r>
            <w:r w:rsidRPr="00630A55">
              <w:rPr>
                <w:lang w:eastAsia="en-AU"/>
              </w:rPr>
              <w:t xml:space="preserve">ost </w:t>
            </w:r>
            <w:r w:rsidR="00FF6A43">
              <w:rPr>
                <w:lang w:eastAsia="en-AU"/>
              </w:rPr>
              <w:t>w</w:t>
            </w:r>
            <w:r w:rsidRPr="00630A55">
              <w:rPr>
                <w:lang w:eastAsia="en-AU"/>
              </w:rPr>
              <w:t xml:space="preserve">eight </w:t>
            </w:r>
            <w:r w:rsidR="00FF6A43">
              <w:rPr>
                <w:lang w:eastAsia="en-AU"/>
              </w:rPr>
              <w:t>p</w:t>
            </w:r>
            <w:r w:rsidRPr="00630A55">
              <w:rPr>
                <w:lang w:eastAsia="en-AU"/>
              </w:rPr>
              <w:t>roduction</w:t>
            </w:r>
          </w:p>
        </w:tc>
        <w:tc>
          <w:tcPr>
            <w:tcW w:w="1979" w:type="dxa"/>
            <w:tcBorders>
              <w:left w:val="single" w:sz="4" w:space="0" w:color="auto"/>
              <w:right w:val="single" w:sz="4" w:space="0" w:color="auto"/>
            </w:tcBorders>
            <w:shd w:val="clear" w:color="auto" w:fill="auto"/>
            <w:vAlign w:val="center"/>
          </w:tcPr>
          <w:p w14:paraId="1A934969" w14:textId="77777777" w:rsidR="00D663E3" w:rsidRPr="00630A55" w:rsidRDefault="00D663E3" w:rsidP="00500E59">
            <w:pPr>
              <w:pStyle w:val="TableTextNumber"/>
              <w:jc w:val="right"/>
            </w:pPr>
          </w:p>
        </w:tc>
      </w:tr>
      <w:tr w:rsidR="00D663E3" w:rsidRPr="00630A55" w14:paraId="4E30A143" w14:textId="77777777" w:rsidTr="003910CC">
        <w:trPr>
          <w:trHeight w:val="258"/>
        </w:trPr>
        <w:tc>
          <w:tcPr>
            <w:tcW w:w="281" w:type="dxa"/>
            <w:tcBorders>
              <w:left w:val="single" w:sz="4" w:space="0" w:color="auto"/>
            </w:tcBorders>
            <w:shd w:val="clear" w:color="000000" w:fill="FFFFFF"/>
            <w:noWrap/>
            <w:vAlign w:val="center"/>
            <w:hideMark/>
          </w:tcPr>
          <w:p w14:paraId="41FA4137" w14:textId="77777777" w:rsidR="00D663E3" w:rsidRPr="00630A55" w:rsidRDefault="00D663E3" w:rsidP="009527C7">
            <w:pPr>
              <w:pStyle w:val="Tabletext"/>
              <w:rPr>
                <w:color w:val="000000"/>
                <w:lang w:eastAsia="en-AU"/>
              </w:rPr>
            </w:pPr>
            <w:r w:rsidRPr="00630A55">
              <w:rPr>
                <w:lang w:eastAsia="en-AU"/>
              </w:rPr>
              <w:t> </w:t>
            </w:r>
          </w:p>
        </w:tc>
        <w:tc>
          <w:tcPr>
            <w:tcW w:w="6792" w:type="dxa"/>
            <w:tcBorders>
              <w:right w:val="single" w:sz="4" w:space="0" w:color="auto"/>
            </w:tcBorders>
            <w:shd w:val="clear" w:color="000000" w:fill="FFFFFF"/>
            <w:vAlign w:val="center"/>
            <w:hideMark/>
          </w:tcPr>
          <w:p w14:paraId="38A4A4B6" w14:textId="3424AA15" w:rsidR="00D663E3" w:rsidRPr="00630A55" w:rsidRDefault="00D663E3" w:rsidP="009527C7">
            <w:pPr>
              <w:pStyle w:val="Tabletext"/>
              <w:rPr>
                <w:color w:val="000000"/>
                <w:lang w:eastAsia="en-AU"/>
              </w:rPr>
            </w:pPr>
            <w:r w:rsidRPr="00630A55">
              <w:rPr>
                <w:lang w:eastAsia="en-AU"/>
              </w:rPr>
              <w:t xml:space="preserve">Finalised </w:t>
            </w:r>
            <w:r w:rsidR="00FF6A43">
              <w:rPr>
                <w:lang w:eastAsia="en-AU"/>
              </w:rPr>
              <w:t>a</w:t>
            </w:r>
            <w:r w:rsidRPr="00630A55">
              <w:rPr>
                <w:lang w:eastAsia="en-AU"/>
              </w:rPr>
              <w:t>ctivity</w:t>
            </w:r>
          </w:p>
        </w:tc>
        <w:tc>
          <w:tcPr>
            <w:tcW w:w="1979" w:type="dxa"/>
            <w:tcBorders>
              <w:left w:val="single" w:sz="4" w:space="0" w:color="auto"/>
              <w:right w:val="single" w:sz="4" w:space="0" w:color="auto"/>
            </w:tcBorders>
            <w:shd w:val="clear" w:color="auto" w:fill="auto"/>
            <w:noWrap/>
            <w:vAlign w:val="bottom"/>
          </w:tcPr>
          <w:p w14:paraId="1F4FA9C5" w14:textId="77777777" w:rsidR="00D663E3" w:rsidRPr="00630A55" w:rsidRDefault="00D663E3" w:rsidP="00500E59">
            <w:pPr>
              <w:pStyle w:val="TableTextNumber"/>
              <w:jc w:val="right"/>
            </w:pPr>
            <w:r w:rsidRPr="00630A55">
              <w:t>54,172</w:t>
            </w:r>
          </w:p>
        </w:tc>
      </w:tr>
      <w:tr w:rsidR="00D663E3" w:rsidRPr="00630A55" w14:paraId="717FEF8B" w14:textId="77777777" w:rsidTr="003910CC">
        <w:trPr>
          <w:trHeight w:val="258"/>
        </w:trPr>
        <w:tc>
          <w:tcPr>
            <w:tcW w:w="281" w:type="dxa"/>
            <w:tcBorders>
              <w:left w:val="single" w:sz="4" w:space="0" w:color="auto"/>
              <w:bottom w:val="single" w:sz="4" w:space="0" w:color="auto"/>
            </w:tcBorders>
            <w:shd w:val="clear" w:color="000000" w:fill="FFFFFF"/>
            <w:noWrap/>
            <w:vAlign w:val="center"/>
            <w:hideMark/>
          </w:tcPr>
          <w:p w14:paraId="3AA7781C" w14:textId="77777777" w:rsidR="00D663E3" w:rsidRPr="00630A55" w:rsidRDefault="00D663E3" w:rsidP="009527C7">
            <w:pPr>
              <w:pStyle w:val="Tabletext"/>
              <w:rPr>
                <w:color w:val="000000"/>
                <w:lang w:eastAsia="en-AU"/>
              </w:rPr>
            </w:pPr>
            <w:r w:rsidRPr="00630A55">
              <w:rPr>
                <w:lang w:eastAsia="en-AU"/>
              </w:rPr>
              <w:t> </w:t>
            </w:r>
          </w:p>
        </w:tc>
        <w:tc>
          <w:tcPr>
            <w:tcW w:w="6792" w:type="dxa"/>
            <w:tcBorders>
              <w:bottom w:val="single" w:sz="4" w:space="0" w:color="auto"/>
              <w:right w:val="single" w:sz="4" w:space="0" w:color="auto"/>
            </w:tcBorders>
            <w:shd w:val="clear" w:color="000000" w:fill="FFFFFF"/>
            <w:vAlign w:val="center"/>
            <w:hideMark/>
          </w:tcPr>
          <w:p w14:paraId="45B78BCF" w14:textId="287E457B" w:rsidR="00D663E3" w:rsidRPr="00630A55" w:rsidRDefault="00D663E3" w:rsidP="009527C7">
            <w:pPr>
              <w:pStyle w:val="Tabletext"/>
              <w:rPr>
                <w:color w:val="000000"/>
                <w:lang w:eastAsia="en-AU"/>
              </w:rPr>
            </w:pPr>
            <w:r w:rsidRPr="00630A55">
              <w:rPr>
                <w:lang w:eastAsia="en-AU"/>
              </w:rPr>
              <w:t xml:space="preserve">Finalised </w:t>
            </w:r>
            <w:r w:rsidR="00FF6A43">
              <w:rPr>
                <w:lang w:eastAsia="en-AU"/>
              </w:rPr>
              <w:t>c</w:t>
            </w:r>
            <w:r w:rsidRPr="00630A55">
              <w:rPr>
                <w:lang w:eastAsia="en-AU"/>
              </w:rPr>
              <w:t>ost</w:t>
            </w:r>
          </w:p>
        </w:tc>
        <w:tc>
          <w:tcPr>
            <w:tcW w:w="1979" w:type="dxa"/>
            <w:tcBorders>
              <w:left w:val="single" w:sz="4" w:space="0" w:color="auto"/>
              <w:bottom w:val="single" w:sz="4" w:space="0" w:color="auto"/>
              <w:right w:val="single" w:sz="4" w:space="0" w:color="auto"/>
            </w:tcBorders>
            <w:shd w:val="clear" w:color="auto" w:fill="auto"/>
            <w:noWrap/>
            <w:vAlign w:val="bottom"/>
          </w:tcPr>
          <w:p w14:paraId="2D7B6289" w14:textId="77777777" w:rsidR="00D663E3" w:rsidRPr="00630A55" w:rsidRDefault="00D663E3" w:rsidP="00500E59">
            <w:pPr>
              <w:pStyle w:val="TableTextNumber"/>
              <w:jc w:val="right"/>
            </w:pPr>
            <w:r w:rsidRPr="00630A55">
              <w:t>$49,134,381</w:t>
            </w:r>
          </w:p>
        </w:tc>
      </w:tr>
    </w:tbl>
    <w:p w14:paraId="41D8A843" w14:textId="77777777" w:rsidR="004A3D7B" w:rsidRPr="00630A55" w:rsidRDefault="004A3D7B" w:rsidP="004A3D7B">
      <w:pPr>
        <w:pStyle w:val="Source"/>
      </w:pPr>
      <w:r w:rsidRPr="00630A55">
        <w:t xml:space="preserve">Source: Jurisdictional consultations and </w:t>
      </w:r>
      <w:r>
        <w:t>templates</w:t>
      </w:r>
    </w:p>
    <w:p w14:paraId="6F8E517A" w14:textId="77777777" w:rsidR="004A3D7B" w:rsidRDefault="004A3D7B" w:rsidP="004A3D7B"/>
    <w:p w14:paraId="5415962A" w14:textId="2030147A" w:rsidR="00D663E3" w:rsidRPr="00590B0F" w:rsidRDefault="00D663E3" w:rsidP="00590B0F">
      <w:pPr>
        <w:sectPr w:rsidR="00D663E3" w:rsidRPr="00590B0F" w:rsidSect="00A92341">
          <w:pgSz w:w="11906" w:h="16838"/>
          <w:pgMar w:top="1134" w:right="1418" w:bottom="1418" w:left="1418" w:header="709" w:footer="454" w:gutter="0"/>
          <w:cols w:space="708"/>
          <w:docGrid w:linePitch="360"/>
        </w:sectPr>
      </w:pPr>
    </w:p>
    <w:p w14:paraId="5B2EAE09" w14:textId="08404417" w:rsidR="00D663E3" w:rsidRPr="00630A55" w:rsidRDefault="00500E59" w:rsidP="00500E59">
      <w:pPr>
        <w:pStyle w:val="Caption"/>
      </w:pPr>
      <w:bookmarkStart w:id="65" w:name="_Ref114756102"/>
      <w:r w:rsidRPr="00A8310C">
        <w:rPr>
          <w:b/>
          <w:bCs/>
        </w:rPr>
        <w:lastRenderedPageBreak/>
        <w:t xml:space="preserve">Table </w:t>
      </w:r>
      <w:r w:rsidR="00D91CB1" w:rsidRPr="00A8310C">
        <w:rPr>
          <w:b/>
          <w:bCs/>
        </w:rPr>
        <w:fldChar w:fldCharType="begin"/>
      </w:r>
      <w:r w:rsidR="00D91CB1" w:rsidRPr="00A8310C">
        <w:rPr>
          <w:b/>
          <w:bCs/>
        </w:rPr>
        <w:instrText xml:space="preserve"> SEQ Table \* ARABIC </w:instrText>
      </w:r>
      <w:r w:rsidR="00D91CB1" w:rsidRPr="00A8310C">
        <w:rPr>
          <w:b/>
          <w:bCs/>
        </w:rPr>
        <w:fldChar w:fldCharType="separate"/>
      </w:r>
      <w:r w:rsidR="007E2ACB">
        <w:rPr>
          <w:b/>
          <w:bCs/>
          <w:noProof/>
        </w:rPr>
        <w:t>22</w:t>
      </w:r>
      <w:r w:rsidR="00D91CB1" w:rsidRPr="00A8310C">
        <w:rPr>
          <w:b/>
          <w:bCs/>
          <w:noProof/>
        </w:rPr>
        <w:fldChar w:fldCharType="end"/>
      </w:r>
      <w:bookmarkEnd w:id="65"/>
      <w:r w:rsidRPr="00A8310C">
        <w:rPr>
          <w:b/>
          <w:bCs/>
        </w:rPr>
        <w:t>:</w:t>
      </w:r>
      <w:r w:rsidR="00D663E3">
        <w:t xml:space="preserve"> </w:t>
      </w:r>
      <w:r w:rsidR="00D663E3" w:rsidRPr="00630A55">
        <w:t xml:space="preserve">Reconciliation from General Ledger to NHCDC </w:t>
      </w:r>
      <w:r w:rsidR="00D027C4">
        <w:t>c</w:t>
      </w:r>
      <w:r w:rsidR="00D663E3" w:rsidRPr="00630A55">
        <w:t xml:space="preserve">osted </w:t>
      </w:r>
      <w:r w:rsidR="00D027C4">
        <w:t>p</w:t>
      </w:r>
      <w:r w:rsidR="00D663E3" w:rsidRPr="00630A55">
        <w:t xml:space="preserve">roducts – South Australian Health (Northern Adelaide Local Health Network) </w:t>
      </w:r>
    </w:p>
    <w:tbl>
      <w:tblPr>
        <w:tblW w:w="9174" w:type="dxa"/>
        <w:tblBorders>
          <w:top w:val="single" w:sz="12" w:space="0" w:color="auto"/>
          <w:left w:val="single" w:sz="12" w:space="0" w:color="auto"/>
          <w:bottom w:val="single" w:sz="12" w:space="0" w:color="auto"/>
          <w:right w:val="single" w:sz="12" w:space="0" w:color="auto"/>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81"/>
        <w:gridCol w:w="6934"/>
        <w:gridCol w:w="1959"/>
      </w:tblGrid>
      <w:tr w:rsidR="00D663E3" w:rsidRPr="00630A55" w14:paraId="08A2B0B2" w14:textId="77777777" w:rsidTr="003910CC">
        <w:trPr>
          <w:trHeight w:val="258"/>
        </w:trPr>
        <w:tc>
          <w:tcPr>
            <w:tcW w:w="7215" w:type="dxa"/>
            <w:gridSpan w:val="2"/>
            <w:tcBorders>
              <w:top w:val="single" w:sz="4" w:space="0" w:color="auto"/>
              <w:left w:val="single" w:sz="4" w:space="0" w:color="auto"/>
              <w:bottom w:val="single" w:sz="12" w:space="0" w:color="auto"/>
              <w:right w:val="single" w:sz="4" w:space="0" w:color="auto"/>
            </w:tcBorders>
            <w:shd w:val="clear" w:color="000000" w:fill="00338D"/>
            <w:noWrap/>
            <w:vAlign w:val="center"/>
            <w:hideMark/>
          </w:tcPr>
          <w:p w14:paraId="28D774E0" w14:textId="35F926BE" w:rsidR="00D663E3" w:rsidRPr="00630A55" w:rsidRDefault="00D663E3" w:rsidP="009527C7">
            <w:pPr>
              <w:pStyle w:val="Tableheading"/>
              <w:rPr>
                <w:lang w:eastAsia="en-AU"/>
              </w:rPr>
            </w:pPr>
            <w:r w:rsidRPr="00630A55">
              <w:rPr>
                <w:lang w:eastAsia="en-AU"/>
              </w:rPr>
              <w:t xml:space="preserve">LHN level </w:t>
            </w:r>
            <w:r w:rsidR="00D027C4">
              <w:rPr>
                <w:lang w:eastAsia="en-AU"/>
              </w:rPr>
              <w:t>d</w:t>
            </w:r>
            <w:r w:rsidRPr="00630A55">
              <w:rPr>
                <w:lang w:eastAsia="en-AU"/>
              </w:rPr>
              <w:t>ata (NALHN)</w:t>
            </w:r>
          </w:p>
        </w:tc>
        <w:tc>
          <w:tcPr>
            <w:tcW w:w="1959" w:type="dxa"/>
            <w:tcBorders>
              <w:top w:val="single" w:sz="4" w:space="0" w:color="auto"/>
              <w:left w:val="single" w:sz="4" w:space="0" w:color="auto"/>
              <w:bottom w:val="single" w:sz="12" w:space="0" w:color="auto"/>
              <w:right w:val="single" w:sz="4" w:space="0" w:color="auto"/>
            </w:tcBorders>
            <w:shd w:val="clear" w:color="000000" w:fill="00338D"/>
            <w:noWrap/>
            <w:vAlign w:val="center"/>
            <w:hideMark/>
          </w:tcPr>
          <w:p w14:paraId="6CAB748A" w14:textId="44D7FBB2" w:rsidR="00D663E3" w:rsidRPr="00630A55" w:rsidRDefault="00D663E3" w:rsidP="009527C7">
            <w:pPr>
              <w:pStyle w:val="Tableheading"/>
              <w:rPr>
                <w:color w:val="FFFFFF"/>
                <w:lang w:eastAsia="en-AU"/>
              </w:rPr>
            </w:pPr>
            <w:r w:rsidRPr="00630A55">
              <w:rPr>
                <w:lang w:eastAsia="en-AU"/>
              </w:rPr>
              <w:t> </w:t>
            </w:r>
            <w:r w:rsidR="003758E1">
              <w:rPr>
                <w:lang w:eastAsia="en-AU"/>
              </w:rPr>
              <w:t xml:space="preserve">Value </w:t>
            </w:r>
          </w:p>
        </w:tc>
      </w:tr>
      <w:tr w:rsidR="00D663E3" w:rsidRPr="00630A55" w14:paraId="2E44B005" w14:textId="77777777" w:rsidTr="003910CC">
        <w:trPr>
          <w:trHeight w:val="248"/>
        </w:trPr>
        <w:tc>
          <w:tcPr>
            <w:tcW w:w="7215" w:type="dxa"/>
            <w:gridSpan w:val="2"/>
            <w:tcBorders>
              <w:top w:val="single" w:sz="12" w:space="0" w:color="auto"/>
              <w:left w:val="single" w:sz="4" w:space="0" w:color="auto"/>
              <w:right w:val="single" w:sz="4" w:space="0" w:color="auto"/>
            </w:tcBorders>
            <w:shd w:val="clear" w:color="auto" w:fill="808080"/>
            <w:noWrap/>
            <w:vAlign w:val="center"/>
            <w:hideMark/>
          </w:tcPr>
          <w:p w14:paraId="64615921" w14:textId="77777777" w:rsidR="00D663E3" w:rsidRPr="008E6BAF" w:rsidRDefault="00D663E3" w:rsidP="009527C7">
            <w:pPr>
              <w:pStyle w:val="Tableheading"/>
              <w:rPr>
                <w:rFonts w:ascii="Arial" w:hAnsi="Arial" w:cs="Arial"/>
                <w:b w:val="0"/>
                <w:bCs/>
                <w:color w:val="000000" w:themeColor="text1"/>
                <w:lang w:eastAsia="en-AU"/>
              </w:rPr>
            </w:pPr>
            <w:r w:rsidRPr="008E6BAF">
              <w:rPr>
                <w:rFonts w:ascii="Arial" w:hAnsi="Arial" w:cs="Arial"/>
                <w:b w:val="0"/>
                <w:bCs/>
                <w:color w:val="000000" w:themeColor="text1"/>
                <w:lang w:eastAsia="en-AU"/>
              </w:rPr>
              <w:t>LHN General Ledger (NALHN)</w:t>
            </w:r>
          </w:p>
        </w:tc>
        <w:tc>
          <w:tcPr>
            <w:tcW w:w="1959" w:type="dxa"/>
            <w:tcBorders>
              <w:top w:val="single" w:sz="12" w:space="0" w:color="auto"/>
              <w:left w:val="single" w:sz="4" w:space="0" w:color="auto"/>
              <w:right w:val="single" w:sz="4" w:space="0" w:color="auto"/>
            </w:tcBorders>
            <w:shd w:val="clear" w:color="auto" w:fill="808080"/>
            <w:noWrap/>
            <w:vAlign w:val="center"/>
            <w:hideMark/>
          </w:tcPr>
          <w:p w14:paraId="05A5373C" w14:textId="2612799B" w:rsidR="00D663E3" w:rsidRPr="008E6BAF" w:rsidRDefault="00D663E3" w:rsidP="00467F5A">
            <w:pPr>
              <w:pStyle w:val="Tableheading"/>
              <w:rPr>
                <w:rFonts w:ascii="Arial" w:hAnsi="Arial" w:cs="Arial"/>
                <w:b w:val="0"/>
                <w:bCs/>
                <w:color w:val="000000" w:themeColor="text1"/>
                <w:lang w:eastAsia="en-AU"/>
              </w:rPr>
            </w:pPr>
          </w:p>
        </w:tc>
      </w:tr>
      <w:tr w:rsidR="00D663E3" w:rsidRPr="00630A55" w14:paraId="4EB4F31B" w14:textId="77777777" w:rsidTr="003910CC">
        <w:trPr>
          <w:trHeight w:val="258"/>
        </w:trPr>
        <w:tc>
          <w:tcPr>
            <w:tcW w:w="7215" w:type="dxa"/>
            <w:gridSpan w:val="2"/>
            <w:tcBorders>
              <w:left w:val="single" w:sz="4" w:space="0" w:color="auto"/>
              <w:right w:val="single" w:sz="4" w:space="0" w:color="auto"/>
            </w:tcBorders>
            <w:shd w:val="clear" w:color="000000" w:fill="FFFFFF"/>
            <w:noWrap/>
            <w:vAlign w:val="center"/>
            <w:hideMark/>
          </w:tcPr>
          <w:p w14:paraId="1C2184A3" w14:textId="5D10323B" w:rsidR="00D663E3" w:rsidRPr="00630A55" w:rsidRDefault="00D663E3" w:rsidP="009527C7">
            <w:pPr>
              <w:pStyle w:val="Tabletext"/>
              <w:rPr>
                <w:color w:val="000000"/>
                <w:lang w:eastAsia="en-AU"/>
              </w:rPr>
            </w:pPr>
            <w:r w:rsidRPr="00630A55">
              <w:rPr>
                <w:lang w:eastAsia="en-AU"/>
              </w:rPr>
              <w:t xml:space="preserve">GL transferred to </w:t>
            </w:r>
            <w:r w:rsidR="006B47DF">
              <w:rPr>
                <w:lang w:eastAsia="en-AU"/>
              </w:rPr>
              <w:t>c</w:t>
            </w:r>
            <w:r w:rsidRPr="00630A55">
              <w:rPr>
                <w:lang w:eastAsia="en-AU"/>
              </w:rPr>
              <w:t xml:space="preserve">osting </w:t>
            </w:r>
            <w:r w:rsidR="006B47DF">
              <w:rPr>
                <w:lang w:eastAsia="en-AU"/>
              </w:rPr>
              <w:t>s</w:t>
            </w:r>
            <w:r w:rsidRPr="00630A55">
              <w:rPr>
                <w:lang w:eastAsia="en-AU"/>
              </w:rPr>
              <w:t xml:space="preserve">ystem </w:t>
            </w:r>
          </w:p>
        </w:tc>
        <w:tc>
          <w:tcPr>
            <w:tcW w:w="1959" w:type="dxa"/>
            <w:tcBorders>
              <w:left w:val="single" w:sz="4" w:space="0" w:color="auto"/>
              <w:right w:val="single" w:sz="4" w:space="0" w:color="auto"/>
            </w:tcBorders>
            <w:shd w:val="clear" w:color="auto" w:fill="auto"/>
            <w:noWrap/>
            <w:vAlign w:val="bottom"/>
          </w:tcPr>
          <w:p w14:paraId="4CEA2C5E" w14:textId="77777777" w:rsidR="00D663E3" w:rsidRPr="00630A55" w:rsidRDefault="00D663E3" w:rsidP="006B47DF">
            <w:pPr>
              <w:pStyle w:val="TableTextNumber"/>
              <w:jc w:val="right"/>
            </w:pPr>
            <w:r w:rsidRPr="00630A55">
              <w:t>$846,754,224</w:t>
            </w:r>
          </w:p>
        </w:tc>
      </w:tr>
      <w:tr w:rsidR="00D663E3" w:rsidRPr="00630A55" w14:paraId="4EEC42CE" w14:textId="77777777" w:rsidTr="003910CC">
        <w:trPr>
          <w:trHeight w:val="258"/>
        </w:trPr>
        <w:tc>
          <w:tcPr>
            <w:tcW w:w="7215" w:type="dxa"/>
            <w:gridSpan w:val="2"/>
            <w:tcBorders>
              <w:left w:val="single" w:sz="4" w:space="0" w:color="auto"/>
              <w:right w:val="single" w:sz="4" w:space="0" w:color="auto"/>
            </w:tcBorders>
            <w:shd w:val="clear" w:color="000000" w:fill="FFFFFF"/>
            <w:noWrap/>
            <w:vAlign w:val="center"/>
            <w:hideMark/>
          </w:tcPr>
          <w:p w14:paraId="0EDF2E4D" w14:textId="77777777" w:rsidR="00D663E3" w:rsidRPr="00630A55" w:rsidRDefault="00D663E3" w:rsidP="009527C7">
            <w:pPr>
              <w:pStyle w:val="Tabletext"/>
              <w:rPr>
                <w:color w:val="000000"/>
                <w:lang w:eastAsia="en-AU"/>
              </w:rPr>
            </w:pPr>
            <w:r w:rsidRPr="00630A55">
              <w:rPr>
                <w:lang w:eastAsia="en-AU"/>
              </w:rPr>
              <w:t xml:space="preserve">Adjustments </w:t>
            </w:r>
          </w:p>
        </w:tc>
        <w:tc>
          <w:tcPr>
            <w:tcW w:w="1959" w:type="dxa"/>
            <w:tcBorders>
              <w:left w:val="single" w:sz="4" w:space="0" w:color="auto"/>
              <w:right w:val="single" w:sz="4" w:space="0" w:color="auto"/>
            </w:tcBorders>
            <w:shd w:val="clear" w:color="auto" w:fill="auto"/>
            <w:noWrap/>
            <w:vAlign w:val="bottom"/>
          </w:tcPr>
          <w:p w14:paraId="22FFEB22" w14:textId="77777777" w:rsidR="00D663E3" w:rsidRPr="00630A55" w:rsidRDefault="00D663E3" w:rsidP="006B47DF">
            <w:pPr>
              <w:pStyle w:val="TableTextNumber"/>
              <w:jc w:val="right"/>
            </w:pPr>
            <w:r w:rsidRPr="00630A55">
              <w:t>$846,754,224</w:t>
            </w:r>
          </w:p>
        </w:tc>
      </w:tr>
      <w:tr w:rsidR="00D663E3" w:rsidRPr="00630A55" w14:paraId="3E5FF2A0" w14:textId="77777777" w:rsidTr="003910CC">
        <w:trPr>
          <w:trHeight w:val="258"/>
        </w:trPr>
        <w:tc>
          <w:tcPr>
            <w:tcW w:w="7215" w:type="dxa"/>
            <w:gridSpan w:val="2"/>
            <w:tcBorders>
              <w:left w:val="single" w:sz="4" w:space="0" w:color="auto"/>
              <w:right w:val="single" w:sz="4" w:space="0" w:color="auto"/>
            </w:tcBorders>
            <w:shd w:val="clear" w:color="000000" w:fill="FFFFFF"/>
            <w:noWrap/>
            <w:vAlign w:val="center"/>
            <w:hideMark/>
          </w:tcPr>
          <w:p w14:paraId="58CBAF4D" w14:textId="2DDE9FB6" w:rsidR="00D663E3" w:rsidRPr="00630A55" w:rsidRDefault="00D663E3" w:rsidP="009527C7">
            <w:pPr>
              <w:pStyle w:val="Tabletext"/>
              <w:rPr>
                <w:color w:val="000000"/>
                <w:lang w:eastAsia="en-AU"/>
              </w:rPr>
            </w:pPr>
            <w:r w:rsidRPr="00630A55">
              <w:rPr>
                <w:lang w:eastAsia="en-AU"/>
              </w:rPr>
              <w:t xml:space="preserve">Post </w:t>
            </w:r>
            <w:r w:rsidR="006B47DF">
              <w:rPr>
                <w:lang w:eastAsia="en-AU"/>
              </w:rPr>
              <w:t>a</w:t>
            </w:r>
            <w:r w:rsidRPr="00630A55">
              <w:rPr>
                <w:lang w:eastAsia="en-AU"/>
              </w:rPr>
              <w:t xml:space="preserve">llocation </w:t>
            </w:r>
            <w:r w:rsidR="006B47DF">
              <w:rPr>
                <w:lang w:eastAsia="en-AU"/>
              </w:rPr>
              <w:t>a</w:t>
            </w:r>
            <w:r w:rsidRPr="00630A55">
              <w:rPr>
                <w:lang w:eastAsia="en-AU"/>
              </w:rPr>
              <w:t>mounts</w:t>
            </w:r>
          </w:p>
        </w:tc>
        <w:tc>
          <w:tcPr>
            <w:tcW w:w="1959" w:type="dxa"/>
            <w:tcBorders>
              <w:left w:val="single" w:sz="4" w:space="0" w:color="auto"/>
              <w:right w:val="single" w:sz="4" w:space="0" w:color="auto"/>
            </w:tcBorders>
            <w:shd w:val="clear" w:color="auto" w:fill="auto"/>
            <w:noWrap/>
            <w:vAlign w:val="bottom"/>
          </w:tcPr>
          <w:p w14:paraId="19110E58" w14:textId="77777777" w:rsidR="00D663E3" w:rsidRPr="00630A55" w:rsidRDefault="00D663E3" w:rsidP="006B47DF">
            <w:pPr>
              <w:pStyle w:val="TableTextNumber"/>
              <w:jc w:val="right"/>
              <w:rPr>
                <w:color w:val="000000"/>
              </w:rPr>
            </w:pPr>
            <w:r w:rsidRPr="00630A55">
              <w:t>($1,393,753)</w:t>
            </w:r>
          </w:p>
        </w:tc>
      </w:tr>
      <w:tr w:rsidR="00D663E3" w:rsidRPr="00630A55" w14:paraId="4DC3A860" w14:textId="77777777" w:rsidTr="003910CC">
        <w:trPr>
          <w:trHeight w:val="258"/>
        </w:trPr>
        <w:tc>
          <w:tcPr>
            <w:tcW w:w="7215" w:type="dxa"/>
            <w:gridSpan w:val="2"/>
            <w:tcBorders>
              <w:left w:val="single" w:sz="4" w:space="0" w:color="auto"/>
              <w:right w:val="single" w:sz="4" w:space="0" w:color="auto"/>
            </w:tcBorders>
            <w:shd w:val="clear" w:color="000000" w:fill="FFFFFF"/>
            <w:noWrap/>
            <w:vAlign w:val="center"/>
            <w:hideMark/>
          </w:tcPr>
          <w:p w14:paraId="01EBC7DC" w14:textId="77777777" w:rsidR="00D663E3" w:rsidRPr="00630A55" w:rsidRDefault="00D663E3" w:rsidP="009527C7">
            <w:pPr>
              <w:pStyle w:val="Tabletext"/>
              <w:rPr>
                <w:color w:val="000000"/>
                <w:lang w:eastAsia="en-AU"/>
              </w:rPr>
            </w:pPr>
            <w:r w:rsidRPr="00630A55">
              <w:rPr>
                <w:lang w:eastAsia="en-AU"/>
              </w:rPr>
              <w:t xml:space="preserve">Line items as per standards </w:t>
            </w:r>
          </w:p>
        </w:tc>
        <w:tc>
          <w:tcPr>
            <w:tcW w:w="1959" w:type="dxa"/>
            <w:tcBorders>
              <w:left w:val="single" w:sz="4" w:space="0" w:color="auto"/>
              <w:right w:val="single" w:sz="4" w:space="0" w:color="auto"/>
            </w:tcBorders>
            <w:shd w:val="clear" w:color="auto" w:fill="auto"/>
            <w:noWrap/>
            <w:vAlign w:val="bottom"/>
          </w:tcPr>
          <w:p w14:paraId="4D5EED55" w14:textId="77777777" w:rsidR="00D663E3" w:rsidRPr="00630A55" w:rsidRDefault="00D663E3" w:rsidP="006B47DF">
            <w:pPr>
              <w:pStyle w:val="TableTextNumber"/>
              <w:jc w:val="right"/>
            </w:pPr>
            <w:r w:rsidRPr="00630A55">
              <w:t>$846,754,224</w:t>
            </w:r>
          </w:p>
        </w:tc>
      </w:tr>
      <w:tr w:rsidR="00D663E3" w:rsidRPr="00630A55" w14:paraId="2C29B2C2" w14:textId="77777777" w:rsidTr="003910CC">
        <w:trPr>
          <w:trHeight w:val="258"/>
        </w:trPr>
        <w:tc>
          <w:tcPr>
            <w:tcW w:w="7215" w:type="dxa"/>
            <w:gridSpan w:val="2"/>
            <w:tcBorders>
              <w:left w:val="single" w:sz="4" w:space="0" w:color="auto"/>
              <w:bottom w:val="single" w:sz="12" w:space="0" w:color="auto"/>
              <w:right w:val="single" w:sz="4" w:space="0" w:color="auto"/>
            </w:tcBorders>
            <w:shd w:val="clear" w:color="000000" w:fill="FFFFFF"/>
            <w:noWrap/>
            <w:vAlign w:val="center"/>
            <w:hideMark/>
          </w:tcPr>
          <w:p w14:paraId="661F5B31" w14:textId="088294C4" w:rsidR="00D663E3" w:rsidRPr="00630A55" w:rsidRDefault="00D663E3" w:rsidP="009527C7">
            <w:pPr>
              <w:pStyle w:val="Tabletext"/>
              <w:rPr>
                <w:color w:val="000000"/>
                <w:lang w:eastAsia="en-AU"/>
              </w:rPr>
            </w:pPr>
            <w:r w:rsidRPr="00630A55">
              <w:rPr>
                <w:lang w:eastAsia="en-AU"/>
              </w:rPr>
              <w:t xml:space="preserve">Costs </w:t>
            </w:r>
            <w:r w:rsidR="006B47DF">
              <w:rPr>
                <w:lang w:eastAsia="en-AU"/>
              </w:rPr>
              <w:t>s</w:t>
            </w:r>
            <w:r w:rsidRPr="00630A55">
              <w:rPr>
                <w:lang w:eastAsia="en-AU"/>
              </w:rPr>
              <w:t xml:space="preserve">ubmitted to </w:t>
            </w:r>
            <w:r w:rsidR="006B47DF">
              <w:rPr>
                <w:lang w:eastAsia="en-AU"/>
              </w:rPr>
              <w:t>j</w:t>
            </w:r>
            <w:r w:rsidRPr="00630A55">
              <w:rPr>
                <w:lang w:eastAsia="en-AU"/>
              </w:rPr>
              <w:t xml:space="preserve">urisdiction </w:t>
            </w:r>
          </w:p>
        </w:tc>
        <w:tc>
          <w:tcPr>
            <w:tcW w:w="1959" w:type="dxa"/>
            <w:tcBorders>
              <w:left w:val="single" w:sz="4" w:space="0" w:color="auto"/>
              <w:bottom w:val="single" w:sz="12" w:space="0" w:color="auto"/>
              <w:right w:val="single" w:sz="4" w:space="0" w:color="auto"/>
            </w:tcBorders>
            <w:shd w:val="clear" w:color="auto" w:fill="auto"/>
            <w:noWrap/>
            <w:vAlign w:val="bottom"/>
          </w:tcPr>
          <w:p w14:paraId="5BFA4B5A" w14:textId="77777777" w:rsidR="00D663E3" w:rsidRPr="00630A55" w:rsidRDefault="00D663E3" w:rsidP="006B47DF">
            <w:pPr>
              <w:pStyle w:val="TableTextNumber"/>
              <w:jc w:val="right"/>
            </w:pPr>
            <w:r w:rsidRPr="00630A55">
              <w:t>$797,538,079</w:t>
            </w:r>
          </w:p>
        </w:tc>
      </w:tr>
      <w:tr w:rsidR="00D663E3" w:rsidRPr="00630A55" w14:paraId="61FD5E5A" w14:textId="77777777" w:rsidTr="003910CC">
        <w:trPr>
          <w:trHeight w:val="258"/>
        </w:trPr>
        <w:tc>
          <w:tcPr>
            <w:tcW w:w="7215" w:type="dxa"/>
            <w:gridSpan w:val="2"/>
            <w:tcBorders>
              <w:top w:val="single" w:sz="12" w:space="0" w:color="auto"/>
              <w:left w:val="single" w:sz="4" w:space="0" w:color="auto"/>
              <w:bottom w:val="single" w:sz="12" w:space="0" w:color="auto"/>
              <w:right w:val="single" w:sz="4" w:space="0" w:color="auto"/>
            </w:tcBorders>
            <w:shd w:val="clear" w:color="000000" w:fill="00338D"/>
            <w:noWrap/>
            <w:vAlign w:val="center"/>
            <w:hideMark/>
          </w:tcPr>
          <w:p w14:paraId="56BB8801" w14:textId="3B8C2FDF" w:rsidR="00D663E3" w:rsidRPr="00630A55" w:rsidRDefault="00D663E3" w:rsidP="009527C7">
            <w:pPr>
              <w:pStyle w:val="Tableheading"/>
              <w:rPr>
                <w:color w:val="FFFFFF"/>
                <w:lang w:eastAsia="en-AU"/>
              </w:rPr>
            </w:pPr>
            <w:r w:rsidRPr="00630A55">
              <w:rPr>
                <w:lang w:eastAsia="en-AU"/>
              </w:rPr>
              <w:t xml:space="preserve">Hospital level </w:t>
            </w:r>
            <w:r w:rsidR="006B47DF">
              <w:rPr>
                <w:lang w:eastAsia="en-AU"/>
              </w:rPr>
              <w:t>d</w:t>
            </w:r>
            <w:r w:rsidRPr="00630A55">
              <w:rPr>
                <w:lang w:eastAsia="en-AU"/>
              </w:rPr>
              <w:t>ata (LMH)</w:t>
            </w:r>
          </w:p>
        </w:tc>
        <w:tc>
          <w:tcPr>
            <w:tcW w:w="1959" w:type="dxa"/>
            <w:tcBorders>
              <w:top w:val="single" w:sz="12" w:space="0" w:color="auto"/>
              <w:left w:val="single" w:sz="4" w:space="0" w:color="auto"/>
              <w:bottom w:val="single" w:sz="12" w:space="0" w:color="auto"/>
              <w:right w:val="single" w:sz="4" w:space="0" w:color="auto"/>
            </w:tcBorders>
            <w:shd w:val="clear" w:color="000000" w:fill="00338D"/>
            <w:noWrap/>
            <w:vAlign w:val="center"/>
            <w:hideMark/>
          </w:tcPr>
          <w:p w14:paraId="735D6BCC" w14:textId="18DB82B1" w:rsidR="00D663E3" w:rsidRPr="00630A55" w:rsidRDefault="00467F5A" w:rsidP="00467F5A">
            <w:pPr>
              <w:pStyle w:val="Tableheading"/>
              <w:rPr>
                <w:color w:val="FFFFFF"/>
                <w:lang w:eastAsia="en-AU"/>
              </w:rPr>
            </w:pPr>
            <w:r>
              <w:rPr>
                <w:lang w:eastAsia="en-AU"/>
              </w:rPr>
              <w:t>Value</w:t>
            </w:r>
            <w:r w:rsidR="00D663E3" w:rsidRPr="00630A55">
              <w:rPr>
                <w:lang w:eastAsia="en-AU"/>
              </w:rPr>
              <w:t> </w:t>
            </w:r>
          </w:p>
        </w:tc>
      </w:tr>
      <w:tr w:rsidR="00D663E3" w:rsidRPr="00630A55" w14:paraId="7FB882A4" w14:textId="77777777" w:rsidTr="003910CC">
        <w:trPr>
          <w:trHeight w:val="258"/>
        </w:trPr>
        <w:tc>
          <w:tcPr>
            <w:tcW w:w="7215" w:type="dxa"/>
            <w:gridSpan w:val="2"/>
            <w:tcBorders>
              <w:left w:val="single" w:sz="4" w:space="0" w:color="auto"/>
              <w:right w:val="single" w:sz="4" w:space="0" w:color="auto"/>
            </w:tcBorders>
            <w:shd w:val="clear" w:color="000000" w:fill="FFFFFF"/>
            <w:noWrap/>
            <w:vAlign w:val="center"/>
            <w:hideMark/>
          </w:tcPr>
          <w:p w14:paraId="50199C9A" w14:textId="2D03E757" w:rsidR="00D663E3" w:rsidRPr="00630A55" w:rsidRDefault="00D663E3" w:rsidP="009527C7">
            <w:pPr>
              <w:pStyle w:val="Tabletext"/>
              <w:rPr>
                <w:color w:val="000000"/>
                <w:lang w:eastAsia="en-AU"/>
              </w:rPr>
            </w:pPr>
            <w:r w:rsidRPr="00630A55">
              <w:rPr>
                <w:lang w:eastAsia="en-AU"/>
              </w:rPr>
              <w:t xml:space="preserve">GL transferred to </w:t>
            </w:r>
            <w:r w:rsidR="006B47DF">
              <w:rPr>
                <w:lang w:eastAsia="en-AU"/>
              </w:rPr>
              <w:t>c</w:t>
            </w:r>
            <w:r w:rsidRPr="00630A55">
              <w:rPr>
                <w:lang w:eastAsia="en-AU"/>
              </w:rPr>
              <w:t xml:space="preserve">osting </w:t>
            </w:r>
            <w:r w:rsidR="006B47DF">
              <w:rPr>
                <w:lang w:eastAsia="en-AU"/>
              </w:rPr>
              <w:t>s</w:t>
            </w:r>
            <w:r w:rsidRPr="00630A55">
              <w:rPr>
                <w:lang w:eastAsia="en-AU"/>
              </w:rPr>
              <w:t xml:space="preserve">ystem </w:t>
            </w:r>
          </w:p>
        </w:tc>
        <w:tc>
          <w:tcPr>
            <w:tcW w:w="1959" w:type="dxa"/>
            <w:tcBorders>
              <w:left w:val="single" w:sz="4" w:space="0" w:color="auto"/>
              <w:right w:val="single" w:sz="4" w:space="0" w:color="auto"/>
            </w:tcBorders>
            <w:shd w:val="clear" w:color="auto" w:fill="auto"/>
            <w:noWrap/>
            <w:vAlign w:val="center"/>
          </w:tcPr>
          <w:p w14:paraId="0199AE18" w14:textId="77777777" w:rsidR="00D663E3" w:rsidRPr="00630A55" w:rsidRDefault="00D663E3" w:rsidP="006B47DF">
            <w:pPr>
              <w:pStyle w:val="TableTextNumber"/>
              <w:jc w:val="right"/>
            </w:pPr>
            <w:r w:rsidRPr="00630A55">
              <w:t>$553,533,265</w:t>
            </w:r>
          </w:p>
        </w:tc>
      </w:tr>
      <w:tr w:rsidR="00D663E3" w:rsidRPr="00630A55" w14:paraId="373963E1" w14:textId="77777777" w:rsidTr="003910CC">
        <w:trPr>
          <w:trHeight w:val="258"/>
        </w:trPr>
        <w:tc>
          <w:tcPr>
            <w:tcW w:w="7215" w:type="dxa"/>
            <w:gridSpan w:val="2"/>
            <w:tcBorders>
              <w:left w:val="single" w:sz="4" w:space="0" w:color="auto"/>
              <w:right w:val="single" w:sz="4" w:space="0" w:color="auto"/>
            </w:tcBorders>
            <w:shd w:val="clear" w:color="000000" w:fill="FFFFFF"/>
            <w:noWrap/>
            <w:vAlign w:val="center"/>
            <w:hideMark/>
          </w:tcPr>
          <w:p w14:paraId="6478C90F" w14:textId="77777777" w:rsidR="00D663E3" w:rsidRPr="00630A55" w:rsidRDefault="00D663E3" w:rsidP="009527C7">
            <w:pPr>
              <w:pStyle w:val="Tabletext"/>
              <w:rPr>
                <w:color w:val="000000"/>
                <w:lang w:eastAsia="en-AU"/>
              </w:rPr>
            </w:pPr>
            <w:r w:rsidRPr="00630A55">
              <w:rPr>
                <w:lang w:eastAsia="en-AU"/>
              </w:rPr>
              <w:t xml:space="preserve">Adjustments </w:t>
            </w:r>
          </w:p>
        </w:tc>
        <w:tc>
          <w:tcPr>
            <w:tcW w:w="1959" w:type="dxa"/>
            <w:tcBorders>
              <w:left w:val="single" w:sz="4" w:space="0" w:color="auto"/>
              <w:right w:val="single" w:sz="4" w:space="0" w:color="auto"/>
            </w:tcBorders>
            <w:shd w:val="clear" w:color="auto" w:fill="auto"/>
            <w:noWrap/>
            <w:vAlign w:val="center"/>
          </w:tcPr>
          <w:p w14:paraId="08C63705" w14:textId="77777777" w:rsidR="00D663E3" w:rsidRPr="00630A55" w:rsidRDefault="00D663E3" w:rsidP="006B47DF">
            <w:pPr>
              <w:pStyle w:val="TableTextNumber"/>
              <w:jc w:val="right"/>
            </w:pPr>
            <w:r w:rsidRPr="00630A55">
              <w:t>$39,087,454</w:t>
            </w:r>
          </w:p>
        </w:tc>
      </w:tr>
      <w:tr w:rsidR="00D663E3" w:rsidRPr="00630A55" w14:paraId="69D86EE1" w14:textId="77777777" w:rsidTr="003910CC">
        <w:trPr>
          <w:trHeight w:val="258"/>
        </w:trPr>
        <w:tc>
          <w:tcPr>
            <w:tcW w:w="7215" w:type="dxa"/>
            <w:gridSpan w:val="2"/>
            <w:tcBorders>
              <w:left w:val="single" w:sz="4" w:space="0" w:color="auto"/>
              <w:right w:val="single" w:sz="4" w:space="0" w:color="auto"/>
            </w:tcBorders>
            <w:shd w:val="clear" w:color="000000" w:fill="FFFFFF"/>
            <w:noWrap/>
            <w:vAlign w:val="center"/>
            <w:hideMark/>
          </w:tcPr>
          <w:p w14:paraId="2FB976E5" w14:textId="61FBE185" w:rsidR="00D663E3" w:rsidRPr="00630A55" w:rsidRDefault="00D663E3" w:rsidP="009527C7">
            <w:pPr>
              <w:pStyle w:val="Tabletext"/>
              <w:rPr>
                <w:color w:val="000000"/>
                <w:lang w:eastAsia="en-AU"/>
              </w:rPr>
            </w:pPr>
            <w:r w:rsidRPr="00630A55">
              <w:rPr>
                <w:lang w:eastAsia="en-AU"/>
              </w:rPr>
              <w:t xml:space="preserve">Post </w:t>
            </w:r>
            <w:r w:rsidR="006B47DF">
              <w:rPr>
                <w:lang w:eastAsia="en-AU"/>
              </w:rPr>
              <w:t>a</w:t>
            </w:r>
            <w:r w:rsidRPr="00630A55">
              <w:rPr>
                <w:lang w:eastAsia="en-AU"/>
              </w:rPr>
              <w:t xml:space="preserve">llocation </w:t>
            </w:r>
            <w:r w:rsidR="006B47DF">
              <w:rPr>
                <w:lang w:eastAsia="en-AU"/>
              </w:rPr>
              <w:t>a</w:t>
            </w:r>
            <w:r w:rsidRPr="00630A55">
              <w:rPr>
                <w:lang w:eastAsia="en-AU"/>
              </w:rPr>
              <w:t>mounts</w:t>
            </w:r>
          </w:p>
        </w:tc>
        <w:tc>
          <w:tcPr>
            <w:tcW w:w="1959" w:type="dxa"/>
            <w:tcBorders>
              <w:left w:val="single" w:sz="4" w:space="0" w:color="auto"/>
              <w:right w:val="single" w:sz="4" w:space="0" w:color="auto"/>
            </w:tcBorders>
            <w:shd w:val="clear" w:color="auto" w:fill="auto"/>
            <w:noWrap/>
          </w:tcPr>
          <w:p w14:paraId="791305F5" w14:textId="77777777" w:rsidR="00D663E3" w:rsidRPr="00630A55" w:rsidRDefault="00D663E3" w:rsidP="006B47DF">
            <w:pPr>
              <w:pStyle w:val="TableTextNumber"/>
              <w:jc w:val="right"/>
            </w:pPr>
            <w:r w:rsidRPr="00630A55">
              <w:t>$592,620,719</w:t>
            </w:r>
          </w:p>
        </w:tc>
      </w:tr>
      <w:tr w:rsidR="00D663E3" w:rsidRPr="00630A55" w14:paraId="6504D1FD" w14:textId="77777777" w:rsidTr="003910CC">
        <w:trPr>
          <w:trHeight w:val="258"/>
        </w:trPr>
        <w:tc>
          <w:tcPr>
            <w:tcW w:w="7215" w:type="dxa"/>
            <w:gridSpan w:val="2"/>
            <w:tcBorders>
              <w:left w:val="single" w:sz="4" w:space="0" w:color="auto"/>
              <w:right w:val="single" w:sz="4" w:space="0" w:color="auto"/>
            </w:tcBorders>
            <w:shd w:val="clear" w:color="000000" w:fill="FFFFFF"/>
            <w:noWrap/>
            <w:vAlign w:val="center"/>
            <w:hideMark/>
          </w:tcPr>
          <w:p w14:paraId="2F2296B7" w14:textId="77777777" w:rsidR="00D663E3" w:rsidRPr="00630A55" w:rsidRDefault="00D663E3" w:rsidP="009527C7">
            <w:pPr>
              <w:pStyle w:val="Tabletext"/>
              <w:rPr>
                <w:color w:val="000000"/>
                <w:lang w:eastAsia="en-AU"/>
              </w:rPr>
            </w:pPr>
            <w:r w:rsidRPr="00630A55">
              <w:rPr>
                <w:lang w:eastAsia="en-AU"/>
              </w:rPr>
              <w:t xml:space="preserve">Line items as per standards </w:t>
            </w:r>
          </w:p>
        </w:tc>
        <w:tc>
          <w:tcPr>
            <w:tcW w:w="1959" w:type="dxa"/>
            <w:tcBorders>
              <w:left w:val="single" w:sz="4" w:space="0" w:color="auto"/>
              <w:right w:val="single" w:sz="4" w:space="0" w:color="auto"/>
            </w:tcBorders>
            <w:shd w:val="clear" w:color="auto" w:fill="auto"/>
            <w:noWrap/>
          </w:tcPr>
          <w:p w14:paraId="5CFCB050" w14:textId="77777777" w:rsidR="00D663E3" w:rsidRPr="00630A55" w:rsidRDefault="00D663E3" w:rsidP="006B47DF">
            <w:pPr>
              <w:pStyle w:val="TableTextNumber"/>
              <w:jc w:val="right"/>
            </w:pPr>
            <w:r w:rsidRPr="00630A55">
              <w:t>$592,620,719</w:t>
            </w:r>
          </w:p>
        </w:tc>
      </w:tr>
      <w:tr w:rsidR="00D663E3" w:rsidRPr="00630A55" w14:paraId="372CF41F" w14:textId="77777777" w:rsidTr="003910CC">
        <w:trPr>
          <w:trHeight w:val="258"/>
        </w:trPr>
        <w:tc>
          <w:tcPr>
            <w:tcW w:w="7215" w:type="dxa"/>
            <w:gridSpan w:val="2"/>
            <w:tcBorders>
              <w:left w:val="single" w:sz="4" w:space="0" w:color="auto"/>
              <w:bottom w:val="single" w:sz="12" w:space="0" w:color="auto"/>
              <w:right w:val="single" w:sz="4" w:space="0" w:color="auto"/>
            </w:tcBorders>
            <w:shd w:val="clear" w:color="000000" w:fill="FFFFFF"/>
            <w:noWrap/>
            <w:vAlign w:val="center"/>
            <w:hideMark/>
          </w:tcPr>
          <w:p w14:paraId="04F8CA74" w14:textId="139668E8" w:rsidR="00D663E3" w:rsidRPr="00630A55" w:rsidRDefault="00D663E3" w:rsidP="009527C7">
            <w:pPr>
              <w:pStyle w:val="Tabletext"/>
              <w:rPr>
                <w:color w:val="000000"/>
                <w:lang w:eastAsia="en-AU"/>
              </w:rPr>
            </w:pPr>
            <w:r w:rsidRPr="00630A55">
              <w:rPr>
                <w:lang w:eastAsia="en-AU"/>
              </w:rPr>
              <w:t xml:space="preserve">Costs </w:t>
            </w:r>
            <w:r w:rsidR="006B47DF">
              <w:rPr>
                <w:lang w:eastAsia="en-AU"/>
              </w:rPr>
              <w:t>s</w:t>
            </w:r>
            <w:r w:rsidRPr="00630A55">
              <w:rPr>
                <w:lang w:eastAsia="en-AU"/>
              </w:rPr>
              <w:t xml:space="preserve">ubmitted to </w:t>
            </w:r>
            <w:r w:rsidR="006B47DF">
              <w:rPr>
                <w:lang w:eastAsia="en-AU"/>
              </w:rPr>
              <w:t>j</w:t>
            </w:r>
            <w:r w:rsidRPr="00630A55">
              <w:rPr>
                <w:lang w:eastAsia="en-AU"/>
              </w:rPr>
              <w:t xml:space="preserve">urisdiction </w:t>
            </w:r>
          </w:p>
        </w:tc>
        <w:tc>
          <w:tcPr>
            <w:tcW w:w="1959" w:type="dxa"/>
            <w:tcBorders>
              <w:left w:val="single" w:sz="4" w:space="0" w:color="auto"/>
              <w:bottom w:val="single" w:sz="12" w:space="0" w:color="auto"/>
              <w:right w:val="single" w:sz="4" w:space="0" w:color="auto"/>
            </w:tcBorders>
            <w:shd w:val="clear" w:color="auto" w:fill="auto"/>
            <w:noWrap/>
          </w:tcPr>
          <w:p w14:paraId="577B7B10" w14:textId="77777777" w:rsidR="00D663E3" w:rsidRPr="00630A55" w:rsidRDefault="00D663E3" w:rsidP="006B47DF">
            <w:pPr>
              <w:pStyle w:val="TableTextNumber"/>
              <w:jc w:val="right"/>
            </w:pPr>
            <w:r w:rsidRPr="00630A55">
              <w:t>$592,620,719</w:t>
            </w:r>
          </w:p>
        </w:tc>
      </w:tr>
      <w:tr w:rsidR="00D663E3" w:rsidRPr="00630A55" w14:paraId="7CE83BA9" w14:textId="77777777" w:rsidTr="003910CC">
        <w:trPr>
          <w:trHeight w:val="258"/>
        </w:trPr>
        <w:tc>
          <w:tcPr>
            <w:tcW w:w="7215" w:type="dxa"/>
            <w:gridSpan w:val="2"/>
            <w:tcBorders>
              <w:top w:val="single" w:sz="12" w:space="0" w:color="auto"/>
              <w:left w:val="single" w:sz="4" w:space="0" w:color="auto"/>
              <w:bottom w:val="single" w:sz="12" w:space="0" w:color="auto"/>
              <w:right w:val="single" w:sz="4" w:space="0" w:color="auto"/>
            </w:tcBorders>
            <w:shd w:val="clear" w:color="000000" w:fill="00338D"/>
            <w:noWrap/>
            <w:vAlign w:val="center"/>
            <w:hideMark/>
          </w:tcPr>
          <w:p w14:paraId="529E24E6" w14:textId="77777777" w:rsidR="00D663E3" w:rsidRPr="00630A55" w:rsidRDefault="00D663E3" w:rsidP="009527C7">
            <w:pPr>
              <w:pStyle w:val="Tableheading"/>
              <w:rPr>
                <w:lang w:eastAsia="en-AU"/>
              </w:rPr>
            </w:pPr>
            <w:r w:rsidRPr="00630A55">
              <w:rPr>
                <w:lang w:eastAsia="en-AU"/>
              </w:rPr>
              <w:t>LMH Activity</w:t>
            </w:r>
          </w:p>
        </w:tc>
        <w:tc>
          <w:tcPr>
            <w:tcW w:w="1959" w:type="dxa"/>
            <w:tcBorders>
              <w:top w:val="single" w:sz="12" w:space="0" w:color="auto"/>
              <w:left w:val="single" w:sz="4" w:space="0" w:color="auto"/>
              <w:bottom w:val="single" w:sz="12" w:space="0" w:color="auto"/>
              <w:right w:val="single" w:sz="4" w:space="0" w:color="auto"/>
            </w:tcBorders>
            <w:shd w:val="clear" w:color="000000" w:fill="00338D"/>
            <w:noWrap/>
            <w:vAlign w:val="center"/>
            <w:hideMark/>
          </w:tcPr>
          <w:p w14:paraId="17FA6B04" w14:textId="77777777" w:rsidR="00D663E3" w:rsidRPr="00630A55" w:rsidRDefault="00D663E3" w:rsidP="00467F5A">
            <w:pPr>
              <w:pStyle w:val="Tableheading"/>
              <w:rPr>
                <w:color w:val="FFFFFF"/>
                <w:lang w:eastAsia="en-AU"/>
              </w:rPr>
            </w:pPr>
            <w:r w:rsidRPr="00630A55">
              <w:rPr>
                <w:lang w:eastAsia="en-AU"/>
              </w:rPr>
              <w:t xml:space="preserve">Value </w:t>
            </w:r>
          </w:p>
        </w:tc>
      </w:tr>
      <w:tr w:rsidR="00D663E3" w:rsidRPr="00630A55" w14:paraId="3ACBD1E8" w14:textId="77777777" w:rsidTr="003910CC">
        <w:trPr>
          <w:trHeight w:val="340"/>
        </w:trPr>
        <w:tc>
          <w:tcPr>
            <w:tcW w:w="7215" w:type="dxa"/>
            <w:gridSpan w:val="2"/>
            <w:tcBorders>
              <w:top w:val="single" w:sz="12" w:space="0" w:color="auto"/>
              <w:left w:val="single" w:sz="4" w:space="0" w:color="auto"/>
              <w:right w:val="single" w:sz="4" w:space="0" w:color="auto"/>
            </w:tcBorders>
            <w:shd w:val="clear" w:color="000000" w:fill="FFFFFF"/>
            <w:vAlign w:val="center"/>
            <w:hideMark/>
          </w:tcPr>
          <w:p w14:paraId="7445BFF9" w14:textId="0B50A2E2" w:rsidR="00D663E3" w:rsidRPr="00630A55" w:rsidRDefault="00D663E3" w:rsidP="009527C7">
            <w:pPr>
              <w:pStyle w:val="Tabletext"/>
              <w:rPr>
                <w:color w:val="000000"/>
                <w:lang w:eastAsia="en-AU"/>
              </w:rPr>
            </w:pPr>
            <w:r w:rsidRPr="00630A55">
              <w:rPr>
                <w:lang w:eastAsia="en-AU"/>
              </w:rPr>
              <w:t xml:space="preserve">Data loaded to the costing </w:t>
            </w:r>
            <w:r w:rsidR="006B47DF">
              <w:rPr>
                <w:lang w:eastAsia="en-AU"/>
              </w:rPr>
              <w:t>s</w:t>
            </w:r>
            <w:r w:rsidRPr="00630A55">
              <w:rPr>
                <w:lang w:eastAsia="en-AU"/>
              </w:rPr>
              <w:t>ystem for costing purposes</w:t>
            </w:r>
          </w:p>
        </w:tc>
        <w:tc>
          <w:tcPr>
            <w:tcW w:w="1959" w:type="dxa"/>
            <w:tcBorders>
              <w:top w:val="single" w:sz="12" w:space="0" w:color="auto"/>
              <w:left w:val="single" w:sz="4" w:space="0" w:color="auto"/>
              <w:right w:val="single" w:sz="4" w:space="0" w:color="auto"/>
            </w:tcBorders>
            <w:shd w:val="clear" w:color="auto" w:fill="auto"/>
            <w:vAlign w:val="center"/>
          </w:tcPr>
          <w:p w14:paraId="32E29DC8" w14:textId="77777777" w:rsidR="00D663E3" w:rsidRPr="00630A55" w:rsidRDefault="00D663E3" w:rsidP="006B47DF">
            <w:pPr>
              <w:pStyle w:val="TableTextNumber"/>
              <w:jc w:val="right"/>
            </w:pPr>
          </w:p>
        </w:tc>
      </w:tr>
      <w:tr w:rsidR="00D663E3" w:rsidRPr="00630A55" w14:paraId="6D06EB26" w14:textId="77777777" w:rsidTr="003910CC">
        <w:trPr>
          <w:trHeight w:val="258"/>
        </w:trPr>
        <w:tc>
          <w:tcPr>
            <w:tcW w:w="281" w:type="dxa"/>
            <w:tcBorders>
              <w:left w:val="single" w:sz="4" w:space="0" w:color="auto"/>
            </w:tcBorders>
            <w:shd w:val="clear" w:color="000000" w:fill="FFFFFF"/>
            <w:noWrap/>
            <w:vAlign w:val="center"/>
            <w:hideMark/>
          </w:tcPr>
          <w:p w14:paraId="3840795D" w14:textId="77777777" w:rsidR="00D663E3" w:rsidRPr="00630A55" w:rsidRDefault="00D663E3" w:rsidP="009527C7">
            <w:pPr>
              <w:pStyle w:val="Tabletext"/>
              <w:rPr>
                <w:color w:val="000000"/>
                <w:lang w:eastAsia="en-AU"/>
              </w:rPr>
            </w:pPr>
            <w:r w:rsidRPr="00630A55">
              <w:rPr>
                <w:lang w:eastAsia="en-AU"/>
              </w:rPr>
              <w:t> </w:t>
            </w:r>
          </w:p>
        </w:tc>
        <w:tc>
          <w:tcPr>
            <w:tcW w:w="6934" w:type="dxa"/>
            <w:tcBorders>
              <w:right w:val="single" w:sz="4" w:space="0" w:color="auto"/>
            </w:tcBorders>
            <w:shd w:val="clear" w:color="000000" w:fill="FFFFFF"/>
            <w:noWrap/>
            <w:vAlign w:val="center"/>
            <w:hideMark/>
          </w:tcPr>
          <w:p w14:paraId="1C7CB496" w14:textId="3C2690C8" w:rsidR="00D663E3" w:rsidRPr="00630A55" w:rsidRDefault="00D663E3" w:rsidP="009527C7">
            <w:pPr>
              <w:pStyle w:val="Tabletext"/>
              <w:rPr>
                <w:color w:val="000000"/>
                <w:lang w:eastAsia="en-AU"/>
              </w:rPr>
            </w:pPr>
            <w:r w:rsidRPr="00630A55">
              <w:rPr>
                <w:lang w:eastAsia="en-AU"/>
              </w:rPr>
              <w:t xml:space="preserve">Activity </w:t>
            </w:r>
            <w:r w:rsidR="006B47DF">
              <w:rPr>
                <w:lang w:eastAsia="en-AU"/>
              </w:rPr>
              <w:t>d</w:t>
            </w:r>
            <w:r w:rsidRPr="00630A55">
              <w:rPr>
                <w:lang w:eastAsia="en-AU"/>
              </w:rPr>
              <w:t xml:space="preserve">ata </w:t>
            </w:r>
          </w:p>
        </w:tc>
        <w:tc>
          <w:tcPr>
            <w:tcW w:w="1959" w:type="dxa"/>
            <w:tcBorders>
              <w:left w:val="single" w:sz="4" w:space="0" w:color="auto"/>
              <w:right w:val="single" w:sz="4" w:space="0" w:color="auto"/>
            </w:tcBorders>
            <w:shd w:val="clear" w:color="auto" w:fill="auto"/>
            <w:noWrap/>
            <w:vAlign w:val="center"/>
          </w:tcPr>
          <w:p w14:paraId="7728A320" w14:textId="77777777" w:rsidR="00D663E3" w:rsidRPr="00630A55" w:rsidRDefault="00D663E3" w:rsidP="006B47DF">
            <w:pPr>
              <w:pStyle w:val="TableTextNumber"/>
              <w:jc w:val="right"/>
            </w:pPr>
            <w:r w:rsidRPr="00630A55">
              <w:t>455,879</w:t>
            </w:r>
          </w:p>
        </w:tc>
      </w:tr>
      <w:tr w:rsidR="00D663E3" w:rsidRPr="00630A55" w14:paraId="5CB9CB44" w14:textId="77777777" w:rsidTr="003910CC">
        <w:trPr>
          <w:trHeight w:val="258"/>
        </w:trPr>
        <w:tc>
          <w:tcPr>
            <w:tcW w:w="281" w:type="dxa"/>
            <w:tcBorders>
              <w:left w:val="single" w:sz="4" w:space="0" w:color="auto"/>
            </w:tcBorders>
            <w:shd w:val="clear" w:color="000000" w:fill="FFFFFF"/>
            <w:noWrap/>
            <w:vAlign w:val="center"/>
            <w:hideMark/>
          </w:tcPr>
          <w:p w14:paraId="3D77F9A1" w14:textId="77777777" w:rsidR="00D663E3" w:rsidRPr="00630A55" w:rsidRDefault="00D663E3" w:rsidP="009527C7">
            <w:pPr>
              <w:pStyle w:val="Tabletext"/>
              <w:rPr>
                <w:color w:val="000000"/>
                <w:lang w:eastAsia="en-AU"/>
              </w:rPr>
            </w:pPr>
            <w:r w:rsidRPr="00630A55">
              <w:rPr>
                <w:lang w:eastAsia="en-AU"/>
              </w:rPr>
              <w:t> </w:t>
            </w:r>
          </w:p>
        </w:tc>
        <w:tc>
          <w:tcPr>
            <w:tcW w:w="6934" w:type="dxa"/>
            <w:tcBorders>
              <w:right w:val="single" w:sz="4" w:space="0" w:color="auto"/>
            </w:tcBorders>
            <w:shd w:val="clear" w:color="000000" w:fill="FFFFFF"/>
            <w:noWrap/>
            <w:vAlign w:val="center"/>
            <w:hideMark/>
          </w:tcPr>
          <w:p w14:paraId="3EB073D3" w14:textId="78FB0216" w:rsidR="00D663E3" w:rsidRPr="00630A55" w:rsidRDefault="00D663E3" w:rsidP="009527C7">
            <w:pPr>
              <w:pStyle w:val="Tabletext"/>
              <w:rPr>
                <w:color w:val="000000"/>
                <w:lang w:eastAsia="en-AU"/>
              </w:rPr>
            </w:pPr>
            <w:r w:rsidRPr="00630A55">
              <w:rPr>
                <w:lang w:eastAsia="en-AU"/>
              </w:rPr>
              <w:t xml:space="preserve">Feeder </w:t>
            </w:r>
            <w:r w:rsidR="006B47DF">
              <w:rPr>
                <w:lang w:eastAsia="en-AU"/>
              </w:rPr>
              <w:t>d</w:t>
            </w:r>
            <w:r w:rsidRPr="00630A55">
              <w:rPr>
                <w:lang w:eastAsia="en-AU"/>
              </w:rPr>
              <w:t>ata</w:t>
            </w:r>
          </w:p>
        </w:tc>
        <w:tc>
          <w:tcPr>
            <w:tcW w:w="1959" w:type="dxa"/>
            <w:tcBorders>
              <w:left w:val="single" w:sz="4" w:space="0" w:color="auto"/>
              <w:right w:val="single" w:sz="4" w:space="0" w:color="auto"/>
            </w:tcBorders>
            <w:shd w:val="clear" w:color="auto" w:fill="auto"/>
            <w:noWrap/>
            <w:vAlign w:val="center"/>
          </w:tcPr>
          <w:p w14:paraId="1258336E" w14:textId="77777777" w:rsidR="00D663E3" w:rsidRPr="00630A55" w:rsidRDefault="00D663E3" w:rsidP="006B47DF">
            <w:pPr>
              <w:pStyle w:val="TableTextNumber"/>
              <w:jc w:val="right"/>
            </w:pPr>
            <w:r w:rsidRPr="00630A55">
              <w:t>1,653,486</w:t>
            </w:r>
          </w:p>
        </w:tc>
      </w:tr>
      <w:tr w:rsidR="00D663E3" w:rsidRPr="00630A55" w14:paraId="6F846427" w14:textId="77777777" w:rsidTr="003910CC">
        <w:trPr>
          <w:trHeight w:val="257"/>
        </w:trPr>
        <w:tc>
          <w:tcPr>
            <w:tcW w:w="7215" w:type="dxa"/>
            <w:gridSpan w:val="2"/>
            <w:tcBorders>
              <w:left w:val="single" w:sz="4" w:space="0" w:color="auto"/>
              <w:right w:val="single" w:sz="4" w:space="0" w:color="auto"/>
            </w:tcBorders>
            <w:shd w:val="clear" w:color="000000" w:fill="FFFFFF"/>
            <w:vAlign w:val="center"/>
            <w:hideMark/>
          </w:tcPr>
          <w:p w14:paraId="5EB7D468" w14:textId="41D72C05" w:rsidR="00D663E3" w:rsidRPr="00630A55" w:rsidRDefault="00D663E3" w:rsidP="009527C7">
            <w:pPr>
              <w:pStyle w:val="Tabletext"/>
              <w:rPr>
                <w:color w:val="000000"/>
                <w:lang w:eastAsia="en-AU"/>
              </w:rPr>
            </w:pPr>
            <w:r w:rsidRPr="00630A55">
              <w:rPr>
                <w:lang w:eastAsia="en-AU"/>
              </w:rPr>
              <w:t xml:space="preserve">NHCDC </w:t>
            </w:r>
            <w:r w:rsidR="006B47DF">
              <w:rPr>
                <w:lang w:eastAsia="en-AU"/>
              </w:rPr>
              <w:t>p</w:t>
            </w:r>
            <w:r w:rsidRPr="00630A55">
              <w:rPr>
                <w:lang w:eastAsia="en-AU"/>
              </w:rPr>
              <w:t xml:space="preserve">roduct </w:t>
            </w:r>
            <w:r w:rsidR="006B47DF">
              <w:rPr>
                <w:lang w:eastAsia="en-AU"/>
              </w:rPr>
              <w:t>o</w:t>
            </w:r>
            <w:r w:rsidRPr="00630A55">
              <w:rPr>
                <w:lang w:eastAsia="en-AU"/>
              </w:rPr>
              <w:t xml:space="preserve">utput </w:t>
            </w:r>
            <w:r w:rsidR="006B47DF">
              <w:rPr>
                <w:lang w:eastAsia="en-AU"/>
              </w:rPr>
              <w:t>a</w:t>
            </w:r>
            <w:r w:rsidRPr="00630A55">
              <w:rPr>
                <w:lang w:eastAsia="en-AU"/>
              </w:rPr>
              <w:t xml:space="preserve">ctivity - </w:t>
            </w:r>
            <w:r w:rsidR="006B47DF">
              <w:rPr>
                <w:lang w:eastAsia="en-AU"/>
              </w:rPr>
              <w:t>p</w:t>
            </w:r>
            <w:r w:rsidRPr="00630A55">
              <w:rPr>
                <w:lang w:eastAsia="en-AU"/>
              </w:rPr>
              <w:t xml:space="preserve">ost </w:t>
            </w:r>
            <w:r w:rsidR="006B47DF">
              <w:rPr>
                <w:lang w:eastAsia="en-AU"/>
              </w:rPr>
              <w:t>l</w:t>
            </w:r>
            <w:r w:rsidRPr="00630A55">
              <w:rPr>
                <w:lang w:eastAsia="en-AU"/>
              </w:rPr>
              <w:t xml:space="preserve">inking and </w:t>
            </w:r>
            <w:r w:rsidR="006B47DF">
              <w:rPr>
                <w:lang w:eastAsia="en-AU"/>
              </w:rPr>
              <w:t>l</w:t>
            </w:r>
            <w:r w:rsidRPr="00630A55">
              <w:rPr>
                <w:lang w:eastAsia="en-AU"/>
              </w:rPr>
              <w:t>oading</w:t>
            </w:r>
          </w:p>
        </w:tc>
        <w:tc>
          <w:tcPr>
            <w:tcW w:w="1959" w:type="dxa"/>
            <w:tcBorders>
              <w:left w:val="single" w:sz="4" w:space="0" w:color="auto"/>
              <w:right w:val="single" w:sz="4" w:space="0" w:color="auto"/>
            </w:tcBorders>
            <w:shd w:val="clear" w:color="auto" w:fill="auto"/>
            <w:noWrap/>
            <w:vAlign w:val="center"/>
          </w:tcPr>
          <w:p w14:paraId="4D5C786A" w14:textId="77777777" w:rsidR="00D663E3" w:rsidRPr="00630A55" w:rsidRDefault="00D663E3" w:rsidP="006B47DF">
            <w:pPr>
              <w:pStyle w:val="TableTextNumber"/>
              <w:jc w:val="right"/>
            </w:pPr>
            <w:r w:rsidRPr="00630A55">
              <w:t>455,879</w:t>
            </w:r>
          </w:p>
        </w:tc>
      </w:tr>
      <w:tr w:rsidR="00D663E3" w:rsidRPr="00630A55" w14:paraId="4EEC63FE" w14:textId="77777777" w:rsidTr="003910CC">
        <w:trPr>
          <w:trHeight w:val="258"/>
        </w:trPr>
        <w:tc>
          <w:tcPr>
            <w:tcW w:w="7215" w:type="dxa"/>
            <w:gridSpan w:val="2"/>
            <w:tcBorders>
              <w:left w:val="single" w:sz="4" w:space="0" w:color="auto"/>
              <w:right w:val="single" w:sz="4" w:space="0" w:color="auto"/>
            </w:tcBorders>
            <w:shd w:val="clear" w:color="000000" w:fill="FFFFFF"/>
            <w:vAlign w:val="center"/>
            <w:hideMark/>
          </w:tcPr>
          <w:p w14:paraId="450330B7" w14:textId="3197C2D4" w:rsidR="00D663E3" w:rsidRPr="00630A55" w:rsidRDefault="00D663E3" w:rsidP="009527C7">
            <w:pPr>
              <w:pStyle w:val="Tabletext"/>
              <w:rPr>
                <w:color w:val="000000"/>
                <w:lang w:eastAsia="en-AU"/>
              </w:rPr>
            </w:pPr>
            <w:r w:rsidRPr="00630A55">
              <w:rPr>
                <w:lang w:eastAsia="en-AU"/>
              </w:rPr>
              <w:t xml:space="preserve">Final </w:t>
            </w:r>
            <w:r w:rsidR="006B47DF">
              <w:rPr>
                <w:lang w:eastAsia="en-AU"/>
              </w:rPr>
              <w:t>s</w:t>
            </w:r>
            <w:r w:rsidRPr="00630A55">
              <w:rPr>
                <w:lang w:eastAsia="en-AU"/>
              </w:rPr>
              <w:t xml:space="preserve">ubmission to </w:t>
            </w:r>
            <w:r w:rsidR="006B47DF">
              <w:rPr>
                <w:lang w:eastAsia="en-AU"/>
              </w:rPr>
              <w:t>j</w:t>
            </w:r>
            <w:r w:rsidRPr="00630A55">
              <w:rPr>
                <w:lang w:eastAsia="en-AU"/>
              </w:rPr>
              <w:t xml:space="preserve">urisdiction - </w:t>
            </w:r>
            <w:r w:rsidR="006B47DF">
              <w:rPr>
                <w:lang w:eastAsia="en-AU"/>
              </w:rPr>
              <w:t>a</w:t>
            </w:r>
            <w:r w:rsidRPr="00630A55">
              <w:rPr>
                <w:lang w:eastAsia="en-AU"/>
              </w:rPr>
              <w:t xml:space="preserve">ctivity by </w:t>
            </w:r>
            <w:r w:rsidR="006B47DF">
              <w:rPr>
                <w:lang w:eastAsia="en-AU"/>
              </w:rPr>
              <w:t>p</w:t>
            </w:r>
            <w:r w:rsidRPr="00630A55">
              <w:rPr>
                <w:lang w:eastAsia="en-AU"/>
              </w:rPr>
              <w:t>roduct</w:t>
            </w:r>
          </w:p>
        </w:tc>
        <w:tc>
          <w:tcPr>
            <w:tcW w:w="1959" w:type="dxa"/>
            <w:tcBorders>
              <w:left w:val="single" w:sz="4" w:space="0" w:color="auto"/>
              <w:right w:val="single" w:sz="4" w:space="0" w:color="auto"/>
            </w:tcBorders>
            <w:shd w:val="clear" w:color="auto" w:fill="auto"/>
            <w:noWrap/>
            <w:vAlign w:val="center"/>
          </w:tcPr>
          <w:p w14:paraId="2670C2C2" w14:textId="77777777" w:rsidR="00D663E3" w:rsidRPr="00630A55" w:rsidRDefault="00D663E3" w:rsidP="006B47DF">
            <w:pPr>
              <w:pStyle w:val="TableTextNumber"/>
              <w:jc w:val="right"/>
            </w:pPr>
            <w:r w:rsidRPr="00630A55">
              <w:t>455,879</w:t>
            </w:r>
          </w:p>
        </w:tc>
      </w:tr>
      <w:tr w:rsidR="00D663E3" w:rsidRPr="00630A55" w14:paraId="4B3FCCE5" w14:textId="77777777" w:rsidTr="003910CC">
        <w:trPr>
          <w:trHeight w:val="258"/>
        </w:trPr>
        <w:tc>
          <w:tcPr>
            <w:tcW w:w="7215" w:type="dxa"/>
            <w:gridSpan w:val="2"/>
            <w:tcBorders>
              <w:left w:val="single" w:sz="4" w:space="0" w:color="auto"/>
              <w:bottom w:val="single" w:sz="12" w:space="0" w:color="auto"/>
              <w:right w:val="single" w:sz="4" w:space="0" w:color="auto"/>
            </w:tcBorders>
            <w:shd w:val="clear" w:color="000000" w:fill="FFFFFF"/>
            <w:vAlign w:val="center"/>
            <w:hideMark/>
          </w:tcPr>
          <w:p w14:paraId="5DC4E71B" w14:textId="1C3A7ADF" w:rsidR="00D663E3" w:rsidRPr="00630A55" w:rsidRDefault="00D663E3" w:rsidP="009527C7">
            <w:pPr>
              <w:pStyle w:val="Tabletext"/>
              <w:rPr>
                <w:color w:val="000000"/>
                <w:lang w:eastAsia="en-AU"/>
              </w:rPr>
            </w:pPr>
            <w:r w:rsidRPr="00630A55">
              <w:rPr>
                <w:lang w:eastAsia="en-AU"/>
              </w:rPr>
              <w:t xml:space="preserve">Final </w:t>
            </w:r>
            <w:r w:rsidR="006B47DF">
              <w:rPr>
                <w:lang w:eastAsia="en-AU"/>
              </w:rPr>
              <w:t>s</w:t>
            </w:r>
            <w:r w:rsidRPr="00630A55">
              <w:rPr>
                <w:lang w:eastAsia="en-AU"/>
              </w:rPr>
              <w:t xml:space="preserve">ubmission to </w:t>
            </w:r>
            <w:r w:rsidR="006B47DF">
              <w:rPr>
                <w:lang w:eastAsia="en-AU"/>
              </w:rPr>
              <w:t>j</w:t>
            </w:r>
            <w:r w:rsidRPr="00630A55">
              <w:rPr>
                <w:lang w:eastAsia="en-AU"/>
              </w:rPr>
              <w:t xml:space="preserve">urisdiction - </w:t>
            </w:r>
            <w:r w:rsidR="006B47DF">
              <w:rPr>
                <w:lang w:eastAsia="en-AU"/>
              </w:rPr>
              <w:t>a</w:t>
            </w:r>
            <w:r w:rsidRPr="00630A55">
              <w:rPr>
                <w:lang w:eastAsia="en-AU"/>
              </w:rPr>
              <w:t xml:space="preserve">ctivity and </w:t>
            </w:r>
            <w:r w:rsidR="006B47DF">
              <w:rPr>
                <w:lang w:eastAsia="en-AU"/>
              </w:rPr>
              <w:t>c</w:t>
            </w:r>
            <w:r w:rsidRPr="00630A55">
              <w:rPr>
                <w:lang w:eastAsia="en-AU"/>
              </w:rPr>
              <w:t xml:space="preserve">ost by </w:t>
            </w:r>
            <w:r w:rsidR="006B47DF">
              <w:rPr>
                <w:lang w:eastAsia="en-AU"/>
              </w:rPr>
              <w:t>p</w:t>
            </w:r>
            <w:r w:rsidRPr="00630A55">
              <w:rPr>
                <w:lang w:eastAsia="en-AU"/>
              </w:rPr>
              <w:t>roduct</w:t>
            </w:r>
          </w:p>
        </w:tc>
        <w:tc>
          <w:tcPr>
            <w:tcW w:w="1959" w:type="dxa"/>
            <w:tcBorders>
              <w:left w:val="single" w:sz="4" w:space="0" w:color="auto"/>
              <w:bottom w:val="single" w:sz="12" w:space="0" w:color="auto"/>
              <w:right w:val="single" w:sz="4" w:space="0" w:color="auto"/>
            </w:tcBorders>
            <w:shd w:val="clear" w:color="auto" w:fill="auto"/>
            <w:noWrap/>
            <w:vAlign w:val="center"/>
          </w:tcPr>
          <w:p w14:paraId="65E2DCDC" w14:textId="77777777" w:rsidR="00D663E3" w:rsidRPr="00630A55" w:rsidRDefault="00D663E3" w:rsidP="006B47DF">
            <w:pPr>
              <w:pStyle w:val="TableTextNumber"/>
              <w:jc w:val="right"/>
            </w:pPr>
            <w:r w:rsidRPr="00630A55">
              <w:t>455,879</w:t>
            </w:r>
          </w:p>
        </w:tc>
      </w:tr>
      <w:tr w:rsidR="00D663E3" w:rsidRPr="00630A55" w14:paraId="409C915E" w14:textId="77777777" w:rsidTr="003910CC">
        <w:trPr>
          <w:trHeight w:val="258"/>
        </w:trPr>
        <w:tc>
          <w:tcPr>
            <w:tcW w:w="7215" w:type="dxa"/>
            <w:gridSpan w:val="2"/>
            <w:tcBorders>
              <w:top w:val="single" w:sz="12" w:space="0" w:color="auto"/>
              <w:left w:val="single" w:sz="4" w:space="0" w:color="auto"/>
              <w:bottom w:val="single" w:sz="12" w:space="0" w:color="auto"/>
              <w:right w:val="single" w:sz="4" w:space="0" w:color="auto"/>
            </w:tcBorders>
            <w:shd w:val="clear" w:color="000000" w:fill="00338D"/>
            <w:noWrap/>
            <w:vAlign w:val="center"/>
            <w:hideMark/>
          </w:tcPr>
          <w:p w14:paraId="69A45963" w14:textId="0927369F" w:rsidR="00D663E3" w:rsidRPr="00630A55" w:rsidRDefault="00D663E3" w:rsidP="009527C7">
            <w:pPr>
              <w:pStyle w:val="Tableheading"/>
              <w:rPr>
                <w:color w:val="FFFFFF"/>
                <w:lang w:eastAsia="en-AU"/>
              </w:rPr>
            </w:pPr>
            <w:r w:rsidRPr="00630A55">
              <w:rPr>
                <w:lang w:eastAsia="en-AU"/>
              </w:rPr>
              <w:t xml:space="preserve">LMH submitted to </w:t>
            </w:r>
            <w:r w:rsidR="00F63BE1">
              <w:rPr>
                <w:lang w:eastAsia="en-AU"/>
              </w:rPr>
              <w:t>j</w:t>
            </w:r>
            <w:r w:rsidRPr="00630A55">
              <w:rPr>
                <w:lang w:eastAsia="en-AU"/>
              </w:rPr>
              <w:t xml:space="preserve">urisdiction </w:t>
            </w:r>
          </w:p>
        </w:tc>
        <w:tc>
          <w:tcPr>
            <w:tcW w:w="1959" w:type="dxa"/>
            <w:tcBorders>
              <w:top w:val="single" w:sz="12" w:space="0" w:color="auto"/>
              <w:left w:val="single" w:sz="4" w:space="0" w:color="auto"/>
              <w:bottom w:val="single" w:sz="12" w:space="0" w:color="auto"/>
              <w:right w:val="single" w:sz="4" w:space="0" w:color="auto"/>
            </w:tcBorders>
            <w:shd w:val="clear" w:color="000000" w:fill="00338D"/>
            <w:noWrap/>
            <w:vAlign w:val="center"/>
            <w:hideMark/>
          </w:tcPr>
          <w:p w14:paraId="61060FE4" w14:textId="77777777" w:rsidR="00D663E3" w:rsidRPr="00630A55" w:rsidRDefault="00D663E3" w:rsidP="00467F5A">
            <w:pPr>
              <w:pStyle w:val="Tableheading"/>
              <w:rPr>
                <w:color w:val="FFFFFF"/>
                <w:lang w:eastAsia="en-AU"/>
              </w:rPr>
            </w:pPr>
            <w:r w:rsidRPr="00630A55">
              <w:rPr>
                <w:lang w:eastAsia="en-AU"/>
              </w:rPr>
              <w:t xml:space="preserve">Value </w:t>
            </w:r>
          </w:p>
        </w:tc>
      </w:tr>
      <w:tr w:rsidR="00D663E3" w:rsidRPr="00630A55" w14:paraId="67E99F7D" w14:textId="77777777" w:rsidTr="003910CC">
        <w:trPr>
          <w:trHeight w:val="258"/>
        </w:trPr>
        <w:tc>
          <w:tcPr>
            <w:tcW w:w="7215" w:type="dxa"/>
            <w:gridSpan w:val="2"/>
            <w:tcBorders>
              <w:top w:val="single" w:sz="12" w:space="0" w:color="auto"/>
              <w:left w:val="single" w:sz="4" w:space="0" w:color="auto"/>
              <w:right w:val="single" w:sz="4" w:space="0" w:color="auto"/>
            </w:tcBorders>
            <w:shd w:val="clear" w:color="auto" w:fill="auto"/>
            <w:vAlign w:val="center"/>
            <w:hideMark/>
          </w:tcPr>
          <w:p w14:paraId="5181A06F" w14:textId="5034A505" w:rsidR="00D663E3" w:rsidRPr="00630A55" w:rsidRDefault="00D663E3" w:rsidP="009527C7">
            <w:pPr>
              <w:pStyle w:val="Tabletext"/>
              <w:rPr>
                <w:color w:val="000000"/>
                <w:lang w:eastAsia="en-AU"/>
              </w:rPr>
            </w:pPr>
            <w:r w:rsidRPr="00630A55">
              <w:rPr>
                <w:lang w:eastAsia="en-AU"/>
              </w:rPr>
              <w:t xml:space="preserve">Summary submission to </w:t>
            </w:r>
            <w:r w:rsidR="00F63BE1">
              <w:rPr>
                <w:lang w:eastAsia="en-AU"/>
              </w:rPr>
              <w:t>j</w:t>
            </w:r>
            <w:r w:rsidRPr="00630A55">
              <w:rPr>
                <w:lang w:eastAsia="en-AU"/>
              </w:rPr>
              <w:t xml:space="preserve">urisdiction </w:t>
            </w:r>
          </w:p>
        </w:tc>
        <w:tc>
          <w:tcPr>
            <w:tcW w:w="1959" w:type="dxa"/>
            <w:tcBorders>
              <w:top w:val="single" w:sz="12" w:space="0" w:color="auto"/>
              <w:left w:val="single" w:sz="4" w:space="0" w:color="auto"/>
              <w:right w:val="single" w:sz="4" w:space="0" w:color="auto"/>
            </w:tcBorders>
            <w:shd w:val="clear" w:color="auto" w:fill="auto"/>
            <w:vAlign w:val="center"/>
          </w:tcPr>
          <w:p w14:paraId="74F4A1A1" w14:textId="77777777" w:rsidR="00D663E3" w:rsidRPr="00630A55" w:rsidRDefault="00D663E3" w:rsidP="006B47DF">
            <w:pPr>
              <w:pStyle w:val="TableTextNumber"/>
              <w:jc w:val="right"/>
            </w:pPr>
          </w:p>
        </w:tc>
      </w:tr>
      <w:tr w:rsidR="00D663E3" w:rsidRPr="00630A55" w14:paraId="3D80C443" w14:textId="77777777" w:rsidTr="003910CC">
        <w:trPr>
          <w:trHeight w:val="258"/>
        </w:trPr>
        <w:tc>
          <w:tcPr>
            <w:tcW w:w="281" w:type="dxa"/>
            <w:tcBorders>
              <w:left w:val="single" w:sz="4" w:space="0" w:color="auto"/>
            </w:tcBorders>
            <w:shd w:val="clear" w:color="000000" w:fill="FFFFFF"/>
            <w:noWrap/>
            <w:vAlign w:val="center"/>
            <w:hideMark/>
          </w:tcPr>
          <w:p w14:paraId="08985DF3" w14:textId="77777777" w:rsidR="00D663E3" w:rsidRPr="00630A55" w:rsidRDefault="00D663E3" w:rsidP="009527C7">
            <w:pPr>
              <w:pStyle w:val="Tabletext"/>
              <w:rPr>
                <w:color w:val="000000"/>
                <w:lang w:eastAsia="en-AU"/>
              </w:rPr>
            </w:pPr>
            <w:r w:rsidRPr="00630A55">
              <w:rPr>
                <w:lang w:eastAsia="en-AU"/>
              </w:rPr>
              <w:t> </w:t>
            </w:r>
          </w:p>
        </w:tc>
        <w:tc>
          <w:tcPr>
            <w:tcW w:w="6934" w:type="dxa"/>
            <w:tcBorders>
              <w:right w:val="single" w:sz="4" w:space="0" w:color="auto"/>
            </w:tcBorders>
            <w:shd w:val="clear" w:color="auto" w:fill="auto"/>
            <w:vAlign w:val="center"/>
            <w:hideMark/>
          </w:tcPr>
          <w:p w14:paraId="5858D718" w14:textId="68BC00A1" w:rsidR="00D663E3" w:rsidRPr="00630A55" w:rsidRDefault="00D663E3" w:rsidP="009527C7">
            <w:pPr>
              <w:pStyle w:val="Tabletext"/>
              <w:rPr>
                <w:color w:val="000000"/>
                <w:lang w:eastAsia="en-AU"/>
              </w:rPr>
            </w:pPr>
            <w:r w:rsidRPr="00630A55">
              <w:rPr>
                <w:lang w:eastAsia="en-AU"/>
              </w:rPr>
              <w:t xml:space="preserve">Activity submitted to </w:t>
            </w:r>
            <w:r w:rsidR="00F63BE1">
              <w:rPr>
                <w:lang w:eastAsia="en-AU"/>
              </w:rPr>
              <w:t>j</w:t>
            </w:r>
            <w:r w:rsidRPr="00630A55">
              <w:rPr>
                <w:lang w:eastAsia="en-AU"/>
              </w:rPr>
              <w:t>urisdiction</w:t>
            </w:r>
          </w:p>
        </w:tc>
        <w:tc>
          <w:tcPr>
            <w:tcW w:w="1959" w:type="dxa"/>
            <w:tcBorders>
              <w:left w:val="single" w:sz="4" w:space="0" w:color="auto"/>
              <w:right w:val="single" w:sz="4" w:space="0" w:color="auto"/>
            </w:tcBorders>
            <w:shd w:val="clear" w:color="auto" w:fill="auto"/>
            <w:noWrap/>
            <w:vAlign w:val="center"/>
          </w:tcPr>
          <w:p w14:paraId="634086D0" w14:textId="77777777" w:rsidR="00D663E3" w:rsidRPr="00630A55" w:rsidRDefault="00D663E3" w:rsidP="006B47DF">
            <w:pPr>
              <w:pStyle w:val="TableTextNumber"/>
              <w:jc w:val="right"/>
            </w:pPr>
            <w:r w:rsidRPr="00630A55">
              <w:t>455,879</w:t>
            </w:r>
          </w:p>
        </w:tc>
      </w:tr>
      <w:tr w:rsidR="00D663E3" w:rsidRPr="00630A55" w14:paraId="3A5280E3" w14:textId="77777777" w:rsidTr="003910CC">
        <w:trPr>
          <w:trHeight w:val="258"/>
        </w:trPr>
        <w:tc>
          <w:tcPr>
            <w:tcW w:w="281" w:type="dxa"/>
            <w:tcBorders>
              <w:left w:val="single" w:sz="4" w:space="0" w:color="auto"/>
            </w:tcBorders>
            <w:shd w:val="clear" w:color="000000" w:fill="FFFFFF"/>
            <w:noWrap/>
            <w:vAlign w:val="center"/>
            <w:hideMark/>
          </w:tcPr>
          <w:p w14:paraId="0FF60AFF" w14:textId="77777777" w:rsidR="00D663E3" w:rsidRPr="00630A55" w:rsidRDefault="00D663E3" w:rsidP="009527C7">
            <w:pPr>
              <w:pStyle w:val="Tabletext"/>
              <w:rPr>
                <w:color w:val="000000"/>
                <w:lang w:eastAsia="en-AU"/>
              </w:rPr>
            </w:pPr>
            <w:r w:rsidRPr="00630A55">
              <w:rPr>
                <w:lang w:eastAsia="en-AU"/>
              </w:rPr>
              <w:t> </w:t>
            </w:r>
          </w:p>
        </w:tc>
        <w:tc>
          <w:tcPr>
            <w:tcW w:w="6934" w:type="dxa"/>
            <w:tcBorders>
              <w:right w:val="single" w:sz="4" w:space="0" w:color="auto"/>
            </w:tcBorders>
            <w:shd w:val="clear" w:color="auto" w:fill="auto"/>
            <w:vAlign w:val="center"/>
            <w:hideMark/>
          </w:tcPr>
          <w:p w14:paraId="6D108524" w14:textId="753F8368" w:rsidR="00D663E3" w:rsidRPr="00630A55" w:rsidRDefault="00D663E3" w:rsidP="009527C7">
            <w:pPr>
              <w:pStyle w:val="Tabletext"/>
              <w:rPr>
                <w:color w:val="000000"/>
                <w:lang w:eastAsia="en-AU"/>
              </w:rPr>
            </w:pPr>
            <w:r w:rsidRPr="00630A55">
              <w:rPr>
                <w:lang w:eastAsia="en-AU"/>
              </w:rPr>
              <w:t xml:space="preserve">Costs submitted to </w:t>
            </w:r>
            <w:r w:rsidR="00F63BE1">
              <w:rPr>
                <w:lang w:eastAsia="en-AU"/>
              </w:rPr>
              <w:t>j</w:t>
            </w:r>
            <w:r w:rsidRPr="00630A55">
              <w:rPr>
                <w:lang w:eastAsia="en-AU"/>
              </w:rPr>
              <w:t>urisdiction</w:t>
            </w:r>
          </w:p>
        </w:tc>
        <w:tc>
          <w:tcPr>
            <w:tcW w:w="1959" w:type="dxa"/>
            <w:tcBorders>
              <w:left w:val="single" w:sz="4" w:space="0" w:color="auto"/>
              <w:right w:val="single" w:sz="4" w:space="0" w:color="auto"/>
            </w:tcBorders>
            <w:shd w:val="clear" w:color="auto" w:fill="auto"/>
            <w:noWrap/>
            <w:vAlign w:val="center"/>
          </w:tcPr>
          <w:p w14:paraId="2DD0B23C" w14:textId="77777777" w:rsidR="00D663E3" w:rsidRPr="00630A55" w:rsidRDefault="00D663E3" w:rsidP="006B47DF">
            <w:pPr>
              <w:pStyle w:val="TableTextNumber"/>
              <w:jc w:val="right"/>
            </w:pPr>
            <w:r w:rsidRPr="00630A55">
              <w:t>$592,620,719</w:t>
            </w:r>
          </w:p>
        </w:tc>
      </w:tr>
      <w:tr w:rsidR="00D663E3" w:rsidRPr="00630A55" w14:paraId="4B6EF9C1" w14:textId="77777777" w:rsidTr="003910CC">
        <w:trPr>
          <w:trHeight w:val="258"/>
        </w:trPr>
        <w:tc>
          <w:tcPr>
            <w:tcW w:w="7215" w:type="dxa"/>
            <w:gridSpan w:val="2"/>
            <w:tcBorders>
              <w:top w:val="single" w:sz="12" w:space="0" w:color="auto"/>
              <w:left w:val="single" w:sz="4" w:space="0" w:color="auto"/>
              <w:bottom w:val="single" w:sz="12" w:space="0" w:color="auto"/>
              <w:right w:val="single" w:sz="4" w:space="0" w:color="auto"/>
            </w:tcBorders>
            <w:shd w:val="clear" w:color="000000" w:fill="00338D"/>
            <w:noWrap/>
            <w:vAlign w:val="center"/>
            <w:hideMark/>
          </w:tcPr>
          <w:p w14:paraId="0A275D2F" w14:textId="77777777" w:rsidR="00D663E3" w:rsidRPr="00630A55" w:rsidRDefault="00D663E3" w:rsidP="009527C7">
            <w:pPr>
              <w:pStyle w:val="Tableheading"/>
              <w:rPr>
                <w:color w:val="FFFFFF"/>
                <w:lang w:eastAsia="en-AU"/>
              </w:rPr>
            </w:pPr>
            <w:r w:rsidRPr="00630A55">
              <w:rPr>
                <w:lang w:eastAsia="en-AU"/>
              </w:rPr>
              <w:t>LMH costs and activity submitted to IHACPA</w:t>
            </w:r>
          </w:p>
        </w:tc>
        <w:tc>
          <w:tcPr>
            <w:tcW w:w="1959" w:type="dxa"/>
            <w:tcBorders>
              <w:top w:val="single" w:sz="12" w:space="0" w:color="auto"/>
              <w:left w:val="single" w:sz="4" w:space="0" w:color="auto"/>
              <w:bottom w:val="single" w:sz="12" w:space="0" w:color="auto"/>
              <w:right w:val="single" w:sz="4" w:space="0" w:color="auto"/>
            </w:tcBorders>
            <w:shd w:val="clear" w:color="000000" w:fill="00338D"/>
            <w:noWrap/>
            <w:vAlign w:val="center"/>
            <w:hideMark/>
          </w:tcPr>
          <w:p w14:paraId="232E89F3" w14:textId="77777777" w:rsidR="00D663E3" w:rsidRPr="00630A55" w:rsidRDefault="00D663E3" w:rsidP="00467F5A">
            <w:pPr>
              <w:pStyle w:val="Tableheading"/>
              <w:rPr>
                <w:color w:val="FFFFFF"/>
                <w:lang w:eastAsia="en-AU"/>
              </w:rPr>
            </w:pPr>
            <w:r w:rsidRPr="00630A55">
              <w:rPr>
                <w:lang w:eastAsia="en-AU"/>
              </w:rPr>
              <w:t xml:space="preserve">Value </w:t>
            </w:r>
          </w:p>
        </w:tc>
      </w:tr>
      <w:tr w:rsidR="00D663E3" w:rsidRPr="00630A55" w14:paraId="56159F9E" w14:textId="77777777" w:rsidTr="003910CC">
        <w:trPr>
          <w:trHeight w:val="258"/>
        </w:trPr>
        <w:tc>
          <w:tcPr>
            <w:tcW w:w="7215" w:type="dxa"/>
            <w:gridSpan w:val="2"/>
            <w:tcBorders>
              <w:top w:val="single" w:sz="12" w:space="0" w:color="auto"/>
              <w:left w:val="single" w:sz="4" w:space="0" w:color="auto"/>
              <w:right w:val="single" w:sz="4" w:space="0" w:color="auto"/>
            </w:tcBorders>
            <w:shd w:val="clear" w:color="000000" w:fill="FFFFFF"/>
            <w:vAlign w:val="center"/>
            <w:hideMark/>
          </w:tcPr>
          <w:p w14:paraId="7B705014" w14:textId="6E040504" w:rsidR="00D663E3" w:rsidRPr="00630A55" w:rsidRDefault="00D663E3" w:rsidP="009527C7">
            <w:pPr>
              <w:pStyle w:val="Tabletext"/>
              <w:rPr>
                <w:color w:val="000000"/>
                <w:lang w:eastAsia="en-AU"/>
              </w:rPr>
            </w:pPr>
            <w:r w:rsidRPr="00630A55">
              <w:rPr>
                <w:lang w:eastAsia="en-AU"/>
              </w:rPr>
              <w:t xml:space="preserve">Final </w:t>
            </w:r>
            <w:r w:rsidR="00F63BE1">
              <w:rPr>
                <w:lang w:eastAsia="en-AU"/>
              </w:rPr>
              <w:t>s</w:t>
            </w:r>
            <w:r w:rsidRPr="00630A55">
              <w:rPr>
                <w:lang w:eastAsia="en-AU"/>
              </w:rPr>
              <w:t xml:space="preserve">ubmission to </w:t>
            </w:r>
            <w:r w:rsidR="00F63BE1">
              <w:rPr>
                <w:lang w:eastAsia="en-AU"/>
              </w:rPr>
              <w:t>j</w:t>
            </w:r>
            <w:r w:rsidRPr="00630A55">
              <w:rPr>
                <w:lang w:eastAsia="en-AU"/>
              </w:rPr>
              <w:t xml:space="preserve">urisdiction for IHACPA - </w:t>
            </w:r>
            <w:r w:rsidR="00F63BE1">
              <w:rPr>
                <w:lang w:eastAsia="en-AU"/>
              </w:rPr>
              <w:t>c</w:t>
            </w:r>
            <w:r w:rsidRPr="00630A55">
              <w:rPr>
                <w:lang w:eastAsia="en-AU"/>
              </w:rPr>
              <w:t xml:space="preserve">ost and </w:t>
            </w:r>
            <w:r w:rsidR="00F63BE1">
              <w:rPr>
                <w:lang w:eastAsia="en-AU"/>
              </w:rPr>
              <w:t>a</w:t>
            </w:r>
            <w:r w:rsidRPr="00630A55">
              <w:rPr>
                <w:lang w:eastAsia="en-AU"/>
              </w:rPr>
              <w:t xml:space="preserve">ctivity by </w:t>
            </w:r>
            <w:r w:rsidR="00F63BE1">
              <w:rPr>
                <w:lang w:eastAsia="en-AU"/>
              </w:rPr>
              <w:t>p</w:t>
            </w:r>
            <w:r w:rsidRPr="00630A55">
              <w:rPr>
                <w:lang w:eastAsia="en-AU"/>
              </w:rPr>
              <w:t xml:space="preserve">roduct </w:t>
            </w:r>
          </w:p>
        </w:tc>
        <w:tc>
          <w:tcPr>
            <w:tcW w:w="1959" w:type="dxa"/>
            <w:tcBorders>
              <w:top w:val="single" w:sz="12" w:space="0" w:color="auto"/>
              <w:left w:val="single" w:sz="4" w:space="0" w:color="auto"/>
              <w:right w:val="single" w:sz="4" w:space="0" w:color="auto"/>
            </w:tcBorders>
            <w:shd w:val="clear" w:color="auto" w:fill="auto"/>
            <w:vAlign w:val="center"/>
          </w:tcPr>
          <w:p w14:paraId="1EBD0FD8" w14:textId="77777777" w:rsidR="00D663E3" w:rsidRPr="00630A55" w:rsidRDefault="00D663E3" w:rsidP="006B47DF">
            <w:pPr>
              <w:pStyle w:val="TableTextNumber"/>
              <w:jc w:val="right"/>
            </w:pPr>
          </w:p>
        </w:tc>
      </w:tr>
      <w:tr w:rsidR="00D663E3" w:rsidRPr="00630A55" w14:paraId="0F4EB5A2" w14:textId="77777777" w:rsidTr="003910CC">
        <w:trPr>
          <w:trHeight w:val="258"/>
        </w:trPr>
        <w:tc>
          <w:tcPr>
            <w:tcW w:w="281" w:type="dxa"/>
            <w:tcBorders>
              <w:left w:val="single" w:sz="4" w:space="0" w:color="auto"/>
            </w:tcBorders>
            <w:shd w:val="clear" w:color="000000" w:fill="FFFFFF"/>
            <w:noWrap/>
            <w:vAlign w:val="center"/>
            <w:hideMark/>
          </w:tcPr>
          <w:p w14:paraId="16995B8C" w14:textId="77777777" w:rsidR="00D663E3" w:rsidRPr="00630A55" w:rsidRDefault="00D663E3" w:rsidP="009527C7">
            <w:pPr>
              <w:pStyle w:val="Tabletext"/>
              <w:rPr>
                <w:color w:val="000000"/>
                <w:lang w:eastAsia="en-AU"/>
              </w:rPr>
            </w:pPr>
            <w:r w:rsidRPr="00630A55">
              <w:rPr>
                <w:lang w:eastAsia="en-AU"/>
              </w:rPr>
              <w:t> </w:t>
            </w:r>
          </w:p>
        </w:tc>
        <w:tc>
          <w:tcPr>
            <w:tcW w:w="6934" w:type="dxa"/>
            <w:tcBorders>
              <w:right w:val="single" w:sz="4" w:space="0" w:color="auto"/>
            </w:tcBorders>
            <w:shd w:val="clear" w:color="000000" w:fill="FFFFFF"/>
            <w:vAlign w:val="center"/>
            <w:hideMark/>
          </w:tcPr>
          <w:p w14:paraId="1459D9F6" w14:textId="77777777" w:rsidR="00D663E3" w:rsidRPr="00630A55" w:rsidRDefault="00D663E3" w:rsidP="009527C7">
            <w:pPr>
              <w:pStyle w:val="Tabletext"/>
              <w:rPr>
                <w:color w:val="000000"/>
                <w:lang w:eastAsia="en-AU"/>
              </w:rPr>
            </w:pPr>
            <w:r w:rsidRPr="00630A55">
              <w:rPr>
                <w:lang w:eastAsia="en-AU"/>
              </w:rPr>
              <w:t>Activity</w:t>
            </w:r>
          </w:p>
        </w:tc>
        <w:tc>
          <w:tcPr>
            <w:tcW w:w="1959" w:type="dxa"/>
            <w:tcBorders>
              <w:left w:val="single" w:sz="4" w:space="0" w:color="auto"/>
              <w:right w:val="single" w:sz="4" w:space="0" w:color="auto"/>
            </w:tcBorders>
            <w:shd w:val="clear" w:color="auto" w:fill="auto"/>
            <w:noWrap/>
            <w:vAlign w:val="center"/>
          </w:tcPr>
          <w:p w14:paraId="560B6C83" w14:textId="77777777" w:rsidR="00D663E3" w:rsidRPr="00630A55" w:rsidRDefault="00D663E3" w:rsidP="006B47DF">
            <w:pPr>
              <w:pStyle w:val="TableTextNumber"/>
              <w:jc w:val="right"/>
            </w:pPr>
            <w:r w:rsidRPr="00630A55">
              <w:t>455,879</w:t>
            </w:r>
          </w:p>
        </w:tc>
      </w:tr>
      <w:tr w:rsidR="00D663E3" w:rsidRPr="00630A55" w14:paraId="211120A6" w14:textId="77777777" w:rsidTr="003910CC">
        <w:trPr>
          <w:trHeight w:val="258"/>
        </w:trPr>
        <w:tc>
          <w:tcPr>
            <w:tcW w:w="281" w:type="dxa"/>
            <w:tcBorders>
              <w:left w:val="single" w:sz="4" w:space="0" w:color="auto"/>
            </w:tcBorders>
            <w:shd w:val="clear" w:color="000000" w:fill="FFFFFF"/>
            <w:noWrap/>
            <w:vAlign w:val="center"/>
            <w:hideMark/>
          </w:tcPr>
          <w:p w14:paraId="599ACBBC" w14:textId="77777777" w:rsidR="00D663E3" w:rsidRPr="00630A55" w:rsidRDefault="00D663E3" w:rsidP="009527C7">
            <w:pPr>
              <w:pStyle w:val="Tabletext"/>
              <w:rPr>
                <w:color w:val="000000"/>
                <w:lang w:eastAsia="en-AU"/>
              </w:rPr>
            </w:pPr>
            <w:r w:rsidRPr="00630A55">
              <w:rPr>
                <w:lang w:eastAsia="en-AU"/>
              </w:rPr>
              <w:t> </w:t>
            </w:r>
          </w:p>
        </w:tc>
        <w:tc>
          <w:tcPr>
            <w:tcW w:w="6934" w:type="dxa"/>
            <w:tcBorders>
              <w:right w:val="single" w:sz="4" w:space="0" w:color="auto"/>
            </w:tcBorders>
            <w:shd w:val="clear" w:color="000000" w:fill="FFFFFF"/>
            <w:vAlign w:val="center"/>
            <w:hideMark/>
          </w:tcPr>
          <w:p w14:paraId="2286DADE" w14:textId="77777777" w:rsidR="00D663E3" w:rsidRPr="00630A55" w:rsidRDefault="00D663E3" w:rsidP="009527C7">
            <w:pPr>
              <w:pStyle w:val="Tabletext"/>
              <w:rPr>
                <w:color w:val="000000"/>
                <w:lang w:eastAsia="en-AU"/>
              </w:rPr>
            </w:pPr>
            <w:r w:rsidRPr="00630A55">
              <w:rPr>
                <w:lang w:eastAsia="en-AU"/>
              </w:rPr>
              <w:t>Costs</w:t>
            </w:r>
          </w:p>
        </w:tc>
        <w:tc>
          <w:tcPr>
            <w:tcW w:w="1959" w:type="dxa"/>
            <w:tcBorders>
              <w:left w:val="single" w:sz="4" w:space="0" w:color="auto"/>
              <w:right w:val="single" w:sz="4" w:space="0" w:color="auto"/>
            </w:tcBorders>
            <w:shd w:val="clear" w:color="auto" w:fill="auto"/>
            <w:noWrap/>
            <w:vAlign w:val="center"/>
          </w:tcPr>
          <w:p w14:paraId="2A873BE2" w14:textId="77777777" w:rsidR="00D663E3" w:rsidRPr="00630A55" w:rsidRDefault="00D663E3" w:rsidP="006B47DF">
            <w:pPr>
              <w:pStyle w:val="TableTextNumber"/>
              <w:jc w:val="right"/>
            </w:pPr>
            <w:r w:rsidRPr="00630A55">
              <w:t>$592,620,719</w:t>
            </w:r>
          </w:p>
        </w:tc>
      </w:tr>
      <w:tr w:rsidR="00D663E3" w:rsidRPr="00630A55" w14:paraId="3187F547" w14:textId="77777777" w:rsidTr="003910CC">
        <w:trPr>
          <w:trHeight w:val="258"/>
        </w:trPr>
        <w:tc>
          <w:tcPr>
            <w:tcW w:w="7215" w:type="dxa"/>
            <w:gridSpan w:val="2"/>
            <w:tcBorders>
              <w:left w:val="single" w:sz="4" w:space="0" w:color="auto"/>
              <w:right w:val="single" w:sz="4" w:space="0" w:color="auto"/>
            </w:tcBorders>
            <w:shd w:val="clear" w:color="000000" w:fill="FFFFFF"/>
            <w:vAlign w:val="center"/>
            <w:hideMark/>
          </w:tcPr>
          <w:p w14:paraId="291E4816" w14:textId="7841ED95" w:rsidR="00D663E3" w:rsidRPr="00630A55" w:rsidRDefault="00D663E3" w:rsidP="009527C7">
            <w:pPr>
              <w:pStyle w:val="Tabletext"/>
              <w:rPr>
                <w:color w:val="000000"/>
                <w:lang w:eastAsia="en-AU"/>
              </w:rPr>
            </w:pPr>
            <w:r w:rsidRPr="00630A55">
              <w:rPr>
                <w:lang w:eastAsia="en-AU"/>
              </w:rPr>
              <w:t xml:space="preserve">Adjustments to </w:t>
            </w:r>
            <w:r w:rsidR="00F63BE1">
              <w:rPr>
                <w:lang w:eastAsia="en-AU"/>
              </w:rPr>
              <w:t>j</w:t>
            </w:r>
            <w:r w:rsidRPr="00630A55">
              <w:rPr>
                <w:lang w:eastAsia="en-AU"/>
              </w:rPr>
              <w:t xml:space="preserve">urisdictional </w:t>
            </w:r>
            <w:r w:rsidR="00F63BE1">
              <w:rPr>
                <w:lang w:eastAsia="en-AU"/>
              </w:rPr>
              <w:t>s</w:t>
            </w:r>
            <w:r w:rsidRPr="00630A55">
              <w:rPr>
                <w:lang w:eastAsia="en-AU"/>
              </w:rPr>
              <w:t xml:space="preserve">ubmission prior to finalisation of </w:t>
            </w:r>
            <w:r w:rsidR="00F63BE1">
              <w:rPr>
                <w:lang w:eastAsia="en-AU"/>
              </w:rPr>
              <w:t>j</w:t>
            </w:r>
            <w:r w:rsidRPr="00630A55">
              <w:rPr>
                <w:lang w:eastAsia="en-AU"/>
              </w:rPr>
              <w:t>urisdictional data</w:t>
            </w:r>
          </w:p>
        </w:tc>
        <w:tc>
          <w:tcPr>
            <w:tcW w:w="1959" w:type="dxa"/>
            <w:tcBorders>
              <w:left w:val="single" w:sz="4" w:space="0" w:color="auto"/>
              <w:right w:val="single" w:sz="4" w:space="0" w:color="auto"/>
            </w:tcBorders>
            <w:shd w:val="clear" w:color="auto" w:fill="auto"/>
            <w:vAlign w:val="center"/>
          </w:tcPr>
          <w:p w14:paraId="09C04E49" w14:textId="77777777" w:rsidR="00D663E3" w:rsidRPr="00630A55" w:rsidRDefault="00D663E3" w:rsidP="006B47DF">
            <w:pPr>
              <w:pStyle w:val="TableTextNumber"/>
              <w:jc w:val="right"/>
            </w:pPr>
          </w:p>
        </w:tc>
      </w:tr>
      <w:tr w:rsidR="00D663E3" w:rsidRPr="00630A55" w14:paraId="4BB800B6" w14:textId="77777777" w:rsidTr="003910CC">
        <w:trPr>
          <w:trHeight w:val="258"/>
        </w:trPr>
        <w:tc>
          <w:tcPr>
            <w:tcW w:w="281" w:type="dxa"/>
            <w:tcBorders>
              <w:left w:val="single" w:sz="4" w:space="0" w:color="auto"/>
            </w:tcBorders>
            <w:shd w:val="clear" w:color="000000" w:fill="FFFFFF"/>
            <w:noWrap/>
            <w:vAlign w:val="center"/>
            <w:hideMark/>
          </w:tcPr>
          <w:p w14:paraId="47D96575" w14:textId="77777777" w:rsidR="00D663E3" w:rsidRPr="00630A55" w:rsidRDefault="00D663E3" w:rsidP="009527C7">
            <w:pPr>
              <w:pStyle w:val="Tabletext"/>
              <w:rPr>
                <w:color w:val="000000"/>
                <w:lang w:eastAsia="en-AU"/>
              </w:rPr>
            </w:pPr>
            <w:r w:rsidRPr="00630A55">
              <w:rPr>
                <w:lang w:eastAsia="en-AU"/>
              </w:rPr>
              <w:t> </w:t>
            </w:r>
          </w:p>
        </w:tc>
        <w:tc>
          <w:tcPr>
            <w:tcW w:w="6934" w:type="dxa"/>
            <w:tcBorders>
              <w:right w:val="single" w:sz="4" w:space="0" w:color="auto"/>
            </w:tcBorders>
            <w:shd w:val="clear" w:color="000000" w:fill="FFFFFF"/>
            <w:noWrap/>
            <w:vAlign w:val="center"/>
            <w:hideMark/>
          </w:tcPr>
          <w:p w14:paraId="7A1609F9" w14:textId="77777777" w:rsidR="00D663E3" w:rsidRPr="00630A55" w:rsidRDefault="00D663E3" w:rsidP="009527C7">
            <w:pPr>
              <w:pStyle w:val="Tabletext"/>
              <w:rPr>
                <w:color w:val="000000"/>
                <w:lang w:eastAsia="en-AU"/>
              </w:rPr>
            </w:pPr>
            <w:r w:rsidRPr="00630A55">
              <w:rPr>
                <w:lang w:eastAsia="en-AU"/>
              </w:rPr>
              <w:t xml:space="preserve">Activity totals </w:t>
            </w:r>
          </w:p>
        </w:tc>
        <w:tc>
          <w:tcPr>
            <w:tcW w:w="1959" w:type="dxa"/>
            <w:tcBorders>
              <w:left w:val="single" w:sz="4" w:space="0" w:color="auto"/>
              <w:right w:val="single" w:sz="4" w:space="0" w:color="auto"/>
            </w:tcBorders>
            <w:shd w:val="clear" w:color="auto" w:fill="auto"/>
            <w:noWrap/>
            <w:vAlign w:val="center"/>
          </w:tcPr>
          <w:p w14:paraId="3A8998CF" w14:textId="77777777" w:rsidR="00D663E3" w:rsidRPr="00630A55" w:rsidRDefault="00D663E3" w:rsidP="006B47DF">
            <w:pPr>
              <w:pStyle w:val="TableTextNumber"/>
              <w:jc w:val="right"/>
            </w:pPr>
            <w:r w:rsidRPr="00630A55">
              <w:t>-</w:t>
            </w:r>
          </w:p>
        </w:tc>
      </w:tr>
      <w:tr w:rsidR="00D663E3" w:rsidRPr="00630A55" w14:paraId="21EC4FC6" w14:textId="77777777" w:rsidTr="003910CC">
        <w:trPr>
          <w:trHeight w:val="258"/>
        </w:trPr>
        <w:tc>
          <w:tcPr>
            <w:tcW w:w="281" w:type="dxa"/>
            <w:tcBorders>
              <w:left w:val="single" w:sz="4" w:space="0" w:color="auto"/>
            </w:tcBorders>
            <w:shd w:val="clear" w:color="000000" w:fill="FFFFFF"/>
            <w:noWrap/>
            <w:vAlign w:val="center"/>
            <w:hideMark/>
          </w:tcPr>
          <w:p w14:paraId="6D0012D7" w14:textId="77777777" w:rsidR="00D663E3" w:rsidRPr="00630A55" w:rsidRDefault="00D663E3" w:rsidP="009527C7">
            <w:pPr>
              <w:pStyle w:val="Tabletext"/>
              <w:rPr>
                <w:color w:val="000000"/>
                <w:lang w:eastAsia="en-AU"/>
              </w:rPr>
            </w:pPr>
            <w:r w:rsidRPr="00630A55">
              <w:rPr>
                <w:lang w:eastAsia="en-AU"/>
              </w:rPr>
              <w:t> </w:t>
            </w:r>
          </w:p>
        </w:tc>
        <w:tc>
          <w:tcPr>
            <w:tcW w:w="6934" w:type="dxa"/>
            <w:tcBorders>
              <w:right w:val="single" w:sz="4" w:space="0" w:color="auto"/>
            </w:tcBorders>
            <w:shd w:val="clear" w:color="000000" w:fill="FFFFFF"/>
            <w:noWrap/>
            <w:vAlign w:val="center"/>
            <w:hideMark/>
          </w:tcPr>
          <w:p w14:paraId="36DFC24F" w14:textId="77777777" w:rsidR="00D663E3" w:rsidRPr="00630A55" w:rsidRDefault="00D663E3" w:rsidP="009527C7">
            <w:pPr>
              <w:pStyle w:val="Tabletext"/>
              <w:rPr>
                <w:color w:val="000000"/>
                <w:lang w:eastAsia="en-AU"/>
              </w:rPr>
            </w:pPr>
            <w:r w:rsidRPr="00630A55">
              <w:rPr>
                <w:lang w:eastAsia="en-AU"/>
              </w:rPr>
              <w:t>Cost totals</w:t>
            </w:r>
          </w:p>
        </w:tc>
        <w:tc>
          <w:tcPr>
            <w:tcW w:w="1959" w:type="dxa"/>
            <w:tcBorders>
              <w:left w:val="single" w:sz="4" w:space="0" w:color="auto"/>
              <w:right w:val="single" w:sz="4" w:space="0" w:color="auto"/>
            </w:tcBorders>
            <w:shd w:val="clear" w:color="auto" w:fill="auto"/>
            <w:noWrap/>
            <w:vAlign w:val="center"/>
          </w:tcPr>
          <w:p w14:paraId="412E2272" w14:textId="77777777" w:rsidR="00D663E3" w:rsidRPr="00630A55" w:rsidRDefault="00D663E3" w:rsidP="006B47DF">
            <w:pPr>
              <w:pStyle w:val="TableTextNumber"/>
              <w:jc w:val="right"/>
            </w:pPr>
            <w:r w:rsidRPr="00630A55">
              <w:t>-</w:t>
            </w:r>
          </w:p>
        </w:tc>
      </w:tr>
      <w:tr w:rsidR="00D663E3" w:rsidRPr="00630A55" w14:paraId="2487B384" w14:textId="77777777" w:rsidTr="003910CC">
        <w:trPr>
          <w:trHeight w:val="258"/>
        </w:trPr>
        <w:tc>
          <w:tcPr>
            <w:tcW w:w="7215" w:type="dxa"/>
            <w:gridSpan w:val="2"/>
            <w:tcBorders>
              <w:left w:val="single" w:sz="4" w:space="0" w:color="auto"/>
              <w:right w:val="single" w:sz="4" w:space="0" w:color="auto"/>
            </w:tcBorders>
            <w:shd w:val="clear" w:color="000000" w:fill="FFFFFF"/>
            <w:vAlign w:val="center"/>
            <w:hideMark/>
          </w:tcPr>
          <w:p w14:paraId="01BD290A" w14:textId="70BC85C4" w:rsidR="00D663E3" w:rsidRPr="00630A55" w:rsidRDefault="00D663E3" w:rsidP="009527C7">
            <w:pPr>
              <w:pStyle w:val="Tabletext"/>
              <w:rPr>
                <w:color w:val="000000"/>
                <w:lang w:eastAsia="en-AU"/>
              </w:rPr>
            </w:pPr>
            <w:r w:rsidRPr="00630A55">
              <w:rPr>
                <w:lang w:eastAsia="en-AU"/>
              </w:rPr>
              <w:t xml:space="preserve">Final </w:t>
            </w:r>
            <w:r w:rsidR="00F63BE1">
              <w:rPr>
                <w:lang w:eastAsia="en-AU"/>
              </w:rPr>
              <w:t>j</w:t>
            </w:r>
            <w:r w:rsidRPr="00630A55">
              <w:rPr>
                <w:lang w:eastAsia="en-AU"/>
              </w:rPr>
              <w:t xml:space="preserve">urisdictional </w:t>
            </w:r>
            <w:r w:rsidR="00F63BE1">
              <w:rPr>
                <w:lang w:eastAsia="en-AU"/>
              </w:rPr>
              <w:t>d</w:t>
            </w:r>
            <w:r w:rsidRPr="00630A55">
              <w:rPr>
                <w:lang w:eastAsia="en-AU"/>
              </w:rPr>
              <w:t xml:space="preserve">ata for </w:t>
            </w:r>
            <w:r w:rsidR="00F63BE1">
              <w:rPr>
                <w:lang w:eastAsia="en-AU"/>
              </w:rPr>
              <w:t>c</w:t>
            </w:r>
            <w:r w:rsidRPr="00630A55">
              <w:rPr>
                <w:lang w:eastAsia="en-AU"/>
              </w:rPr>
              <w:t xml:space="preserve">ost </w:t>
            </w:r>
            <w:r w:rsidR="00F63BE1">
              <w:rPr>
                <w:lang w:eastAsia="en-AU"/>
              </w:rPr>
              <w:t>w</w:t>
            </w:r>
            <w:r w:rsidRPr="00630A55">
              <w:rPr>
                <w:lang w:eastAsia="en-AU"/>
              </w:rPr>
              <w:t xml:space="preserve">eight </w:t>
            </w:r>
            <w:r w:rsidR="00F63BE1">
              <w:rPr>
                <w:lang w:eastAsia="en-AU"/>
              </w:rPr>
              <w:t>p</w:t>
            </w:r>
            <w:r w:rsidRPr="00630A55">
              <w:rPr>
                <w:lang w:eastAsia="en-AU"/>
              </w:rPr>
              <w:t>roduction</w:t>
            </w:r>
          </w:p>
        </w:tc>
        <w:tc>
          <w:tcPr>
            <w:tcW w:w="1959" w:type="dxa"/>
            <w:tcBorders>
              <w:left w:val="single" w:sz="4" w:space="0" w:color="auto"/>
              <w:right w:val="single" w:sz="4" w:space="0" w:color="auto"/>
            </w:tcBorders>
            <w:shd w:val="clear" w:color="auto" w:fill="auto"/>
            <w:vAlign w:val="center"/>
          </w:tcPr>
          <w:p w14:paraId="50DC0A65" w14:textId="77777777" w:rsidR="00D663E3" w:rsidRPr="00630A55" w:rsidRDefault="00D663E3" w:rsidP="006B47DF">
            <w:pPr>
              <w:pStyle w:val="TableTextNumber"/>
              <w:jc w:val="right"/>
            </w:pPr>
          </w:p>
        </w:tc>
      </w:tr>
      <w:tr w:rsidR="00D663E3" w:rsidRPr="00630A55" w14:paraId="0D45314D" w14:textId="77777777" w:rsidTr="003910CC">
        <w:trPr>
          <w:trHeight w:val="258"/>
        </w:trPr>
        <w:tc>
          <w:tcPr>
            <w:tcW w:w="281" w:type="dxa"/>
            <w:tcBorders>
              <w:left w:val="single" w:sz="4" w:space="0" w:color="auto"/>
            </w:tcBorders>
            <w:shd w:val="clear" w:color="000000" w:fill="FFFFFF"/>
            <w:noWrap/>
            <w:vAlign w:val="center"/>
            <w:hideMark/>
          </w:tcPr>
          <w:p w14:paraId="04FE8BE0" w14:textId="77777777" w:rsidR="00D663E3" w:rsidRPr="00630A55" w:rsidRDefault="00D663E3" w:rsidP="009527C7">
            <w:pPr>
              <w:pStyle w:val="Tabletext"/>
              <w:rPr>
                <w:color w:val="000000"/>
                <w:lang w:eastAsia="en-AU"/>
              </w:rPr>
            </w:pPr>
            <w:r w:rsidRPr="00630A55">
              <w:rPr>
                <w:lang w:eastAsia="en-AU"/>
              </w:rPr>
              <w:t> </w:t>
            </w:r>
          </w:p>
        </w:tc>
        <w:tc>
          <w:tcPr>
            <w:tcW w:w="6934" w:type="dxa"/>
            <w:tcBorders>
              <w:right w:val="single" w:sz="4" w:space="0" w:color="auto"/>
            </w:tcBorders>
            <w:shd w:val="clear" w:color="000000" w:fill="FFFFFF"/>
            <w:vAlign w:val="center"/>
            <w:hideMark/>
          </w:tcPr>
          <w:p w14:paraId="3448B757" w14:textId="2CB446DD" w:rsidR="00D663E3" w:rsidRPr="00630A55" w:rsidRDefault="00D663E3" w:rsidP="009527C7">
            <w:pPr>
              <w:pStyle w:val="Tabletext"/>
              <w:rPr>
                <w:color w:val="000000"/>
                <w:lang w:eastAsia="en-AU"/>
              </w:rPr>
            </w:pPr>
            <w:r w:rsidRPr="00630A55">
              <w:rPr>
                <w:lang w:eastAsia="en-AU"/>
              </w:rPr>
              <w:t xml:space="preserve">Finalised </w:t>
            </w:r>
            <w:r w:rsidR="00F63BE1">
              <w:rPr>
                <w:lang w:eastAsia="en-AU"/>
              </w:rPr>
              <w:t>a</w:t>
            </w:r>
            <w:r w:rsidRPr="00630A55">
              <w:rPr>
                <w:lang w:eastAsia="en-AU"/>
              </w:rPr>
              <w:t>ctivity</w:t>
            </w:r>
          </w:p>
        </w:tc>
        <w:tc>
          <w:tcPr>
            <w:tcW w:w="1959" w:type="dxa"/>
            <w:tcBorders>
              <w:left w:val="single" w:sz="4" w:space="0" w:color="auto"/>
              <w:right w:val="single" w:sz="4" w:space="0" w:color="auto"/>
            </w:tcBorders>
            <w:shd w:val="clear" w:color="auto" w:fill="auto"/>
            <w:noWrap/>
            <w:vAlign w:val="center"/>
          </w:tcPr>
          <w:p w14:paraId="64AE4976" w14:textId="77777777" w:rsidR="00D663E3" w:rsidRPr="00630A55" w:rsidRDefault="00D663E3" w:rsidP="006B47DF">
            <w:pPr>
              <w:pStyle w:val="TableTextNumber"/>
              <w:jc w:val="right"/>
            </w:pPr>
            <w:r w:rsidRPr="00630A55">
              <w:t>455,879</w:t>
            </w:r>
          </w:p>
        </w:tc>
      </w:tr>
      <w:tr w:rsidR="00D663E3" w:rsidRPr="00630A55" w14:paraId="13C7EEBE" w14:textId="77777777" w:rsidTr="003910CC">
        <w:trPr>
          <w:trHeight w:val="258"/>
        </w:trPr>
        <w:tc>
          <w:tcPr>
            <w:tcW w:w="281" w:type="dxa"/>
            <w:tcBorders>
              <w:left w:val="single" w:sz="4" w:space="0" w:color="auto"/>
              <w:bottom w:val="single" w:sz="4" w:space="0" w:color="auto"/>
            </w:tcBorders>
            <w:shd w:val="clear" w:color="000000" w:fill="FFFFFF"/>
            <w:noWrap/>
            <w:vAlign w:val="center"/>
            <w:hideMark/>
          </w:tcPr>
          <w:p w14:paraId="32810CFF" w14:textId="77777777" w:rsidR="00D663E3" w:rsidRPr="00630A55" w:rsidRDefault="00D663E3" w:rsidP="009527C7">
            <w:pPr>
              <w:pStyle w:val="Tabletext"/>
              <w:rPr>
                <w:color w:val="000000"/>
                <w:lang w:eastAsia="en-AU"/>
              </w:rPr>
            </w:pPr>
            <w:r w:rsidRPr="00630A55">
              <w:rPr>
                <w:lang w:eastAsia="en-AU"/>
              </w:rPr>
              <w:t> </w:t>
            </w:r>
          </w:p>
        </w:tc>
        <w:tc>
          <w:tcPr>
            <w:tcW w:w="6934" w:type="dxa"/>
            <w:tcBorders>
              <w:bottom w:val="single" w:sz="4" w:space="0" w:color="auto"/>
              <w:right w:val="single" w:sz="4" w:space="0" w:color="auto"/>
            </w:tcBorders>
            <w:shd w:val="clear" w:color="000000" w:fill="FFFFFF"/>
            <w:vAlign w:val="center"/>
            <w:hideMark/>
          </w:tcPr>
          <w:p w14:paraId="1BDC6B0E" w14:textId="35D9AD4F" w:rsidR="00D663E3" w:rsidRPr="00630A55" w:rsidRDefault="00D663E3" w:rsidP="009527C7">
            <w:pPr>
              <w:pStyle w:val="Tabletext"/>
              <w:rPr>
                <w:color w:val="000000"/>
                <w:lang w:eastAsia="en-AU"/>
              </w:rPr>
            </w:pPr>
            <w:r w:rsidRPr="00630A55">
              <w:rPr>
                <w:lang w:eastAsia="en-AU"/>
              </w:rPr>
              <w:t xml:space="preserve">Finalised </w:t>
            </w:r>
            <w:r w:rsidR="00F63BE1">
              <w:rPr>
                <w:lang w:eastAsia="en-AU"/>
              </w:rPr>
              <w:t>c</w:t>
            </w:r>
            <w:r w:rsidRPr="00630A55">
              <w:rPr>
                <w:lang w:eastAsia="en-AU"/>
              </w:rPr>
              <w:t>ost</w:t>
            </w:r>
          </w:p>
        </w:tc>
        <w:tc>
          <w:tcPr>
            <w:tcW w:w="1959" w:type="dxa"/>
            <w:tcBorders>
              <w:left w:val="single" w:sz="4" w:space="0" w:color="auto"/>
              <w:bottom w:val="single" w:sz="4" w:space="0" w:color="auto"/>
              <w:right w:val="single" w:sz="4" w:space="0" w:color="auto"/>
            </w:tcBorders>
            <w:shd w:val="clear" w:color="auto" w:fill="auto"/>
            <w:noWrap/>
            <w:vAlign w:val="center"/>
          </w:tcPr>
          <w:p w14:paraId="7203B872" w14:textId="77777777" w:rsidR="00D663E3" w:rsidRPr="00630A55" w:rsidRDefault="00D663E3" w:rsidP="006B47DF">
            <w:pPr>
              <w:pStyle w:val="TableTextNumber"/>
              <w:jc w:val="right"/>
            </w:pPr>
            <w:r w:rsidRPr="00630A55">
              <w:t>$592,620,719</w:t>
            </w:r>
          </w:p>
        </w:tc>
      </w:tr>
    </w:tbl>
    <w:p w14:paraId="086D2331" w14:textId="77777777" w:rsidR="004A3D7B" w:rsidRPr="00630A55" w:rsidRDefault="004A3D7B" w:rsidP="004A3D7B">
      <w:pPr>
        <w:pStyle w:val="Source"/>
      </w:pPr>
      <w:r w:rsidRPr="00630A55">
        <w:t xml:space="preserve">Source: Jurisdictional consultations and </w:t>
      </w:r>
      <w:r>
        <w:t>templates</w:t>
      </w:r>
    </w:p>
    <w:p w14:paraId="1FFDA50F" w14:textId="77777777" w:rsidR="00006BE1" w:rsidRPr="00006BE1" w:rsidRDefault="00006BE1" w:rsidP="00006BE1"/>
    <w:p w14:paraId="2DB9F28E" w14:textId="77777777" w:rsidR="004A3D7B" w:rsidRPr="00630A55" w:rsidRDefault="004A3D7B" w:rsidP="00D663E3"/>
    <w:p w14:paraId="1FC4EB71" w14:textId="77777777" w:rsidR="00B16A4E" w:rsidRPr="00630A55" w:rsidRDefault="00B16A4E" w:rsidP="008F21F4"/>
    <w:p w14:paraId="341C0549" w14:textId="456D60B0" w:rsidR="00D663E3" w:rsidRPr="00A74B62" w:rsidRDefault="00D663E3" w:rsidP="0008151F">
      <w:pPr>
        <w:pStyle w:val="Heading3"/>
      </w:pPr>
      <w:r w:rsidRPr="00630A55">
        <w:lastRenderedPageBreak/>
        <w:t>Sample patient data</w:t>
      </w:r>
    </w:p>
    <w:p w14:paraId="32039E22" w14:textId="3644B1E2" w:rsidR="00D663E3" w:rsidRPr="00557B7D" w:rsidRDefault="00D663E3" w:rsidP="003910CC">
      <w:pPr>
        <w:jc w:val="both"/>
      </w:pPr>
      <w:r w:rsidRPr="00630A55">
        <w:t xml:space="preserve">IHACPA selected a sample of five patients from each site (PAH and LMH) for the purposes of testing the data flow from jurisdictions to IHACPA at </w:t>
      </w:r>
      <w:r w:rsidR="00B16A4E">
        <w:t xml:space="preserve">the </w:t>
      </w:r>
      <w:r w:rsidRPr="00630A55">
        <w:t xml:space="preserve">patient level. The jurisdiction provided the patient level costs for all five patients from each site and these reconciled with IHACPA records. Further </w:t>
      </w:r>
      <w:r w:rsidRPr="00557B7D">
        <w:t xml:space="preserve">information relating to the sample records is available in </w:t>
      </w:r>
      <w:r w:rsidR="00557B7D" w:rsidRPr="00557B7D">
        <w:fldChar w:fldCharType="begin"/>
      </w:r>
      <w:r w:rsidR="00557B7D" w:rsidRPr="00557B7D">
        <w:instrText xml:space="preserve"> REF _Ref114757000 \h </w:instrText>
      </w:r>
      <w:r w:rsidR="00557B7D">
        <w:instrText xml:space="preserve"> \* MERGEFORMAT </w:instrText>
      </w:r>
      <w:r w:rsidR="00557B7D" w:rsidRPr="00557B7D">
        <w:fldChar w:fldCharType="separate"/>
      </w:r>
      <w:r w:rsidR="007E2ACB" w:rsidRPr="007E2ACB">
        <w:t xml:space="preserve">Table </w:t>
      </w:r>
      <w:r w:rsidR="007E2ACB" w:rsidRPr="007E2ACB">
        <w:rPr>
          <w:noProof/>
        </w:rPr>
        <w:t>23</w:t>
      </w:r>
      <w:r w:rsidR="00557B7D" w:rsidRPr="00557B7D">
        <w:fldChar w:fldCharType="end"/>
      </w:r>
      <w:r w:rsidR="00BB699E" w:rsidRPr="00557B7D">
        <w:t>.</w:t>
      </w:r>
    </w:p>
    <w:p w14:paraId="5C40A47C" w14:textId="4E32AB26" w:rsidR="000730D7" w:rsidRPr="00630A55" w:rsidRDefault="000730D7" w:rsidP="000730D7">
      <w:pPr>
        <w:pStyle w:val="Caption"/>
      </w:pPr>
      <w:bookmarkStart w:id="66" w:name="_Ref114757000"/>
      <w:r w:rsidRPr="00A8310C">
        <w:rPr>
          <w:b/>
          <w:bCs/>
        </w:rPr>
        <w:t xml:space="preserve">Table </w:t>
      </w:r>
      <w:r w:rsidR="00D91CB1" w:rsidRPr="00A8310C">
        <w:rPr>
          <w:b/>
          <w:bCs/>
        </w:rPr>
        <w:fldChar w:fldCharType="begin"/>
      </w:r>
      <w:r w:rsidR="00D91CB1" w:rsidRPr="00A8310C">
        <w:rPr>
          <w:b/>
          <w:bCs/>
        </w:rPr>
        <w:instrText xml:space="preserve"> SEQ Table \* ARABIC </w:instrText>
      </w:r>
      <w:r w:rsidR="00D91CB1" w:rsidRPr="00A8310C">
        <w:rPr>
          <w:b/>
          <w:bCs/>
        </w:rPr>
        <w:fldChar w:fldCharType="separate"/>
      </w:r>
      <w:r w:rsidR="007E2ACB">
        <w:rPr>
          <w:b/>
          <w:bCs/>
          <w:noProof/>
        </w:rPr>
        <w:t>23</w:t>
      </w:r>
      <w:r w:rsidR="00D91CB1" w:rsidRPr="00A8310C">
        <w:rPr>
          <w:b/>
          <w:bCs/>
          <w:noProof/>
        </w:rPr>
        <w:fldChar w:fldCharType="end"/>
      </w:r>
      <w:bookmarkEnd w:id="66"/>
      <w:r w:rsidRPr="00A8310C">
        <w:rPr>
          <w:b/>
          <w:bCs/>
        </w:rPr>
        <w:t>:</w:t>
      </w:r>
      <w:r w:rsidRPr="00557B7D">
        <w:t xml:space="preserve"> </w:t>
      </w:r>
      <w:r w:rsidR="00557B7D">
        <w:t>South Australia five patient sample reconciliation outcome</w:t>
      </w:r>
    </w:p>
    <w:tbl>
      <w:tblPr>
        <w:tblStyle w:val="TableGrid"/>
        <w:tblW w:w="0" w:type="auto"/>
        <w:tblLook w:val="04A0" w:firstRow="1" w:lastRow="0" w:firstColumn="1" w:lastColumn="0" w:noHBand="0" w:noVBand="1"/>
      </w:tblPr>
      <w:tblGrid>
        <w:gridCol w:w="1463"/>
        <w:gridCol w:w="1542"/>
        <w:gridCol w:w="1682"/>
        <w:gridCol w:w="1556"/>
        <w:gridCol w:w="1491"/>
        <w:gridCol w:w="1326"/>
      </w:tblGrid>
      <w:tr w:rsidR="007B4978" w:rsidRPr="003A7E92" w14:paraId="73E96288" w14:textId="77777777" w:rsidTr="007B4978">
        <w:tc>
          <w:tcPr>
            <w:tcW w:w="1413" w:type="dxa"/>
            <w:shd w:val="clear" w:color="auto" w:fill="00338D"/>
          </w:tcPr>
          <w:p w14:paraId="40F279C4" w14:textId="77777777" w:rsidR="007B4978" w:rsidRPr="00467F5A" w:rsidRDefault="007B4978" w:rsidP="00374C3F">
            <w:pPr>
              <w:spacing w:before="0" w:after="0"/>
              <w:rPr>
                <w:b/>
                <w:bCs/>
                <w:color w:val="FFFFFF" w:themeColor="background1"/>
              </w:rPr>
            </w:pPr>
            <w:r w:rsidRPr="00467F5A">
              <w:rPr>
                <w:b/>
                <w:bCs/>
                <w:color w:val="FFFFFF" w:themeColor="background1"/>
              </w:rPr>
              <w:t xml:space="preserve">Jurisdiction </w:t>
            </w:r>
          </w:p>
        </w:tc>
        <w:tc>
          <w:tcPr>
            <w:tcW w:w="1559" w:type="dxa"/>
            <w:shd w:val="clear" w:color="auto" w:fill="00338D"/>
          </w:tcPr>
          <w:p w14:paraId="31363E61" w14:textId="77777777" w:rsidR="007B4978" w:rsidRPr="00467F5A" w:rsidRDefault="007B4978" w:rsidP="00374C3F">
            <w:pPr>
              <w:spacing w:before="0" w:after="0"/>
              <w:rPr>
                <w:b/>
                <w:bCs/>
                <w:color w:val="FFFFFF" w:themeColor="background1"/>
              </w:rPr>
            </w:pPr>
            <w:r w:rsidRPr="00467F5A">
              <w:rPr>
                <w:b/>
                <w:bCs/>
                <w:color w:val="FFFFFF" w:themeColor="background1"/>
              </w:rPr>
              <w:t>Site</w:t>
            </w:r>
          </w:p>
        </w:tc>
        <w:tc>
          <w:tcPr>
            <w:tcW w:w="1701" w:type="dxa"/>
            <w:shd w:val="clear" w:color="auto" w:fill="00338D"/>
          </w:tcPr>
          <w:p w14:paraId="0903D17B" w14:textId="77777777" w:rsidR="007B4978" w:rsidRPr="00467F5A" w:rsidRDefault="007B4978" w:rsidP="00374C3F">
            <w:pPr>
              <w:spacing w:before="0" w:after="0"/>
              <w:rPr>
                <w:b/>
                <w:bCs/>
                <w:color w:val="FFFFFF" w:themeColor="background1"/>
              </w:rPr>
            </w:pPr>
            <w:r w:rsidRPr="00467F5A">
              <w:rPr>
                <w:b/>
                <w:bCs/>
                <w:color w:val="FFFFFF" w:themeColor="background1"/>
              </w:rPr>
              <w:t>Stream</w:t>
            </w:r>
          </w:p>
        </w:tc>
        <w:tc>
          <w:tcPr>
            <w:tcW w:w="1559" w:type="dxa"/>
            <w:shd w:val="clear" w:color="auto" w:fill="00338D"/>
          </w:tcPr>
          <w:p w14:paraId="7287FEAC" w14:textId="19BCAA44" w:rsidR="007B4978" w:rsidRPr="00467F5A" w:rsidRDefault="007B4978" w:rsidP="00A8310C">
            <w:pPr>
              <w:spacing w:before="0" w:after="0"/>
              <w:jc w:val="center"/>
              <w:rPr>
                <w:b/>
                <w:bCs/>
                <w:color w:val="FFFFFF" w:themeColor="background1"/>
              </w:rPr>
            </w:pPr>
            <w:r w:rsidRPr="00467F5A">
              <w:rPr>
                <w:b/>
                <w:bCs/>
                <w:color w:val="FFFFFF" w:themeColor="background1"/>
              </w:rPr>
              <w:t xml:space="preserve">Jurisdiction </w:t>
            </w:r>
            <w:r w:rsidR="006268BD">
              <w:rPr>
                <w:b/>
                <w:bCs/>
                <w:color w:val="FFFFFF" w:themeColor="background1"/>
              </w:rPr>
              <w:t>r</w:t>
            </w:r>
            <w:r w:rsidRPr="00467F5A">
              <w:rPr>
                <w:b/>
                <w:bCs/>
                <w:color w:val="FFFFFF" w:themeColor="background1"/>
              </w:rPr>
              <w:t>ecords</w:t>
            </w:r>
          </w:p>
        </w:tc>
        <w:tc>
          <w:tcPr>
            <w:tcW w:w="1496" w:type="dxa"/>
            <w:shd w:val="clear" w:color="auto" w:fill="00338D"/>
          </w:tcPr>
          <w:p w14:paraId="66420604" w14:textId="282FFC16" w:rsidR="007B4978" w:rsidRPr="00467F5A" w:rsidRDefault="007B4978" w:rsidP="00A8310C">
            <w:pPr>
              <w:spacing w:before="0" w:after="0"/>
              <w:jc w:val="center"/>
              <w:rPr>
                <w:b/>
                <w:bCs/>
                <w:color w:val="FFFFFF" w:themeColor="background1"/>
              </w:rPr>
            </w:pPr>
            <w:r w:rsidRPr="00467F5A">
              <w:rPr>
                <w:b/>
                <w:bCs/>
                <w:color w:val="FFFFFF" w:themeColor="background1"/>
              </w:rPr>
              <w:t>Received by IHACPA</w:t>
            </w:r>
          </w:p>
        </w:tc>
        <w:tc>
          <w:tcPr>
            <w:tcW w:w="1332" w:type="dxa"/>
            <w:shd w:val="clear" w:color="auto" w:fill="00338D"/>
          </w:tcPr>
          <w:p w14:paraId="0DEDB946" w14:textId="77777777" w:rsidR="007B4978" w:rsidRPr="00467F5A" w:rsidRDefault="007B4978" w:rsidP="00A8310C">
            <w:pPr>
              <w:spacing w:before="0" w:after="0"/>
              <w:jc w:val="center"/>
              <w:rPr>
                <w:b/>
                <w:bCs/>
                <w:color w:val="FFFFFF" w:themeColor="background1"/>
              </w:rPr>
            </w:pPr>
            <w:r w:rsidRPr="00467F5A">
              <w:rPr>
                <w:b/>
                <w:bCs/>
                <w:color w:val="FFFFFF" w:themeColor="background1"/>
              </w:rPr>
              <w:t>Variance</w:t>
            </w:r>
          </w:p>
        </w:tc>
      </w:tr>
      <w:tr w:rsidR="00327AF2" w:rsidRPr="00B87F0A" w14:paraId="152CFECF" w14:textId="77777777" w:rsidTr="00374C3F">
        <w:tc>
          <w:tcPr>
            <w:tcW w:w="1413" w:type="dxa"/>
            <w:vMerge w:val="restart"/>
          </w:tcPr>
          <w:p w14:paraId="5B75ECC5" w14:textId="0758AE8D" w:rsidR="00327AF2" w:rsidRPr="00B87F0A" w:rsidRDefault="00327AF2" w:rsidP="00327AF2">
            <w:pPr>
              <w:spacing w:before="0" w:after="0"/>
            </w:pPr>
            <w:r w:rsidRPr="00630A55">
              <w:t>South Australia</w:t>
            </w:r>
          </w:p>
        </w:tc>
        <w:tc>
          <w:tcPr>
            <w:tcW w:w="1559" w:type="dxa"/>
            <w:vMerge w:val="restart"/>
          </w:tcPr>
          <w:p w14:paraId="56093B06" w14:textId="702D0693" w:rsidR="00327AF2" w:rsidRPr="00B87F0A" w:rsidRDefault="00327AF2" w:rsidP="00327AF2">
            <w:pPr>
              <w:spacing w:before="0" w:after="0"/>
            </w:pPr>
            <w:r w:rsidRPr="00630A55">
              <w:t>Port Augusta Hospital</w:t>
            </w:r>
          </w:p>
        </w:tc>
        <w:tc>
          <w:tcPr>
            <w:tcW w:w="1701" w:type="dxa"/>
          </w:tcPr>
          <w:p w14:paraId="3B2A3FE1" w14:textId="0A622DD1" w:rsidR="00327AF2" w:rsidRPr="00B87F0A" w:rsidRDefault="00327AF2" w:rsidP="00327AF2">
            <w:pPr>
              <w:spacing w:before="0" w:after="0"/>
            </w:pPr>
            <w:r w:rsidRPr="00630A55">
              <w:t>Acute</w:t>
            </w:r>
          </w:p>
        </w:tc>
        <w:tc>
          <w:tcPr>
            <w:tcW w:w="1559" w:type="dxa"/>
          </w:tcPr>
          <w:p w14:paraId="5EE16763" w14:textId="73845A81" w:rsidR="00327AF2" w:rsidRPr="00B87F0A" w:rsidRDefault="00327AF2" w:rsidP="006268BD">
            <w:pPr>
              <w:spacing w:before="0" w:after="0"/>
              <w:jc w:val="right"/>
            </w:pPr>
            <w:r w:rsidRPr="00630A55">
              <w:t>$7,180.00</w:t>
            </w:r>
          </w:p>
        </w:tc>
        <w:tc>
          <w:tcPr>
            <w:tcW w:w="1496" w:type="dxa"/>
          </w:tcPr>
          <w:p w14:paraId="08483A34" w14:textId="3790EDD1" w:rsidR="00327AF2" w:rsidRPr="00B87F0A" w:rsidRDefault="00327AF2" w:rsidP="006268BD">
            <w:pPr>
              <w:spacing w:before="0" w:after="0"/>
              <w:jc w:val="right"/>
            </w:pPr>
            <w:r w:rsidRPr="00630A55">
              <w:t>$7,180.00</w:t>
            </w:r>
          </w:p>
        </w:tc>
        <w:tc>
          <w:tcPr>
            <w:tcW w:w="1332" w:type="dxa"/>
          </w:tcPr>
          <w:p w14:paraId="55ED8C52" w14:textId="4E003494" w:rsidR="00327AF2" w:rsidRPr="00B87F0A" w:rsidRDefault="00327AF2" w:rsidP="006268BD">
            <w:pPr>
              <w:spacing w:before="0" w:after="0"/>
              <w:jc w:val="right"/>
            </w:pPr>
            <w:r w:rsidRPr="00630A55">
              <w:t>$0.00</w:t>
            </w:r>
          </w:p>
        </w:tc>
      </w:tr>
      <w:tr w:rsidR="00327AF2" w:rsidRPr="00B87F0A" w14:paraId="6852514E" w14:textId="77777777" w:rsidTr="00374C3F">
        <w:tc>
          <w:tcPr>
            <w:tcW w:w="1413" w:type="dxa"/>
            <w:vMerge/>
          </w:tcPr>
          <w:p w14:paraId="7A37F694" w14:textId="77777777" w:rsidR="00327AF2" w:rsidRPr="00B87F0A" w:rsidRDefault="00327AF2" w:rsidP="00327AF2">
            <w:pPr>
              <w:spacing w:before="0" w:after="0"/>
            </w:pPr>
          </w:p>
        </w:tc>
        <w:tc>
          <w:tcPr>
            <w:tcW w:w="1559" w:type="dxa"/>
            <w:vMerge/>
          </w:tcPr>
          <w:p w14:paraId="4FFB927C" w14:textId="77777777" w:rsidR="00327AF2" w:rsidRPr="00B87F0A" w:rsidRDefault="00327AF2" w:rsidP="00327AF2">
            <w:pPr>
              <w:spacing w:before="0" w:after="0"/>
            </w:pPr>
          </w:p>
        </w:tc>
        <w:tc>
          <w:tcPr>
            <w:tcW w:w="1701" w:type="dxa"/>
          </w:tcPr>
          <w:p w14:paraId="012F8FAB" w14:textId="78EE00CE" w:rsidR="00327AF2" w:rsidRPr="00B87F0A" w:rsidRDefault="00327AF2" w:rsidP="00327AF2">
            <w:pPr>
              <w:spacing w:before="0" w:after="0"/>
            </w:pPr>
            <w:r w:rsidRPr="00630A55">
              <w:t>Sub-Acute</w:t>
            </w:r>
          </w:p>
        </w:tc>
        <w:tc>
          <w:tcPr>
            <w:tcW w:w="1559" w:type="dxa"/>
          </w:tcPr>
          <w:p w14:paraId="18A746D3" w14:textId="5DA1E661" w:rsidR="00327AF2" w:rsidRPr="00B87F0A" w:rsidRDefault="00327AF2" w:rsidP="006268BD">
            <w:pPr>
              <w:spacing w:before="0" w:after="0"/>
              <w:jc w:val="right"/>
            </w:pPr>
            <w:r w:rsidRPr="00630A55">
              <w:t>$79,213.20</w:t>
            </w:r>
          </w:p>
        </w:tc>
        <w:tc>
          <w:tcPr>
            <w:tcW w:w="1496" w:type="dxa"/>
          </w:tcPr>
          <w:p w14:paraId="6454CCDD" w14:textId="271007B5" w:rsidR="00327AF2" w:rsidRPr="00B87F0A" w:rsidRDefault="00327AF2" w:rsidP="006268BD">
            <w:pPr>
              <w:spacing w:before="0" w:after="0"/>
              <w:jc w:val="right"/>
            </w:pPr>
            <w:r w:rsidRPr="00630A55">
              <w:t>$79,213.20</w:t>
            </w:r>
          </w:p>
        </w:tc>
        <w:tc>
          <w:tcPr>
            <w:tcW w:w="1332" w:type="dxa"/>
          </w:tcPr>
          <w:p w14:paraId="2444392E" w14:textId="2D0476E2" w:rsidR="00327AF2" w:rsidRPr="00B87F0A" w:rsidRDefault="00327AF2" w:rsidP="006268BD">
            <w:pPr>
              <w:spacing w:before="0" w:after="0"/>
              <w:jc w:val="right"/>
            </w:pPr>
            <w:r w:rsidRPr="00630A55">
              <w:t>$0.00</w:t>
            </w:r>
          </w:p>
        </w:tc>
      </w:tr>
      <w:tr w:rsidR="00327AF2" w:rsidRPr="00B87F0A" w14:paraId="36E0791D" w14:textId="77777777" w:rsidTr="00374C3F">
        <w:tc>
          <w:tcPr>
            <w:tcW w:w="1413" w:type="dxa"/>
            <w:vMerge/>
          </w:tcPr>
          <w:p w14:paraId="390614FF" w14:textId="77777777" w:rsidR="00327AF2" w:rsidRPr="00B87F0A" w:rsidRDefault="00327AF2" w:rsidP="00327AF2">
            <w:pPr>
              <w:spacing w:before="0" w:after="0"/>
            </w:pPr>
          </w:p>
        </w:tc>
        <w:tc>
          <w:tcPr>
            <w:tcW w:w="1559" w:type="dxa"/>
            <w:vMerge/>
          </w:tcPr>
          <w:p w14:paraId="3960578C" w14:textId="77777777" w:rsidR="00327AF2" w:rsidRPr="00B87F0A" w:rsidRDefault="00327AF2" w:rsidP="00327AF2">
            <w:pPr>
              <w:spacing w:before="0" w:after="0"/>
            </w:pPr>
          </w:p>
        </w:tc>
        <w:tc>
          <w:tcPr>
            <w:tcW w:w="1701" w:type="dxa"/>
          </w:tcPr>
          <w:p w14:paraId="400B78B1" w14:textId="1F51848F" w:rsidR="00327AF2" w:rsidRPr="00B87F0A" w:rsidRDefault="00327AF2" w:rsidP="00327AF2">
            <w:pPr>
              <w:spacing w:before="0" w:after="0"/>
            </w:pPr>
            <w:r w:rsidRPr="00630A55">
              <w:t>ED</w:t>
            </w:r>
          </w:p>
        </w:tc>
        <w:tc>
          <w:tcPr>
            <w:tcW w:w="1559" w:type="dxa"/>
          </w:tcPr>
          <w:p w14:paraId="1321E82F" w14:textId="15572E3B" w:rsidR="00327AF2" w:rsidRPr="00B87F0A" w:rsidRDefault="00327AF2" w:rsidP="006268BD">
            <w:pPr>
              <w:spacing w:before="0" w:after="0"/>
              <w:jc w:val="right"/>
            </w:pPr>
            <w:r w:rsidRPr="00630A55">
              <w:t>$1,326.59</w:t>
            </w:r>
          </w:p>
        </w:tc>
        <w:tc>
          <w:tcPr>
            <w:tcW w:w="1496" w:type="dxa"/>
          </w:tcPr>
          <w:p w14:paraId="16D50A4D" w14:textId="4C953D76" w:rsidR="00327AF2" w:rsidRPr="00B87F0A" w:rsidRDefault="00327AF2" w:rsidP="006268BD">
            <w:pPr>
              <w:spacing w:before="0" w:after="0"/>
              <w:jc w:val="right"/>
            </w:pPr>
            <w:r w:rsidRPr="00630A55">
              <w:t>$1,326.59</w:t>
            </w:r>
          </w:p>
        </w:tc>
        <w:tc>
          <w:tcPr>
            <w:tcW w:w="1332" w:type="dxa"/>
          </w:tcPr>
          <w:p w14:paraId="05F8DA6F" w14:textId="1463C245" w:rsidR="00327AF2" w:rsidRPr="00B87F0A" w:rsidRDefault="00327AF2" w:rsidP="006268BD">
            <w:pPr>
              <w:spacing w:before="0" w:after="0"/>
              <w:jc w:val="right"/>
            </w:pPr>
            <w:r w:rsidRPr="00630A55">
              <w:t>$0.00</w:t>
            </w:r>
          </w:p>
        </w:tc>
      </w:tr>
      <w:tr w:rsidR="00327AF2" w:rsidRPr="00B87F0A" w14:paraId="67C32F5E" w14:textId="77777777" w:rsidTr="00374C3F">
        <w:tc>
          <w:tcPr>
            <w:tcW w:w="1413" w:type="dxa"/>
            <w:vMerge/>
          </w:tcPr>
          <w:p w14:paraId="5C932E7E" w14:textId="77777777" w:rsidR="00327AF2" w:rsidRPr="00B87F0A" w:rsidRDefault="00327AF2" w:rsidP="00327AF2">
            <w:pPr>
              <w:spacing w:before="0" w:after="0"/>
            </w:pPr>
          </w:p>
        </w:tc>
        <w:tc>
          <w:tcPr>
            <w:tcW w:w="1559" w:type="dxa"/>
            <w:vMerge/>
          </w:tcPr>
          <w:p w14:paraId="156B7344" w14:textId="77777777" w:rsidR="00327AF2" w:rsidRPr="00B87F0A" w:rsidRDefault="00327AF2" w:rsidP="00327AF2">
            <w:pPr>
              <w:spacing w:before="0" w:after="0"/>
            </w:pPr>
          </w:p>
        </w:tc>
        <w:tc>
          <w:tcPr>
            <w:tcW w:w="1701" w:type="dxa"/>
          </w:tcPr>
          <w:p w14:paraId="5631A2DC" w14:textId="522081D8" w:rsidR="00327AF2" w:rsidRPr="00B87F0A" w:rsidRDefault="00327AF2" w:rsidP="00327AF2">
            <w:pPr>
              <w:spacing w:before="0" w:after="0"/>
            </w:pPr>
            <w:r w:rsidRPr="00630A55">
              <w:t>Non-Admitted</w:t>
            </w:r>
          </w:p>
        </w:tc>
        <w:tc>
          <w:tcPr>
            <w:tcW w:w="1559" w:type="dxa"/>
          </w:tcPr>
          <w:p w14:paraId="4941C3BD" w14:textId="44221ED3" w:rsidR="00327AF2" w:rsidRPr="00B87F0A" w:rsidRDefault="00327AF2" w:rsidP="006268BD">
            <w:pPr>
              <w:spacing w:before="0" w:after="0"/>
              <w:jc w:val="right"/>
            </w:pPr>
            <w:r w:rsidRPr="00630A55">
              <w:t>$10.13</w:t>
            </w:r>
          </w:p>
        </w:tc>
        <w:tc>
          <w:tcPr>
            <w:tcW w:w="1496" w:type="dxa"/>
          </w:tcPr>
          <w:p w14:paraId="7AFF0020" w14:textId="6C0558F2" w:rsidR="00327AF2" w:rsidRPr="00B87F0A" w:rsidRDefault="00327AF2" w:rsidP="006268BD">
            <w:pPr>
              <w:spacing w:before="0" w:after="0"/>
              <w:jc w:val="right"/>
            </w:pPr>
            <w:r w:rsidRPr="00630A55">
              <w:t>$10.13</w:t>
            </w:r>
          </w:p>
        </w:tc>
        <w:tc>
          <w:tcPr>
            <w:tcW w:w="1332" w:type="dxa"/>
          </w:tcPr>
          <w:p w14:paraId="23B4BCFE" w14:textId="24322304" w:rsidR="00327AF2" w:rsidRPr="00B87F0A" w:rsidRDefault="00327AF2" w:rsidP="006268BD">
            <w:pPr>
              <w:spacing w:before="0" w:after="0"/>
              <w:jc w:val="right"/>
            </w:pPr>
            <w:r w:rsidRPr="00630A55">
              <w:t>$0.00</w:t>
            </w:r>
          </w:p>
        </w:tc>
      </w:tr>
      <w:tr w:rsidR="00327AF2" w:rsidRPr="00B87F0A" w14:paraId="6AA3C5C7" w14:textId="77777777" w:rsidTr="00374C3F">
        <w:tc>
          <w:tcPr>
            <w:tcW w:w="1413" w:type="dxa"/>
            <w:vMerge/>
          </w:tcPr>
          <w:p w14:paraId="45FD13D9" w14:textId="77777777" w:rsidR="00327AF2" w:rsidRPr="00B87F0A" w:rsidRDefault="00327AF2" w:rsidP="00327AF2">
            <w:pPr>
              <w:spacing w:before="0" w:after="0"/>
            </w:pPr>
          </w:p>
        </w:tc>
        <w:tc>
          <w:tcPr>
            <w:tcW w:w="1559" w:type="dxa"/>
            <w:vMerge/>
          </w:tcPr>
          <w:p w14:paraId="18EF387D" w14:textId="77777777" w:rsidR="00327AF2" w:rsidRPr="00B87F0A" w:rsidRDefault="00327AF2" w:rsidP="00327AF2">
            <w:pPr>
              <w:spacing w:before="0" w:after="0"/>
            </w:pPr>
          </w:p>
        </w:tc>
        <w:tc>
          <w:tcPr>
            <w:tcW w:w="1701" w:type="dxa"/>
          </w:tcPr>
          <w:p w14:paraId="2C56BFEB" w14:textId="327627E5" w:rsidR="00327AF2" w:rsidRPr="00B87F0A" w:rsidRDefault="00327AF2" w:rsidP="00327AF2">
            <w:pPr>
              <w:spacing w:before="0" w:after="0"/>
            </w:pPr>
            <w:r w:rsidRPr="00630A55">
              <w:t>Mental Health</w:t>
            </w:r>
          </w:p>
        </w:tc>
        <w:tc>
          <w:tcPr>
            <w:tcW w:w="1559" w:type="dxa"/>
          </w:tcPr>
          <w:p w14:paraId="170D702B" w14:textId="79E5550E" w:rsidR="00327AF2" w:rsidRPr="00B87F0A" w:rsidRDefault="00327AF2" w:rsidP="006268BD">
            <w:pPr>
              <w:spacing w:before="0" w:after="0"/>
              <w:jc w:val="right"/>
            </w:pPr>
            <w:r w:rsidRPr="00630A55">
              <w:t>$9,012.67</w:t>
            </w:r>
          </w:p>
        </w:tc>
        <w:tc>
          <w:tcPr>
            <w:tcW w:w="1496" w:type="dxa"/>
          </w:tcPr>
          <w:p w14:paraId="7994D445" w14:textId="6DFCE442" w:rsidR="00327AF2" w:rsidRPr="00B87F0A" w:rsidRDefault="00327AF2" w:rsidP="006268BD">
            <w:pPr>
              <w:spacing w:before="0" w:after="0"/>
              <w:jc w:val="right"/>
            </w:pPr>
            <w:r w:rsidRPr="00630A55">
              <w:t>$9,012.67</w:t>
            </w:r>
          </w:p>
        </w:tc>
        <w:tc>
          <w:tcPr>
            <w:tcW w:w="1332" w:type="dxa"/>
          </w:tcPr>
          <w:p w14:paraId="5DA0532D" w14:textId="19CDA0A7" w:rsidR="00327AF2" w:rsidRPr="00B87F0A" w:rsidRDefault="00327AF2" w:rsidP="006268BD">
            <w:pPr>
              <w:spacing w:before="0" w:after="0"/>
              <w:jc w:val="right"/>
            </w:pPr>
            <w:r w:rsidRPr="00630A55">
              <w:t>$0.00</w:t>
            </w:r>
          </w:p>
        </w:tc>
      </w:tr>
      <w:tr w:rsidR="00327AF2" w:rsidRPr="00B87F0A" w14:paraId="2DDB6A2F" w14:textId="77777777" w:rsidTr="00374C3F">
        <w:tc>
          <w:tcPr>
            <w:tcW w:w="1413" w:type="dxa"/>
            <w:vMerge w:val="restart"/>
          </w:tcPr>
          <w:p w14:paraId="55A003BC" w14:textId="55855694" w:rsidR="00327AF2" w:rsidRPr="00B87F0A" w:rsidRDefault="00327AF2" w:rsidP="00327AF2">
            <w:pPr>
              <w:spacing w:before="0" w:after="0"/>
            </w:pPr>
            <w:r w:rsidRPr="00630A55">
              <w:t>South Australia</w:t>
            </w:r>
          </w:p>
        </w:tc>
        <w:tc>
          <w:tcPr>
            <w:tcW w:w="1559" w:type="dxa"/>
            <w:vMerge w:val="restart"/>
          </w:tcPr>
          <w:p w14:paraId="76BC14AA" w14:textId="77574CDF" w:rsidR="00327AF2" w:rsidRPr="00B87F0A" w:rsidRDefault="00327AF2" w:rsidP="00327AF2">
            <w:pPr>
              <w:spacing w:before="0" w:after="0"/>
            </w:pPr>
            <w:r w:rsidRPr="00630A55">
              <w:t>Lyell McEwin Hospital</w:t>
            </w:r>
          </w:p>
        </w:tc>
        <w:tc>
          <w:tcPr>
            <w:tcW w:w="1701" w:type="dxa"/>
          </w:tcPr>
          <w:p w14:paraId="2871C801" w14:textId="6B2CF06F" w:rsidR="00327AF2" w:rsidRPr="00630A55" w:rsidRDefault="00327AF2" w:rsidP="00327AF2">
            <w:pPr>
              <w:spacing w:before="0" w:after="0"/>
            </w:pPr>
            <w:r w:rsidRPr="00630A55">
              <w:t>Acute</w:t>
            </w:r>
          </w:p>
        </w:tc>
        <w:tc>
          <w:tcPr>
            <w:tcW w:w="1559" w:type="dxa"/>
          </w:tcPr>
          <w:p w14:paraId="301286C9" w14:textId="3610C20B" w:rsidR="00327AF2" w:rsidRPr="00630A55" w:rsidRDefault="00327AF2" w:rsidP="006268BD">
            <w:pPr>
              <w:spacing w:before="0" w:after="0"/>
              <w:jc w:val="right"/>
            </w:pPr>
            <w:r w:rsidRPr="00630A55">
              <w:t>$3,000.39</w:t>
            </w:r>
          </w:p>
        </w:tc>
        <w:tc>
          <w:tcPr>
            <w:tcW w:w="1496" w:type="dxa"/>
          </w:tcPr>
          <w:p w14:paraId="51C99E3E" w14:textId="3BF0F33E" w:rsidR="00327AF2" w:rsidRPr="00630A55" w:rsidRDefault="00327AF2" w:rsidP="006268BD">
            <w:pPr>
              <w:spacing w:before="0" w:after="0"/>
              <w:jc w:val="right"/>
            </w:pPr>
            <w:r w:rsidRPr="00630A55">
              <w:t>$3,000.39</w:t>
            </w:r>
          </w:p>
        </w:tc>
        <w:tc>
          <w:tcPr>
            <w:tcW w:w="1332" w:type="dxa"/>
          </w:tcPr>
          <w:p w14:paraId="3EC88677" w14:textId="25B063CC" w:rsidR="00327AF2" w:rsidRPr="00630A55" w:rsidRDefault="00327AF2" w:rsidP="006268BD">
            <w:pPr>
              <w:spacing w:before="0" w:after="0"/>
              <w:jc w:val="right"/>
            </w:pPr>
            <w:r w:rsidRPr="00630A55">
              <w:t>$0.00</w:t>
            </w:r>
          </w:p>
        </w:tc>
      </w:tr>
      <w:tr w:rsidR="00327AF2" w:rsidRPr="00B87F0A" w14:paraId="32CD3499" w14:textId="77777777" w:rsidTr="00374C3F">
        <w:tc>
          <w:tcPr>
            <w:tcW w:w="1413" w:type="dxa"/>
            <w:vMerge/>
          </w:tcPr>
          <w:p w14:paraId="35684995" w14:textId="77777777" w:rsidR="00327AF2" w:rsidRPr="00630A55" w:rsidRDefault="00327AF2" w:rsidP="00327AF2">
            <w:pPr>
              <w:spacing w:before="0" w:after="0"/>
            </w:pPr>
          </w:p>
        </w:tc>
        <w:tc>
          <w:tcPr>
            <w:tcW w:w="1559" w:type="dxa"/>
            <w:vMerge/>
          </w:tcPr>
          <w:p w14:paraId="7CDBB8BC" w14:textId="77777777" w:rsidR="00327AF2" w:rsidRPr="00630A55" w:rsidRDefault="00327AF2" w:rsidP="00327AF2">
            <w:pPr>
              <w:spacing w:before="0" w:after="0"/>
            </w:pPr>
          </w:p>
        </w:tc>
        <w:tc>
          <w:tcPr>
            <w:tcW w:w="1701" w:type="dxa"/>
          </w:tcPr>
          <w:p w14:paraId="144AFBCF" w14:textId="0567A5BB" w:rsidR="00327AF2" w:rsidRPr="00630A55" w:rsidRDefault="00327AF2" w:rsidP="00327AF2">
            <w:pPr>
              <w:spacing w:before="0" w:after="0"/>
            </w:pPr>
            <w:r w:rsidRPr="00630A55">
              <w:t>Sub-Acute</w:t>
            </w:r>
          </w:p>
        </w:tc>
        <w:tc>
          <w:tcPr>
            <w:tcW w:w="1559" w:type="dxa"/>
          </w:tcPr>
          <w:p w14:paraId="1BAB0340" w14:textId="744DA9BB" w:rsidR="00327AF2" w:rsidRPr="00630A55" w:rsidRDefault="00327AF2" w:rsidP="006268BD">
            <w:pPr>
              <w:spacing w:before="0" w:after="0"/>
              <w:jc w:val="right"/>
            </w:pPr>
            <w:r w:rsidRPr="00630A55">
              <w:t>$30,949.56</w:t>
            </w:r>
          </w:p>
        </w:tc>
        <w:tc>
          <w:tcPr>
            <w:tcW w:w="1496" w:type="dxa"/>
          </w:tcPr>
          <w:p w14:paraId="0AA879EE" w14:textId="627570FB" w:rsidR="00327AF2" w:rsidRPr="00630A55" w:rsidRDefault="00327AF2" w:rsidP="006268BD">
            <w:pPr>
              <w:spacing w:before="0" w:after="0"/>
              <w:jc w:val="right"/>
            </w:pPr>
            <w:r w:rsidRPr="00630A55">
              <w:t>$30,949.56</w:t>
            </w:r>
          </w:p>
        </w:tc>
        <w:tc>
          <w:tcPr>
            <w:tcW w:w="1332" w:type="dxa"/>
          </w:tcPr>
          <w:p w14:paraId="7C5A6477" w14:textId="4E7C2560" w:rsidR="00327AF2" w:rsidRPr="00630A55" w:rsidRDefault="00327AF2" w:rsidP="006268BD">
            <w:pPr>
              <w:spacing w:before="0" w:after="0"/>
              <w:jc w:val="right"/>
            </w:pPr>
            <w:r w:rsidRPr="00630A55">
              <w:t>$0.00</w:t>
            </w:r>
          </w:p>
        </w:tc>
      </w:tr>
      <w:tr w:rsidR="00327AF2" w:rsidRPr="00B87F0A" w14:paraId="28CF12DE" w14:textId="77777777" w:rsidTr="00374C3F">
        <w:tc>
          <w:tcPr>
            <w:tcW w:w="1413" w:type="dxa"/>
            <w:vMerge/>
          </w:tcPr>
          <w:p w14:paraId="1FD15E98" w14:textId="77777777" w:rsidR="00327AF2" w:rsidRPr="00630A55" w:rsidRDefault="00327AF2" w:rsidP="00327AF2">
            <w:pPr>
              <w:spacing w:before="0" w:after="0"/>
            </w:pPr>
          </w:p>
        </w:tc>
        <w:tc>
          <w:tcPr>
            <w:tcW w:w="1559" w:type="dxa"/>
            <w:vMerge/>
          </w:tcPr>
          <w:p w14:paraId="3E269FA5" w14:textId="77777777" w:rsidR="00327AF2" w:rsidRPr="00630A55" w:rsidRDefault="00327AF2" w:rsidP="00327AF2">
            <w:pPr>
              <w:spacing w:before="0" w:after="0"/>
            </w:pPr>
          </w:p>
        </w:tc>
        <w:tc>
          <w:tcPr>
            <w:tcW w:w="1701" w:type="dxa"/>
          </w:tcPr>
          <w:p w14:paraId="6AC76025" w14:textId="2B139190" w:rsidR="00327AF2" w:rsidRPr="00630A55" w:rsidRDefault="00327AF2" w:rsidP="00327AF2">
            <w:pPr>
              <w:spacing w:before="0" w:after="0"/>
            </w:pPr>
            <w:r w:rsidRPr="00630A55">
              <w:t>ED</w:t>
            </w:r>
          </w:p>
        </w:tc>
        <w:tc>
          <w:tcPr>
            <w:tcW w:w="1559" w:type="dxa"/>
          </w:tcPr>
          <w:p w14:paraId="7DC05829" w14:textId="28C3FCA8" w:rsidR="00327AF2" w:rsidRPr="00630A55" w:rsidRDefault="00327AF2" w:rsidP="006268BD">
            <w:pPr>
              <w:spacing w:before="0" w:after="0"/>
              <w:jc w:val="right"/>
            </w:pPr>
            <w:r w:rsidRPr="00630A55">
              <w:t>$27.66</w:t>
            </w:r>
          </w:p>
        </w:tc>
        <w:tc>
          <w:tcPr>
            <w:tcW w:w="1496" w:type="dxa"/>
          </w:tcPr>
          <w:p w14:paraId="57030C50" w14:textId="01C08D7B" w:rsidR="00327AF2" w:rsidRPr="00630A55" w:rsidRDefault="00327AF2" w:rsidP="006268BD">
            <w:pPr>
              <w:spacing w:before="0" w:after="0"/>
              <w:jc w:val="right"/>
            </w:pPr>
            <w:r w:rsidRPr="00630A55">
              <w:t>$27.66</w:t>
            </w:r>
          </w:p>
        </w:tc>
        <w:tc>
          <w:tcPr>
            <w:tcW w:w="1332" w:type="dxa"/>
          </w:tcPr>
          <w:p w14:paraId="2AFC36CD" w14:textId="53004FFF" w:rsidR="00327AF2" w:rsidRPr="00630A55" w:rsidRDefault="00327AF2" w:rsidP="006268BD">
            <w:pPr>
              <w:spacing w:before="0" w:after="0"/>
              <w:jc w:val="right"/>
            </w:pPr>
            <w:r w:rsidRPr="00630A55">
              <w:t>$0.00</w:t>
            </w:r>
          </w:p>
        </w:tc>
      </w:tr>
      <w:tr w:rsidR="00327AF2" w:rsidRPr="00B87F0A" w14:paraId="2D9D63C5" w14:textId="77777777" w:rsidTr="00374C3F">
        <w:tc>
          <w:tcPr>
            <w:tcW w:w="1413" w:type="dxa"/>
            <w:vMerge/>
          </w:tcPr>
          <w:p w14:paraId="0D1BE582" w14:textId="77777777" w:rsidR="00327AF2" w:rsidRPr="00630A55" w:rsidRDefault="00327AF2" w:rsidP="00327AF2">
            <w:pPr>
              <w:spacing w:before="0" w:after="0"/>
            </w:pPr>
          </w:p>
        </w:tc>
        <w:tc>
          <w:tcPr>
            <w:tcW w:w="1559" w:type="dxa"/>
            <w:vMerge/>
          </w:tcPr>
          <w:p w14:paraId="024060C1" w14:textId="77777777" w:rsidR="00327AF2" w:rsidRPr="00630A55" w:rsidRDefault="00327AF2" w:rsidP="00327AF2">
            <w:pPr>
              <w:spacing w:before="0" w:after="0"/>
            </w:pPr>
          </w:p>
        </w:tc>
        <w:tc>
          <w:tcPr>
            <w:tcW w:w="1701" w:type="dxa"/>
          </w:tcPr>
          <w:p w14:paraId="7ACC8C40" w14:textId="0A095150" w:rsidR="00327AF2" w:rsidRPr="00630A55" w:rsidRDefault="00327AF2" w:rsidP="00327AF2">
            <w:pPr>
              <w:spacing w:before="0" w:after="0"/>
            </w:pPr>
            <w:r w:rsidRPr="00630A55">
              <w:t>Non-Admitted</w:t>
            </w:r>
          </w:p>
        </w:tc>
        <w:tc>
          <w:tcPr>
            <w:tcW w:w="1559" w:type="dxa"/>
          </w:tcPr>
          <w:p w14:paraId="142D5FAD" w14:textId="22812E40" w:rsidR="00327AF2" w:rsidRPr="00630A55" w:rsidRDefault="00327AF2" w:rsidP="006268BD">
            <w:pPr>
              <w:spacing w:before="0" w:after="0"/>
              <w:jc w:val="right"/>
            </w:pPr>
            <w:r w:rsidRPr="00630A55">
              <w:t>$63,577.21</w:t>
            </w:r>
          </w:p>
        </w:tc>
        <w:tc>
          <w:tcPr>
            <w:tcW w:w="1496" w:type="dxa"/>
          </w:tcPr>
          <w:p w14:paraId="2BBC33F6" w14:textId="50D80BF7" w:rsidR="00327AF2" w:rsidRPr="00630A55" w:rsidRDefault="00327AF2" w:rsidP="006268BD">
            <w:pPr>
              <w:spacing w:before="0" w:after="0"/>
              <w:jc w:val="right"/>
            </w:pPr>
            <w:r w:rsidRPr="00630A55">
              <w:t>$63,577.21</w:t>
            </w:r>
          </w:p>
        </w:tc>
        <w:tc>
          <w:tcPr>
            <w:tcW w:w="1332" w:type="dxa"/>
          </w:tcPr>
          <w:p w14:paraId="6E221C1D" w14:textId="0B4FDDD9" w:rsidR="00327AF2" w:rsidRPr="00630A55" w:rsidRDefault="00327AF2" w:rsidP="006268BD">
            <w:pPr>
              <w:spacing w:before="0" w:after="0"/>
              <w:jc w:val="right"/>
            </w:pPr>
            <w:r w:rsidRPr="00630A55">
              <w:t>$0.00</w:t>
            </w:r>
          </w:p>
        </w:tc>
      </w:tr>
      <w:tr w:rsidR="00327AF2" w:rsidRPr="00B87F0A" w14:paraId="26999A0F" w14:textId="77777777" w:rsidTr="00374C3F">
        <w:tc>
          <w:tcPr>
            <w:tcW w:w="1413" w:type="dxa"/>
            <w:vMerge/>
          </w:tcPr>
          <w:p w14:paraId="16E51F48" w14:textId="77777777" w:rsidR="00327AF2" w:rsidRPr="00630A55" w:rsidRDefault="00327AF2" w:rsidP="00327AF2">
            <w:pPr>
              <w:spacing w:before="0" w:after="0"/>
            </w:pPr>
          </w:p>
        </w:tc>
        <w:tc>
          <w:tcPr>
            <w:tcW w:w="1559" w:type="dxa"/>
            <w:vMerge/>
          </w:tcPr>
          <w:p w14:paraId="6EEDC62D" w14:textId="77777777" w:rsidR="00327AF2" w:rsidRPr="00630A55" w:rsidRDefault="00327AF2" w:rsidP="00327AF2">
            <w:pPr>
              <w:spacing w:before="0" w:after="0"/>
            </w:pPr>
          </w:p>
        </w:tc>
        <w:tc>
          <w:tcPr>
            <w:tcW w:w="1701" w:type="dxa"/>
          </w:tcPr>
          <w:p w14:paraId="32D88EF4" w14:textId="6DB8037E" w:rsidR="00327AF2" w:rsidRPr="00630A55" w:rsidRDefault="00327AF2" w:rsidP="00327AF2">
            <w:pPr>
              <w:spacing w:before="0" w:after="0"/>
            </w:pPr>
            <w:r w:rsidRPr="00630A55">
              <w:t>Mental Health</w:t>
            </w:r>
          </w:p>
        </w:tc>
        <w:tc>
          <w:tcPr>
            <w:tcW w:w="1559" w:type="dxa"/>
          </w:tcPr>
          <w:p w14:paraId="38F101FB" w14:textId="476AF501" w:rsidR="00327AF2" w:rsidRPr="00630A55" w:rsidRDefault="00327AF2" w:rsidP="006268BD">
            <w:pPr>
              <w:spacing w:before="0" w:after="0"/>
              <w:jc w:val="right"/>
            </w:pPr>
            <w:r w:rsidRPr="00630A55">
              <w:t>$122.35</w:t>
            </w:r>
          </w:p>
        </w:tc>
        <w:tc>
          <w:tcPr>
            <w:tcW w:w="1496" w:type="dxa"/>
          </w:tcPr>
          <w:p w14:paraId="10E5BDC6" w14:textId="6D46077E" w:rsidR="00327AF2" w:rsidRPr="00630A55" w:rsidRDefault="00327AF2" w:rsidP="006268BD">
            <w:pPr>
              <w:spacing w:before="0" w:after="0"/>
              <w:jc w:val="right"/>
            </w:pPr>
            <w:r w:rsidRPr="00630A55">
              <w:t>$122.35</w:t>
            </w:r>
          </w:p>
        </w:tc>
        <w:tc>
          <w:tcPr>
            <w:tcW w:w="1332" w:type="dxa"/>
          </w:tcPr>
          <w:p w14:paraId="58AE0243" w14:textId="329A6EB3" w:rsidR="00327AF2" w:rsidRPr="00630A55" w:rsidRDefault="00327AF2" w:rsidP="006268BD">
            <w:pPr>
              <w:spacing w:before="0" w:after="0"/>
              <w:jc w:val="right"/>
            </w:pPr>
            <w:r w:rsidRPr="00630A55">
              <w:t>$0.00</w:t>
            </w:r>
          </w:p>
        </w:tc>
      </w:tr>
    </w:tbl>
    <w:p w14:paraId="519AFFA9" w14:textId="77777777" w:rsidR="004A3D7B" w:rsidRPr="00630A55" w:rsidRDefault="004A3D7B" w:rsidP="004A3D7B">
      <w:pPr>
        <w:pStyle w:val="Source"/>
      </w:pPr>
      <w:r w:rsidRPr="00630A55">
        <w:t xml:space="preserve">Source: Jurisdictional consultations and </w:t>
      </w:r>
      <w:r>
        <w:t>templates</w:t>
      </w:r>
    </w:p>
    <w:p w14:paraId="6A2DC20F" w14:textId="77777777" w:rsidR="00D663E3" w:rsidRPr="00532C62" w:rsidRDefault="00D663E3" w:rsidP="0008151F">
      <w:pPr>
        <w:pStyle w:val="Heading3"/>
        <w:rPr>
          <w:rFonts w:ascii="Univers 45 Light" w:hAnsi="Univers 45 Light"/>
          <w:color w:val="4FC3FF" w:themeColor="accent2" w:themeTint="99"/>
          <w:szCs w:val="20"/>
        </w:rPr>
      </w:pPr>
      <w:r w:rsidRPr="00630A55">
        <w:t>Governance arrangements</w:t>
      </w:r>
    </w:p>
    <w:p w14:paraId="7537E768" w14:textId="45E26769" w:rsidR="00244289" w:rsidRDefault="00D663E3" w:rsidP="003910CC">
      <w:pPr>
        <w:jc w:val="both"/>
      </w:pPr>
      <w:r w:rsidRPr="00630A55">
        <w:t xml:space="preserve">LHN data for the NHCDC process are extensively reviewed by LHNs prior to official submissions, with multiple refinements to ensure the data </w:t>
      </w:r>
      <w:r w:rsidR="006268BD">
        <w:t>i</w:t>
      </w:r>
      <w:r w:rsidRPr="00630A55">
        <w:t xml:space="preserve">s as accurate as possible. Prior to the NHCDC submission, the DHW Patient Costing </w:t>
      </w:r>
      <w:r w:rsidR="00B16A4E">
        <w:t>t</w:t>
      </w:r>
      <w:r w:rsidRPr="00630A55">
        <w:t xml:space="preserve">eam </w:t>
      </w:r>
      <w:r w:rsidR="00B16A4E">
        <w:t>ha</w:t>
      </w:r>
      <w:r w:rsidR="001C47C1">
        <w:t>s</w:t>
      </w:r>
      <w:r w:rsidRPr="00630A55">
        <w:t xml:space="preserve"> meetings with LHN </w:t>
      </w:r>
      <w:r w:rsidR="007138D9">
        <w:t>C</w:t>
      </w:r>
      <w:r w:rsidRPr="00630A55">
        <w:t>osting teams for a thorough review of all costings at the DRG level</w:t>
      </w:r>
      <w:r w:rsidR="00B16A4E">
        <w:t>,</w:t>
      </w:r>
      <w:r w:rsidRPr="00630A55">
        <w:t xml:space="preserve"> including all admitted, non</w:t>
      </w:r>
      <w:r w:rsidR="00B16A4E">
        <w:noBreakHyphen/>
      </w:r>
      <w:r w:rsidRPr="00630A55">
        <w:t xml:space="preserve">admitted and emergency classifications. This discussion allows for any discrepancies to be highlighted and addressed, ensuring all costs and activities are accounted for and processed in accordance with AHPCS </w:t>
      </w:r>
      <w:r w:rsidR="00710D0C">
        <w:t>v</w:t>
      </w:r>
      <w:r w:rsidRPr="00630A55">
        <w:t xml:space="preserve">ersion 4.1, with LHNs then making any final adjustments until they are satisfied that their data is fit for purpose. </w:t>
      </w:r>
    </w:p>
    <w:p w14:paraId="787ABBE5" w14:textId="755DB8C0" w:rsidR="00D663E3" w:rsidRPr="00630A55" w:rsidRDefault="00D663E3" w:rsidP="003910CC">
      <w:pPr>
        <w:jc w:val="both"/>
      </w:pPr>
      <w:r w:rsidRPr="00630A55">
        <w:t xml:space="preserve">Once LHN sign-off is achieved, the Patient Costing </w:t>
      </w:r>
      <w:r w:rsidR="00B16A4E">
        <w:t>t</w:t>
      </w:r>
      <w:r w:rsidRPr="00630A55">
        <w:t>eam finalises the necessary data for submission to the NHCDC, on behalf of all the LHNs. For the regional LHNs, final costing submissions to DHW are signed-off by Rural Support Services at the Director level, but are typically signed at an Executive level for metropolitan LHNs (e.g. the CFO at NALHN).</w:t>
      </w:r>
      <w:r w:rsidR="004F00DF">
        <w:t xml:space="preserve"> For NALHN the signoff is traditionally based on recommendation from the ABF/Casemix Manager at NALHN. This signoff is undertaken via a formal brief. </w:t>
      </w:r>
      <w:r w:rsidRPr="00630A55">
        <w:t xml:space="preserve">The final data submission to NHCDC is signed off by </w:t>
      </w:r>
      <w:r w:rsidR="00AA6A02">
        <w:t xml:space="preserve">the </w:t>
      </w:r>
      <w:r w:rsidRPr="00630A55">
        <w:t xml:space="preserve">CEO of DHW. </w:t>
      </w:r>
    </w:p>
    <w:p w14:paraId="4D33B9F2" w14:textId="77777777" w:rsidR="00D663E3" w:rsidRPr="00630A55" w:rsidRDefault="00D663E3" w:rsidP="008F21F4">
      <w:pPr>
        <w:rPr>
          <w:sz w:val="20"/>
          <w:szCs w:val="16"/>
          <w:highlight w:val="yellow"/>
        </w:rPr>
      </w:pPr>
      <w:r w:rsidRPr="00630A55">
        <w:rPr>
          <w:highlight w:val="yellow"/>
        </w:rPr>
        <w:br w:type="page"/>
      </w:r>
    </w:p>
    <w:p w14:paraId="54714E1B" w14:textId="7519D7E5" w:rsidR="00D663E3" w:rsidRPr="00630A55" w:rsidRDefault="00557B7D" w:rsidP="00557B7D">
      <w:pPr>
        <w:pStyle w:val="Caption"/>
      </w:pPr>
      <w:r w:rsidRPr="00A8310C">
        <w:rPr>
          <w:b/>
          <w:bCs/>
        </w:rPr>
        <w:lastRenderedPageBreak/>
        <w:t xml:space="preserve">Table </w:t>
      </w:r>
      <w:r w:rsidR="00D91CB1" w:rsidRPr="00A8310C">
        <w:rPr>
          <w:b/>
          <w:bCs/>
        </w:rPr>
        <w:fldChar w:fldCharType="begin"/>
      </w:r>
      <w:r w:rsidR="00D91CB1" w:rsidRPr="00A8310C">
        <w:rPr>
          <w:b/>
          <w:bCs/>
        </w:rPr>
        <w:instrText xml:space="preserve"> SEQ Table \* ARABIC </w:instrText>
      </w:r>
      <w:r w:rsidR="00D91CB1" w:rsidRPr="00A8310C">
        <w:rPr>
          <w:b/>
          <w:bCs/>
        </w:rPr>
        <w:fldChar w:fldCharType="separate"/>
      </w:r>
      <w:r w:rsidR="007E2ACB">
        <w:rPr>
          <w:b/>
          <w:bCs/>
          <w:noProof/>
        </w:rPr>
        <w:t>24</w:t>
      </w:r>
      <w:r w:rsidR="00D91CB1" w:rsidRPr="00A8310C">
        <w:rPr>
          <w:b/>
          <w:bCs/>
          <w:noProof/>
        </w:rPr>
        <w:fldChar w:fldCharType="end"/>
      </w:r>
      <w:r w:rsidRPr="00A8310C">
        <w:rPr>
          <w:b/>
          <w:bCs/>
        </w:rPr>
        <w:t>:</w:t>
      </w:r>
      <w:r>
        <w:t xml:space="preserve"> </w:t>
      </w:r>
      <w:r w:rsidR="00D663E3" w:rsidRPr="00630A55">
        <w:t xml:space="preserve">Summary of </w:t>
      </w:r>
      <w:r w:rsidR="00D954E4">
        <w:t>quality assurance (</w:t>
      </w:r>
      <w:r w:rsidR="00D663E3" w:rsidRPr="00630A55">
        <w:t>QA</w:t>
      </w:r>
      <w:r w:rsidR="00D954E4">
        <w:t>)</w:t>
      </w:r>
      <w:r w:rsidR="00D663E3" w:rsidRPr="00630A55">
        <w:t xml:space="preserve"> checks performed – South Australia</w:t>
      </w:r>
    </w:p>
    <w:tbl>
      <w:tblPr>
        <w:tblW w:w="8995" w:type="dxa"/>
        <w:tblCellMar>
          <w:top w:w="28" w:type="dxa"/>
          <w:left w:w="28" w:type="dxa"/>
          <w:bottom w:w="28" w:type="dxa"/>
          <w:right w:w="28" w:type="dxa"/>
        </w:tblCellMar>
        <w:tblLook w:val="04A0" w:firstRow="1" w:lastRow="0" w:firstColumn="1" w:lastColumn="0" w:noHBand="0" w:noVBand="1"/>
      </w:tblPr>
      <w:tblGrid>
        <w:gridCol w:w="2967"/>
        <w:gridCol w:w="2068"/>
        <w:gridCol w:w="2020"/>
        <w:gridCol w:w="1940"/>
      </w:tblGrid>
      <w:tr w:rsidR="00D663E3" w:rsidRPr="00630A55" w14:paraId="7A75198E" w14:textId="77777777" w:rsidTr="001C04DE">
        <w:trPr>
          <w:trHeight w:val="280"/>
          <w:tblHeader/>
        </w:trPr>
        <w:tc>
          <w:tcPr>
            <w:tcW w:w="2967" w:type="dxa"/>
            <w:tcBorders>
              <w:top w:val="single" w:sz="8" w:space="0" w:color="auto"/>
              <w:left w:val="single" w:sz="8" w:space="0" w:color="auto"/>
              <w:bottom w:val="single" w:sz="8" w:space="0" w:color="auto"/>
              <w:right w:val="single" w:sz="8" w:space="0" w:color="auto"/>
            </w:tcBorders>
            <w:shd w:val="clear" w:color="auto" w:fill="00338D"/>
            <w:tcMar>
              <w:top w:w="0" w:type="dxa"/>
              <w:left w:w="108" w:type="dxa"/>
              <w:bottom w:w="0" w:type="dxa"/>
              <w:right w:w="108" w:type="dxa"/>
            </w:tcMar>
            <w:vAlign w:val="center"/>
            <w:hideMark/>
          </w:tcPr>
          <w:p w14:paraId="19CE4FCE" w14:textId="77777777" w:rsidR="00D663E3" w:rsidRPr="00630A55" w:rsidRDefault="00D663E3" w:rsidP="00A92341">
            <w:pPr>
              <w:pStyle w:val="Tableheading"/>
              <w:spacing w:before="0" w:after="0"/>
              <w:rPr>
                <w:rFonts w:ascii="Univers 45 Light" w:hAnsi="Univers 45 Light"/>
              </w:rPr>
            </w:pPr>
            <w:r w:rsidRPr="00630A55">
              <w:rPr>
                <w:rFonts w:ascii="Univers 45 Light" w:hAnsi="Univers 45 Light"/>
              </w:rPr>
              <w:t>QA Test</w:t>
            </w:r>
          </w:p>
        </w:tc>
        <w:tc>
          <w:tcPr>
            <w:tcW w:w="2068" w:type="dxa"/>
            <w:tcBorders>
              <w:top w:val="single" w:sz="8" w:space="0" w:color="auto"/>
              <w:left w:val="nil"/>
              <w:bottom w:val="single" w:sz="8" w:space="0" w:color="auto"/>
              <w:right w:val="single" w:sz="8" w:space="0" w:color="auto"/>
            </w:tcBorders>
            <w:shd w:val="clear" w:color="auto" w:fill="00338D"/>
            <w:tcMar>
              <w:top w:w="0" w:type="dxa"/>
              <w:left w:w="108" w:type="dxa"/>
              <w:bottom w:w="0" w:type="dxa"/>
              <w:right w:w="108" w:type="dxa"/>
            </w:tcMar>
            <w:vAlign w:val="center"/>
            <w:hideMark/>
          </w:tcPr>
          <w:p w14:paraId="1AD85E31" w14:textId="77777777" w:rsidR="00D663E3" w:rsidRPr="00630A55" w:rsidRDefault="00D663E3" w:rsidP="00A92341">
            <w:pPr>
              <w:pStyle w:val="Tableheading"/>
              <w:spacing w:before="0" w:after="0"/>
              <w:rPr>
                <w:rFonts w:ascii="Univers 45 Light" w:hAnsi="Univers 45 Light"/>
              </w:rPr>
            </w:pPr>
            <w:r w:rsidRPr="00630A55">
              <w:rPr>
                <w:rFonts w:ascii="Univers 45 Light" w:hAnsi="Univers 45 Light"/>
              </w:rPr>
              <w:t>DHW</w:t>
            </w:r>
          </w:p>
        </w:tc>
        <w:tc>
          <w:tcPr>
            <w:tcW w:w="2020" w:type="dxa"/>
            <w:tcBorders>
              <w:top w:val="single" w:sz="8" w:space="0" w:color="auto"/>
              <w:left w:val="nil"/>
              <w:bottom w:val="single" w:sz="8" w:space="0" w:color="auto"/>
              <w:right w:val="single" w:sz="8" w:space="0" w:color="auto"/>
            </w:tcBorders>
            <w:shd w:val="clear" w:color="auto" w:fill="00338D"/>
            <w:tcMar>
              <w:top w:w="0" w:type="dxa"/>
              <w:left w:w="108" w:type="dxa"/>
              <w:bottom w:w="0" w:type="dxa"/>
              <w:right w:w="108" w:type="dxa"/>
            </w:tcMar>
            <w:vAlign w:val="center"/>
            <w:hideMark/>
          </w:tcPr>
          <w:p w14:paraId="79A234CC" w14:textId="77777777" w:rsidR="00D663E3" w:rsidRPr="00630A55" w:rsidRDefault="00D663E3" w:rsidP="00A92341">
            <w:pPr>
              <w:pStyle w:val="Tableheading"/>
              <w:spacing w:before="0" w:after="0"/>
              <w:rPr>
                <w:rFonts w:ascii="Univers 45 Light" w:hAnsi="Univers 45 Light"/>
              </w:rPr>
            </w:pPr>
            <w:r w:rsidRPr="00630A55">
              <w:rPr>
                <w:rFonts w:ascii="Univers 45 Light" w:hAnsi="Univers 45 Light"/>
              </w:rPr>
              <w:t>Port August Hospital</w:t>
            </w:r>
          </w:p>
        </w:tc>
        <w:tc>
          <w:tcPr>
            <w:tcW w:w="1940" w:type="dxa"/>
            <w:tcBorders>
              <w:top w:val="single" w:sz="8" w:space="0" w:color="auto"/>
              <w:left w:val="nil"/>
              <w:bottom w:val="single" w:sz="8" w:space="0" w:color="auto"/>
              <w:right w:val="single" w:sz="8" w:space="0" w:color="auto"/>
            </w:tcBorders>
            <w:shd w:val="clear" w:color="auto" w:fill="00338D"/>
            <w:vAlign w:val="center"/>
          </w:tcPr>
          <w:p w14:paraId="5ED05C63" w14:textId="77777777" w:rsidR="00D663E3" w:rsidRPr="00630A55" w:rsidRDefault="00D663E3" w:rsidP="00A92341">
            <w:pPr>
              <w:pStyle w:val="Tableheading"/>
              <w:spacing w:before="0" w:after="0"/>
              <w:rPr>
                <w:rFonts w:ascii="Univers 45 Light" w:hAnsi="Univers 45 Light"/>
              </w:rPr>
            </w:pPr>
            <w:r w:rsidRPr="00630A55">
              <w:rPr>
                <w:rFonts w:ascii="Univers 45 Light" w:hAnsi="Univers 45 Light"/>
              </w:rPr>
              <w:t>Lyell McEwin Hospital</w:t>
            </w:r>
          </w:p>
        </w:tc>
      </w:tr>
      <w:tr w:rsidR="00D663E3" w:rsidRPr="00630A55" w14:paraId="6808509D" w14:textId="77777777" w:rsidTr="00A92341">
        <w:trPr>
          <w:trHeight w:val="263"/>
        </w:trPr>
        <w:tc>
          <w:tcPr>
            <w:tcW w:w="7055" w:type="dxa"/>
            <w:gridSpan w:val="3"/>
            <w:tcBorders>
              <w:top w:val="nil"/>
              <w:left w:val="single" w:sz="8" w:space="0" w:color="auto"/>
              <w:bottom w:val="single" w:sz="8" w:space="0" w:color="auto"/>
              <w:right w:val="single" w:sz="8" w:space="0" w:color="auto"/>
            </w:tcBorders>
            <w:shd w:val="clear" w:color="auto" w:fill="808080"/>
            <w:tcMar>
              <w:top w:w="0" w:type="dxa"/>
              <w:left w:w="108" w:type="dxa"/>
              <w:bottom w:w="0" w:type="dxa"/>
              <w:right w:w="108" w:type="dxa"/>
            </w:tcMar>
            <w:vAlign w:val="center"/>
            <w:hideMark/>
          </w:tcPr>
          <w:p w14:paraId="79624362" w14:textId="77777777" w:rsidR="00D663E3" w:rsidRPr="00630A55" w:rsidRDefault="00D663E3" w:rsidP="00A92341">
            <w:pPr>
              <w:pStyle w:val="Tableheading"/>
              <w:rPr>
                <w:rFonts w:ascii="Univers 45 Light" w:hAnsi="Univers 45 Light"/>
              </w:rPr>
            </w:pPr>
            <w:r w:rsidRPr="00467F5A">
              <w:rPr>
                <w:rFonts w:ascii="Univers 45 Light" w:hAnsi="Univers 45 Light"/>
                <w:color w:val="000000" w:themeColor="text1"/>
              </w:rPr>
              <w:t>Source data and systems</w:t>
            </w:r>
          </w:p>
        </w:tc>
        <w:tc>
          <w:tcPr>
            <w:tcW w:w="1940" w:type="dxa"/>
            <w:tcBorders>
              <w:top w:val="nil"/>
              <w:left w:val="single" w:sz="8" w:space="0" w:color="auto"/>
              <w:bottom w:val="single" w:sz="8" w:space="0" w:color="auto"/>
              <w:right w:val="single" w:sz="8" w:space="0" w:color="auto"/>
            </w:tcBorders>
            <w:shd w:val="clear" w:color="auto" w:fill="808080"/>
            <w:vAlign w:val="center"/>
          </w:tcPr>
          <w:p w14:paraId="49C00EE5" w14:textId="77777777" w:rsidR="00D663E3" w:rsidRPr="00630A55" w:rsidRDefault="00D663E3" w:rsidP="00A92341">
            <w:pPr>
              <w:pStyle w:val="Tableheading"/>
              <w:rPr>
                <w:rFonts w:ascii="Univers 45 Light" w:hAnsi="Univers 45 Light"/>
              </w:rPr>
            </w:pPr>
          </w:p>
        </w:tc>
      </w:tr>
      <w:tr w:rsidR="00D663E3" w:rsidRPr="00630A55" w14:paraId="4B486606" w14:textId="77777777" w:rsidTr="001B72FF">
        <w:trPr>
          <w:trHeight w:val="543"/>
        </w:trPr>
        <w:tc>
          <w:tcPr>
            <w:tcW w:w="29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20986AE" w14:textId="77777777" w:rsidR="00D663E3" w:rsidRPr="00B16266" w:rsidRDefault="00D663E3" w:rsidP="009527C7">
            <w:pPr>
              <w:pStyle w:val="Tabletext"/>
            </w:pPr>
            <w:r w:rsidRPr="00B16266">
              <w:t>Reconciliation back to GL and audited statements</w:t>
            </w:r>
          </w:p>
        </w:tc>
        <w:tc>
          <w:tcPr>
            <w:tcW w:w="2068" w:type="dxa"/>
            <w:tcBorders>
              <w:top w:val="nil"/>
              <w:left w:val="nil"/>
              <w:bottom w:val="single" w:sz="8" w:space="0" w:color="auto"/>
              <w:right w:val="single" w:sz="8" w:space="0" w:color="auto"/>
            </w:tcBorders>
            <w:tcMar>
              <w:top w:w="0" w:type="dxa"/>
              <w:left w:w="108" w:type="dxa"/>
              <w:bottom w:w="0" w:type="dxa"/>
              <w:right w:w="108" w:type="dxa"/>
            </w:tcMar>
          </w:tcPr>
          <w:p w14:paraId="62808D69" w14:textId="77777777" w:rsidR="00D663E3" w:rsidRPr="00B16266" w:rsidRDefault="00D663E3" w:rsidP="001B72FF">
            <w:pPr>
              <w:pStyle w:val="Tabletext"/>
            </w:pPr>
            <w:r>
              <w:t>GL is reconciled for each costing cycle</w:t>
            </w:r>
          </w:p>
        </w:tc>
        <w:tc>
          <w:tcPr>
            <w:tcW w:w="2020" w:type="dxa"/>
            <w:tcBorders>
              <w:top w:val="nil"/>
              <w:left w:val="nil"/>
              <w:bottom w:val="single" w:sz="8" w:space="0" w:color="auto"/>
              <w:right w:val="single" w:sz="8" w:space="0" w:color="auto"/>
            </w:tcBorders>
            <w:tcMar>
              <w:top w:w="0" w:type="dxa"/>
              <w:left w:w="108" w:type="dxa"/>
              <w:bottom w:w="0" w:type="dxa"/>
              <w:right w:w="108" w:type="dxa"/>
            </w:tcMar>
          </w:tcPr>
          <w:p w14:paraId="78BDEAEE" w14:textId="77777777" w:rsidR="00D663E3" w:rsidRPr="00B16266" w:rsidRDefault="00D663E3" w:rsidP="001B72FF">
            <w:pPr>
              <w:pStyle w:val="Tabletext"/>
            </w:pPr>
            <w:r w:rsidRPr="0050005A">
              <w:t>GL is reconciled for each costing cycle</w:t>
            </w:r>
          </w:p>
        </w:tc>
        <w:tc>
          <w:tcPr>
            <w:tcW w:w="1940" w:type="dxa"/>
            <w:tcBorders>
              <w:top w:val="nil"/>
              <w:left w:val="nil"/>
              <w:bottom w:val="single" w:sz="8" w:space="0" w:color="auto"/>
              <w:right w:val="single" w:sz="8" w:space="0" w:color="auto"/>
            </w:tcBorders>
          </w:tcPr>
          <w:p w14:paraId="28EA9AFB" w14:textId="77777777" w:rsidR="00D663E3" w:rsidRPr="00B16266" w:rsidRDefault="00D663E3" w:rsidP="001B72FF">
            <w:pPr>
              <w:pStyle w:val="Tabletext"/>
            </w:pPr>
            <w:r w:rsidRPr="0050005A">
              <w:t>GL is reconciled for each costing cycle</w:t>
            </w:r>
          </w:p>
        </w:tc>
      </w:tr>
      <w:tr w:rsidR="00D663E3" w:rsidRPr="00630A55" w14:paraId="549F234D" w14:textId="77777777" w:rsidTr="001B72FF">
        <w:trPr>
          <w:trHeight w:val="543"/>
        </w:trPr>
        <w:tc>
          <w:tcPr>
            <w:tcW w:w="29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37EE207" w14:textId="77777777" w:rsidR="00D663E3" w:rsidRPr="00B16266" w:rsidRDefault="00D663E3" w:rsidP="009527C7">
            <w:pPr>
              <w:pStyle w:val="Tabletext"/>
            </w:pPr>
            <w:r w:rsidRPr="00B16266">
              <w:t>Reconciliation of activity data back to source systems</w:t>
            </w:r>
          </w:p>
        </w:tc>
        <w:tc>
          <w:tcPr>
            <w:tcW w:w="2068" w:type="dxa"/>
            <w:tcBorders>
              <w:top w:val="nil"/>
              <w:left w:val="nil"/>
              <w:bottom w:val="single" w:sz="8" w:space="0" w:color="auto"/>
              <w:right w:val="single" w:sz="8" w:space="0" w:color="auto"/>
            </w:tcBorders>
            <w:tcMar>
              <w:top w:w="0" w:type="dxa"/>
              <w:left w:w="108" w:type="dxa"/>
              <w:bottom w:w="0" w:type="dxa"/>
              <w:right w:w="108" w:type="dxa"/>
            </w:tcMar>
          </w:tcPr>
          <w:p w14:paraId="25B1E4F6" w14:textId="77777777" w:rsidR="00D663E3" w:rsidRPr="00B16266" w:rsidRDefault="00D663E3" w:rsidP="001B72FF">
            <w:pPr>
              <w:pStyle w:val="Tabletext"/>
            </w:pPr>
            <w:r>
              <w:t>Numerous checks performed when activity data is extracted from source systems</w:t>
            </w:r>
          </w:p>
        </w:tc>
        <w:tc>
          <w:tcPr>
            <w:tcW w:w="2020" w:type="dxa"/>
            <w:tcBorders>
              <w:top w:val="nil"/>
              <w:left w:val="nil"/>
              <w:bottom w:val="single" w:sz="8" w:space="0" w:color="auto"/>
              <w:right w:val="single" w:sz="8" w:space="0" w:color="auto"/>
            </w:tcBorders>
            <w:tcMar>
              <w:top w:w="0" w:type="dxa"/>
              <w:left w:w="108" w:type="dxa"/>
              <w:bottom w:w="0" w:type="dxa"/>
              <w:right w:w="108" w:type="dxa"/>
            </w:tcMar>
          </w:tcPr>
          <w:p w14:paraId="34A9709C" w14:textId="77777777" w:rsidR="00D663E3" w:rsidRPr="00B16266" w:rsidRDefault="00D663E3" w:rsidP="001B72FF">
            <w:pPr>
              <w:pStyle w:val="Tabletext"/>
            </w:pPr>
            <w:r w:rsidRPr="00332640">
              <w:t>Numerous checks performed when activity data is extracted from source systems</w:t>
            </w:r>
          </w:p>
        </w:tc>
        <w:tc>
          <w:tcPr>
            <w:tcW w:w="1940" w:type="dxa"/>
            <w:tcBorders>
              <w:top w:val="nil"/>
              <w:left w:val="nil"/>
              <w:bottom w:val="single" w:sz="8" w:space="0" w:color="auto"/>
              <w:right w:val="single" w:sz="8" w:space="0" w:color="auto"/>
            </w:tcBorders>
          </w:tcPr>
          <w:p w14:paraId="6351CFD6" w14:textId="77777777" w:rsidR="00D663E3" w:rsidRPr="00B16266" w:rsidRDefault="00D663E3" w:rsidP="001B72FF">
            <w:pPr>
              <w:pStyle w:val="Tabletext"/>
            </w:pPr>
            <w:r w:rsidRPr="00332640">
              <w:t>Numerous checks performed when activity data is extracted from source systems</w:t>
            </w:r>
          </w:p>
        </w:tc>
      </w:tr>
      <w:tr w:rsidR="00D663E3" w:rsidRPr="00630A55" w14:paraId="4DC3F949" w14:textId="77777777" w:rsidTr="00A92341">
        <w:trPr>
          <w:trHeight w:val="280"/>
        </w:trPr>
        <w:tc>
          <w:tcPr>
            <w:tcW w:w="7055" w:type="dxa"/>
            <w:gridSpan w:val="3"/>
            <w:tcBorders>
              <w:top w:val="nil"/>
              <w:left w:val="single" w:sz="8" w:space="0" w:color="auto"/>
              <w:bottom w:val="single" w:sz="8" w:space="0" w:color="auto"/>
              <w:right w:val="single" w:sz="8" w:space="0" w:color="auto"/>
            </w:tcBorders>
            <w:shd w:val="clear" w:color="auto" w:fill="808080"/>
            <w:tcMar>
              <w:top w:w="0" w:type="dxa"/>
              <w:left w:w="108" w:type="dxa"/>
              <w:bottom w:w="0" w:type="dxa"/>
              <w:right w:w="108" w:type="dxa"/>
            </w:tcMar>
            <w:vAlign w:val="center"/>
            <w:hideMark/>
          </w:tcPr>
          <w:p w14:paraId="781A23A6" w14:textId="78280C11" w:rsidR="00D663E3" w:rsidRPr="00630A55" w:rsidRDefault="00D663E3" w:rsidP="00A92341">
            <w:pPr>
              <w:pStyle w:val="Tableheading"/>
              <w:rPr>
                <w:rFonts w:ascii="Univers 45 Light" w:hAnsi="Univers 45 Light"/>
              </w:rPr>
            </w:pPr>
            <w:r w:rsidRPr="00467F5A">
              <w:rPr>
                <w:rFonts w:ascii="Univers 45 Light" w:hAnsi="Univers 45 Light"/>
                <w:color w:val="000000" w:themeColor="text1"/>
              </w:rPr>
              <w:t xml:space="preserve">Costing </w:t>
            </w:r>
            <w:r w:rsidR="00127687">
              <w:rPr>
                <w:rFonts w:ascii="Univers 45 Light" w:hAnsi="Univers 45 Light"/>
                <w:color w:val="000000" w:themeColor="text1"/>
              </w:rPr>
              <w:t>d</w:t>
            </w:r>
            <w:r w:rsidRPr="00467F5A">
              <w:rPr>
                <w:rFonts w:ascii="Univers 45 Light" w:hAnsi="Univers 45 Light"/>
                <w:color w:val="000000" w:themeColor="text1"/>
              </w:rPr>
              <w:t xml:space="preserve">ata – </w:t>
            </w:r>
            <w:r w:rsidR="00127687">
              <w:rPr>
                <w:rFonts w:ascii="Univers 45 Light" w:hAnsi="Univers 45 Light"/>
                <w:color w:val="000000" w:themeColor="text1"/>
              </w:rPr>
              <w:t>v</w:t>
            </w:r>
            <w:r w:rsidRPr="00467F5A">
              <w:rPr>
                <w:rFonts w:ascii="Univers 45 Light" w:hAnsi="Univers 45 Light"/>
                <w:color w:val="000000" w:themeColor="text1"/>
              </w:rPr>
              <w:t>alidation</w:t>
            </w:r>
          </w:p>
        </w:tc>
        <w:tc>
          <w:tcPr>
            <w:tcW w:w="1940" w:type="dxa"/>
            <w:tcBorders>
              <w:top w:val="nil"/>
              <w:left w:val="single" w:sz="8" w:space="0" w:color="auto"/>
              <w:bottom w:val="single" w:sz="8" w:space="0" w:color="auto"/>
              <w:right w:val="single" w:sz="8" w:space="0" w:color="auto"/>
            </w:tcBorders>
            <w:shd w:val="clear" w:color="auto" w:fill="808080"/>
            <w:vAlign w:val="center"/>
          </w:tcPr>
          <w:p w14:paraId="1DD69FFA" w14:textId="77777777" w:rsidR="00D663E3" w:rsidRPr="00630A55" w:rsidRDefault="00D663E3" w:rsidP="00A92341">
            <w:pPr>
              <w:pStyle w:val="Tableheading"/>
              <w:rPr>
                <w:rFonts w:ascii="Univers 45 Light" w:hAnsi="Univers 45 Light"/>
              </w:rPr>
            </w:pPr>
          </w:p>
        </w:tc>
      </w:tr>
      <w:tr w:rsidR="00D663E3" w:rsidRPr="00630A55" w14:paraId="76F653E8" w14:textId="77777777" w:rsidTr="001B72FF">
        <w:trPr>
          <w:trHeight w:val="543"/>
        </w:trPr>
        <w:tc>
          <w:tcPr>
            <w:tcW w:w="29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3F3996" w14:textId="77777777" w:rsidR="00D663E3" w:rsidRPr="00B16266" w:rsidRDefault="00D663E3" w:rsidP="009527C7">
            <w:pPr>
              <w:pStyle w:val="Tabletext"/>
            </w:pPr>
            <w:r w:rsidRPr="00B16266">
              <w:t>Trend analysis to prior periods across cost products</w:t>
            </w:r>
          </w:p>
        </w:tc>
        <w:tc>
          <w:tcPr>
            <w:tcW w:w="2068" w:type="dxa"/>
            <w:tcBorders>
              <w:top w:val="nil"/>
              <w:left w:val="nil"/>
              <w:bottom w:val="single" w:sz="8" w:space="0" w:color="auto"/>
              <w:right w:val="single" w:sz="8" w:space="0" w:color="auto"/>
            </w:tcBorders>
            <w:tcMar>
              <w:top w:w="0" w:type="dxa"/>
              <w:left w:w="108" w:type="dxa"/>
              <w:bottom w:w="0" w:type="dxa"/>
              <w:right w:w="108" w:type="dxa"/>
            </w:tcMar>
          </w:tcPr>
          <w:p w14:paraId="7E91280C" w14:textId="77777777" w:rsidR="00D663E3" w:rsidRPr="00B16266" w:rsidRDefault="00D663E3" w:rsidP="001B72FF">
            <w:pPr>
              <w:pStyle w:val="Tabletext"/>
            </w:pPr>
            <w:r>
              <w:t>Yes</w:t>
            </w:r>
          </w:p>
        </w:tc>
        <w:tc>
          <w:tcPr>
            <w:tcW w:w="2020" w:type="dxa"/>
            <w:vMerge w:val="restart"/>
            <w:tcBorders>
              <w:top w:val="nil"/>
              <w:left w:val="nil"/>
              <w:right w:val="single" w:sz="8" w:space="0" w:color="auto"/>
            </w:tcBorders>
            <w:shd w:val="clear" w:color="auto" w:fill="auto"/>
            <w:tcMar>
              <w:top w:w="0" w:type="dxa"/>
              <w:left w:w="108" w:type="dxa"/>
              <w:bottom w:w="0" w:type="dxa"/>
              <w:right w:w="108" w:type="dxa"/>
            </w:tcMar>
          </w:tcPr>
          <w:p w14:paraId="21BA5E9B" w14:textId="77777777" w:rsidR="00D663E3" w:rsidRPr="00127687" w:rsidRDefault="00D663E3" w:rsidP="001B72FF">
            <w:pPr>
              <w:pStyle w:val="Tabletext"/>
            </w:pPr>
            <w:r>
              <w:t>Rural Support Services (RSS) work across regional LHNs to review data in</w:t>
            </w:r>
            <w:r w:rsidRPr="00127687">
              <w:t xml:space="preserve"> PPM and match this to activity. </w:t>
            </w:r>
          </w:p>
          <w:p w14:paraId="05CC18BC" w14:textId="77777777" w:rsidR="00D663E3" w:rsidRDefault="00D663E3" w:rsidP="001B72FF">
            <w:pPr>
              <w:pStyle w:val="Tabletext"/>
            </w:pPr>
          </w:p>
          <w:p w14:paraId="01DD8F29" w14:textId="77777777" w:rsidR="00D663E3" w:rsidRPr="00B16266" w:rsidRDefault="00D663E3" w:rsidP="001B72FF">
            <w:pPr>
              <w:pStyle w:val="Tabletext"/>
            </w:pPr>
            <w:r>
              <w:t xml:space="preserve">Reasonableness and analysis of trends and outliers is conducted regularly. </w:t>
            </w:r>
          </w:p>
        </w:tc>
        <w:tc>
          <w:tcPr>
            <w:tcW w:w="1940" w:type="dxa"/>
            <w:vMerge w:val="restart"/>
            <w:tcBorders>
              <w:top w:val="nil"/>
              <w:left w:val="nil"/>
              <w:right w:val="single" w:sz="8" w:space="0" w:color="auto"/>
            </w:tcBorders>
            <w:shd w:val="clear" w:color="auto" w:fill="auto"/>
          </w:tcPr>
          <w:p w14:paraId="2BC9C77A" w14:textId="77777777" w:rsidR="00D663E3" w:rsidRPr="00B16266" w:rsidRDefault="00D663E3" w:rsidP="001B72FF">
            <w:pPr>
              <w:pStyle w:val="Tabletext"/>
            </w:pPr>
            <w:r>
              <w:t xml:space="preserve">A costing report is produced alongside each costing run to highlight broader LMH performance and divisional performance against benchmarks and prior years. </w:t>
            </w:r>
          </w:p>
        </w:tc>
      </w:tr>
      <w:tr w:rsidR="00D663E3" w:rsidRPr="00630A55" w14:paraId="36CB52D9" w14:textId="77777777" w:rsidTr="001B72FF">
        <w:trPr>
          <w:trHeight w:val="543"/>
        </w:trPr>
        <w:tc>
          <w:tcPr>
            <w:tcW w:w="29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FDF226" w14:textId="77777777" w:rsidR="00D663E3" w:rsidRPr="00B16266" w:rsidRDefault="00D663E3" w:rsidP="009527C7">
            <w:pPr>
              <w:pStyle w:val="Tabletext"/>
            </w:pPr>
            <w:r w:rsidRPr="00B16266">
              <w:t>Reasonableness test of excluded data and outliers</w:t>
            </w:r>
          </w:p>
        </w:tc>
        <w:tc>
          <w:tcPr>
            <w:tcW w:w="2068" w:type="dxa"/>
            <w:tcBorders>
              <w:top w:val="nil"/>
              <w:left w:val="nil"/>
              <w:bottom w:val="single" w:sz="8" w:space="0" w:color="auto"/>
              <w:right w:val="single" w:sz="8" w:space="0" w:color="auto"/>
            </w:tcBorders>
            <w:tcMar>
              <w:top w:w="0" w:type="dxa"/>
              <w:left w:w="108" w:type="dxa"/>
              <w:bottom w:w="0" w:type="dxa"/>
              <w:right w:w="108" w:type="dxa"/>
            </w:tcMar>
          </w:tcPr>
          <w:p w14:paraId="433F9A35" w14:textId="77777777" w:rsidR="00D663E3" w:rsidRPr="00B16266" w:rsidRDefault="00D663E3" w:rsidP="001B72FF">
            <w:pPr>
              <w:pStyle w:val="Tabletext"/>
            </w:pPr>
            <w:r>
              <w:t>Yes</w:t>
            </w:r>
          </w:p>
        </w:tc>
        <w:tc>
          <w:tcPr>
            <w:tcW w:w="2020" w:type="dxa"/>
            <w:vMerge/>
            <w:tcBorders>
              <w:left w:val="nil"/>
              <w:right w:val="single" w:sz="8" w:space="0" w:color="auto"/>
            </w:tcBorders>
            <w:shd w:val="clear" w:color="auto" w:fill="auto"/>
            <w:tcMar>
              <w:top w:w="0" w:type="dxa"/>
              <w:left w:w="108" w:type="dxa"/>
              <w:bottom w:w="0" w:type="dxa"/>
              <w:right w:w="108" w:type="dxa"/>
            </w:tcMar>
          </w:tcPr>
          <w:p w14:paraId="7A0BCD80" w14:textId="77777777" w:rsidR="00D663E3" w:rsidRPr="00B16266" w:rsidRDefault="00D663E3" w:rsidP="001B72FF">
            <w:pPr>
              <w:pStyle w:val="Tabletext"/>
            </w:pPr>
          </w:p>
        </w:tc>
        <w:tc>
          <w:tcPr>
            <w:tcW w:w="1940" w:type="dxa"/>
            <w:vMerge/>
            <w:tcBorders>
              <w:left w:val="nil"/>
              <w:right w:val="single" w:sz="8" w:space="0" w:color="auto"/>
            </w:tcBorders>
            <w:shd w:val="clear" w:color="auto" w:fill="auto"/>
          </w:tcPr>
          <w:p w14:paraId="31D79712" w14:textId="77777777" w:rsidR="00D663E3" w:rsidRPr="00B16266" w:rsidRDefault="00D663E3" w:rsidP="001B72FF">
            <w:pPr>
              <w:pStyle w:val="Tabletext"/>
            </w:pPr>
          </w:p>
        </w:tc>
      </w:tr>
      <w:tr w:rsidR="00D663E3" w:rsidRPr="00630A55" w14:paraId="5F104970" w14:textId="77777777" w:rsidTr="001B72FF">
        <w:trPr>
          <w:trHeight w:val="806"/>
        </w:trPr>
        <w:tc>
          <w:tcPr>
            <w:tcW w:w="29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362959" w14:textId="7E2681C2" w:rsidR="00D663E3" w:rsidRPr="00B16266" w:rsidRDefault="00D663E3" w:rsidP="009527C7">
            <w:pPr>
              <w:pStyle w:val="Tabletext"/>
            </w:pPr>
            <w:r w:rsidRPr="00B16266">
              <w:t>Analysis of outliers at the cost, LOS or cost bucket level</w:t>
            </w:r>
          </w:p>
        </w:tc>
        <w:tc>
          <w:tcPr>
            <w:tcW w:w="2068" w:type="dxa"/>
            <w:tcBorders>
              <w:top w:val="nil"/>
              <w:left w:val="nil"/>
              <w:bottom w:val="single" w:sz="8" w:space="0" w:color="auto"/>
              <w:right w:val="single" w:sz="8" w:space="0" w:color="auto"/>
            </w:tcBorders>
            <w:tcMar>
              <w:top w:w="0" w:type="dxa"/>
              <w:left w:w="108" w:type="dxa"/>
              <w:bottom w:w="0" w:type="dxa"/>
              <w:right w:w="108" w:type="dxa"/>
            </w:tcMar>
          </w:tcPr>
          <w:p w14:paraId="05DCFEFF" w14:textId="77777777" w:rsidR="00D663E3" w:rsidRPr="00B16266" w:rsidRDefault="00D663E3" w:rsidP="001B72FF">
            <w:pPr>
              <w:pStyle w:val="Tabletext"/>
            </w:pPr>
            <w:r>
              <w:t>Yes</w:t>
            </w:r>
          </w:p>
        </w:tc>
        <w:tc>
          <w:tcPr>
            <w:tcW w:w="2020" w:type="dxa"/>
            <w:vMerge/>
            <w:tcBorders>
              <w:left w:val="nil"/>
              <w:right w:val="single" w:sz="8" w:space="0" w:color="auto"/>
            </w:tcBorders>
            <w:shd w:val="clear" w:color="auto" w:fill="auto"/>
            <w:tcMar>
              <w:top w:w="0" w:type="dxa"/>
              <w:left w:w="108" w:type="dxa"/>
              <w:bottom w:w="0" w:type="dxa"/>
              <w:right w:w="108" w:type="dxa"/>
            </w:tcMar>
          </w:tcPr>
          <w:p w14:paraId="0A2F30F1" w14:textId="77777777" w:rsidR="00D663E3" w:rsidRPr="00B16266" w:rsidRDefault="00D663E3" w:rsidP="001B72FF">
            <w:pPr>
              <w:pStyle w:val="Tabletext"/>
            </w:pPr>
          </w:p>
        </w:tc>
        <w:tc>
          <w:tcPr>
            <w:tcW w:w="1940" w:type="dxa"/>
            <w:vMerge/>
            <w:tcBorders>
              <w:left w:val="nil"/>
              <w:right w:val="single" w:sz="8" w:space="0" w:color="auto"/>
            </w:tcBorders>
            <w:shd w:val="clear" w:color="auto" w:fill="auto"/>
          </w:tcPr>
          <w:p w14:paraId="4F7538C9" w14:textId="77777777" w:rsidR="00D663E3" w:rsidRPr="00B16266" w:rsidRDefault="00D663E3" w:rsidP="001B72FF">
            <w:pPr>
              <w:pStyle w:val="Tabletext"/>
            </w:pPr>
          </w:p>
        </w:tc>
      </w:tr>
      <w:tr w:rsidR="00D663E3" w:rsidRPr="00630A55" w14:paraId="2CD48F54" w14:textId="77777777" w:rsidTr="001B72FF">
        <w:trPr>
          <w:trHeight w:val="543"/>
        </w:trPr>
        <w:tc>
          <w:tcPr>
            <w:tcW w:w="29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EDE4666" w14:textId="77777777" w:rsidR="00D663E3" w:rsidRPr="00B16266" w:rsidRDefault="00D663E3" w:rsidP="009527C7">
            <w:pPr>
              <w:pStyle w:val="Tabletext"/>
            </w:pPr>
            <w:r w:rsidRPr="00B16266">
              <w:t>Reasonableness of direct vs overhead allocations</w:t>
            </w:r>
          </w:p>
        </w:tc>
        <w:tc>
          <w:tcPr>
            <w:tcW w:w="2068" w:type="dxa"/>
            <w:tcBorders>
              <w:top w:val="nil"/>
              <w:left w:val="nil"/>
              <w:bottom w:val="single" w:sz="8" w:space="0" w:color="auto"/>
              <w:right w:val="single" w:sz="8" w:space="0" w:color="auto"/>
            </w:tcBorders>
            <w:tcMar>
              <w:top w:w="0" w:type="dxa"/>
              <w:left w:w="108" w:type="dxa"/>
              <w:bottom w:w="0" w:type="dxa"/>
              <w:right w:w="108" w:type="dxa"/>
            </w:tcMar>
          </w:tcPr>
          <w:p w14:paraId="003F8270" w14:textId="77777777" w:rsidR="00D663E3" w:rsidRPr="00B16266" w:rsidRDefault="00D663E3" w:rsidP="001B72FF">
            <w:pPr>
              <w:pStyle w:val="Tabletext"/>
            </w:pPr>
            <w:r>
              <w:t>Yes</w:t>
            </w:r>
          </w:p>
        </w:tc>
        <w:tc>
          <w:tcPr>
            <w:tcW w:w="2020" w:type="dxa"/>
            <w:vMerge/>
            <w:tcBorders>
              <w:left w:val="nil"/>
              <w:bottom w:val="single" w:sz="4" w:space="0" w:color="auto"/>
              <w:right w:val="single" w:sz="8" w:space="0" w:color="auto"/>
            </w:tcBorders>
            <w:shd w:val="clear" w:color="auto" w:fill="auto"/>
            <w:tcMar>
              <w:top w:w="0" w:type="dxa"/>
              <w:left w:w="108" w:type="dxa"/>
              <w:bottom w:w="0" w:type="dxa"/>
              <w:right w:w="108" w:type="dxa"/>
            </w:tcMar>
          </w:tcPr>
          <w:p w14:paraId="1F7BABD3" w14:textId="77777777" w:rsidR="00D663E3" w:rsidRPr="00B16266" w:rsidRDefault="00D663E3" w:rsidP="001B72FF">
            <w:pPr>
              <w:pStyle w:val="Tabletext"/>
            </w:pPr>
          </w:p>
        </w:tc>
        <w:tc>
          <w:tcPr>
            <w:tcW w:w="1940" w:type="dxa"/>
            <w:vMerge/>
            <w:tcBorders>
              <w:left w:val="nil"/>
              <w:bottom w:val="single" w:sz="4" w:space="0" w:color="auto"/>
              <w:right w:val="single" w:sz="8" w:space="0" w:color="auto"/>
            </w:tcBorders>
            <w:shd w:val="clear" w:color="auto" w:fill="auto"/>
          </w:tcPr>
          <w:p w14:paraId="667B8CC7" w14:textId="77777777" w:rsidR="00D663E3" w:rsidRPr="00B16266" w:rsidRDefault="00D663E3" w:rsidP="001B72FF">
            <w:pPr>
              <w:pStyle w:val="Tabletext"/>
            </w:pPr>
          </w:p>
        </w:tc>
      </w:tr>
      <w:tr w:rsidR="00D663E3" w:rsidRPr="00630A55" w14:paraId="2FD27564" w14:textId="77777777" w:rsidTr="001B72FF">
        <w:trPr>
          <w:trHeight w:val="280"/>
        </w:trPr>
        <w:tc>
          <w:tcPr>
            <w:tcW w:w="29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18B459B" w14:textId="77777777" w:rsidR="00D663E3" w:rsidRPr="00B16266" w:rsidRDefault="00D663E3" w:rsidP="009527C7">
            <w:pPr>
              <w:pStyle w:val="Tabletext"/>
            </w:pPr>
            <w:r w:rsidRPr="00B16266">
              <w:t>Specific business rule tests</w:t>
            </w:r>
          </w:p>
        </w:tc>
        <w:tc>
          <w:tcPr>
            <w:tcW w:w="2068" w:type="dxa"/>
            <w:tcBorders>
              <w:top w:val="nil"/>
              <w:left w:val="nil"/>
              <w:bottom w:val="single" w:sz="8" w:space="0" w:color="auto"/>
              <w:right w:val="single" w:sz="8" w:space="0" w:color="auto"/>
            </w:tcBorders>
            <w:tcMar>
              <w:top w:w="0" w:type="dxa"/>
              <w:left w:w="108" w:type="dxa"/>
              <w:bottom w:w="0" w:type="dxa"/>
              <w:right w:w="108" w:type="dxa"/>
            </w:tcMar>
          </w:tcPr>
          <w:p w14:paraId="06FA3F14" w14:textId="77777777" w:rsidR="00D663E3" w:rsidRPr="00B16266" w:rsidRDefault="00D663E3" w:rsidP="001B72FF">
            <w:pPr>
              <w:pStyle w:val="Tabletext"/>
            </w:pPr>
            <w:r>
              <w:t>Central team control feeder data and QA the data and run through the business rules for each LHN</w:t>
            </w:r>
          </w:p>
        </w:tc>
        <w:tc>
          <w:tcPr>
            <w:tcW w:w="2020"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95287CE" w14:textId="77777777" w:rsidR="00D663E3" w:rsidRPr="00B16266" w:rsidRDefault="00D663E3" w:rsidP="001B72FF">
            <w:pPr>
              <w:pStyle w:val="Tabletext"/>
            </w:pPr>
            <w:r>
              <w:t>Completed centrally</w:t>
            </w:r>
          </w:p>
        </w:tc>
        <w:tc>
          <w:tcPr>
            <w:tcW w:w="1940" w:type="dxa"/>
            <w:tcBorders>
              <w:top w:val="single" w:sz="4" w:space="0" w:color="auto"/>
              <w:left w:val="nil"/>
              <w:bottom w:val="single" w:sz="8" w:space="0" w:color="auto"/>
              <w:right w:val="single" w:sz="8" w:space="0" w:color="auto"/>
            </w:tcBorders>
            <w:shd w:val="clear" w:color="auto" w:fill="auto"/>
          </w:tcPr>
          <w:p w14:paraId="7E30C3BF" w14:textId="77777777" w:rsidR="00D663E3" w:rsidRPr="00B16266" w:rsidRDefault="00D663E3" w:rsidP="001B72FF">
            <w:pPr>
              <w:pStyle w:val="Tabletext"/>
            </w:pPr>
            <w:r>
              <w:t>Completed centrally</w:t>
            </w:r>
          </w:p>
        </w:tc>
      </w:tr>
      <w:tr w:rsidR="00D663E3" w:rsidRPr="00630A55" w14:paraId="3DE5EB32" w14:textId="77777777" w:rsidTr="00A92341">
        <w:trPr>
          <w:trHeight w:val="280"/>
        </w:trPr>
        <w:tc>
          <w:tcPr>
            <w:tcW w:w="7055" w:type="dxa"/>
            <w:gridSpan w:val="3"/>
            <w:tcBorders>
              <w:top w:val="nil"/>
              <w:left w:val="single" w:sz="8" w:space="0" w:color="auto"/>
              <w:bottom w:val="single" w:sz="8" w:space="0" w:color="auto"/>
              <w:right w:val="single" w:sz="8" w:space="0" w:color="auto"/>
            </w:tcBorders>
            <w:shd w:val="clear" w:color="auto" w:fill="808080"/>
            <w:tcMar>
              <w:top w:w="0" w:type="dxa"/>
              <w:left w:w="108" w:type="dxa"/>
              <w:bottom w:w="0" w:type="dxa"/>
              <w:right w:w="108" w:type="dxa"/>
            </w:tcMar>
            <w:vAlign w:val="center"/>
            <w:hideMark/>
          </w:tcPr>
          <w:p w14:paraId="37EE52AC" w14:textId="69FB4A91" w:rsidR="00D663E3" w:rsidRPr="00630A55" w:rsidRDefault="00D663E3" w:rsidP="00A92341">
            <w:pPr>
              <w:pStyle w:val="Tableheading"/>
              <w:rPr>
                <w:rFonts w:ascii="Univers 45 Light" w:hAnsi="Univers 45 Light"/>
              </w:rPr>
            </w:pPr>
            <w:r w:rsidRPr="00467F5A">
              <w:rPr>
                <w:rFonts w:ascii="Univers 45 Light" w:hAnsi="Univers 45 Light"/>
                <w:color w:val="000000" w:themeColor="text1"/>
              </w:rPr>
              <w:t xml:space="preserve">Costing </w:t>
            </w:r>
            <w:r w:rsidR="00127687">
              <w:rPr>
                <w:rFonts w:ascii="Univers 45 Light" w:hAnsi="Univers 45 Light"/>
                <w:color w:val="000000" w:themeColor="text1"/>
              </w:rPr>
              <w:t>d</w:t>
            </w:r>
            <w:r w:rsidRPr="00467F5A">
              <w:rPr>
                <w:rFonts w:ascii="Univers 45 Light" w:hAnsi="Univers 45 Light"/>
                <w:color w:val="000000" w:themeColor="text1"/>
              </w:rPr>
              <w:t xml:space="preserve">ata – </w:t>
            </w:r>
            <w:r w:rsidR="00127687">
              <w:rPr>
                <w:rFonts w:ascii="Univers 45 Light" w:hAnsi="Univers 45 Light"/>
                <w:color w:val="000000" w:themeColor="text1"/>
              </w:rPr>
              <w:t>g</w:t>
            </w:r>
            <w:r w:rsidRPr="00467F5A">
              <w:rPr>
                <w:rFonts w:ascii="Univers 45 Light" w:hAnsi="Univers 45 Light"/>
                <w:color w:val="000000" w:themeColor="text1"/>
              </w:rPr>
              <w:t>overnance</w:t>
            </w:r>
          </w:p>
        </w:tc>
        <w:tc>
          <w:tcPr>
            <w:tcW w:w="1940" w:type="dxa"/>
            <w:tcBorders>
              <w:top w:val="nil"/>
              <w:left w:val="single" w:sz="8" w:space="0" w:color="auto"/>
              <w:bottom w:val="single" w:sz="8" w:space="0" w:color="auto"/>
              <w:right w:val="single" w:sz="8" w:space="0" w:color="auto"/>
            </w:tcBorders>
            <w:shd w:val="clear" w:color="auto" w:fill="808080"/>
            <w:vAlign w:val="center"/>
          </w:tcPr>
          <w:p w14:paraId="4CE6660D" w14:textId="77777777" w:rsidR="00D663E3" w:rsidRPr="00630A55" w:rsidRDefault="00D663E3" w:rsidP="00A92341">
            <w:pPr>
              <w:pStyle w:val="Tableheading"/>
              <w:rPr>
                <w:rFonts w:ascii="Univers 45 Light" w:hAnsi="Univers 45 Light"/>
              </w:rPr>
            </w:pPr>
          </w:p>
        </w:tc>
      </w:tr>
      <w:tr w:rsidR="00D663E3" w:rsidRPr="00630A55" w14:paraId="5E37118C" w14:textId="77777777" w:rsidTr="001B72FF">
        <w:trPr>
          <w:trHeight w:val="806"/>
        </w:trPr>
        <w:tc>
          <w:tcPr>
            <w:tcW w:w="29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87CBB46" w14:textId="77777777" w:rsidR="00D663E3" w:rsidRPr="00B16266" w:rsidRDefault="00D663E3" w:rsidP="009527C7">
            <w:pPr>
              <w:pStyle w:val="Tabletext"/>
            </w:pPr>
            <w:r w:rsidRPr="00B16266">
              <w:t>Regular updates with costing staff</w:t>
            </w:r>
          </w:p>
        </w:tc>
        <w:tc>
          <w:tcPr>
            <w:tcW w:w="2068" w:type="dxa"/>
            <w:tcBorders>
              <w:top w:val="nil"/>
              <w:left w:val="nil"/>
              <w:bottom w:val="single" w:sz="8" w:space="0" w:color="auto"/>
              <w:right w:val="single" w:sz="8" w:space="0" w:color="auto"/>
            </w:tcBorders>
            <w:tcMar>
              <w:top w:w="0" w:type="dxa"/>
              <w:left w:w="108" w:type="dxa"/>
              <w:bottom w:w="0" w:type="dxa"/>
              <w:right w:w="108" w:type="dxa"/>
            </w:tcMar>
          </w:tcPr>
          <w:p w14:paraId="24294BAA" w14:textId="77777777" w:rsidR="00D663E3" w:rsidRPr="00B16266" w:rsidRDefault="00D663E3" w:rsidP="001B72FF">
            <w:pPr>
              <w:pStyle w:val="Tabletext"/>
            </w:pPr>
            <w:r>
              <w:t xml:space="preserve">Conducted monthly – process and agenda soon to be renewed to improve value-add </w:t>
            </w:r>
          </w:p>
        </w:tc>
        <w:tc>
          <w:tcPr>
            <w:tcW w:w="2020" w:type="dxa"/>
            <w:tcBorders>
              <w:top w:val="nil"/>
              <w:left w:val="nil"/>
              <w:bottom w:val="single" w:sz="8" w:space="0" w:color="auto"/>
              <w:right w:val="single" w:sz="8" w:space="0" w:color="auto"/>
            </w:tcBorders>
            <w:tcMar>
              <w:top w:w="0" w:type="dxa"/>
              <w:left w:w="108" w:type="dxa"/>
              <w:bottom w:w="0" w:type="dxa"/>
              <w:right w:w="108" w:type="dxa"/>
            </w:tcMar>
          </w:tcPr>
          <w:p w14:paraId="5F488D6D" w14:textId="77777777" w:rsidR="00D663E3" w:rsidRPr="00B16266" w:rsidRDefault="00D663E3" w:rsidP="001B72FF">
            <w:pPr>
              <w:pStyle w:val="Tabletext"/>
            </w:pPr>
            <w:r w:rsidRPr="00866B0A">
              <w:t xml:space="preserve">Conducted monthly – process and agenda soon to be renewed to improve value-add </w:t>
            </w:r>
          </w:p>
        </w:tc>
        <w:tc>
          <w:tcPr>
            <w:tcW w:w="1940" w:type="dxa"/>
            <w:tcBorders>
              <w:top w:val="nil"/>
              <w:left w:val="nil"/>
              <w:bottom w:val="single" w:sz="8" w:space="0" w:color="auto"/>
              <w:right w:val="single" w:sz="8" w:space="0" w:color="auto"/>
            </w:tcBorders>
          </w:tcPr>
          <w:p w14:paraId="7D66722D" w14:textId="77777777" w:rsidR="00D663E3" w:rsidRPr="00B16266" w:rsidRDefault="00D663E3" w:rsidP="001B72FF">
            <w:pPr>
              <w:pStyle w:val="Tabletext"/>
            </w:pPr>
            <w:r w:rsidRPr="00866B0A">
              <w:t xml:space="preserve">Conducted monthly – process and agenda soon to be renewed to improve value-add </w:t>
            </w:r>
          </w:p>
        </w:tc>
      </w:tr>
      <w:tr w:rsidR="00D663E3" w:rsidRPr="00630A55" w14:paraId="241F9B7A" w14:textId="77777777" w:rsidTr="001B72FF">
        <w:trPr>
          <w:trHeight w:val="806"/>
        </w:trPr>
        <w:tc>
          <w:tcPr>
            <w:tcW w:w="29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A9029A" w14:textId="77777777" w:rsidR="00D663E3" w:rsidRPr="00B16266" w:rsidRDefault="00D663E3" w:rsidP="009527C7">
            <w:pPr>
              <w:pStyle w:val="Tabletext"/>
            </w:pPr>
            <w:r w:rsidRPr="00B16266">
              <w:t>Local guidelines supporting the AHPCS standards framework</w:t>
            </w:r>
          </w:p>
        </w:tc>
        <w:tc>
          <w:tcPr>
            <w:tcW w:w="2068" w:type="dxa"/>
            <w:tcBorders>
              <w:top w:val="nil"/>
              <w:left w:val="nil"/>
              <w:bottom w:val="single" w:sz="8" w:space="0" w:color="auto"/>
              <w:right w:val="single" w:sz="8" w:space="0" w:color="auto"/>
            </w:tcBorders>
            <w:tcMar>
              <w:top w:w="0" w:type="dxa"/>
              <w:left w:w="108" w:type="dxa"/>
              <w:bottom w:w="0" w:type="dxa"/>
              <w:right w:w="108" w:type="dxa"/>
            </w:tcMar>
          </w:tcPr>
          <w:p w14:paraId="4BD58026" w14:textId="77777777" w:rsidR="00D663E3" w:rsidRPr="00B16266" w:rsidRDefault="00D663E3" w:rsidP="001B72FF">
            <w:pPr>
              <w:pStyle w:val="Tabletext"/>
            </w:pPr>
            <w:r>
              <w:t>No</w:t>
            </w:r>
          </w:p>
        </w:tc>
        <w:tc>
          <w:tcPr>
            <w:tcW w:w="2020" w:type="dxa"/>
            <w:tcBorders>
              <w:top w:val="nil"/>
              <w:left w:val="nil"/>
              <w:bottom w:val="single" w:sz="8" w:space="0" w:color="auto"/>
              <w:right w:val="single" w:sz="8" w:space="0" w:color="auto"/>
            </w:tcBorders>
            <w:tcMar>
              <w:top w:w="0" w:type="dxa"/>
              <w:left w:w="108" w:type="dxa"/>
              <w:bottom w:w="0" w:type="dxa"/>
              <w:right w:w="108" w:type="dxa"/>
            </w:tcMar>
          </w:tcPr>
          <w:p w14:paraId="58A2001B" w14:textId="77777777" w:rsidR="00D663E3" w:rsidRPr="00BA3ECE" w:rsidRDefault="00D663E3" w:rsidP="001B72FF">
            <w:pPr>
              <w:pStyle w:val="Tabletext"/>
            </w:pPr>
            <w:r w:rsidRPr="00BA3ECE">
              <w:t xml:space="preserve">No </w:t>
            </w:r>
          </w:p>
        </w:tc>
        <w:tc>
          <w:tcPr>
            <w:tcW w:w="1940" w:type="dxa"/>
            <w:tcBorders>
              <w:top w:val="nil"/>
              <w:left w:val="nil"/>
              <w:bottom w:val="single" w:sz="8" w:space="0" w:color="auto"/>
              <w:right w:val="single" w:sz="8" w:space="0" w:color="auto"/>
            </w:tcBorders>
          </w:tcPr>
          <w:p w14:paraId="59EAE9FE" w14:textId="77777777" w:rsidR="00D663E3" w:rsidRPr="00BA3ECE" w:rsidRDefault="00D663E3" w:rsidP="001B72FF">
            <w:pPr>
              <w:pStyle w:val="Tabletext"/>
            </w:pPr>
            <w:r w:rsidRPr="00BA3ECE">
              <w:t>No</w:t>
            </w:r>
          </w:p>
        </w:tc>
      </w:tr>
      <w:tr w:rsidR="00D663E3" w:rsidRPr="00630A55" w14:paraId="24D8B233" w14:textId="77777777" w:rsidTr="001B72FF">
        <w:trPr>
          <w:trHeight w:val="280"/>
        </w:trPr>
        <w:tc>
          <w:tcPr>
            <w:tcW w:w="29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B9C67DE" w14:textId="77777777" w:rsidR="00D663E3" w:rsidRPr="00B16266" w:rsidRDefault="00D663E3" w:rsidP="009527C7">
            <w:pPr>
              <w:pStyle w:val="Tabletext"/>
            </w:pPr>
            <w:r w:rsidRPr="00B16266">
              <w:t>Review of cost allocations</w:t>
            </w:r>
          </w:p>
        </w:tc>
        <w:tc>
          <w:tcPr>
            <w:tcW w:w="2068" w:type="dxa"/>
            <w:tcBorders>
              <w:top w:val="nil"/>
              <w:left w:val="nil"/>
              <w:bottom w:val="single" w:sz="8" w:space="0" w:color="auto"/>
              <w:right w:val="single" w:sz="8" w:space="0" w:color="auto"/>
            </w:tcBorders>
            <w:tcMar>
              <w:top w:w="0" w:type="dxa"/>
              <w:left w:w="108" w:type="dxa"/>
              <w:bottom w:w="0" w:type="dxa"/>
              <w:right w:w="108" w:type="dxa"/>
            </w:tcMar>
          </w:tcPr>
          <w:p w14:paraId="6A49939A" w14:textId="77777777" w:rsidR="00D663E3" w:rsidRPr="00B16266" w:rsidRDefault="00D663E3" w:rsidP="001B72FF">
            <w:pPr>
              <w:pStyle w:val="Tabletext"/>
            </w:pPr>
            <w:r>
              <w:t>Yes, annually</w:t>
            </w:r>
          </w:p>
        </w:tc>
        <w:tc>
          <w:tcPr>
            <w:tcW w:w="2020" w:type="dxa"/>
            <w:tcBorders>
              <w:top w:val="nil"/>
              <w:left w:val="nil"/>
              <w:bottom w:val="single" w:sz="8" w:space="0" w:color="auto"/>
              <w:right w:val="single" w:sz="8" w:space="0" w:color="auto"/>
            </w:tcBorders>
            <w:tcMar>
              <w:top w:w="0" w:type="dxa"/>
              <w:left w:w="108" w:type="dxa"/>
              <w:bottom w:w="0" w:type="dxa"/>
              <w:right w:w="108" w:type="dxa"/>
            </w:tcMar>
          </w:tcPr>
          <w:p w14:paraId="23B060C6" w14:textId="77777777" w:rsidR="00D663E3" w:rsidRPr="00B16266" w:rsidRDefault="00D663E3" w:rsidP="001B72FF">
            <w:pPr>
              <w:pStyle w:val="Tabletext"/>
            </w:pPr>
            <w:r w:rsidRPr="004B786E">
              <w:t>Yes, annually</w:t>
            </w:r>
          </w:p>
        </w:tc>
        <w:tc>
          <w:tcPr>
            <w:tcW w:w="1940" w:type="dxa"/>
            <w:tcBorders>
              <w:top w:val="nil"/>
              <w:left w:val="nil"/>
              <w:bottom w:val="single" w:sz="8" w:space="0" w:color="auto"/>
              <w:right w:val="single" w:sz="8" w:space="0" w:color="auto"/>
            </w:tcBorders>
          </w:tcPr>
          <w:p w14:paraId="407D6000" w14:textId="77777777" w:rsidR="00D663E3" w:rsidRPr="00B16266" w:rsidRDefault="00D663E3" w:rsidP="001B72FF">
            <w:pPr>
              <w:pStyle w:val="Tabletext"/>
            </w:pPr>
            <w:r w:rsidRPr="004B786E">
              <w:t xml:space="preserve">Yes, </w:t>
            </w:r>
            <w:r>
              <w:t>quarterly</w:t>
            </w:r>
          </w:p>
        </w:tc>
      </w:tr>
      <w:tr w:rsidR="00D663E3" w:rsidRPr="00630A55" w14:paraId="30DD3C98" w14:textId="77777777" w:rsidTr="001B72FF">
        <w:trPr>
          <w:trHeight w:val="806"/>
        </w:trPr>
        <w:tc>
          <w:tcPr>
            <w:tcW w:w="29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8390BF8" w14:textId="77777777" w:rsidR="00D663E3" w:rsidRPr="00B16266" w:rsidRDefault="00D663E3" w:rsidP="009527C7">
            <w:pPr>
              <w:pStyle w:val="Tabletext"/>
            </w:pPr>
            <w:r w:rsidRPr="00B16266">
              <w:t>Review on reasonableness of costing data output</w:t>
            </w:r>
          </w:p>
        </w:tc>
        <w:tc>
          <w:tcPr>
            <w:tcW w:w="2068" w:type="dxa"/>
            <w:tcBorders>
              <w:top w:val="nil"/>
              <w:left w:val="nil"/>
              <w:bottom w:val="single" w:sz="8" w:space="0" w:color="auto"/>
              <w:right w:val="single" w:sz="8" w:space="0" w:color="auto"/>
            </w:tcBorders>
            <w:tcMar>
              <w:top w:w="0" w:type="dxa"/>
              <w:left w:w="108" w:type="dxa"/>
              <w:bottom w:w="0" w:type="dxa"/>
              <w:right w:w="108" w:type="dxa"/>
            </w:tcMar>
          </w:tcPr>
          <w:p w14:paraId="2F8D00D6" w14:textId="77777777" w:rsidR="00D663E3" w:rsidRPr="00B16266" w:rsidRDefault="00D663E3" w:rsidP="001B72FF">
            <w:pPr>
              <w:pStyle w:val="Tabletext"/>
            </w:pPr>
            <w:r>
              <w:t>Data is reviewed for reasonableness and completeness. IHACPA QA reports provided to LHNs</w:t>
            </w:r>
          </w:p>
        </w:tc>
        <w:tc>
          <w:tcPr>
            <w:tcW w:w="2020" w:type="dxa"/>
            <w:tcBorders>
              <w:top w:val="nil"/>
              <w:left w:val="nil"/>
              <w:bottom w:val="single" w:sz="8" w:space="0" w:color="auto"/>
              <w:right w:val="single" w:sz="8" w:space="0" w:color="auto"/>
            </w:tcBorders>
            <w:tcMar>
              <w:top w:w="0" w:type="dxa"/>
              <w:left w:w="108" w:type="dxa"/>
              <w:bottom w:w="0" w:type="dxa"/>
              <w:right w:w="108" w:type="dxa"/>
            </w:tcMar>
          </w:tcPr>
          <w:p w14:paraId="4F65E01E" w14:textId="77777777" w:rsidR="00D663E3" w:rsidRPr="00B16266" w:rsidRDefault="00D663E3" w:rsidP="001B72FF">
            <w:pPr>
              <w:pStyle w:val="Tabletext"/>
            </w:pPr>
            <w:r>
              <w:t>Review of data throughout the process</w:t>
            </w:r>
          </w:p>
        </w:tc>
        <w:tc>
          <w:tcPr>
            <w:tcW w:w="1940" w:type="dxa"/>
            <w:tcBorders>
              <w:top w:val="nil"/>
              <w:left w:val="nil"/>
              <w:bottom w:val="single" w:sz="8" w:space="0" w:color="auto"/>
              <w:right w:val="single" w:sz="8" w:space="0" w:color="auto"/>
            </w:tcBorders>
          </w:tcPr>
          <w:p w14:paraId="1253B897" w14:textId="77777777" w:rsidR="00D663E3" w:rsidRPr="00B16266" w:rsidRDefault="00D663E3" w:rsidP="001B72FF">
            <w:pPr>
              <w:pStyle w:val="Tabletext"/>
            </w:pPr>
            <w:r>
              <w:t>Review of data throughout the process</w:t>
            </w:r>
          </w:p>
        </w:tc>
      </w:tr>
      <w:tr w:rsidR="00D663E3" w:rsidRPr="00630A55" w14:paraId="1C212265" w14:textId="77777777" w:rsidTr="001B72FF">
        <w:trPr>
          <w:trHeight w:val="543"/>
        </w:trPr>
        <w:tc>
          <w:tcPr>
            <w:tcW w:w="29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6A4E7D" w14:textId="77777777" w:rsidR="00D663E3" w:rsidRPr="00B16266" w:rsidRDefault="00D663E3" w:rsidP="009527C7">
            <w:pPr>
              <w:pStyle w:val="Tabletext"/>
            </w:pPr>
            <w:r w:rsidRPr="00B16266">
              <w:t>Formal sign-off</w:t>
            </w:r>
          </w:p>
        </w:tc>
        <w:tc>
          <w:tcPr>
            <w:tcW w:w="2068" w:type="dxa"/>
            <w:tcBorders>
              <w:top w:val="nil"/>
              <w:left w:val="nil"/>
              <w:bottom w:val="single" w:sz="8" w:space="0" w:color="auto"/>
              <w:right w:val="single" w:sz="8" w:space="0" w:color="auto"/>
            </w:tcBorders>
            <w:tcMar>
              <w:top w:w="0" w:type="dxa"/>
              <w:left w:w="108" w:type="dxa"/>
              <w:bottom w:w="0" w:type="dxa"/>
              <w:right w:w="108" w:type="dxa"/>
            </w:tcMar>
          </w:tcPr>
          <w:p w14:paraId="3351DEE3" w14:textId="77777777" w:rsidR="00D663E3" w:rsidRPr="00B16266" w:rsidRDefault="00D663E3" w:rsidP="001B72FF">
            <w:pPr>
              <w:pStyle w:val="Tabletext"/>
            </w:pPr>
            <w:r>
              <w:t>Formal sign-off by CEO</w:t>
            </w:r>
          </w:p>
        </w:tc>
        <w:tc>
          <w:tcPr>
            <w:tcW w:w="2020" w:type="dxa"/>
            <w:tcBorders>
              <w:top w:val="nil"/>
              <w:left w:val="nil"/>
              <w:bottom w:val="single" w:sz="8" w:space="0" w:color="auto"/>
              <w:right w:val="single" w:sz="8" w:space="0" w:color="auto"/>
            </w:tcBorders>
            <w:tcMar>
              <w:top w:w="0" w:type="dxa"/>
              <w:left w:w="108" w:type="dxa"/>
              <w:bottom w:w="0" w:type="dxa"/>
              <w:right w:w="108" w:type="dxa"/>
            </w:tcMar>
          </w:tcPr>
          <w:p w14:paraId="66E07D42" w14:textId="77777777" w:rsidR="00D663E3" w:rsidRPr="00B16266" w:rsidRDefault="00D663E3" w:rsidP="001B72FF">
            <w:pPr>
              <w:pStyle w:val="Tabletext"/>
            </w:pPr>
            <w:r>
              <w:t>Yes, by RSS ABF Manager to approve</w:t>
            </w:r>
          </w:p>
        </w:tc>
        <w:tc>
          <w:tcPr>
            <w:tcW w:w="1940" w:type="dxa"/>
            <w:tcBorders>
              <w:top w:val="nil"/>
              <w:left w:val="nil"/>
              <w:bottom w:val="single" w:sz="8" w:space="0" w:color="auto"/>
              <w:right w:val="single" w:sz="8" w:space="0" w:color="auto"/>
            </w:tcBorders>
          </w:tcPr>
          <w:p w14:paraId="4D32422A" w14:textId="77777777" w:rsidR="00D663E3" w:rsidRPr="00B16266" w:rsidRDefault="00D663E3" w:rsidP="001B72FF">
            <w:pPr>
              <w:pStyle w:val="Tabletext"/>
            </w:pPr>
            <w:r>
              <w:t>Yes, by CFO for NALHN</w:t>
            </w:r>
          </w:p>
        </w:tc>
      </w:tr>
    </w:tbl>
    <w:p w14:paraId="5905B332" w14:textId="77777777" w:rsidR="00F64CFD" w:rsidRDefault="00F64CFD" w:rsidP="00460E14">
      <w:pPr>
        <w:pStyle w:val="BodyText"/>
        <w:rPr>
          <w:highlight w:val="lightGray"/>
        </w:rPr>
      </w:pPr>
    </w:p>
    <w:p w14:paraId="3E314E10" w14:textId="7060ECAD" w:rsidR="00D663E3" w:rsidRPr="00630A55" w:rsidRDefault="00D663E3" w:rsidP="00244289">
      <w:pPr>
        <w:pStyle w:val="Heading3"/>
        <w:rPr>
          <w:rFonts w:ascii="Univers 45 Light" w:hAnsi="Univers 45 Light"/>
          <w:b w:val="0"/>
          <w:color w:val="4FC3FF" w:themeColor="accent2" w:themeTint="99"/>
          <w:szCs w:val="20"/>
        </w:rPr>
      </w:pPr>
      <w:r w:rsidRPr="00244289">
        <w:lastRenderedPageBreak/>
        <w:t>Business</w:t>
      </w:r>
      <w:r w:rsidRPr="00630A55">
        <w:t xml:space="preserve"> Requirements</w:t>
      </w:r>
    </w:p>
    <w:p w14:paraId="46D5F8BB" w14:textId="77777777" w:rsidR="00D91CB1" w:rsidRDefault="00D663E3" w:rsidP="003910CC">
      <w:pPr>
        <w:jc w:val="both"/>
      </w:pPr>
      <w:r w:rsidRPr="00630A55">
        <w:t xml:space="preserve">SA’s public hospital data is used for benchmarking against the NEP, other hospitals in SA, forecasting for future work programs, and monitoring improvement initiatives. </w:t>
      </w:r>
    </w:p>
    <w:p w14:paraId="0C2FC9B3" w14:textId="19B3E801" w:rsidR="000B4E72" w:rsidRDefault="00D663E3" w:rsidP="003910CC">
      <w:pPr>
        <w:jc w:val="both"/>
      </w:pPr>
      <w:r w:rsidRPr="00630A55">
        <w:t xml:space="preserve">It is largely used by the LHNs to provide detailed information on performance and as a guide to determining where there are potential cost efficiencies. LHNs also submit their data annually to the Health </w:t>
      </w:r>
      <w:r>
        <w:t>Round</w:t>
      </w:r>
      <w:r w:rsidR="005C759B">
        <w:t> </w:t>
      </w:r>
      <w:r w:rsidRPr="00630A55">
        <w:t xml:space="preserve">Table, utilising PPM. </w:t>
      </w:r>
      <w:r w:rsidR="000B4E72">
        <w:t>NALHN also participates in C</w:t>
      </w:r>
      <w:r w:rsidR="000E681B">
        <w:t>hildren</w:t>
      </w:r>
      <w:r w:rsidR="00541B23">
        <w:t xml:space="preserve">’s Healthcare Australasia (CHA) and </w:t>
      </w:r>
      <w:r w:rsidR="000B4E72">
        <w:t>W</w:t>
      </w:r>
      <w:r w:rsidR="00541B23">
        <w:t>omen’s Healthcare Australasia (WHA)</w:t>
      </w:r>
      <w:r w:rsidR="000B4E72">
        <w:t>.</w:t>
      </w:r>
    </w:p>
    <w:p w14:paraId="21D72803" w14:textId="3A0556B8" w:rsidR="00D663E3" w:rsidRPr="00630A55" w:rsidRDefault="00D663E3" w:rsidP="003910CC">
      <w:pPr>
        <w:jc w:val="both"/>
      </w:pPr>
      <w:r w:rsidRPr="00630A55">
        <w:t>The usage of costing data and reporting varies across LHNs. In the regional setting, the major audience is still Business Managers and finance staff</w:t>
      </w:r>
      <w:r w:rsidR="00863565">
        <w:t>. H</w:t>
      </w:r>
      <w:r w:rsidRPr="00630A55">
        <w:t>owever</w:t>
      </w:r>
      <w:r w:rsidR="00863565">
        <w:t>,</w:t>
      </w:r>
      <w:r w:rsidRPr="00630A55">
        <w:t xml:space="preserve"> this is starting to change, with increasing opportunities for engagement with clinicians particularly through the sharing of reports on a common </w:t>
      </w:r>
      <w:r w:rsidR="003910CC" w:rsidRPr="00630A55">
        <w:t>SharePoint</w:t>
      </w:r>
      <w:r w:rsidRPr="00630A55">
        <w:t xml:space="preserve"> site</w:t>
      </w:r>
      <w:r w:rsidR="00863565">
        <w:t>,</w:t>
      </w:r>
      <w:r w:rsidRPr="00630A55">
        <w:t xml:space="preserve"> e.g. PAH worked with palliative care clinicians to explore how their service is performing against other LHNs on a costing basis. LMH are making strong inroads to improving engagement on costing information across Executives and clinicians</w:t>
      </w:r>
      <w:r w:rsidR="005C32ED">
        <w:t xml:space="preserve">, with one example involving engagement with cardiologists regarding the </w:t>
      </w:r>
      <w:r w:rsidR="00C87E66">
        <w:t>use of clinical costing data to support a review of hospital readmissions.</w:t>
      </w:r>
      <w:r w:rsidRPr="00630A55">
        <w:t xml:space="preserve"> At present, the LMH </w:t>
      </w:r>
      <w:r w:rsidR="007138D9">
        <w:t>C</w:t>
      </w:r>
      <w:r w:rsidRPr="00630A55">
        <w:t xml:space="preserve">osting team provide a report on the overall performance of LHN and that of individual divisions to the CFO and </w:t>
      </w:r>
      <w:r w:rsidR="00EA157C">
        <w:t>made</w:t>
      </w:r>
      <w:r w:rsidRPr="00630A55">
        <w:t xml:space="preserve"> available to clinicians after every costing run</w:t>
      </w:r>
      <w:r w:rsidR="00866359">
        <w:t>, occurring</w:t>
      </w:r>
      <w:r w:rsidRPr="00630A55">
        <w:t xml:space="preserve"> quarterly at a minimum. </w:t>
      </w:r>
    </w:p>
    <w:p w14:paraId="5626C558" w14:textId="77777777" w:rsidR="00D663E3" w:rsidRPr="00630A55" w:rsidRDefault="00D663E3" w:rsidP="00244289">
      <w:pPr>
        <w:pStyle w:val="Heading3"/>
        <w:rPr>
          <w:rFonts w:ascii="Univers 45 Light" w:hAnsi="Univers 45 Light"/>
          <w:color w:val="4FC3FF" w:themeColor="accent2" w:themeTint="99"/>
          <w:szCs w:val="20"/>
        </w:rPr>
      </w:pPr>
      <w:r w:rsidRPr="00630A55">
        <w:t>Implications of COVID-19</w:t>
      </w:r>
    </w:p>
    <w:p w14:paraId="286D9B09" w14:textId="3D3FE2AC" w:rsidR="00D663E3" w:rsidRPr="00630A55" w:rsidRDefault="00D663E3" w:rsidP="003910CC">
      <w:pPr>
        <w:jc w:val="both"/>
      </w:pPr>
      <w:r w:rsidRPr="00630A55">
        <w:t xml:space="preserve">Following protracted border restrictions, </w:t>
      </w:r>
      <w:r w:rsidR="0053442D">
        <w:t>SA</w:t>
      </w:r>
      <w:r w:rsidRPr="00630A55">
        <w:t xml:space="preserve"> opened its borders during the </w:t>
      </w:r>
      <w:r w:rsidR="00595A9F">
        <w:t>FY20/21</w:t>
      </w:r>
      <w:r w:rsidRPr="00630A55">
        <w:t xml:space="preserve"> period, in November 2021. To account for these impacts of COVID-19 in FY20/21, </w:t>
      </w:r>
      <w:r w:rsidR="00595A9F">
        <w:t>FY20/21</w:t>
      </w:r>
      <w:r w:rsidRPr="00630A55">
        <w:t xml:space="preserve"> costing was separated into </w:t>
      </w:r>
      <w:r w:rsidR="0053442D">
        <w:t>six</w:t>
      </w:r>
      <w:r w:rsidRPr="00630A55">
        <w:t xml:space="preserve"> months (July 2020 – December 2020, pre-COVID) and </w:t>
      </w:r>
      <w:r w:rsidR="0053442D">
        <w:t>six</w:t>
      </w:r>
      <w:r w:rsidRPr="00630A55">
        <w:t xml:space="preserve"> months (January 2021 – June 2021, post-COVID). Splitting the year in this way allowed </w:t>
      </w:r>
      <w:r w:rsidR="0053442D">
        <w:t>SA</w:t>
      </w:r>
      <w:r w:rsidRPr="00630A55">
        <w:t xml:space="preserve"> to compare the changes in cost per</w:t>
      </w:r>
      <w:r w:rsidR="0077016A">
        <w:t xml:space="preserve"> National Weighted Activity Unity</w:t>
      </w:r>
      <w:r w:rsidRPr="00630A55">
        <w:t xml:space="preserve"> </w:t>
      </w:r>
      <w:r w:rsidR="0077016A">
        <w:t>(</w:t>
      </w:r>
      <w:r w:rsidRPr="00630A55">
        <w:t>NWAU</w:t>
      </w:r>
      <w:r w:rsidR="0077016A">
        <w:t>)</w:t>
      </w:r>
      <w:r w:rsidRPr="00630A55">
        <w:t xml:space="preserve"> under the different scenarios. In particular, the lifting of restrictions in SA triggered a pause in elective surgeries, changes to ward setups to account for COVID positive patients, and a transfer of more activity to the private sector. </w:t>
      </w:r>
    </w:p>
    <w:p w14:paraId="0FE1687D" w14:textId="6079BCE1" w:rsidR="00D663E3" w:rsidRPr="00630A55" w:rsidRDefault="00D663E3" w:rsidP="003910CC">
      <w:pPr>
        <w:jc w:val="both"/>
      </w:pPr>
      <w:r w:rsidRPr="00630A55">
        <w:t xml:space="preserve">Discrete cost centres were established in </w:t>
      </w:r>
      <w:r w:rsidR="00595A9F">
        <w:t>FY20/21</w:t>
      </w:r>
      <w:r w:rsidRPr="00630A55">
        <w:t xml:space="preserve"> for testing and vaccination clinics. During </w:t>
      </w:r>
      <w:r w:rsidR="00595A9F">
        <w:t>FY20/21</w:t>
      </w:r>
      <w:r w:rsidR="00773493">
        <w:t>,</w:t>
      </w:r>
      <w:r w:rsidRPr="00630A55">
        <w:t xml:space="preserve"> the </w:t>
      </w:r>
      <w:r w:rsidR="00773493">
        <w:t>s</w:t>
      </w:r>
      <w:r w:rsidRPr="00630A55">
        <w:t xml:space="preserve">tate was costing vaccinations at an individual level, however this will return to aggregate counts for </w:t>
      </w:r>
      <w:r w:rsidR="00AC2316">
        <w:t>the FY21/22 IFR</w:t>
      </w:r>
      <w:r w:rsidRPr="00630A55">
        <w:t xml:space="preserve">. Some issues were experienced with the costing of pathology services as feeder files were not provided by SA Pathology; discussions are ongoing to improve this for </w:t>
      </w:r>
      <w:r w:rsidR="00AC2316">
        <w:t>the FY21/22 IFR</w:t>
      </w:r>
      <w:r w:rsidRPr="00630A55">
        <w:t xml:space="preserve">. </w:t>
      </w:r>
    </w:p>
    <w:p w14:paraId="55722A12" w14:textId="2120DE94" w:rsidR="00D663E3" w:rsidRPr="00630A55" w:rsidRDefault="00D663E3" w:rsidP="003910CC">
      <w:pPr>
        <w:jc w:val="both"/>
      </w:pPr>
      <w:r w:rsidRPr="00630A55">
        <w:t xml:space="preserve">As expected, higher costs were observed for PPE, security and cleaning services due to the nature of the pandemic response; however, costing was applied in the same manner as that for </w:t>
      </w:r>
      <w:r w:rsidR="00595A9F">
        <w:t>FY19/20</w:t>
      </w:r>
      <w:r w:rsidRPr="00630A55">
        <w:t xml:space="preserve"> splits with additional costs charged separately to COVID cost centres. Understanding what is the “new normal” for post-pandemic costs in these areas is an important consideration for SA in </w:t>
      </w:r>
      <w:r w:rsidR="00AC2316">
        <w:t>the FY21/22 IFR</w:t>
      </w:r>
      <w:r w:rsidRPr="00630A55">
        <w:t xml:space="preserve">. </w:t>
      </w:r>
    </w:p>
    <w:p w14:paraId="17C4EA41" w14:textId="77777777" w:rsidR="00D663E3" w:rsidRPr="007B4261" w:rsidRDefault="00D663E3" w:rsidP="007B4261">
      <w:pPr>
        <w:pStyle w:val="Heading3"/>
      </w:pPr>
      <w:r w:rsidRPr="007B4261">
        <w:t>Key learnings and future improvements</w:t>
      </w:r>
    </w:p>
    <w:p w14:paraId="785B80CC" w14:textId="77777777" w:rsidR="00D663E3" w:rsidRPr="00630A55" w:rsidRDefault="00D663E3" w:rsidP="003910CC">
      <w:pPr>
        <w:jc w:val="both"/>
      </w:pPr>
      <w:r w:rsidRPr="00630A55">
        <w:t xml:space="preserve">Future improvements that are being considered by DHW include the costing of blood products, a new feeder file on prostheses cost line items, and review of the allocation of TTR costs. </w:t>
      </w:r>
    </w:p>
    <w:p w14:paraId="6969135C" w14:textId="298BE31D" w:rsidR="00D663E3" w:rsidRPr="00630A55" w:rsidRDefault="00D663E3" w:rsidP="003910CC">
      <w:pPr>
        <w:jc w:val="both"/>
      </w:pPr>
      <w:r w:rsidRPr="00630A55">
        <w:t xml:space="preserve">DHW is also looking to review how the costing standards are currently applied across LHNs to identify opportunities to improve consistency of approach. With the new staffing profile in the DHW Patient Costing </w:t>
      </w:r>
      <w:r w:rsidR="007138D9">
        <w:t>t</w:t>
      </w:r>
      <w:r w:rsidRPr="00630A55">
        <w:t xml:space="preserve">eam, the </w:t>
      </w:r>
      <w:r w:rsidR="00773493">
        <w:t>s</w:t>
      </w:r>
      <w:r w:rsidRPr="00630A55">
        <w:t xml:space="preserve">tate is looking to renew and refresh its role in the costing process to add value to the work of the LHNs and improve its capacity and capability to support QA activities more proactively, improve collaboration and continuous improvement across the SA Health system, and support consistency of approach. </w:t>
      </w:r>
    </w:p>
    <w:p w14:paraId="7F1896FF" w14:textId="32DA74BD" w:rsidR="00D663E3" w:rsidRPr="00630A55" w:rsidRDefault="00ED70D3" w:rsidP="003910CC">
      <w:pPr>
        <w:jc w:val="both"/>
      </w:pPr>
      <w:r>
        <w:lastRenderedPageBreak/>
        <w:t>SA</w:t>
      </w:r>
      <w:r w:rsidR="00D663E3" w:rsidRPr="00630A55">
        <w:t xml:space="preserve"> also acknowledges the opportunity to improve its business intelligence offering by turning data into insights that can engage clinicians and Executives on performance and opportunities for change. This will be </w:t>
      </w:r>
      <w:r w:rsidR="003910CC">
        <w:t xml:space="preserve">a </w:t>
      </w:r>
      <w:r w:rsidR="00D663E3" w:rsidRPr="00630A55">
        <w:t xml:space="preserve">key focus of the DHW Patient Costing </w:t>
      </w:r>
      <w:r>
        <w:t>t</w:t>
      </w:r>
      <w:r w:rsidR="00D663E3" w:rsidRPr="00630A55">
        <w:t xml:space="preserve">eam in the next two years, in collaboration with the LHN </w:t>
      </w:r>
      <w:r w:rsidR="00D151D1">
        <w:t>c</w:t>
      </w:r>
      <w:r w:rsidR="00D663E3" w:rsidRPr="00630A55">
        <w:t xml:space="preserve">osting teams. </w:t>
      </w:r>
    </w:p>
    <w:p w14:paraId="6D65A806" w14:textId="77777777" w:rsidR="00D663E3" w:rsidRPr="00A74B62" w:rsidRDefault="00D663E3" w:rsidP="0008151F">
      <w:pPr>
        <w:pStyle w:val="Heading3"/>
      </w:pPr>
      <w:r w:rsidRPr="00630A55">
        <w:t>Conclusion</w:t>
      </w:r>
    </w:p>
    <w:p w14:paraId="6FEBE3E4" w14:textId="7C4E37A9" w:rsidR="00D663E3" w:rsidRPr="00630A55" w:rsidRDefault="00ED70D3" w:rsidP="003910CC">
      <w:pPr>
        <w:jc w:val="both"/>
      </w:pPr>
      <w:r>
        <w:t>SA</w:t>
      </w:r>
      <w:r w:rsidR="00D663E3" w:rsidRPr="00630A55">
        <w:t xml:space="preserve"> continues to make best efforts to adhere to AHPCS </w:t>
      </w:r>
      <w:r w:rsidR="00710D0C">
        <w:t xml:space="preserve">version </w:t>
      </w:r>
      <w:r w:rsidR="00D663E3" w:rsidRPr="00630A55">
        <w:t xml:space="preserve">4.1 and is compliant with exception to the costing of blood products and private pathology at patient level, as data matching is not </w:t>
      </w:r>
      <w:r>
        <w:t xml:space="preserve">sufficiently </w:t>
      </w:r>
      <w:r w:rsidR="00D663E3" w:rsidRPr="00630A55">
        <w:t>accurate to provide robust costings</w:t>
      </w:r>
      <w:r w:rsidR="00D663E3">
        <w:t xml:space="preserve">. </w:t>
      </w:r>
    </w:p>
    <w:p w14:paraId="47928974" w14:textId="49C3139E" w:rsidR="00D663E3" w:rsidRPr="00630A55" w:rsidRDefault="00ED70D3" w:rsidP="003910CC">
      <w:pPr>
        <w:jc w:val="both"/>
      </w:pPr>
      <w:r>
        <w:t>SA</w:t>
      </w:r>
      <w:r w:rsidR="00D663E3" w:rsidRPr="00630A55">
        <w:t xml:space="preserve"> reported their costing submission was prepared in accordance with AHPCS version</w:t>
      </w:r>
      <w:r>
        <w:t> </w:t>
      </w:r>
      <w:r w:rsidR="00D663E3" w:rsidRPr="00630A55">
        <w:t xml:space="preserve">4.1 for </w:t>
      </w:r>
      <w:r w:rsidR="00595A9F">
        <w:t>FY20/21</w:t>
      </w:r>
      <w:r w:rsidR="00D663E3" w:rsidRPr="00630A55">
        <w:t xml:space="preserve">. Based on the methodology outlined above, </w:t>
      </w:r>
      <w:r w:rsidR="00710D0C">
        <w:t>PAH</w:t>
      </w:r>
      <w:r w:rsidR="00D663E3" w:rsidRPr="00630A55">
        <w:t xml:space="preserve"> and </w:t>
      </w:r>
      <w:r w:rsidR="00710D0C">
        <w:t>LMH</w:t>
      </w:r>
      <w:r w:rsidR="00D663E3" w:rsidRPr="00630A55">
        <w:t xml:space="preserve"> have suitable reconciliation processes in place and the financial and activity data is considered fit for NHCDC submission. </w:t>
      </w:r>
    </w:p>
    <w:p w14:paraId="764B352B" w14:textId="45F1FEA7" w:rsidR="000F23B5" w:rsidRDefault="000F23B5" w:rsidP="000F23B5">
      <w:pPr>
        <w:pStyle w:val="Heading2"/>
      </w:pPr>
      <w:bookmarkStart w:id="67" w:name="_Toc128376729"/>
      <w:r w:rsidRPr="00A16B1D">
        <w:t>Victoria</w:t>
      </w:r>
      <w:bookmarkEnd w:id="67"/>
      <w:r w:rsidRPr="00A16B1D">
        <w:t xml:space="preserve"> </w:t>
      </w:r>
    </w:p>
    <w:p w14:paraId="3E4398D3" w14:textId="68D646F6" w:rsidR="000F23B5" w:rsidRDefault="000F23B5" w:rsidP="000F23B5">
      <w:pPr>
        <w:pStyle w:val="Heading3"/>
      </w:pPr>
      <w:r w:rsidRPr="00A16B1D">
        <w:t>Jurisdictional summary</w:t>
      </w:r>
    </w:p>
    <w:p w14:paraId="2C8EA9BB" w14:textId="5F2D016E" w:rsidR="006B6DF6" w:rsidRPr="00D725FA" w:rsidRDefault="006B6DF6" w:rsidP="009527C7">
      <w:pPr>
        <w:pStyle w:val="Heading4"/>
      </w:pPr>
      <w:r w:rsidRPr="00630A55">
        <w:t>Hea</w:t>
      </w:r>
      <w:r w:rsidRPr="00D725FA">
        <w:t xml:space="preserve">lth Service </w:t>
      </w:r>
      <w:r w:rsidR="006E4481">
        <w:t>o</w:t>
      </w:r>
      <w:r w:rsidRPr="00D725FA">
        <w:t>verview</w:t>
      </w:r>
    </w:p>
    <w:p w14:paraId="78123975" w14:textId="586D3E53" w:rsidR="006B6DF6" w:rsidRPr="00630A55" w:rsidRDefault="006B6DF6" w:rsidP="003910CC">
      <w:pPr>
        <w:jc w:val="both"/>
      </w:pPr>
      <w:r w:rsidRPr="00630A55">
        <w:t xml:space="preserve">The Victorian health system consists of over 120 public hospitals and health services, supported by the Victorian Department of Health (DH). In </w:t>
      </w:r>
      <w:r w:rsidR="00595A9F">
        <w:t>FY20/21</w:t>
      </w:r>
      <w:r w:rsidRPr="00630A55">
        <w:t xml:space="preserve"> of the IFR three health services were selected as sample sites</w:t>
      </w:r>
      <w:r w:rsidR="0018005C">
        <w:t xml:space="preserve">, </w:t>
      </w:r>
      <w:r w:rsidR="0018005C" w:rsidRPr="00630A55">
        <w:t>based upon the sampling framework</w:t>
      </w:r>
      <w:r w:rsidRPr="00630A55">
        <w:t xml:space="preserve">: </w:t>
      </w:r>
      <w:r w:rsidR="00710D0C">
        <w:t>L</w:t>
      </w:r>
      <w:r w:rsidR="008A316F">
        <w:t>atrobe Regional Hospital (L</w:t>
      </w:r>
      <w:r w:rsidR="00710D0C">
        <w:t>RH</w:t>
      </w:r>
      <w:r w:rsidR="008A316F">
        <w:t>)</w:t>
      </w:r>
      <w:r w:rsidRPr="00630A55">
        <w:t xml:space="preserve">, </w:t>
      </w:r>
      <w:r w:rsidR="00710D0C">
        <w:t>B</w:t>
      </w:r>
      <w:r w:rsidR="008A316F">
        <w:t xml:space="preserve">allarat </w:t>
      </w:r>
      <w:r w:rsidR="00710D0C">
        <w:t>H</w:t>
      </w:r>
      <w:r w:rsidR="008A316F">
        <w:t xml:space="preserve">ealth </w:t>
      </w:r>
      <w:r w:rsidR="00710D0C">
        <w:t>S</w:t>
      </w:r>
      <w:r w:rsidR="008A316F">
        <w:t>ervice (BHS)</w:t>
      </w:r>
      <w:r w:rsidRPr="00630A55">
        <w:t xml:space="preserve"> and Melbourne Health (since renamed the </w:t>
      </w:r>
      <w:r w:rsidR="008A316F">
        <w:t>Royal Melbourne Hospital</w:t>
      </w:r>
      <w:r w:rsidRPr="00630A55">
        <w:t xml:space="preserve">). </w:t>
      </w:r>
    </w:p>
    <w:p w14:paraId="3941A008" w14:textId="05EB4C48" w:rsidR="00833E7D" w:rsidRDefault="00833E7D" w:rsidP="003910CC">
      <w:pPr>
        <w:jc w:val="both"/>
      </w:pPr>
      <w:r w:rsidRPr="00833E7D">
        <w:t xml:space="preserve">Latrobe Regional Hospital (LRH) is the largest hospital in the Gippsland region and employs approximately 2,500 staff. LRH has 268 beds, 10 ICU, 130 acute and 46 dedicated mental health beds. The hospital is currently expanding (Stage 3A of works is proceeding) </w:t>
      </w:r>
      <w:r w:rsidR="001D4ACD">
        <w:t>that</w:t>
      </w:r>
      <w:r w:rsidRPr="00833E7D">
        <w:t xml:space="preserve"> will include new operating theatres, an additional ward (to double surgical capacity to 64 beds), a new Women’s and Children’s unit and an expansion of the ICU to 15 beds. LRH is also the largest provider of community mental health services in the region, with a number of satellite sites (e.g. Wonthaggi).</w:t>
      </w:r>
    </w:p>
    <w:p w14:paraId="3B2444EC" w14:textId="6450CABF" w:rsidR="006B6DF6" w:rsidRPr="00630A55" w:rsidRDefault="008A316F" w:rsidP="003910CC">
      <w:pPr>
        <w:jc w:val="both"/>
      </w:pPr>
      <w:r>
        <w:t>Ballarat Health Service (BHS)</w:t>
      </w:r>
      <w:r w:rsidR="00540213">
        <w:t xml:space="preserve"> </w:t>
      </w:r>
      <w:r w:rsidR="00540213" w:rsidRPr="00630A55">
        <w:t>provides acute, subacute, emergency, aged care and in-home</w:t>
      </w:r>
      <w:r w:rsidR="00540213">
        <w:t xml:space="preserve"> and </w:t>
      </w:r>
      <w:r w:rsidR="00540213" w:rsidRPr="00630A55">
        <w:t>community care programs</w:t>
      </w:r>
      <w:r w:rsidR="00540213">
        <w:t>, and community mental health programs. BHS</w:t>
      </w:r>
      <w:r w:rsidR="006B6DF6" w:rsidRPr="00630A55">
        <w:t xml:space="preserve"> has </w:t>
      </w:r>
      <w:r>
        <w:t xml:space="preserve">more than </w:t>
      </w:r>
      <w:r w:rsidR="00C646FD">
        <w:t>400</w:t>
      </w:r>
      <w:r w:rsidR="006B6DF6" w:rsidRPr="00630A55">
        <w:t xml:space="preserve"> beds</w:t>
      </w:r>
      <w:r w:rsidR="00C646FD">
        <w:t xml:space="preserve"> (excluding aged care)</w:t>
      </w:r>
      <w:r w:rsidR="007D30FB">
        <w:t xml:space="preserve">, including 284 acute beds, 105 Hospital in the Home beds, 110 sub-acute beds, 57 </w:t>
      </w:r>
      <w:r w:rsidR="00C06BD6" w:rsidRPr="00C06BD6">
        <w:t xml:space="preserve">psychiatry </w:t>
      </w:r>
      <w:r w:rsidR="00540213">
        <w:t>/mental health beds, and two contracted care beds</w:t>
      </w:r>
      <w:r w:rsidR="004A36B0">
        <w:t xml:space="preserve">. </w:t>
      </w:r>
      <w:r w:rsidR="006B6DF6" w:rsidRPr="00630A55">
        <w:t>On 1</w:t>
      </w:r>
      <w:r w:rsidR="00020AA1">
        <w:t> </w:t>
      </w:r>
      <w:r w:rsidR="006B6DF6" w:rsidRPr="00630A55">
        <w:t xml:space="preserve">November 2021 (i.e. </w:t>
      </w:r>
      <w:r w:rsidR="00AC2316">
        <w:t>the FY21/22 IFR</w:t>
      </w:r>
      <w:r w:rsidR="006B6DF6" w:rsidRPr="00630A55">
        <w:t>), BHS amalgamated with the Edenhope, Stawell and Wimmera Hospitals and health services to create a new service, Grampians Health</w:t>
      </w:r>
      <w:r w:rsidR="00B72C01">
        <w:t>,</w:t>
      </w:r>
      <w:r w:rsidR="006B6DF6" w:rsidRPr="00630A55">
        <w:t xml:space="preserve"> that services a catchment population of over 250,000 people. </w:t>
      </w:r>
      <w:r w:rsidR="00257ED7">
        <w:t>T</w:t>
      </w:r>
      <w:r w:rsidR="00257ED7" w:rsidRPr="00257ED7">
        <w:t>his report makes reference to Ballarat Health Services only, prior to the new amalgamated Grampians Health from 1</w:t>
      </w:r>
      <w:r w:rsidR="00020AA1">
        <w:t> </w:t>
      </w:r>
      <w:r w:rsidR="00257ED7" w:rsidRPr="00257ED7">
        <w:t>November 2021</w:t>
      </w:r>
      <w:r w:rsidR="00207ACA">
        <w:t>.</w:t>
      </w:r>
    </w:p>
    <w:p w14:paraId="7974D4CB" w14:textId="716C108F" w:rsidR="006B6DF6" w:rsidRPr="00630A55" w:rsidRDefault="006B6DF6" w:rsidP="003910CC">
      <w:pPr>
        <w:jc w:val="both"/>
      </w:pPr>
      <w:r w:rsidRPr="00630A55">
        <w:t xml:space="preserve">The </w:t>
      </w:r>
      <w:r w:rsidR="00985766">
        <w:t>Royal Melbourne Hospital (</w:t>
      </w:r>
      <w:r w:rsidRPr="00630A55">
        <w:t>RMH</w:t>
      </w:r>
      <w:r w:rsidR="00985766">
        <w:t>)</w:t>
      </w:r>
      <w:r w:rsidRPr="00630A55">
        <w:t xml:space="preserve"> is a large trauma hospital located in the centre of Melbourne providing specialist medical, surgical, rehabilitation, aged care, outpatient and community programs. Northwest Mental Health service is also part of RMH, with more than 35</w:t>
      </w:r>
      <w:r w:rsidR="00032817">
        <w:t> </w:t>
      </w:r>
      <w:r w:rsidRPr="00630A55">
        <w:t xml:space="preserve">community mental health sites. In </w:t>
      </w:r>
      <w:r w:rsidR="00595A9F">
        <w:t>FY20/21</w:t>
      </w:r>
      <w:r w:rsidRPr="00630A55">
        <w:t>, RMH had more than 100,000 inpatient admissions, more than 78,000</w:t>
      </w:r>
      <w:r w:rsidR="007C314C">
        <w:t> </w:t>
      </w:r>
      <w:r w:rsidRPr="00630A55">
        <w:t xml:space="preserve">presentations in the </w:t>
      </w:r>
      <w:r w:rsidR="00032817">
        <w:t>ED</w:t>
      </w:r>
      <w:r w:rsidRPr="00630A55">
        <w:t xml:space="preserve"> and had more than 208,000 outpatient services. </w:t>
      </w:r>
    </w:p>
    <w:p w14:paraId="12145F64" w14:textId="6545A09C" w:rsidR="006B6DF6" w:rsidRPr="00630A55" w:rsidRDefault="006B6DF6" w:rsidP="009527C7">
      <w:pPr>
        <w:pStyle w:val="Heading4"/>
        <w:rPr>
          <w:rFonts w:ascii="Univers 45 Light" w:hAnsi="Univers 45 Light"/>
          <w:color w:val="4FC3FF" w:themeColor="accent2" w:themeTint="99"/>
          <w:szCs w:val="20"/>
        </w:rPr>
      </w:pPr>
      <w:r w:rsidRPr="00630A55">
        <w:lastRenderedPageBreak/>
        <w:t xml:space="preserve">Costing </w:t>
      </w:r>
      <w:r w:rsidR="00427680">
        <w:t>o</w:t>
      </w:r>
      <w:r w:rsidRPr="00630A55">
        <w:t>verview</w:t>
      </w:r>
    </w:p>
    <w:p w14:paraId="329C4BAE" w14:textId="7C6044DE" w:rsidR="006B6DF6" w:rsidRPr="00630A55" w:rsidRDefault="006B6DF6" w:rsidP="003910CC">
      <w:pPr>
        <w:jc w:val="both"/>
      </w:pPr>
      <w:r w:rsidRPr="00630A55">
        <w:t>In Victoria</w:t>
      </w:r>
      <w:r w:rsidR="00032817">
        <w:t>,</w:t>
      </w:r>
      <w:r w:rsidRPr="00630A55">
        <w:t xml:space="preserve"> patient costing activities are the responsibility to the respective health services and patient-level costing data is submitted to </w:t>
      </w:r>
      <w:r w:rsidR="00520FDC">
        <w:t>DH</w:t>
      </w:r>
      <w:r w:rsidRPr="00630A55">
        <w:t xml:space="preserve"> as part of the annual Victorian Cost Data Collection (VCDC) process. </w:t>
      </w:r>
      <w:r w:rsidR="00520FDC">
        <w:t>DH</w:t>
      </w:r>
      <w:r w:rsidRPr="00630A55">
        <w:t xml:space="preserve"> uses the data submitted for VCDC purposes to prepare the jurisdictions NHCDC submission to </w:t>
      </w:r>
      <w:r w:rsidR="00BE235C">
        <w:t>IHACPA</w:t>
      </w:r>
      <w:r w:rsidRPr="00630A55">
        <w:t xml:space="preserve">. </w:t>
      </w:r>
    </w:p>
    <w:p w14:paraId="31102F93" w14:textId="4DBE21E0" w:rsidR="006B6DF6" w:rsidRPr="00630A55" w:rsidRDefault="00520FDC" w:rsidP="003910CC">
      <w:pPr>
        <w:jc w:val="both"/>
      </w:pPr>
      <w:r>
        <w:t>DH</w:t>
      </w:r>
      <w:r w:rsidR="006B6DF6" w:rsidRPr="00630A55">
        <w:t xml:space="preserve"> provides guidelines to the health services to ensure that the costing process is consistent across all sites. The guidelines include information on data request specifications, business rules, specific costing guidance, and details of QA checks to be applied. This documentation is consistent with the requirements of the AHPCS, nuanced as required to local context.</w:t>
      </w:r>
    </w:p>
    <w:p w14:paraId="54FDDA51" w14:textId="55946EC2" w:rsidR="006B6DF6" w:rsidRPr="00630A55" w:rsidRDefault="006B6DF6" w:rsidP="003910CC">
      <w:pPr>
        <w:jc w:val="both"/>
      </w:pPr>
      <w:r w:rsidRPr="00630A55">
        <w:t xml:space="preserve">In general, costing is undertaken annually (consistent with the VCDC submission), however a number of health services cost more frequently, </w:t>
      </w:r>
      <w:r w:rsidR="004E319E">
        <w:t>such as</w:t>
      </w:r>
      <w:r w:rsidRPr="00630A55">
        <w:t xml:space="preserve"> quarterly or half-yearly for their own purposes (e.g. </w:t>
      </w:r>
      <w:r w:rsidR="00520FDC">
        <w:t xml:space="preserve">LRH cost annually and </w:t>
      </w:r>
      <w:r w:rsidRPr="00630A55">
        <w:t xml:space="preserve">BHS cost twice yearly, once for VCDC and the other for internal reporting and review). </w:t>
      </w:r>
    </w:p>
    <w:p w14:paraId="29AD2CF2" w14:textId="4F4AD81A" w:rsidR="00016A79" w:rsidRDefault="006B6DF6" w:rsidP="003910CC">
      <w:pPr>
        <w:jc w:val="both"/>
      </w:pPr>
      <w:r w:rsidRPr="00630A55">
        <w:t xml:space="preserve">The VCDC submission progresses through a five-stage QA process to ensure that the data provided is as requested, can be matched, linked to the appropriate activities, is reasonable and valid. Health services review data that has been identified as not meeting certain criteria to confirm the validity of the costed results. </w:t>
      </w:r>
    </w:p>
    <w:p w14:paraId="73A1F962" w14:textId="1A1B822A" w:rsidR="006B6DF6" w:rsidRPr="00630A55" w:rsidRDefault="006B6DF6" w:rsidP="009527C7">
      <w:pPr>
        <w:pStyle w:val="Heading4"/>
        <w:rPr>
          <w:rFonts w:ascii="Univers 45 Light" w:hAnsi="Univers 45 Light"/>
          <w:color w:val="4FC3FF" w:themeColor="accent2" w:themeTint="99"/>
          <w:szCs w:val="20"/>
        </w:rPr>
      </w:pPr>
      <w:r w:rsidRPr="00630A55">
        <w:t xml:space="preserve">Systems </w:t>
      </w:r>
      <w:r w:rsidR="00997EA5">
        <w:t>e</w:t>
      </w:r>
      <w:r w:rsidRPr="00630A55">
        <w:t>nvironment</w:t>
      </w:r>
    </w:p>
    <w:p w14:paraId="3F175246" w14:textId="0E8A9EBC" w:rsidR="00D91CB1" w:rsidRDefault="00BD2458" w:rsidP="003910CC">
      <w:pPr>
        <w:pStyle w:val="CommentText"/>
        <w:jc w:val="both"/>
        <w:rPr>
          <w:sz w:val="22"/>
          <w:szCs w:val="22"/>
        </w:rPr>
      </w:pPr>
      <w:r w:rsidRPr="00BD2458">
        <w:rPr>
          <w:sz w:val="22"/>
          <w:szCs w:val="22"/>
        </w:rPr>
        <w:t>Victorian health services use two clinical costing systems for the VCDC costing process</w:t>
      </w:r>
      <w:r>
        <w:rPr>
          <w:sz w:val="22"/>
          <w:szCs w:val="22"/>
        </w:rPr>
        <w:t xml:space="preserve">, </w:t>
      </w:r>
      <w:r w:rsidR="006B6DF6" w:rsidRPr="00E75F63">
        <w:rPr>
          <w:sz w:val="22"/>
          <w:szCs w:val="22"/>
        </w:rPr>
        <w:t xml:space="preserve">PPM and CostPro. </w:t>
      </w:r>
    </w:p>
    <w:p w14:paraId="7FF83132" w14:textId="7CBC272F" w:rsidR="00E75F63" w:rsidRPr="00E75F63" w:rsidRDefault="006B6DF6" w:rsidP="003910CC">
      <w:pPr>
        <w:pStyle w:val="CommentText"/>
        <w:jc w:val="both"/>
        <w:rPr>
          <w:sz w:val="22"/>
          <w:szCs w:val="22"/>
        </w:rPr>
      </w:pPr>
      <w:r w:rsidRPr="00E75F63">
        <w:rPr>
          <w:sz w:val="22"/>
          <w:szCs w:val="22"/>
        </w:rPr>
        <w:t xml:space="preserve">There are a range of Patient Administration Systems (PAS) used across the </w:t>
      </w:r>
      <w:r w:rsidR="00ED70D3" w:rsidRPr="00E75F63">
        <w:rPr>
          <w:sz w:val="22"/>
          <w:szCs w:val="22"/>
        </w:rPr>
        <w:t>state</w:t>
      </w:r>
      <w:r w:rsidRPr="00E75F63">
        <w:rPr>
          <w:sz w:val="22"/>
          <w:szCs w:val="22"/>
        </w:rPr>
        <w:t xml:space="preserve">. The sample sites used a variety of PASs, for example, LRH uses </w:t>
      </w:r>
      <w:r w:rsidR="00AC2316" w:rsidRPr="00E75F63">
        <w:rPr>
          <w:sz w:val="22"/>
          <w:szCs w:val="22"/>
        </w:rPr>
        <w:t>i</w:t>
      </w:r>
      <w:r w:rsidRPr="00E75F63">
        <w:rPr>
          <w:sz w:val="22"/>
          <w:szCs w:val="22"/>
        </w:rPr>
        <w:t>PM while BHS uses WebPAS for most major acute and sub</w:t>
      </w:r>
      <w:r w:rsidR="00032817" w:rsidRPr="00E75F63">
        <w:rPr>
          <w:sz w:val="22"/>
          <w:szCs w:val="22"/>
        </w:rPr>
        <w:noBreakHyphen/>
      </w:r>
      <w:r w:rsidRPr="00E75F63">
        <w:rPr>
          <w:sz w:val="22"/>
          <w:szCs w:val="22"/>
        </w:rPr>
        <w:t>acute admissions (with some sub-acute community services using TCP).</w:t>
      </w:r>
      <w:r w:rsidR="00AC2316" w:rsidRPr="00E75F63">
        <w:rPr>
          <w:sz w:val="22"/>
          <w:szCs w:val="22"/>
        </w:rPr>
        <w:t xml:space="preserve"> All sites use a common system, CMI, for mental health admissions.</w:t>
      </w:r>
      <w:r w:rsidRPr="00E75F63">
        <w:rPr>
          <w:sz w:val="22"/>
          <w:szCs w:val="22"/>
        </w:rPr>
        <w:t xml:space="preserve"> RMH implemented a</w:t>
      </w:r>
      <w:r w:rsidR="00AC2316" w:rsidRPr="00E75F63">
        <w:rPr>
          <w:sz w:val="22"/>
          <w:szCs w:val="22"/>
        </w:rPr>
        <w:t xml:space="preserve"> new EMR system</w:t>
      </w:r>
      <w:r w:rsidRPr="00E75F63">
        <w:rPr>
          <w:sz w:val="22"/>
          <w:szCs w:val="22"/>
        </w:rPr>
        <w:t xml:space="preserve">, Epic, during </w:t>
      </w:r>
      <w:r w:rsidR="00595A9F">
        <w:rPr>
          <w:sz w:val="22"/>
          <w:szCs w:val="22"/>
        </w:rPr>
        <w:t>FY20/21</w:t>
      </w:r>
      <w:r w:rsidR="00AC2316" w:rsidRPr="00E75F63">
        <w:rPr>
          <w:sz w:val="22"/>
          <w:szCs w:val="22"/>
        </w:rPr>
        <w:t xml:space="preserve"> (</w:t>
      </w:r>
      <w:r w:rsidR="001D4ACD">
        <w:rPr>
          <w:sz w:val="22"/>
          <w:szCs w:val="22"/>
        </w:rPr>
        <w:t>that</w:t>
      </w:r>
      <w:r w:rsidR="00AC2316" w:rsidRPr="00E75F63">
        <w:rPr>
          <w:sz w:val="22"/>
          <w:szCs w:val="22"/>
        </w:rPr>
        <w:t xml:space="preserve"> went live on 8 August 2020); as a result, the RMH submission for </w:t>
      </w:r>
      <w:r w:rsidR="00595A9F">
        <w:rPr>
          <w:sz w:val="22"/>
          <w:szCs w:val="22"/>
        </w:rPr>
        <w:t>FY20/21</w:t>
      </w:r>
      <w:r w:rsidR="00AC2316" w:rsidRPr="00E75F63">
        <w:rPr>
          <w:sz w:val="22"/>
          <w:szCs w:val="22"/>
        </w:rPr>
        <w:t xml:space="preserve"> included six weeks of data from the previous system (iPM)</w:t>
      </w:r>
      <w:r w:rsidR="00E75F63" w:rsidRPr="00E75F63">
        <w:rPr>
          <w:sz w:val="22"/>
          <w:szCs w:val="22"/>
        </w:rPr>
        <w:t xml:space="preserve"> – </w:t>
      </w:r>
      <w:r w:rsidR="001D4ACD">
        <w:rPr>
          <w:sz w:val="22"/>
          <w:szCs w:val="22"/>
        </w:rPr>
        <w:t>that</w:t>
      </w:r>
      <w:r w:rsidR="00E75F63" w:rsidRPr="00E75F63">
        <w:rPr>
          <w:sz w:val="22"/>
          <w:szCs w:val="22"/>
        </w:rPr>
        <w:t xml:space="preserve"> had to be linked with EPIC data for the rest of the year</w:t>
      </w:r>
      <w:r w:rsidR="00AC2316" w:rsidRPr="00E75F63">
        <w:rPr>
          <w:sz w:val="22"/>
          <w:szCs w:val="22"/>
        </w:rPr>
        <w:t xml:space="preserve">. </w:t>
      </w:r>
      <w:r w:rsidR="00E75F63" w:rsidRPr="00E75F63">
        <w:rPr>
          <w:sz w:val="22"/>
          <w:szCs w:val="22"/>
        </w:rPr>
        <w:t xml:space="preserve">A significant volume of health service data was migrated from legacy systems into the EPIC EMR, including Allied Health contacts, outpatient contacts, sub-acute non-admitted contacts and theatre services. </w:t>
      </w:r>
    </w:p>
    <w:p w14:paraId="324A91CB" w14:textId="17D736EA" w:rsidR="006B6DF6" w:rsidRPr="00630A55" w:rsidRDefault="00520FDC" w:rsidP="003910CC">
      <w:pPr>
        <w:jc w:val="both"/>
      </w:pPr>
      <w:r w:rsidRPr="00E75F63">
        <w:t>DH</w:t>
      </w:r>
      <w:r w:rsidR="006B6DF6" w:rsidRPr="00E75F63">
        <w:t xml:space="preserve"> applies automated processes where available to check and reconcile data, including Python scripts </w:t>
      </w:r>
      <w:r w:rsidR="001D4ACD">
        <w:t>that</w:t>
      </w:r>
      <w:r w:rsidR="006B6DF6" w:rsidRPr="00E75F63">
        <w:t xml:space="preserve"> reduces human error</w:t>
      </w:r>
      <w:r w:rsidR="00565AB6" w:rsidRPr="00E75F63">
        <w:t xml:space="preserve">, improves efficiency and </w:t>
      </w:r>
      <w:r w:rsidR="00D93F13">
        <w:t xml:space="preserve">timeliness of </w:t>
      </w:r>
      <w:r w:rsidR="00565AB6" w:rsidRPr="00E75F63">
        <w:t>processes</w:t>
      </w:r>
      <w:r w:rsidR="00660DF8">
        <w:t>.</w:t>
      </w:r>
    </w:p>
    <w:p w14:paraId="71C7EC83" w14:textId="5F55BC62" w:rsidR="006B6DF6" w:rsidRPr="00630A55" w:rsidRDefault="006B6DF6" w:rsidP="003910CC">
      <w:pPr>
        <w:jc w:val="both"/>
      </w:pPr>
      <w:r w:rsidRPr="00630A55">
        <w:t xml:space="preserve">RMH uses </w:t>
      </w:r>
      <w:r w:rsidR="00CE0E3E" w:rsidRPr="00630A55">
        <w:t>QlikView</w:t>
      </w:r>
      <w:r w:rsidRPr="00630A55">
        <w:t xml:space="preserve"> for internal reporting of their costing data, with dashboards available to all staff where requested (at present, business managers are the main users of these dashboards). </w:t>
      </w:r>
      <w:r w:rsidR="007D11C0">
        <w:t xml:space="preserve">Data is also provided for research projects and excel spreadsheets are provided for those who do not have access to </w:t>
      </w:r>
      <w:r w:rsidR="00016A79">
        <w:t>QlikView</w:t>
      </w:r>
      <w:r w:rsidR="007D11C0">
        <w:t xml:space="preserve">. </w:t>
      </w:r>
      <w:r w:rsidR="00520FDC">
        <w:t>DH</w:t>
      </w:r>
      <w:r w:rsidRPr="00630A55">
        <w:t xml:space="preserve"> is also exploring opportunities for a dashboard portal through PowerBI or similar, where health services can use the costing data to inform performance reporting and decision making.</w:t>
      </w:r>
    </w:p>
    <w:p w14:paraId="1DC960A4" w14:textId="77777777" w:rsidR="006B6DF6" w:rsidRPr="00630A55" w:rsidRDefault="006B6DF6" w:rsidP="009527C7">
      <w:pPr>
        <w:pStyle w:val="Heading4"/>
        <w:rPr>
          <w:rFonts w:ascii="Univers 45 Light" w:hAnsi="Univers 45 Light"/>
          <w:b w:val="0"/>
          <w:color w:val="4FC3FF" w:themeColor="accent2" w:themeTint="99"/>
          <w:szCs w:val="20"/>
        </w:rPr>
      </w:pPr>
      <w:r w:rsidRPr="00630A55">
        <w:t>Improvements</w:t>
      </w:r>
    </w:p>
    <w:p w14:paraId="518D4194" w14:textId="0FDBA4AB" w:rsidR="006B6DF6" w:rsidRPr="00630A55" w:rsidRDefault="006B6DF6" w:rsidP="003910CC">
      <w:pPr>
        <w:jc w:val="both"/>
      </w:pPr>
      <w:r w:rsidRPr="00630A55">
        <w:t xml:space="preserve">Due to the impacts of the pandemic in the </w:t>
      </w:r>
      <w:r w:rsidR="00ED70D3">
        <w:t>state</w:t>
      </w:r>
      <w:r w:rsidR="00FE02A4">
        <w:t>,</w:t>
      </w:r>
      <w:r w:rsidRPr="00630A55">
        <w:t xml:space="preserve"> there were no material changes or improvements to Victoria’s costing process or methodology between </w:t>
      </w:r>
      <w:r w:rsidR="00595A9F">
        <w:t>FY19/20</w:t>
      </w:r>
      <w:r w:rsidRPr="00630A55">
        <w:t xml:space="preserve"> and </w:t>
      </w:r>
      <w:r w:rsidR="00595A9F">
        <w:t>FY20/21</w:t>
      </w:r>
      <w:r w:rsidRPr="00630A55">
        <w:t xml:space="preserve">. However, there were improvements made by </w:t>
      </w:r>
      <w:r w:rsidR="00520FDC">
        <w:t>DH</w:t>
      </w:r>
      <w:r w:rsidRPr="00630A55">
        <w:t xml:space="preserve"> and the sampled sites to improve the robustness and accuracy of the costing data. These improvements included enhancements to feeder systems, specifically for non-admitted services, overhead allocations and mental health services.</w:t>
      </w:r>
    </w:p>
    <w:p w14:paraId="3319A7FA" w14:textId="36B5704B" w:rsidR="006B6DF6" w:rsidRPr="00630A55" w:rsidRDefault="006B6DF6" w:rsidP="003910CC">
      <w:pPr>
        <w:jc w:val="both"/>
      </w:pPr>
      <w:r w:rsidRPr="00630A55">
        <w:t>For LRH</w:t>
      </w:r>
      <w:r w:rsidR="00FE02A4">
        <w:t>,</w:t>
      </w:r>
      <w:r w:rsidRPr="00630A55">
        <w:t xml:space="preserve"> this has included work in CMI to fully cost community mental health, updating prosthesis pricing</w:t>
      </w:r>
      <w:r w:rsidR="00FE02A4">
        <w:t>,</w:t>
      </w:r>
      <w:r w:rsidRPr="00630A55">
        <w:t xml:space="preserve"> theatre allocations</w:t>
      </w:r>
      <w:r w:rsidR="00FE02A4">
        <w:t>,</w:t>
      </w:r>
      <w:r w:rsidRPr="00630A55">
        <w:t xml:space="preserve"> insights into urology costings and MBS allocations for </w:t>
      </w:r>
      <w:r w:rsidRPr="00630A55">
        <w:lastRenderedPageBreak/>
        <w:t xml:space="preserve">clinical </w:t>
      </w:r>
      <w:r w:rsidR="009B75A7">
        <w:t>consultants</w:t>
      </w:r>
      <w:r w:rsidRPr="00630A55">
        <w:t xml:space="preserve"> that </w:t>
      </w:r>
      <w:r w:rsidR="00016A79" w:rsidRPr="00630A55">
        <w:t>bulkbill</w:t>
      </w:r>
      <w:r w:rsidRPr="00630A55">
        <w:t>. For BHS, this has included the following: allocation of blood products to patient level; improvements to pathology and imaging feeder systems; improvement in bed transfer information between ICU/CCU/HDU; and enabling direct access to VINAH activity dataset for more accurate costing. RMH noted no major improvements to the costing process, however as noted above</w:t>
      </w:r>
      <w:r w:rsidR="00171679">
        <w:t>,</w:t>
      </w:r>
      <w:r w:rsidRPr="00630A55">
        <w:t xml:space="preserve"> they transitioned their EMR during </w:t>
      </w:r>
      <w:r w:rsidR="00595A9F">
        <w:t>FY20/21</w:t>
      </w:r>
      <w:r w:rsidRPr="00630A55">
        <w:t xml:space="preserve">. </w:t>
      </w:r>
    </w:p>
    <w:p w14:paraId="7A4DFA28" w14:textId="511D65A3" w:rsidR="006B6DF6" w:rsidRPr="007B4261" w:rsidRDefault="006B6DF6" w:rsidP="007B4261">
      <w:pPr>
        <w:pStyle w:val="Heading3"/>
      </w:pPr>
      <w:r w:rsidRPr="007B4261">
        <w:t xml:space="preserve">Data flow and </w:t>
      </w:r>
      <w:r w:rsidR="00AB4CD5">
        <w:t>r</w:t>
      </w:r>
      <w:r w:rsidRPr="007B4261">
        <w:t>econciliation</w:t>
      </w:r>
    </w:p>
    <w:p w14:paraId="1C82D6A8" w14:textId="77777777" w:rsidR="006B6DF6" w:rsidRPr="00630A55" w:rsidRDefault="006B6DF6" w:rsidP="003910CC">
      <w:pPr>
        <w:jc w:val="both"/>
      </w:pPr>
      <w:bookmarkStart w:id="68" w:name="_Hlk112664347"/>
      <w:r w:rsidRPr="00630A55">
        <w:t xml:space="preserve">The following summarises the financial reconciliation and adjustments processed by the sampled health services. </w:t>
      </w:r>
    </w:p>
    <w:p w14:paraId="6271A3E6" w14:textId="77777777" w:rsidR="006B6DF6" w:rsidRPr="00F2558D" w:rsidRDefault="006B6DF6" w:rsidP="0008151F">
      <w:pPr>
        <w:pStyle w:val="Heading4"/>
        <w:rPr>
          <w:b w:val="0"/>
          <w:bCs/>
        </w:rPr>
      </w:pPr>
      <w:r w:rsidRPr="00F2558D">
        <w:t>Latrobe Regional Hospital</w:t>
      </w:r>
    </w:p>
    <w:p w14:paraId="3CA9A996" w14:textId="6CABDF40" w:rsidR="006B6DF6" w:rsidRPr="00630A55" w:rsidRDefault="006B6DF6" w:rsidP="003910CC">
      <w:pPr>
        <w:jc w:val="both"/>
      </w:pPr>
      <w:r w:rsidRPr="00630A55">
        <w:t xml:space="preserve">The </w:t>
      </w:r>
      <w:r w:rsidR="00710D0C">
        <w:t>LRH</w:t>
      </w:r>
      <w:r w:rsidRPr="00630A55">
        <w:t xml:space="preserve"> starting GL balance was</w:t>
      </w:r>
      <w:r w:rsidR="00F30C25">
        <w:t xml:space="preserve"> $330,463,145 consistent with the Audited Financial Statements, following adjustments a total of</w:t>
      </w:r>
      <w:r w:rsidRPr="00630A55">
        <w:t xml:space="preserve"> </w:t>
      </w:r>
      <w:r w:rsidRPr="00A623B3">
        <w:t>$</w:t>
      </w:r>
      <w:r w:rsidR="00721FB2" w:rsidRPr="00A623B3">
        <w:t>306,081,894</w:t>
      </w:r>
      <w:r w:rsidR="00F30C25">
        <w:t xml:space="preserve"> was </w:t>
      </w:r>
      <w:r w:rsidR="00A623B3">
        <w:t>transferred to the costing system</w:t>
      </w:r>
      <w:r w:rsidRPr="00630A55">
        <w:t xml:space="preserve">. </w:t>
      </w:r>
      <w:r w:rsidR="00A623B3">
        <w:t>Further a</w:t>
      </w:r>
      <w:r w:rsidRPr="00630A55">
        <w:t xml:space="preserve">djustments totalling $18,945,337 were processed relating to WIP, Special Purpose Fund (SPF) costs and </w:t>
      </w:r>
      <w:r w:rsidRPr="00501B1D">
        <w:t>excluded episode</w:t>
      </w:r>
      <w:r w:rsidR="001F717F">
        <w:t>s</w:t>
      </w:r>
      <w:r w:rsidRPr="00501B1D">
        <w:t xml:space="preserve"> to arrive at an amount of $287,136,561 that was transferred to the costing system for </w:t>
      </w:r>
      <w:r w:rsidR="00595A9F" w:rsidRPr="00501B1D">
        <w:t>FY20/21</w:t>
      </w:r>
      <w:r w:rsidRPr="00501B1D">
        <w:t>.</w:t>
      </w:r>
      <w:r w:rsidRPr="00630A55">
        <w:t xml:space="preserve"> </w:t>
      </w:r>
    </w:p>
    <w:p w14:paraId="71B55F36" w14:textId="4AF4F64D" w:rsidR="00BD2458" w:rsidRDefault="006B6DF6" w:rsidP="003910CC">
      <w:pPr>
        <w:jc w:val="both"/>
      </w:pPr>
      <w:r w:rsidRPr="00630A55">
        <w:t xml:space="preserve">Adjustments were made at the jurisdictional level, totalling $49,915,352. These adjustments included </w:t>
      </w:r>
      <w:r w:rsidR="00BD2458">
        <w:t>WIP</w:t>
      </w:r>
      <w:r w:rsidR="001F717F">
        <w:t xml:space="preserve"> and</w:t>
      </w:r>
      <w:r w:rsidR="00BD2458">
        <w:t xml:space="preserve"> </w:t>
      </w:r>
      <w:r w:rsidRPr="00630A55">
        <w:t>unlink</w:t>
      </w:r>
      <w:r w:rsidR="00C335B4">
        <w:t>able</w:t>
      </w:r>
      <w:r w:rsidRPr="00630A55">
        <w:t xml:space="preserve"> record</w:t>
      </w:r>
      <w:r w:rsidR="00171679">
        <w:t>s</w:t>
      </w:r>
      <w:r w:rsidRPr="00630A55">
        <w:t xml:space="preserve">, e.g. admitted mental health and mental health care episodes. </w:t>
      </w:r>
      <w:r w:rsidR="00BD2458" w:rsidRPr="00BD2458">
        <w:t xml:space="preserve">WIP </w:t>
      </w:r>
      <w:r w:rsidR="00BD2458">
        <w:t xml:space="preserve">is defined as </w:t>
      </w:r>
      <w:r w:rsidR="00BD2458" w:rsidRPr="00BD2458">
        <w:t>either included costs from prior year or excluded costs as episodes yet to be discharged.</w:t>
      </w:r>
    </w:p>
    <w:p w14:paraId="55C9DC6B" w14:textId="1BB098AB" w:rsidR="003910CC" w:rsidRDefault="006B6DF6" w:rsidP="003910CC">
      <w:pPr>
        <w:jc w:val="both"/>
      </w:pPr>
      <w:r w:rsidRPr="00630A55">
        <w:t xml:space="preserve">The total costs for LRH submitted to IHACPA totalled $237,221,209. For further details on the costs and activity submitted for LRH, refer to </w:t>
      </w:r>
      <w:r w:rsidR="008A7062">
        <w:fldChar w:fldCharType="begin"/>
      </w:r>
      <w:r w:rsidR="008A7062">
        <w:instrText xml:space="preserve"> REF _Ref114757206 \h </w:instrText>
      </w:r>
      <w:r w:rsidR="003910CC">
        <w:instrText xml:space="preserve"> \* MERGEFORMAT </w:instrText>
      </w:r>
      <w:r w:rsidR="008A7062">
        <w:fldChar w:fldCharType="separate"/>
      </w:r>
      <w:r w:rsidR="007E2ACB" w:rsidRPr="007E2ACB">
        <w:t xml:space="preserve">Table </w:t>
      </w:r>
      <w:r w:rsidR="007E2ACB" w:rsidRPr="007E2ACB">
        <w:rPr>
          <w:noProof/>
        </w:rPr>
        <w:t>25</w:t>
      </w:r>
      <w:r w:rsidR="008A7062">
        <w:fldChar w:fldCharType="end"/>
      </w:r>
      <w:r w:rsidRPr="00630A55">
        <w:t>.</w:t>
      </w:r>
    </w:p>
    <w:p w14:paraId="11CAC3E1" w14:textId="77777777" w:rsidR="00325EFA" w:rsidRPr="00325EFA" w:rsidRDefault="00325EFA" w:rsidP="00325EFA">
      <w:pPr>
        <w:pStyle w:val="Heading4"/>
      </w:pPr>
      <w:r w:rsidRPr="00630A55">
        <w:t>Ballarat Health Ser</w:t>
      </w:r>
      <w:r w:rsidRPr="00325EFA">
        <w:t>vice</w:t>
      </w:r>
    </w:p>
    <w:p w14:paraId="2AC937F3" w14:textId="7D543744" w:rsidR="00325EFA" w:rsidRPr="00630A55" w:rsidRDefault="00325EFA" w:rsidP="003910CC">
      <w:pPr>
        <w:jc w:val="both"/>
      </w:pPr>
      <w:r w:rsidRPr="00630A55">
        <w:t xml:space="preserve">The </w:t>
      </w:r>
      <w:r>
        <w:t>BHS</w:t>
      </w:r>
      <w:r w:rsidRPr="00630A55">
        <w:t xml:space="preserve"> starting GL was $</w:t>
      </w:r>
      <w:r w:rsidR="00BA2277">
        <w:t>577</w:t>
      </w:r>
      <w:r w:rsidR="007F4AAA">
        <w:t>,902,</w:t>
      </w:r>
      <w:r w:rsidR="00B03EC1">
        <w:t>614</w:t>
      </w:r>
      <w:r w:rsidRPr="00630A55">
        <w:t>, consistent with the Audited Financial Statements</w:t>
      </w:r>
      <w:r w:rsidR="00E41F19">
        <w:t>, following adjustments a total of $583,867,348 was transferred to the costing system. Further a</w:t>
      </w:r>
      <w:r w:rsidRPr="00630A55">
        <w:t>djustment</w:t>
      </w:r>
      <w:r w:rsidR="00E41F19">
        <w:t>s</w:t>
      </w:r>
      <w:r w:rsidRPr="00630A55">
        <w:t xml:space="preserve"> totalling $49,349,746 relating to </w:t>
      </w:r>
      <w:r w:rsidR="002E49A5">
        <w:t>privately funded activities through BHS Radiology and BHS Pharmacy</w:t>
      </w:r>
      <w:r w:rsidRPr="00630A55">
        <w:t xml:space="preserve">, regional partnership expenditure (for services provided to the broader Grampians Health), capital and finance leases were applied to arrive at an amount of $534,517,581 transferred to the costing system for </w:t>
      </w:r>
      <w:r w:rsidR="00595A9F">
        <w:t>FY20/21</w:t>
      </w:r>
      <w:r w:rsidRPr="00630A55">
        <w:t xml:space="preserve">. </w:t>
      </w:r>
    </w:p>
    <w:p w14:paraId="05EC7758" w14:textId="677A517C" w:rsidR="009C41D0" w:rsidRDefault="00325EFA" w:rsidP="003910CC">
      <w:pPr>
        <w:jc w:val="both"/>
      </w:pPr>
      <w:r w:rsidRPr="00630A55">
        <w:t xml:space="preserve">Adjustments made at the jurisdictional level, totalling $169,101,907, included </w:t>
      </w:r>
      <w:r w:rsidR="00BD2458">
        <w:t xml:space="preserve">WIP, </w:t>
      </w:r>
      <w:r w:rsidRPr="00630A55">
        <w:t xml:space="preserve">unlinked episodes in mental health and ED. As a result, the total costs for BHS submitted to IHACPA totalled $365,415,672. </w:t>
      </w:r>
    </w:p>
    <w:p w14:paraId="04743B60" w14:textId="2A90E25A" w:rsidR="00325EFA" w:rsidRPr="00630A55" w:rsidRDefault="00325EFA" w:rsidP="003910CC">
      <w:pPr>
        <w:jc w:val="both"/>
      </w:pPr>
      <w:r w:rsidRPr="00630A55">
        <w:t>For further details on the costs and activity submitted for BHS</w:t>
      </w:r>
      <w:r>
        <w:t xml:space="preserve"> see </w:t>
      </w:r>
      <w:r w:rsidR="008A7062">
        <w:fldChar w:fldCharType="begin"/>
      </w:r>
      <w:r w:rsidR="008A7062">
        <w:instrText xml:space="preserve"> REF _Ref114757250 \h </w:instrText>
      </w:r>
      <w:r w:rsidR="003910CC">
        <w:instrText xml:space="preserve"> \* MERGEFORMAT </w:instrText>
      </w:r>
      <w:r w:rsidR="008A7062">
        <w:fldChar w:fldCharType="separate"/>
      </w:r>
      <w:r w:rsidR="007E2ACB" w:rsidRPr="007E2ACB">
        <w:t xml:space="preserve">Table </w:t>
      </w:r>
      <w:r w:rsidR="007E2ACB" w:rsidRPr="007E2ACB">
        <w:rPr>
          <w:noProof/>
        </w:rPr>
        <w:t>26</w:t>
      </w:r>
      <w:r w:rsidR="008A7062">
        <w:fldChar w:fldCharType="end"/>
      </w:r>
      <w:r w:rsidRPr="00630A55">
        <w:t xml:space="preserve">. </w:t>
      </w:r>
    </w:p>
    <w:p w14:paraId="64A0BA42" w14:textId="77777777" w:rsidR="00325EFA" w:rsidRPr="00630A55" w:rsidRDefault="00325EFA" w:rsidP="00325EFA">
      <w:pPr>
        <w:pStyle w:val="Heading4"/>
        <w:rPr>
          <w:b w:val="0"/>
          <w:bCs/>
        </w:rPr>
      </w:pPr>
      <w:r w:rsidRPr="00630A55">
        <w:t>Royal Melbourne Hospital</w:t>
      </w:r>
    </w:p>
    <w:p w14:paraId="0516561D" w14:textId="49AB594F" w:rsidR="00325EFA" w:rsidRPr="00630A55" w:rsidRDefault="00325EFA" w:rsidP="00CE0E3E">
      <w:pPr>
        <w:jc w:val="both"/>
      </w:pPr>
      <w:r w:rsidRPr="00630A55">
        <w:t xml:space="preserve">The </w:t>
      </w:r>
      <w:r>
        <w:t>RMH</w:t>
      </w:r>
      <w:r w:rsidRPr="00630A55">
        <w:t xml:space="preserve"> starting GL was $1</w:t>
      </w:r>
      <w:r w:rsidR="007C1D5D">
        <w:t>,575,992,280</w:t>
      </w:r>
      <w:r w:rsidRPr="00630A55">
        <w:t>, consistent with the Audited Financial Statements</w:t>
      </w:r>
      <w:r w:rsidR="007C1D5D">
        <w:t>, following adjustments a total of $1,353</w:t>
      </w:r>
      <w:r w:rsidR="00CC0616">
        <w:t>,684,227 was transferred to the costing system</w:t>
      </w:r>
      <w:r w:rsidRPr="00630A55">
        <w:t xml:space="preserve">. </w:t>
      </w:r>
      <w:r w:rsidR="00CE0E3E" w:rsidRPr="00CE0E3E">
        <w:t>There were a range of adjustments applied totalling $20,551,762, relating to W</w:t>
      </w:r>
      <w:r w:rsidR="00527B43">
        <w:t>IP</w:t>
      </w:r>
      <w:r w:rsidR="00CE0E3E" w:rsidRPr="00CE0E3E">
        <w:t xml:space="preserve"> for patients not discharged as at 30/06/2021, recoveries (e.g. salaries and wages, utilities, facility charges), shared services (e.g. finance, payroll, supply), Peter MacCallum Cancer Centre ICU patients and other recoveries</w:t>
      </w:r>
      <w:r w:rsidR="00FB6A31">
        <w:t>,</w:t>
      </w:r>
      <w:r w:rsidR="00CE0E3E" w:rsidRPr="00CE0E3E">
        <w:t xml:space="preserve"> and the EMR project.</w:t>
      </w:r>
      <w:r w:rsidR="00CE0E3E">
        <w:t xml:space="preserve"> </w:t>
      </w:r>
      <w:r w:rsidRPr="00630A55">
        <w:t xml:space="preserve">The total value transferred to the costing system for </w:t>
      </w:r>
      <w:r w:rsidR="00595A9F">
        <w:t>FY20/21</w:t>
      </w:r>
      <w:r w:rsidRPr="00630A55">
        <w:t xml:space="preserve"> was $1,333,132,466. </w:t>
      </w:r>
    </w:p>
    <w:p w14:paraId="518A6CC1" w14:textId="2BD74DA7" w:rsidR="009C41D0" w:rsidRDefault="00325EFA" w:rsidP="00CE0E3E">
      <w:pPr>
        <w:jc w:val="both"/>
      </w:pPr>
      <w:r w:rsidRPr="00630A55">
        <w:t xml:space="preserve">Adjustments made at the jurisdictional level, totalling $394,052,036, included </w:t>
      </w:r>
      <w:r w:rsidR="00BD2458">
        <w:t xml:space="preserve">WIP, </w:t>
      </w:r>
      <w:r w:rsidRPr="00630A55">
        <w:t>unlink</w:t>
      </w:r>
      <w:r w:rsidR="00966134">
        <w:t>able</w:t>
      </w:r>
      <w:r w:rsidR="00584D24">
        <w:t xml:space="preserve"> </w:t>
      </w:r>
      <w:r w:rsidRPr="00630A55">
        <w:t xml:space="preserve">episodes in ED and mental health. As a result, the total costs for RMH submitted to IHACPA totalled $939,080,430. </w:t>
      </w:r>
    </w:p>
    <w:p w14:paraId="44F24BBC" w14:textId="1A849338" w:rsidR="00325EFA" w:rsidRPr="00630A55" w:rsidRDefault="00325EFA" w:rsidP="00325EFA">
      <w:r w:rsidRPr="00630A55">
        <w:t>For further details on the costs and activity submitted for RMH</w:t>
      </w:r>
      <w:r>
        <w:t xml:space="preserve"> see </w:t>
      </w:r>
      <w:r w:rsidR="008A7062" w:rsidRPr="00D377DC">
        <w:fldChar w:fldCharType="begin"/>
      </w:r>
      <w:r w:rsidR="008A7062" w:rsidRPr="00D377DC">
        <w:instrText xml:space="preserve"> REF _Ref114757234 \h </w:instrText>
      </w:r>
      <w:r w:rsidR="00D377DC" w:rsidRPr="00D377DC">
        <w:instrText xml:space="preserve"> \* MERGEFORMAT </w:instrText>
      </w:r>
      <w:r w:rsidR="008A7062" w:rsidRPr="00D377DC">
        <w:fldChar w:fldCharType="separate"/>
      </w:r>
      <w:r w:rsidR="007E2ACB" w:rsidRPr="007E2ACB">
        <w:t xml:space="preserve">Table </w:t>
      </w:r>
      <w:r w:rsidR="007E2ACB" w:rsidRPr="007E2ACB">
        <w:rPr>
          <w:noProof/>
        </w:rPr>
        <w:t>27</w:t>
      </w:r>
      <w:r w:rsidR="008A7062" w:rsidRPr="00D377DC">
        <w:fldChar w:fldCharType="end"/>
      </w:r>
      <w:r w:rsidRPr="00D377DC">
        <w:t>.</w:t>
      </w:r>
      <w:r w:rsidRPr="00630A55">
        <w:t xml:space="preserve"> </w:t>
      </w:r>
    </w:p>
    <w:p w14:paraId="65F5A2DA" w14:textId="62CD1904" w:rsidR="00325EFA" w:rsidRDefault="00325EFA">
      <w:pPr>
        <w:spacing w:before="0" w:after="160" w:line="259" w:lineRule="auto"/>
      </w:pPr>
      <w:r>
        <w:br w:type="page"/>
      </w:r>
    </w:p>
    <w:p w14:paraId="54599766" w14:textId="4E4333B2" w:rsidR="006B6DF6" w:rsidRPr="00630A55" w:rsidRDefault="008A7062" w:rsidP="008A7062">
      <w:pPr>
        <w:pStyle w:val="Caption"/>
      </w:pPr>
      <w:bookmarkStart w:id="69" w:name="_Ref114757206"/>
      <w:r w:rsidRPr="00A8310C">
        <w:rPr>
          <w:b/>
          <w:bCs/>
        </w:rPr>
        <w:lastRenderedPageBreak/>
        <w:t xml:space="preserve">Table </w:t>
      </w:r>
      <w:r w:rsidR="00D91CB1" w:rsidRPr="00A8310C">
        <w:rPr>
          <w:b/>
          <w:bCs/>
        </w:rPr>
        <w:fldChar w:fldCharType="begin"/>
      </w:r>
      <w:r w:rsidR="00D91CB1" w:rsidRPr="00A8310C">
        <w:rPr>
          <w:b/>
          <w:bCs/>
        </w:rPr>
        <w:instrText xml:space="preserve"> SEQ Table \* ARABIC </w:instrText>
      </w:r>
      <w:r w:rsidR="00D91CB1" w:rsidRPr="00A8310C">
        <w:rPr>
          <w:b/>
          <w:bCs/>
        </w:rPr>
        <w:fldChar w:fldCharType="separate"/>
      </w:r>
      <w:r w:rsidR="007E2ACB">
        <w:rPr>
          <w:b/>
          <w:bCs/>
          <w:noProof/>
        </w:rPr>
        <w:t>25</w:t>
      </w:r>
      <w:r w:rsidR="00D91CB1" w:rsidRPr="00A8310C">
        <w:rPr>
          <w:b/>
          <w:bCs/>
          <w:noProof/>
        </w:rPr>
        <w:fldChar w:fldCharType="end"/>
      </w:r>
      <w:bookmarkEnd w:id="69"/>
      <w:r w:rsidRPr="00A8310C">
        <w:rPr>
          <w:b/>
          <w:bCs/>
        </w:rPr>
        <w:t>:</w:t>
      </w:r>
      <w:r w:rsidR="006B6DF6" w:rsidRPr="00630A55">
        <w:t xml:space="preserve"> Reconciliation from General Ledger to NHCDC </w:t>
      </w:r>
      <w:r w:rsidR="00CF232D">
        <w:t>c</w:t>
      </w:r>
      <w:r w:rsidR="006B6DF6" w:rsidRPr="00630A55">
        <w:t xml:space="preserve">osted </w:t>
      </w:r>
      <w:r w:rsidR="00CF232D">
        <w:t>p</w:t>
      </w:r>
      <w:r w:rsidR="006B6DF6" w:rsidRPr="00630A55">
        <w:t>roducts – Latrobe Regional Hospital</w:t>
      </w:r>
    </w:p>
    <w:tbl>
      <w:tblPr>
        <w:tblW w:w="9477" w:type="dxa"/>
        <w:tblBorders>
          <w:top w:val="single" w:sz="12" w:space="0" w:color="auto"/>
          <w:left w:val="single" w:sz="12" w:space="0" w:color="auto"/>
          <w:bottom w:val="single" w:sz="12" w:space="0" w:color="auto"/>
          <w:right w:val="single" w:sz="12" w:space="0" w:color="auto"/>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81"/>
        <w:gridCol w:w="6606"/>
        <w:gridCol w:w="2590"/>
      </w:tblGrid>
      <w:tr w:rsidR="006B6DF6" w:rsidRPr="00630A55" w14:paraId="2C94EE89" w14:textId="77777777" w:rsidTr="003910CC">
        <w:trPr>
          <w:trHeight w:val="258"/>
        </w:trPr>
        <w:tc>
          <w:tcPr>
            <w:tcW w:w="6887" w:type="dxa"/>
            <w:gridSpan w:val="2"/>
            <w:tcBorders>
              <w:top w:val="single" w:sz="4" w:space="0" w:color="auto"/>
              <w:left w:val="single" w:sz="4" w:space="0" w:color="auto"/>
              <w:bottom w:val="single" w:sz="12" w:space="0" w:color="auto"/>
              <w:right w:val="single" w:sz="4" w:space="0" w:color="auto"/>
            </w:tcBorders>
            <w:shd w:val="clear" w:color="000000" w:fill="00338D"/>
            <w:noWrap/>
            <w:vAlign w:val="center"/>
            <w:hideMark/>
          </w:tcPr>
          <w:p w14:paraId="0C11FCA0" w14:textId="15CB558C" w:rsidR="006B6DF6" w:rsidRPr="00630A55" w:rsidRDefault="009B5D0F" w:rsidP="009527C7">
            <w:pPr>
              <w:pStyle w:val="Tableheading"/>
              <w:rPr>
                <w:lang w:eastAsia="en-AU"/>
              </w:rPr>
            </w:pPr>
            <w:r>
              <w:rPr>
                <w:lang w:eastAsia="en-AU"/>
              </w:rPr>
              <w:t>Health Service</w:t>
            </w:r>
            <w:r w:rsidR="006B6DF6" w:rsidRPr="00630A55">
              <w:rPr>
                <w:lang w:eastAsia="en-AU"/>
              </w:rPr>
              <w:t xml:space="preserve"> level </w:t>
            </w:r>
            <w:r w:rsidR="00CF232D">
              <w:rPr>
                <w:lang w:eastAsia="en-AU"/>
              </w:rPr>
              <w:t>d</w:t>
            </w:r>
            <w:r w:rsidR="006B6DF6" w:rsidRPr="00630A55">
              <w:rPr>
                <w:lang w:eastAsia="en-AU"/>
              </w:rPr>
              <w:t xml:space="preserve">ata </w:t>
            </w:r>
          </w:p>
        </w:tc>
        <w:tc>
          <w:tcPr>
            <w:tcW w:w="2590" w:type="dxa"/>
            <w:tcBorders>
              <w:top w:val="single" w:sz="4" w:space="0" w:color="auto"/>
              <w:left w:val="single" w:sz="4" w:space="0" w:color="auto"/>
              <w:bottom w:val="single" w:sz="12" w:space="0" w:color="auto"/>
              <w:right w:val="single" w:sz="4" w:space="0" w:color="auto"/>
            </w:tcBorders>
            <w:shd w:val="clear" w:color="000000" w:fill="00338D"/>
            <w:noWrap/>
            <w:vAlign w:val="center"/>
            <w:hideMark/>
          </w:tcPr>
          <w:p w14:paraId="29152E10" w14:textId="0E8A2236" w:rsidR="006B6DF6" w:rsidRPr="00630A55" w:rsidRDefault="006B6DF6" w:rsidP="009527C7">
            <w:pPr>
              <w:pStyle w:val="Tableheading"/>
              <w:rPr>
                <w:color w:val="FFFFFF"/>
                <w:lang w:eastAsia="en-AU"/>
              </w:rPr>
            </w:pPr>
            <w:r w:rsidRPr="00630A55">
              <w:rPr>
                <w:lang w:eastAsia="en-AU"/>
              </w:rPr>
              <w:t> </w:t>
            </w:r>
            <w:r w:rsidR="003758E1">
              <w:rPr>
                <w:lang w:eastAsia="en-AU"/>
              </w:rPr>
              <w:t>Value</w:t>
            </w:r>
          </w:p>
        </w:tc>
      </w:tr>
      <w:tr w:rsidR="006B6DF6" w:rsidRPr="00630A55" w14:paraId="2853BC9A" w14:textId="77777777" w:rsidTr="003910CC">
        <w:trPr>
          <w:trHeight w:val="248"/>
        </w:trPr>
        <w:tc>
          <w:tcPr>
            <w:tcW w:w="6887" w:type="dxa"/>
            <w:gridSpan w:val="2"/>
            <w:tcBorders>
              <w:top w:val="single" w:sz="12" w:space="0" w:color="auto"/>
              <w:left w:val="single" w:sz="4" w:space="0" w:color="auto"/>
              <w:right w:val="single" w:sz="4" w:space="0" w:color="auto"/>
            </w:tcBorders>
            <w:shd w:val="clear" w:color="auto" w:fill="808080"/>
            <w:noWrap/>
            <w:vAlign w:val="center"/>
            <w:hideMark/>
          </w:tcPr>
          <w:p w14:paraId="688FC5A0" w14:textId="0A85336C" w:rsidR="006B6DF6" w:rsidRPr="00467F5A" w:rsidRDefault="009B5D0F" w:rsidP="009527C7">
            <w:pPr>
              <w:pStyle w:val="Tableheading"/>
              <w:rPr>
                <w:rFonts w:ascii="Arial" w:hAnsi="Arial" w:cs="Arial"/>
                <w:b w:val="0"/>
                <w:bCs/>
                <w:color w:val="000000" w:themeColor="text1"/>
                <w:lang w:eastAsia="en-AU"/>
              </w:rPr>
            </w:pPr>
            <w:r>
              <w:rPr>
                <w:rFonts w:ascii="Arial" w:hAnsi="Arial" w:cs="Arial"/>
                <w:b w:val="0"/>
                <w:bCs/>
                <w:color w:val="000000" w:themeColor="text1"/>
                <w:lang w:eastAsia="en-AU"/>
              </w:rPr>
              <w:t>Health Service</w:t>
            </w:r>
            <w:r w:rsidR="006B6DF6" w:rsidRPr="00467F5A">
              <w:rPr>
                <w:rFonts w:ascii="Arial" w:hAnsi="Arial" w:cs="Arial"/>
                <w:b w:val="0"/>
                <w:bCs/>
                <w:color w:val="000000" w:themeColor="text1"/>
                <w:lang w:eastAsia="en-AU"/>
              </w:rPr>
              <w:t xml:space="preserve"> General Ledger </w:t>
            </w:r>
          </w:p>
        </w:tc>
        <w:tc>
          <w:tcPr>
            <w:tcW w:w="2590" w:type="dxa"/>
            <w:tcBorders>
              <w:top w:val="single" w:sz="12" w:space="0" w:color="auto"/>
              <w:left w:val="single" w:sz="4" w:space="0" w:color="auto"/>
              <w:right w:val="single" w:sz="4" w:space="0" w:color="auto"/>
            </w:tcBorders>
            <w:shd w:val="clear" w:color="auto" w:fill="808080"/>
            <w:noWrap/>
            <w:vAlign w:val="center"/>
            <w:hideMark/>
          </w:tcPr>
          <w:p w14:paraId="6E9D6C61" w14:textId="0E26A922" w:rsidR="006B6DF6" w:rsidRPr="00467F5A" w:rsidRDefault="006B6DF6" w:rsidP="00557B7D">
            <w:pPr>
              <w:pStyle w:val="Tableheading"/>
              <w:jc w:val="right"/>
              <w:rPr>
                <w:rFonts w:ascii="Arial" w:hAnsi="Arial" w:cs="Arial"/>
                <w:b w:val="0"/>
                <w:bCs/>
                <w:color w:val="000000" w:themeColor="text1"/>
                <w:lang w:eastAsia="en-AU"/>
              </w:rPr>
            </w:pPr>
            <w:r w:rsidRPr="00467F5A">
              <w:rPr>
                <w:rFonts w:ascii="Arial" w:hAnsi="Arial" w:cs="Arial"/>
                <w:b w:val="0"/>
                <w:bCs/>
                <w:color w:val="000000" w:themeColor="text1"/>
                <w:lang w:eastAsia="en-AU"/>
              </w:rPr>
              <w:t xml:space="preserve"> </w:t>
            </w:r>
          </w:p>
        </w:tc>
      </w:tr>
      <w:tr w:rsidR="006B6DF6" w:rsidRPr="00630A55" w14:paraId="034CD0C7" w14:textId="77777777" w:rsidTr="003910CC">
        <w:trPr>
          <w:trHeight w:val="258"/>
        </w:trPr>
        <w:tc>
          <w:tcPr>
            <w:tcW w:w="6887" w:type="dxa"/>
            <w:gridSpan w:val="2"/>
            <w:tcBorders>
              <w:left w:val="single" w:sz="4" w:space="0" w:color="auto"/>
              <w:right w:val="single" w:sz="4" w:space="0" w:color="auto"/>
            </w:tcBorders>
            <w:shd w:val="clear" w:color="000000" w:fill="FFFFFF"/>
            <w:noWrap/>
            <w:vAlign w:val="center"/>
            <w:hideMark/>
          </w:tcPr>
          <w:p w14:paraId="2F77210F" w14:textId="02D8D4E2" w:rsidR="006B6DF6" w:rsidRPr="00630A55" w:rsidRDefault="006B6DF6" w:rsidP="009527C7">
            <w:pPr>
              <w:pStyle w:val="Tabletext"/>
              <w:rPr>
                <w:color w:val="000000"/>
                <w:lang w:eastAsia="en-AU"/>
              </w:rPr>
            </w:pPr>
            <w:r w:rsidRPr="00630A55">
              <w:rPr>
                <w:lang w:eastAsia="en-AU"/>
              </w:rPr>
              <w:t xml:space="preserve">Transferred to </w:t>
            </w:r>
            <w:r w:rsidR="00557B7D">
              <w:rPr>
                <w:lang w:eastAsia="en-AU"/>
              </w:rPr>
              <w:t>c</w:t>
            </w:r>
            <w:r w:rsidRPr="00630A55">
              <w:rPr>
                <w:lang w:eastAsia="en-AU"/>
              </w:rPr>
              <w:t xml:space="preserve">osting </w:t>
            </w:r>
            <w:r w:rsidR="00557B7D">
              <w:rPr>
                <w:lang w:eastAsia="en-AU"/>
              </w:rPr>
              <w:t>s</w:t>
            </w:r>
            <w:r w:rsidRPr="00630A55">
              <w:rPr>
                <w:lang w:eastAsia="en-AU"/>
              </w:rPr>
              <w:t xml:space="preserve">ystem </w:t>
            </w:r>
          </w:p>
        </w:tc>
        <w:tc>
          <w:tcPr>
            <w:tcW w:w="2590" w:type="dxa"/>
            <w:vMerge w:val="restart"/>
            <w:tcBorders>
              <w:left w:val="single" w:sz="4" w:space="0" w:color="auto"/>
              <w:right w:val="single" w:sz="4" w:space="0" w:color="auto"/>
            </w:tcBorders>
            <w:shd w:val="clear" w:color="auto" w:fill="auto"/>
            <w:noWrap/>
            <w:vAlign w:val="center"/>
          </w:tcPr>
          <w:p w14:paraId="083C105F" w14:textId="03A1DE2B" w:rsidR="006B6DF6" w:rsidRPr="00630A55" w:rsidRDefault="00D24761" w:rsidP="003B139A">
            <w:pPr>
              <w:pStyle w:val="Tabletext"/>
              <w:jc w:val="right"/>
            </w:pPr>
            <w:r>
              <w:t>N/A</w:t>
            </w:r>
          </w:p>
        </w:tc>
      </w:tr>
      <w:tr w:rsidR="006B6DF6" w:rsidRPr="00630A55" w14:paraId="58F7E7F7" w14:textId="77777777" w:rsidTr="003910CC">
        <w:trPr>
          <w:trHeight w:val="258"/>
        </w:trPr>
        <w:tc>
          <w:tcPr>
            <w:tcW w:w="6887" w:type="dxa"/>
            <w:gridSpan w:val="2"/>
            <w:tcBorders>
              <w:left w:val="single" w:sz="4" w:space="0" w:color="auto"/>
              <w:right w:val="single" w:sz="4" w:space="0" w:color="auto"/>
            </w:tcBorders>
            <w:shd w:val="clear" w:color="000000" w:fill="FFFFFF"/>
            <w:noWrap/>
            <w:vAlign w:val="center"/>
            <w:hideMark/>
          </w:tcPr>
          <w:p w14:paraId="34F2019D" w14:textId="40BC7874" w:rsidR="006B6DF6" w:rsidRPr="00630A55" w:rsidRDefault="006B6DF6" w:rsidP="009527C7">
            <w:pPr>
              <w:pStyle w:val="Tabletext"/>
              <w:rPr>
                <w:color w:val="000000"/>
                <w:lang w:eastAsia="en-AU"/>
              </w:rPr>
            </w:pPr>
            <w:r w:rsidRPr="00630A55">
              <w:rPr>
                <w:lang w:eastAsia="en-AU"/>
              </w:rPr>
              <w:t xml:space="preserve">Post </w:t>
            </w:r>
            <w:r w:rsidR="00557B7D">
              <w:rPr>
                <w:lang w:eastAsia="en-AU"/>
              </w:rPr>
              <w:t>a</w:t>
            </w:r>
            <w:r w:rsidRPr="00630A55">
              <w:rPr>
                <w:lang w:eastAsia="en-AU"/>
              </w:rPr>
              <w:t xml:space="preserve">llocation </w:t>
            </w:r>
            <w:r w:rsidR="00557B7D">
              <w:rPr>
                <w:lang w:eastAsia="en-AU"/>
              </w:rPr>
              <w:t>a</w:t>
            </w:r>
            <w:r w:rsidRPr="00630A55">
              <w:rPr>
                <w:lang w:eastAsia="en-AU"/>
              </w:rPr>
              <w:t xml:space="preserve">mounts </w:t>
            </w:r>
          </w:p>
        </w:tc>
        <w:tc>
          <w:tcPr>
            <w:tcW w:w="2590" w:type="dxa"/>
            <w:vMerge/>
            <w:tcBorders>
              <w:left w:val="single" w:sz="4" w:space="0" w:color="auto"/>
              <w:right w:val="single" w:sz="4" w:space="0" w:color="auto"/>
            </w:tcBorders>
            <w:shd w:val="clear" w:color="auto" w:fill="auto"/>
            <w:noWrap/>
            <w:vAlign w:val="bottom"/>
          </w:tcPr>
          <w:p w14:paraId="4334BB08" w14:textId="77777777" w:rsidR="006B6DF6" w:rsidRPr="00630A55" w:rsidRDefault="006B6DF6" w:rsidP="00557B7D">
            <w:pPr>
              <w:jc w:val="right"/>
              <w:rPr>
                <w:lang w:eastAsia="en-AU"/>
              </w:rPr>
            </w:pPr>
          </w:p>
        </w:tc>
      </w:tr>
      <w:tr w:rsidR="006B6DF6" w:rsidRPr="00630A55" w14:paraId="5B6CA8CD" w14:textId="77777777" w:rsidTr="003910CC">
        <w:trPr>
          <w:trHeight w:val="258"/>
        </w:trPr>
        <w:tc>
          <w:tcPr>
            <w:tcW w:w="6887" w:type="dxa"/>
            <w:gridSpan w:val="2"/>
            <w:tcBorders>
              <w:left w:val="single" w:sz="4" w:space="0" w:color="auto"/>
              <w:right w:val="single" w:sz="4" w:space="0" w:color="auto"/>
            </w:tcBorders>
            <w:shd w:val="clear" w:color="000000" w:fill="FFFFFF"/>
            <w:noWrap/>
            <w:vAlign w:val="center"/>
            <w:hideMark/>
          </w:tcPr>
          <w:p w14:paraId="398AC234" w14:textId="77777777" w:rsidR="006B6DF6" w:rsidRPr="00630A55" w:rsidRDefault="006B6DF6" w:rsidP="009527C7">
            <w:pPr>
              <w:pStyle w:val="Tabletext"/>
              <w:rPr>
                <w:color w:val="000000"/>
                <w:lang w:eastAsia="en-AU"/>
              </w:rPr>
            </w:pPr>
            <w:r w:rsidRPr="00630A55">
              <w:rPr>
                <w:lang w:eastAsia="en-AU"/>
              </w:rPr>
              <w:t>Adjustments</w:t>
            </w:r>
          </w:p>
        </w:tc>
        <w:tc>
          <w:tcPr>
            <w:tcW w:w="2590" w:type="dxa"/>
            <w:vMerge/>
            <w:tcBorders>
              <w:left w:val="single" w:sz="4" w:space="0" w:color="auto"/>
              <w:right w:val="single" w:sz="4" w:space="0" w:color="auto"/>
            </w:tcBorders>
            <w:shd w:val="clear" w:color="auto" w:fill="auto"/>
            <w:noWrap/>
            <w:vAlign w:val="bottom"/>
          </w:tcPr>
          <w:p w14:paraId="1B4905B5" w14:textId="77777777" w:rsidR="006B6DF6" w:rsidRPr="00630A55" w:rsidRDefault="006B6DF6" w:rsidP="00557B7D">
            <w:pPr>
              <w:jc w:val="right"/>
              <w:rPr>
                <w:lang w:eastAsia="en-AU"/>
              </w:rPr>
            </w:pPr>
          </w:p>
        </w:tc>
      </w:tr>
      <w:tr w:rsidR="006B6DF6" w:rsidRPr="00630A55" w14:paraId="696AA545" w14:textId="77777777" w:rsidTr="003910CC">
        <w:trPr>
          <w:trHeight w:val="258"/>
        </w:trPr>
        <w:tc>
          <w:tcPr>
            <w:tcW w:w="6887" w:type="dxa"/>
            <w:gridSpan w:val="2"/>
            <w:tcBorders>
              <w:left w:val="single" w:sz="4" w:space="0" w:color="auto"/>
              <w:right w:val="single" w:sz="4" w:space="0" w:color="auto"/>
            </w:tcBorders>
            <w:shd w:val="clear" w:color="000000" w:fill="FFFFFF"/>
            <w:noWrap/>
            <w:vAlign w:val="center"/>
            <w:hideMark/>
          </w:tcPr>
          <w:p w14:paraId="72949537" w14:textId="77777777" w:rsidR="006B6DF6" w:rsidRPr="00630A55" w:rsidRDefault="006B6DF6" w:rsidP="009527C7">
            <w:pPr>
              <w:pStyle w:val="Tabletext"/>
              <w:rPr>
                <w:color w:val="000000"/>
                <w:lang w:eastAsia="en-AU"/>
              </w:rPr>
            </w:pPr>
            <w:r w:rsidRPr="00630A55">
              <w:rPr>
                <w:lang w:eastAsia="en-AU"/>
              </w:rPr>
              <w:t xml:space="preserve">Line items as per standards </w:t>
            </w:r>
          </w:p>
        </w:tc>
        <w:tc>
          <w:tcPr>
            <w:tcW w:w="2590" w:type="dxa"/>
            <w:vMerge/>
            <w:tcBorders>
              <w:left w:val="single" w:sz="4" w:space="0" w:color="auto"/>
              <w:right w:val="single" w:sz="4" w:space="0" w:color="auto"/>
            </w:tcBorders>
            <w:shd w:val="clear" w:color="auto" w:fill="auto"/>
            <w:noWrap/>
            <w:vAlign w:val="bottom"/>
          </w:tcPr>
          <w:p w14:paraId="492D4987" w14:textId="77777777" w:rsidR="006B6DF6" w:rsidRPr="00630A55" w:rsidRDefault="006B6DF6" w:rsidP="00557B7D">
            <w:pPr>
              <w:jc w:val="right"/>
              <w:rPr>
                <w:lang w:eastAsia="en-AU"/>
              </w:rPr>
            </w:pPr>
          </w:p>
        </w:tc>
      </w:tr>
      <w:tr w:rsidR="006B6DF6" w:rsidRPr="00630A55" w14:paraId="10106BD7" w14:textId="77777777" w:rsidTr="003910CC">
        <w:trPr>
          <w:trHeight w:val="258"/>
        </w:trPr>
        <w:tc>
          <w:tcPr>
            <w:tcW w:w="6887" w:type="dxa"/>
            <w:gridSpan w:val="2"/>
            <w:tcBorders>
              <w:left w:val="single" w:sz="4" w:space="0" w:color="auto"/>
              <w:bottom w:val="single" w:sz="12" w:space="0" w:color="auto"/>
              <w:right w:val="single" w:sz="4" w:space="0" w:color="auto"/>
            </w:tcBorders>
            <w:shd w:val="clear" w:color="000000" w:fill="FFFFFF"/>
            <w:noWrap/>
            <w:vAlign w:val="center"/>
            <w:hideMark/>
          </w:tcPr>
          <w:p w14:paraId="3B53311E" w14:textId="53AD4FE4" w:rsidR="006B6DF6" w:rsidRPr="00630A55" w:rsidRDefault="006B6DF6" w:rsidP="009527C7">
            <w:pPr>
              <w:pStyle w:val="Tabletext"/>
              <w:rPr>
                <w:color w:val="000000"/>
                <w:lang w:eastAsia="en-AU"/>
              </w:rPr>
            </w:pPr>
            <w:r w:rsidRPr="00630A55">
              <w:rPr>
                <w:lang w:eastAsia="en-AU"/>
              </w:rPr>
              <w:t xml:space="preserve">Costs </w:t>
            </w:r>
            <w:r w:rsidR="00557B7D">
              <w:rPr>
                <w:lang w:eastAsia="en-AU"/>
              </w:rPr>
              <w:t>s</w:t>
            </w:r>
            <w:r w:rsidRPr="00630A55">
              <w:rPr>
                <w:lang w:eastAsia="en-AU"/>
              </w:rPr>
              <w:t xml:space="preserve">ubmitted to </w:t>
            </w:r>
            <w:r w:rsidR="00557B7D">
              <w:rPr>
                <w:lang w:eastAsia="en-AU"/>
              </w:rPr>
              <w:t>j</w:t>
            </w:r>
            <w:r w:rsidRPr="00630A55">
              <w:rPr>
                <w:lang w:eastAsia="en-AU"/>
              </w:rPr>
              <w:t xml:space="preserve">urisdiction </w:t>
            </w:r>
          </w:p>
        </w:tc>
        <w:tc>
          <w:tcPr>
            <w:tcW w:w="2590" w:type="dxa"/>
            <w:vMerge/>
            <w:tcBorders>
              <w:left w:val="single" w:sz="4" w:space="0" w:color="auto"/>
              <w:bottom w:val="single" w:sz="12" w:space="0" w:color="auto"/>
              <w:right w:val="single" w:sz="4" w:space="0" w:color="auto"/>
            </w:tcBorders>
            <w:shd w:val="clear" w:color="auto" w:fill="auto"/>
            <w:noWrap/>
            <w:vAlign w:val="bottom"/>
          </w:tcPr>
          <w:p w14:paraId="019018B4" w14:textId="77777777" w:rsidR="006B6DF6" w:rsidRPr="00630A55" w:rsidRDefault="006B6DF6" w:rsidP="00557B7D">
            <w:pPr>
              <w:jc w:val="right"/>
              <w:rPr>
                <w:lang w:eastAsia="en-AU"/>
              </w:rPr>
            </w:pPr>
          </w:p>
        </w:tc>
      </w:tr>
      <w:tr w:rsidR="006B6DF6" w:rsidRPr="00630A55" w14:paraId="34B902E8" w14:textId="77777777" w:rsidTr="003910CC">
        <w:trPr>
          <w:trHeight w:val="258"/>
        </w:trPr>
        <w:tc>
          <w:tcPr>
            <w:tcW w:w="6887" w:type="dxa"/>
            <w:gridSpan w:val="2"/>
            <w:tcBorders>
              <w:top w:val="single" w:sz="12" w:space="0" w:color="auto"/>
              <w:left w:val="single" w:sz="4" w:space="0" w:color="auto"/>
              <w:bottom w:val="single" w:sz="12" w:space="0" w:color="auto"/>
              <w:right w:val="single" w:sz="4" w:space="0" w:color="auto"/>
            </w:tcBorders>
            <w:shd w:val="clear" w:color="000000" w:fill="00338D"/>
            <w:noWrap/>
            <w:vAlign w:val="center"/>
            <w:hideMark/>
          </w:tcPr>
          <w:p w14:paraId="6105BE4B" w14:textId="5210C03D" w:rsidR="006B6DF6" w:rsidRPr="00630A55" w:rsidRDefault="006B6DF6" w:rsidP="009527C7">
            <w:pPr>
              <w:pStyle w:val="Tableheading"/>
              <w:rPr>
                <w:color w:val="FFFFFF"/>
                <w:lang w:eastAsia="en-AU"/>
              </w:rPr>
            </w:pPr>
            <w:r w:rsidRPr="00630A55">
              <w:rPr>
                <w:lang w:eastAsia="en-AU"/>
              </w:rPr>
              <w:t xml:space="preserve">Hospital level </w:t>
            </w:r>
            <w:r w:rsidR="00CF232D">
              <w:rPr>
                <w:lang w:eastAsia="en-AU"/>
              </w:rPr>
              <w:t>d</w:t>
            </w:r>
            <w:r w:rsidRPr="00630A55">
              <w:rPr>
                <w:lang w:eastAsia="en-AU"/>
              </w:rPr>
              <w:t>ata (LRH)</w:t>
            </w:r>
          </w:p>
        </w:tc>
        <w:tc>
          <w:tcPr>
            <w:tcW w:w="2590" w:type="dxa"/>
            <w:tcBorders>
              <w:top w:val="single" w:sz="12" w:space="0" w:color="auto"/>
              <w:left w:val="single" w:sz="4" w:space="0" w:color="auto"/>
              <w:bottom w:val="single" w:sz="12" w:space="0" w:color="auto"/>
              <w:right w:val="single" w:sz="4" w:space="0" w:color="auto"/>
            </w:tcBorders>
            <w:shd w:val="clear" w:color="000000" w:fill="00338D"/>
            <w:noWrap/>
            <w:vAlign w:val="center"/>
            <w:hideMark/>
          </w:tcPr>
          <w:p w14:paraId="34622883" w14:textId="77777777" w:rsidR="006B6DF6" w:rsidRPr="00630A55" w:rsidRDefault="006B6DF6" w:rsidP="003758E1">
            <w:pPr>
              <w:pStyle w:val="Tableheading"/>
              <w:rPr>
                <w:lang w:eastAsia="en-AU"/>
              </w:rPr>
            </w:pPr>
            <w:r w:rsidRPr="00630A55">
              <w:rPr>
                <w:lang w:eastAsia="en-AU"/>
              </w:rPr>
              <w:t>Value</w:t>
            </w:r>
          </w:p>
        </w:tc>
      </w:tr>
      <w:tr w:rsidR="006B6DF6" w:rsidRPr="00630A55" w14:paraId="4D0C0B54" w14:textId="77777777" w:rsidTr="003910CC">
        <w:trPr>
          <w:trHeight w:val="258"/>
        </w:trPr>
        <w:tc>
          <w:tcPr>
            <w:tcW w:w="6887" w:type="dxa"/>
            <w:gridSpan w:val="2"/>
            <w:tcBorders>
              <w:left w:val="single" w:sz="4" w:space="0" w:color="auto"/>
              <w:right w:val="single" w:sz="4" w:space="0" w:color="auto"/>
            </w:tcBorders>
            <w:shd w:val="clear" w:color="000000" w:fill="FFFFFF"/>
            <w:noWrap/>
            <w:vAlign w:val="center"/>
            <w:hideMark/>
          </w:tcPr>
          <w:p w14:paraId="38B1458A" w14:textId="7A6D85EE" w:rsidR="006B6DF6" w:rsidRPr="00630A55" w:rsidRDefault="006B6DF6" w:rsidP="009527C7">
            <w:pPr>
              <w:pStyle w:val="Tabletext"/>
              <w:rPr>
                <w:color w:val="000000"/>
                <w:lang w:eastAsia="en-AU"/>
              </w:rPr>
            </w:pPr>
            <w:r w:rsidRPr="00630A55">
              <w:rPr>
                <w:lang w:eastAsia="en-AU"/>
              </w:rPr>
              <w:t xml:space="preserve">GL transferred to </w:t>
            </w:r>
            <w:r w:rsidR="00CF232D">
              <w:rPr>
                <w:lang w:eastAsia="en-AU"/>
              </w:rPr>
              <w:t>c</w:t>
            </w:r>
            <w:r w:rsidRPr="00630A55">
              <w:rPr>
                <w:lang w:eastAsia="en-AU"/>
              </w:rPr>
              <w:t xml:space="preserve">osting </w:t>
            </w:r>
            <w:r w:rsidR="00CF232D">
              <w:rPr>
                <w:lang w:eastAsia="en-AU"/>
              </w:rPr>
              <w:t>s</w:t>
            </w:r>
            <w:r w:rsidRPr="00630A55">
              <w:rPr>
                <w:lang w:eastAsia="en-AU"/>
              </w:rPr>
              <w:t xml:space="preserve">ystem </w:t>
            </w:r>
          </w:p>
        </w:tc>
        <w:tc>
          <w:tcPr>
            <w:tcW w:w="2590" w:type="dxa"/>
            <w:tcBorders>
              <w:left w:val="single" w:sz="4" w:space="0" w:color="auto"/>
              <w:right w:val="single" w:sz="4" w:space="0" w:color="auto"/>
            </w:tcBorders>
            <w:shd w:val="clear" w:color="auto" w:fill="auto"/>
            <w:noWrap/>
            <w:vAlign w:val="center"/>
          </w:tcPr>
          <w:p w14:paraId="03C58F03" w14:textId="77777777" w:rsidR="006B6DF6" w:rsidRPr="00630A55" w:rsidRDefault="006B6DF6" w:rsidP="00557B7D">
            <w:pPr>
              <w:pStyle w:val="TableTextNumber"/>
              <w:jc w:val="right"/>
            </w:pPr>
            <w:r w:rsidRPr="00630A55">
              <w:t>$306,081,894</w:t>
            </w:r>
          </w:p>
        </w:tc>
      </w:tr>
      <w:tr w:rsidR="006B6DF6" w:rsidRPr="00630A55" w14:paraId="37427CE8" w14:textId="77777777" w:rsidTr="003910CC">
        <w:trPr>
          <w:trHeight w:val="258"/>
        </w:trPr>
        <w:tc>
          <w:tcPr>
            <w:tcW w:w="6887" w:type="dxa"/>
            <w:gridSpan w:val="2"/>
            <w:tcBorders>
              <w:left w:val="single" w:sz="4" w:space="0" w:color="auto"/>
              <w:right w:val="single" w:sz="4" w:space="0" w:color="auto"/>
            </w:tcBorders>
            <w:shd w:val="clear" w:color="000000" w:fill="FFFFFF"/>
            <w:noWrap/>
            <w:vAlign w:val="center"/>
            <w:hideMark/>
          </w:tcPr>
          <w:p w14:paraId="621B79EB" w14:textId="1BDE2096" w:rsidR="006B6DF6" w:rsidRPr="00630A55" w:rsidRDefault="006B6DF6" w:rsidP="009527C7">
            <w:pPr>
              <w:pStyle w:val="Tabletext"/>
              <w:rPr>
                <w:color w:val="000000"/>
                <w:lang w:eastAsia="en-AU"/>
              </w:rPr>
            </w:pPr>
            <w:r w:rsidRPr="00630A55">
              <w:rPr>
                <w:lang w:eastAsia="en-AU"/>
              </w:rPr>
              <w:t xml:space="preserve">Post </w:t>
            </w:r>
            <w:r w:rsidR="00CF232D">
              <w:rPr>
                <w:lang w:eastAsia="en-AU"/>
              </w:rPr>
              <w:t>a</w:t>
            </w:r>
            <w:r w:rsidRPr="00630A55">
              <w:rPr>
                <w:lang w:eastAsia="en-AU"/>
              </w:rPr>
              <w:t xml:space="preserve">llocation </w:t>
            </w:r>
            <w:r w:rsidR="00CF232D">
              <w:rPr>
                <w:lang w:eastAsia="en-AU"/>
              </w:rPr>
              <w:t>a</w:t>
            </w:r>
            <w:r w:rsidRPr="00630A55">
              <w:rPr>
                <w:lang w:eastAsia="en-AU"/>
              </w:rPr>
              <w:t>mounts</w:t>
            </w:r>
          </w:p>
        </w:tc>
        <w:tc>
          <w:tcPr>
            <w:tcW w:w="2590" w:type="dxa"/>
            <w:tcBorders>
              <w:left w:val="single" w:sz="4" w:space="0" w:color="auto"/>
              <w:right w:val="single" w:sz="4" w:space="0" w:color="auto"/>
            </w:tcBorders>
            <w:shd w:val="clear" w:color="auto" w:fill="auto"/>
            <w:noWrap/>
            <w:vAlign w:val="center"/>
          </w:tcPr>
          <w:p w14:paraId="5321157F" w14:textId="77777777" w:rsidR="006B6DF6" w:rsidRPr="00630A55" w:rsidRDefault="006B6DF6" w:rsidP="00557B7D">
            <w:pPr>
              <w:pStyle w:val="TableTextNumber"/>
              <w:jc w:val="right"/>
            </w:pPr>
            <w:r w:rsidRPr="00630A55">
              <w:t>$306,081,894</w:t>
            </w:r>
          </w:p>
        </w:tc>
      </w:tr>
      <w:tr w:rsidR="006B6DF6" w:rsidRPr="00630A55" w14:paraId="01B5BA10" w14:textId="77777777" w:rsidTr="003910CC">
        <w:trPr>
          <w:trHeight w:val="258"/>
        </w:trPr>
        <w:tc>
          <w:tcPr>
            <w:tcW w:w="6887" w:type="dxa"/>
            <w:gridSpan w:val="2"/>
            <w:tcBorders>
              <w:left w:val="single" w:sz="4" w:space="0" w:color="auto"/>
              <w:right w:val="single" w:sz="4" w:space="0" w:color="auto"/>
            </w:tcBorders>
            <w:shd w:val="clear" w:color="000000" w:fill="FFFFFF"/>
            <w:noWrap/>
            <w:vAlign w:val="center"/>
            <w:hideMark/>
          </w:tcPr>
          <w:p w14:paraId="0CBEACF9" w14:textId="77777777" w:rsidR="006B6DF6" w:rsidRPr="00630A55" w:rsidRDefault="006B6DF6" w:rsidP="009527C7">
            <w:pPr>
              <w:pStyle w:val="Tabletext"/>
              <w:rPr>
                <w:lang w:eastAsia="en-AU"/>
              </w:rPr>
            </w:pPr>
            <w:r w:rsidRPr="00630A55">
              <w:rPr>
                <w:lang w:eastAsia="en-AU"/>
              </w:rPr>
              <w:t>Adjustments</w:t>
            </w:r>
          </w:p>
        </w:tc>
        <w:tc>
          <w:tcPr>
            <w:tcW w:w="2590" w:type="dxa"/>
            <w:tcBorders>
              <w:left w:val="single" w:sz="4" w:space="0" w:color="auto"/>
              <w:right w:val="single" w:sz="4" w:space="0" w:color="auto"/>
            </w:tcBorders>
            <w:shd w:val="clear" w:color="auto" w:fill="auto"/>
            <w:noWrap/>
            <w:vAlign w:val="center"/>
          </w:tcPr>
          <w:p w14:paraId="09FE7406" w14:textId="77777777" w:rsidR="006B6DF6" w:rsidRPr="00630A55" w:rsidRDefault="006B6DF6" w:rsidP="00557B7D">
            <w:pPr>
              <w:pStyle w:val="TableTextNumber"/>
              <w:jc w:val="right"/>
              <w:rPr>
                <w:color w:val="000000"/>
              </w:rPr>
            </w:pPr>
            <w:r w:rsidRPr="00630A55">
              <w:t>($18,945,337)</w:t>
            </w:r>
          </w:p>
        </w:tc>
      </w:tr>
      <w:tr w:rsidR="006B6DF6" w:rsidRPr="00630A55" w14:paraId="6E0E3D26" w14:textId="77777777" w:rsidTr="003910CC">
        <w:trPr>
          <w:trHeight w:val="258"/>
        </w:trPr>
        <w:tc>
          <w:tcPr>
            <w:tcW w:w="6887" w:type="dxa"/>
            <w:gridSpan w:val="2"/>
            <w:tcBorders>
              <w:left w:val="single" w:sz="4" w:space="0" w:color="auto"/>
              <w:right w:val="single" w:sz="4" w:space="0" w:color="auto"/>
            </w:tcBorders>
            <w:shd w:val="clear" w:color="000000" w:fill="FFFFFF"/>
            <w:noWrap/>
            <w:vAlign w:val="center"/>
            <w:hideMark/>
          </w:tcPr>
          <w:p w14:paraId="33AFADE9" w14:textId="77777777" w:rsidR="006B6DF6" w:rsidRPr="00630A55" w:rsidRDefault="006B6DF6" w:rsidP="009527C7">
            <w:pPr>
              <w:pStyle w:val="Tabletext"/>
              <w:rPr>
                <w:color w:val="000000"/>
                <w:lang w:eastAsia="en-AU"/>
              </w:rPr>
            </w:pPr>
            <w:r w:rsidRPr="00630A55">
              <w:rPr>
                <w:lang w:eastAsia="en-AU"/>
              </w:rPr>
              <w:t xml:space="preserve">Line items as per standards </w:t>
            </w:r>
          </w:p>
        </w:tc>
        <w:tc>
          <w:tcPr>
            <w:tcW w:w="2590" w:type="dxa"/>
            <w:tcBorders>
              <w:left w:val="single" w:sz="4" w:space="0" w:color="auto"/>
              <w:right w:val="single" w:sz="4" w:space="0" w:color="auto"/>
            </w:tcBorders>
            <w:shd w:val="clear" w:color="auto" w:fill="auto"/>
            <w:noWrap/>
          </w:tcPr>
          <w:p w14:paraId="75AFA307" w14:textId="77777777" w:rsidR="006B6DF6" w:rsidRPr="00630A55" w:rsidRDefault="006B6DF6" w:rsidP="00557B7D">
            <w:pPr>
              <w:pStyle w:val="TableTextNumber"/>
              <w:jc w:val="right"/>
            </w:pPr>
            <w:r w:rsidRPr="00630A55">
              <w:t>$287,136,561</w:t>
            </w:r>
          </w:p>
        </w:tc>
      </w:tr>
      <w:tr w:rsidR="006B6DF6" w:rsidRPr="00630A55" w14:paraId="37DC7E40" w14:textId="77777777" w:rsidTr="003910CC">
        <w:trPr>
          <w:trHeight w:val="258"/>
        </w:trPr>
        <w:tc>
          <w:tcPr>
            <w:tcW w:w="6887" w:type="dxa"/>
            <w:gridSpan w:val="2"/>
            <w:tcBorders>
              <w:left w:val="single" w:sz="4" w:space="0" w:color="auto"/>
              <w:bottom w:val="single" w:sz="12" w:space="0" w:color="auto"/>
              <w:right w:val="single" w:sz="4" w:space="0" w:color="auto"/>
            </w:tcBorders>
            <w:shd w:val="clear" w:color="000000" w:fill="FFFFFF"/>
            <w:noWrap/>
            <w:vAlign w:val="center"/>
            <w:hideMark/>
          </w:tcPr>
          <w:p w14:paraId="334CD384" w14:textId="0548FEE3" w:rsidR="006B6DF6" w:rsidRPr="00630A55" w:rsidRDefault="006B6DF6" w:rsidP="009527C7">
            <w:pPr>
              <w:pStyle w:val="Tabletext"/>
              <w:rPr>
                <w:color w:val="000000"/>
                <w:lang w:eastAsia="en-AU"/>
              </w:rPr>
            </w:pPr>
            <w:r w:rsidRPr="00630A55">
              <w:rPr>
                <w:lang w:eastAsia="en-AU"/>
              </w:rPr>
              <w:t xml:space="preserve">Costs </w:t>
            </w:r>
            <w:r w:rsidR="008A7062">
              <w:rPr>
                <w:lang w:eastAsia="en-AU"/>
              </w:rPr>
              <w:t>s</w:t>
            </w:r>
            <w:r w:rsidRPr="00630A55">
              <w:rPr>
                <w:lang w:eastAsia="en-AU"/>
              </w:rPr>
              <w:t xml:space="preserve">ubmitted to </w:t>
            </w:r>
            <w:r w:rsidR="008A7062">
              <w:rPr>
                <w:lang w:eastAsia="en-AU"/>
              </w:rPr>
              <w:t>j</w:t>
            </w:r>
            <w:r w:rsidRPr="00630A55">
              <w:rPr>
                <w:lang w:eastAsia="en-AU"/>
              </w:rPr>
              <w:t xml:space="preserve">urisdiction </w:t>
            </w:r>
          </w:p>
        </w:tc>
        <w:tc>
          <w:tcPr>
            <w:tcW w:w="2590" w:type="dxa"/>
            <w:tcBorders>
              <w:left w:val="single" w:sz="4" w:space="0" w:color="auto"/>
              <w:bottom w:val="single" w:sz="12" w:space="0" w:color="auto"/>
              <w:right w:val="single" w:sz="4" w:space="0" w:color="auto"/>
            </w:tcBorders>
            <w:shd w:val="clear" w:color="auto" w:fill="auto"/>
            <w:noWrap/>
          </w:tcPr>
          <w:p w14:paraId="255B3A68" w14:textId="77777777" w:rsidR="006B6DF6" w:rsidRPr="00630A55" w:rsidRDefault="006B6DF6" w:rsidP="00557B7D">
            <w:pPr>
              <w:pStyle w:val="TableTextNumber"/>
              <w:jc w:val="right"/>
            </w:pPr>
            <w:r w:rsidRPr="00630A55">
              <w:t>$287,136,561</w:t>
            </w:r>
          </w:p>
        </w:tc>
      </w:tr>
      <w:tr w:rsidR="006B6DF6" w:rsidRPr="00630A55" w14:paraId="6862E294" w14:textId="77777777" w:rsidTr="003910CC">
        <w:trPr>
          <w:trHeight w:val="258"/>
        </w:trPr>
        <w:tc>
          <w:tcPr>
            <w:tcW w:w="6887" w:type="dxa"/>
            <w:gridSpan w:val="2"/>
            <w:tcBorders>
              <w:top w:val="single" w:sz="12" w:space="0" w:color="auto"/>
              <w:left w:val="single" w:sz="4" w:space="0" w:color="auto"/>
              <w:bottom w:val="single" w:sz="12" w:space="0" w:color="auto"/>
              <w:right w:val="single" w:sz="4" w:space="0" w:color="auto"/>
            </w:tcBorders>
            <w:shd w:val="clear" w:color="000000" w:fill="00338D"/>
            <w:noWrap/>
            <w:vAlign w:val="center"/>
            <w:hideMark/>
          </w:tcPr>
          <w:p w14:paraId="20E42841" w14:textId="73296CAA" w:rsidR="006B6DF6" w:rsidRPr="00630A55" w:rsidRDefault="006B6DF6" w:rsidP="009527C7">
            <w:pPr>
              <w:pStyle w:val="Tableheading"/>
              <w:rPr>
                <w:lang w:eastAsia="en-AU"/>
              </w:rPr>
            </w:pPr>
            <w:r w:rsidRPr="00630A55">
              <w:rPr>
                <w:lang w:eastAsia="en-AU"/>
              </w:rPr>
              <w:t xml:space="preserve">LRH </w:t>
            </w:r>
            <w:r w:rsidR="00CF232D">
              <w:rPr>
                <w:lang w:eastAsia="en-AU"/>
              </w:rPr>
              <w:t>a</w:t>
            </w:r>
            <w:r w:rsidRPr="00630A55">
              <w:rPr>
                <w:lang w:eastAsia="en-AU"/>
              </w:rPr>
              <w:t>ctivity</w:t>
            </w:r>
          </w:p>
        </w:tc>
        <w:tc>
          <w:tcPr>
            <w:tcW w:w="2590" w:type="dxa"/>
            <w:tcBorders>
              <w:top w:val="single" w:sz="12" w:space="0" w:color="auto"/>
              <w:left w:val="single" w:sz="4" w:space="0" w:color="auto"/>
              <w:bottom w:val="single" w:sz="12" w:space="0" w:color="auto"/>
              <w:right w:val="single" w:sz="4" w:space="0" w:color="auto"/>
            </w:tcBorders>
            <w:shd w:val="clear" w:color="000000" w:fill="00338D"/>
            <w:noWrap/>
            <w:vAlign w:val="center"/>
            <w:hideMark/>
          </w:tcPr>
          <w:p w14:paraId="6BE918A2" w14:textId="77777777" w:rsidR="006B6DF6" w:rsidRPr="00630A55" w:rsidRDefault="006B6DF6" w:rsidP="003758E1">
            <w:pPr>
              <w:pStyle w:val="Tableheading"/>
              <w:rPr>
                <w:color w:val="FFFFFF"/>
                <w:lang w:eastAsia="en-AU"/>
              </w:rPr>
            </w:pPr>
            <w:r w:rsidRPr="00630A55">
              <w:rPr>
                <w:lang w:eastAsia="en-AU"/>
              </w:rPr>
              <w:t xml:space="preserve">Value </w:t>
            </w:r>
          </w:p>
        </w:tc>
      </w:tr>
      <w:tr w:rsidR="006B6DF6" w:rsidRPr="00630A55" w14:paraId="20E883B7" w14:textId="77777777" w:rsidTr="003910CC">
        <w:trPr>
          <w:trHeight w:val="465"/>
        </w:trPr>
        <w:tc>
          <w:tcPr>
            <w:tcW w:w="6887" w:type="dxa"/>
            <w:gridSpan w:val="2"/>
            <w:tcBorders>
              <w:top w:val="single" w:sz="12" w:space="0" w:color="auto"/>
              <w:left w:val="single" w:sz="4" w:space="0" w:color="auto"/>
              <w:right w:val="single" w:sz="4" w:space="0" w:color="auto"/>
            </w:tcBorders>
            <w:shd w:val="clear" w:color="000000" w:fill="FFFFFF"/>
            <w:vAlign w:val="center"/>
            <w:hideMark/>
          </w:tcPr>
          <w:p w14:paraId="349B3EFA" w14:textId="74C18863" w:rsidR="006B6DF6" w:rsidRPr="00630A55" w:rsidRDefault="006B6DF6" w:rsidP="009527C7">
            <w:pPr>
              <w:pStyle w:val="Tabletext"/>
              <w:rPr>
                <w:color w:val="000000"/>
                <w:lang w:eastAsia="en-AU"/>
              </w:rPr>
            </w:pPr>
            <w:r w:rsidRPr="00630A55">
              <w:rPr>
                <w:lang w:eastAsia="en-AU"/>
              </w:rPr>
              <w:t xml:space="preserve">Data loaded to the costing </w:t>
            </w:r>
            <w:r w:rsidR="008A7062">
              <w:rPr>
                <w:lang w:eastAsia="en-AU"/>
              </w:rPr>
              <w:t>s</w:t>
            </w:r>
            <w:r w:rsidRPr="00630A55">
              <w:rPr>
                <w:lang w:eastAsia="en-AU"/>
              </w:rPr>
              <w:t>ystem for costing purposes</w:t>
            </w:r>
          </w:p>
        </w:tc>
        <w:tc>
          <w:tcPr>
            <w:tcW w:w="2590" w:type="dxa"/>
            <w:tcBorders>
              <w:top w:val="single" w:sz="12" w:space="0" w:color="auto"/>
              <w:left w:val="single" w:sz="4" w:space="0" w:color="auto"/>
              <w:right w:val="single" w:sz="4" w:space="0" w:color="auto"/>
            </w:tcBorders>
            <w:shd w:val="clear" w:color="auto" w:fill="auto"/>
            <w:vAlign w:val="center"/>
          </w:tcPr>
          <w:p w14:paraId="42CBD649" w14:textId="77777777" w:rsidR="006B6DF6" w:rsidRPr="00630A55" w:rsidRDefault="006B6DF6" w:rsidP="00557B7D">
            <w:pPr>
              <w:pStyle w:val="TableTextNumber"/>
              <w:jc w:val="right"/>
            </w:pPr>
          </w:p>
        </w:tc>
      </w:tr>
      <w:tr w:rsidR="006B6DF6" w:rsidRPr="00630A55" w14:paraId="4B947CEE" w14:textId="77777777" w:rsidTr="003910CC">
        <w:trPr>
          <w:trHeight w:val="258"/>
        </w:trPr>
        <w:tc>
          <w:tcPr>
            <w:tcW w:w="281" w:type="dxa"/>
            <w:tcBorders>
              <w:left w:val="single" w:sz="4" w:space="0" w:color="auto"/>
            </w:tcBorders>
            <w:shd w:val="clear" w:color="000000" w:fill="FFFFFF"/>
            <w:noWrap/>
            <w:vAlign w:val="center"/>
            <w:hideMark/>
          </w:tcPr>
          <w:p w14:paraId="1311CB1D" w14:textId="77777777" w:rsidR="006B6DF6" w:rsidRPr="00630A55" w:rsidRDefault="006B6DF6" w:rsidP="009527C7">
            <w:pPr>
              <w:pStyle w:val="Tabletext"/>
              <w:rPr>
                <w:color w:val="000000"/>
                <w:lang w:eastAsia="en-AU"/>
              </w:rPr>
            </w:pPr>
            <w:r w:rsidRPr="00630A55">
              <w:rPr>
                <w:lang w:eastAsia="en-AU"/>
              </w:rPr>
              <w:t> </w:t>
            </w:r>
          </w:p>
        </w:tc>
        <w:tc>
          <w:tcPr>
            <w:tcW w:w="6606" w:type="dxa"/>
            <w:tcBorders>
              <w:right w:val="single" w:sz="4" w:space="0" w:color="auto"/>
            </w:tcBorders>
            <w:shd w:val="clear" w:color="000000" w:fill="FFFFFF"/>
            <w:noWrap/>
            <w:vAlign w:val="center"/>
            <w:hideMark/>
          </w:tcPr>
          <w:p w14:paraId="2CA9E3E3" w14:textId="17F44FF7" w:rsidR="006B6DF6" w:rsidRPr="00630A55" w:rsidRDefault="006B6DF6" w:rsidP="009527C7">
            <w:pPr>
              <w:pStyle w:val="Tabletext"/>
              <w:rPr>
                <w:color w:val="000000"/>
                <w:lang w:eastAsia="en-AU"/>
              </w:rPr>
            </w:pPr>
            <w:r w:rsidRPr="00630A55">
              <w:rPr>
                <w:lang w:eastAsia="en-AU"/>
              </w:rPr>
              <w:t xml:space="preserve">Activity </w:t>
            </w:r>
            <w:r w:rsidR="008A7062">
              <w:rPr>
                <w:lang w:eastAsia="en-AU"/>
              </w:rPr>
              <w:t>d</w:t>
            </w:r>
            <w:r w:rsidRPr="00630A55">
              <w:rPr>
                <w:lang w:eastAsia="en-AU"/>
              </w:rPr>
              <w:t xml:space="preserve">ata </w:t>
            </w:r>
          </w:p>
        </w:tc>
        <w:tc>
          <w:tcPr>
            <w:tcW w:w="2590" w:type="dxa"/>
            <w:tcBorders>
              <w:left w:val="single" w:sz="4" w:space="0" w:color="auto"/>
              <w:right w:val="single" w:sz="4" w:space="0" w:color="auto"/>
            </w:tcBorders>
            <w:shd w:val="clear" w:color="auto" w:fill="auto"/>
            <w:noWrap/>
            <w:vAlign w:val="center"/>
          </w:tcPr>
          <w:p w14:paraId="0C9858D4" w14:textId="77777777" w:rsidR="006B6DF6" w:rsidRPr="00630A55" w:rsidRDefault="006B6DF6" w:rsidP="00557B7D">
            <w:pPr>
              <w:pStyle w:val="TableTextNumber"/>
              <w:jc w:val="right"/>
            </w:pPr>
            <w:r w:rsidRPr="00630A55">
              <w:t>204,261</w:t>
            </w:r>
          </w:p>
        </w:tc>
      </w:tr>
      <w:tr w:rsidR="006B6DF6" w:rsidRPr="00630A55" w14:paraId="78D27ED1" w14:textId="77777777" w:rsidTr="003910CC">
        <w:trPr>
          <w:trHeight w:val="258"/>
        </w:trPr>
        <w:tc>
          <w:tcPr>
            <w:tcW w:w="281" w:type="dxa"/>
            <w:tcBorders>
              <w:left w:val="single" w:sz="4" w:space="0" w:color="auto"/>
            </w:tcBorders>
            <w:shd w:val="clear" w:color="000000" w:fill="FFFFFF"/>
            <w:noWrap/>
            <w:vAlign w:val="center"/>
            <w:hideMark/>
          </w:tcPr>
          <w:p w14:paraId="1A898DFB" w14:textId="77777777" w:rsidR="006B6DF6" w:rsidRPr="00630A55" w:rsidRDefault="006B6DF6" w:rsidP="009527C7">
            <w:pPr>
              <w:pStyle w:val="Tabletext"/>
              <w:rPr>
                <w:color w:val="000000"/>
                <w:lang w:eastAsia="en-AU"/>
              </w:rPr>
            </w:pPr>
            <w:r w:rsidRPr="00630A55">
              <w:rPr>
                <w:lang w:eastAsia="en-AU"/>
              </w:rPr>
              <w:t> </w:t>
            </w:r>
          </w:p>
        </w:tc>
        <w:tc>
          <w:tcPr>
            <w:tcW w:w="6606" w:type="dxa"/>
            <w:tcBorders>
              <w:right w:val="single" w:sz="4" w:space="0" w:color="auto"/>
            </w:tcBorders>
            <w:shd w:val="clear" w:color="000000" w:fill="FFFFFF"/>
            <w:noWrap/>
            <w:vAlign w:val="center"/>
            <w:hideMark/>
          </w:tcPr>
          <w:p w14:paraId="2A188FA8" w14:textId="7C115DCF" w:rsidR="006B6DF6" w:rsidRPr="00630A55" w:rsidRDefault="006B6DF6" w:rsidP="009527C7">
            <w:pPr>
              <w:pStyle w:val="Tabletext"/>
              <w:rPr>
                <w:color w:val="000000"/>
                <w:lang w:eastAsia="en-AU"/>
              </w:rPr>
            </w:pPr>
            <w:r w:rsidRPr="00630A55">
              <w:rPr>
                <w:lang w:eastAsia="en-AU"/>
              </w:rPr>
              <w:t xml:space="preserve">Feeder </w:t>
            </w:r>
            <w:r w:rsidR="008A7062">
              <w:rPr>
                <w:lang w:eastAsia="en-AU"/>
              </w:rPr>
              <w:t>d</w:t>
            </w:r>
            <w:r w:rsidRPr="00630A55">
              <w:rPr>
                <w:lang w:eastAsia="en-AU"/>
              </w:rPr>
              <w:t>ata</w:t>
            </w:r>
          </w:p>
        </w:tc>
        <w:tc>
          <w:tcPr>
            <w:tcW w:w="2590" w:type="dxa"/>
            <w:tcBorders>
              <w:left w:val="single" w:sz="4" w:space="0" w:color="auto"/>
              <w:right w:val="single" w:sz="4" w:space="0" w:color="auto"/>
            </w:tcBorders>
            <w:shd w:val="clear" w:color="auto" w:fill="auto"/>
            <w:noWrap/>
            <w:vAlign w:val="center"/>
          </w:tcPr>
          <w:p w14:paraId="0B4BDFB9" w14:textId="77777777" w:rsidR="006B6DF6" w:rsidRPr="00630A55" w:rsidRDefault="006B6DF6" w:rsidP="00557B7D">
            <w:pPr>
              <w:pStyle w:val="TableTextNumber"/>
              <w:jc w:val="right"/>
            </w:pPr>
            <w:r w:rsidRPr="00630A55">
              <w:t>1,015,749</w:t>
            </w:r>
          </w:p>
        </w:tc>
      </w:tr>
      <w:tr w:rsidR="006B6DF6" w:rsidRPr="00630A55" w14:paraId="74FE6AF9" w14:textId="77777777" w:rsidTr="003910CC">
        <w:trPr>
          <w:trHeight w:val="257"/>
        </w:trPr>
        <w:tc>
          <w:tcPr>
            <w:tcW w:w="6887" w:type="dxa"/>
            <w:gridSpan w:val="2"/>
            <w:tcBorders>
              <w:left w:val="single" w:sz="4" w:space="0" w:color="auto"/>
              <w:right w:val="single" w:sz="4" w:space="0" w:color="auto"/>
            </w:tcBorders>
            <w:shd w:val="clear" w:color="000000" w:fill="FFFFFF"/>
            <w:vAlign w:val="center"/>
            <w:hideMark/>
          </w:tcPr>
          <w:p w14:paraId="3E58041F" w14:textId="7EEC6626" w:rsidR="006B6DF6" w:rsidRPr="00630A55" w:rsidRDefault="006B6DF6" w:rsidP="009527C7">
            <w:pPr>
              <w:pStyle w:val="Tabletext"/>
              <w:rPr>
                <w:color w:val="000000"/>
                <w:lang w:eastAsia="en-AU"/>
              </w:rPr>
            </w:pPr>
            <w:r w:rsidRPr="00630A55">
              <w:rPr>
                <w:lang w:eastAsia="en-AU"/>
              </w:rPr>
              <w:t xml:space="preserve">NHCDC </w:t>
            </w:r>
            <w:r w:rsidR="008A7062">
              <w:rPr>
                <w:lang w:eastAsia="en-AU"/>
              </w:rPr>
              <w:t>p</w:t>
            </w:r>
            <w:r w:rsidRPr="00630A55">
              <w:rPr>
                <w:lang w:eastAsia="en-AU"/>
              </w:rPr>
              <w:t xml:space="preserve">roduct </w:t>
            </w:r>
            <w:r w:rsidR="008A7062">
              <w:rPr>
                <w:lang w:eastAsia="en-AU"/>
              </w:rPr>
              <w:t>o</w:t>
            </w:r>
            <w:r w:rsidRPr="00630A55">
              <w:rPr>
                <w:lang w:eastAsia="en-AU"/>
              </w:rPr>
              <w:t xml:space="preserve">utput </w:t>
            </w:r>
            <w:r w:rsidR="008A7062">
              <w:rPr>
                <w:lang w:eastAsia="en-AU"/>
              </w:rPr>
              <w:t>a</w:t>
            </w:r>
            <w:r w:rsidRPr="00630A55">
              <w:rPr>
                <w:lang w:eastAsia="en-AU"/>
              </w:rPr>
              <w:t xml:space="preserve">ctivity - </w:t>
            </w:r>
            <w:r w:rsidR="008A7062">
              <w:rPr>
                <w:lang w:eastAsia="en-AU"/>
              </w:rPr>
              <w:t>p</w:t>
            </w:r>
            <w:r w:rsidRPr="00630A55">
              <w:rPr>
                <w:lang w:eastAsia="en-AU"/>
              </w:rPr>
              <w:t xml:space="preserve">ost </w:t>
            </w:r>
            <w:r w:rsidR="008A7062">
              <w:rPr>
                <w:lang w:eastAsia="en-AU"/>
              </w:rPr>
              <w:t>l</w:t>
            </w:r>
            <w:r w:rsidRPr="00630A55">
              <w:rPr>
                <w:lang w:eastAsia="en-AU"/>
              </w:rPr>
              <w:t xml:space="preserve">inking and </w:t>
            </w:r>
            <w:r w:rsidR="008A7062">
              <w:rPr>
                <w:lang w:eastAsia="en-AU"/>
              </w:rPr>
              <w:t>l</w:t>
            </w:r>
            <w:r w:rsidRPr="00630A55">
              <w:rPr>
                <w:lang w:eastAsia="en-AU"/>
              </w:rPr>
              <w:t>oading</w:t>
            </w:r>
          </w:p>
        </w:tc>
        <w:tc>
          <w:tcPr>
            <w:tcW w:w="2590" w:type="dxa"/>
            <w:tcBorders>
              <w:left w:val="single" w:sz="4" w:space="0" w:color="auto"/>
              <w:right w:val="single" w:sz="4" w:space="0" w:color="auto"/>
            </w:tcBorders>
            <w:shd w:val="clear" w:color="auto" w:fill="auto"/>
            <w:noWrap/>
            <w:vAlign w:val="center"/>
          </w:tcPr>
          <w:p w14:paraId="51A2FE30" w14:textId="77777777" w:rsidR="006B6DF6" w:rsidRPr="00630A55" w:rsidRDefault="006B6DF6" w:rsidP="00557B7D">
            <w:pPr>
              <w:pStyle w:val="TableTextNumber"/>
              <w:jc w:val="right"/>
            </w:pPr>
            <w:r w:rsidRPr="00630A55">
              <w:t>219,311</w:t>
            </w:r>
          </w:p>
        </w:tc>
      </w:tr>
      <w:tr w:rsidR="006B6DF6" w:rsidRPr="00630A55" w14:paraId="0B6B9F69" w14:textId="77777777" w:rsidTr="003910CC">
        <w:trPr>
          <w:trHeight w:val="258"/>
        </w:trPr>
        <w:tc>
          <w:tcPr>
            <w:tcW w:w="6887" w:type="dxa"/>
            <w:gridSpan w:val="2"/>
            <w:tcBorders>
              <w:left w:val="single" w:sz="4" w:space="0" w:color="auto"/>
              <w:right w:val="single" w:sz="4" w:space="0" w:color="auto"/>
            </w:tcBorders>
            <w:shd w:val="clear" w:color="000000" w:fill="FFFFFF"/>
            <w:vAlign w:val="center"/>
            <w:hideMark/>
          </w:tcPr>
          <w:p w14:paraId="5F5AD61B" w14:textId="0A3096C0" w:rsidR="006B6DF6" w:rsidRPr="00630A55" w:rsidRDefault="006B6DF6" w:rsidP="009527C7">
            <w:pPr>
              <w:pStyle w:val="Tabletext"/>
              <w:rPr>
                <w:color w:val="000000"/>
                <w:lang w:eastAsia="en-AU"/>
              </w:rPr>
            </w:pPr>
            <w:r w:rsidRPr="00630A55">
              <w:rPr>
                <w:lang w:eastAsia="en-AU"/>
              </w:rPr>
              <w:t xml:space="preserve">Final LRH </w:t>
            </w:r>
            <w:r w:rsidR="008A7062">
              <w:rPr>
                <w:lang w:eastAsia="en-AU"/>
              </w:rPr>
              <w:t>s</w:t>
            </w:r>
            <w:r w:rsidRPr="00630A55">
              <w:rPr>
                <w:lang w:eastAsia="en-AU"/>
              </w:rPr>
              <w:t xml:space="preserve">ubmission to </w:t>
            </w:r>
            <w:r w:rsidR="008A7062">
              <w:rPr>
                <w:lang w:eastAsia="en-AU"/>
              </w:rPr>
              <w:t>j</w:t>
            </w:r>
            <w:r w:rsidRPr="00630A55">
              <w:rPr>
                <w:lang w:eastAsia="en-AU"/>
              </w:rPr>
              <w:t xml:space="preserve">urisdiction - </w:t>
            </w:r>
            <w:r w:rsidR="008A7062">
              <w:rPr>
                <w:lang w:eastAsia="en-AU"/>
              </w:rPr>
              <w:t>a</w:t>
            </w:r>
            <w:r w:rsidRPr="00630A55">
              <w:rPr>
                <w:lang w:eastAsia="en-AU"/>
              </w:rPr>
              <w:t xml:space="preserve">ctivity by </w:t>
            </w:r>
            <w:r w:rsidR="008A7062">
              <w:rPr>
                <w:lang w:eastAsia="en-AU"/>
              </w:rPr>
              <w:t>p</w:t>
            </w:r>
            <w:r w:rsidRPr="00630A55">
              <w:rPr>
                <w:lang w:eastAsia="en-AU"/>
              </w:rPr>
              <w:t>roduct</w:t>
            </w:r>
          </w:p>
        </w:tc>
        <w:tc>
          <w:tcPr>
            <w:tcW w:w="2590" w:type="dxa"/>
            <w:tcBorders>
              <w:left w:val="single" w:sz="4" w:space="0" w:color="auto"/>
              <w:right w:val="single" w:sz="4" w:space="0" w:color="auto"/>
            </w:tcBorders>
            <w:shd w:val="clear" w:color="auto" w:fill="auto"/>
            <w:noWrap/>
            <w:vAlign w:val="center"/>
          </w:tcPr>
          <w:p w14:paraId="3AD4A931" w14:textId="77777777" w:rsidR="006B6DF6" w:rsidRPr="00630A55" w:rsidRDefault="006B6DF6" w:rsidP="00557B7D">
            <w:pPr>
              <w:pStyle w:val="TableTextNumber"/>
              <w:jc w:val="right"/>
            </w:pPr>
            <w:r w:rsidRPr="00630A55">
              <w:t>219,311</w:t>
            </w:r>
          </w:p>
        </w:tc>
      </w:tr>
      <w:tr w:rsidR="006B6DF6" w:rsidRPr="00630A55" w14:paraId="7803F486" w14:textId="77777777" w:rsidTr="003910CC">
        <w:trPr>
          <w:trHeight w:val="258"/>
        </w:trPr>
        <w:tc>
          <w:tcPr>
            <w:tcW w:w="6887" w:type="dxa"/>
            <w:gridSpan w:val="2"/>
            <w:tcBorders>
              <w:left w:val="single" w:sz="4" w:space="0" w:color="auto"/>
              <w:bottom w:val="single" w:sz="12" w:space="0" w:color="auto"/>
              <w:right w:val="single" w:sz="4" w:space="0" w:color="auto"/>
            </w:tcBorders>
            <w:shd w:val="clear" w:color="000000" w:fill="FFFFFF"/>
            <w:vAlign w:val="center"/>
            <w:hideMark/>
          </w:tcPr>
          <w:p w14:paraId="3ACF341F" w14:textId="527D97D6" w:rsidR="006B6DF6" w:rsidRPr="00630A55" w:rsidRDefault="006B6DF6" w:rsidP="009527C7">
            <w:pPr>
              <w:pStyle w:val="Tabletext"/>
              <w:rPr>
                <w:color w:val="000000"/>
                <w:lang w:eastAsia="en-AU"/>
              </w:rPr>
            </w:pPr>
            <w:r w:rsidRPr="00630A55">
              <w:rPr>
                <w:lang w:eastAsia="en-AU"/>
              </w:rPr>
              <w:t xml:space="preserve">Final LRH </w:t>
            </w:r>
            <w:r w:rsidR="008A7062">
              <w:rPr>
                <w:lang w:eastAsia="en-AU"/>
              </w:rPr>
              <w:t>s</w:t>
            </w:r>
            <w:r w:rsidRPr="00630A55">
              <w:rPr>
                <w:lang w:eastAsia="en-AU"/>
              </w:rPr>
              <w:t xml:space="preserve">ubmission to </w:t>
            </w:r>
            <w:r w:rsidR="008A7062">
              <w:rPr>
                <w:lang w:eastAsia="en-AU"/>
              </w:rPr>
              <w:t>j</w:t>
            </w:r>
            <w:r w:rsidRPr="00630A55">
              <w:rPr>
                <w:lang w:eastAsia="en-AU"/>
              </w:rPr>
              <w:t xml:space="preserve">urisdiction - </w:t>
            </w:r>
            <w:r w:rsidR="008A7062">
              <w:rPr>
                <w:lang w:eastAsia="en-AU"/>
              </w:rPr>
              <w:t>a</w:t>
            </w:r>
            <w:r w:rsidRPr="00630A55">
              <w:rPr>
                <w:lang w:eastAsia="en-AU"/>
              </w:rPr>
              <w:t xml:space="preserve">ctivity and </w:t>
            </w:r>
            <w:r w:rsidR="008A7062">
              <w:rPr>
                <w:lang w:eastAsia="en-AU"/>
              </w:rPr>
              <w:t>c</w:t>
            </w:r>
            <w:r w:rsidRPr="00630A55">
              <w:rPr>
                <w:lang w:eastAsia="en-AU"/>
              </w:rPr>
              <w:t xml:space="preserve">ost by </w:t>
            </w:r>
            <w:r w:rsidR="008A7062">
              <w:rPr>
                <w:lang w:eastAsia="en-AU"/>
              </w:rPr>
              <w:t>p</w:t>
            </w:r>
            <w:r w:rsidRPr="00630A55">
              <w:rPr>
                <w:lang w:eastAsia="en-AU"/>
              </w:rPr>
              <w:t>roduct</w:t>
            </w:r>
          </w:p>
        </w:tc>
        <w:tc>
          <w:tcPr>
            <w:tcW w:w="2590" w:type="dxa"/>
            <w:tcBorders>
              <w:left w:val="single" w:sz="4" w:space="0" w:color="auto"/>
              <w:bottom w:val="single" w:sz="12" w:space="0" w:color="auto"/>
              <w:right w:val="single" w:sz="4" w:space="0" w:color="auto"/>
            </w:tcBorders>
            <w:shd w:val="clear" w:color="auto" w:fill="auto"/>
            <w:noWrap/>
            <w:vAlign w:val="center"/>
          </w:tcPr>
          <w:p w14:paraId="3A0F4CD9" w14:textId="77777777" w:rsidR="006B6DF6" w:rsidRPr="00630A55" w:rsidRDefault="006B6DF6" w:rsidP="00557B7D">
            <w:pPr>
              <w:pStyle w:val="TableTextNumber"/>
              <w:jc w:val="right"/>
            </w:pPr>
            <w:r w:rsidRPr="00630A55">
              <w:t>219,311</w:t>
            </w:r>
          </w:p>
        </w:tc>
      </w:tr>
      <w:tr w:rsidR="006B6DF6" w:rsidRPr="00630A55" w14:paraId="6769D055" w14:textId="77777777" w:rsidTr="003910CC">
        <w:trPr>
          <w:trHeight w:val="258"/>
        </w:trPr>
        <w:tc>
          <w:tcPr>
            <w:tcW w:w="6887" w:type="dxa"/>
            <w:gridSpan w:val="2"/>
            <w:tcBorders>
              <w:top w:val="single" w:sz="12" w:space="0" w:color="auto"/>
              <w:left w:val="single" w:sz="4" w:space="0" w:color="auto"/>
              <w:bottom w:val="single" w:sz="12" w:space="0" w:color="auto"/>
              <w:right w:val="single" w:sz="4" w:space="0" w:color="auto"/>
            </w:tcBorders>
            <w:shd w:val="clear" w:color="000000" w:fill="00338D"/>
            <w:noWrap/>
            <w:vAlign w:val="center"/>
            <w:hideMark/>
          </w:tcPr>
          <w:p w14:paraId="4AC8B4C3" w14:textId="4B2816E7" w:rsidR="006B6DF6" w:rsidRPr="00630A55" w:rsidRDefault="006B6DF6" w:rsidP="009527C7">
            <w:pPr>
              <w:pStyle w:val="Tableheading"/>
              <w:rPr>
                <w:color w:val="FFFFFF"/>
                <w:lang w:eastAsia="en-AU"/>
              </w:rPr>
            </w:pPr>
            <w:r w:rsidRPr="00630A55">
              <w:rPr>
                <w:lang w:eastAsia="en-AU"/>
              </w:rPr>
              <w:t xml:space="preserve">LRH submitted to </w:t>
            </w:r>
            <w:r w:rsidR="008A7062">
              <w:rPr>
                <w:lang w:eastAsia="en-AU"/>
              </w:rPr>
              <w:t>j</w:t>
            </w:r>
            <w:r w:rsidRPr="00630A55">
              <w:rPr>
                <w:lang w:eastAsia="en-AU"/>
              </w:rPr>
              <w:t xml:space="preserve">urisdiction </w:t>
            </w:r>
          </w:p>
        </w:tc>
        <w:tc>
          <w:tcPr>
            <w:tcW w:w="2590" w:type="dxa"/>
            <w:tcBorders>
              <w:top w:val="single" w:sz="12" w:space="0" w:color="auto"/>
              <w:left w:val="single" w:sz="4" w:space="0" w:color="auto"/>
              <w:bottom w:val="single" w:sz="12" w:space="0" w:color="auto"/>
              <w:right w:val="single" w:sz="4" w:space="0" w:color="auto"/>
            </w:tcBorders>
            <w:shd w:val="clear" w:color="000000" w:fill="00338D"/>
            <w:noWrap/>
            <w:vAlign w:val="center"/>
            <w:hideMark/>
          </w:tcPr>
          <w:p w14:paraId="10CB6EE4" w14:textId="77777777" w:rsidR="006B6DF6" w:rsidRPr="00630A55" w:rsidRDefault="006B6DF6" w:rsidP="003758E1">
            <w:pPr>
              <w:pStyle w:val="Tableheading"/>
              <w:rPr>
                <w:color w:val="FFFFFF"/>
                <w:lang w:eastAsia="en-AU"/>
              </w:rPr>
            </w:pPr>
            <w:r w:rsidRPr="00630A55">
              <w:rPr>
                <w:lang w:eastAsia="en-AU"/>
              </w:rPr>
              <w:t xml:space="preserve">Value </w:t>
            </w:r>
          </w:p>
        </w:tc>
      </w:tr>
      <w:tr w:rsidR="006B6DF6" w:rsidRPr="00630A55" w14:paraId="7E98B660" w14:textId="77777777" w:rsidTr="003910CC">
        <w:trPr>
          <w:trHeight w:val="258"/>
        </w:trPr>
        <w:tc>
          <w:tcPr>
            <w:tcW w:w="6887" w:type="dxa"/>
            <w:gridSpan w:val="2"/>
            <w:tcBorders>
              <w:top w:val="single" w:sz="12" w:space="0" w:color="auto"/>
              <w:left w:val="single" w:sz="4" w:space="0" w:color="auto"/>
              <w:right w:val="single" w:sz="4" w:space="0" w:color="auto"/>
            </w:tcBorders>
            <w:shd w:val="clear" w:color="auto" w:fill="auto"/>
            <w:vAlign w:val="center"/>
            <w:hideMark/>
          </w:tcPr>
          <w:p w14:paraId="616A2CDC" w14:textId="0F0AFFA6" w:rsidR="006B6DF6" w:rsidRPr="00630A55" w:rsidRDefault="006B6DF6" w:rsidP="009527C7">
            <w:pPr>
              <w:pStyle w:val="Tabletext"/>
              <w:rPr>
                <w:color w:val="000000"/>
                <w:lang w:eastAsia="en-AU"/>
              </w:rPr>
            </w:pPr>
            <w:r w:rsidRPr="00630A55">
              <w:rPr>
                <w:lang w:eastAsia="en-AU"/>
              </w:rPr>
              <w:t xml:space="preserve">Summary submission of LRH data to </w:t>
            </w:r>
            <w:r w:rsidR="008A7062">
              <w:rPr>
                <w:lang w:eastAsia="en-AU"/>
              </w:rPr>
              <w:t>j</w:t>
            </w:r>
            <w:r w:rsidRPr="00630A55">
              <w:rPr>
                <w:lang w:eastAsia="en-AU"/>
              </w:rPr>
              <w:t xml:space="preserve">urisdiction </w:t>
            </w:r>
          </w:p>
        </w:tc>
        <w:tc>
          <w:tcPr>
            <w:tcW w:w="2590" w:type="dxa"/>
            <w:tcBorders>
              <w:top w:val="single" w:sz="12" w:space="0" w:color="auto"/>
              <w:left w:val="single" w:sz="4" w:space="0" w:color="auto"/>
              <w:right w:val="single" w:sz="4" w:space="0" w:color="auto"/>
            </w:tcBorders>
            <w:shd w:val="clear" w:color="auto" w:fill="auto"/>
            <w:vAlign w:val="center"/>
          </w:tcPr>
          <w:p w14:paraId="4147E7E9" w14:textId="77777777" w:rsidR="006B6DF6" w:rsidRPr="00630A55" w:rsidRDefault="006B6DF6" w:rsidP="00557B7D">
            <w:pPr>
              <w:pStyle w:val="TableTextNumber"/>
              <w:jc w:val="right"/>
            </w:pPr>
          </w:p>
        </w:tc>
      </w:tr>
      <w:tr w:rsidR="006B6DF6" w:rsidRPr="00630A55" w14:paraId="7570B0CF" w14:textId="77777777" w:rsidTr="003910CC">
        <w:trPr>
          <w:trHeight w:val="258"/>
        </w:trPr>
        <w:tc>
          <w:tcPr>
            <w:tcW w:w="281" w:type="dxa"/>
            <w:tcBorders>
              <w:left w:val="single" w:sz="4" w:space="0" w:color="auto"/>
            </w:tcBorders>
            <w:shd w:val="clear" w:color="000000" w:fill="FFFFFF"/>
            <w:noWrap/>
            <w:vAlign w:val="center"/>
            <w:hideMark/>
          </w:tcPr>
          <w:p w14:paraId="43996DD2" w14:textId="77777777" w:rsidR="006B6DF6" w:rsidRPr="00630A55" w:rsidRDefault="006B6DF6" w:rsidP="009527C7">
            <w:pPr>
              <w:pStyle w:val="Tabletext"/>
              <w:rPr>
                <w:color w:val="000000"/>
                <w:lang w:eastAsia="en-AU"/>
              </w:rPr>
            </w:pPr>
            <w:r w:rsidRPr="00630A55">
              <w:rPr>
                <w:lang w:eastAsia="en-AU"/>
              </w:rPr>
              <w:t> </w:t>
            </w:r>
          </w:p>
        </w:tc>
        <w:tc>
          <w:tcPr>
            <w:tcW w:w="6606" w:type="dxa"/>
            <w:tcBorders>
              <w:right w:val="single" w:sz="4" w:space="0" w:color="auto"/>
            </w:tcBorders>
            <w:shd w:val="clear" w:color="auto" w:fill="auto"/>
            <w:vAlign w:val="center"/>
            <w:hideMark/>
          </w:tcPr>
          <w:p w14:paraId="7016EF52" w14:textId="3996F331" w:rsidR="006B6DF6" w:rsidRPr="00630A55" w:rsidRDefault="006B6DF6" w:rsidP="009527C7">
            <w:pPr>
              <w:pStyle w:val="Tabletext"/>
              <w:rPr>
                <w:color w:val="000000"/>
                <w:lang w:eastAsia="en-AU"/>
              </w:rPr>
            </w:pPr>
            <w:r w:rsidRPr="00630A55">
              <w:rPr>
                <w:lang w:eastAsia="en-AU"/>
              </w:rPr>
              <w:t xml:space="preserve">Activity submitted to </w:t>
            </w:r>
            <w:r w:rsidR="008A7062">
              <w:rPr>
                <w:lang w:eastAsia="en-AU"/>
              </w:rPr>
              <w:t>j</w:t>
            </w:r>
            <w:r w:rsidRPr="00630A55">
              <w:rPr>
                <w:lang w:eastAsia="en-AU"/>
              </w:rPr>
              <w:t>urisdiction</w:t>
            </w:r>
          </w:p>
        </w:tc>
        <w:tc>
          <w:tcPr>
            <w:tcW w:w="2590" w:type="dxa"/>
            <w:tcBorders>
              <w:left w:val="single" w:sz="4" w:space="0" w:color="auto"/>
              <w:right w:val="single" w:sz="4" w:space="0" w:color="auto"/>
            </w:tcBorders>
            <w:shd w:val="clear" w:color="auto" w:fill="auto"/>
            <w:noWrap/>
            <w:vAlign w:val="center"/>
          </w:tcPr>
          <w:p w14:paraId="3AE81B6B" w14:textId="77777777" w:rsidR="006B6DF6" w:rsidRPr="00630A55" w:rsidRDefault="006B6DF6" w:rsidP="00557B7D">
            <w:pPr>
              <w:pStyle w:val="TableTextNumber"/>
              <w:jc w:val="right"/>
            </w:pPr>
            <w:r w:rsidRPr="00630A55">
              <w:t>219,311</w:t>
            </w:r>
          </w:p>
        </w:tc>
      </w:tr>
      <w:tr w:rsidR="006B6DF6" w:rsidRPr="00630A55" w14:paraId="079B3983" w14:textId="77777777" w:rsidTr="003910CC">
        <w:trPr>
          <w:trHeight w:val="258"/>
        </w:trPr>
        <w:tc>
          <w:tcPr>
            <w:tcW w:w="281" w:type="dxa"/>
            <w:tcBorders>
              <w:left w:val="single" w:sz="4" w:space="0" w:color="auto"/>
            </w:tcBorders>
            <w:shd w:val="clear" w:color="000000" w:fill="FFFFFF"/>
            <w:noWrap/>
            <w:vAlign w:val="center"/>
            <w:hideMark/>
          </w:tcPr>
          <w:p w14:paraId="7F3BE656" w14:textId="77777777" w:rsidR="006B6DF6" w:rsidRPr="00630A55" w:rsidRDefault="006B6DF6" w:rsidP="009527C7">
            <w:pPr>
              <w:pStyle w:val="Tabletext"/>
              <w:rPr>
                <w:color w:val="000000"/>
                <w:lang w:eastAsia="en-AU"/>
              </w:rPr>
            </w:pPr>
            <w:r w:rsidRPr="00630A55">
              <w:rPr>
                <w:lang w:eastAsia="en-AU"/>
              </w:rPr>
              <w:t> </w:t>
            </w:r>
          </w:p>
        </w:tc>
        <w:tc>
          <w:tcPr>
            <w:tcW w:w="6606" w:type="dxa"/>
            <w:tcBorders>
              <w:right w:val="single" w:sz="4" w:space="0" w:color="auto"/>
            </w:tcBorders>
            <w:shd w:val="clear" w:color="auto" w:fill="auto"/>
            <w:vAlign w:val="center"/>
            <w:hideMark/>
          </w:tcPr>
          <w:p w14:paraId="38007C3C" w14:textId="66BE3C79" w:rsidR="006B6DF6" w:rsidRPr="00630A55" w:rsidRDefault="006B6DF6" w:rsidP="009527C7">
            <w:pPr>
              <w:pStyle w:val="Tabletext"/>
              <w:rPr>
                <w:color w:val="000000"/>
                <w:lang w:eastAsia="en-AU"/>
              </w:rPr>
            </w:pPr>
            <w:r w:rsidRPr="00630A55">
              <w:rPr>
                <w:lang w:eastAsia="en-AU"/>
              </w:rPr>
              <w:t xml:space="preserve">Costs submitted to </w:t>
            </w:r>
            <w:r w:rsidR="008A7062">
              <w:rPr>
                <w:lang w:eastAsia="en-AU"/>
              </w:rPr>
              <w:t>j</w:t>
            </w:r>
            <w:r w:rsidRPr="00630A55">
              <w:rPr>
                <w:lang w:eastAsia="en-AU"/>
              </w:rPr>
              <w:t>urisdiction</w:t>
            </w:r>
          </w:p>
        </w:tc>
        <w:tc>
          <w:tcPr>
            <w:tcW w:w="2590" w:type="dxa"/>
            <w:tcBorders>
              <w:left w:val="single" w:sz="4" w:space="0" w:color="auto"/>
              <w:right w:val="single" w:sz="4" w:space="0" w:color="auto"/>
            </w:tcBorders>
            <w:shd w:val="clear" w:color="auto" w:fill="auto"/>
            <w:noWrap/>
            <w:vAlign w:val="center"/>
          </w:tcPr>
          <w:p w14:paraId="05AAE18B" w14:textId="77777777" w:rsidR="006B6DF6" w:rsidRPr="00630A55" w:rsidRDefault="006B6DF6" w:rsidP="00557B7D">
            <w:pPr>
              <w:pStyle w:val="TableTextNumber"/>
              <w:jc w:val="right"/>
            </w:pPr>
            <w:r w:rsidRPr="00630A55">
              <w:t>$287,136,561</w:t>
            </w:r>
          </w:p>
        </w:tc>
      </w:tr>
      <w:tr w:rsidR="006B6DF6" w:rsidRPr="00630A55" w14:paraId="56B72D70" w14:textId="77777777" w:rsidTr="003910CC">
        <w:trPr>
          <w:trHeight w:val="258"/>
        </w:trPr>
        <w:tc>
          <w:tcPr>
            <w:tcW w:w="6887" w:type="dxa"/>
            <w:gridSpan w:val="2"/>
            <w:tcBorders>
              <w:top w:val="single" w:sz="12" w:space="0" w:color="auto"/>
              <w:left w:val="single" w:sz="4" w:space="0" w:color="auto"/>
              <w:bottom w:val="single" w:sz="12" w:space="0" w:color="auto"/>
              <w:right w:val="single" w:sz="4" w:space="0" w:color="auto"/>
            </w:tcBorders>
            <w:shd w:val="clear" w:color="000000" w:fill="00338D"/>
            <w:noWrap/>
            <w:vAlign w:val="center"/>
            <w:hideMark/>
          </w:tcPr>
          <w:p w14:paraId="68FA09EA" w14:textId="77777777" w:rsidR="006B6DF6" w:rsidRPr="00630A55" w:rsidRDefault="006B6DF6" w:rsidP="009527C7">
            <w:pPr>
              <w:pStyle w:val="Tableheading"/>
              <w:rPr>
                <w:color w:val="FFFFFF"/>
                <w:lang w:eastAsia="en-AU"/>
              </w:rPr>
            </w:pPr>
            <w:r w:rsidRPr="00630A55">
              <w:rPr>
                <w:lang w:eastAsia="en-AU"/>
              </w:rPr>
              <w:t>LRH costs and activity submitted to IHACPA</w:t>
            </w:r>
          </w:p>
        </w:tc>
        <w:tc>
          <w:tcPr>
            <w:tcW w:w="2590" w:type="dxa"/>
            <w:tcBorders>
              <w:top w:val="single" w:sz="12" w:space="0" w:color="auto"/>
              <w:left w:val="single" w:sz="4" w:space="0" w:color="auto"/>
              <w:bottom w:val="single" w:sz="12" w:space="0" w:color="auto"/>
              <w:right w:val="single" w:sz="4" w:space="0" w:color="auto"/>
            </w:tcBorders>
            <w:shd w:val="clear" w:color="000000" w:fill="00338D"/>
            <w:noWrap/>
            <w:vAlign w:val="center"/>
            <w:hideMark/>
          </w:tcPr>
          <w:p w14:paraId="5B5B401B" w14:textId="77777777" w:rsidR="006B6DF6" w:rsidRPr="00630A55" w:rsidRDefault="006B6DF6" w:rsidP="003758E1">
            <w:pPr>
              <w:pStyle w:val="Tableheading"/>
              <w:rPr>
                <w:color w:val="FFFFFF"/>
                <w:lang w:eastAsia="en-AU"/>
              </w:rPr>
            </w:pPr>
            <w:r w:rsidRPr="00630A55">
              <w:rPr>
                <w:lang w:eastAsia="en-AU"/>
              </w:rPr>
              <w:t xml:space="preserve">Value </w:t>
            </w:r>
          </w:p>
        </w:tc>
      </w:tr>
      <w:tr w:rsidR="006B6DF6" w:rsidRPr="00630A55" w14:paraId="43FD3CEE" w14:textId="77777777" w:rsidTr="003910CC">
        <w:trPr>
          <w:trHeight w:val="258"/>
        </w:trPr>
        <w:tc>
          <w:tcPr>
            <w:tcW w:w="6887" w:type="dxa"/>
            <w:gridSpan w:val="2"/>
            <w:tcBorders>
              <w:top w:val="single" w:sz="12" w:space="0" w:color="auto"/>
              <w:left w:val="single" w:sz="4" w:space="0" w:color="auto"/>
              <w:right w:val="single" w:sz="4" w:space="0" w:color="auto"/>
            </w:tcBorders>
            <w:shd w:val="clear" w:color="000000" w:fill="FFFFFF"/>
            <w:vAlign w:val="center"/>
            <w:hideMark/>
          </w:tcPr>
          <w:p w14:paraId="4C571587" w14:textId="61B0571C" w:rsidR="006B6DF6" w:rsidRPr="00630A55" w:rsidRDefault="006B6DF6" w:rsidP="009527C7">
            <w:pPr>
              <w:pStyle w:val="Tabletext"/>
              <w:rPr>
                <w:color w:val="000000"/>
                <w:lang w:eastAsia="en-AU"/>
              </w:rPr>
            </w:pPr>
            <w:r w:rsidRPr="00630A55">
              <w:rPr>
                <w:lang w:eastAsia="en-AU"/>
              </w:rPr>
              <w:t xml:space="preserve">Final </w:t>
            </w:r>
            <w:r w:rsidR="008A7062">
              <w:rPr>
                <w:lang w:eastAsia="en-AU"/>
              </w:rPr>
              <w:t>s</w:t>
            </w:r>
            <w:r w:rsidRPr="00630A55">
              <w:rPr>
                <w:lang w:eastAsia="en-AU"/>
              </w:rPr>
              <w:t xml:space="preserve">ubmission of LRH data to </w:t>
            </w:r>
            <w:r w:rsidR="008A7062">
              <w:rPr>
                <w:lang w:eastAsia="en-AU"/>
              </w:rPr>
              <w:t>j</w:t>
            </w:r>
            <w:r w:rsidRPr="00630A55">
              <w:rPr>
                <w:lang w:eastAsia="en-AU"/>
              </w:rPr>
              <w:t xml:space="preserve">urisdiction for IHACPA - </w:t>
            </w:r>
            <w:r w:rsidR="008A7062">
              <w:rPr>
                <w:lang w:eastAsia="en-AU"/>
              </w:rPr>
              <w:t>c</w:t>
            </w:r>
            <w:r w:rsidRPr="00630A55">
              <w:rPr>
                <w:lang w:eastAsia="en-AU"/>
              </w:rPr>
              <w:t xml:space="preserve">ost and </w:t>
            </w:r>
            <w:r w:rsidR="008A7062">
              <w:rPr>
                <w:lang w:eastAsia="en-AU"/>
              </w:rPr>
              <w:t>a</w:t>
            </w:r>
            <w:r w:rsidRPr="00630A55">
              <w:rPr>
                <w:lang w:eastAsia="en-AU"/>
              </w:rPr>
              <w:t xml:space="preserve">ctivity by </w:t>
            </w:r>
            <w:r w:rsidR="008A7062">
              <w:rPr>
                <w:lang w:eastAsia="en-AU"/>
              </w:rPr>
              <w:t>p</w:t>
            </w:r>
            <w:r w:rsidRPr="00630A55">
              <w:rPr>
                <w:lang w:eastAsia="en-AU"/>
              </w:rPr>
              <w:t xml:space="preserve">roduct </w:t>
            </w:r>
          </w:p>
        </w:tc>
        <w:tc>
          <w:tcPr>
            <w:tcW w:w="2590" w:type="dxa"/>
            <w:tcBorders>
              <w:top w:val="single" w:sz="12" w:space="0" w:color="auto"/>
              <w:left w:val="single" w:sz="4" w:space="0" w:color="auto"/>
              <w:right w:val="single" w:sz="4" w:space="0" w:color="auto"/>
            </w:tcBorders>
            <w:shd w:val="clear" w:color="auto" w:fill="auto"/>
            <w:vAlign w:val="center"/>
          </w:tcPr>
          <w:p w14:paraId="43E1AED7" w14:textId="77777777" w:rsidR="006B6DF6" w:rsidRPr="00630A55" w:rsidRDefault="006B6DF6" w:rsidP="00557B7D">
            <w:pPr>
              <w:pStyle w:val="TableTextNumber"/>
              <w:jc w:val="right"/>
            </w:pPr>
          </w:p>
        </w:tc>
      </w:tr>
      <w:tr w:rsidR="006B6DF6" w:rsidRPr="00630A55" w14:paraId="62F2BE06" w14:textId="77777777" w:rsidTr="003910CC">
        <w:trPr>
          <w:trHeight w:val="258"/>
        </w:trPr>
        <w:tc>
          <w:tcPr>
            <w:tcW w:w="281" w:type="dxa"/>
            <w:tcBorders>
              <w:left w:val="single" w:sz="4" w:space="0" w:color="auto"/>
            </w:tcBorders>
            <w:shd w:val="clear" w:color="000000" w:fill="FFFFFF"/>
            <w:noWrap/>
            <w:vAlign w:val="center"/>
            <w:hideMark/>
          </w:tcPr>
          <w:p w14:paraId="65175398" w14:textId="77777777" w:rsidR="006B6DF6" w:rsidRPr="00630A55" w:rsidRDefault="006B6DF6" w:rsidP="009527C7">
            <w:pPr>
              <w:pStyle w:val="Tabletext"/>
              <w:rPr>
                <w:color w:val="000000"/>
                <w:lang w:eastAsia="en-AU"/>
              </w:rPr>
            </w:pPr>
            <w:r w:rsidRPr="00630A55">
              <w:rPr>
                <w:lang w:eastAsia="en-AU"/>
              </w:rPr>
              <w:t> </w:t>
            </w:r>
          </w:p>
        </w:tc>
        <w:tc>
          <w:tcPr>
            <w:tcW w:w="6606" w:type="dxa"/>
            <w:tcBorders>
              <w:right w:val="single" w:sz="4" w:space="0" w:color="auto"/>
            </w:tcBorders>
            <w:shd w:val="clear" w:color="000000" w:fill="FFFFFF"/>
            <w:vAlign w:val="center"/>
            <w:hideMark/>
          </w:tcPr>
          <w:p w14:paraId="4AEEE5F4" w14:textId="77777777" w:rsidR="006B6DF6" w:rsidRPr="00630A55" w:rsidRDefault="006B6DF6" w:rsidP="009527C7">
            <w:pPr>
              <w:pStyle w:val="Tabletext"/>
              <w:rPr>
                <w:color w:val="000000"/>
                <w:lang w:eastAsia="en-AU"/>
              </w:rPr>
            </w:pPr>
            <w:r w:rsidRPr="00630A55">
              <w:rPr>
                <w:lang w:eastAsia="en-AU"/>
              </w:rPr>
              <w:t>Activity</w:t>
            </w:r>
          </w:p>
        </w:tc>
        <w:tc>
          <w:tcPr>
            <w:tcW w:w="2590" w:type="dxa"/>
            <w:tcBorders>
              <w:left w:val="single" w:sz="4" w:space="0" w:color="auto"/>
              <w:right w:val="single" w:sz="4" w:space="0" w:color="auto"/>
            </w:tcBorders>
            <w:shd w:val="clear" w:color="auto" w:fill="auto"/>
            <w:noWrap/>
            <w:vAlign w:val="bottom"/>
          </w:tcPr>
          <w:p w14:paraId="49F8A585" w14:textId="77777777" w:rsidR="006B6DF6" w:rsidRPr="00630A55" w:rsidRDefault="006B6DF6" w:rsidP="00557B7D">
            <w:pPr>
              <w:pStyle w:val="TableTextNumber"/>
              <w:jc w:val="right"/>
            </w:pPr>
            <w:r w:rsidRPr="00630A55">
              <w:t>219,311</w:t>
            </w:r>
          </w:p>
        </w:tc>
      </w:tr>
      <w:tr w:rsidR="006B6DF6" w:rsidRPr="00630A55" w14:paraId="38D33F57" w14:textId="77777777" w:rsidTr="003910CC">
        <w:trPr>
          <w:trHeight w:val="258"/>
        </w:trPr>
        <w:tc>
          <w:tcPr>
            <w:tcW w:w="281" w:type="dxa"/>
            <w:tcBorders>
              <w:left w:val="single" w:sz="4" w:space="0" w:color="auto"/>
            </w:tcBorders>
            <w:shd w:val="clear" w:color="000000" w:fill="FFFFFF"/>
            <w:noWrap/>
            <w:vAlign w:val="center"/>
            <w:hideMark/>
          </w:tcPr>
          <w:p w14:paraId="1570DCCD" w14:textId="77777777" w:rsidR="006B6DF6" w:rsidRPr="00630A55" w:rsidRDefault="006B6DF6" w:rsidP="009527C7">
            <w:pPr>
              <w:pStyle w:val="Tabletext"/>
              <w:rPr>
                <w:color w:val="000000"/>
                <w:lang w:eastAsia="en-AU"/>
              </w:rPr>
            </w:pPr>
            <w:r w:rsidRPr="00630A55">
              <w:rPr>
                <w:lang w:eastAsia="en-AU"/>
              </w:rPr>
              <w:t> </w:t>
            </w:r>
          </w:p>
        </w:tc>
        <w:tc>
          <w:tcPr>
            <w:tcW w:w="6606" w:type="dxa"/>
            <w:tcBorders>
              <w:right w:val="single" w:sz="4" w:space="0" w:color="auto"/>
            </w:tcBorders>
            <w:shd w:val="clear" w:color="000000" w:fill="FFFFFF"/>
            <w:vAlign w:val="center"/>
            <w:hideMark/>
          </w:tcPr>
          <w:p w14:paraId="25D3582D" w14:textId="77777777" w:rsidR="006B6DF6" w:rsidRPr="00630A55" w:rsidRDefault="006B6DF6" w:rsidP="009527C7">
            <w:pPr>
              <w:pStyle w:val="Tabletext"/>
              <w:rPr>
                <w:color w:val="000000"/>
                <w:lang w:eastAsia="en-AU"/>
              </w:rPr>
            </w:pPr>
            <w:r w:rsidRPr="00630A55">
              <w:rPr>
                <w:lang w:eastAsia="en-AU"/>
              </w:rPr>
              <w:t>Costs</w:t>
            </w:r>
          </w:p>
        </w:tc>
        <w:tc>
          <w:tcPr>
            <w:tcW w:w="2590" w:type="dxa"/>
            <w:tcBorders>
              <w:left w:val="single" w:sz="4" w:space="0" w:color="auto"/>
              <w:right w:val="single" w:sz="4" w:space="0" w:color="auto"/>
            </w:tcBorders>
            <w:shd w:val="clear" w:color="auto" w:fill="auto"/>
            <w:noWrap/>
            <w:vAlign w:val="bottom"/>
          </w:tcPr>
          <w:p w14:paraId="37EA7690" w14:textId="77777777" w:rsidR="006B6DF6" w:rsidRPr="00630A55" w:rsidRDefault="006B6DF6" w:rsidP="00557B7D">
            <w:pPr>
              <w:pStyle w:val="TableTextNumber"/>
              <w:jc w:val="right"/>
            </w:pPr>
            <w:r w:rsidRPr="00630A55">
              <w:t>$287,136,561</w:t>
            </w:r>
          </w:p>
        </w:tc>
      </w:tr>
      <w:tr w:rsidR="006B6DF6" w:rsidRPr="00630A55" w14:paraId="69F79DB0" w14:textId="77777777" w:rsidTr="003910CC">
        <w:trPr>
          <w:trHeight w:val="258"/>
        </w:trPr>
        <w:tc>
          <w:tcPr>
            <w:tcW w:w="6887" w:type="dxa"/>
            <w:gridSpan w:val="2"/>
            <w:tcBorders>
              <w:left w:val="single" w:sz="4" w:space="0" w:color="auto"/>
              <w:right w:val="single" w:sz="4" w:space="0" w:color="auto"/>
            </w:tcBorders>
            <w:shd w:val="clear" w:color="000000" w:fill="FFFFFF"/>
            <w:vAlign w:val="center"/>
            <w:hideMark/>
          </w:tcPr>
          <w:p w14:paraId="1B31BBF5" w14:textId="5C8B1D0F" w:rsidR="006B6DF6" w:rsidRPr="00630A55" w:rsidRDefault="006B6DF6" w:rsidP="009527C7">
            <w:pPr>
              <w:pStyle w:val="Tabletext"/>
              <w:rPr>
                <w:color w:val="000000"/>
                <w:lang w:eastAsia="en-AU"/>
              </w:rPr>
            </w:pPr>
            <w:r w:rsidRPr="00630A55">
              <w:rPr>
                <w:lang w:eastAsia="en-AU"/>
              </w:rPr>
              <w:t xml:space="preserve">Adjustments to </w:t>
            </w:r>
            <w:r w:rsidR="008A7062">
              <w:rPr>
                <w:lang w:eastAsia="en-AU"/>
              </w:rPr>
              <w:t>j</w:t>
            </w:r>
            <w:r w:rsidRPr="00630A55">
              <w:rPr>
                <w:lang w:eastAsia="en-AU"/>
              </w:rPr>
              <w:t xml:space="preserve">urisdictional </w:t>
            </w:r>
            <w:r w:rsidR="008A7062">
              <w:rPr>
                <w:lang w:eastAsia="en-AU"/>
              </w:rPr>
              <w:t>s</w:t>
            </w:r>
            <w:r w:rsidRPr="00630A55">
              <w:rPr>
                <w:lang w:eastAsia="en-AU"/>
              </w:rPr>
              <w:t xml:space="preserve">ubmission prior to finalisation of </w:t>
            </w:r>
            <w:r w:rsidR="008A7062">
              <w:rPr>
                <w:lang w:eastAsia="en-AU"/>
              </w:rPr>
              <w:t>j</w:t>
            </w:r>
            <w:r w:rsidRPr="00630A55">
              <w:rPr>
                <w:lang w:eastAsia="en-AU"/>
              </w:rPr>
              <w:t>urisdictional data</w:t>
            </w:r>
          </w:p>
        </w:tc>
        <w:tc>
          <w:tcPr>
            <w:tcW w:w="2590" w:type="dxa"/>
            <w:tcBorders>
              <w:left w:val="single" w:sz="4" w:space="0" w:color="auto"/>
              <w:right w:val="single" w:sz="4" w:space="0" w:color="auto"/>
            </w:tcBorders>
            <w:shd w:val="clear" w:color="auto" w:fill="auto"/>
            <w:vAlign w:val="center"/>
          </w:tcPr>
          <w:p w14:paraId="5E046731" w14:textId="77777777" w:rsidR="006B6DF6" w:rsidRPr="00630A55" w:rsidRDefault="006B6DF6" w:rsidP="00557B7D">
            <w:pPr>
              <w:pStyle w:val="TableTextNumber"/>
              <w:jc w:val="right"/>
            </w:pPr>
          </w:p>
        </w:tc>
      </w:tr>
      <w:tr w:rsidR="006B6DF6" w:rsidRPr="00630A55" w14:paraId="66CCF3E7" w14:textId="77777777" w:rsidTr="003910CC">
        <w:trPr>
          <w:trHeight w:val="258"/>
        </w:trPr>
        <w:tc>
          <w:tcPr>
            <w:tcW w:w="281" w:type="dxa"/>
            <w:tcBorders>
              <w:left w:val="single" w:sz="4" w:space="0" w:color="auto"/>
            </w:tcBorders>
            <w:shd w:val="clear" w:color="000000" w:fill="FFFFFF"/>
            <w:noWrap/>
            <w:vAlign w:val="center"/>
            <w:hideMark/>
          </w:tcPr>
          <w:p w14:paraId="5B694F70" w14:textId="77777777" w:rsidR="006B6DF6" w:rsidRPr="00630A55" w:rsidRDefault="006B6DF6" w:rsidP="009527C7">
            <w:pPr>
              <w:pStyle w:val="Tabletext"/>
              <w:rPr>
                <w:color w:val="000000"/>
                <w:lang w:eastAsia="en-AU"/>
              </w:rPr>
            </w:pPr>
            <w:r w:rsidRPr="00630A55">
              <w:rPr>
                <w:lang w:eastAsia="en-AU"/>
              </w:rPr>
              <w:t> </w:t>
            </w:r>
          </w:p>
        </w:tc>
        <w:tc>
          <w:tcPr>
            <w:tcW w:w="6606" w:type="dxa"/>
            <w:tcBorders>
              <w:right w:val="single" w:sz="4" w:space="0" w:color="auto"/>
            </w:tcBorders>
            <w:shd w:val="clear" w:color="000000" w:fill="FFFFFF"/>
            <w:noWrap/>
            <w:vAlign w:val="center"/>
            <w:hideMark/>
          </w:tcPr>
          <w:p w14:paraId="7219681B" w14:textId="77777777" w:rsidR="006B6DF6" w:rsidRPr="00630A55" w:rsidRDefault="006B6DF6" w:rsidP="009527C7">
            <w:pPr>
              <w:pStyle w:val="Tabletext"/>
              <w:rPr>
                <w:color w:val="000000"/>
                <w:lang w:eastAsia="en-AU"/>
              </w:rPr>
            </w:pPr>
            <w:r w:rsidRPr="00630A55">
              <w:rPr>
                <w:lang w:eastAsia="en-AU"/>
              </w:rPr>
              <w:t xml:space="preserve">Activity totals </w:t>
            </w:r>
          </w:p>
        </w:tc>
        <w:tc>
          <w:tcPr>
            <w:tcW w:w="2590" w:type="dxa"/>
            <w:tcBorders>
              <w:left w:val="single" w:sz="4" w:space="0" w:color="auto"/>
              <w:right w:val="single" w:sz="4" w:space="0" w:color="auto"/>
            </w:tcBorders>
            <w:shd w:val="clear" w:color="auto" w:fill="auto"/>
            <w:noWrap/>
            <w:vAlign w:val="bottom"/>
          </w:tcPr>
          <w:p w14:paraId="53BBCDA4" w14:textId="77777777" w:rsidR="006B6DF6" w:rsidRPr="00630A55" w:rsidRDefault="006B6DF6" w:rsidP="00557B7D">
            <w:pPr>
              <w:pStyle w:val="TableTextNumber"/>
              <w:jc w:val="right"/>
            </w:pPr>
            <w:r w:rsidRPr="00630A55">
              <w:t>(50,025)</w:t>
            </w:r>
          </w:p>
        </w:tc>
      </w:tr>
      <w:tr w:rsidR="006B6DF6" w:rsidRPr="00630A55" w14:paraId="3248E779" w14:textId="77777777" w:rsidTr="003910CC">
        <w:trPr>
          <w:trHeight w:val="258"/>
        </w:trPr>
        <w:tc>
          <w:tcPr>
            <w:tcW w:w="281" w:type="dxa"/>
            <w:tcBorders>
              <w:left w:val="single" w:sz="4" w:space="0" w:color="auto"/>
            </w:tcBorders>
            <w:shd w:val="clear" w:color="000000" w:fill="FFFFFF"/>
            <w:noWrap/>
            <w:vAlign w:val="center"/>
            <w:hideMark/>
          </w:tcPr>
          <w:p w14:paraId="5FB5D143" w14:textId="77777777" w:rsidR="006B6DF6" w:rsidRPr="00630A55" w:rsidRDefault="006B6DF6" w:rsidP="009527C7">
            <w:pPr>
              <w:pStyle w:val="Tabletext"/>
              <w:rPr>
                <w:color w:val="000000"/>
                <w:lang w:eastAsia="en-AU"/>
              </w:rPr>
            </w:pPr>
            <w:r w:rsidRPr="00630A55">
              <w:rPr>
                <w:lang w:eastAsia="en-AU"/>
              </w:rPr>
              <w:t> </w:t>
            </w:r>
          </w:p>
        </w:tc>
        <w:tc>
          <w:tcPr>
            <w:tcW w:w="6606" w:type="dxa"/>
            <w:tcBorders>
              <w:right w:val="single" w:sz="4" w:space="0" w:color="auto"/>
            </w:tcBorders>
            <w:shd w:val="clear" w:color="000000" w:fill="FFFFFF"/>
            <w:noWrap/>
            <w:vAlign w:val="center"/>
            <w:hideMark/>
          </w:tcPr>
          <w:p w14:paraId="5D29EA34" w14:textId="77777777" w:rsidR="006B6DF6" w:rsidRPr="00630A55" w:rsidRDefault="006B6DF6" w:rsidP="009527C7">
            <w:pPr>
              <w:pStyle w:val="Tabletext"/>
              <w:rPr>
                <w:color w:val="000000"/>
                <w:lang w:eastAsia="en-AU"/>
              </w:rPr>
            </w:pPr>
            <w:r w:rsidRPr="00630A55">
              <w:rPr>
                <w:lang w:eastAsia="en-AU"/>
              </w:rPr>
              <w:t>Cost totals</w:t>
            </w:r>
          </w:p>
        </w:tc>
        <w:tc>
          <w:tcPr>
            <w:tcW w:w="2590" w:type="dxa"/>
            <w:tcBorders>
              <w:left w:val="single" w:sz="4" w:space="0" w:color="auto"/>
              <w:right w:val="single" w:sz="4" w:space="0" w:color="auto"/>
            </w:tcBorders>
            <w:shd w:val="clear" w:color="auto" w:fill="auto"/>
            <w:noWrap/>
            <w:vAlign w:val="bottom"/>
          </w:tcPr>
          <w:p w14:paraId="2C0AB831" w14:textId="77777777" w:rsidR="006B6DF6" w:rsidRPr="00630A55" w:rsidRDefault="006B6DF6" w:rsidP="00557B7D">
            <w:pPr>
              <w:pStyle w:val="TableTextNumber"/>
              <w:jc w:val="right"/>
            </w:pPr>
            <w:r w:rsidRPr="00630A55">
              <w:t>($49,915,352)</w:t>
            </w:r>
          </w:p>
        </w:tc>
      </w:tr>
      <w:tr w:rsidR="006B6DF6" w:rsidRPr="00630A55" w14:paraId="235FAF58" w14:textId="77777777" w:rsidTr="003910CC">
        <w:trPr>
          <w:trHeight w:val="258"/>
        </w:trPr>
        <w:tc>
          <w:tcPr>
            <w:tcW w:w="6887" w:type="dxa"/>
            <w:gridSpan w:val="2"/>
            <w:tcBorders>
              <w:left w:val="single" w:sz="4" w:space="0" w:color="auto"/>
              <w:right w:val="single" w:sz="4" w:space="0" w:color="auto"/>
            </w:tcBorders>
            <w:shd w:val="clear" w:color="000000" w:fill="FFFFFF"/>
            <w:vAlign w:val="center"/>
            <w:hideMark/>
          </w:tcPr>
          <w:p w14:paraId="31E4E539" w14:textId="31A91545" w:rsidR="006B6DF6" w:rsidRPr="00630A55" w:rsidRDefault="006B6DF6" w:rsidP="009527C7">
            <w:pPr>
              <w:pStyle w:val="Tabletext"/>
              <w:rPr>
                <w:color w:val="000000"/>
                <w:lang w:eastAsia="en-AU"/>
              </w:rPr>
            </w:pPr>
            <w:r w:rsidRPr="00630A55">
              <w:rPr>
                <w:lang w:eastAsia="en-AU"/>
              </w:rPr>
              <w:t xml:space="preserve">Final </w:t>
            </w:r>
            <w:r w:rsidR="008A7062">
              <w:rPr>
                <w:lang w:eastAsia="en-AU"/>
              </w:rPr>
              <w:t>j</w:t>
            </w:r>
            <w:r w:rsidRPr="00630A55">
              <w:rPr>
                <w:lang w:eastAsia="en-AU"/>
              </w:rPr>
              <w:t xml:space="preserve">urisdictional </w:t>
            </w:r>
            <w:r w:rsidR="008A7062">
              <w:rPr>
                <w:lang w:eastAsia="en-AU"/>
              </w:rPr>
              <w:t>d</w:t>
            </w:r>
            <w:r w:rsidRPr="00630A55">
              <w:rPr>
                <w:lang w:eastAsia="en-AU"/>
              </w:rPr>
              <w:t xml:space="preserve">ata for </w:t>
            </w:r>
            <w:r w:rsidR="008A7062">
              <w:rPr>
                <w:lang w:eastAsia="en-AU"/>
              </w:rPr>
              <w:t>c</w:t>
            </w:r>
            <w:r w:rsidRPr="00630A55">
              <w:rPr>
                <w:lang w:eastAsia="en-AU"/>
              </w:rPr>
              <w:t xml:space="preserve">ost </w:t>
            </w:r>
            <w:r w:rsidR="008A7062">
              <w:rPr>
                <w:lang w:eastAsia="en-AU"/>
              </w:rPr>
              <w:t>w</w:t>
            </w:r>
            <w:r w:rsidRPr="00630A55">
              <w:rPr>
                <w:lang w:eastAsia="en-AU"/>
              </w:rPr>
              <w:t xml:space="preserve">eight </w:t>
            </w:r>
            <w:r w:rsidR="008A7062">
              <w:rPr>
                <w:lang w:eastAsia="en-AU"/>
              </w:rPr>
              <w:t>p</w:t>
            </w:r>
            <w:r w:rsidRPr="00630A55">
              <w:rPr>
                <w:lang w:eastAsia="en-AU"/>
              </w:rPr>
              <w:t>roduction</w:t>
            </w:r>
          </w:p>
        </w:tc>
        <w:tc>
          <w:tcPr>
            <w:tcW w:w="2590" w:type="dxa"/>
            <w:tcBorders>
              <w:left w:val="single" w:sz="4" w:space="0" w:color="auto"/>
              <w:right w:val="single" w:sz="4" w:space="0" w:color="auto"/>
            </w:tcBorders>
            <w:shd w:val="clear" w:color="auto" w:fill="auto"/>
            <w:vAlign w:val="center"/>
          </w:tcPr>
          <w:p w14:paraId="353A947F" w14:textId="77777777" w:rsidR="006B6DF6" w:rsidRPr="00630A55" w:rsidRDefault="006B6DF6" w:rsidP="00557B7D">
            <w:pPr>
              <w:pStyle w:val="TableTextNumber"/>
              <w:jc w:val="right"/>
            </w:pPr>
          </w:p>
        </w:tc>
      </w:tr>
      <w:tr w:rsidR="006B6DF6" w:rsidRPr="00630A55" w14:paraId="65FB8EEC" w14:textId="77777777" w:rsidTr="003910CC">
        <w:trPr>
          <w:trHeight w:val="258"/>
        </w:trPr>
        <w:tc>
          <w:tcPr>
            <w:tcW w:w="281" w:type="dxa"/>
            <w:tcBorders>
              <w:left w:val="single" w:sz="4" w:space="0" w:color="auto"/>
            </w:tcBorders>
            <w:shd w:val="clear" w:color="000000" w:fill="FFFFFF"/>
            <w:noWrap/>
            <w:vAlign w:val="center"/>
            <w:hideMark/>
          </w:tcPr>
          <w:p w14:paraId="28D68954" w14:textId="77777777" w:rsidR="006B6DF6" w:rsidRPr="00630A55" w:rsidRDefault="006B6DF6" w:rsidP="009527C7">
            <w:pPr>
              <w:pStyle w:val="Tabletext"/>
              <w:rPr>
                <w:color w:val="000000"/>
                <w:lang w:eastAsia="en-AU"/>
              </w:rPr>
            </w:pPr>
            <w:r w:rsidRPr="00630A55">
              <w:rPr>
                <w:lang w:eastAsia="en-AU"/>
              </w:rPr>
              <w:t> </w:t>
            </w:r>
          </w:p>
        </w:tc>
        <w:tc>
          <w:tcPr>
            <w:tcW w:w="6606" w:type="dxa"/>
            <w:tcBorders>
              <w:right w:val="single" w:sz="4" w:space="0" w:color="auto"/>
            </w:tcBorders>
            <w:shd w:val="clear" w:color="000000" w:fill="FFFFFF"/>
            <w:vAlign w:val="center"/>
            <w:hideMark/>
          </w:tcPr>
          <w:p w14:paraId="495F247F" w14:textId="5E35A306" w:rsidR="006B6DF6" w:rsidRPr="00630A55" w:rsidRDefault="006B6DF6" w:rsidP="009527C7">
            <w:pPr>
              <w:pStyle w:val="Tabletext"/>
              <w:rPr>
                <w:color w:val="000000"/>
                <w:lang w:eastAsia="en-AU"/>
              </w:rPr>
            </w:pPr>
            <w:r w:rsidRPr="00630A55">
              <w:rPr>
                <w:lang w:eastAsia="en-AU"/>
              </w:rPr>
              <w:t xml:space="preserve">Finalised </w:t>
            </w:r>
            <w:r w:rsidR="008A7062">
              <w:rPr>
                <w:lang w:eastAsia="en-AU"/>
              </w:rPr>
              <w:t>a</w:t>
            </w:r>
            <w:r w:rsidRPr="00630A55">
              <w:rPr>
                <w:lang w:eastAsia="en-AU"/>
              </w:rPr>
              <w:t>ctivity</w:t>
            </w:r>
          </w:p>
        </w:tc>
        <w:tc>
          <w:tcPr>
            <w:tcW w:w="2590" w:type="dxa"/>
            <w:tcBorders>
              <w:left w:val="single" w:sz="4" w:space="0" w:color="auto"/>
              <w:right w:val="single" w:sz="4" w:space="0" w:color="auto"/>
            </w:tcBorders>
            <w:shd w:val="clear" w:color="auto" w:fill="auto"/>
            <w:noWrap/>
            <w:vAlign w:val="bottom"/>
          </w:tcPr>
          <w:p w14:paraId="6207F2D4" w14:textId="77777777" w:rsidR="006B6DF6" w:rsidRPr="00630A55" w:rsidRDefault="006B6DF6" w:rsidP="00557B7D">
            <w:pPr>
              <w:pStyle w:val="TableTextNumber"/>
              <w:jc w:val="right"/>
            </w:pPr>
            <w:r w:rsidRPr="00630A55">
              <w:t>169,286</w:t>
            </w:r>
          </w:p>
        </w:tc>
      </w:tr>
      <w:tr w:rsidR="006B6DF6" w:rsidRPr="00630A55" w14:paraId="40890B1F" w14:textId="77777777" w:rsidTr="003910CC">
        <w:trPr>
          <w:trHeight w:val="258"/>
        </w:trPr>
        <w:tc>
          <w:tcPr>
            <w:tcW w:w="281" w:type="dxa"/>
            <w:tcBorders>
              <w:left w:val="single" w:sz="4" w:space="0" w:color="auto"/>
              <w:bottom w:val="single" w:sz="4" w:space="0" w:color="auto"/>
            </w:tcBorders>
            <w:shd w:val="clear" w:color="000000" w:fill="FFFFFF"/>
            <w:noWrap/>
            <w:vAlign w:val="center"/>
            <w:hideMark/>
          </w:tcPr>
          <w:p w14:paraId="7EA6E0C0" w14:textId="77777777" w:rsidR="006B6DF6" w:rsidRPr="00630A55" w:rsidRDefault="006B6DF6" w:rsidP="009527C7">
            <w:pPr>
              <w:pStyle w:val="Tabletext"/>
              <w:rPr>
                <w:color w:val="000000"/>
                <w:lang w:eastAsia="en-AU"/>
              </w:rPr>
            </w:pPr>
            <w:r w:rsidRPr="00630A55">
              <w:rPr>
                <w:lang w:eastAsia="en-AU"/>
              </w:rPr>
              <w:t> </w:t>
            </w:r>
          </w:p>
        </w:tc>
        <w:tc>
          <w:tcPr>
            <w:tcW w:w="6606" w:type="dxa"/>
            <w:tcBorders>
              <w:bottom w:val="single" w:sz="4" w:space="0" w:color="auto"/>
              <w:right w:val="single" w:sz="4" w:space="0" w:color="auto"/>
            </w:tcBorders>
            <w:shd w:val="clear" w:color="000000" w:fill="FFFFFF"/>
            <w:vAlign w:val="center"/>
            <w:hideMark/>
          </w:tcPr>
          <w:p w14:paraId="630930F7" w14:textId="2B9DE2D9" w:rsidR="006B6DF6" w:rsidRPr="00630A55" w:rsidRDefault="006B6DF6" w:rsidP="009527C7">
            <w:pPr>
              <w:pStyle w:val="Tabletext"/>
              <w:rPr>
                <w:color w:val="000000"/>
                <w:lang w:eastAsia="en-AU"/>
              </w:rPr>
            </w:pPr>
            <w:r w:rsidRPr="00630A55">
              <w:rPr>
                <w:lang w:eastAsia="en-AU"/>
              </w:rPr>
              <w:t xml:space="preserve">Finalised </w:t>
            </w:r>
            <w:r w:rsidR="008A7062">
              <w:rPr>
                <w:lang w:eastAsia="en-AU"/>
              </w:rPr>
              <w:t>c</w:t>
            </w:r>
            <w:r w:rsidRPr="00630A55">
              <w:rPr>
                <w:lang w:eastAsia="en-AU"/>
              </w:rPr>
              <w:t>ost</w:t>
            </w:r>
          </w:p>
        </w:tc>
        <w:tc>
          <w:tcPr>
            <w:tcW w:w="2590" w:type="dxa"/>
            <w:tcBorders>
              <w:left w:val="single" w:sz="4" w:space="0" w:color="auto"/>
              <w:bottom w:val="single" w:sz="4" w:space="0" w:color="auto"/>
              <w:right w:val="single" w:sz="4" w:space="0" w:color="auto"/>
            </w:tcBorders>
            <w:shd w:val="clear" w:color="auto" w:fill="auto"/>
            <w:noWrap/>
            <w:vAlign w:val="bottom"/>
          </w:tcPr>
          <w:p w14:paraId="72A86073" w14:textId="77777777" w:rsidR="006B6DF6" w:rsidRPr="00630A55" w:rsidRDefault="006B6DF6" w:rsidP="00557B7D">
            <w:pPr>
              <w:pStyle w:val="TableTextNumber"/>
              <w:jc w:val="right"/>
            </w:pPr>
            <w:r w:rsidRPr="00630A55">
              <w:t>$237,221,209</w:t>
            </w:r>
          </w:p>
        </w:tc>
      </w:tr>
    </w:tbl>
    <w:p w14:paraId="352D000B" w14:textId="77777777" w:rsidR="00D725FA" w:rsidRPr="00630A55" w:rsidRDefault="00D725FA" w:rsidP="00D725FA">
      <w:pPr>
        <w:pStyle w:val="Source"/>
      </w:pPr>
      <w:r w:rsidRPr="00630A55">
        <w:t xml:space="preserve">Source: Jurisdictional consultations and </w:t>
      </w:r>
      <w:r>
        <w:t>templates</w:t>
      </w:r>
    </w:p>
    <w:p w14:paraId="084563B8" w14:textId="77777777" w:rsidR="00325EFA" w:rsidRDefault="00325EFA">
      <w:pPr>
        <w:spacing w:before="0" w:after="160" w:line="259" w:lineRule="auto"/>
        <w:rPr>
          <w:iCs/>
          <w:sz w:val="20"/>
          <w:szCs w:val="16"/>
        </w:rPr>
      </w:pPr>
      <w:bookmarkStart w:id="70" w:name="_Ref113988759"/>
      <w:bookmarkEnd w:id="68"/>
      <w:r>
        <w:br w:type="page"/>
      </w:r>
    </w:p>
    <w:p w14:paraId="32A17A00" w14:textId="1530A61C" w:rsidR="006B6DF6" w:rsidRPr="00630A55" w:rsidRDefault="008A7062" w:rsidP="008A7062">
      <w:pPr>
        <w:pStyle w:val="Caption"/>
      </w:pPr>
      <w:bookmarkStart w:id="71" w:name="_Ref114757250"/>
      <w:bookmarkEnd w:id="70"/>
      <w:r w:rsidRPr="00A8310C">
        <w:rPr>
          <w:b/>
          <w:bCs/>
        </w:rPr>
        <w:lastRenderedPageBreak/>
        <w:t xml:space="preserve">Table </w:t>
      </w:r>
      <w:r w:rsidR="00D91CB1" w:rsidRPr="00A8310C">
        <w:rPr>
          <w:b/>
          <w:bCs/>
        </w:rPr>
        <w:fldChar w:fldCharType="begin"/>
      </w:r>
      <w:r w:rsidR="00D91CB1" w:rsidRPr="00A8310C">
        <w:rPr>
          <w:b/>
          <w:bCs/>
        </w:rPr>
        <w:instrText xml:space="preserve"> SEQ Table \* ARABIC </w:instrText>
      </w:r>
      <w:r w:rsidR="00D91CB1" w:rsidRPr="00A8310C">
        <w:rPr>
          <w:b/>
          <w:bCs/>
        </w:rPr>
        <w:fldChar w:fldCharType="separate"/>
      </w:r>
      <w:r w:rsidR="007E2ACB">
        <w:rPr>
          <w:b/>
          <w:bCs/>
          <w:noProof/>
        </w:rPr>
        <w:t>26</w:t>
      </w:r>
      <w:r w:rsidR="00D91CB1" w:rsidRPr="00A8310C">
        <w:rPr>
          <w:b/>
          <w:bCs/>
          <w:noProof/>
        </w:rPr>
        <w:fldChar w:fldCharType="end"/>
      </w:r>
      <w:bookmarkEnd w:id="71"/>
      <w:r w:rsidRPr="00A8310C">
        <w:rPr>
          <w:b/>
          <w:bCs/>
        </w:rPr>
        <w:t>:</w:t>
      </w:r>
      <w:r w:rsidR="006B6DF6">
        <w:t xml:space="preserve"> </w:t>
      </w:r>
      <w:r w:rsidR="006B6DF6" w:rsidRPr="00630A55">
        <w:t xml:space="preserve">Reconciliation from General Ledger to NHCDC </w:t>
      </w:r>
      <w:r w:rsidR="00CF232D">
        <w:t>c</w:t>
      </w:r>
      <w:r w:rsidR="006B6DF6" w:rsidRPr="00630A55">
        <w:t xml:space="preserve">osted </w:t>
      </w:r>
      <w:r w:rsidR="00CF232D">
        <w:t>p</w:t>
      </w:r>
      <w:r w:rsidR="006B6DF6" w:rsidRPr="00630A55">
        <w:t>roducts – Ballarat Health Service</w:t>
      </w:r>
    </w:p>
    <w:tbl>
      <w:tblPr>
        <w:tblW w:w="9174" w:type="dxa"/>
        <w:tblBorders>
          <w:top w:val="single" w:sz="12" w:space="0" w:color="auto"/>
          <w:left w:val="single" w:sz="12" w:space="0" w:color="auto"/>
          <w:bottom w:val="single" w:sz="12" w:space="0" w:color="auto"/>
          <w:right w:val="single" w:sz="12" w:space="0" w:color="auto"/>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81"/>
        <w:gridCol w:w="6606"/>
        <w:gridCol w:w="2287"/>
      </w:tblGrid>
      <w:tr w:rsidR="006B6DF6" w:rsidRPr="00630A55" w14:paraId="246DAECB" w14:textId="77777777" w:rsidTr="003910CC">
        <w:trPr>
          <w:trHeight w:val="258"/>
          <w:tblHeader/>
        </w:trPr>
        <w:tc>
          <w:tcPr>
            <w:tcW w:w="6887" w:type="dxa"/>
            <w:gridSpan w:val="2"/>
            <w:tcBorders>
              <w:top w:val="single" w:sz="4" w:space="0" w:color="auto"/>
              <w:left w:val="single" w:sz="4" w:space="0" w:color="auto"/>
              <w:bottom w:val="single" w:sz="12" w:space="0" w:color="auto"/>
              <w:right w:val="single" w:sz="4" w:space="0" w:color="auto"/>
            </w:tcBorders>
            <w:shd w:val="clear" w:color="000000" w:fill="00338D"/>
            <w:noWrap/>
            <w:vAlign w:val="center"/>
            <w:hideMark/>
          </w:tcPr>
          <w:p w14:paraId="77D2112A" w14:textId="3BC97732" w:rsidR="006B6DF6" w:rsidRPr="00630A55" w:rsidRDefault="00920E73" w:rsidP="009527C7">
            <w:pPr>
              <w:pStyle w:val="Tableheading"/>
              <w:rPr>
                <w:lang w:eastAsia="en-AU"/>
              </w:rPr>
            </w:pPr>
            <w:r>
              <w:rPr>
                <w:lang w:eastAsia="en-AU"/>
              </w:rPr>
              <w:t>Health Service</w:t>
            </w:r>
            <w:r w:rsidR="006B6DF6" w:rsidRPr="00630A55">
              <w:rPr>
                <w:lang w:eastAsia="en-AU"/>
              </w:rPr>
              <w:t xml:space="preserve"> level </w:t>
            </w:r>
            <w:r w:rsidR="0084008C">
              <w:rPr>
                <w:lang w:eastAsia="en-AU"/>
              </w:rPr>
              <w:t>d</w:t>
            </w:r>
            <w:r w:rsidR="006B6DF6" w:rsidRPr="00630A55">
              <w:rPr>
                <w:lang w:eastAsia="en-AU"/>
              </w:rPr>
              <w:t xml:space="preserve">ata </w:t>
            </w:r>
          </w:p>
        </w:tc>
        <w:tc>
          <w:tcPr>
            <w:tcW w:w="2287" w:type="dxa"/>
            <w:tcBorders>
              <w:top w:val="single" w:sz="4" w:space="0" w:color="auto"/>
              <w:left w:val="single" w:sz="4" w:space="0" w:color="auto"/>
              <w:bottom w:val="single" w:sz="12" w:space="0" w:color="auto"/>
              <w:right w:val="single" w:sz="4" w:space="0" w:color="auto"/>
            </w:tcBorders>
            <w:shd w:val="clear" w:color="000000" w:fill="00338D"/>
            <w:noWrap/>
            <w:vAlign w:val="center"/>
            <w:hideMark/>
          </w:tcPr>
          <w:p w14:paraId="50E96251" w14:textId="18FC079F" w:rsidR="006B6DF6" w:rsidRPr="00630A55" w:rsidRDefault="006B6DF6" w:rsidP="009527C7">
            <w:pPr>
              <w:pStyle w:val="Tableheading"/>
              <w:rPr>
                <w:color w:val="FFFFFF"/>
                <w:lang w:eastAsia="en-AU"/>
              </w:rPr>
            </w:pPr>
            <w:r w:rsidRPr="00630A55">
              <w:rPr>
                <w:lang w:eastAsia="en-AU"/>
              </w:rPr>
              <w:t> </w:t>
            </w:r>
            <w:r w:rsidR="003758E1">
              <w:rPr>
                <w:lang w:eastAsia="en-AU"/>
              </w:rPr>
              <w:t>Value</w:t>
            </w:r>
          </w:p>
        </w:tc>
      </w:tr>
      <w:tr w:rsidR="006B6DF6" w:rsidRPr="00630A55" w14:paraId="1324AF9A" w14:textId="77777777" w:rsidTr="003910CC">
        <w:trPr>
          <w:trHeight w:val="248"/>
        </w:trPr>
        <w:tc>
          <w:tcPr>
            <w:tcW w:w="6887" w:type="dxa"/>
            <w:gridSpan w:val="2"/>
            <w:tcBorders>
              <w:top w:val="single" w:sz="12" w:space="0" w:color="auto"/>
              <w:left w:val="single" w:sz="4" w:space="0" w:color="auto"/>
              <w:right w:val="single" w:sz="4" w:space="0" w:color="auto"/>
            </w:tcBorders>
            <w:shd w:val="clear" w:color="auto" w:fill="808080"/>
            <w:noWrap/>
            <w:vAlign w:val="center"/>
            <w:hideMark/>
          </w:tcPr>
          <w:p w14:paraId="1ED774C5" w14:textId="523F6343" w:rsidR="006B6DF6" w:rsidRPr="00467F5A" w:rsidRDefault="00920E73" w:rsidP="009527C7">
            <w:pPr>
              <w:pStyle w:val="Tableheading"/>
              <w:rPr>
                <w:rFonts w:ascii="Arial" w:hAnsi="Arial" w:cs="Arial"/>
                <w:b w:val="0"/>
                <w:bCs/>
                <w:color w:val="000000" w:themeColor="text1"/>
                <w:lang w:eastAsia="en-AU"/>
              </w:rPr>
            </w:pPr>
            <w:r>
              <w:rPr>
                <w:rFonts w:ascii="Arial" w:hAnsi="Arial" w:cs="Arial"/>
                <w:b w:val="0"/>
                <w:bCs/>
                <w:color w:val="000000" w:themeColor="text1"/>
                <w:lang w:eastAsia="en-AU"/>
              </w:rPr>
              <w:t>Health Service</w:t>
            </w:r>
            <w:r w:rsidR="006B6DF6" w:rsidRPr="00467F5A">
              <w:rPr>
                <w:rFonts w:ascii="Arial" w:hAnsi="Arial" w:cs="Arial"/>
                <w:b w:val="0"/>
                <w:bCs/>
                <w:color w:val="000000" w:themeColor="text1"/>
                <w:lang w:eastAsia="en-AU"/>
              </w:rPr>
              <w:t xml:space="preserve"> General Ledger </w:t>
            </w:r>
          </w:p>
        </w:tc>
        <w:tc>
          <w:tcPr>
            <w:tcW w:w="2287" w:type="dxa"/>
            <w:tcBorders>
              <w:top w:val="single" w:sz="12" w:space="0" w:color="auto"/>
              <w:left w:val="single" w:sz="4" w:space="0" w:color="auto"/>
              <w:right w:val="single" w:sz="4" w:space="0" w:color="auto"/>
            </w:tcBorders>
            <w:shd w:val="clear" w:color="auto" w:fill="808080"/>
            <w:noWrap/>
            <w:vAlign w:val="center"/>
            <w:hideMark/>
          </w:tcPr>
          <w:p w14:paraId="4AA766EF" w14:textId="059005F3" w:rsidR="006B6DF6" w:rsidRPr="00467F5A" w:rsidRDefault="006B6DF6" w:rsidP="008A7062">
            <w:pPr>
              <w:pStyle w:val="Tableheading"/>
              <w:jc w:val="right"/>
              <w:rPr>
                <w:rFonts w:ascii="Arial" w:hAnsi="Arial" w:cs="Arial"/>
                <w:b w:val="0"/>
                <w:bCs/>
                <w:color w:val="000000" w:themeColor="text1"/>
                <w:lang w:eastAsia="en-AU"/>
              </w:rPr>
            </w:pPr>
          </w:p>
        </w:tc>
      </w:tr>
      <w:tr w:rsidR="006B6DF6" w:rsidRPr="00630A55" w14:paraId="0335BE64" w14:textId="77777777" w:rsidTr="003910CC">
        <w:trPr>
          <w:trHeight w:val="258"/>
        </w:trPr>
        <w:tc>
          <w:tcPr>
            <w:tcW w:w="6887" w:type="dxa"/>
            <w:gridSpan w:val="2"/>
            <w:tcBorders>
              <w:left w:val="single" w:sz="4" w:space="0" w:color="auto"/>
              <w:right w:val="single" w:sz="4" w:space="0" w:color="auto"/>
            </w:tcBorders>
            <w:shd w:val="clear" w:color="000000" w:fill="FFFFFF"/>
            <w:noWrap/>
            <w:vAlign w:val="center"/>
            <w:hideMark/>
          </w:tcPr>
          <w:p w14:paraId="01715315" w14:textId="224FD584" w:rsidR="006B6DF6" w:rsidRPr="00630A55" w:rsidRDefault="006B6DF6" w:rsidP="009527C7">
            <w:pPr>
              <w:pStyle w:val="Tabletext"/>
              <w:rPr>
                <w:color w:val="000000"/>
                <w:lang w:eastAsia="en-AU"/>
              </w:rPr>
            </w:pPr>
            <w:r w:rsidRPr="00630A55">
              <w:rPr>
                <w:lang w:eastAsia="en-AU"/>
              </w:rPr>
              <w:t xml:space="preserve">GL transferred to </w:t>
            </w:r>
            <w:r w:rsidR="0084008C">
              <w:rPr>
                <w:lang w:eastAsia="en-AU"/>
              </w:rPr>
              <w:t>c</w:t>
            </w:r>
            <w:r w:rsidRPr="00630A55">
              <w:rPr>
                <w:lang w:eastAsia="en-AU"/>
              </w:rPr>
              <w:t xml:space="preserve">osting </w:t>
            </w:r>
            <w:r w:rsidR="0084008C">
              <w:rPr>
                <w:lang w:eastAsia="en-AU"/>
              </w:rPr>
              <w:t>s</w:t>
            </w:r>
            <w:r w:rsidRPr="00630A55">
              <w:rPr>
                <w:lang w:eastAsia="en-AU"/>
              </w:rPr>
              <w:t xml:space="preserve">ystem </w:t>
            </w:r>
          </w:p>
        </w:tc>
        <w:tc>
          <w:tcPr>
            <w:tcW w:w="2287" w:type="dxa"/>
            <w:vMerge w:val="restart"/>
            <w:tcBorders>
              <w:left w:val="single" w:sz="4" w:space="0" w:color="auto"/>
              <w:right w:val="single" w:sz="4" w:space="0" w:color="auto"/>
            </w:tcBorders>
            <w:shd w:val="clear" w:color="auto" w:fill="auto"/>
            <w:noWrap/>
            <w:vAlign w:val="center"/>
          </w:tcPr>
          <w:p w14:paraId="738CFF94" w14:textId="7C072C3A" w:rsidR="006B6DF6" w:rsidRPr="00630A55" w:rsidRDefault="00D24761" w:rsidP="003B139A">
            <w:pPr>
              <w:pStyle w:val="Tabletext"/>
              <w:jc w:val="right"/>
              <w:rPr>
                <w:lang w:eastAsia="en-AU"/>
              </w:rPr>
            </w:pPr>
            <w:r>
              <w:rPr>
                <w:lang w:eastAsia="en-AU"/>
              </w:rPr>
              <w:t>N/A</w:t>
            </w:r>
          </w:p>
        </w:tc>
      </w:tr>
      <w:tr w:rsidR="006B6DF6" w:rsidRPr="00630A55" w14:paraId="60989236" w14:textId="77777777" w:rsidTr="003910CC">
        <w:trPr>
          <w:trHeight w:val="258"/>
        </w:trPr>
        <w:tc>
          <w:tcPr>
            <w:tcW w:w="6887" w:type="dxa"/>
            <w:gridSpan w:val="2"/>
            <w:tcBorders>
              <w:left w:val="single" w:sz="4" w:space="0" w:color="auto"/>
              <w:right w:val="single" w:sz="4" w:space="0" w:color="auto"/>
            </w:tcBorders>
            <w:shd w:val="clear" w:color="000000" w:fill="FFFFFF"/>
            <w:noWrap/>
            <w:vAlign w:val="center"/>
            <w:hideMark/>
          </w:tcPr>
          <w:p w14:paraId="3FD5B774" w14:textId="13710F27" w:rsidR="006B6DF6" w:rsidRPr="00630A55" w:rsidRDefault="006B6DF6" w:rsidP="009527C7">
            <w:pPr>
              <w:pStyle w:val="Tabletext"/>
              <w:rPr>
                <w:lang w:eastAsia="en-AU"/>
              </w:rPr>
            </w:pPr>
            <w:r w:rsidRPr="00630A55">
              <w:rPr>
                <w:lang w:eastAsia="en-AU"/>
              </w:rPr>
              <w:t xml:space="preserve">Post </w:t>
            </w:r>
            <w:r w:rsidR="0084008C">
              <w:rPr>
                <w:lang w:eastAsia="en-AU"/>
              </w:rPr>
              <w:t>a</w:t>
            </w:r>
            <w:r w:rsidRPr="00630A55">
              <w:rPr>
                <w:lang w:eastAsia="en-AU"/>
              </w:rPr>
              <w:t xml:space="preserve">llocation </w:t>
            </w:r>
            <w:r w:rsidR="0084008C">
              <w:rPr>
                <w:lang w:eastAsia="en-AU"/>
              </w:rPr>
              <w:t>a</w:t>
            </w:r>
            <w:r w:rsidRPr="00630A55">
              <w:rPr>
                <w:lang w:eastAsia="en-AU"/>
              </w:rPr>
              <w:t>mounts</w:t>
            </w:r>
          </w:p>
        </w:tc>
        <w:tc>
          <w:tcPr>
            <w:tcW w:w="2287" w:type="dxa"/>
            <w:vMerge/>
            <w:tcBorders>
              <w:left w:val="single" w:sz="4" w:space="0" w:color="auto"/>
              <w:right w:val="single" w:sz="4" w:space="0" w:color="auto"/>
            </w:tcBorders>
            <w:shd w:val="clear" w:color="auto" w:fill="auto"/>
            <w:noWrap/>
            <w:vAlign w:val="bottom"/>
          </w:tcPr>
          <w:p w14:paraId="04EBAEAB" w14:textId="77777777" w:rsidR="006B6DF6" w:rsidRPr="00630A55" w:rsidRDefault="006B6DF6" w:rsidP="008A7062">
            <w:pPr>
              <w:pStyle w:val="Tabletext"/>
              <w:jc w:val="right"/>
              <w:rPr>
                <w:lang w:eastAsia="en-AU"/>
              </w:rPr>
            </w:pPr>
          </w:p>
        </w:tc>
      </w:tr>
      <w:tr w:rsidR="006B6DF6" w:rsidRPr="00630A55" w14:paraId="750A7AE7" w14:textId="77777777" w:rsidTr="003910CC">
        <w:trPr>
          <w:trHeight w:val="258"/>
        </w:trPr>
        <w:tc>
          <w:tcPr>
            <w:tcW w:w="6887" w:type="dxa"/>
            <w:gridSpan w:val="2"/>
            <w:tcBorders>
              <w:left w:val="single" w:sz="4" w:space="0" w:color="auto"/>
              <w:right w:val="single" w:sz="4" w:space="0" w:color="auto"/>
            </w:tcBorders>
            <w:shd w:val="clear" w:color="000000" w:fill="FFFFFF"/>
            <w:noWrap/>
            <w:vAlign w:val="center"/>
            <w:hideMark/>
          </w:tcPr>
          <w:p w14:paraId="582E1561" w14:textId="77777777" w:rsidR="006B6DF6" w:rsidRPr="00630A55" w:rsidRDefault="006B6DF6" w:rsidP="009527C7">
            <w:pPr>
              <w:pStyle w:val="Tabletext"/>
              <w:rPr>
                <w:color w:val="000000"/>
                <w:lang w:eastAsia="en-AU"/>
              </w:rPr>
            </w:pPr>
            <w:r w:rsidRPr="00630A55">
              <w:rPr>
                <w:lang w:eastAsia="en-AU"/>
              </w:rPr>
              <w:t>Adjustments</w:t>
            </w:r>
          </w:p>
        </w:tc>
        <w:tc>
          <w:tcPr>
            <w:tcW w:w="2287" w:type="dxa"/>
            <w:vMerge/>
            <w:tcBorders>
              <w:left w:val="single" w:sz="4" w:space="0" w:color="auto"/>
              <w:right w:val="single" w:sz="4" w:space="0" w:color="auto"/>
            </w:tcBorders>
            <w:shd w:val="clear" w:color="auto" w:fill="auto"/>
            <w:noWrap/>
            <w:vAlign w:val="bottom"/>
          </w:tcPr>
          <w:p w14:paraId="7AF71C6D" w14:textId="77777777" w:rsidR="006B6DF6" w:rsidRPr="00630A55" w:rsidRDefault="006B6DF6" w:rsidP="008A7062">
            <w:pPr>
              <w:pStyle w:val="Tabletext"/>
              <w:jc w:val="right"/>
              <w:rPr>
                <w:lang w:eastAsia="en-AU"/>
              </w:rPr>
            </w:pPr>
          </w:p>
        </w:tc>
      </w:tr>
      <w:tr w:rsidR="006B6DF6" w:rsidRPr="00630A55" w14:paraId="2B9D63B6" w14:textId="77777777" w:rsidTr="003910CC">
        <w:trPr>
          <w:trHeight w:val="258"/>
        </w:trPr>
        <w:tc>
          <w:tcPr>
            <w:tcW w:w="6887" w:type="dxa"/>
            <w:gridSpan w:val="2"/>
            <w:tcBorders>
              <w:left w:val="single" w:sz="4" w:space="0" w:color="auto"/>
              <w:right w:val="single" w:sz="4" w:space="0" w:color="auto"/>
            </w:tcBorders>
            <w:shd w:val="clear" w:color="000000" w:fill="FFFFFF"/>
            <w:noWrap/>
            <w:vAlign w:val="center"/>
            <w:hideMark/>
          </w:tcPr>
          <w:p w14:paraId="2E19F31E" w14:textId="77777777" w:rsidR="006B6DF6" w:rsidRPr="00630A55" w:rsidRDefault="006B6DF6" w:rsidP="009527C7">
            <w:pPr>
              <w:pStyle w:val="Tabletext"/>
              <w:rPr>
                <w:color w:val="000000"/>
                <w:lang w:eastAsia="en-AU"/>
              </w:rPr>
            </w:pPr>
            <w:r w:rsidRPr="00630A55">
              <w:rPr>
                <w:lang w:eastAsia="en-AU"/>
              </w:rPr>
              <w:t xml:space="preserve">Line items as per standards </w:t>
            </w:r>
          </w:p>
        </w:tc>
        <w:tc>
          <w:tcPr>
            <w:tcW w:w="2287" w:type="dxa"/>
            <w:vMerge/>
            <w:tcBorders>
              <w:left w:val="single" w:sz="4" w:space="0" w:color="auto"/>
              <w:right w:val="single" w:sz="4" w:space="0" w:color="auto"/>
            </w:tcBorders>
            <w:shd w:val="clear" w:color="auto" w:fill="auto"/>
            <w:noWrap/>
            <w:vAlign w:val="bottom"/>
          </w:tcPr>
          <w:p w14:paraId="3490A1D6" w14:textId="77777777" w:rsidR="006B6DF6" w:rsidRPr="00630A55" w:rsidRDefault="006B6DF6" w:rsidP="008A7062">
            <w:pPr>
              <w:pStyle w:val="Tabletext"/>
              <w:jc w:val="right"/>
              <w:rPr>
                <w:lang w:eastAsia="en-AU"/>
              </w:rPr>
            </w:pPr>
          </w:p>
        </w:tc>
      </w:tr>
      <w:tr w:rsidR="006B6DF6" w:rsidRPr="00630A55" w14:paraId="02635156" w14:textId="77777777" w:rsidTr="003910CC">
        <w:trPr>
          <w:trHeight w:val="258"/>
        </w:trPr>
        <w:tc>
          <w:tcPr>
            <w:tcW w:w="6887" w:type="dxa"/>
            <w:gridSpan w:val="2"/>
            <w:tcBorders>
              <w:left w:val="single" w:sz="4" w:space="0" w:color="auto"/>
              <w:bottom w:val="single" w:sz="12" w:space="0" w:color="auto"/>
              <w:right w:val="single" w:sz="4" w:space="0" w:color="auto"/>
            </w:tcBorders>
            <w:shd w:val="clear" w:color="000000" w:fill="FFFFFF"/>
            <w:noWrap/>
            <w:vAlign w:val="center"/>
            <w:hideMark/>
          </w:tcPr>
          <w:p w14:paraId="50071635" w14:textId="6E4DC3CA" w:rsidR="006B6DF6" w:rsidRPr="00630A55" w:rsidRDefault="006B6DF6" w:rsidP="009527C7">
            <w:pPr>
              <w:pStyle w:val="Tabletext"/>
              <w:rPr>
                <w:color w:val="000000"/>
                <w:lang w:eastAsia="en-AU"/>
              </w:rPr>
            </w:pPr>
            <w:r w:rsidRPr="00630A55">
              <w:rPr>
                <w:lang w:eastAsia="en-AU"/>
              </w:rPr>
              <w:t xml:space="preserve">Costs </w:t>
            </w:r>
            <w:r w:rsidR="0084008C">
              <w:rPr>
                <w:lang w:eastAsia="en-AU"/>
              </w:rPr>
              <w:t>s</w:t>
            </w:r>
            <w:r w:rsidRPr="00630A55">
              <w:rPr>
                <w:lang w:eastAsia="en-AU"/>
              </w:rPr>
              <w:t xml:space="preserve">ubmitted to </w:t>
            </w:r>
            <w:r w:rsidR="0084008C">
              <w:rPr>
                <w:lang w:eastAsia="en-AU"/>
              </w:rPr>
              <w:t>j</w:t>
            </w:r>
            <w:r w:rsidRPr="00630A55">
              <w:rPr>
                <w:lang w:eastAsia="en-AU"/>
              </w:rPr>
              <w:t xml:space="preserve">urisdiction </w:t>
            </w:r>
          </w:p>
        </w:tc>
        <w:tc>
          <w:tcPr>
            <w:tcW w:w="2287" w:type="dxa"/>
            <w:vMerge/>
            <w:tcBorders>
              <w:left w:val="single" w:sz="4" w:space="0" w:color="auto"/>
              <w:bottom w:val="single" w:sz="12" w:space="0" w:color="auto"/>
              <w:right w:val="single" w:sz="4" w:space="0" w:color="auto"/>
            </w:tcBorders>
            <w:shd w:val="clear" w:color="auto" w:fill="auto"/>
            <w:noWrap/>
            <w:vAlign w:val="bottom"/>
          </w:tcPr>
          <w:p w14:paraId="3AEBC7F8" w14:textId="77777777" w:rsidR="006B6DF6" w:rsidRPr="00630A55" w:rsidRDefault="006B6DF6" w:rsidP="008A7062">
            <w:pPr>
              <w:pStyle w:val="Tabletext"/>
              <w:jc w:val="right"/>
              <w:rPr>
                <w:lang w:eastAsia="en-AU"/>
              </w:rPr>
            </w:pPr>
          </w:p>
        </w:tc>
      </w:tr>
      <w:tr w:rsidR="006B6DF6" w:rsidRPr="00630A55" w14:paraId="244F9BC3" w14:textId="77777777" w:rsidTr="003910CC">
        <w:trPr>
          <w:trHeight w:val="258"/>
        </w:trPr>
        <w:tc>
          <w:tcPr>
            <w:tcW w:w="6887" w:type="dxa"/>
            <w:gridSpan w:val="2"/>
            <w:tcBorders>
              <w:top w:val="single" w:sz="12" w:space="0" w:color="auto"/>
              <w:left w:val="single" w:sz="4" w:space="0" w:color="auto"/>
              <w:bottom w:val="single" w:sz="12" w:space="0" w:color="auto"/>
              <w:right w:val="single" w:sz="4" w:space="0" w:color="auto"/>
            </w:tcBorders>
            <w:shd w:val="clear" w:color="000000" w:fill="00338D"/>
            <w:noWrap/>
            <w:vAlign w:val="center"/>
            <w:hideMark/>
          </w:tcPr>
          <w:p w14:paraId="3733F45C" w14:textId="64445916" w:rsidR="006B6DF6" w:rsidRPr="00630A55" w:rsidRDefault="006B6DF6" w:rsidP="009527C7">
            <w:pPr>
              <w:pStyle w:val="Tableheading"/>
              <w:rPr>
                <w:color w:val="FFFFFF"/>
                <w:lang w:eastAsia="en-AU"/>
              </w:rPr>
            </w:pPr>
            <w:r w:rsidRPr="00630A55">
              <w:rPr>
                <w:lang w:eastAsia="en-AU"/>
              </w:rPr>
              <w:t xml:space="preserve">Health Service level </w:t>
            </w:r>
            <w:r w:rsidR="0084008C">
              <w:rPr>
                <w:lang w:eastAsia="en-AU"/>
              </w:rPr>
              <w:t>d</w:t>
            </w:r>
            <w:r w:rsidRPr="00630A55">
              <w:rPr>
                <w:lang w:eastAsia="en-AU"/>
              </w:rPr>
              <w:t>ata (BHS)</w:t>
            </w:r>
          </w:p>
        </w:tc>
        <w:tc>
          <w:tcPr>
            <w:tcW w:w="2287" w:type="dxa"/>
            <w:tcBorders>
              <w:top w:val="single" w:sz="12" w:space="0" w:color="auto"/>
              <w:left w:val="single" w:sz="4" w:space="0" w:color="auto"/>
              <w:bottom w:val="single" w:sz="12" w:space="0" w:color="auto"/>
              <w:right w:val="single" w:sz="4" w:space="0" w:color="auto"/>
            </w:tcBorders>
            <w:shd w:val="clear" w:color="000000" w:fill="00338D"/>
            <w:noWrap/>
            <w:vAlign w:val="center"/>
            <w:hideMark/>
          </w:tcPr>
          <w:p w14:paraId="5F323607" w14:textId="146D4E33" w:rsidR="006B6DF6" w:rsidRPr="00630A55" w:rsidRDefault="00467F5A" w:rsidP="003758E1">
            <w:pPr>
              <w:pStyle w:val="Tableheading"/>
              <w:rPr>
                <w:color w:val="FFFFFF"/>
                <w:lang w:eastAsia="en-AU"/>
              </w:rPr>
            </w:pPr>
            <w:r>
              <w:rPr>
                <w:lang w:eastAsia="en-AU"/>
              </w:rPr>
              <w:t>Value</w:t>
            </w:r>
            <w:r w:rsidR="006B6DF6" w:rsidRPr="00630A55">
              <w:rPr>
                <w:lang w:eastAsia="en-AU"/>
              </w:rPr>
              <w:t> </w:t>
            </w:r>
          </w:p>
        </w:tc>
      </w:tr>
      <w:tr w:rsidR="006B6DF6" w:rsidRPr="00630A55" w14:paraId="64EF20C7" w14:textId="77777777" w:rsidTr="003910CC">
        <w:trPr>
          <w:trHeight w:val="258"/>
        </w:trPr>
        <w:tc>
          <w:tcPr>
            <w:tcW w:w="6887" w:type="dxa"/>
            <w:gridSpan w:val="2"/>
            <w:tcBorders>
              <w:left w:val="single" w:sz="4" w:space="0" w:color="auto"/>
              <w:right w:val="single" w:sz="4" w:space="0" w:color="auto"/>
            </w:tcBorders>
            <w:shd w:val="clear" w:color="000000" w:fill="FFFFFF"/>
            <w:noWrap/>
            <w:vAlign w:val="center"/>
            <w:hideMark/>
          </w:tcPr>
          <w:p w14:paraId="1D174CED" w14:textId="21AC0928" w:rsidR="006B6DF6" w:rsidRPr="00630A55" w:rsidRDefault="006B6DF6" w:rsidP="009527C7">
            <w:pPr>
              <w:pStyle w:val="Tabletext"/>
              <w:rPr>
                <w:color w:val="000000"/>
                <w:lang w:eastAsia="en-AU"/>
              </w:rPr>
            </w:pPr>
            <w:r w:rsidRPr="00630A55">
              <w:rPr>
                <w:lang w:eastAsia="en-AU"/>
              </w:rPr>
              <w:t xml:space="preserve">GL transferred to </w:t>
            </w:r>
            <w:r w:rsidR="0084008C">
              <w:rPr>
                <w:lang w:eastAsia="en-AU"/>
              </w:rPr>
              <w:t>c</w:t>
            </w:r>
            <w:r w:rsidRPr="00630A55">
              <w:rPr>
                <w:lang w:eastAsia="en-AU"/>
              </w:rPr>
              <w:t xml:space="preserve">osting </w:t>
            </w:r>
            <w:r w:rsidR="0084008C">
              <w:rPr>
                <w:lang w:eastAsia="en-AU"/>
              </w:rPr>
              <w:t>s</w:t>
            </w:r>
            <w:r w:rsidRPr="00630A55">
              <w:rPr>
                <w:lang w:eastAsia="en-AU"/>
              </w:rPr>
              <w:t xml:space="preserve">ystem </w:t>
            </w:r>
          </w:p>
        </w:tc>
        <w:tc>
          <w:tcPr>
            <w:tcW w:w="2287" w:type="dxa"/>
            <w:tcBorders>
              <w:left w:val="single" w:sz="4" w:space="0" w:color="auto"/>
              <w:right w:val="single" w:sz="4" w:space="0" w:color="auto"/>
            </w:tcBorders>
            <w:shd w:val="clear" w:color="auto" w:fill="auto"/>
            <w:noWrap/>
            <w:vAlign w:val="center"/>
          </w:tcPr>
          <w:p w14:paraId="21EEE5B5" w14:textId="77777777" w:rsidR="006B6DF6" w:rsidRPr="00630A55" w:rsidRDefault="006B6DF6" w:rsidP="008A7062">
            <w:pPr>
              <w:pStyle w:val="TableTextNumber"/>
              <w:jc w:val="right"/>
            </w:pPr>
            <w:r w:rsidRPr="00630A55">
              <w:t>$583,867,348</w:t>
            </w:r>
          </w:p>
        </w:tc>
      </w:tr>
      <w:tr w:rsidR="006B6DF6" w:rsidRPr="00630A55" w14:paraId="335AC602" w14:textId="77777777" w:rsidTr="003910CC">
        <w:trPr>
          <w:trHeight w:val="258"/>
        </w:trPr>
        <w:tc>
          <w:tcPr>
            <w:tcW w:w="6887" w:type="dxa"/>
            <w:gridSpan w:val="2"/>
            <w:tcBorders>
              <w:left w:val="single" w:sz="4" w:space="0" w:color="auto"/>
              <w:right w:val="single" w:sz="4" w:space="0" w:color="auto"/>
            </w:tcBorders>
            <w:shd w:val="clear" w:color="000000" w:fill="FFFFFF"/>
            <w:noWrap/>
            <w:vAlign w:val="center"/>
            <w:hideMark/>
          </w:tcPr>
          <w:p w14:paraId="44C94BD5" w14:textId="22565DE8" w:rsidR="006B6DF6" w:rsidRPr="00630A55" w:rsidRDefault="006B6DF6" w:rsidP="009527C7">
            <w:pPr>
              <w:pStyle w:val="Tabletext"/>
              <w:rPr>
                <w:color w:val="000000"/>
                <w:lang w:eastAsia="en-AU"/>
              </w:rPr>
            </w:pPr>
            <w:r w:rsidRPr="00630A55">
              <w:rPr>
                <w:lang w:eastAsia="en-AU"/>
              </w:rPr>
              <w:t xml:space="preserve">Post </w:t>
            </w:r>
            <w:r w:rsidR="0084008C">
              <w:rPr>
                <w:lang w:eastAsia="en-AU"/>
              </w:rPr>
              <w:t>a</w:t>
            </w:r>
            <w:r w:rsidRPr="00630A55">
              <w:rPr>
                <w:lang w:eastAsia="en-AU"/>
              </w:rPr>
              <w:t xml:space="preserve">llocation </w:t>
            </w:r>
            <w:r w:rsidR="0084008C">
              <w:rPr>
                <w:lang w:eastAsia="en-AU"/>
              </w:rPr>
              <w:t>a</w:t>
            </w:r>
            <w:r w:rsidRPr="00630A55">
              <w:rPr>
                <w:lang w:eastAsia="en-AU"/>
              </w:rPr>
              <w:t>mounts</w:t>
            </w:r>
          </w:p>
        </w:tc>
        <w:tc>
          <w:tcPr>
            <w:tcW w:w="2287" w:type="dxa"/>
            <w:tcBorders>
              <w:left w:val="single" w:sz="4" w:space="0" w:color="auto"/>
              <w:right w:val="single" w:sz="4" w:space="0" w:color="auto"/>
            </w:tcBorders>
            <w:shd w:val="clear" w:color="auto" w:fill="auto"/>
            <w:noWrap/>
            <w:vAlign w:val="center"/>
          </w:tcPr>
          <w:p w14:paraId="796F068A" w14:textId="77777777" w:rsidR="006B6DF6" w:rsidRPr="00630A55" w:rsidRDefault="006B6DF6" w:rsidP="008A7062">
            <w:pPr>
              <w:pStyle w:val="TableTextNumber"/>
              <w:jc w:val="right"/>
            </w:pPr>
            <w:r w:rsidRPr="00630A55">
              <w:t>$583,867,348</w:t>
            </w:r>
          </w:p>
        </w:tc>
      </w:tr>
      <w:tr w:rsidR="006B6DF6" w:rsidRPr="00630A55" w14:paraId="0D69C6C0" w14:textId="77777777" w:rsidTr="003910CC">
        <w:trPr>
          <w:trHeight w:val="258"/>
        </w:trPr>
        <w:tc>
          <w:tcPr>
            <w:tcW w:w="6887" w:type="dxa"/>
            <w:gridSpan w:val="2"/>
            <w:tcBorders>
              <w:left w:val="single" w:sz="4" w:space="0" w:color="auto"/>
              <w:right w:val="single" w:sz="4" w:space="0" w:color="auto"/>
            </w:tcBorders>
            <w:shd w:val="clear" w:color="000000" w:fill="FFFFFF"/>
            <w:noWrap/>
            <w:vAlign w:val="center"/>
            <w:hideMark/>
          </w:tcPr>
          <w:p w14:paraId="3C6B0787" w14:textId="77777777" w:rsidR="006B6DF6" w:rsidRPr="00630A55" w:rsidRDefault="006B6DF6" w:rsidP="009527C7">
            <w:pPr>
              <w:pStyle w:val="Tabletext"/>
              <w:rPr>
                <w:color w:val="000000"/>
                <w:lang w:eastAsia="en-AU"/>
              </w:rPr>
            </w:pPr>
            <w:r w:rsidRPr="00630A55">
              <w:rPr>
                <w:lang w:eastAsia="en-AU"/>
              </w:rPr>
              <w:t>Adjustments</w:t>
            </w:r>
          </w:p>
        </w:tc>
        <w:tc>
          <w:tcPr>
            <w:tcW w:w="2287" w:type="dxa"/>
            <w:tcBorders>
              <w:left w:val="single" w:sz="4" w:space="0" w:color="auto"/>
              <w:right w:val="single" w:sz="4" w:space="0" w:color="auto"/>
            </w:tcBorders>
            <w:shd w:val="clear" w:color="auto" w:fill="auto"/>
            <w:noWrap/>
          </w:tcPr>
          <w:p w14:paraId="710CA6D9" w14:textId="77777777" w:rsidR="006B6DF6" w:rsidRPr="00630A55" w:rsidRDefault="006B6DF6" w:rsidP="008A7062">
            <w:pPr>
              <w:pStyle w:val="TableTextNumber"/>
              <w:jc w:val="right"/>
              <w:rPr>
                <w:color w:val="000000"/>
              </w:rPr>
            </w:pPr>
            <w:r w:rsidRPr="00630A55">
              <w:t>($49,349,726)</w:t>
            </w:r>
          </w:p>
        </w:tc>
      </w:tr>
      <w:tr w:rsidR="006B6DF6" w:rsidRPr="00630A55" w14:paraId="73EB6B69" w14:textId="77777777" w:rsidTr="003910CC">
        <w:trPr>
          <w:trHeight w:val="258"/>
        </w:trPr>
        <w:tc>
          <w:tcPr>
            <w:tcW w:w="6887" w:type="dxa"/>
            <w:gridSpan w:val="2"/>
            <w:tcBorders>
              <w:left w:val="single" w:sz="4" w:space="0" w:color="auto"/>
              <w:right w:val="single" w:sz="4" w:space="0" w:color="auto"/>
            </w:tcBorders>
            <w:shd w:val="clear" w:color="000000" w:fill="FFFFFF"/>
            <w:noWrap/>
            <w:vAlign w:val="center"/>
            <w:hideMark/>
          </w:tcPr>
          <w:p w14:paraId="2DFA673A" w14:textId="77777777" w:rsidR="006B6DF6" w:rsidRPr="00630A55" w:rsidRDefault="006B6DF6" w:rsidP="009527C7">
            <w:pPr>
              <w:pStyle w:val="Tabletext"/>
              <w:rPr>
                <w:color w:val="000000"/>
                <w:lang w:eastAsia="en-AU"/>
              </w:rPr>
            </w:pPr>
            <w:r w:rsidRPr="00630A55">
              <w:rPr>
                <w:lang w:eastAsia="en-AU"/>
              </w:rPr>
              <w:t xml:space="preserve">Line items as per standards </w:t>
            </w:r>
          </w:p>
        </w:tc>
        <w:tc>
          <w:tcPr>
            <w:tcW w:w="2287" w:type="dxa"/>
            <w:tcBorders>
              <w:left w:val="single" w:sz="4" w:space="0" w:color="auto"/>
              <w:right w:val="single" w:sz="4" w:space="0" w:color="auto"/>
            </w:tcBorders>
            <w:shd w:val="clear" w:color="auto" w:fill="auto"/>
            <w:noWrap/>
          </w:tcPr>
          <w:p w14:paraId="7A56EDBD" w14:textId="77777777" w:rsidR="006B6DF6" w:rsidRPr="00630A55" w:rsidRDefault="006B6DF6" w:rsidP="008A7062">
            <w:pPr>
              <w:pStyle w:val="TableTextNumber"/>
              <w:jc w:val="right"/>
            </w:pPr>
            <w:r w:rsidRPr="00630A55">
              <w:t>$534,517,581</w:t>
            </w:r>
          </w:p>
        </w:tc>
      </w:tr>
      <w:tr w:rsidR="006B6DF6" w:rsidRPr="00630A55" w14:paraId="23B16777" w14:textId="77777777" w:rsidTr="003910CC">
        <w:trPr>
          <w:trHeight w:val="258"/>
        </w:trPr>
        <w:tc>
          <w:tcPr>
            <w:tcW w:w="6887" w:type="dxa"/>
            <w:gridSpan w:val="2"/>
            <w:tcBorders>
              <w:left w:val="single" w:sz="4" w:space="0" w:color="auto"/>
              <w:bottom w:val="single" w:sz="12" w:space="0" w:color="auto"/>
              <w:right w:val="single" w:sz="4" w:space="0" w:color="auto"/>
            </w:tcBorders>
            <w:shd w:val="clear" w:color="000000" w:fill="FFFFFF"/>
            <w:noWrap/>
            <w:vAlign w:val="center"/>
            <w:hideMark/>
          </w:tcPr>
          <w:p w14:paraId="29848FCF" w14:textId="1B4BCE95" w:rsidR="006B6DF6" w:rsidRPr="00630A55" w:rsidRDefault="006B6DF6" w:rsidP="009527C7">
            <w:pPr>
              <w:pStyle w:val="Tabletext"/>
              <w:rPr>
                <w:color w:val="000000"/>
                <w:lang w:eastAsia="en-AU"/>
              </w:rPr>
            </w:pPr>
            <w:r w:rsidRPr="00630A55">
              <w:rPr>
                <w:lang w:eastAsia="en-AU"/>
              </w:rPr>
              <w:t xml:space="preserve">Costs </w:t>
            </w:r>
            <w:r w:rsidR="0084008C">
              <w:rPr>
                <w:lang w:eastAsia="en-AU"/>
              </w:rPr>
              <w:t>s</w:t>
            </w:r>
            <w:r w:rsidRPr="00630A55">
              <w:rPr>
                <w:lang w:eastAsia="en-AU"/>
              </w:rPr>
              <w:t xml:space="preserve">ubmitted to </w:t>
            </w:r>
            <w:r w:rsidR="0084008C">
              <w:rPr>
                <w:lang w:eastAsia="en-AU"/>
              </w:rPr>
              <w:t>j</w:t>
            </w:r>
            <w:r w:rsidRPr="00630A55">
              <w:rPr>
                <w:lang w:eastAsia="en-AU"/>
              </w:rPr>
              <w:t xml:space="preserve">urisdiction </w:t>
            </w:r>
          </w:p>
        </w:tc>
        <w:tc>
          <w:tcPr>
            <w:tcW w:w="2287" w:type="dxa"/>
            <w:tcBorders>
              <w:left w:val="single" w:sz="4" w:space="0" w:color="auto"/>
              <w:bottom w:val="single" w:sz="12" w:space="0" w:color="auto"/>
              <w:right w:val="single" w:sz="4" w:space="0" w:color="auto"/>
            </w:tcBorders>
            <w:shd w:val="clear" w:color="auto" w:fill="auto"/>
            <w:noWrap/>
          </w:tcPr>
          <w:p w14:paraId="5D8DCAFE" w14:textId="7CF9E517" w:rsidR="006B6DF6" w:rsidRPr="00630A55" w:rsidRDefault="006B6DF6" w:rsidP="008A7062">
            <w:pPr>
              <w:pStyle w:val="TableTextNumber"/>
              <w:jc w:val="right"/>
            </w:pPr>
            <w:r w:rsidRPr="00630A55">
              <w:t>$534,</w:t>
            </w:r>
            <w:r w:rsidR="00024D55">
              <w:t>5</w:t>
            </w:r>
            <w:r w:rsidRPr="00630A55">
              <w:t>17,581</w:t>
            </w:r>
          </w:p>
        </w:tc>
      </w:tr>
      <w:tr w:rsidR="006B6DF6" w:rsidRPr="00630A55" w14:paraId="57CFBA2D" w14:textId="77777777" w:rsidTr="003910CC">
        <w:trPr>
          <w:trHeight w:val="258"/>
        </w:trPr>
        <w:tc>
          <w:tcPr>
            <w:tcW w:w="6887" w:type="dxa"/>
            <w:gridSpan w:val="2"/>
            <w:tcBorders>
              <w:top w:val="single" w:sz="12" w:space="0" w:color="auto"/>
              <w:left w:val="single" w:sz="4" w:space="0" w:color="auto"/>
              <w:bottom w:val="single" w:sz="12" w:space="0" w:color="auto"/>
              <w:right w:val="single" w:sz="4" w:space="0" w:color="auto"/>
            </w:tcBorders>
            <w:shd w:val="clear" w:color="000000" w:fill="00338D"/>
            <w:noWrap/>
            <w:vAlign w:val="center"/>
            <w:hideMark/>
          </w:tcPr>
          <w:p w14:paraId="67DAF700" w14:textId="418254FB" w:rsidR="006B6DF6" w:rsidRPr="00630A55" w:rsidRDefault="006B6DF6" w:rsidP="009527C7">
            <w:pPr>
              <w:pStyle w:val="Tableheading"/>
              <w:rPr>
                <w:lang w:eastAsia="en-AU"/>
              </w:rPr>
            </w:pPr>
            <w:r w:rsidRPr="00630A55">
              <w:rPr>
                <w:lang w:eastAsia="en-AU"/>
              </w:rPr>
              <w:t xml:space="preserve">BHS </w:t>
            </w:r>
            <w:r w:rsidR="0084008C">
              <w:rPr>
                <w:lang w:eastAsia="en-AU"/>
              </w:rPr>
              <w:t>a</w:t>
            </w:r>
            <w:r w:rsidRPr="00630A55">
              <w:rPr>
                <w:lang w:eastAsia="en-AU"/>
              </w:rPr>
              <w:t>ctivity</w:t>
            </w:r>
          </w:p>
        </w:tc>
        <w:tc>
          <w:tcPr>
            <w:tcW w:w="2287" w:type="dxa"/>
            <w:tcBorders>
              <w:top w:val="single" w:sz="12" w:space="0" w:color="auto"/>
              <w:left w:val="single" w:sz="4" w:space="0" w:color="auto"/>
              <w:bottom w:val="single" w:sz="12" w:space="0" w:color="auto"/>
              <w:right w:val="single" w:sz="4" w:space="0" w:color="auto"/>
            </w:tcBorders>
            <w:shd w:val="clear" w:color="000000" w:fill="00338D"/>
            <w:noWrap/>
            <w:vAlign w:val="center"/>
            <w:hideMark/>
          </w:tcPr>
          <w:p w14:paraId="5642B2BC" w14:textId="77777777" w:rsidR="006B6DF6" w:rsidRPr="00630A55" w:rsidRDefault="006B6DF6" w:rsidP="003758E1">
            <w:pPr>
              <w:pStyle w:val="Tableheading"/>
              <w:rPr>
                <w:color w:val="FFFFFF"/>
                <w:lang w:eastAsia="en-AU"/>
              </w:rPr>
            </w:pPr>
            <w:r w:rsidRPr="00630A55">
              <w:rPr>
                <w:lang w:eastAsia="en-AU"/>
              </w:rPr>
              <w:t xml:space="preserve">Value </w:t>
            </w:r>
          </w:p>
        </w:tc>
      </w:tr>
      <w:tr w:rsidR="006B6DF6" w:rsidRPr="00630A55" w14:paraId="59A1FF74" w14:textId="77777777" w:rsidTr="003910CC">
        <w:trPr>
          <w:trHeight w:val="465"/>
        </w:trPr>
        <w:tc>
          <w:tcPr>
            <w:tcW w:w="6887" w:type="dxa"/>
            <w:gridSpan w:val="2"/>
            <w:tcBorders>
              <w:top w:val="single" w:sz="12" w:space="0" w:color="auto"/>
              <w:left w:val="single" w:sz="4" w:space="0" w:color="auto"/>
              <w:right w:val="single" w:sz="4" w:space="0" w:color="auto"/>
            </w:tcBorders>
            <w:shd w:val="clear" w:color="000000" w:fill="FFFFFF"/>
            <w:vAlign w:val="center"/>
            <w:hideMark/>
          </w:tcPr>
          <w:p w14:paraId="57262F0E" w14:textId="4D53A7A1" w:rsidR="006B6DF6" w:rsidRPr="00630A55" w:rsidRDefault="006B6DF6" w:rsidP="009527C7">
            <w:pPr>
              <w:pStyle w:val="Tabletext"/>
              <w:rPr>
                <w:color w:val="000000"/>
                <w:lang w:eastAsia="en-AU"/>
              </w:rPr>
            </w:pPr>
            <w:r w:rsidRPr="00630A55">
              <w:rPr>
                <w:lang w:eastAsia="en-AU"/>
              </w:rPr>
              <w:t xml:space="preserve">Data loaded to the costing </w:t>
            </w:r>
            <w:r w:rsidR="0084008C">
              <w:rPr>
                <w:lang w:eastAsia="en-AU"/>
              </w:rPr>
              <w:t>s</w:t>
            </w:r>
            <w:r w:rsidRPr="00630A55">
              <w:rPr>
                <w:lang w:eastAsia="en-AU"/>
              </w:rPr>
              <w:t>ystem for costing purposes</w:t>
            </w:r>
          </w:p>
        </w:tc>
        <w:tc>
          <w:tcPr>
            <w:tcW w:w="2287" w:type="dxa"/>
            <w:tcBorders>
              <w:top w:val="single" w:sz="12" w:space="0" w:color="auto"/>
              <w:left w:val="single" w:sz="4" w:space="0" w:color="auto"/>
              <w:right w:val="single" w:sz="4" w:space="0" w:color="auto"/>
            </w:tcBorders>
            <w:shd w:val="clear" w:color="auto" w:fill="auto"/>
            <w:vAlign w:val="center"/>
          </w:tcPr>
          <w:p w14:paraId="6EE81CB3" w14:textId="77777777" w:rsidR="006B6DF6" w:rsidRPr="00630A55" w:rsidRDefault="006B6DF6" w:rsidP="008A7062">
            <w:pPr>
              <w:pStyle w:val="TableTextNumber"/>
              <w:jc w:val="right"/>
            </w:pPr>
          </w:p>
        </w:tc>
      </w:tr>
      <w:tr w:rsidR="006B6DF6" w:rsidRPr="00630A55" w14:paraId="22A19161" w14:textId="77777777" w:rsidTr="003910CC">
        <w:trPr>
          <w:trHeight w:val="258"/>
        </w:trPr>
        <w:tc>
          <w:tcPr>
            <w:tcW w:w="281" w:type="dxa"/>
            <w:tcBorders>
              <w:left w:val="single" w:sz="4" w:space="0" w:color="auto"/>
            </w:tcBorders>
            <w:shd w:val="clear" w:color="000000" w:fill="FFFFFF"/>
            <w:noWrap/>
            <w:vAlign w:val="center"/>
            <w:hideMark/>
          </w:tcPr>
          <w:p w14:paraId="36D1EBDE" w14:textId="77777777" w:rsidR="006B6DF6" w:rsidRPr="00630A55" w:rsidRDefault="006B6DF6" w:rsidP="009527C7">
            <w:pPr>
              <w:pStyle w:val="Tabletext"/>
              <w:rPr>
                <w:color w:val="000000"/>
                <w:lang w:eastAsia="en-AU"/>
              </w:rPr>
            </w:pPr>
            <w:r w:rsidRPr="00630A55">
              <w:rPr>
                <w:lang w:eastAsia="en-AU"/>
              </w:rPr>
              <w:t> </w:t>
            </w:r>
          </w:p>
        </w:tc>
        <w:tc>
          <w:tcPr>
            <w:tcW w:w="6606" w:type="dxa"/>
            <w:tcBorders>
              <w:right w:val="single" w:sz="4" w:space="0" w:color="auto"/>
            </w:tcBorders>
            <w:shd w:val="clear" w:color="000000" w:fill="FFFFFF"/>
            <w:noWrap/>
            <w:vAlign w:val="center"/>
            <w:hideMark/>
          </w:tcPr>
          <w:p w14:paraId="2E527E9D" w14:textId="0480F181" w:rsidR="006B6DF6" w:rsidRPr="00630A55" w:rsidRDefault="006B6DF6" w:rsidP="009527C7">
            <w:pPr>
              <w:pStyle w:val="Tabletext"/>
              <w:rPr>
                <w:color w:val="000000"/>
                <w:lang w:eastAsia="en-AU"/>
              </w:rPr>
            </w:pPr>
            <w:r w:rsidRPr="00630A55">
              <w:rPr>
                <w:lang w:eastAsia="en-AU"/>
              </w:rPr>
              <w:t xml:space="preserve">Activity </w:t>
            </w:r>
            <w:r w:rsidR="0084008C">
              <w:rPr>
                <w:lang w:eastAsia="en-AU"/>
              </w:rPr>
              <w:t>d</w:t>
            </w:r>
            <w:r w:rsidRPr="00630A55">
              <w:rPr>
                <w:lang w:eastAsia="en-AU"/>
              </w:rPr>
              <w:t xml:space="preserve">ata </w:t>
            </w:r>
          </w:p>
        </w:tc>
        <w:tc>
          <w:tcPr>
            <w:tcW w:w="2287" w:type="dxa"/>
            <w:tcBorders>
              <w:left w:val="single" w:sz="4" w:space="0" w:color="auto"/>
              <w:right w:val="single" w:sz="4" w:space="0" w:color="auto"/>
            </w:tcBorders>
            <w:shd w:val="clear" w:color="auto" w:fill="auto"/>
            <w:noWrap/>
            <w:vAlign w:val="center"/>
          </w:tcPr>
          <w:p w14:paraId="2DD01425" w14:textId="77777777" w:rsidR="006B6DF6" w:rsidRPr="00630A55" w:rsidRDefault="006B6DF6" w:rsidP="008A7062">
            <w:pPr>
              <w:pStyle w:val="TableTextNumber"/>
              <w:jc w:val="right"/>
            </w:pPr>
            <w:r w:rsidRPr="00630A55">
              <w:t>422,123</w:t>
            </w:r>
          </w:p>
        </w:tc>
      </w:tr>
      <w:tr w:rsidR="006B6DF6" w:rsidRPr="00630A55" w14:paraId="3BFF1BC5" w14:textId="77777777" w:rsidTr="003910CC">
        <w:trPr>
          <w:trHeight w:val="258"/>
        </w:trPr>
        <w:tc>
          <w:tcPr>
            <w:tcW w:w="281" w:type="dxa"/>
            <w:tcBorders>
              <w:left w:val="single" w:sz="4" w:space="0" w:color="auto"/>
            </w:tcBorders>
            <w:shd w:val="clear" w:color="000000" w:fill="FFFFFF"/>
            <w:noWrap/>
            <w:vAlign w:val="center"/>
            <w:hideMark/>
          </w:tcPr>
          <w:p w14:paraId="2B530A16" w14:textId="77777777" w:rsidR="006B6DF6" w:rsidRPr="00630A55" w:rsidRDefault="006B6DF6" w:rsidP="009527C7">
            <w:pPr>
              <w:pStyle w:val="Tabletext"/>
              <w:rPr>
                <w:color w:val="000000"/>
                <w:lang w:eastAsia="en-AU"/>
              </w:rPr>
            </w:pPr>
            <w:r w:rsidRPr="00630A55">
              <w:rPr>
                <w:lang w:eastAsia="en-AU"/>
              </w:rPr>
              <w:t> </w:t>
            </w:r>
          </w:p>
        </w:tc>
        <w:tc>
          <w:tcPr>
            <w:tcW w:w="6606" w:type="dxa"/>
            <w:tcBorders>
              <w:right w:val="single" w:sz="4" w:space="0" w:color="auto"/>
            </w:tcBorders>
            <w:shd w:val="clear" w:color="000000" w:fill="FFFFFF"/>
            <w:noWrap/>
            <w:vAlign w:val="center"/>
            <w:hideMark/>
          </w:tcPr>
          <w:p w14:paraId="2BB6AB49" w14:textId="4225301F" w:rsidR="006B6DF6" w:rsidRPr="00630A55" w:rsidRDefault="006B6DF6" w:rsidP="009527C7">
            <w:pPr>
              <w:pStyle w:val="Tabletext"/>
              <w:rPr>
                <w:color w:val="000000"/>
                <w:lang w:eastAsia="en-AU"/>
              </w:rPr>
            </w:pPr>
            <w:r w:rsidRPr="00630A55">
              <w:rPr>
                <w:lang w:eastAsia="en-AU"/>
              </w:rPr>
              <w:t xml:space="preserve">Feeder </w:t>
            </w:r>
            <w:r w:rsidR="0084008C">
              <w:rPr>
                <w:lang w:eastAsia="en-AU"/>
              </w:rPr>
              <w:t>d</w:t>
            </w:r>
            <w:r w:rsidRPr="00630A55">
              <w:rPr>
                <w:lang w:eastAsia="en-AU"/>
              </w:rPr>
              <w:t>ata</w:t>
            </w:r>
          </w:p>
        </w:tc>
        <w:tc>
          <w:tcPr>
            <w:tcW w:w="2287" w:type="dxa"/>
            <w:tcBorders>
              <w:left w:val="single" w:sz="4" w:space="0" w:color="auto"/>
              <w:right w:val="single" w:sz="4" w:space="0" w:color="auto"/>
            </w:tcBorders>
            <w:shd w:val="clear" w:color="auto" w:fill="auto"/>
            <w:noWrap/>
            <w:vAlign w:val="center"/>
          </w:tcPr>
          <w:p w14:paraId="19D5D954" w14:textId="77777777" w:rsidR="006B6DF6" w:rsidRPr="00630A55" w:rsidRDefault="006B6DF6" w:rsidP="008A7062">
            <w:pPr>
              <w:pStyle w:val="TableTextNumber"/>
              <w:jc w:val="right"/>
            </w:pPr>
            <w:r w:rsidRPr="00630A55">
              <w:t>1,793,898</w:t>
            </w:r>
          </w:p>
        </w:tc>
      </w:tr>
      <w:tr w:rsidR="006B6DF6" w:rsidRPr="00630A55" w14:paraId="37E7CDD8" w14:textId="77777777" w:rsidTr="003910CC">
        <w:trPr>
          <w:trHeight w:val="257"/>
        </w:trPr>
        <w:tc>
          <w:tcPr>
            <w:tcW w:w="6887" w:type="dxa"/>
            <w:gridSpan w:val="2"/>
            <w:tcBorders>
              <w:left w:val="single" w:sz="4" w:space="0" w:color="auto"/>
              <w:right w:val="single" w:sz="4" w:space="0" w:color="auto"/>
            </w:tcBorders>
            <w:shd w:val="clear" w:color="000000" w:fill="FFFFFF"/>
            <w:vAlign w:val="center"/>
            <w:hideMark/>
          </w:tcPr>
          <w:p w14:paraId="44D92D82" w14:textId="122C5063" w:rsidR="006B6DF6" w:rsidRPr="00630A55" w:rsidRDefault="006B6DF6" w:rsidP="009527C7">
            <w:pPr>
              <w:pStyle w:val="Tabletext"/>
              <w:rPr>
                <w:color w:val="000000"/>
                <w:lang w:eastAsia="en-AU"/>
              </w:rPr>
            </w:pPr>
            <w:r w:rsidRPr="00630A55">
              <w:rPr>
                <w:lang w:eastAsia="en-AU"/>
              </w:rPr>
              <w:t xml:space="preserve">NHCDC </w:t>
            </w:r>
            <w:r w:rsidR="0084008C">
              <w:rPr>
                <w:lang w:eastAsia="en-AU"/>
              </w:rPr>
              <w:t>p</w:t>
            </w:r>
            <w:r w:rsidRPr="00630A55">
              <w:rPr>
                <w:lang w:eastAsia="en-AU"/>
              </w:rPr>
              <w:t xml:space="preserve">roduct </w:t>
            </w:r>
            <w:r w:rsidR="0084008C">
              <w:rPr>
                <w:lang w:eastAsia="en-AU"/>
              </w:rPr>
              <w:t>o</w:t>
            </w:r>
            <w:r w:rsidRPr="00630A55">
              <w:rPr>
                <w:lang w:eastAsia="en-AU"/>
              </w:rPr>
              <w:t xml:space="preserve">utput </w:t>
            </w:r>
            <w:r w:rsidR="0084008C">
              <w:rPr>
                <w:lang w:eastAsia="en-AU"/>
              </w:rPr>
              <w:t>a</w:t>
            </w:r>
            <w:r w:rsidRPr="00630A55">
              <w:rPr>
                <w:lang w:eastAsia="en-AU"/>
              </w:rPr>
              <w:t xml:space="preserve">ctivity - </w:t>
            </w:r>
            <w:r w:rsidR="0084008C">
              <w:rPr>
                <w:lang w:eastAsia="en-AU"/>
              </w:rPr>
              <w:t>p</w:t>
            </w:r>
            <w:r w:rsidRPr="00630A55">
              <w:rPr>
                <w:lang w:eastAsia="en-AU"/>
              </w:rPr>
              <w:t xml:space="preserve">ost </w:t>
            </w:r>
            <w:r w:rsidR="0084008C">
              <w:rPr>
                <w:lang w:eastAsia="en-AU"/>
              </w:rPr>
              <w:t>l</w:t>
            </w:r>
            <w:r w:rsidRPr="00630A55">
              <w:rPr>
                <w:lang w:eastAsia="en-AU"/>
              </w:rPr>
              <w:t xml:space="preserve">inking and </w:t>
            </w:r>
            <w:r w:rsidR="0084008C">
              <w:rPr>
                <w:lang w:eastAsia="en-AU"/>
              </w:rPr>
              <w:t>l</w:t>
            </w:r>
            <w:r w:rsidRPr="00630A55">
              <w:rPr>
                <w:lang w:eastAsia="en-AU"/>
              </w:rPr>
              <w:t>oading</w:t>
            </w:r>
          </w:p>
        </w:tc>
        <w:tc>
          <w:tcPr>
            <w:tcW w:w="2287" w:type="dxa"/>
            <w:tcBorders>
              <w:left w:val="single" w:sz="4" w:space="0" w:color="auto"/>
              <w:right w:val="single" w:sz="4" w:space="0" w:color="auto"/>
            </w:tcBorders>
            <w:shd w:val="clear" w:color="auto" w:fill="auto"/>
            <w:noWrap/>
            <w:vAlign w:val="center"/>
          </w:tcPr>
          <w:p w14:paraId="5AB39F01" w14:textId="77777777" w:rsidR="006B6DF6" w:rsidRPr="00630A55" w:rsidRDefault="006B6DF6" w:rsidP="008A7062">
            <w:pPr>
              <w:pStyle w:val="TableTextNumber"/>
              <w:jc w:val="right"/>
            </w:pPr>
            <w:r w:rsidRPr="00630A55">
              <w:t>422,123</w:t>
            </w:r>
          </w:p>
        </w:tc>
      </w:tr>
      <w:tr w:rsidR="006B6DF6" w:rsidRPr="00630A55" w14:paraId="26652869" w14:textId="77777777" w:rsidTr="003910CC">
        <w:trPr>
          <w:trHeight w:val="258"/>
        </w:trPr>
        <w:tc>
          <w:tcPr>
            <w:tcW w:w="6887" w:type="dxa"/>
            <w:gridSpan w:val="2"/>
            <w:tcBorders>
              <w:left w:val="single" w:sz="4" w:space="0" w:color="auto"/>
              <w:right w:val="single" w:sz="4" w:space="0" w:color="auto"/>
            </w:tcBorders>
            <w:shd w:val="clear" w:color="000000" w:fill="FFFFFF"/>
            <w:vAlign w:val="center"/>
            <w:hideMark/>
          </w:tcPr>
          <w:p w14:paraId="52D0A133" w14:textId="5ADDAEFB" w:rsidR="006B6DF6" w:rsidRPr="00630A55" w:rsidRDefault="006B6DF6" w:rsidP="009527C7">
            <w:pPr>
              <w:pStyle w:val="Tabletext"/>
              <w:rPr>
                <w:color w:val="000000"/>
                <w:lang w:eastAsia="en-AU"/>
              </w:rPr>
            </w:pPr>
            <w:r w:rsidRPr="00630A55">
              <w:rPr>
                <w:lang w:eastAsia="en-AU"/>
              </w:rPr>
              <w:t xml:space="preserve">Final </w:t>
            </w:r>
            <w:r w:rsidR="0084008C">
              <w:rPr>
                <w:lang w:eastAsia="en-AU"/>
              </w:rPr>
              <w:t>s</w:t>
            </w:r>
            <w:r w:rsidRPr="00630A55">
              <w:rPr>
                <w:lang w:eastAsia="en-AU"/>
              </w:rPr>
              <w:t xml:space="preserve">ubmission to </w:t>
            </w:r>
            <w:r w:rsidR="0084008C">
              <w:rPr>
                <w:lang w:eastAsia="en-AU"/>
              </w:rPr>
              <w:t>j</w:t>
            </w:r>
            <w:r w:rsidRPr="00630A55">
              <w:rPr>
                <w:lang w:eastAsia="en-AU"/>
              </w:rPr>
              <w:t xml:space="preserve">urisdiction - </w:t>
            </w:r>
            <w:r w:rsidR="0084008C">
              <w:rPr>
                <w:lang w:eastAsia="en-AU"/>
              </w:rPr>
              <w:t>a</w:t>
            </w:r>
            <w:r w:rsidRPr="00630A55">
              <w:rPr>
                <w:lang w:eastAsia="en-AU"/>
              </w:rPr>
              <w:t xml:space="preserve">ctivity by </w:t>
            </w:r>
            <w:r w:rsidR="0084008C">
              <w:rPr>
                <w:lang w:eastAsia="en-AU"/>
              </w:rPr>
              <w:t>p</w:t>
            </w:r>
            <w:r w:rsidRPr="00630A55">
              <w:rPr>
                <w:lang w:eastAsia="en-AU"/>
              </w:rPr>
              <w:t>roduct</w:t>
            </w:r>
          </w:p>
        </w:tc>
        <w:tc>
          <w:tcPr>
            <w:tcW w:w="2287" w:type="dxa"/>
            <w:tcBorders>
              <w:left w:val="single" w:sz="4" w:space="0" w:color="auto"/>
              <w:right w:val="single" w:sz="4" w:space="0" w:color="auto"/>
            </w:tcBorders>
            <w:shd w:val="clear" w:color="auto" w:fill="auto"/>
            <w:noWrap/>
            <w:vAlign w:val="center"/>
          </w:tcPr>
          <w:p w14:paraId="28C4F12E" w14:textId="77777777" w:rsidR="006B6DF6" w:rsidRPr="00630A55" w:rsidRDefault="006B6DF6" w:rsidP="008A7062">
            <w:pPr>
              <w:pStyle w:val="TableTextNumber"/>
              <w:jc w:val="right"/>
            </w:pPr>
            <w:r w:rsidRPr="00630A55">
              <w:t>378,282</w:t>
            </w:r>
          </w:p>
        </w:tc>
      </w:tr>
      <w:tr w:rsidR="006B6DF6" w:rsidRPr="00630A55" w14:paraId="0F95EE43" w14:textId="77777777" w:rsidTr="003910CC">
        <w:trPr>
          <w:trHeight w:val="258"/>
        </w:trPr>
        <w:tc>
          <w:tcPr>
            <w:tcW w:w="6887" w:type="dxa"/>
            <w:gridSpan w:val="2"/>
            <w:tcBorders>
              <w:left w:val="single" w:sz="4" w:space="0" w:color="auto"/>
              <w:bottom w:val="single" w:sz="12" w:space="0" w:color="auto"/>
              <w:right w:val="single" w:sz="4" w:space="0" w:color="auto"/>
            </w:tcBorders>
            <w:shd w:val="clear" w:color="000000" w:fill="FFFFFF"/>
            <w:vAlign w:val="center"/>
            <w:hideMark/>
          </w:tcPr>
          <w:p w14:paraId="11CC0E8D" w14:textId="1A5DAAF5" w:rsidR="006B6DF6" w:rsidRPr="00630A55" w:rsidRDefault="006B6DF6" w:rsidP="009527C7">
            <w:pPr>
              <w:pStyle w:val="Tabletext"/>
              <w:rPr>
                <w:color w:val="000000"/>
                <w:lang w:eastAsia="en-AU"/>
              </w:rPr>
            </w:pPr>
            <w:r w:rsidRPr="00630A55">
              <w:rPr>
                <w:lang w:eastAsia="en-AU"/>
              </w:rPr>
              <w:t xml:space="preserve">Final </w:t>
            </w:r>
            <w:r w:rsidR="0084008C">
              <w:rPr>
                <w:lang w:eastAsia="en-AU"/>
              </w:rPr>
              <w:t>s</w:t>
            </w:r>
            <w:r w:rsidRPr="00630A55">
              <w:rPr>
                <w:lang w:eastAsia="en-AU"/>
              </w:rPr>
              <w:t xml:space="preserve">ubmission to </w:t>
            </w:r>
            <w:r w:rsidR="0084008C">
              <w:rPr>
                <w:lang w:eastAsia="en-AU"/>
              </w:rPr>
              <w:t>j</w:t>
            </w:r>
            <w:r w:rsidRPr="00630A55">
              <w:rPr>
                <w:lang w:eastAsia="en-AU"/>
              </w:rPr>
              <w:t xml:space="preserve">urisdiction - </w:t>
            </w:r>
            <w:r w:rsidR="0084008C">
              <w:rPr>
                <w:lang w:eastAsia="en-AU"/>
              </w:rPr>
              <w:t>a</w:t>
            </w:r>
            <w:r w:rsidRPr="00630A55">
              <w:rPr>
                <w:lang w:eastAsia="en-AU"/>
              </w:rPr>
              <w:t xml:space="preserve">ctivity and </w:t>
            </w:r>
            <w:r w:rsidR="0084008C">
              <w:rPr>
                <w:lang w:eastAsia="en-AU"/>
              </w:rPr>
              <w:t>c</w:t>
            </w:r>
            <w:r w:rsidRPr="00630A55">
              <w:rPr>
                <w:lang w:eastAsia="en-AU"/>
              </w:rPr>
              <w:t xml:space="preserve">ost by </w:t>
            </w:r>
            <w:r w:rsidR="0084008C">
              <w:rPr>
                <w:lang w:eastAsia="en-AU"/>
              </w:rPr>
              <w:t>p</w:t>
            </w:r>
            <w:r w:rsidRPr="00630A55">
              <w:rPr>
                <w:lang w:eastAsia="en-AU"/>
              </w:rPr>
              <w:t>roduct</w:t>
            </w:r>
          </w:p>
        </w:tc>
        <w:tc>
          <w:tcPr>
            <w:tcW w:w="2287" w:type="dxa"/>
            <w:tcBorders>
              <w:left w:val="single" w:sz="4" w:space="0" w:color="auto"/>
              <w:bottom w:val="single" w:sz="12" w:space="0" w:color="auto"/>
              <w:right w:val="single" w:sz="4" w:space="0" w:color="auto"/>
            </w:tcBorders>
            <w:shd w:val="clear" w:color="auto" w:fill="auto"/>
            <w:noWrap/>
            <w:vAlign w:val="center"/>
          </w:tcPr>
          <w:p w14:paraId="5C56F8DC" w14:textId="77777777" w:rsidR="006B6DF6" w:rsidRPr="00630A55" w:rsidRDefault="006B6DF6" w:rsidP="008A7062">
            <w:pPr>
              <w:pStyle w:val="TableTextNumber"/>
              <w:jc w:val="right"/>
            </w:pPr>
            <w:r w:rsidRPr="00630A55">
              <w:t>378,282</w:t>
            </w:r>
          </w:p>
        </w:tc>
      </w:tr>
      <w:tr w:rsidR="006B6DF6" w:rsidRPr="00630A55" w14:paraId="5856F093" w14:textId="77777777" w:rsidTr="003910CC">
        <w:trPr>
          <w:trHeight w:val="258"/>
        </w:trPr>
        <w:tc>
          <w:tcPr>
            <w:tcW w:w="6887" w:type="dxa"/>
            <w:gridSpan w:val="2"/>
            <w:tcBorders>
              <w:top w:val="single" w:sz="12" w:space="0" w:color="auto"/>
              <w:left w:val="single" w:sz="4" w:space="0" w:color="auto"/>
              <w:bottom w:val="single" w:sz="12" w:space="0" w:color="auto"/>
              <w:right w:val="single" w:sz="4" w:space="0" w:color="auto"/>
            </w:tcBorders>
            <w:shd w:val="clear" w:color="000000" w:fill="00338D"/>
            <w:noWrap/>
            <w:vAlign w:val="center"/>
            <w:hideMark/>
          </w:tcPr>
          <w:p w14:paraId="05E227C2" w14:textId="0439C112" w:rsidR="006B6DF6" w:rsidRPr="00630A55" w:rsidRDefault="006B6DF6" w:rsidP="009527C7">
            <w:pPr>
              <w:pStyle w:val="Tableheading"/>
              <w:rPr>
                <w:color w:val="FFFFFF"/>
                <w:lang w:eastAsia="en-AU"/>
              </w:rPr>
            </w:pPr>
            <w:r w:rsidRPr="00630A55">
              <w:rPr>
                <w:lang w:eastAsia="en-AU"/>
              </w:rPr>
              <w:t xml:space="preserve">BHS submitted to </w:t>
            </w:r>
            <w:r w:rsidR="0084008C">
              <w:rPr>
                <w:lang w:eastAsia="en-AU"/>
              </w:rPr>
              <w:t>j</w:t>
            </w:r>
            <w:r w:rsidRPr="00630A55">
              <w:rPr>
                <w:lang w:eastAsia="en-AU"/>
              </w:rPr>
              <w:t xml:space="preserve">urisdiction </w:t>
            </w:r>
          </w:p>
        </w:tc>
        <w:tc>
          <w:tcPr>
            <w:tcW w:w="2287" w:type="dxa"/>
            <w:tcBorders>
              <w:top w:val="single" w:sz="12" w:space="0" w:color="auto"/>
              <w:left w:val="single" w:sz="4" w:space="0" w:color="auto"/>
              <w:bottom w:val="single" w:sz="12" w:space="0" w:color="auto"/>
              <w:right w:val="single" w:sz="4" w:space="0" w:color="auto"/>
            </w:tcBorders>
            <w:shd w:val="clear" w:color="000000" w:fill="00338D"/>
            <w:noWrap/>
            <w:vAlign w:val="center"/>
            <w:hideMark/>
          </w:tcPr>
          <w:p w14:paraId="501BDF6B" w14:textId="77777777" w:rsidR="006B6DF6" w:rsidRPr="00630A55" w:rsidRDefault="006B6DF6" w:rsidP="003758E1">
            <w:pPr>
              <w:pStyle w:val="Tableheading"/>
              <w:rPr>
                <w:color w:val="FFFFFF"/>
                <w:lang w:eastAsia="en-AU"/>
              </w:rPr>
            </w:pPr>
            <w:r w:rsidRPr="00630A55">
              <w:rPr>
                <w:lang w:eastAsia="en-AU"/>
              </w:rPr>
              <w:t xml:space="preserve">Value </w:t>
            </w:r>
          </w:p>
        </w:tc>
      </w:tr>
      <w:tr w:rsidR="006B6DF6" w:rsidRPr="00630A55" w14:paraId="2E91558F" w14:textId="77777777" w:rsidTr="003910CC">
        <w:trPr>
          <w:trHeight w:val="258"/>
        </w:trPr>
        <w:tc>
          <w:tcPr>
            <w:tcW w:w="6887" w:type="dxa"/>
            <w:gridSpan w:val="2"/>
            <w:tcBorders>
              <w:top w:val="single" w:sz="12" w:space="0" w:color="auto"/>
              <w:left w:val="single" w:sz="4" w:space="0" w:color="auto"/>
              <w:right w:val="single" w:sz="4" w:space="0" w:color="auto"/>
            </w:tcBorders>
            <w:shd w:val="clear" w:color="auto" w:fill="auto"/>
            <w:vAlign w:val="center"/>
            <w:hideMark/>
          </w:tcPr>
          <w:p w14:paraId="1A58160A" w14:textId="2E794CCA" w:rsidR="006B6DF6" w:rsidRPr="00630A55" w:rsidRDefault="006B6DF6" w:rsidP="009527C7">
            <w:pPr>
              <w:pStyle w:val="Tabletext"/>
              <w:rPr>
                <w:color w:val="000000"/>
                <w:lang w:eastAsia="en-AU"/>
              </w:rPr>
            </w:pPr>
            <w:r w:rsidRPr="00630A55">
              <w:rPr>
                <w:lang w:eastAsia="en-AU"/>
              </w:rPr>
              <w:t xml:space="preserve">Summary submission to </w:t>
            </w:r>
            <w:r w:rsidR="0084008C">
              <w:rPr>
                <w:lang w:eastAsia="en-AU"/>
              </w:rPr>
              <w:t>j</w:t>
            </w:r>
            <w:r w:rsidRPr="00630A55">
              <w:rPr>
                <w:lang w:eastAsia="en-AU"/>
              </w:rPr>
              <w:t xml:space="preserve">urisdiction </w:t>
            </w:r>
          </w:p>
        </w:tc>
        <w:tc>
          <w:tcPr>
            <w:tcW w:w="2287" w:type="dxa"/>
            <w:tcBorders>
              <w:top w:val="single" w:sz="12" w:space="0" w:color="auto"/>
              <w:left w:val="single" w:sz="4" w:space="0" w:color="auto"/>
              <w:right w:val="single" w:sz="4" w:space="0" w:color="auto"/>
            </w:tcBorders>
            <w:shd w:val="clear" w:color="auto" w:fill="auto"/>
            <w:vAlign w:val="center"/>
          </w:tcPr>
          <w:p w14:paraId="405240EB" w14:textId="77777777" w:rsidR="006B6DF6" w:rsidRPr="00630A55" w:rsidRDefault="006B6DF6" w:rsidP="008A7062">
            <w:pPr>
              <w:pStyle w:val="TableTextNumber"/>
              <w:jc w:val="right"/>
            </w:pPr>
          </w:p>
        </w:tc>
      </w:tr>
      <w:tr w:rsidR="006B6DF6" w:rsidRPr="00630A55" w14:paraId="6ED5212F" w14:textId="77777777" w:rsidTr="003910CC">
        <w:trPr>
          <w:trHeight w:val="258"/>
        </w:trPr>
        <w:tc>
          <w:tcPr>
            <w:tcW w:w="281" w:type="dxa"/>
            <w:tcBorders>
              <w:left w:val="single" w:sz="4" w:space="0" w:color="auto"/>
            </w:tcBorders>
            <w:shd w:val="clear" w:color="000000" w:fill="FFFFFF"/>
            <w:noWrap/>
            <w:vAlign w:val="center"/>
            <w:hideMark/>
          </w:tcPr>
          <w:p w14:paraId="188C0ECA" w14:textId="77777777" w:rsidR="006B6DF6" w:rsidRPr="00630A55" w:rsidRDefault="006B6DF6" w:rsidP="009527C7">
            <w:pPr>
              <w:pStyle w:val="Tabletext"/>
              <w:rPr>
                <w:color w:val="000000"/>
                <w:lang w:eastAsia="en-AU"/>
              </w:rPr>
            </w:pPr>
            <w:r w:rsidRPr="00630A55">
              <w:rPr>
                <w:lang w:eastAsia="en-AU"/>
              </w:rPr>
              <w:t> </w:t>
            </w:r>
          </w:p>
        </w:tc>
        <w:tc>
          <w:tcPr>
            <w:tcW w:w="6606" w:type="dxa"/>
            <w:tcBorders>
              <w:right w:val="single" w:sz="4" w:space="0" w:color="auto"/>
            </w:tcBorders>
            <w:shd w:val="clear" w:color="auto" w:fill="auto"/>
            <w:vAlign w:val="center"/>
            <w:hideMark/>
          </w:tcPr>
          <w:p w14:paraId="50202BEE" w14:textId="1A769C23" w:rsidR="006B6DF6" w:rsidRPr="00630A55" w:rsidRDefault="006B6DF6" w:rsidP="009527C7">
            <w:pPr>
              <w:pStyle w:val="Tabletext"/>
              <w:rPr>
                <w:color w:val="000000"/>
                <w:lang w:eastAsia="en-AU"/>
              </w:rPr>
            </w:pPr>
            <w:r w:rsidRPr="00630A55">
              <w:rPr>
                <w:lang w:eastAsia="en-AU"/>
              </w:rPr>
              <w:t xml:space="preserve">Activity submitted to </w:t>
            </w:r>
            <w:r w:rsidR="0084008C">
              <w:rPr>
                <w:lang w:eastAsia="en-AU"/>
              </w:rPr>
              <w:t>j</w:t>
            </w:r>
            <w:r w:rsidRPr="00630A55">
              <w:rPr>
                <w:lang w:eastAsia="en-AU"/>
              </w:rPr>
              <w:t>urisdiction</w:t>
            </w:r>
          </w:p>
        </w:tc>
        <w:tc>
          <w:tcPr>
            <w:tcW w:w="2287" w:type="dxa"/>
            <w:tcBorders>
              <w:left w:val="single" w:sz="4" w:space="0" w:color="auto"/>
              <w:right w:val="single" w:sz="4" w:space="0" w:color="auto"/>
            </w:tcBorders>
            <w:shd w:val="clear" w:color="auto" w:fill="auto"/>
            <w:noWrap/>
            <w:vAlign w:val="center"/>
          </w:tcPr>
          <w:p w14:paraId="7D422D69" w14:textId="77777777" w:rsidR="006B6DF6" w:rsidRPr="00630A55" w:rsidRDefault="006B6DF6" w:rsidP="008A7062">
            <w:pPr>
              <w:pStyle w:val="TableTextNumber"/>
              <w:jc w:val="right"/>
            </w:pPr>
            <w:r w:rsidRPr="00630A55">
              <w:t>378,282</w:t>
            </w:r>
          </w:p>
        </w:tc>
      </w:tr>
      <w:tr w:rsidR="006B6DF6" w:rsidRPr="00630A55" w14:paraId="10593D38" w14:textId="77777777" w:rsidTr="003910CC">
        <w:trPr>
          <w:trHeight w:val="258"/>
        </w:trPr>
        <w:tc>
          <w:tcPr>
            <w:tcW w:w="281" w:type="dxa"/>
            <w:tcBorders>
              <w:left w:val="single" w:sz="4" w:space="0" w:color="auto"/>
            </w:tcBorders>
            <w:shd w:val="clear" w:color="000000" w:fill="FFFFFF"/>
            <w:noWrap/>
            <w:vAlign w:val="center"/>
            <w:hideMark/>
          </w:tcPr>
          <w:p w14:paraId="0166F4A6" w14:textId="77777777" w:rsidR="006B6DF6" w:rsidRPr="00630A55" w:rsidRDefault="006B6DF6" w:rsidP="009527C7">
            <w:pPr>
              <w:pStyle w:val="Tabletext"/>
              <w:rPr>
                <w:color w:val="000000"/>
                <w:lang w:eastAsia="en-AU"/>
              </w:rPr>
            </w:pPr>
            <w:r w:rsidRPr="00630A55">
              <w:rPr>
                <w:lang w:eastAsia="en-AU"/>
              </w:rPr>
              <w:t> </w:t>
            </w:r>
          </w:p>
        </w:tc>
        <w:tc>
          <w:tcPr>
            <w:tcW w:w="6606" w:type="dxa"/>
            <w:tcBorders>
              <w:right w:val="single" w:sz="4" w:space="0" w:color="auto"/>
            </w:tcBorders>
            <w:shd w:val="clear" w:color="auto" w:fill="auto"/>
            <w:vAlign w:val="center"/>
            <w:hideMark/>
          </w:tcPr>
          <w:p w14:paraId="65C43F6C" w14:textId="59A02F24" w:rsidR="006B6DF6" w:rsidRPr="00630A55" w:rsidRDefault="006B6DF6" w:rsidP="009527C7">
            <w:pPr>
              <w:pStyle w:val="Tabletext"/>
              <w:rPr>
                <w:color w:val="000000"/>
                <w:lang w:eastAsia="en-AU"/>
              </w:rPr>
            </w:pPr>
            <w:r w:rsidRPr="00630A55">
              <w:rPr>
                <w:lang w:eastAsia="en-AU"/>
              </w:rPr>
              <w:t xml:space="preserve">Costs submitted to </w:t>
            </w:r>
            <w:r w:rsidR="0084008C">
              <w:rPr>
                <w:lang w:eastAsia="en-AU"/>
              </w:rPr>
              <w:t>j</w:t>
            </w:r>
            <w:r w:rsidRPr="00630A55">
              <w:rPr>
                <w:lang w:eastAsia="en-AU"/>
              </w:rPr>
              <w:t>urisdiction</w:t>
            </w:r>
          </w:p>
        </w:tc>
        <w:tc>
          <w:tcPr>
            <w:tcW w:w="2287" w:type="dxa"/>
            <w:tcBorders>
              <w:left w:val="single" w:sz="4" w:space="0" w:color="auto"/>
              <w:right w:val="single" w:sz="4" w:space="0" w:color="auto"/>
            </w:tcBorders>
            <w:shd w:val="clear" w:color="auto" w:fill="auto"/>
            <w:noWrap/>
            <w:vAlign w:val="center"/>
          </w:tcPr>
          <w:p w14:paraId="34C1F824" w14:textId="77777777" w:rsidR="006B6DF6" w:rsidRPr="00630A55" w:rsidRDefault="006B6DF6" w:rsidP="008A7062">
            <w:pPr>
              <w:pStyle w:val="TableTextNumber"/>
              <w:jc w:val="right"/>
            </w:pPr>
            <w:r w:rsidRPr="00630A55">
              <w:t>$534,517,579</w:t>
            </w:r>
          </w:p>
        </w:tc>
      </w:tr>
      <w:tr w:rsidR="006B6DF6" w:rsidRPr="00630A55" w14:paraId="304510A4" w14:textId="77777777" w:rsidTr="003910CC">
        <w:trPr>
          <w:trHeight w:val="258"/>
        </w:trPr>
        <w:tc>
          <w:tcPr>
            <w:tcW w:w="6887" w:type="dxa"/>
            <w:gridSpan w:val="2"/>
            <w:tcBorders>
              <w:top w:val="single" w:sz="12" w:space="0" w:color="auto"/>
              <w:left w:val="single" w:sz="4" w:space="0" w:color="auto"/>
              <w:bottom w:val="single" w:sz="12" w:space="0" w:color="auto"/>
              <w:right w:val="single" w:sz="4" w:space="0" w:color="auto"/>
            </w:tcBorders>
            <w:shd w:val="clear" w:color="000000" w:fill="00338D"/>
            <w:noWrap/>
            <w:vAlign w:val="center"/>
            <w:hideMark/>
          </w:tcPr>
          <w:p w14:paraId="4A8E5367" w14:textId="77777777" w:rsidR="006B6DF6" w:rsidRPr="00630A55" w:rsidRDefault="006B6DF6" w:rsidP="009527C7">
            <w:pPr>
              <w:pStyle w:val="Tableheading"/>
              <w:rPr>
                <w:color w:val="FFFFFF"/>
                <w:lang w:eastAsia="en-AU"/>
              </w:rPr>
            </w:pPr>
            <w:r w:rsidRPr="00630A55">
              <w:rPr>
                <w:lang w:eastAsia="en-AU"/>
              </w:rPr>
              <w:t>BHS costs and activity submitted to IHACPA</w:t>
            </w:r>
          </w:p>
        </w:tc>
        <w:tc>
          <w:tcPr>
            <w:tcW w:w="2287" w:type="dxa"/>
            <w:tcBorders>
              <w:top w:val="single" w:sz="12" w:space="0" w:color="auto"/>
              <w:left w:val="single" w:sz="4" w:space="0" w:color="auto"/>
              <w:bottom w:val="single" w:sz="12" w:space="0" w:color="auto"/>
              <w:right w:val="single" w:sz="4" w:space="0" w:color="auto"/>
            </w:tcBorders>
            <w:shd w:val="clear" w:color="000000" w:fill="00338D"/>
            <w:noWrap/>
            <w:vAlign w:val="center"/>
            <w:hideMark/>
          </w:tcPr>
          <w:p w14:paraId="512269E3" w14:textId="77777777" w:rsidR="006B6DF6" w:rsidRPr="00630A55" w:rsidRDefault="006B6DF6" w:rsidP="003758E1">
            <w:pPr>
              <w:pStyle w:val="Tableheading"/>
              <w:rPr>
                <w:color w:val="FFFFFF"/>
                <w:lang w:eastAsia="en-AU"/>
              </w:rPr>
            </w:pPr>
            <w:r w:rsidRPr="00630A55">
              <w:rPr>
                <w:lang w:eastAsia="en-AU"/>
              </w:rPr>
              <w:t xml:space="preserve">Value </w:t>
            </w:r>
          </w:p>
        </w:tc>
      </w:tr>
      <w:tr w:rsidR="006B6DF6" w:rsidRPr="00630A55" w14:paraId="5E750037" w14:textId="77777777" w:rsidTr="003910CC">
        <w:trPr>
          <w:trHeight w:val="258"/>
        </w:trPr>
        <w:tc>
          <w:tcPr>
            <w:tcW w:w="6887" w:type="dxa"/>
            <w:gridSpan w:val="2"/>
            <w:tcBorders>
              <w:top w:val="single" w:sz="12" w:space="0" w:color="auto"/>
              <w:left w:val="single" w:sz="4" w:space="0" w:color="auto"/>
              <w:right w:val="single" w:sz="4" w:space="0" w:color="auto"/>
            </w:tcBorders>
            <w:shd w:val="clear" w:color="000000" w:fill="FFFFFF"/>
            <w:vAlign w:val="center"/>
            <w:hideMark/>
          </w:tcPr>
          <w:p w14:paraId="649C41FC" w14:textId="468D8699" w:rsidR="006B6DF6" w:rsidRPr="00630A55" w:rsidRDefault="006B6DF6" w:rsidP="009527C7">
            <w:pPr>
              <w:pStyle w:val="Tabletext"/>
              <w:rPr>
                <w:color w:val="000000"/>
                <w:lang w:eastAsia="en-AU"/>
              </w:rPr>
            </w:pPr>
            <w:r w:rsidRPr="00630A55">
              <w:rPr>
                <w:lang w:eastAsia="en-AU"/>
              </w:rPr>
              <w:t xml:space="preserve">Final </w:t>
            </w:r>
            <w:r w:rsidR="0084008C">
              <w:rPr>
                <w:lang w:eastAsia="en-AU"/>
              </w:rPr>
              <w:t>s</w:t>
            </w:r>
            <w:r w:rsidRPr="00630A55">
              <w:rPr>
                <w:lang w:eastAsia="en-AU"/>
              </w:rPr>
              <w:t xml:space="preserve">ubmission to </w:t>
            </w:r>
            <w:r w:rsidR="0084008C">
              <w:rPr>
                <w:lang w:eastAsia="en-AU"/>
              </w:rPr>
              <w:t>j</w:t>
            </w:r>
            <w:r w:rsidRPr="00630A55">
              <w:rPr>
                <w:lang w:eastAsia="en-AU"/>
              </w:rPr>
              <w:t xml:space="preserve">urisdiction for IHACPA - </w:t>
            </w:r>
            <w:r w:rsidR="0084008C">
              <w:rPr>
                <w:lang w:eastAsia="en-AU"/>
              </w:rPr>
              <w:t>c</w:t>
            </w:r>
            <w:r w:rsidRPr="00630A55">
              <w:rPr>
                <w:lang w:eastAsia="en-AU"/>
              </w:rPr>
              <w:t xml:space="preserve">ost and </w:t>
            </w:r>
            <w:r w:rsidR="0084008C">
              <w:rPr>
                <w:lang w:eastAsia="en-AU"/>
              </w:rPr>
              <w:t>a</w:t>
            </w:r>
            <w:r w:rsidRPr="00630A55">
              <w:rPr>
                <w:lang w:eastAsia="en-AU"/>
              </w:rPr>
              <w:t xml:space="preserve">ctivity by </w:t>
            </w:r>
            <w:r w:rsidR="0084008C">
              <w:rPr>
                <w:lang w:eastAsia="en-AU"/>
              </w:rPr>
              <w:t>p</w:t>
            </w:r>
            <w:r w:rsidRPr="00630A55">
              <w:rPr>
                <w:lang w:eastAsia="en-AU"/>
              </w:rPr>
              <w:t xml:space="preserve">roduct </w:t>
            </w:r>
          </w:p>
        </w:tc>
        <w:tc>
          <w:tcPr>
            <w:tcW w:w="2287" w:type="dxa"/>
            <w:tcBorders>
              <w:top w:val="single" w:sz="12" w:space="0" w:color="auto"/>
              <w:left w:val="single" w:sz="4" w:space="0" w:color="auto"/>
              <w:right w:val="single" w:sz="4" w:space="0" w:color="auto"/>
            </w:tcBorders>
            <w:shd w:val="clear" w:color="auto" w:fill="auto"/>
            <w:vAlign w:val="center"/>
          </w:tcPr>
          <w:p w14:paraId="599C5BA7" w14:textId="77777777" w:rsidR="006B6DF6" w:rsidRPr="00630A55" w:rsidRDefault="006B6DF6" w:rsidP="008A7062">
            <w:pPr>
              <w:pStyle w:val="TableTextNumber"/>
              <w:jc w:val="right"/>
            </w:pPr>
          </w:p>
        </w:tc>
      </w:tr>
      <w:tr w:rsidR="006B6DF6" w:rsidRPr="00630A55" w14:paraId="7184C11D" w14:textId="77777777" w:rsidTr="003910CC">
        <w:trPr>
          <w:trHeight w:val="258"/>
        </w:trPr>
        <w:tc>
          <w:tcPr>
            <w:tcW w:w="281" w:type="dxa"/>
            <w:tcBorders>
              <w:left w:val="single" w:sz="4" w:space="0" w:color="auto"/>
            </w:tcBorders>
            <w:shd w:val="clear" w:color="000000" w:fill="FFFFFF"/>
            <w:noWrap/>
            <w:vAlign w:val="center"/>
            <w:hideMark/>
          </w:tcPr>
          <w:p w14:paraId="4996230F" w14:textId="77777777" w:rsidR="006B6DF6" w:rsidRPr="00630A55" w:rsidRDefault="006B6DF6" w:rsidP="009527C7">
            <w:pPr>
              <w:pStyle w:val="Tabletext"/>
              <w:rPr>
                <w:color w:val="000000"/>
                <w:lang w:eastAsia="en-AU"/>
              </w:rPr>
            </w:pPr>
            <w:r w:rsidRPr="00630A55">
              <w:rPr>
                <w:lang w:eastAsia="en-AU"/>
              </w:rPr>
              <w:t> </w:t>
            </w:r>
          </w:p>
        </w:tc>
        <w:tc>
          <w:tcPr>
            <w:tcW w:w="6606" w:type="dxa"/>
            <w:tcBorders>
              <w:right w:val="single" w:sz="4" w:space="0" w:color="auto"/>
            </w:tcBorders>
            <w:shd w:val="clear" w:color="000000" w:fill="FFFFFF"/>
            <w:vAlign w:val="center"/>
            <w:hideMark/>
          </w:tcPr>
          <w:p w14:paraId="1FCBD190" w14:textId="77777777" w:rsidR="006B6DF6" w:rsidRPr="00630A55" w:rsidRDefault="006B6DF6" w:rsidP="009527C7">
            <w:pPr>
              <w:pStyle w:val="Tabletext"/>
              <w:rPr>
                <w:color w:val="000000"/>
                <w:lang w:eastAsia="en-AU"/>
              </w:rPr>
            </w:pPr>
            <w:r w:rsidRPr="00630A55">
              <w:rPr>
                <w:lang w:eastAsia="en-AU"/>
              </w:rPr>
              <w:t>Activity</w:t>
            </w:r>
          </w:p>
        </w:tc>
        <w:tc>
          <w:tcPr>
            <w:tcW w:w="2287" w:type="dxa"/>
            <w:tcBorders>
              <w:left w:val="single" w:sz="4" w:space="0" w:color="auto"/>
              <w:right w:val="single" w:sz="4" w:space="0" w:color="auto"/>
            </w:tcBorders>
            <w:shd w:val="clear" w:color="auto" w:fill="auto"/>
            <w:noWrap/>
            <w:vAlign w:val="center"/>
          </w:tcPr>
          <w:p w14:paraId="6933565B" w14:textId="77777777" w:rsidR="006B6DF6" w:rsidRPr="00630A55" w:rsidRDefault="006B6DF6" w:rsidP="008A7062">
            <w:pPr>
              <w:pStyle w:val="TableTextNumber"/>
              <w:jc w:val="right"/>
            </w:pPr>
            <w:r w:rsidRPr="00630A55">
              <w:t>378,282</w:t>
            </w:r>
          </w:p>
        </w:tc>
      </w:tr>
      <w:tr w:rsidR="006B6DF6" w:rsidRPr="00630A55" w14:paraId="290FABFE" w14:textId="77777777" w:rsidTr="003910CC">
        <w:trPr>
          <w:trHeight w:val="258"/>
        </w:trPr>
        <w:tc>
          <w:tcPr>
            <w:tcW w:w="281" w:type="dxa"/>
            <w:tcBorders>
              <w:left w:val="single" w:sz="4" w:space="0" w:color="auto"/>
            </w:tcBorders>
            <w:shd w:val="clear" w:color="000000" w:fill="FFFFFF"/>
            <w:noWrap/>
            <w:vAlign w:val="center"/>
            <w:hideMark/>
          </w:tcPr>
          <w:p w14:paraId="0CF1707F" w14:textId="77777777" w:rsidR="006B6DF6" w:rsidRPr="00630A55" w:rsidRDefault="006B6DF6" w:rsidP="009527C7">
            <w:pPr>
              <w:pStyle w:val="Tabletext"/>
              <w:rPr>
                <w:color w:val="000000"/>
                <w:lang w:eastAsia="en-AU"/>
              </w:rPr>
            </w:pPr>
            <w:r w:rsidRPr="00630A55">
              <w:rPr>
                <w:lang w:eastAsia="en-AU"/>
              </w:rPr>
              <w:t> </w:t>
            </w:r>
          </w:p>
        </w:tc>
        <w:tc>
          <w:tcPr>
            <w:tcW w:w="6606" w:type="dxa"/>
            <w:tcBorders>
              <w:right w:val="single" w:sz="4" w:space="0" w:color="auto"/>
            </w:tcBorders>
            <w:shd w:val="clear" w:color="000000" w:fill="FFFFFF"/>
            <w:vAlign w:val="center"/>
            <w:hideMark/>
          </w:tcPr>
          <w:p w14:paraId="25756E76" w14:textId="77777777" w:rsidR="006B6DF6" w:rsidRPr="00630A55" w:rsidRDefault="006B6DF6" w:rsidP="009527C7">
            <w:pPr>
              <w:pStyle w:val="Tabletext"/>
              <w:rPr>
                <w:color w:val="000000"/>
                <w:lang w:eastAsia="en-AU"/>
              </w:rPr>
            </w:pPr>
            <w:r w:rsidRPr="00630A55">
              <w:rPr>
                <w:lang w:eastAsia="en-AU"/>
              </w:rPr>
              <w:t>Costs</w:t>
            </w:r>
          </w:p>
        </w:tc>
        <w:tc>
          <w:tcPr>
            <w:tcW w:w="2287" w:type="dxa"/>
            <w:tcBorders>
              <w:left w:val="single" w:sz="4" w:space="0" w:color="auto"/>
              <w:right w:val="single" w:sz="4" w:space="0" w:color="auto"/>
            </w:tcBorders>
            <w:shd w:val="clear" w:color="auto" w:fill="auto"/>
            <w:noWrap/>
            <w:vAlign w:val="center"/>
          </w:tcPr>
          <w:p w14:paraId="251B72CB" w14:textId="77777777" w:rsidR="006B6DF6" w:rsidRPr="00630A55" w:rsidRDefault="006B6DF6" w:rsidP="008A7062">
            <w:pPr>
              <w:pStyle w:val="TableTextNumber"/>
              <w:jc w:val="right"/>
            </w:pPr>
            <w:r w:rsidRPr="00630A55">
              <w:t>$534,517,579</w:t>
            </w:r>
          </w:p>
        </w:tc>
      </w:tr>
      <w:tr w:rsidR="006B6DF6" w:rsidRPr="00630A55" w14:paraId="06FBCFCD" w14:textId="77777777" w:rsidTr="003910CC">
        <w:trPr>
          <w:trHeight w:val="258"/>
        </w:trPr>
        <w:tc>
          <w:tcPr>
            <w:tcW w:w="6887" w:type="dxa"/>
            <w:gridSpan w:val="2"/>
            <w:tcBorders>
              <w:left w:val="single" w:sz="4" w:space="0" w:color="auto"/>
              <w:right w:val="single" w:sz="4" w:space="0" w:color="auto"/>
            </w:tcBorders>
            <w:shd w:val="clear" w:color="000000" w:fill="FFFFFF"/>
            <w:vAlign w:val="center"/>
            <w:hideMark/>
          </w:tcPr>
          <w:p w14:paraId="5945E55F" w14:textId="23C08633" w:rsidR="006B6DF6" w:rsidRPr="00630A55" w:rsidRDefault="006B6DF6" w:rsidP="009527C7">
            <w:pPr>
              <w:pStyle w:val="Tabletext"/>
              <w:rPr>
                <w:color w:val="000000"/>
                <w:lang w:eastAsia="en-AU"/>
              </w:rPr>
            </w:pPr>
            <w:r w:rsidRPr="00630A55">
              <w:rPr>
                <w:lang w:eastAsia="en-AU"/>
              </w:rPr>
              <w:t xml:space="preserve">Adjustments to </w:t>
            </w:r>
            <w:r w:rsidR="0084008C">
              <w:rPr>
                <w:lang w:eastAsia="en-AU"/>
              </w:rPr>
              <w:t>j</w:t>
            </w:r>
            <w:r w:rsidRPr="00630A55">
              <w:rPr>
                <w:lang w:eastAsia="en-AU"/>
              </w:rPr>
              <w:t xml:space="preserve">urisdictional </w:t>
            </w:r>
            <w:r w:rsidR="0084008C">
              <w:rPr>
                <w:lang w:eastAsia="en-AU"/>
              </w:rPr>
              <w:t>s</w:t>
            </w:r>
            <w:r w:rsidRPr="00630A55">
              <w:rPr>
                <w:lang w:eastAsia="en-AU"/>
              </w:rPr>
              <w:t xml:space="preserve">ubmission prior to finalisation of </w:t>
            </w:r>
            <w:r w:rsidR="0084008C">
              <w:rPr>
                <w:lang w:eastAsia="en-AU"/>
              </w:rPr>
              <w:t>j</w:t>
            </w:r>
            <w:r w:rsidRPr="00630A55">
              <w:rPr>
                <w:lang w:eastAsia="en-AU"/>
              </w:rPr>
              <w:t>urisdictional data</w:t>
            </w:r>
          </w:p>
        </w:tc>
        <w:tc>
          <w:tcPr>
            <w:tcW w:w="2287" w:type="dxa"/>
            <w:tcBorders>
              <w:left w:val="single" w:sz="4" w:space="0" w:color="auto"/>
              <w:right w:val="single" w:sz="4" w:space="0" w:color="auto"/>
            </w:tcBorders>
            <w:shd w:val="clear" w:color="auto" w:fill="auto"/>
            <w:vAlign w:val="center"/>
          </w:tcPr>
          <w:p w14:paraId="697D4CE5" w14:textId="77777777" w:rsidR="006B6DF6" w:rsidRPr="00630A55" w:rsidRDefault="006B6DF6" w:rsidP="008A7062">
            <w:pPr>
              <w:pStyle w:val="TableTextNumber"/>
              <w:jc w:val="right"/>
            </w:pPr>
          </w:p>
        </w:tc>
      </w:tr>
      <w:tr w:rsidR="006B6DF6" w:rsidRPr="00630A55" w14:paraId="4D787267" w14:textId="77777777" w:rsidTr="003910CC">
        <w:trPr>
          <w:trHeight w:val="258"/>
        </w:trPr>
        <w:tc>
          <w:tcPr>
            <w:tcW w:w="281" w:type="dxa"/>
            <w:tcBorders>
              <w:left w:val="single" w:sz="4" w:space="0" w:color="auto"/>
            </w:tcBorders>
            <w:shd w:val="clear" w:color="000000" w:fill="FFFFFF"/>
            <w:noWrap/>
            <w:vAlign w:val="center"/>
            <w:hideMark/>
          </w:tcPr>
          <w:p w14:paraId="055FA073" w14:textId="77777777" w:rsidR="006B6DF6" w:rsidRPr="00630A55" w:rsidRDefault="006B6DF6" w:rsidP="009527C7">
            <w:pPr>
              <w:pStyle w:val="Tabletext"/>
              <w:rPr>
                <w:color w:val="000000"/>
                <w:lang w:eastAsia="en-AU"/>
              </w:rPr>
            </w:pPr>
            <w:r w:rsidRPr="00630A55">
              <w:rPr>
                <w:lang w:eastAsia="en-AU"/>
              </w:rPr>
              <w:t> </w:t>
            </w:r>
          </w:p>
        </w:tc>
        <w:tc>
          <w:tcPr>
            <w:tcW w:w="6606" w:type="dxa"/>
            <w:tcBorders>
              <w:right w:val="single" w:sz="4" w:space="0" w:color="auto"/>
            </w:tcBorders>
            <w:shd w:val="clear" w:color="000000" w:fill="FFFFFF"/>
            <w:noWrap/>
            <w:vAlign w:val="center"/>
            <w:hideMark/>
          </w:tcPr>
          <w:p w14:paraId="409B1F5D" w14:textId="77777777" w:rsidR="006B6DF6" w:rsidRPr="00630A55" w:rsidRDefault="006B6DF6" w:rsidP="009527C7">
            <w:pPr>
              <w:pStyle w:val="Tabletext"/>
              <w:rPr>
                <w:color w:val="000000"/>
                <w:lang w:eastAsia="en-AU"/>
              </w:rPr>
            </w:pPr>
            <w:r w:rsidRPr="00630A55">
              <w:rPr>
                <w:lang w:eastAsia="en-AU"/>
              </w:rPr>
              <w:t xml:space="preserve">Activity totals </w:t>
            </w:r>
          </w:p>
        </w:tc>
        <w:tc>
          <w:tcPr>
            <w:tcW w:w="2287" w:type="dxa"/>
            <w:tcBorders>
              <w:left w:val="single" w:sz="4" w:space="0" w:color="auto"/>
              <w:right w:val="single" w:sz="4" w:space="0" w:color="auto"/>
            </w:tcBorders>
            <w:shd w:val="clear" w:color="auto" w:fill="auto"/>
            <w:noWrap/>
            <w:vAlign w:val="center"/>
          </w:tcPr>
          <w:p w14:paraId="1A0F067C" w14:textId="77777777" w:rsidR="006B6DF6" w:rsidRPr="00630A55" w:rsidRDefault="006B6DF6" w:rsidP="008A7062">
            <w:pPr>
              <w:pStyle w:val="TableTextNumber"/>
              <w:jc w:val="right"/>
            </w:pPr>
            <w:r w:rsidRPr="00630A55">
              <w:t>(96,661)</w:t>
            </w:r>
          </w:p>
        </w:tc>
      </w:tr>
      <w:tr w:rsidR="006B6DF6" w:rsidRPr="00630A55" w14:paraId="0E8EB6E1" w14:textId="77777777" w:rsidTr="003910CC">
        <w:trPr>
          <w:trHeight w:val="258"/>
        </w:trPr>
        <w:tc>
          <w:tcPr>
            <w:tcW w:w="281" w:type="dxa"/>
            <w:tcBorders>
              <w:left w:val="single" w:sz="4" w:space="0" w:color="auto"/>
            </w:tcBorders>
            <w:shd w:val="clear" w:color="000000" w:fill="FFFFFF"/>
            <w:noWrap/>
            <w:vAlign w:val="center"/>
            <w:hideMark/>
          </w:tcPr>
          <w:p w14:paraId="20C9AB77" w14:textId="77777777" w:rsidR="006B6DF6" w:rsidRPr="00630A55" w:rsidRDefault="006B6DF6" w:rsidP="009527C7">
            <w:pPr>
              <w:pStyle w:val="Tabletext"/>
              <w:rPr>
                <w:color w:val="000000"/>
                <w:lang w:eastAsia="en-AU"/>
              </w:rPr>
            </w:pPr>
            <w:r w:rsidRPr="00630A55">
              <w:rPr>
                <w:lang w:eastAsia="en-AU"/>
              </w:rPr>
              <w:t> </w:t>
            </w:r>
          </w:p>
        </w:tc>
        <w:tc>
          <w:tcPr>
            <w:tcW w:w="6606" w:type="dxa"/>
            <w:tcBorders>
              <w:right w:val="single" w:sz="4" w:space="0" w:color="auto"/>
            </w:tcBorders>
            <w:shd w:val="clear" w:color="000000" w:fill="FFFFFF"/>
            <w:noWrap/>
            <w:vAlign w:val="center"/>
            <w:hideMark/>
          </w:tcPr>
          <w:p w14:paraId="73C3CA18" w14:textId="77777777" w:rsidR="006B6DF6" w:rsidRPr="00630A55" w:rsidRDefault="006B6DF6" w:rsidP="009527C7">
            <w:pPr>
              <w:pStyle w:val="Tabletext"/>
              <w:rPr>
                <w:color w:val="000000"/>
                <w:lang w:eastAsia="en-AU"/>
              </w:rPr>
            </w:pPr>
            <w:r w:rsidRPr="00630A55">
              <w:rPr>
                <w:lang w:eastAsia="en-AU"/>
              </w:rPr>
              <w:t>Cost totals</w:t>
            </w:r>
          </w:p>
        </w:tc>
        <w:tc>
          <w:tcPr>
            <w:tcW w:w="2287" w:type="dxa"/>
            <w:tcBorders>
              <w:left w:val="single" w:sz="4" w:space="0" w:color="auto"/>
              <w:right w:val="single" w:sz="4" w:space="0" w:color="auto"/>
            </w:tcBorders>
            <w:shd w:val="clear" w:color="auto" w:fill="auto"/>
            <w:noWrap/>
            <w:vAlign w:val="center"/>
          </w:tcPr>
          <w:p w14:paraId="392D0111" w14:textId="77777777" w:rsidR="006B6DF6" w:rsidRPr="00630A55" w:rsidRDefault="006B6DF6" w:rsidP="008A7062">
            <w:pPr>
              <w:pStyle w:val="TableTextNumber"/>
              <w:jc w:val="right"/>
            </w:pPr>
            <w:r w:rsidRPr="00630A55">
              <w:t>($169,101,907)</w:t>
            </w:r>
          </w:p>
        </w:tc>
      </w:tr>
      <w:tr w:rsidR="006B6DF6" w:rsidRPr="00630A55" w14:paraId="7D5369D4" w14:textId="77777777" w:rsidTr="003910CC">
        <w:trPr>
          <w:trHeight w:val="258"/>
        </w:trPr>
        <w:tc>
          <w:tcPr>
            <w:tcW w:w="6887" w:type="dxa"/>
            <w:gridSpan w:val="2"/>
            <w:tcBorders>
              <w:left w:val="single" w:sz="4" w:space="0" w:color="auto"/>
              <w:right w:val="single" w:sz="4" w:space="0" w:color="auto"/>
            </w:tcBorders>
            <w:shd w:val="clear" w:color="000000" w:fill="FFFFFF"/>
            <w:vAlign w:val="center"/>
            <w:hideMark/>
          </w:tcPr>
          <w:p w14:paraId="140A9714" w14:textId="26CBF564" w:rsidR="006B6DF6" w:rsidRPr="00630A55" w:rsidRDefault="006B6DF6" w:rsidP="009527C7">
            <w:pPr>
              <w:pStyle w:val="Tabletext"/>
              <w:rPr>
                <w:color w:val="000000"/>
                <w:lang w:eastAsia="en-AU"/>
              </w:rPr>
            </w:pPr>
            <w:r w:rsidRPr="00630A55">
              <w:rPr>
                <w:lang w:eastAsia="en-AU"/>
              </w:rPr>
              <w:t xml:space="preserve">Final </w:t>
            </w:r>
            <w:r w:rsidR="0084008C">
              <w:rPr>
                <w:lang w:eastAsia="en-AU"/>
              </w:rPr>
              <w:t>j</w:t>
            </w:r>
            <w:r w:rsidRPr="00630A55">
              <w:rPr>
                <w:lang w:eastAsia="en-AU"/>
              </w:rPr>
              <w:t xml:space="preserve">urisdictional </w:t>
            </w:r>
            <w:r w:rsidR="0084008C">
              <w:rPr>
                <w:lang w:eastAsia="en-AU"/>
              </w:rPr>
              <w:t>d</w:t>
            </w:r>
            <w:r w:rsidRPr="00630A55">
              <w:rPr>
                <w:lang w:eastAsia="en-AU"/>
              </w:rPr>
              <w:t xml:space="preserve">ata for </w:t>
            </w:r>
            <w:r w:rsidR="0084008C">
              <w:rPr>
                <w:lang w:eastAsia="en-AU"/>
              </w:rPr>
              <w:t>c</w:t>
            </w:r>
            <w:r w:rsidRPr="00630A55">
              <w:rPr>
                <w:lang w:eastAsia="en-AU"/>
              </w:rPr>
              <w:t xml:space="preserve">ost </w:t>
            </w:r>
            <w:r w:rsidR="0084008C">
              <w:rPr>
                <w:lang w:eastAsia="en-AU"/>
              </w:rPr>
              <w:t>w</w:t>
            </w:r>
            <w:r w:rsidRPr="00630A55">
              <w:rPr>
                <w:lang w:eastAsia="en-AU"/>
              </w:rPr>
              <w:t xml:space="preserve">eight </w:t>
            </w:r>
            <w:r w:rsidR="0084008C">
              <w:rPr>
                <w:lang w:eastAsia="en-AU"/>
              </w:rPr>
              <w:t>p</w:t>
            </w:r>
            <w:r w:rsidRPr="00630A55">
              <w:rPr>
                <w:lang w:eastAsia="en-AU"/>
              </w:rPr>
              <w:t>roduction</w:t>
            </w:r>
          </w:p>
        </w:tc>
        <w:tc>
          <w:tcPr>
            <w:tcW w:w="2287" w:type="dxa"/>
            <w:tcBorders>
              <w:left w:val="single" w:sz="4" w:space="0" w:color="auto"/>
              <w:right w:val="single" w:sz="4" w:space="0" w:color="auto"/>
            </w:tcBorders>
            <w:shd w:val="clear" w:color="auto" w:fill="auto"/>
            <w:vAlign w:val="center"/>
          </w:tcPr>
          <w:p w14:paraId="75529CB9" w14:textId="77777777" w:rsidR="006B6DF6" w:rsidRPr="00630A55" w:rsidRDefault="006B6DF6" w:rsidP="008A7062">
            <w:pPr>
              <w:pStyle w:val="TableTextNumber"/>
              <w:jc w:val="right"/>
            </w:pPr>
          </w:p>
        </w:tc>
      </w:tr>
      <w:tr w:rsidR="006B6DF6" w:rsidRPr="00630A55" w14:paraId="34C805A3" w14:textId="77777777" w:rsidTr="003910CC">
        <w:trPr>
          <w:trHeight w:val="258"/>
        </w:trPr>
        <w:tc>
          <w:tcPr>
            <w:tcW w:w="281" w:type="dxa"/>
            <w:tcBorders>
              <w:left w:val="single" w:sz="4" w:space="0" w:color="auto"/>
            </w:tcBorders>
            <w:shd w:val="clear" w:color="000000" w:fill="FFFFFF"/>
            <w:noWrap/>
            <w:vAlign w:val="center"/>
            <w:hideMark/>
          </w:tcPr>
          <w:p w14:paraId="040FD757" w14:textId="77777777" w:rsidR="006B6DF6" w:rsidRPr="00630A55" w:rsidRDefault="006B6DF6" w:rsidP="009527C7">
            <w:pPr>
              <w:pStyle w:val="Tabletext"/>
              <w:rPr>
                <w:color w:val="000000"/>
                <w:lang w:eastAsia="en-AU"/>
              </w:rPr>
            </w:pPr>
            <w:r w:rsidRPr="00630A55">
              <w:rPr>
                <w:lang w:eastAsia="en-AU"/>
              </w:rPr>
              <w:t> </w:t>
            </w:r>
          </w:p>
        </w:tc>
        <w:tc>
          <w:tcPr>
            <w:tcW w:w="6606" w:type="dxa"/>
            <w:tcBorders>
              <w:right w:val="single" w:sz="4" w:space="0" w:color="auto"/>
            </w:tcBorders>
            <w:shd w:val="clear" w:color="000000" w:fill="FFFFFF"/>
            <w:vAlign w:val="center"/>
            <w:hideMark/>
          </w:tcPr>
          <w:p w14:paraId="6EC4D8AE" w14:textId="6674D248" w:rsidR="006B6DF6" w:rsidRPr="00630A55" w:rsidRDefault="006B6DF6" w:rsidP="009527C7">
            <w:pPr>
              <w:pStyle w:val="Tabletext"/>
              <w:rPr>
                <w:color w:val="000000"/>
                <w:lang w:eastAsia="en-AU"/>
              </w:rPr>
            </w:pPr>
            <w:r w:rsidRPr="00630A55">
              <w:rPr>
                <w:lang w:eastAsia="en-AU"/>
              </w:rPr>
              <w:t xml:space="preserve">Finalised </w:t>
            </w:r>
            <w:r w:rsidR="0084008C">
              <w:rPr>
                <w:lang w:eastAsia="en-AU"/>
              </w:rPr>
              <w:t>a</w:t>
            </w:r>
            <w:r w:rsidRPr="00630A55">
              <w:rPr>
                <w:lang w:eastAsia="en-AU"/>
              </w:rPr>
              <w:t>ctivity</w:t>
            </w:r>
          </w:p>
        </w:tc>
        <w:tc>
          <w:tcPr>
            <w:tcW w:w="2287" w:type="dxa"/>
            <w:tcBorders>
              <w:left w:val="single" w:sz="4" w:space="0" w:color="auto"/>
              <w:right w:val="single" w:sz="4" w:space="0" w:color="auto"/>
            </w:tcBorders>
            <w:shd w:val="clear" w:color="auto" w:fill="auto"/>
            <w:noWrap/>
            <w:vAlign w:val="center"/>
          </w:tcPr>
          <w:p w14:paraId="10B96E45" w14:textId="77777777" w:rsidR="006B6DF6" w:rsidRPr="00630A55" w:rsidRDefault="006B6DF6" w:rsidP="008A7062">
            <w:pPr>
              <w:pStyle w:val="TableTextNumber"/>
              <w:jc w:val="right"/>
            </w:pPr>
            <w:r w:rsidRPr="00630A55">
              <w:t>281,621</w:t>
            </w:r>
          </w:p>
        </w:tc>
      </w:tr>
      <w:tr w:rsidR="006B6DF6" w:rsidRPr="00630A55" w14:paraId="5170C224" w14:textId="77777777" w:rsidTr="003910CC">
        <w:trPr>
          <w:trHeight w:val="258"/>
        </w:trPr>
        <w:tc>
          <w:tcPr>
            <w:tcW w:w="281" w:type="dxa"/>
            <w:tcBorders>
              <w:left w:val="single" w:sz="4" w:space="0" w:color="auto"/>
              <w:bottom w:val="single" w:sz="4" w:space="0" w:color="auto"/>
            </w:tcBorders>
            <w:shd w:val="clear" w:color="000000" w:fill="FFFFFF"/>
            <w:noWrap/>
            <w:vAlign w:val="center"/>
            <w:hideMark/>
          </w:tcPr>
          <w:p w14:paraId="788D1D5F" w14:textId="77777777" w:rsidR="006B6DF6" w:rsidRPr="00630A55" w:rsidRDefault="006B6DF6" w:rsidP="009527C7">
            <w:pPr>
              <w:pStyle w:val="Tabletext"/>
              <w:rPr>
                <w:color w:val="000000"/>
                <w:lang w:eastAsia="en-AU"/>
              </w:rPr>
            </w:pPr>
            <w:r w:rsidRPr="00630A55">
              <w:rPr>
                <w:lang w:eastAsia="en-AU"/>
              </w:rPr>
              <w:t> </w:t>
            </w:r>
          </w:p>
        </w:tc>
        <w:tc>
          <w:tcPr>
            <w:tcW w:w="6606" w:type="dxa"/>
            <w:tcBorders>
              <w:bottom w:val="single" w:sz="4" w:space="0" w:color="auto"/>
              <w:right w:val="single" w:sz="4" w:space="0" w:color="auto"/>
            </w:tcBorders>
            <w:shd w:val="clear" w:color="000000" w:fill="FFFFFF"/>
            <w:vAlign w:val="center"/>
            <w:hideMark/>
          </w:tcPr>
          <w:p w14:paraId="58ACB993" w14:textId="54BB15ED" w:rsidR="006B6DF6" w:rsidRPr="00630A55" w:rsidRDefault="006B6DF6" w:rsidP="009527C7">
            <w:pPr>
              <w:pStyle w:val="Tabletext"/>
              <w:rPr>
                <w:color w:val="000000"/>
                <w:lang w:eastAsia="en-AU"/>
              </w:rPr>
            </w:pPr>
            <w:r w:rsidRPr="00630A55">
              <w:rPr>
                <w:lang w:eastAsia="en-AU"/>
              </w:rPr>
              <w:t xml:space="preserve">Finalised </w:t>
            </w:r>
            <w:r w:rsidR="0084008C">
              <w:rPr>
                <w:lang w:eastAsia="en-AU"/>
              </w:rPr>
              <w:t>c</w:t>
            </w:r>
            <w:r w:rsidRPr="00630A55">
              <w:rPr>
                <w:lang w:eastAsia="en-AU"/>
              </w:rPr>
              <w:t>ost</w:t>
            </w:r>
          </w:p>
        </w:tc>
        <w:tc>
          <w:tcPr>
            <w:tcW w:w="2287" w:type="dxa"/>
            <w:tcBorders>
              <w:left w:val="single" w:sz="4" w:space="0" w:color="auto"/>
              <w:bottom w:val="single" w:sz="4" w:space="0" w:color="auto"/>
              <w:right w:val="single" w:sz="4" w:space="0" w:color="auto"/>
            </w:tcBorders>
            <w:shd w:val="clear" w:color="auto" w:fill="auto"/>
            <w:noWrap/>
            <w:vAlign w:val="center"/>
          </w:tcPr>
          <w:p w14:paraId="7558242D" w14:textId="77777777" w:rsidR="006B6DF6" w:rsidRPr="00630A55" w:rsidRDefault="006B6DF6" w:rsidP="008A7062">
            <w:pPr>
              <w:pStyle w:val="TableTextNumber"/>
              <w:jc w:val="right"/>
            </w:pPr>
            <w:r w:rsidRPr="00630A55">
              <w:t>$365,415,672</w:t>
            </w:r>
          </w:p>
        </w:tc>
      </w:tr>
    </w:tbl>
    <w:p w14:paraId="0C3D1EF5" w14:textId="77777777" w:rsidR="00D725FA" w:rsidRPr="00630A55" w:rsidRDefault="00D725FA" w:rsidP="00D725FA">
      <w:pPr>
        <w:pStyle w:val="Source"/>
      </w:pPr>
      <w:r w:rsidRPr="00630A55">
        <w:t xml:space="preserve">Source: Jurisdictional consultations and </w:t>
      </w:r>
      <w:r>
        <w:t>templates</w:t>
      </w:r>
    </w:p>
    <w:p w14:paraId="43DFA8B2" w14:textId="77777777" w:rsidR="00325EFA" w:rsidRDefault="00325EFA">
      <w:pPr>
        <w:spacing w:before="0" w:after="160" w:line="259" w:lineRule="auto"/>
        <w:rPr>
          <w:iCs/>
          <w:sz w:val="20"/>
          <w:szCs w:val="16"/>
        </w:rPr>
      </w:pPr>
      <w:bookmarkStart w:id="72" w:name="_Ref113989035"/>
      <w:r>
        <w:br w:type="page"/>
      </w:r>
    </w:p>
    <w:p w14:paraId="735604CF" w14:textId="7538A767" w:rsidR="006B6DF6" w:rsidRPr="00630A55" w:rsidRDefault="008A7062" w:rsidP="008A7062">
      <w:pPr>
        <w:pStyle w:val="Caption"/>
      </w:pPr>
      <w:bookmarkStart w:id="73" w:name="_Ref114757234"/>
      <w:bookmarkEnd w:id="72"/>
      <w:r w:rsidRPr="00A8310C">
        <w:rPr>
          <w:b/>
          <w:bCs/>
        </w:rPr>
        <w:lastRenderedPageBreak/>
        <w:t xml:space="preserve">Table </w:t>
      </w:r>
      <w:r w:rsidR="00D91CB1" w:rsidRPr="00A8310C">
        <w:rPr>
          <w:b/>
          <w:bCs/>
        </w:rPr>
        <w:fldChar w:fldCharType="begin"/>
      </w:r>
      <w:r w:rsidR="00D91CB1" w:rsidRPr="00A8310C">
        <w:rPr>
          <w:b/>
          <w:bCs/>
        </w:rPr>
        <w:instrText xml:space="preserve"> SEQ Table \* ARABIC </w:instrText>
      </w:r>
      <w:r w:rsidR="00D91CB1" w:rsidRPr="00A8310C">
        <w:rPr>
          <w:b/>
          <w:bCs/>
        </w:rPr>
        <w:fldChar w:fldCharType="separate"/>
      </w:r>
      <w:r w:rsidR="007E2ACB">
        <w:rPr>
          <w:b/>
          <w:bCs/>
          <w:noProof/>
        </w:rPr>
        <w:t>27</w:t>
      </w:r>
      <w:r w:rsidR="00D91CB1" w:rsidRPr="00A8310C">
        <w:rPr>
          <w:b/>
          <w:bCs/>
          <w:noProof/>
        </w:rPr>
        <w:fldChar w:fldCharType="end"/>
      </w:r>
      <w:bookmarkEnd w:id="73"/>
      <w:r w:rsidRPr="00A8310C">
        <w:rPr>
          <w:b/>
          <w:bCs/>
        </w:rPr>
        <w:t>:</w:t>
      </w:r>
      <w:r w:rsidR="006B6DF6">
        <w:t xml:space="preserve"> </w:t>
      </w:r>
      <w:r w:rsidR="006B6DF6" w:rsidRPr="00630A55">
        <w:t xml:space="preserve">Reconciliation from General Ledger to NHCDC </w:t>
      </w:r>
      <w:r w:rsidR="00A46E2E">
        <w:t>c</w:t>
      </w:r>
      <w:r w:rsidR="006B6DF6" w:rsidRPr="00630A55">
        <w:t xml:space="preserve">osted </w:t>
      </w:r>
      <w:r w:rsidR="00A46E2E">
        <w:t>p</w:t>
      </w:r>
      <w:r w:rsidR="006B6DF6" w:rsidRPr="00630A55">
        <w:t xml:space="preserve">roducts – Royal Melbourne Hospital (Melbourne Health Service) </w:t>
      </w:r>
    </w:p>
    <w:tbl>
      <w:tblPr>
        <w:tblW w:w="9174" w:type="dxa"/>
        <w:tblBorders>
          <w:top w:val="single" w:sz="12" w:space="0" w:color="auto"/>
          <w:left w:val="single" w:sz="12" w:space="0" w:color="auto"/>
          <w:bottom w:val="single" w:sz="12" w:space="0" w:color="auto"/>
          <w:right w:val="single" w:sz="12" w:space="0" w:color="auto"/>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81"/>
        <w:gridCol w:w="6606"/>
        <w:gridCol w:w="2287"/>
      </w:tblGrid>
      <w:tr w:rsidR="006B6DF6" w:rsidRPr="00630A55" w14:paraId="56FF1730" w14:textId="77777777" w:rsidTr="00D87587">
        <w:trPr>
          <w:trHeight w:val="258"/>
          <w:tblHeader/>
        </w:trPr>
        <w:tc>
          <w:tcPr>
            <w:tcW w:w="6887" w:type="dxa"/>
            <w:gridSpan w:val="2"/>
            <w:tcBorders>
              <w:top w:val="single" w:sz="4" w:space="0" w:color="auto"/>
              <w:left w:val="single" w:sz="4" w:space="0" w:color="auto"/>
              <w:bottom w:val="single" w:sz="12" w:space="0" w:color="auto"/>
              <w:right w:val="single" w:sz="4" w:space="0" w:color="auto"/>
            </w:tcBorders>
            <w:shd w:val="clear" w:color="000000" w:fill="00338D"/>
            <w:noWrap/>
            <w:vAlign w:val="center"/>
            <w:hideMark/>
          </w:tcPr>
          <w:p w14:paraId="46036698" w14:textId="2B6437E4" w:rsidR="006B6DF6" w:rsidRPr="00630A55" w:rsidRDefault="00920E73" w:rsidP="009527C7">
            <w:pPr>
              <w:pStyle w:val="Tableheading"/>
              <w:rPr>
                <w:lang w:eastAsia="en-AU"/>
              </w:rPr>
            </w:pPr>
            <w:r>
              <w:rPr>
                <w:lang w:eastAsia="en-AU"/>
              </w:rPr>
              <w:t>Health Service</w:t>
            </w:r>
            <w:r w:rsidR="006B6DF6" w:rsidRPr="00630A55">
              <w:rPr>
                <w:lang w:eastAsia="en-AU"/>
              </w:rPr>
              <w:t xml:space="preserve"> level </w:t>
            </w:r>
            <w:r w:rsidR="00A46E2E">
              <w:rPr>
                <w:lang w:eastAsia="en-AU"/>
              </w:rPr>
              <w:t>d</w:t>
            </w:r>
            <w:r w:rsidR="006B6DF6" w:rsidRPr="00630A55">
              <w:rPr>
                <w:lang w:eastAsia="en-AU"/>
              </w:rPr>
              <w:t xml:space="preserve">ata </w:t>
            </w:r>
          </w:p>
        </w:tc>
        <w:tc>
          <w:tcPr>
            <w:tcW w:w="2287" w:type="dxa"/>
            <w:tcBorders>
              <w:top w:val="single" w:sz="4" w:space="0" w:color="auto"/>
              <w:left w:val="single" w:sz="4" w:space="0" w:color="auto"/>
              <w:bottom w:val="single" w:sz="12" w:space="0" w:color="auto"/>
              <w:right w:val="single" w:sz="4" w:space="0" w:color="auto"/>
            </w:tcBorders>
            <w:shd w:val="clear" w:color="000000" w:fill="00338D"/>
            <w:noWrap/>
            <w:vAlign w:val="center"/>
            <w:hideMark/>
          </w:tcPr>
          <w:p w14:paraId="0B83B68E" w14:textId="00B76D5A" w:rsidR="006B6DF6" w:rsidRPr="00630A55" w:rsidRDefault="006B6DF6" w:rsidP="009527C7">
            <w:pPr>
              <w:pStyle w:val="Tableheading"/>
              <w:rPr>
                <w:color w:val="FFFFFF"/>
                <w:lang w:eastAsia="en-AU"/>
              </w:rPr>
            </w:pPr>
            <w:r w:rsidRPr="00630A55">
              <w:rPr>
                <w:lang w:eastAsia="en-AU"/>
              </w:rPr>
              <w:t> </w:t>
            </w:r>
            <w:r w:rsidR="003758E1">
              <w:rPr>
                <w:lang w:eastAsia="en-AU"/>
              </w:rPr>
              <w:t>Value</w:t>
            </w:r>
          </w:p>
        </w:tc>
      </w:tr>
      <w:tr w:rsidR="006B6DF6" w:rsidRPr="00630A55" w14:paraId="6A7963D7" w14:textId="77777777" w:rsidTr="00D87587">
        <w:trPr>
          <w:trHeight w:val="248"/>
        </w:trPr>
        <w:tc>
          <w:tcPr>
            <w:tcW w:w="6887" w:type="dxa"/>
            <w:gridSpan w:val="2"/>
            <w:tcBorders>
              <w:top w:val="single" w:sz="12" w:space="0" w:color="auto"/>
              <w:left w:val="single" w:sz="4" w:space="0" w:color="auto"/>
              <w:right w:val="single" w:sz="4" w:space="0" w:color="auto"/>
            </w:tcBorders>
            <w:shd w:val="clear" w:color="auto" w:fill="808080"/>
            <w:noWrap/>
            <w:vAlign w:val="center"/>
            <w:hideMark/>
          </w:tcPr>
          <w:p w14:paraId="13296FB8" w14:textId="4029F4CC" w:rsidR="006B6DF6" w:rsidRPr="00467F5A" w:rsidRDefault="00920E73" w:rsidP="009527C7">
            <w:pPr>
              <w:pStyle w:val="Tableheading"/>
              <w:rPr>
                <w:rFonts w:ascii="Arial" w:hAnsi="Arial" w:cs="Arial"/>
                <w:b w:val="0"/>
                <w:bCs/>
                <w:color w:val="000000" w:themeColor="text1"/>
                <w:lang w:eastAsia="en-AU"/>
              </w:rPr>
            </w:pPr>
            <w:r>
              <w:rPr>
                <w:rFonts w:ascii="Arial" w:hAnsi="Arial" w:cs="Arial"/>
                <w:b w:val="0"/>
                <w:bCs/>
                <w:color w:val="000000" w:themeColor="text1"/>
                <w:lang w:eastAsia="en-AU"/>
              </w:rPr>
              <w:t>Health Service</w:t>
            </w:r>
            <w:r w:rsidR="006B6DF6" w:rsidRPr="00467F5A">
              <w:rPr>
                <w:rFonts w:ascii="Arial" w:hAnsi="Arial" w:cs="Arial"/>
                <w:b w:val="0"/>
                <w:bCs/>
                <w:color w:val="000000" w:themeColor="text1"/>
                <w:lang w:eastAsia="en-AU"/>
              </w:rPr>
              <w:t xml:space="preserve"> General Ledger </w:t>
            </w:r>
          </w:p>
        </w:tc>
        <w:tc>
          <w:tcPr>
            <w:tcW w:w="2287" w:type="dxa"/>
            <w:tcBorders>
              <w:top w:val="single" w:sz="12" w:space="0" w:color="auto"/>
              <w:left w:val="single" w:sz="4" w:space="0" w:color="auto"/>
              <w:right w:val="single" w:sz="4" w:space="0" w:color="auto"/>
            </w:tcBorders>
            <w:shd w:val="clear" w:color="auto" w:fill="808080"/>
            <w:noWrap/>
            <w:vAlign w:val="center"/>
            <w:hideMark/>
          </w:tcPr>
          <w:p w14:paraId="37AFB32C" w14:textId="335158CC" w:rsidR="006B6DF6" w:rsidRPr="00467F5A" w:rsidRDefault="006B6DF6" w:rsidP="008A7062">
            <w:pPr>
              <w:pStyle w:val="Tableheading"/>
              <w:jc w:val="right"/>
              <w:rPr>
                <w:rFonts w:ascii="Arial" w:hAnsi="Arial" w:cs="Arial"/>
                <w:b w:val="0"/>
                <w:bCs/>
                <w:color w:val="000000" w:themeColor="text1"/>
                <w:lang w:eastAsia="en-AU"/>
              </w:rPr>
            </w:pPr>
          </w:p>
        </w:tc>
      </w:tr>
      <w:tr w:rsidR="006B6DF6" w:rsidRPr="00630A55" w14:paraId="2F62B6F3" w14:textId="77777777" w:rsidTr="00D87587">
        <w:trPr>
          <w:trHeight w:val="258"/>
        </w:trPr>
        <w:tc>
          <w:tcPr>
            <w:tcW w:w="6887" w:type="dxa"/>
            <w:gridSpan w:val="2"/>
            <w:tcBorders>
              <w:left w:val="single" w:sz="4" w:space="0" w:color="auto"/>
              <w:right w:val="single" w:sz="4" w:space="0" w:color="auto"/>
            </w:tcBorders>
            <w:shd w:val="clear" w:color="000000" w:fill="FFFFFF"/>
            <w:noWrap/>
            <w:vAlign w:val="center"/>
            <w:hideMark/>
          </w:tcPr>
          <w:p w14:paraId="4DF82C89" w14:textId="59EBB21C" w:rsidR="006B6DF6" w:rsidRPr="00630A55" w:rsidRDefault="006B6DF6" w:rsidP="009527C7">
            <w:pPr>
              <w:pStyle w:val="Tabletext"/>
              <w:rPr>
                <w:color w:val="000000"/>
                <w:lang w:eastAsia="en-AU"/>
              </w:rPr>
            </w:pPr>
            <w:r w:rsidRPr="00630A55">
              <w:rPr>
                <w:lang w:eastAsia="en-AU"/>
              </w:rPr>
              <w:t xml:space="preserve">GL transferred to </w:t>
            </w:r>
            <w:r w:rsidR="00A46E2E">
              <w:rPr>
                <w:lang w:eastAsia="en-AU"/>
              </w:rPr>
              <w:t>c</w:t>
            </w:r>
            <w:r w:rsidRPr="00630A55">
              <w:rPr>
                <w:lang w:eastAsia="en-AU"/>
              </w:rPr>
              <w:t xml:space="preserve">osting </w:t>
            </w:r>
            <w:r w:rsidR="00A46E2E">
              <w:rPr>
                <w:lang w:eastAsia="en-AU"/>
              </w:rPr>
              <w:t>s</w:t>
            </w:r>
            <w:r w:rsidRPr="00630A55">
              <w:rPr>
                <w:lang w:eastAsia="en-AU"/>
              </w:rPr>
              <w:t xml:space="preserve">ystem </w:t>
            </w:r>
          </w:p>
        </w:tc>
        <w:tc>
          <w:tcPr>
            <w:tcW w:w="2287" w:type="dxa"/>
            <w:vMerge w:val="restart"/>
            <w:tcBorders>
              <w:left w:val="single" w:sz="4" w:space="0" w:color="auto"/>
              <w:right w:val="single" w:sz="4" w:space="0" w:color="auto"/>
            </w:tcBorders>
            <w:shd w:val="clear" w:color="auto" w:fill="auto"/>
            <w:noWrap/>
            <w:vAlign w:val="center"/>
          </w:tcPr>
          <w:p w14:paraId="44D16028" w14:textId="7ABCB1BE" w:rsidR="006B6DF6" w:rsidRPr="00630A55" w:rsidRDefault="00D24761" w:rsidP="003B139A">
            <w:pPr>
              <w:pStyle w:val="Tabletext"/>
              <w:jc w:val="right"/>
            </w:pPr>
            <w:r>
              <w:t>N/A</w:t>
            </w:r>
          </w:p>
        </w:tc>
      </w:tr>
      <w:tr w:rsidR="006B6DF6" w:rsidRPr="00630A55" w14:paraId="0EC819C2" w14:textId="77777777" w:rsidTr="00D87587">
        <w:trPr>
          <w:trHeight w:val="258"/>
        </w:trPr>
        <w:tc>
          <w:tcPr>
            <w:tcW w:w="6887" w:type="dxa"/>
            <w:gridSpan w:val="2"/>
            <w:tcBorders>
              <w:left w:val="single" w:sz="4" w:space="0" w:color="auto"/>
              <w:right w:val="single" w:sz="4" w:space="0" w:color="auto"/>
            </w:tcBorders>
            <w:shd w:val="clear" w:color="000000" w:fill="FFFFFF"/>
            <w:noWrap/>
            <w:vAlign w:val="center"/>
            <w:hideMark/>
          </w:tcPr>
          <w:p w14:paraId="791148A3" w14:textId="2553AF81" w:rsidR="006B6DF6" w:rsidRPr="00630A55" w:rsidRDefault="006B6DF6" w:rsidP="009527C7">
            <w:pPr>
              <w:pStyle w:val="Tabletext"/>
              <w:rPr>
                <w:color w:val="000000"/>
                <w:lang w:eastAsia="en-AU"/>
              </w:rPr>
            </w:pPr>
            <w:r w:rsidRPr="00630A55">
              <w:rPr>
                <w:lang w:eastAsia="en-AU"/>
              </w:rPr>
              <w:t xml:space="preserve">Post </w:t>
            </w:r>
            <w:r w:rsidR="00A46E2E">
              <w:rPr>
                <w:lang w:eastAsia="en-AU"/>
              </w:rPr>
              <w:t>a</w:t>
            </w:r>
            <w:r w:rsidRPr="00630A55">
              <w:rPr>
                <w:lang w:eastAsia="en-AU"/>
              </w:rPr>
              <w:t xml:space="preserve">llocation </w:t>
            </w:r>
            <w:r w:rsidR="00A46E2E">
              <w:rPr>
                <w:lang w:eastAsia="en-AU"/>
              </w:rPr>
              <w:t>a</w:t>
            </w:r>
            <w:r w:rsidRPr="00630A55">
              <w:rPr>
                <w:lang w:eastAsia="en-AU"/>
              </w:rPr>
              <w:t xml:space="preserve">mounts </w:t>
            </w:r>
          </w:p>
        </w:tc>
        <w:tc>
          <w:tcPr>
            <w:tcW w:w="2287" w:type="dxa"/>
            <w:vMerge/>
            <w:tcBorders>
              <w:left w:val="single" w:sz="4" w:space="0" w:color="auto"/>
              <w:right w:val="single" w:sz="4" w:space="0" w:color="auto"/>
            </w:tcBorders>
            <w:shd w:val="clear" w:color="auto" w:fill="auto"/>
            <w:noWrap/>
          </w:tcPr>
          <w:p w14:paraId="271C968B" w14:textId="77777777" w:rsidR="006B6DF6" w:rsidRPr="00630A55" w:rsidRDefault="006B6DF6" w:rsidP="008A7062">
            <w:pPr>
              <w:jc w:val="right"/>
              <w:rPr>
                <w:lang w:eastAsia="en-AU"/>
              </w:rPr>
            </w:pPr>
          </w:p>
        </w:tc>
      </w:tr>
      <w:tr w:rsidR="006B6DF6" w:rsidRPr="00630A55" w14:paraId="63AD96FE" w14:textId="77777777" w:rsidTr="00D87587">
        <w:trPr>
          <w:trHeight w:val="258"/>
        </w:trPr>
        <w:tc>
          <w:tcPr>
            <w:tcW w:w="6887" w:type="dxa"/>
            <w:gridSpan w:val="2"/>
            <w:tcBorders>
              <w:left w:val="single" w:sz="4" w:space="0" w:color="auto"/>
              <w:right w:val="single" w:sz="4" w:space="0" w:color="auto"/>
            </w:tcBorders>
            <w:shd w:val="clear" w:color="000000" w:fill="FFFFFF"/>
            <w:noWrap/>
            <w:vAlign w:val="center"/>
            <w:hideMark/>
          </w:tcPr>
          <w:p w14:paraId="2D90D0FD" w14:textId="77777777" w:rsidR="006B6DF6" w:rsidRPr="00630A55" w:rsidRDefault="006B6DF6" w:rsidP="009527C7">
            <w:pPr>
              <w:pStyle w:val="Tabletext"/>
              <w:rPr>
                <w:lang w:eastAsia="en-AU"/>
              </w:rPr>
            </w:pPr>
            <w:r w:rsidRPr="00630A55">
              <w:rPr>
                <w:lang w:eastAsia="en-AU"/>
              </w:rPr>
              <w:t>Adjustments</w:t>
            </w:r>
          </w:p>
        </w:tc>
        <w:tc>
          <w:tcPr>
            <w:tcW w:w="2287" w:type="dxa"/>
            <w:vMerge/>
            <w:tcBorders>
              <w:left w:val="single" w:sz="4" w:space="0" w:color="auto"/>
              <w:right w:val="single" w:sz="4" w:space="0" w:color="auto"/>
            </w:tcBorders>
            <w:shd w:val="clear" w:color="auto" w:fill="auto"/>
            <w:noWrap/>
          </w:tcPr>
          <w:p w14:paraId="27AE4584" w14:textId="77777777" w:rsidR="006B6DF6" w:rsidRPr="00630A55" w:rsidRDefault="006B6DF6" w:rsidP="008A7062">
            <w:pPr>
              <w:jc w:val="right"/>
              <w:rPr>
                <w:lang w:eastAsia="en-AU"/>
              </w:rPr>
            </w:pPr>
          </w:p>
        </w:tc>
      </w:tr>
      <w:tr w:rsidR="006B6DF6" w:rsidRPr="00630A55" w14:paraId="15F91657" w14:textId="77777777" w:rsidTr="00D87587">
        <w:trPr>
          <w:trHeight w:val="258"/>
        </w:trPr>
        <w:tc>
          <w:tcPr>
            <w:tcW w:w="6887" w:type="dxa"/>
            <w:gridSpan w:val="2"/>
            <w:tcBorders>
              <w:left w:val="single" w:sz="4" w:space="0" w:color="auto"/>
              <w:right w:val="single" w:sz="4" w:space="0" w:color="auto"/>
            </w:tcBorders>
            <w:shd w:val="clear" w:color="000000" w:fill="FFFFFF"/>
            <w:noWrap/>
            <w:vAlign w:val="center"/>
            <w:hideMark/>
          </w:tcPr>
          <w:p w14:paraId="15867767" w14:textId="77777777" w:rsidR="006B6DF6" w:rsidRPr="00630A55" w:rsidRDefault="006B6DF6" w:rsidP="009527C7">
            <w:pPr>
              <w:pStyle w:val="Tabletext"/>
              <w:rPr>
                <w:color w:val="000000"/>
                <w:lang w:eastAsia="en-AU"/>
              </w:rPr>
            </w:pPr>
            <w:r w:rsidRPr="00630A55">
              <w:rPr>
                <w:lang w:eastAsia="en-AU"/>
              </w:rPr>
              <w:t xml:space="preserve">Line items as per standards </w:t>
            </w:r>
          </w:p>
        </w:tc>
        <w:tc>
          <w:tcPr>
            <w:tcW w:w="2287" w:type="dxa"/>
            <w:vMerge/>
            <w:tcBorders>
              <w:left w:val="single" w:sz="4" w:space="0" w:color="auto"/>
              <w:right w:val="single" w:sz="4" w:space="0" w:color="auto"/>
            </w:tcBorders>
            <w:shd w:val="clear" w:color="auto" w:fill="auto"/>
            <w:noWrap/>
          </w:tcPr>
          <w:p w14:paraId="629F57D3" w14:textId="77777777" w:rsidR="006B6DF6" w:rsidRPr="00630A55" w:rsidRDefault="006B6DF6" w:rsidP="008A7062">
            <w:pPr>
              <w:jc w:val="right"/>
              <w:rPr>
                <w:lang w:eastAsia="en-AU"/>
              </w:rPr>
            </w:pPr>
          </w:p>
        </w:tc>
      </w:tr>
      <w:tr w:rsidR="006B6DF6" w:rsidRPr="00630A55" w14:paraId="5172F4C4" w14:textId="77777777" w:rsidTr="00D87587">
        <w:trPr>
          <w:trHeight w:val="258"/>
        </w:trPr>
        <w:tc>
          <w:tcPr>
            <w:tcW w:w="6887" w:type="dxa"/>
            <w:gridSpan w:val="2"/>
            <w:tcBorders>
              <w:left w:val="single" w:sz="4" w:space="0" w:color="auto"/>
              <w:bottom w:val="single" w:sz="12" w:space="0" w:color="auto"/>
              <w:right w:val="single" w:sz="4" w:space="0" w:color="auto"/>
            </w:tcBorders>
            <w:shd w:val="clear" w:color="000000" w:fill="FFFFFF"/>
            <w:noWrap/>
            <w:vAlign w:val="center"/>
            <w:hideMark/>
          </w:tcPr>
          <w:p w14:paraId="0FDAD589" w14:textId="0CA30E34" w:rsidR="006B6DF6" w:rsidRPr="00630A55" w:rsidRDefault="006B6DF6" w:rsidP="009527C7">
            <w:pPr>
              <w:pStyle w:val="Tabletext"/>
              <w:rPr>
                <w:color w:val="000000"/>
                <w:lang w:eastAsia="en-AU"/>
              </w:rPr>
            </w:pPr>
            <w:r w:rsidRPr="00630A55">
              <w:rPr>
                <w:lang w:eastAsia="en-AU"/>
              </w:rPr>
              <w:t xml:space="preserve">Costs </w:t>
            </w:r>
            <w:r w:rsidR="00A46E2E">
              <w:rPr>
                <w:lang w:eastAsia="en-AU"/>
              </w:rPr>
              <w:t>s</w:t>
            </w:r>
            <w:r w:rsidRPr="00630A55">
              <w:rPr>
                <w:lang w:eastAsia="en-AU"/>
              </w:rPr>
              <w:t xml:space="preserve">ubmitted to </w:t>
            </w:r>
            <w:r w:rsidR="00A46E2E">
              <w:rPr>
                <w:lang w:eastAsia="en-AU"/>
              </w:rPr>
              <w:t>j</w:t>
            </w:r>
            <w:r w:rsidRPr="00630A55">
              <w:rPr>
                <w:lang w:eastAsia="en-AU"/>
              </w:rPr>
              <w:t xml:space="preserve">urisdiction </w:t>
            </w:r>
          </w:p>
        </w:tc>
        <w:tc>
          <w:tcPr>
            <w:tcW w:w="2287" w:type="dxa"/>
            <w:vMerge/>
            <w:tcBorders>
              <w:left w:val="single" w:sz="4" w:space="0" w:color="auto"/>
              <w:bottom w:val="single" w:sz="12" w:space="0" w:color="auto"/>
              <w:right w:val="single" w:sz="4" w:space="0" w:color="auto"/>
            </w:tcBorders>
            <w:shd w:val="clear" w:color="auto" w:fill="auto"/>
            <w:noWrap/>
          </w:tcPr>
          <w:p w14:paraId="593E98A6" w14:textId="77777777" w:rsidR="006B6DF6" w:rsidRPr="00630A55" w:rsidRDefault="006B6DF6" w:rsidP="008A7062">
            <w:pPr>
              <w:jc w:val="right"/>
              <w:rPr>
                <w:lang w:eastAsia="en-AU"/>
              </w:rPr>
            </w:pPr>
          </w:p>
        </w:tc>
      </w:tr>
      <w:tr w:rsidR="006B6DF6" w:rsidRPr="00630A55" w14:paraId="7E86D56B" w14:textId="77777777" w:rsidTr="00D87587">
        <w:trPr>
          <w:trHeight w:val="258"/>
        </w:trPr>
        <w:tc>
          <w:tcPr>
            <w:tcW w:w="6887" w:type="dxa"/>
            <w:gridSpan w:val="2"/>
            <w:tcBorders>
              <w:top w:val="single" w:sz="12" w:space="0" w:color="auto"/>
              <w:left w:val="single" w:sz="4" w:space="0" w:color="auto"/>
              <w:bottom w:val="single" w:sz="12" w:space="0" w:color="auto"/>
              <w:right w:val="single" w:sz="4" w:space="0" w:color="auto"/>
            </w:tcBorders>
            <w:shd w:val="clear" w:color="000000" w:fill="00338D"/>
            <w:noWrap/>
            <w:vAlign w:val="center"/>
            <w:hideMark/>
          </w:tcPr>
          <w:p w14:paraId="4224E296" w14:textId="3A749924" w:rsidR="006B6DF6" w:rsidRPr="00630A55" w:rsidRDefault="006B6DF6" w:rsidP="009527C7">
            <w:pPr>
              <w:pStyle w:val="Tableheading"/>
              <w:rPr>
                <w:color w:val="FFFFFF"/>
                <w:lang w:eastAsia="en-AU"/>
              </w:rPr>
            </w:pPr>
            <w:r w:rsidRPr="00630A55">
              <w:rPr>
                <w:lang w:eastAsia="en-AU"/>
              </w:rPr>
              <w:t xml:space="preserve">Hospital level </w:t>
            </w:r>
            <w:r w:rsidR="00A46E2E">
              <w:rPr>
                <w:lang w:eastAsia="en-AU"/>
              </w:rPr>
              <w:t>d</w:t>
            </w:r>
            <w:r w:rsidRPr="00630A55">
              <w:rPr>
                <w:lang w:eastAsia="en-AU"/>
              </w:rPr>
              <w:t>ata (RMH)</w:t>
            </w:r>
          </w:p>
        </w:tc>
        <w:tc>
          <w:tcPr>
            <w:tcW w:w="2287" w:type="dxa"/>
            <w:tcBorders>
              <w:top w:val="single" w:sz="12" w:space="0" w:color="auto"/>
              <w:left w:val="single" w:sz="4" w:space="0" w:color="auto"/>
              <w:bottom w:val="single" w:sz="12" w:space="0" w:color="auto"/>
              <w:right w:val="single" w:sz="4" w:space="0" w:color="auto"/>
            </w:tcBorders>
            <w:shd w:val="clear" w:color="000000" w:fill="00338D"/>
            <w:noWrap/>
            <w:vAlign w:val="center"/>
            <w:hideMark/>
          </w:tcPr>
          <w:p w14:paraId="1C15771A" w14:textId="77777777" w:rsidR="006B6DF6" w:rsidRPr="00630A55" w:rsidRDefault="006B6DF6" w:rsidP="003758E1">
            <w:pPr>
              <w:pStyle w:val="Tableheading"/>
              <w:rPr>
                <w:color w:val="FFFFFF"/>
                <w:lang w:eastAsia="en-AU"/>
              </w:rPr>
            </w:pPr>
            <w:r w:rsidRPr="00630A55">
              <w:rPr>
                <w:lang w:eastAsia="en-AU"/>
              </w:rPr>
              <w:t> Value</w:t>
            </w:r>
          </w:p>
        </w:tc>
      </w:tr>
      <w:tr w:rsidR="006B6DF6" w:rsidRPr="00630A55" w14:paraId="21DFC302" w14:textId="77777777" w:rsidTr="00D87587">
        <w:trPr>
          <w:trHeight w:val="258"/>
        </w:trPr>
        <w:tc>
          <w:tcPr>
            <w:tcW w:w="6887" w:type="dxa"/>
            <w:gridSpan w:val="2"/>
            <w:tcBorders>
              <w:left w:val="single" w:sz="4" w:space="0" w:color="auto"/>
              <w:right w:val="single" w:sz="4" w:space="0" w:color="auto"/>
            </w:tcBorders>
            <w:shd w:val="clear" w:color="000000" w:fill="FFFFFF"/>
            <w:noWrap/>
            <w:vAlign w:val="center"/>
            <w:hideMark/>
          </w:tcPr>
          <w:p w14:paraId="15B653D3" w14:textId="1A2D6CAB" w:rsidR="006B6DF6" w:rsidRPr="00630A55" w:rsidRDefault="006B6DF6" w:rsidP="009527C7">
            <w:pPr>
              <w:pStyle w:val="Tabletext"/>
              <w:rPr>
                <w:color w:val="000000"/>
                <w:lang w:eastAsia="en-AU"/>
              </w:rPr>
            </w:pPr>
            <w:r w:rsidRPr="00630A55">
              <w:rPr>
                <w:lang w:eastAsia="en-AU"/>
              </w:rPr>
              <w:t xml:space="preserve">GL transferred to </w:t>
            </w:r>
            <w:r w:rsidR="00A46E2E">
              <w:rPr>
                <w:lang w:eastAsia="en-AU"/>
              </w:rPr>
              <w:t>c</w:t>
            </w:r>
            <w:r w:rsidRPr="00630A55">
              <w:rPr>
                <w:lang w:eastAsia="en-AU"/>
              </w:rPr>
              <w:t xml:space="preserve">osting </w:t>
            </w:r>
            <w:r w:rsidR="00A46E2E">
              <w:rPr>
                <w:lang w:eastAsia="en-AU"/>
              </w:rPr>
              <w:t>s</w:t>
            </w:r>
            <w:r w:rsidRPr="00630A55">
              <w:rPr>
                <w:lang w:eastAsia="en-AU"/>
              </w:rPr>
              <w:t xml:space="preserve">ystem </w:t>
            </w:r>
          </w:p>
        </w:tc>
        <w:tc>
          <w:tcPr>
            <w:tcW w:w="2287" w:type="dxa"/>
            <w:tcBorders>
              <w:left w:val="single" w:sz="4" w:space="0" w:color="auto"/>
              <w:right w:val="single" w:sz="4" w:space="0" w:color="auto"/>
            </w:tcBorders>
            <w:shd w:val="clear" w:color="auto" w:fill="auto"/>
            <w:noWrap/>
            <w:vAlign w:val="center"/>
          </w:tcPr>
          <w:p w14:paraId="0EBA7323" w14:textId="77777777" w:rsidR="006B6DF6" w:rsidRPr="00630A55" w:rsidRDefault="006B6DF6" w:rsidP="008A7062">
            <w:pPr>
              <w:pStyle w:val="TableTextNumber"/>
              <w:jc w:val="right"/>
            </w:pPr>
            <w:r w:rsidRPr="00630A55">
              <w:t>$1,353,684,227</w:t>
            </w:r>
          </w:p>
        </w:tc>
      </w:tr>
      <w:tr w:rsidR="006B6DF6" w:rsidRPr="00630A55" w14:paraId="67AA2C1E" w14:textId="77777777" w:rsidTr="00D87587">
        <w:trPr>
          <w:trHeight w:val="258"/>
        </w:trPr>
        <w:tc>
          <w:tcPr>
            <w:tcW w:w="6887" w:type="dxa"/>
            <w:gridSpan w:val="2"/>
            <w:tcBorders>
              <w:left w:val="single" w:sz="4" w:space="0" w:color="auto"/>
              <w:right w:val="single" w:sz="4" w:space="0" w:color="auto"/>
            </w:tcBorders>
            <w:shd w:val="clear" w:color="000000" w:fill="FFFFFF"/>
            <w:noWrap/>
            <w:vAlign w:val="center"/>
            <w:hideMark/>
          </w:tcPr>
          <w:p w14:paraId="2048ED88" w14:textId="0C6D519C" w:rsidR="006B6DF6" w:rsidRPr="00630A55" w:rsidRDefault="006B6DF6" w:rsidP="009527C7">
            <w:pPr>
              <w:pStyle w:val="Tabletext"/>
              <w:rPr>
                <w:color w:val="000000"/>
                <w:lang w:eastAsia="en-AU"/>
              </w:rPr>
            </w:pPr>
            <w:r w:rsidRPr="00630A55">
              <w:rPr>
                <w:lang w:eastAsia="en-AU"/>
              </w:rPr>
              <w:t xml:space="preserve">Post </w:t>
            </w:r>
            <w:r w:rsidR="00A46E2E">
              <w:rPr>
                <w:lang w:eastAsia="en-AU"/>
              </w:rPr>
              <w:t>a</w:t>
            </w:r>
            <w:r w:rsidRPr="00630A55">
              <w:rPr>
                <w:lang w:eastAsia="en-AU"/>
              </w:rPr>
              <w:t xml:space="preserve">llocation </w:t>
            </w:r>
            <w:r w:rsidR="00A46E2E">
              <w:rPr>
                <w:lang w:eastAsia="en-AU"/>
              </w:rPr>
              <w:t>a</w:t>
            </w:r>
            <w:r w:rsidRPr="00630A55">
              <w:rPr>
                <w:lang w:eastAsia="en-AU"/>
              </w:rPr>
              <w:t>mounts</w:t>
            </w:r>
          </w:p>
        </w:tc>
        <w:tc>
          <w:tcPr>
            <w:tcW w:w="2287" w:type="dxa"/>
            <w:tcBorders>
              <w:left w:val="single" w:sz="4" w:space="0" w:color="auto"/>
              <w:right w:val="single" w:sz="4" w:space="0" w:color="auto"/>
            </w:tcBorders>
            <w:shd w:val="clear" w:color="auto" w:fill="auto"/>
            <w:noWrap/>
            <w:vAlign w:val="center"/>
          </w:tcPr>
          <w:p w14:paraId="28CD5106" w14:textId="77777777" w:rsidR="006B6DF6" w:rsidRPr="00630A55" w:rsidRDefault="006B6DF6" w:rsidP="008A7062">
            <w:pPr>
              <w:pStyle w:val="TableTextNumber"/>
              <w:jc w:val="right"/>
            </w:pPr>
            <w:r w:rsidRPr="00630A55">
              <w:t>$1,353,684,227</w:t>
            </w:r>
          </w:p>
        </w:tc>
      </w:tr>
      <w:tr w:rsidR="006B6DF6" w:rsidRPr="00630A55" w14:paraId="7F374243" w14:textId="77777777" w:rsidTr="00D87587">
        <w:trPr>
          <w:trHeight w:val="258"/>
        </w:trPr>
        <w:tc>
          <w:tcPr>
            <w:tcW w:w="6887" w:type="dxa"/>
            <w:gridSpan w:val="2"/>
            <w:tcBorders>
              <w:left w:val="single" w:sz="4" w:space="0" w:color="auto"/>
              <w:right w:val="single" w:sz="4" w:space="0" w:color="auto"/>
            </w:tcBorders>
            <w:shd w:val="clear" w:color="000000" w:fill="FFFFFF"/>
            <w:noWrap/>
            <w:vAlign w:val="center"/>
            <w:hideMark/>
          </w:tcPr>
          <w:p w14:paraId="066B6C0B" w14:textId="77777777" w:rsidR="006B6DF6" w:rsidRPr="00630A55" w:rsidRDefault="006B6DF6" w:rsidP="009527C7">
            <w:pPr>
              <w:pStyle w:val="Tabletext"/>
              <w:rPr>
                <w:lang w:eastAsia="en-AU"/>
              </w:rPr>
            </w:pPr>
            <w:r w:rsidRPr="00630A55">
              <w:rPr>
                <w:lang w:eastAsia="en-AU"/>
              </w:rPr>
              <w:t>Adjustments</w:t>
            </w:r>
          </w:p>
        </w:tc>
        <w:tc>
          <w:tcPr>
            <w:tcW w:w="2287" w:type="dxa"/>
            <w:tcBorders>
              <w:left w:val="single" w:sz="4" w:space="0" w:color="auto"/>
              <w:right w:val="single" w:sz="4" w:space="0" w:color="auto"/>
            </w:tcBorders>
            <w:shd w:val="clear" w:color="auto" w:fill="auto"/>
            <w:noWrap/>
          </w:tcPr>
          <w:p w14:paraId="621CA01C" w14:textId="77777777" w:rsidR="006B6DF6" w:rsidRPr="00630A55" w:rsidRDefault="006B6DF6" w:rsidP="008A7062">
            <w:pPr>
              <w:pStyle w:val="TableTextNumber"/>
              <w:jc w:val="right"/>
              <w:rPr>
                <w:color w:val="000000"/>
              </w:rPr>
            </w:pPr>
            <w:r w:rsidRPr="00630A55">
              <w:t>($20,551,762)</w:t>
            </w:r>
          </w:p>
        </w:tc>
      </w:tr>
      <w:tr w:rsidR="006B6DF6" w:rsidRPr="00630A55" w14:paraId="2AA85BC1" w14:textId="77777777" w:rsidTr="00D87587">
        <w:trPr>
          <w:trHeight w:val="258"/>
        </w:trPr>
        <w:tc>
          <w:tcPr>
            <w:tcW w:w="6887" w:type="dxa"/>
            <w:gridSpan w:val="2"/>
            <w:tcBorders>
              <w:left w:val="single" w:sz="4" w:space="0" w:color="auto"/>
              <w:right w:val="single" w:sz="4" w:space="0" w:color="auto"/>
            </w:tcBorders>
            <w:shd w:val="clear" w:color="000000" w:fill="FFFFFF"/>
            <w:noWrap/>
            <w:vAlign w:val="center"/>
            <w:hideMark/>
          </w:tcPr>
          <w:p w14:paraId="05F5FA5B" w14:textId="77777777" w:rsidR="006B6DF6" w:rsidRPr="00630A55" w:rsidRDefault="006B6DF6" w:rsidP="009527C7">
            <w:pPr>
              <w:pStyle w:val="Tabletext"/>
              <w:rPr>
                <w:color w:val="000000"/>
                <w:lang w:eastAsia="en-AU"/>
              </w:rPr>
            </w:pPr>
            <w:r w:rsidRPr="00630A55">
              <w:rPr>
                <w:lang w:eastAsia="en-AU"/>
              </w:rPr>
              <w:t xml:space="preserve">Line items as per standards </w:t>
            </w:r>
          </w:p>
        </w:tc>
        <w:tc>
          <w:tcPr>
            <w:tcW w:w="2287" w:type="dxa"/>
            <w:tcBorders>
              <w:left w:val="single" w:sz="4" w:space="0" w:color="auto"/>
              <w:right w:val="single" w:sz="4" w:space="0" w:color="auto"/>
            </w:tcBorders>
            <w:shd w:val="clear" w:color="auto" w:fill="auto"/>
            <w:noWrap/>
          </w:tcPr>
          <w:p w14:paraId="48922BD5" w14:textId="77777777" w:rsidR="006B6DF6" w:rsidRPr="00630A55" w:rsidRDefault="006B6DF6" w:rsidP="008A7062">
            <w:pPr>
              <w:pStyle w:val="TableTextNumber"/>
              <w:jc w:val="right"/>
            </w:pPr>
            <w:r w:rsidRPr="00630A55">
              <w:t>$1,333,132,466</w:t>
            </w:r>
          </w:p>
        </w:tc>
      </w:tr>
      <w:tr w:rsidR="006B6DF6" w:rsidRPr="00630A55" w14:paraId="7F3B89C7" w14:textId="77777777" w:rsidTr="00D87587">
        <w:trPr>
          <w:trHeight w:val="258"/>
        </w:trPr>
        <w:tc>
          <w:tcPr>
            <w:tcW w:w="6887" w:type="dxa"/>
            <w:gridSpan w:val="2"/>
            <w:tcBorders>
              <w:left w:val="single" w:sz="4" w:space="0" w:color="auto"/>
              <w:bottom w:val="single" w:sz="12" w:space="0" w:color="auto"/>
              <w:right w:val="single" w:sz="4" w:space="0" w:color="auto"/>
            </w:tcBorders>
            <w:shd w:val="clear" w:color="000000" w:fill="FFFFFF"/>
            <w:noWrap/>
            <w:vAlign w:val="center"/>
            <w:hideMark/>
          </w:tcPr>
          <w:p w14:paraId="17D4B8A2" w14:textId="34E888E2" w:rsidR="006B6DF6" w:rsidRPr="00630A55" w:rsidRDefault="006B6DF6" w:rsidP="009527C7">
            <w:pPr>
              <w:pStyle w:val="Tabletext"/>
              <w:rPr>
                <w:color w:val="000000"/>
                <w:lang w:eastAsia="en-AU"/>
              </w:rPr>
            </w:pPr>
            <w:r w:rsidRPr="00630A55">
              <w:rPr>
                <w:lang w:eastAsia="en-AU"/>
              </w:rPr>
              <w:t xml:space="preserve">Costs </w:t>
            </w:r>
            <w:r w:rsidR="00A46E2E">
              <w:rPr>
                <w:lang w:eastAsia="en-AU"/>
              </w:rPr>
              <w:t>s</w:t>
            </w:r>
            <w:r w:rsidRPr="00630A55">
              <w:rPr>
                <w:lang w:eastAsia="en-AU"/>
              </w:rPr>
              <w:t xml:space="preserve">ubmitted to </w:t>
            </w:r>
            <w:r w:rsidR="00A46E2E">
              <w:rPr>
                <w:lang w:eastAsia="en-AU"/>
              </w:rPr>
              <w:t>j</w:t>
            </w:r>
            <w:r w:rsidRPr="00630A55">
              <w:rPr>
                <w:lang w:eastAsia="en-AU"/>
              </w:rPr>
              <w:t xml:space="preserve">urisdiction </w:t>
            </w:r>
          </w:p>
        </w:tc>
        <w:tc>
          <w:tcPr>
            <w:tcW w:w="2287" w:type="dxa"/>
            <w:tcBorders>
              <w:left w:val="single" w:sz="4" w:space="0" w:color="auto"/>
              <w:bottom w:val="single" w:sz="12" w:space="0" w:color="auto"/>
              <w:right w:val="single" w:sz="4" w:space="0" w:color="auto"/>
            </w:tcBorders>
            <w:shd w:val="clear" w:color="auto" w:fill="auto"/>
            <w:noWrap/>
          </w:tcPr>
          <w:p w14:paraId="56BBD732" w14:textId="77777777" w:rsidR="006B6DF6" w:rsidRPr="00630A55" w:rsidRDefault="006B6DF6" w:rsidP="008A7062">
            <w:pPr>
              <w:pStyle w:val="TableTextNumber"/>
              <w:jc w:val="right"/>
            </w:pPr>
            <w:r w:rsidRPr="00630A55">
              <w:t>$1,333,132,466</w:t>
            </w:r>
          </w:p>
        </w:tc>
      </w:tr>
      <w:tr w:rsidR="006B6DF6" w:rsidRPr="00630A55" w14:paraId="04A74002" w14:textId="77777777" w:rsidTr="00D87587">
        <w:trPr>
          <w:trHeight w:val="258"/>
        </w:trPr>
        <w:tc>
          <w:tcPr>
            <w:tcW w:w="6887" w:type="dxa"/>
            <w:gridSpan w:val="2"/>
            <w:tcBorders>
              <w:top w:val="single" w:sz="12" w:space="0" w:color="auto"/>
              <w:left w:val="single" w:sz="4" w:space="0" w:color="auto"/>
              <w:bottom w:val="single" w:sz="12" w:space="0" w:color="auto"/>
              <w:right w:val="single" w:sz="4" w:space="0" w:color="auto"/>
            </w:tcBorders>
            <w:shd w:val="clear" w:color="000000" w:fill="00338D"/>
            <w:noWrap/>
            <w:vAlign w:val="center"/>
            <w:hideMark/>
          </w:tcPr>
          <w:p w14:paraId="2A2197B9" w14:textId="17C743D0" w:rsidR="006B6DF6" w:rsidRPr="00630A55" w:rsidRDefault="006B6DF6" w:rsidP="009527C7">
            <w:pPr>
              <w:pStyle w:val="Tableheading"/>
              <w:rPr>
                <w:lang w:eastAsia="en-AU"/>
              </w:rPr>
            </w:pPr>
            <w:r w:rsidRPr="00630A55">
              <w:rPr>
                <w:lang w:eastAsia="en-AU"/>
              </w:rPr>
              <w:t xml:space="preserve">RMH </w:t>
            </w:r>
            <w:r w:rsidR="00A46E2E">
              <w:rPr>
                <w:lang w:eastAsia="en-AU"/>
              </w:rPr>
              <w:t>a</w:t>
            </w:r>
            <w:r w:rsidRPr="00630A55">
              <w:rPr>
                <w:lang w:eastAsia="en-AU"/>
              </w:rPr>
              <w:t>ctivity</w:t>
            </w:r>
          </w:p>
        </w:tc>
        <w:tc>
          <w:tcPr>
            <w:tcW w:w="2287" w:type="dxa"/>
            <w:tcBorders>
              <w:top w:val="single" w:sz="12" w:space="0" w:color="auto"/>
              <w:left w:val="single" w:sz="4" w:space="0" w:color="auto"/>
              <w:bottom w:val="single" w:sz="12" w:space="0" w:color="auto"/>
              <w:right w:val="single" w:sz="4" w:space="0" w:color="auto"/>
            </w:tcBorders>
            <w:shd w:val="clear" w:color="000000" w:fill="00338D"/>
            <w:noWrap/>
            <w:vAlign w:val="center"/>
            <w:hideMark/>
          </w:tcPr>
          <w:p w14:paraId="65C65492" w14:textId="77777777" w:rsidR="006B6DF6" w:rsidRPr="00630A55" w:rsidRDefault="006B6DF6" w:rsidP="003758E1">
            <w:pPr>
              <w:pStyle w:val="Tableheading"/>
              <w:rPr>
                <w:color w:val="FFFFFF"/>
                <w:lang w:eastAsia="en-AU"/>
              </w:rPr>
            </w:pPr>
            <w:r w:rsidRPr="00630A55">
              <w:rPr>
                <w:lang w:eastAsia="en-AU"/>
              </w:rPr>
              <w:t xml:space="preserve">Value </w:t>
            </w:r>
          </w:p>
        </w:tc>
      </w:tr>
      <w:tr w:rsidR="006B6DF6" w:rsidRPr="00630A55" w14:paraId="277CF10A" w14:textId="77777777" w:rsidTr="00D87587">
        <w:trPr>
          <w:trHeight w:val="465"/>
        </w:trPr>
        <w:tc>
          <w:tcPr>
            <w:tcW w:w="6887" w:type="dxa"/>
            <w:gridSpan w:val="2"/>
            <w:tcBorders>
              <w:top w:val="single" w:sz="12" w:space="0" w:color="auto"/>
              <w:left w:val="single" w:sz="4" w:space="0" w:color="auto"/>
              <w:right w:val="single" w:sz="4" w:space="0" w:color="auto"/>
            </w:tcBorders>
            <w:shd w:val="clear" w:color="000000" w:fill="FFFFFF"/>
            <w:vAlign w:val="center"/>
            <w:hideMark/>
          </w:tcPr>
          <w:p w14:paraId="1F4F2D79" w14:textId="457287BB" w:rsidR="006B6DF6" w:rsidRPr="00630A55" w:rsidRDefault="006B6DF6" w:rsidP="009527C7">
            <w:pPr>
              <w:pStyle w:val="Tabletext"/>
              <w:rPr>
                <w:color w:val="000000"/>
                <w:lang w:eastAsia="en-AU"/>
              </w:rPr>
            </w:pPr>
            <w:r w:rsidRPr="00630A55">
              <w:rPr>
                <w:lang w:eastAsia="en-AU"/>
              </w:rPr>
              <w:t xml:space="preserve">Data loaded to the costing </w:t>
            </w:r>
            <w:r w:rsidR="00A46E2E">
              <w:rPr>
                <w:lang w:eastAsia="en-AU"/>
              </w:rPr>
              <w:t>s</w:t>
            </w:r>
            <w:r w:rsidRPr="00630A55">
              <w:rPr>
                <w:lang w:eastAsia="en-AU"/>
              </w:rPr>
              <w:t>ystem for costing purposes</w:t>
            </w:r>
          </w:p>
        </w:tc>
        <w:tc>
          <w:tcPr>
            <w:tcW w:w="2287" w:type="dxa"/>
            <w:tcBorders>
              <w:top w:val="single" w:sz="12" w:space="0" w:color="auto"/>
              <w:left w:val="single" w:sz="4" w:space="0" w:color="auto"/>
              <w:right w:val="single" w:sz="4" w:space="0" w:color="auto"/>
            </w:tcBorders>
            <w:shd w:val="clear" w:color="auto" w:fill="auto"/>
            <w:vAlign w:val="center"/>
          </w:tcPr>
          <w:p w14:paraId="3B903CE5" w14:textId="77777777" w:rsidR="006B6DF6" w:rsidRPr="00630A55" w:rsidRDefault="006B6DF6" w:rsidP="008A7062">
            <w:pPr>
              <w:pStyle w:val="TableTextNumber"/>
              <w:jc w:val="right"/>
            </w:pPr>
          </w:p>
        </w:tc>
      </w:tr>
      <w:tr w:rsidR="006B6DF6" w:rsidRPr="00630A55" w14:paraId="377DC695" w14:textId="77777777" w:rsidTr="00D87587">
        <w:trPr>
          <w:trHeight w:val="258"/>
        </w:trPr>
        <w:tc>
          <w:tcPr>
            <w:tcW w:w="281" w:type="dxa"/>
            <w:tcBorders>
              <w:left w:val="single" w:sz="4" w:space="0" w:color="auto"/>
            </w:tcBorders>
            <w:shd w:val="clear" w:color="000000" w:fill="FFFFFF"/>
            <w:noWrap/>
            <w:vAlign w:val="center"/>
            <w:hideMark/>
          </w:tcPr>
          <w:p w14:paraId="7F37C9EC" w14:textId="77777777" w:rsidR="006B6DF6" w:rsidRPr="00630A55" w:rsidRDefault="006B6DF6" w:rsidP="009527C7">
            <w:pPr>
              <w:pStyle w:val="Tabletext"/>
              <w:rPr>
                <w:color w:val="000000"/>
                <w:lang w:eastAsia="en-AU"/>
              </w:rPr>
            </w:pPr>
            <w:r w:rsidRPr="00630A55">
              <w:rPr>
                <w:lang w:eastAsia="en-AU"/>
              </w:rPr>
              <w:t> </w:t>
            </w:r>
          </w:p>
        </w:tc>
        <w:tc>
          <w:tcPr>
            <w:tcW w:w="6606" w:type="dxa"/>
            <w:tcBorders>
              <w:right w:val="single" w:sz="4" w:space="0" w:color="auto"/>
            </w:tcBorders>
            <w:shd w:val="clear" w:color="000000" w:fill="FFFFFF"/>
            <w:noWrap/>
            <w:vAlign w:val="center"/>
            <w:hideMark/>
          </w:tcPr>
          <w:p w14:paraId="1A4A52E8" w14:textId="5860F7D7" w:rsidR="006B6DF6" w:rsidRPr="00630A55" w:rsidRDefault="006B6DF6" w:rsidP="009527C7">
            <w:pPr>
              <w:pStyle w:val="Tabletext"/>
              <w:rPr>
                <w:color w:val="000000"/>
                <w:lang w:eastAsia="en-AU"/>
              </w:rPr>
            </w:pPr>
            <w:r w:rsidRPr="00630A55">
              <w:rPr>
                <w:lang w:eastAsia="en-AU"/>
              </w:rPr>
              <w:t xml:space="preserve">Activity </w:t>
            </w:r>
            <w:r w:rsidR="00A46E2E">
              <w:rPr>
                <w:lang w:eastAsia="en-AU"/>
              </w:rPr>
              <w:t>d</w:t>
            </w:r>
            <w:r w:rsidRPr="00630A55">
              <w:rPr>
                <w:lang w:eastAsia="en-AU"/>
              </w:rPr>
              <w:t xml:space="preserve">ata </w:t>
            </w:r>
          </w:p>
        </w:tc>
        <w:tc>
          <w:tcPr>
            <w:tcW w:w="2287" w:type="dxa"/>
            <w:tcBorders>
              <w:left w:val="single" w:sz="4" w:space="0" w:color="auto"/>
              <w:right w:val="single" w:sz="4" w:space="0" w:color="auto"/>
            </w:tcBorders>
            <w:shd w:val="clear" w:color="auto" w:fill="auto"/>
            <w:noWrap/>
            <w:vAlign w:val="center"/>
          </w:tcPr>
          <w:p w14:paraId="305B3E9C" w14:textId="77777777" w:rsidR="006B6DF6" w:rsidRPr="00630A55" w:rsidRDefault="006B6DF6" w:rsidP="008A7062">
            <w:pPr>
              <w:pStyle w:val="TableTextNumber"/>
              <w:jc w:val="right"/>
            </w:pPr>
            <w:r w:rsidRPr="00630A55">
              <w:t>1,885,832</w:t>
            </w:r>
          </w:p>
        </w:tc>
      </w:tr>
      <w:tr w:rsidR="006B6DF6" w:rsidRPr="00630A55" w14:paraId="393D1347" w14:textId="77777777" w:rsidTr="00D87587">
        <w:trPr>
          <w:trHeight w:val="258"/>
        </w:trPr>
        <w:tc>
          <w:tcPr>
            <w:tcW w:w="281" w:type="dxa"/>
            <w:tcBorders>
              <w:left w:val="single" w:sz="4" w:space="0" w:color="auto"/>
            </w:tcBorders>
            <w:shd w:val="clear" w:color="000000" w:fill="FFFFFF"/>
            <w:noWrap/>
            <w:vAlign w:val="center"/>
            <w:hideMark/>
          </w:tcPr>
          <w:p w14:paraId="6F3808C9" w14:textId="77777777" w:rsidR="006B6DF6" w:rsidRPr="00630A55" w:rsidRDefault="006B6DF6" w:rsidP="009527C7">
            <w:pPr>
              <w:pStyle w:val="Tabletext"/>
              <w:rPr>
                <w:color w:val="000000"/>
                <w:lang w:eastAsia="en-AU"/>
              </w:rPr>
            </w:pPr>
            <w:r w:rsidRPr="00630A55">
              <w:rPr>
                <w:lang w:eastAsia="en-AU"/>
              </w:rPr>
              <w:t> </w:t>
            </w:r>
          </w:p>
        </w:tc>
        <w:tc>
          <w:tcPr>
            <w:tcW w:w="6606" w:type="dxa"/>
            <w:tcBorders>
              <w:right w:val="single" w:sz="4" w:space="0" w:color="auto"/>
            </w:tcBorders>
            <w:shd w:val="clear" w:color="000000" w:fill="FFFFFF"/>
            <w:noWrap/>
            <w:vAlign w:val="center"/>
            <w:hideMark/>
          </w:tcPr>
          <w:p w14:paraId="53B5EBDF" w14:textId="71B24DA1" w:rsidR="006B6DF6" w:rsidRPr="00630A55" w:rsidRDefault="006B6DF6" w:rsidP="009527C7">
            <w:pPr>
              <w:pStyle w:val="Tabletext"/>
              <w:rPr>
                <w:color w:val="000000"/>
                <w:lang w:eastAsia="en-AU"/>
              </w:rPr>
            </w:pPr>
            <w:r w:rsidRPr="00630A55">
              <w:rPr>
                <w:lang w:eastAsia="en-AU"/>
              </w:rPr>
              <w:t xml:space="preserve">Feeder </w:t>
            </w:r>
            <w:r w:rsidR="00A46E2E">
              <w:rPr>
                <w:lang w:eastAsia="en-AU"/>
              </w:rPr>
              <w:t>d</w:t>
            </w:r>
            <w:r w:rsidRPr="00630A55">
              <w:rPr>
                <w:lang w:eastAsia="en-AU"/>
              </w:rPr>
              <w:t>ata</w:t>
            </w:r>
          </w:p>
        </w:tc>
        <w:tc>
          <w:tcPr>
            <w:tcW w:w="2287" w:type="dxa"/>
            <w:tcBorders>
              <w:left w:val="single" w:sz="4" w:space="0" w:color="auto"/>
              <w:right w:val="single" w:sz="4" w:space="0" w:color="auto"/>
            </w:tcBorders>
            <w:shd w:val="clear" w:color="auto" w:fill="auto"/>
            <w:noWrap/>
            <w:vAlign w:val="center"/>
          </w:tcPr>
          <w:p w14:paraId="0526B6BD" w14:textId="77777777" w:rsidR="006B6DF6" w:rsidRPr="00630A55" w:rsidRDefault="006B6DF6" w:rsidP="008A7062">
            <w:pPr>
              <w:pStyle w:val="TableTextNumber"/>
              <w:jc w:val="right"/>
            </w:pPr>
            <w:r w:rsidRPr="00630A55">
              <w:t>4,142,591</w:t>
            </w:r>
          </w:p>
        </w:tc>
      </w:tr>
      <w:tr w:rsidR="006B6DF6" w:rsidRPr="00630A55" w14:paraId="3F60CAA9" w14:textId="77777777" w:rsidTr="00D87587">
        <w:trPr>
          <w:trHeight w:val="257"/>
        </w:trPr>
        <w:tc>
          <w:tcPr>
            <w:tcW w:w="6887" w:type="dxa"/>
            <w:gridSpan w:val="2"/>
            <w:tcBorders>
              <w:left w:val="single" w:sz="4" w:space="0" w:color="auto"/>
              <w:right w:val="single" w:sz="4" w:space="0" w:color="auto"/>
            </w:tcBorders>
            <w:shd w:val="clear" w:color="000000" w:fill="FFFFFF"/>
            <w:vAlign w:val="center"/>
            <w:hideMark/>
          </w:tcPr>
          <w:p w14:paraId="7719617B" w14:textId="0461F72C" w:rsidR="006B6DF6" w:rsidRPr="00630A55" w:rsidRDefault="006B6DF6" w:rsidP="009527C7">
            <w:pPr>
              <w:pStyle w:val="Tabletext"/>
              <w:rPr>
                <w:color w:val="000000"/>
                <w:lang w:eastAsia="en-AU"/>
              </w:rPr>
            </w:pPr>
            <w:r w:rsidRPr="00630A55">
              <w:rPr>
                <w:lang w:eastAsia="en-AU"/>
              </w:rPr>
              <w:t xml:space="preserve">NHCDC </w:t>
            </w:r>
            <w:r w:rsidR="00A46E2E">
              <w:rPr>
                <w:lang w:eastAsia="en-AU"/>
              </w:rPr>
              <w:t>p</w:t>
            </w:r>
            <w:r w:rsidRPr="00630A55">
              <w:rPr>
                <w:lang w:eastAsia="en-AU"/>
              </w:rPr>
              <w:t xml:space="preserve">roduct </w:t>
            </w:r>
            <w:r w:rsidR="00A46E2E">
              <w:rPr>
                <w:lang w:eastAsia="en-AU"/>
              </w:rPr>
              <w:t>o</w:t>
            </w:r>
            <w:r w:rsidRPr="00630A55">
              <w:rPr>
                <w:lang w:eastAsia="en-AU"/>
              </w:rPr>
              <w:t xml:space="preserve">utput </w:t>
            </w:r>
            <w:r w:rsidR="00A46E2E">
              <w:rPr>
                <w:lang w:eastAsia="en-AU"/>
              </w:rPr>
              <w:t>a</w:t>
            </w:r>
            <w:r w:rsidRPr="00630A55">
              <w:rPr>
                <w:lang w:eastAsia="en-AU"/>
              </w:rPr>
              <w:t xml:space="preserve">ctivity - </w:t>
            </w:r>
            <w:r w:rsidR="00A46E2E">
              <w:rPr>
                <w:lang w:eastAsia="en-AU"/>
              </w:rPr>
              <w:t>p</w:t>
            </w:r>
            <w:r w:rsidRPr="00630A55">
              <w:rPr>
                <w:lang w:eastAsia="en-AU"/>
              </w:rPr>
              <w:t xml:space="preserve">ost </w:t>
            </w:r>
            <w:r w:rsidR="00A46E2E">
              <w:rPr>
                <w:lang w:eastAsia="en-AU"/>
              </w:rPr>
              <w:t>l</w:t>
            </w:r>
            <w:r w:rsidRPr="00630A55">
              <w:rPr>
                <w:lang w:eastAsia="en-AU"/>
              </w:rPr>
              <w:t xml:space="preserve">inking and </w:t>
            </w:r>
            <w:r w:rsidR="00A46E2E">
              <w:rPr>
                <w:lang w:eastAsia="en-AU"/>
              </w:rPr>
              <w:t>l</w:t>
            </w:r>
            <w:r w:rsidRPr="00630A55">
              <w:rPr>
                <w:lang w:eastAsia="en-AU"/>
              </w:rPr>
              <w:t>oading</w:t>
            </w:r>
          </w:p>
        </w:tc>
        <w:tc>
          <w:tcPr>
            <w:tcW w:w="2287" w:type="dxa"/>
            <w:tcBorders>
              <w:left w:val="single" w:sz="4" w:space="0" w:color="auto"/>
              <w:right w:val="single" w:sz="4" w:space="0" w:color="auto"/>
            </w:tcBorders>
            <w:shd w:val="clear" w:color="auto" w:fill="auto"/>
            <w:noWrap/>
            <w:vAlign w:val="center"/>
          </w:tcPr>
          <w:p w14:paraId="23BDB1F5" w14:textId="19D68D75" w:rsidR="006B6DF6" w:rsidRPr="00630A55" w:rsidRDefault="00CE0E3E" w:rsidP="008A7062">
            <w:pPr>
              <w:pStyle w:val="TableTextNumber"/>
              <w:jc w:val="right"/>
            </w:pPr>
            <w:r w:rsidRPr="00CE0E3E">
              <w:t>1,162,426</w:t>
            </w:r>
          </w:p>
        </w:tc>
      </w:tr>
      <w:tr w:rsidR="006B6DF6" w:rsidRPr="00630A55" w14:paraId="6D1A1CFC" w14:textId="77777777" w:rsidTr="00D87587">
        <w:trPr>
          <w:trHeight w:val="258"/>
        </w:trPr>
        <w:tc>
          <w:tcPr>
            <w:tcW w:w="6887" w:type="dxa"/>
            <w:gridSpan w:val="2"/>
            <w:tcBorders>
              <w:left w:val="single" w:sz="4" w:space="0" w:color="auto"/>
              <w:right w:val="single" w:sz="4" w:space="0" w:color="auto"/>
            </w:tcBorders>
            <w:shd w:val="clear" w:color="000000" w:fill="FFFFFF"/>
            <w:vAlign w:val="center"/>
            <w:hideMark/>
          </w:tcPr>
          <w:p w14:paraId="7F4B9A3F" w14:textId="3016D18C" w:rsidR="006B6DF6" w:rsidRPr="00630A55" w:rsidRDefault="006B6DF6" w:rsidP="009527C7">
            <w:pPr>
              <w:pStyle w:val="Tabletext"/>
              <w:rPr>
                <w:color w:val="000000"/>
                <w:lang w:eastAsia="en-AU"/>
              </w:rPr>
            </w:pPr>
            <w:r w:rsidRPr="00630A55">
              <w:rPr>
                <w:lang w:eastAsia="en-AU"/>
              </w:rPr>
              <w:t xml:space="preserve">Final </w:t>
            </w:r>
            <w:r w:rsidR="00A46E2E">
              <w:rPr>
                <w:lang w:eastAsia="en-AU"/>
              </w:rPr>
              <w:t>s</w:t>
            </w:r>
            <w:r w:rsidRPr="00630A55">
              <w:rPr>
                <w:lang w:eastAsia="en-AU"/>
              </w:rPr>
              <w:t xml:space="preserve">ubmission to </w:t>
            </w:r>
            <w:r w:rsidR="00A46E2E">
              <w:rPr>
                <w:lang w:eastAsia="en-AU"/>
              </w:rPr>
              <w:t>j</w:t>
            </w:r>
            <w:r w:rsidRPr="00630A55">
              <w:rPr>
                <w:lang w:eastAsia="en-AU"/>
              </w:rPr>
              <w:t xml:space="preserve">urisdiction - </w:t>
            </w:r>
            <w:r w:rsidR="00A46E2E">
              <w:rPr>
                <w:lang w:eastAsia="en-AU"/>
              </w:rPr>
              <w:t>a</w:t>
            </w:r>
            <w:r w:rsidRPr="00630A55">
              <w:rPr>
                <w:lang w:eastAsia="en-AU"/>
              </w:rPr>
              <w:t xml:space="preserve">ctivity by </w:t>
            </w:r>
            <w:r w:rsidR="00A46E2E">
              <w:rPr>
                <w:lang w:eastAsia="en-AU"/>
              </w:rPr>
              <w:t>p</w:t>
            </w:r>
            <w:r w:rsidRPr="00630A55">
              <w:rPr>
                <w:lang w:eastAsia="en-AU"/>
              </w:rPr>
              <w:t>roduct</w:t>
            </w:r>
          </w:p>
        </w:tc>
        <w:tc>
          <w:tcPr>
            <w:tcW w:w="2287" w:type="dxa"/>
            <w:tcBorders>
              <w:left w:val="single" w:sz="4" w:space="0" w:color="auto"/>
              <w:right w:val="single" w:sz="4" w:space="0" w:color="auto"/>
            </w:tcBorders>
            <w:shd w:val="clear" w:color="auto" w:fill="auto"/>
            <w:noWrap/>
            <w:vAlign w:val="center"/>
          </w:tcPr>
          <w:p w14:paraId="12694F76" w14:textId="56FD7CC5" w:rsidR="006B6DF6" w:rsidRPr="00630A55" w:rsidRDefault="00CE0E3E" w:rsidP="008A7062">
            <w:pPr>
              <w:pStyle w:val="TableTextNumber"/>
              <w:jc w:val="right"/>
            </w:pPr>
            <w:r w:rsidRPr="00CE0E3E">
              <w:t>1,160,509</w:t>
            </w:r>
          </w:p>
        </w:tc>
      </w:tr>
      <w:tr w:rsidR="006B6DF6" w:rsidRPr="00630A55" w14:paraId="604C5B00" w14:textId="77777777" w:rsidTr="00D87587">
        <w:trPr>
          <w:trHeight w:val="258"/>
        </w:trPr>
        <w:tc>
          <w:tcPr>
            <w:tcW w:w="6887" w:type="dxa"/>
            <w:gridSpan w:val="2"/>
            <w:tcBorders>
              <w:left w:val="single" w:sz="4" w:space="0" w:color="auto"/>
              <w:bottom w:val="single" w:sz="12" w:space="0" w:color="auto"/>
              <w:right w:val="single" w:sz="4" w:space="0" w:color="auto"/>
            </w:tcBorders>
            <w:shd w:val="clear" w:color="000000" w:fill="FFFFFF"/>
            <w:vAlign w:val="center"/>
            <w:hideMark/>
          </w:tcPr>
          <w:p w14:paraId="1DD6D574" w14:textId="4F3948A3" w:rsidR="006B6DF6" w:rsidRPr="00630A55" w:rsidRDefault="006B6DF6" w:rsidP="009527C7">
            <w:pPr>
              <w:pStyle w:val="Tabletext"/>
              <w:rPr>
                <w:color w:val="000000"/>
                <w:lang w:eastAsia="en-AU"/>
              </w:rPr>
            </w:pPr>
            <w:r w:rsidRPr="00630A55">
              <w:rPr>
                <w:lang w:eastAsia="en-AU"/>
              </w:rPr>
              <w:t xml:space="preserve">Final </w:t>
            </w:r>
            <w:r w:rsidR="00A46E2E">
              <w:rPr>
                <w:lang w:eastAsia="en-AU"/>
              </w:rPr>
              <w:t>s</w:t>
            </w:r>
            <w:r w:rsidRPr="00630A55">
              <w:rPr>
                <w:lang w:eastAsia="en-AU"/>
              </w:rPr>
              <w:t xml:space="preserve">ubmission to </w:t>
            </w:r>
            <w:r w:rsidR="00A46E2E">
              <w:rPr>
                <w:lang w:eastAsia="en-AU"/>
              </w:rPr>
              <w:t>j</w:t>
            </w:r>
            <w:r w:rsidRPr="00630A55">
              <w:rPr>
                <w:lang w:eastAsia="en-AU"/>
              </w:rPr>
              <w:t xml:space="preserve">urisdiction - </w:t>
            </w:r>
            <w:r w:rsidR="00A46E2E">
              <w:rPr>
                <w:lang w:eastAsia="en-AU"/>
              </w:rPr>
              <w:t>a</w:t>
            </w:r>
            <w:r w:rsidRPr="00630A55">
              <w:rPr>
                <w:lang w:eastAsia="en-AU"/>
              </w:rPr>
              <w:t xml:space="preserve">ctivity and </w:t>
            </w:r>
            <w:r w:rsidR="00A46E2E">
              <w:rPr>
                <w:lang w:eastAsia="en-AU"/>
              </w:rPr>
              <w:t>c</w:t>
            </w:r>
            <w:r w:rsidRPr="00630A55">
              <w:rPr>
                <w:lang w:eastAsia="en-AU"/>
              </w:rPr>
              <w:t xml:space="preserve">ost by </w:t>
            </w:r>
            <w:r w:rsidR="00A46E2E">
              <w:rPr>
                <w:lang w:eastAsia="en-AU"/>
              </w:rPr>
              <w:t>p</w:t>
            </w:r>
            <w:r w:rsidRPr="00630A55">
              <w:rPr>
                <w:lang w:eastAsia="en-AU"/>
              </w:rPr>
              <w:t>roduct</w:t>
            </w:r>
          </w:p>
        </w:tc>
        <w:tc>
          <w:tcPr>
            <w:tcW w:w="2287" w:type="dxa"/>
            <w:tcBorders>
              <w:left w:val="single" w:sz="4" w:space="0" w:color="auto"/>
              <w:bottom w:val="single" w:sz="12" w:space="0" w:color="auto"/>
              <w:right w:val="single" w:sz="4" w:space="0" w:color="auto"/>
            </w:tcBorders>
            <w:shd w:val="clear" w:color="auto" w:fill="auto"/>
            <w:noWrap/>
            <w:vAlign w:val="center"/>
          </w:tcPr>
          <w:p w14:paraId="55C777D0" w14:textId="55A88568" w:rsidR="006B6DF6" w:rsidRPr="00630A55" w:rsidRDefault="00CE0E3E" w:rsidP="008A7062">
            <w:pPr>
              <w:jc w:val="right"/>
              <w:rPr>
                <w:lang w:eastAsia="en-AU"/>
              </w:rPr>
            </w:pPr>
            <w:r w:rsidRPr="00CE0E3E">
              <w:rPr>
                <w:sz w:val="20"/>
                <w:szCs w:val="20"/>
                <w:lang w:eastAsia="en-AU"/>
              </w:rPr>
              <w:t>1,160,509</w:t>
            </w:r>
          </w:p>
        </w:tc>
      </w:tr>
      <w:tr w:rsidR="006B6DF6" w:rsidRPr="00630A55" w14:paraId="45B32D98" w14:textId="77777777" w:rsidTr="00D87587">
        <w:trPr>
          <w:trHeight w:val="258"/>
        </w:trPr>
        <w:tc>
          <w:tcPr>
            <w:tcW w:w="6887" w:type="dxa"/>
            <w:gridSpan w:val="2"/>
            <w:tcBorders>
              <w:top w:val="single" w:sz="12" w:space="0" w:color="auto"/>
              <w:left w:val="single" w:sz="4" w:space="0" w:color="auto"/>
              <w:bottom w:val="single" w:sz="12" w:space="0" w:color="auto"/>
              <w:right w:val="single" w:sz="4" w:space="0" w:color="auto"/>
            </w:tcBorders>
            <w:shd w:val="clear" w:color="000000" w:fill="00338D"/>
            <w:noWrap/>
            <w:vAlign w:val="center"/>
            <w:hideMark/>
          </w:tcPr>
          <w:p w14:paraId="6C4BF32D" w14:textId="39C343ED" w:rsidR="006B6DF6" w:rsidRPr="00630A55" w:rsidRDefault="006B6DF6" w:rsidP="009527C7">
            <w:pPr>
              <w:pStyle w:val="Tableheading"/>
              <w:rPr>
                <w:color w:val="FFFFFF"/>
                <w:lang w:eastAsia="en-AU"/>
              </w:rPr>
            </w:pPr>
            <w:r w:rsidRPr="00630A55">
              <w:rPr>
                <w:lang w:eastAsia="en-AU"/>
              </w:rPr>
              <w:t xml:space="preserve">RMH submitted to </w:t>
            </w:r>
            <w:r w:rsidR="00A46E2E">
              <w:rPr>
                <w:lang w:eastAsia="en-AU"/>
              </w:rPr>
              <w:t>j</w:t>
            </w:r>
            <w:r w:rsidRPr="00630A55">
              <w:rPr>
                <w:lang w:eastAsia="en-AU"/>
              </w:rPr>
              <w:t xml:space="preserve">urisdiction </w:t>
            </w:r>
          </w:p>
        </w:tc>
        <w:tc>
          <w:tcPr>
            <w:tcW w:w="2287" w:type="dxa"/>
            <w:tcBorders>
              <w:top w:val="single" w:sz="12" w:space="0" w:color="auto"/>
              <w:left w:val="single" w:sz="4" w:space="0" w:color="auto"/>
              <w:bottom w:val="single" w:sz="12" w:space="0" w:color="auto"/>
              <w:right w:val="single" w:sz="4" w:space="0" w:color="auto"/>
            </w:tcBorders>
            <w:shd w:val="clear" w:color="000000" w:fill="00338D"/>
            <w:noWrap/>
            <w:vAlign w:val="center"/>
            <w:hideMark/>
          </w:tcPr>
          <w:p w14:paraId="38BCFFEE" w14:textId="77777777" w:rsidR="006B6DF6" w:rsidRPr="00630A55" w:rsidRDefault="006B6DF6" w:rsidP="003758E1">
            <w:pPr>
              <w:pStyle w:val="Tableheading"/>
              <w:rPr>
                <w:color w:val="FFFFFF"/>
                <w:lang w:eastAsia="en-AU"/>
              </w:rPr>
            </w:pPr>
            <w:r w:rsidRPr="00630A55">
              <w:rPr>
                <w:lang w:eastAsia="en-AU"/>
              </w:rPr>
              <w:t xml:space="preserve">Value </w:t>
            </w:r>
          </w:p>
        </w:tc>
      </w:tr>
      <w:tr w:rsidR="006B6DF6" w:rsidRPr="00630A55" w14:paraId="3EE27923" w14:textId="77777777" w:rsidTr="00D87587">
        <w:trPr>
          <w:trHeight w:val="258"/>
        </w:trPr>
        <w:tc>
          <w:tcPr>
            <w:tcW w:w="6887" w:type="dxa"/>
            <w:gridSpan w:val="2"/>
            <w:tcBorders>
              <w:top w:val="single" w:sz="12" w:space="0" w:color="auto"/>
              <w:left w:val="single" w:sz="4" w:space="0" w:color="auto"/>
              <w:right w:val="single" w:sz="4" w:space="0" w:color="auto"/>
            </w:tcBorders>
            <w:shd w:val="clear" w:color="auto" w:fill="auto"/>
            <w:vAlign w:val="center"/>
            <w:hideMark/>
          </w:tcPr>
          <w:p w14:paraId="05E8FBC9" w14:textId="263530F1" w:rsidR="006B6DF6" w:rsidRPr="00630A55" w:rsidRDefault="006B6DF6" w:rsidP="009527C7">
            <w:pPr>
              <w:pStyle w:val="Tabletext"/>
              <w:rPr>
                <w:color w:val="000000"/>
                <w:lang w:eastAsia="en-AU"/>
              </w:rPr>
            </w:pPr>
            <w:r w:rsidRPr="00630A55">
              <w:rPr>
                <w:lang w:eastAsia="en-AU"/>
              </w:rPr>
              <w:t xml:space="preserve">Summary submission to </w:t>
            </w:r>
            <w:r w:rsidR="00A46E2E">
              <w:rPr>
                <w:lang w:eastAsia="en-AU"/>
              </w:rPr>
              <w:t>j</w:t>
            </w:r>
            <w:r w:rsidRPr="00630A55">
              <w:rPr>
                <w:lang w:eastAsia="en-AU"/>
              </w:rPr>
              <w:t xml:space="preserve">urisdiction </w:t>
            </w:r>
          </w:p>
        </w:tc>
        <w:tc>
          <w:tcPr>
            <w:tcW w:w="2287" w:type="dxa"/>
            <w:tcBorders>
              <w:top w:val="single" w:sz="12" w:space="0" w:color="auto"/>
              <w:left w:val="single" w:sz="4" w:space="0" w:color="auto"/>
              <w:right w:val="single" w:sz="4" w:space="0" w:color="auto"/>
            </w:tcBorders>
            <w:shd w:val="clear" w:color="auto" w:fill="auto"/>
            <w:vAlign w:val="center"/>
          </w:tcPr>
          <w:p w14:paraId="56100025" w14:textId="77777777" w:rsidR="006B6DF6" w:rsidRPr="00630A55" w:rsidRDefault="006B6DF6" w:rsidP="008A7062">
            <w:pPr>
              <w:pStyle w:val="TableTextNumber"/>
              <w:jc w:val="right"/>
            </w:pPr>
          </w:p>
        </w:tc>
      </w:tr>
      <w:tr w:rsidR="006B6DF6" w:rsidRPr="00630A55" w14:paraId="7767E756" w14:textId="77777777" w:rsidTr="00D87587">
        <w:trPr>
          <w:trHeight w:val="258"/>
        </w:trPr>
        <w:tc>
          <w:tcPr>
            <w:tcW w:w="281" w:type="dxa"/>
            <w:tcBorders>
              <w:left w:val="single" w:sz="4" w:space="0" w:color="auto"/>
            </w:tcBorders>
            <w:shd w:val="clear" w:color="000000" w:fill="FFFFFF"/>
            <w:noWrap/>
            <w:vAlign w:val="center"/>
            <w:hideMark/>
          </w:tcPr>
          <w:p w14:paraId="114E0A8F" w14:textId="77777777" w:rsidR="006B6DF6" w:rsidRPr="00630A55" w:rsidRDefault="006B6DF6" w:rsidP="009527C7">
            <w:pPr>
              <w:pStyle w:val="Tabletext"/>
              <w:rPr>
                <w:color w:val="000000"/>
                <w:lang w:eastAsia="en-AU"/>
              </w:rPr>
            </w:pPr>
            <w:r w:rsidRPr="00630A55">
              <w:rPr>
                <w:lang w:eastAsia="en-AU"/>
              </w:rPr>
              <w:t> </w:t>
            </w:r>
          </w:p>
        </w:tc>
        <w:tc>
          <w:tcPr>
            <w:tcW w:w="6606" w:type="dxa"/>
            <w:tcBorders>
              <w:right w:val="single" w:sz="4" w:space="0" w:color="auto"/>
            </w:tcBorders>
            <w:shd w:val="clear" w:color="auto" w:fill="auto"/>
            <w:vAlign w:val="center"/>
            <w:hideMark/>
          </w:tcPr>
          <w:p w14:paraId="79F7D76D" w14:textId="5485DBB7" w:rsidR="006B6DF6" w:rsidRPr="00630A55" w:rsidRDefault="006B6DF6" w:rsidP="009527C7">
            <w:pPr>
              <w:pStyle w:val="Tabletext"/>
              <w:rPr>
                <w:color w:val="000000"/>
                <w:lang w:eastAsia="en-AU"/>
              </w:rPr>
            </w:pPr>
            <w:r w:rsidRPr="00630A55">
              <w:rPr>
                <w:lang w:eastAsia="en-AU"/>
              </w:rPr>
              <w:t xml:space="preserve">Activity submitted to </w:t>
            </w:r>
            <w:r w:rsidR="00A46E2E">
              <w:rPr>
                <w:lang w:eastAsia="en-AU"/>
              </w:rPr>
              <w:t>j</w:t>
            </w:r>
            <w:r w:rsidRPr="00630A55">
              <w:rPr>
                <w:lang w:eastAsia="en-AU"/>
              </w:rPr>
              <w:t>urisdiction</w:t>
            </w:r>
          </w:p>
        </w:tc>
        <w:tc>
          <w:tcPr>
            <w:tcW w:w="2287" w:type="dxa"/>
            <w:tcBorders>
              <w:left w:val="single" w:sz="4" w:space="0" w:color="auto"/>
              <w:right w:val="single" w:sz="4" w:space="0" w:color="auto"/>
            </w:tcBorders>
            <w:shd w:val="clear" w:color="auto" w:fill="auto"/>
            <w:noWrap/>
            <w:vAlign w:val="center"/>
          </w:tcPr>
          <w:p w14:paraId="34107BBE" w14:textId="3D12B994" w:rsidR="006B6DF6" w:rsidRPr="00630A55" w:rsidRDefault="00CE0E3E" w:rsidP="008A7062">
            <w:pPr>
              <w:pStyle w:val="TableTextNumber"/>
              <w:jc w:val="right"/>
              <w:rPr>
                <w:i/>
              </w:rPr>
            </w:pPr>
            <w:r w:rsidRPr="00CE0E3E">
              <w:t>1,160,509</w:t>
            </w:r>
          </w:p>
        </w:tc>
      </w:tr>
      <w:tr w:rsidR="006B6DF6" w:rsidRPr="00630A55" w14:paraId="2CB3EE80" w14:textId="77777777" w:rsidTr="00D87587">
        <w:trPr>
          <w:trHeight w:val="258"/>
        </w:trPr>
        <w:tc>
          <w:tcPr>
            <w:tcW w:w="281" w:type="dxa"/>
            <w:tcBorders>
              <w:left w:val="single" w:sz="4" w:space="0" w:color="auto"/>
            </w:tcBorders>
            <w:shd w:val="clear" w:color="000000" w:fill="FFFFFF"/>
            <w:noWrap/>
            <w:vAlign w:val="center"/>
            <w:hideMark/>
          </w:tcPr>
          <w:p w14:paraId="6822BABC" w14:textId="77777777" w:rsidR="006B6DF6" w:rsidRPr="00630A55" w:rsidRDefault="006B6DF6" w:rsidP="009527C7">
            <w:pPr>
              <w:pStyle w:val="Tabletext"/>
              <w:rPr>
                <w:color w:val="000000"/>
                <w:lang w:eastAsia="en-AU"/>
              </w:rPr>
            </w:pPr>
            <w:r w:rsidRPr="00630A55">
              <w:rPr>
                <w:lang w:eastAsia="en-AU"/>
              </w:rPr>
              <w:t> </w:t>
            </w:r>
          </w:p>
        </w:tc>
        <w:tc>
          <w:tcPr>
            <w:tcW w:w="6606" w:type="dxa"/>
            <w:tcBorders>
              <w:right w:val="single" w:sz="4" w:space="0" w:color="auto"/>
            </w:tcBorders>
            <w:shd w:val="clear" w:color="auto" w:fill="auto"/>
            <w:vAlign w:val="center"/>
            <w:hideMark/>
          </w:tcPr>
          <w:p w14:paraId="1762BF1A" w14:textId="094DCC4D" w:rsidR="006B6DF6" w:rsidRPr="00630A55" w:rsidRDefault="006B6DF6" w:rsidP="009527C7">
            <w:pPr>
              <w:pStyle w:val="Tabletext"/>
              <w:rPr>
                <w:color w:val="000000"/>
                <w:lang w:eastAsia="en-AU"/>
              </w:rPr>
            </w:pPr>
            <w:r w:rsidRPr="00630A55">
              <w:rPr>
                <w:lang w:eastAsia="en-AU"/>
              </w:rPr>
              <w:t xml:space="preserve">Costs submitted to </w:t>
            </w:r>
            <w:r w:rsidR="00A46E2E">
              <w:rPr>
                <w:lang w:eastAsia="en-AU"/>
              </w:rPr>
              <w:t>j</w:t>
            </w:r>
            <w:r w:rsidRPr="00630A55">
              <w:rPr>
                <w:lang w:eastAsia="en-AU"/>
              </w:rPr>
              <w:t>urisdiction</w:t>
            </w:r>
          </w:p>
        </w:tc>
        <w:tc>
          <w:tcPr>
            <w:tcW w:w="2287" w:type="dxa"/>
            <w:tcBorders>
              <w:left w:val="single" w:sz="4" w:space="0" w:color="auto"/>
              <w:right w:val="single" w:sz="4" w:space="0" w:color="auto"/>
            </w:tcBorders>
            <w:shd w:val="clear" w:color="auto" w:fill="auto"/>
            <w:noWrap/>
            <w:vAlign w:val="center"/>
          </w:tcPr>
          <w:p w14:paraId="424A0523" w14:textId="77777777" w:rsidR="006B6DF6" w:rsidRPr="00630A55" w:rsidRDefault="006B6DF6" w:rsidP="008A7062">
            <w:pPr>
              <w:pStyle w:val="TableTextNumber"/>
              <w:jc w:val="right"/>
            </w:pPr>
            <w:r w:rsidRPr="00630A55">
              <w:t>$1,333,132,466</w:t>
            </w:r>
          </w:p>
        </w:tc>
      </w:tr>
      <w:tr w:rsidR="006B6DF6" w:rsidRPr="00630A55" w14:paraId="45DE68C2" w14:textId="77777777" w:rsidTr="00D87587">
        <w:trPr>
          <w:trHeight w:val="258"/>
        </w:trPr>
        <w:tc>
          <w:tcPr>
            <w:tcW w:w="6887" w:type="dxa"/>
            <w:gridSpan w:val="2"/>
            <w:tcBorders>
              <w:top w:val="single" w:sz="12" w:space="0" w:color="auto"/>
              <w:left w:val="single" w:sz="4" w:space="0" w:color="auto"/>
              <w:bottom w:val="single" w:sz="12" w:space="0" w:color="auto"/>
              <w:right w:val="single" w:sz="4" w:space="0" w:color="auto"/>
            </w:tcBorders>
            <w:shd w:val="clear" w:color="000000" w:fill="00338D"/>
            <w:noWrap/>
            <w:vAlign w:val="center"/>
            <w:hideMark/>
          </w:tcPr>
          <w:p w14:paraId="0DD175BA" w14:textId="77777777" w:rsidR="006B6DF6" w:rsidRPr="00630A55" w:rsidRDefault="006B6DF6" w:rsidP="009527C7">
            <w:pPr>
              <w:pStyle w:val="Tableheading"/>
              <w:rPr>
                <w:color w:val="FFFFFF"/>
                <w:lang w:eastAsia="en-AU"/>
              </w:rPr>
            </w:pPr>
            <w:r w:rsidRPr="00630A55">
              <w:rPr>
                <w:lang w:eastAsia="en-AU"/>
              </w:rPr>
              <w:t>RMH costs and activity submitted to IHACPA</w:t>
            </w:r>
          </w:p>
        </w:tc>
        <w:tc>
          <w:tcPr>
            <w:tcW w:w="2287" w:type="dxa"/>
            <w:tcBorders>
              <w:top w:val="single" w:sz="12" w:space="0" w:color="auto"/>
              <w:left w:val="single" w:sz="4" w:space="0" w:color="auto"/>
              <w:bottom w:val="single" w:sz="12" w:space="0" w:color="auto"/>
              <w:right w:val="single" w:sz="4" w:space="0" w:color="auto"/>
            </w:tcBorders>
            <w:shd w:val="clear" w:color="000000" w:fill="00338D"/>
            <w:noWrap/>
            <w:vAlign w:val="center"/>
            <w:hideMark/>
          </w:tcPr>
          <w:p w14:paraId="379E1027" w14:textId="77777777" w:rsidR="006B6DF6" w:rsidRPr="00630A55" w:rsidRDefault="006B6DF6" w:rsidP="003758E1">
            <w:pPr>
              <w:pStyle w:val="Tableheading"/>
              <w:rPr>
                <w:color w:val="FFFFFF"/>
                <w:lang w:eastAsia="en-AU"/>
              </w:rPr>
            </w:pPr>
            <w:r w:rsidRPr="00630A55">
              <w:rPr>
                <w:lang w:eastAsia="en-AU"/>
              </w:rPr>
              <w:t xml:space="preserve">Value </w:t>
            </w:r>
          </w:p>
        </w:tc>
      </w:tr>
      <w:tr w:rsidR="006B6DF6" w:rsidRPr="00630A55" w14:paraId="7147C14E" w14:textId="77777777" w:rsidTr="00D87587">
        <w:trPr>
          <w:trHeight w:val="230"/>
        </w:trPr>
        <w:tc>
          <w:tcPr>
            <w:tcW w:w="6887" w:type="dxa"/>
            <w:gridSpan w:val="2"/>
            <w:tcBorders>
              <w:top w:val="single" w:sz="12" w:space="0" w:color="auto"/>
              <w:left w:val="single" w:sz="4" w:space="0" w:color="auto"/>
              <w:right w:val="single" w:sz="4" w:space="0" w:color="auto"/>
            </w:tcBorders>
            <w:shd w:val="clear" w:color="000000" w:fill="FFFFFF"/>
            <w:vAlign w:val="center"/>
            <w:hideMark/>
          </w:tcPr>
          <w:p w14:paraId="0065A3FC" w14:textId="67FF92DC" w:rsidR="006B6DF6" w:rsidRPr="00630A55" w:rsidRDefault="006B6DF6" w:rsidP="009527C7">
            <w:pPr>
              <w:pStyle w:val="Tabletext"/>
              <w:rPr>
                <w:color w:val="000000"/>
                <w:lang w:eastAsia="en-AU"/>
              </w:rPr>
            </w:pPr>
            <w:r w:rsidRPr="00630A55">
              <w:rPr>
                <w:lang w:eastAsia="en-AU"/>
              </w:rPr>
              <w:t xml:space="preserve">Final </w:t>
            </w:r>
            <w:r w:rsidR="00A46E2E">
              <w:rPr>
                <w:lang w:eastAsia="en-AU"/>
              </w:rPr>
              <w:t>s</w:t>
            </w:r>
            <w:r w:rsidRPr="00630A55">
              <w:rPr>
                <w:lang w:eastAsia="en-AU"/>
              </w:rPr>
              <w:t xml:space="preserve">ubmission to </w:t>
            </w:r>
            <w:r w:rsidR="00A46E2E">
              <w:rPr>
                <w:lang w:eastAsia="en-AU"/>
              </w:rPr>
              <w:t>j</w:t>
            </w:r>
            <w:r w:rsidRPr="00630A55">
              <w:rPr>
                <w:lang w:eastAsia="en-AU"/>
              </w:rPr>
              <w:t xml:space="preserve">urisdiction for IHACPA - </w:t>
            </w:r>
            <w:r w:rsidR="00A46E2E">
              <w:rPr>
                <w:lang w:eastAsia="en-AU"/>
              </w:rPr>
              <w:t>c</w:t>
            </w:r>
            <w:r w:rsidRPr="00630A55">
              <w:rPr>
                <w:lang w:eastAsia="en-AU"/>
              </w:rPr>
              <w:t xml:space="preserve">ost and </w:t>
            </w:r>
            <w:r w:rsidR="00A46E2E">
              <w:rPr>
                <w:lang w:eastAsia="en-AU"/>
              </w:rPr>
              <w:t>a</w:t>
            </w:r>
            <w:r w:rsidRPr="00630A55">
              <w:rPr>
                <w:lang w:eastAsia="en-AU"/>
              </w:rPr>
              <w:t xml:space="preserve">ctivity by </w:t>
            </w:r>
            <w:r w:rsidR="00A46E2E">
              <w:rPr>
                <w:lang w:eastAsia="en-AU"/>
              </w:rPr>
              <w:t>p</w:t>
            </w:r>
            <w:r w:rsidRPr="00630A55">
              <w:rPr>
                <w:lang w:eastAsia="en-AU"/>
              </w:rPr>
              <w:t xml:space="preserve">roduct </w:t>
            </w:r>
          </w:p>
        </w:tc>
        <w:tc>
          <w:tcPr>
            <w:tcW w:w="2287" w:type="dxa"/>
            <w:tcBorders>
              <w:top w:val="single" w:sz="12" w:space="0" w:color="auto"/>
              <w:left w:val="single" w:sz="4" w:space="0" w:color="auto"/>
              <w:right w:val="single" w:sz="4" w:space="0" w:color="auto"/>
            </w:tcBorders>
            <w:shd w:val="clear" w:color="auto" w:fill="auto"/>
            <w:vAlign w:val="center"/>
          </w:tcPr>
          <w:p w14:paraId="5650B54A" w14:textId="77777777" w:rsidR="006B6DF6" w:rsidRPr="00630A55" w:rsidRDefault="006B6DF6" w:rsidP="008A7062">
            <w:pPr>
              <w:pStyle w:val="TableTextNumber"/>
              <w:jc w:val="right"/>
            </w:pPr>
          </w:p>
        </w:tc>
      </w:tr>
      <w:tr w:rsidR="006B6DF6" w:rsidRPr="00630A55" w14:paraId="1875CD33" w14:textId="77777777" w:rsidTr="00D87587">
        <w:trPr>
          <w:trHeight w:val="258"/>
        </w:trPr>
        <w:tc>
          <w:tcPr>
            <w:tcW w:w="281" w:type="dxa"/>
            <w:tcBorders>
              <w:left w:val="single" w:sz="4" w:space="0" w:color="auto"/>
            </w:tcBorders>
            <w:shd w:val="clear" w:color="000000" w:fill="FFFFFF"/>
            <w:noWrap/>
            <w:vAlign w:val="center"/>
            <w:hideMark/>
          </w:tcPr>
          <w:p w14:paraId="68CFCB5D" w14:textId="77777777" w:rsidR="006B6DF6" w:rsidRPr="00630A55" w:rsidRDefault="006B6DF6" w:rsidP="009527C7">
            <w:pPr>
              <w:pStyle w:val="Tabletext"/>
              <w:rPr>
                <w:color w:val="000000"/>
                <w:lang w:eastAsia="en-AU"/>
              </w:rPr>
            </w:pPr>
            <w:r w:rsidRPr="00630A55">
              <w:rPr>
                <w:lang w:eastAsia="en-AU"/>
              </w:rPr>
              <w:t> </w:t>
            </w:r>
          </w:p>
        </w:tc>
        <w:tc>
          <w:tcPr>
            <w:tcW w:w="6606" w:type="dxa"/>
            <w:tcBorders>
              <w:right w:val="single" w:sz="4" w:space="0" w:color="auto"/>
            </w:tcBorders>
            <w:shd w:val="clear" w:color="000000" w:fill="FFFFFF"/>
            <w:vAlign w:val="center"/>
            <w:hideMark/>
          </w:tcPr>
          <w:p w14:paraId="06B99CB5" w14:textId="77777777" w:rsidR="006B6DF6" w:rsidRPr="00630A55" w:rsidRDefault="006B6DF6" w:rsidP="009527C7">
            <w:pPr>
              <w:pStyle w:val="Tabletext"/>
              <w:rPr>
                <w:color w:val="000000"/>
                <w:lang w:eastAsia="en-AU"/>
              </w:rPr>
            </w:pPr>
            <w:r w:rsidRPr="00630A55">
              <w:rPr>
                <w:lang w:eastAsia="en-AU"/>
              </w:rPr>
              <w:t>Activity</w:t>
            </w:r>
          </w:p>
        </w:tc>
        <w:tc>
          <w:tcPr>
            <w:tcW w:w="2287" w:type="dxa"/>
            <w:tcBorders>
              <w:left w:val="single" w:sz="4" w:space="0" w:color="auto"/>
              <w:right w:val="single" w:sz="4" w:space="0" w:color="auto"/>
            </w:tcBorders>
            <w:shd w:val="clear" w:color="auto" w:fill="auto"/>
            <w:noWrap/>
            <w:vAlign w:val="center"/>
          </w:tcPr>
          <w:p w14:paraId="19BD9124" w14:textId="77777777" w:rsidR="006B6DF6" w:rsidRPr="00630A55" w:rsidRDefault="006B6DF6" w:rsidP="008A7062">
            <w:pPr>
              <w:pStyle w:val="TableTextNumber"/>
              <w:jc w:val="right"/>
            </w:pPr>
            <w:r w:rsidRPr="00630A55">
              <w:t>1,082,840</w:t>
            </w:r>
          </w:p>
        </w:tc>
      </w:tr>
      <w:tr w:rsidR="006B6DF6" w:rsidRPr="00630A55" w14:paraId="67CF6922" w14:textId="77777777" w:rsidTr="00D87587">
        <w:trPr>
          <w:trHeight w:val="258"/>
        </w:trPr>
        <w:tc>
          <w:tcPr>
            <w:tcW w:w="281" w:type="dxa"/>
            <w:tcBorders>
              <w:left w:val="single" w:sz="4" w:space="0" w:color="auto"/>
            </w:tcBorders>
            <w:shd w:val="clear" w:color="000000" w:fill="FFFFFF"/>
            <w:noWrap/>
            <w:vAlign w:val="center"/>
            <w:hideMark/>
          </w:tcPr>
          <w:p w14:paraId="7A4DDD10" w14:textId="77777777" w:rsidR="006B6DF6" w:rsidRPr="00630A55" w:rsidRDefault="006B6DF6" w:rsidP="009527C7">
            <w:pPr>
              <w:pStyle w:val="Tabletext"/>
              <w:rPr>
                <w:color w:val="000000"/>
                <w:lang w:eastAsia="en-AU"/>
              </w:rPr>
            </w:pPr>
            <w:r w:rsidRPr="00630A55">
              <w:rPr>
                <w:lang w:eastAsia="en-AU"/>
              </w:rPr>
              <w:t> </w:t>
            </w:r>
          </w:p>
        </w:tc>
        <w:tc>
          <w:tcPr>
            <w:tcW w:w="6606" w:type="dxa"/>
            <w:tcBorders>
              <w:right w:val="single" w:sz="4" w:space="0" w:color="auto"/>
            </w:tcBorders>
            <w:shd w:val="clear" w:color="000000" w:fill="FFFFFF"/>
            <w:vAlign w:val="center"/>
            <w:hideMark/>
          </w:tcPr>
          <w:p w14:paraId="1826B037" w14:textId="77777777" w:rsidR="006B6DF6" w:rsidRPr="00630A55" w:rsidRDefault="006B6DF6" w:rsidP="009527C7">
            <w:pPr>
              <w:pStyle w:val="Tabletext"/>
              <w:rPr>
                <w:color w:val="000000"/>
                <w:lang w:eastAsia="en-AU"/>
              </w:rPr>
            </w:pPr>
            <w:r w:rsidRPr="00630A55">
              <w:rPr>
                <w:lang w:eastAsia="en-AU"/>
              </w:rPr>
              <w:t>Costs</w:t>
            </w:r>
          </w:p>
        </w:tc>
        <w:tc>
          <w:tcPr>
            <w:tcW w:w="2287" w:type="dxa"/>
            <w:tcBorders>
              <w:left w:val="single" w:sz="4" w:space="0" w:color="auto"/>
              <w:right w:val="single" w:sz="4" w:space="0" w:color="auto"/>
            </w:tcBorders>
            <w:shd w:val="clear" w:color="auto" w:fill="auto"/>
            <w:noWrap/>
            <w:vAlign w:val="center"/>
          </w:tcPr>
          <w:p w14:paraId="1F42FC22" w14:textId="77777777" w:rsidR="006B6DF6" w:rsidRPr="00630A55" w:rsidRDefault="006B6DF6" w:rsidP="008A7062">
            <w:pPr>
              <w:pStyle w:val="TableTextNumber"/>
              <w:jc w:val="right"/>
            </w:pPr>
            <w:r w:rsidRPr="00630A55">
              <w:t>$1,333,132,466</w:t>
            </w:r>
          </w:p>
        </w:tc>
      </w:tr>
      <w:tr w:rsidR="006B6DF6" w:rsidRPr="00630A55" w14:paraId="276FF195" w14:textId="77777777" w:rsidTr="00D87587">
        <w:trPr>
          <w:trHeight w:val="258"/>
        </w:trPr>
        <w:tc>
          <w:tcPr>
            <w:tcW w:w="6887" w:type="dxa"/>
            <w:gridSpan w:val="2"/>
            <w:tcBorders>
              <w:left w:val="single" w:sz="4" w:space="0" w:color="auto"/>
              <w:right w:val="single" w:sz="4" w:space="0" w:color="auto"/>
            </w:tcBorders>
            <w:shd w:val="clear" w:color="000000" w:fill="FFFFFF"/>
            <w:vAlign w:val="center"/>
            <w:hideMark/>
          </w:tcPr>
          <w:p w14:paraId="1B0133D1" w14:textId="3CD7F639" w:rsidR="006B6DF6" w:rsidRPr="00630A55" w:rsidRDefault="006B6DF6" w:rsidP="009527C7">
            <w:pPr>
              <w:pStyle w:val="Tabletext"/>
              <w:rPr>
                <w:color w:val="000000"/>
                <w:lang w:eastAsia="en-AU"/>
              </w:rPr>
            </w:pPr>
            <w:r w:rsidRPr="00630A55">
              <w:rPr>
                <w:lang w:eastAsia="en-AU"/>
              </w:rPr>
              <w:t xml:space="preserve">Adjustments to </w:t>
            </w:r>
            <w:r w:rsidR="00A46E2E">
              <w:rPr>
                <w:lang w:eastAsia="en-AU"/>
              </w:rPr>
              <w:t>j</w:t>
            </w:r>
            <w:r w:rsidRPr="00630A55">
              <w:rPr>
                <w:lang w:eastAsia="en-AU"/>
              </w:rPr>
              <w:t xml:space="preserve">urisdictional </w:t>
            </w:r>
            <w:r w:rsidR="00A46E2E">
              <w:rPr>
                <w:lang w:eastAsia="en-AU"/>
              </w:rPr>
              <w:t>s</w:t>
            </w:r>
            <w:r w:rsidRPr="00630A55">
              <w:rPr>
                <w:lang w:eastAsia="en-AU"/>
              </w:rPr>
              <w:t xml:space="preserve">ubmission prior to finalisation of </w:t>
            </w:r>
            <w:r w:rsidR="00A46E2E">
              <w:rPr>
                <w:lang w:eastAsia="en-AU"/>
              </w:rPr>
              <w:t>j</w:t>
            </w:r>
            <w:r w:rsidRPr="00630A55">
              <w:rPr>
                <w:lang w:eastAsia="en-AU"/>
              </w:rPr>
              <w:t>urisdictional data</w:t>
            </w:r>
          </w:p>
        </w:tc>
        <w:tc>
          <w:tcPr>
            <w:tcW w:w="2287" w:type="dxa"/>
            <w:tcBorders>
              <w:left w:val="single" w:sz="4" w:space="0" w:color="auto"/>
              <w:right w:val="single" w:sz="4" w:space="0" w:color="auto"/>
            </w:tcBorders>
            <w:shd w:val="clear" w:color="auto" w:fill="auto"/>
            <w:vAlign w:val="center"/>
          </w:tcPr>
          <w:p w14:paraId="182D9313" w14:textId="77777777" w:rsidR="006B6DF6" w:rsidRPr="00630A55" w:rsidRDefault="006B6DF6" w:rsidP="008A7062">
            <w:pPr>
              <w:pStyle w:val="TableTextNumber"/>
              <w:jc w:val="right"/>
            </w:pPr>
          </w:p>
        </w:tc>
      </w:tr>
      <w:tr w:rsidR="006B6DF6" w:rsidRPr="00630A55" w14:paraId="7331D708" w14:textId="77777777" w:rsidTr="00D87587">
        <w:trPr>
          <w:trHeight w:val="258"/>
        </w:trPr>
        <w:tc>
          <w:tcPr>
            <w:tcW w:w="281" w:type="dxa"/>
            <w:tcBorders>
              <w:left w:val="single" w:sz="4" w:space="0" w:color="auto"/>
            </w:tcBorders>
            <w:shd w:val="clear" w:color="000000" w:fill="FFFFFF"/>
            <w:noWrap/>
            <w:vAlign w:val="center"/>
            <w:hideMark/>
          </w:tcPr>
          <w:p w14:paraId="0C93A504" w14:textId="77777777" w:rsidR="006B6DF6" w:rsidRPr="00630A55" w:rsidRDefault="006B6DF6" w:rsidP="009527C7">
            <w:pPr>
              <w:pStyle w:val="Tabletext"/>
              <w:rPr>
                <w:color w:val="000000"/>
                <w:lang w:eastAsia="en-AU"/>
              </w:rPr>
            </w:pPr>
            <w:r w:rsidRPr="00630A55">
              <w:rPr>
                <w:lang w:eastAsia="en-AU"/>
              </w:rPr>
              <w:t> </w:t>
            </w:r>
          </w:p>
        </w:tc>
        <w:tc>
          <w:tcPr>
            <w:tcW w:w="6606" w:type="dxa"/>
            <w:tcBorders>
              <w:right w:val="single" w:sz="4" w:space="0" w:color="auto"/>
            </w:tcBorders>
            <w:shd w:val="clear" w:color="000000" w:fill="FFFFFF"/>
            <w:noWrap/>
            <w:vAlign w:val="center"/>
            <w:hideMark/>
          </w:tcPr>
          <w:p w14:paraId="172E53A9" w14:textId="77777777" w:rsidR="006B6DF6" w:rsidRPr="00630A55" w:rsidRDefault="006B6DF6" w:rsidP="009527C7">
            <w:pPr>
              <w:pStyle w:val="Tabletext"/>
              <w:rPr>
                <w:color w:val="000000"/>
                <w:lang w:eastAsia="en-AU"/>
              </w:rPr>
            </w:pPr>
            <w:r w:rsidRPr="00630A55">
              <w:rPr>
                <w:lang w:eastAsia="en-AU"/>
              </w:rPr>
              <w:t xml:space="preserve">Activity totals </w:t>
            </w:r>
          </w:p>
        </w:tc>
        <w:tc>
          <w:tcPr>
            <w:tcW w:w="2287" w:type="dxa"/>
            <w:tcBorders>
              <w:left w:val="single" w:sz="4" w:space="0" w:color="auto"/>
              <w:right w:val="single" w:sz="4" w:space="0" w:color="auto"/>
            </w:tcBorders>
            <w:shd w:val="clear" w:color="auto" w:fill="auto"/>
            <w:noWrap/>
            <w:vAlign w:val="center"/>
          </w:tcPr>
          <w:p w14:paraId="674C3FA0" w14:textId="77777777" w:rsidR="006B6DF6" w:rsidRPr="00630A55" w:rsidRDefault="006B6DF6" w:rsidP="008A7062">
            <w:pPr>
              <w:pStyle w:val="TableTextNumber"/>
              <w:jc w:val="right"/>
            </w:pPr>
            <w:r w:rsidRPr="00630A55">
              <w:t>(556,448)</w:t>
            </w:r>
          </w:p>
        </w:tc>
      </w:tr>
      <w:tr w:rsidR="006B6DF6" w:rsidRPr="00630A55" w14:paraId="205CF510" w14:textId="77777777" w:rsidTr="00D87587">
        <w:trPr>
          <w:trHeight w:val="258"/>
        </w:trPr>
        <w:tc>
          <w:tcPr>
            <w:tcW w:w="281" w:type="dxa"/>
            <w:tcBorders>
              <w:left w:val="single" w:sz="4" w:space="0" w:color="auto"/>
            </w:tcBorders>
            <w:shd w:val="clear" w:color="000000" w:fill="FFFFFF"/>
            <w:noWrap/>
            <w:vAlign w:val="center"/>
            <w:hideMark/>
          </w:tcPr>
          <w:p w14:paraId="5A133C0D" w14:textId="77777777" w:rsidR="006B6DF6" w:rsidRPr="00630A55" w:rsidRDefault="006B6DF6" w:rsidP="009527C7">
            <w:pPr>
              <w:pStyle w:val="Tabletext"/>
              <w:rPr>
                <w:color w:val="000000"/>
                <w:lang w:eastAsia="en-AU"/>
              </w:rPr>
            </w:pPr>
            <w:r w:rsidRPr="00630A55">
              <w:rPr>
                <w:lang w:eastAsia="en-AU"/>
              </w:rPr>
              <w:t> </w:t>
            </w:r>
          </w:p>
        </w:tc>
        <w:tc>
          <w:tcPr>
            <w:tcW w:w="6606" w:type="dxa"/>
            <w:tcBorders>
              <w:right w:val="single" w:sz="4" w:space="0" w:color="auto"/>
            </w:tcBorders>
            <w:shd w:val="clear" w:color="000000" w:fill="FFFFFF"/>
            <w:noWrap/>
            <w:vAlign w:val="center"/>
            <w:hideMark/>
          </w:tcPr>
          <w:p w14:paraId="2EF3992A" w14:textId="77777777" w:rsidR="006B6DF6" w:rsidRPr="00630A55" w:rsidRDefault="006B6DF6" w:rsidP="009527C7">
            <w:pPr>
              <w:pStyle w:val="Tabletext"/>
              <w:rPr>
                <w:color w:val="000000"/>
                <w:lang w:eastAsia="en-AU"/>
              </w:rPr>
            </w:pPr>
            <w:r w:rsidRPr="00630A55">
              <w:rPr>
                <w:lang w:eastAsia="en-AU"/>
              </w:rPr>
              <w:t>Cost totals</w:t>
            </w:r>
          </w:p>
        </w:tc>
        <w:tc>
          <w:tcPr>
            <w:tcW w:w="2287" w:type="dxa"/>
            <w:tcBorders>
              <w:left w:val="single" w:sz="4" w:space="0" w:color="auto"/>
              <w:right w:val="single" w:sz="4" w:space="0" w:color="auto"/>
            </w:tcBorders>
            <w:shd w:val="clear" w:color="auto" w:fill="auto"/>
            <w:noWrap/>
            <w:vAlign w:val="center"/>
          </w:tcPr>
          <w:p w14:paraId="52479CF3" w14:textId="77777777" w:rsidR="006B6DF6" w:rsidRPr="00630A55" w:rsidRDefault="006B6DF6" w:rsidP="008A7062">
            <w:pPr>
              <w:pStyle w:val="TableTextNumber"/>
              <w:jc w:val="right"/>
            </w:pPr>
            <w:r w:rsidRPr="00630A55">
              <w:t>($394,052,036)</w:t>
            </w:r>
          </w:p>
        </w:tc>
      </w:tr>
      <w:tr w:rsidR="006B6DF6" w:rsidRPr="00630A55" w14:paraId="3DFC0992" w14:textId="77777777" w:rsidTr="00D87587">
        <w:trPr>
          <w:trHeight w:val="258"/>
        </w:trPr>
        <w:tc>
          <w:tcPr>
            <w:tcW w:w="6887" w:type="dxa"/>
            <w:gridSpan w:val="2"/>
            <w:tcBorders>
              <w:left w:val="single" w:sz="4" w:space="0" w:color="auto"/>
              <w:right w:val="single" w:sz="4" w:space="0" w:color="auto"/>
            </w:tcBorders>
            <w:shd w:val="clear" w:color="000000" w:fill="FFFFFF"/>
            <w:vAlign w:val="center"/>
            <w:hideMark/>
          </w:tcPr>
          <w:p w14:paraId="29323809" w14:textId="11ADFBC1" w:rsidR="006B6DF6" w:rsidRPr="00630A55" w:rsidRDefault="006B6DF6" w:rsidP="009527C7">
            <w:pPr>
              <w:pStyle w:val="Tabletext"/>
              <w:rPr>
                <w:color w:val="000000"/>
                <w:lang w:eastAsia="en-AU"/>
              </w:rPr>
            </w:pPr>
            <w:r w:rsidRPr="00630A55">
              <w:rPr>
                <w:lang w:eastAsia="en-AU"/>
              </w:rPr>
              <w:t xml:space="preserve">Final </w:t>
            </w:r>
            <w:r w:rsidR="00A46E2E">
              <w:rPr>
                <w:lang w:eastAsia="en-AU"/>
              </w:rPr>
              <w:t>j</w:t>
            </w:r>
            <w:r w:rsidRPr="00630A55">
              <w:rPr>
                <w:lang w:eastAsia="en-AU"/>
              </w:rPr>
              <w:t xml:space="preserve">urisdictional </w:t>
            </w:r>
            <w:r w:rsidR="00A46E2E">
              <w:rPr>
                <w:lang w:eastAsia="en-AU"/>
              </w:rPr>
              <w:t>d</w:t>
            </w:r>
            <w:r w:rsidRPr="00630A55">
              <w:rPr>
                <w:lang w:eastAsia="en-AU"/>
              </w:rPr>
              <w:t xml:space="preserve">ata for </w:t>
            </w:r>
            <w:r w:rsidR="00A46E2E">
              <w:rPr>
                <w:lang w:eastAsia="en-AU"/>
              </w:rPr>
              <w:t>c</w:t>
            </w:r>
            <w:r w:rsidRPr="00630A55">
              <w:rPr>
                <w:lang w:eastAsia="en-AU"/>
              </w:rPr>
              <w:t xml:space="preserve">ost </w:t>
            </w:r>
            <w:r w:rsidR="00A46E2E">
              <w:rPr>
                <w:lang w:eastAsia="en-AU"/>
              </w:rPr>
              <w:t>w</w:t>
            </w:r>
            <w:r w:rsidRPr="00630A55">
              <w:rPr>
                <w:lang w:eastAsia="en-AU"/>
              </w:rPr>
              <w:t xml:space="preserve">eight </w:t>
            </w:r>
            <w:r w:rsidR="00A46E2E">
              <w:rPr>
                <w:lang w:eastAsia="en-AU"/>
              </w:rPr>
              <w:t>p</w:t>
            </w:r>
            <w:r w:rsidRPr="00630A55">
              <w:rPr>
                <w:lang w:eastAsia="en-AU"/>
              </w:rPr>
              <w:t>roduction</w:t>
            </w:r>
          </w:p>
        </w:tc>
        <w:tc>
          <w:tcPr>
            <w:tcW w:w="2287" w:type="dxa"/>
            <w:tcBorders>
              <w:left w:val="single" w:sz="4" w:space="0" w:color="auto"/>
              <w:right w:val="single" w:sz="4" w:space="0" w:color="auto"/>
            </w:tcBorders>
            <w:shd w:val="clear" w:color="auto" w:fill="auto"/>
            <w:vAlign w:val="center"/>
          </w:tcPr>
          <w:p w14:paraId="069C8737" w14:textId="77777777" w:rsidR="006B6DF6" w:rsidRPr="00630A55" w:rsidRDefault="006B6DF6" w:rsidP="008A7062">
            <w:pPr>
              <w:pStyle w:val="TableTextNumber"/>
              <w:jc w:val="right"/>
            </w:pPr>
          </w:p>
        </w:tc>
      </w:tr>
      <w:tr w:rsidR="006B6DF6" w:rsidRPr="00630A55" w14:paraId="66B3B6CA" w14:textId="77777777" w:rsidTr="00D87587">
        <w:trPr>
          <w:trHeight w:val="258"/>
        </w:trPr>
        <w:tc>
          <w:tcPr>
            <w:tcW w:w="281" w:type="dxa"/>
            <w:tcBorders>
              <w:left w:val="single" w:sz="4" w:space="0" w:color="auto"/>
            </w:tcBorders>
            <w:shd w:val="clear" w:color="000000" w:fill="FFFFFF"/>
            <w:noWrap/>
            <w:vAlign w:val="center"/>
            <w:hideMark/>
          </w:tcPr>
          <w:p w14:paraId="0907EF8C" w14:textId="77777777" w:rsidR="006B6DF6" w:rsidRPr="00630A55" w:rsidRDefault="006B6DF6" w:rsidP="009527C7">
            <w:pPr>
              <w:pStyle w:val="Tabletext"/>
              <w:rPr>
                <w:color w:val="000000"/>
                <w:lang w:eastAsia="en-AU"/>
              </w:rPr>
            </w:pPr>
            <w:r w:rsidRPr="00630A55">
              <w:rPr>
                <w:lang w:eastAsia="en-AU"/>
              </w:rPr>
              <w:t> </w:t>
            </w:r>
          </w:p>
        </w:tc>
        <w:tc>
          <w:tcPr>
            <w:tcW w:w="6606" w:type="dxa"/>
            <w:tcBorders>
              <w:right w:val="single" w:sz="4" w:space="0" w:color="auto"/>
            </w:tcBorders>
            <w:shd w:val="clear" w:color="000000" w:fill="FFFFFF"/>
            <w:vAlign w:val="center"/>
            <w:hideMark/>
          </w:tcPr>
          <w:p w14:paraId="107D889B" w14:textId="139E603D" w:rsidR="006B6DF6" w:rsidRPr="00630A55" w:rsidRDefault="006B6DF6" w:rsidP="009527C7">
            <w:pPr>
              <w:pStyle w:val="Tabletext"/>
              <w:rPr>
                <w:color w:val="000000"/>
                <w:lang w:eastAsia="en-AU"/>
              </w:rPr>
            </w:pPr>
            <w:r w:rsidRPr="00630A55">
              <w:rPr>
                <w:lang w:eastAsia="en-AU"/>
              </w:rPr>
              <w:t xml:space="preserve">Finalised </w:t>
            </w:r>
            <w:r w:rsidR="00A46E2E">
              <w:rPr>
                <w:lang w:eastAsia="en-AU"/>
              </w:rPr>
              <w:t>a</w:t>
            </w:r>
            <w:r w:rsidRPr="00630A55">
              <w:rPr>
                <w:lang w:eastAsia="en-AU"/>
              </w:rPr>
              <w:t>ctivity</w:t>
            </w:r>
          </w:p>
        </w:tc>
        <w:tc>
          <w:tcPr>
            <w:tcW w:w="2287" w:type="dxa"/>
            <w:tcBorders>
              <w:left w:val="single" w:sz="4" w:space="0" w:color="auto"/>
              <w:right w:val="single" w:sz="4" w:space="0" w:color="auto"/>
            </w:tcBorders>
            <w:shd w:val="clear" w:color="auto" w:fill="auto"/>
            <w:noWrap/>
            <w:vAlign w:val="center"/>
          </w:tcPr>
          <w:p w14:paraId="3AEE655F" w14:textId="77777777" w:rsidR="006B6DF6" w:rsidRPr="00630A55" w:rsidRDefault="006B6DF6" w:rsidP="008A7062">
            <w:pPr>
              <w:pStyle w:val="TableTextNumber"/>
              <w:jc w:val="right"/>
            </w:pPr>
            <w:r w:rsidRPr="00630A55">
              <w:t>526,392</w:t>
            </w:r>
          </w:p>
        </w:tc>
      </w:tr>
      <w:tr w:rsidR="006B6DF6" w:rsidRPr="00630A55" w14:paraId="1DB558B4" w14:textId="77777777" w:rsidTr="00D87587">
        <w:trPr>
          <w:trHeight w:val="258"/>
        </w:trPr>
        <w:tc>
          <w:tcPr>
            <w:tcW w:w="281" w:type="dxa"/>
            <w:tcBorders>
              <w:left w:val="single" w:sz="4" w:space="0" w:color="auto"/>
              <w:bottom w:val="single" w:sz="4" w:space="0" w:color="auto"/>
            </w:tcBorders>
            <w:shd w:val="clear" w:color="000000" w:fill="FFFFFF"/>
            <w:noWrap/>
            <w:vAlign w:val="center"/>
            <w:hideMark/>
          </w:tcPr>
          <w:p w14:paraId="177855F3" w14:textId="77777777" w:rsidR="006B6DF6" w:rsidRPr="00630A55" w:rsidRDefault="006B6DF6" w:rsidP="009527C7">
            <w:pPr>
              <w:pStyle w:val="Tabletext"/>
              <w:rPr>
                <w:color w:val="000000"/>
                <w:lang w:eastAsia="en-AU"/>
              </w:rPr>
            </w:pPr>
            <w:r w:rsidRPr="00630A55">
              <w:rPr>
                <w:lang w:eastAsia="en-AU"/>
              </w:rPr>
              <w:t> </w:t>
            </w:r>
          </w:p>
        </w:tc>
        <w:tc>
          <w:tcPr>
            <w:tcW w:w="6606" w:type="dxa"/>
            <w:tcBorders>
              <w:bottom w:val="single" w:sz="4" w:space="0" w:color="auto"/>
              <w:right w:val="single" w:sz="4" w:space="0" w:color="auto"/>
            </w:tcBorders>
            <w:shd w:val="clear" w:color="000000" w:fill="FFFFFF"/>
            <w:vAlign w:val="center"/>
            <w:hideMark/>
          </w:tcPr>
          <w:p w14:paraId="7E861AB3" w14:textId="41BF31C4" w:rsidR="006B6DF6" w:rsidRPr="00630A55" w:rsidRDefault="006B6DF6" w:rsidP="009527C7">
            <w:pPr>
              <w:pStyle w:val="Tabletext"/>
              <w:rPr>
                <w:color w:val="000000"/>
                <w:lang w:eastAsia="en-AU"/>
              </w:rPr>
            </w:pPr>
            <w:r w:rsidRPr="00630A55">
              <w:rPr>
                <w:lang w:eastAsia="en-AU"/>
              </w:rPr>
              <w:t xml:space="preserve">Finalised </w:t>
            </w:r>
            <w:r w:rsidR="00A46E2E">
              <w:rPr>
                <w:lang w:eastAsia="en-AU"/>
              </w:rPr>
              <w:t>c</w:t>
            </w:r>
            <w:r w:rsidRPr="00630A55">
              <w:rPr>
                <w:lang w:eastAsia="en-AU"/>
              </w:rPr>
              <w:t>ost</w:t>
            </w:r>
          </w:p>
        </w:tc>
        <w:tc>
          <w:tcPr>
            <w:tcW w:w="2287" w:type="dxa"/>
            <w:tcBorders>
              <w:left w:val="single" w:sz="4" w:space="0" w:color="auto"/>
              <w:bottom w:val="single" w:sz="4" w:space="0" w:color="auto"/>
              <w:right w:val="single" w:sz="4" w:space="0" w:color="auto"/>
            </w:tcBorders>
            <w:shd w:val="clear" w:color="auto" w:fill="auto"/>
            <w:noWrap/>
            <w:vAlign w:val="center"/>
          </w:tcPr>
          <w:p w14:paraId="79BB338B" w14:textId="77777777" w:rsidR="006B6DF6" w:rsidRPr="00630A55" w:rsidRDefault="006B6DF6" w:rsidP="008A7062">
            <w:pPr>
              <w:pStyle w:val="TableTextNumber"/>
              <w:jc w:val="right"/>
            </w:pPr>
            <w:r w:rsidRPr="00630A55">
              <w:t>$939,080,430</w:t>
            </w:r>
          </w:p>
        </w:tc>
      </w:tr>
    </w:tbl>
    <w:p w14:paraId="138B695D" w14:textId="02305EAD" w:rsidR="00016A79" w:rsidRDefault="00D725FA" w:rsidP="00D725FA">
      <w:pPr>
        <w:pStyle w:val="Source"/>
      </w:pPr>
      <w:r w:rsidRPr="00630A55">
        <w:t xml:space="preserve">Source: Jurisdictional consultations and </w:t>
      </w:r>
      <w:r>
        <w:t>templates</w:t>
      </w:r>
    </w:p>
    <w:p w14:paraId="14ACD251" w14:textId="77777777" w:rsidR="00016A79" w:rsidRDefault="00016A79">
      <w:pPr>
        <w:spacing w:before="0" w:after="160" w:line="259" w:lineRule="auto"/>
        <w:rPr>
          <w:bCs/>
          <w:i/>
          <w:sz w:val="16"/>
          <w:szCs w:val="16"/>
        </w:rPr>
      </w:pPr>
      <w:r>
        <w:br w:type="page"/>
      </w:r>
    </w:p>
    <w:p w14:paraId="3C7C07A9" w14:textId="77777777" w:rsidR="006B6DF6" w:rsidRPr="00630A55" w:rsidRDefault="006B6DF6" w:rsidP="0008151F">
      <w:pPr>
        <w:pStyle w:val="Heading3"/>
        <w:rPr>
          <w:rFonts w:ascii="Univers 45 Light" w:hAnsi="Univers 45 Light"/>
          <w:b w:val="0"/>
          <w:color w:val="4FC3FF" w:themeColor="accent2" w:themeTint="99"/>
          <w:szCs w:val="20"/>
        </w:rPr>
      </w:pPr>
      <w:r w:rsidRPr="00630A55">
        <w:lastRenderedPageBreak/>
        <w:t>Sample patient data</w:t>
      </w:r>
    </w:p>
    <w:p w14:paraId="64571B12" w14:textId="77777777" w:rsidR="00D91CB1" w:rsidRDefault="006B6DF6" w:rsidP="00D87587">
      <w:pPr>
        <w:jc w:val="both"/>
      </w:pPr>
      <w:r w:rsidRPr="00630A55">
        <w:t xml:space="preserve">IHACPA selected a sample of five patients from each site (LRH, BHS and RMH) for the purposes of testing the patient level data flow from the jurisdiction to IHACPA. </w:t>
      </w:r>
    </w:p>
    <w:p w14:paraId="7D3EBFDF" w14:textId="23415C36" w:rsidR="006B6DF6" w:rsidRDefault="006B6DF6" w:rsidP="00D87587">
      <w:pPr>
        <w:jc w:val="both"/>
      </w:pPr>
      <w:r w:rsidRPr="00630A55">
        <w:t xml:space="preserve">The jurisdiction provided the patient level costs for the five patients from each site and these reconciled with IHACPA records. Further information relating to the sample records is available in </w:t>
      </w:r>
      <w:r w:rsidR="00F876B0">
        <w:rPr>
          <w:highlight w:val="yellow"/>
        </w:rPr>
        <w:fldChar w:fldCharType="begin"/>
      </w:r>
      <w:r w:rsidR="00F876B0">
        <w:instrText xml:space="preserve"> REF _Ref114757303 \h </w:instrText>
      </w:r>
      <w:r w:rsidR="00D87587">
        <w:rPr>
          <w:highlight w:val="yellow"/>
        </w:rPr>
        <w:instrText xml:space="preserve"> \* MERGEFORMAT </w:instrText>
      </w:r>
      <w:r w:rsidR="00F876B0">
        <w:rPr>
          <w:highlight w:val="yellow"/>
        </w:rPr>
      </w:r>
      <w:r w:rsidR="00F876B0">
        <w:rPr>
          <w:highlight w:val="yellow"/>
        </w:rPr>
        <w:fldChar w:fldCharType="separate"/>
      </w:r>
      <w:r w:rsidR="007E2ACB" w:rsidRPr="007E2ACB">
        <w:t xml:space="preserve">Table </w:t>
      </w:r>
      <w:r w:rsidR="007E2ACB" w:rsidRPr="007E2ACB">
        <w:rPr>
          <w:noProof/>
        </w:rPr>
        <w:t>28</w:t>
      </w:r>
      <w:r w:rsidR="00F876B0">
        <w:rPr>
          <w:highlight w:val="yellow"/>
        </w:rPr>
        <w:fldChar w:fldCharType="end"/>
      </w:r>
      <w:r w:rsidR="00A8310C">
        <w:t>.</w:t>
      </w:r>
    </w:p>
    <w:p w14:paraId="3D09C966" w14:textId="76A22F53" w:rsidR="00584D24" w:rsidRDefault="00584D24" w:rsidP="00584D24">
      <w:pPr>
        <w:pStyle w:val="Caption"/>
      </w:pPr>
      <w:bookmarkStart w:id="74" w:name="_Ref114757303"/>
      <w:r w:rsidRPr="00A8310C">
        <w:rPr>
          <w:b/>
          <w:bCs/>
        </w:rPr>
        <w:t xml:space="preserve">Table </w:t>
      </w:r>
      <w:r w:rsidR="00D91CB1" w:rsidRPr="00A8310C">
        <w:rPr>
          <w:b/>
          <w:bCs/>
        </w:rPr>
        <w:fldChar w:fldCharType="begin"/>
      </w:r>
      <w:r w:rsidR="00D91CB1" w:rsidRPr="00A8310C">
        <w:rPr>
          <w:b/>
          <w:bCs/>
        </w:rPr>
        <w:instrText xml:space="preserve"> SEQ Table \* ARABIC </w:instrText>
      </w:r>
      <w:r w:rsidR="00D91CB1" w:rsidRPr="00A8310C">
        <w:rPr>
          <w:b/>
          <w:bCs/>
        </w:rPr>
        <w:fldChar w:fldCharType="separate"/>
      </w:r>
      <w:r w:rsidR="007E2ACB">
        <w:rPr>
          <w:b/>
          <w:bCs/>
          <w:noProof/>
        </w:rPr>
        <w:t>28</w:t>
      </w:r>
      <w:r w:rsidR="00D91CB1" w:rsidRPr="00A8310C">
        <w:rPr>
          <w:b/>
          <w:bCs/>
          <w:noProof/>
        </w:rPr>
        <w:fldChar w:fldCharType="end"/>
      </w:r>
      <w:bookmarkEnd w:id="74"/>
      <w:r w:rsidRPr="00A8310C">
        <w:rPr>
          <w:b/>
          <w:bCs/>
        </w:rPr>
        <w:t>:</w:t>
      </w:r>
      <w:r>
        <w:t xml:space="preserve"> </w:t>
      </w:r>
      <w:r w:rsidR="00F876B0">
        <w:t>Victoria five patient sample reconciliation outcome</w:t>
      </w:r>
    </w:p>
    <w:tbl>
      <w:tblPr>
        <w:tblStyle w:val="TableGrid"/>
        <w:tblW w:w="9209" w:type="dxa"/>
        <w:tblCellMar>
          <w:left w:w="0" w:type="dxa"/>
          <w:right w:w="0" w:type="dxa"/>
        </w:tblCellMar>
        <w:tblLook w:val="04A0" w:firstRow="1" w:lastRow="0" w:firstColumn="1" w:lastColumn="0" w:noHBand="0" w:noVBand="1"/>
      </w:tblPr>
      <w:tblGrid>
        <w:gridCol w:w="1400"/>
        <w:gridCol w:w="1485"/>
        <w:gridCol w:w="1561"/>
        <w:gridCol w:w="1623"/>
        <w:gridCol w:w="1685"/>
        <w:gridCol w:w="1455"/>
      </w:tblGrid>
      <w:tr w:rsidR="00EB0D7F" w:rsidRPr="00630A55" w14:paraId="79496751" w14:textId="77777777" w:rsidTr="003B139A">
        <w:trPr>
          <w:trHeight w:val="20"/>
          <w:tblHeader/>
        </w:trPr>
        <w:tc>
          <w:tcPr>
            <w:tcW w:w="1400" w:type="dxa"/>
            <w:shd w:val="clear" w:color="auto" w:fill="00338D"/>
          </w:tcPr>
          <w:p w14:paraId="4D08E8D0" w14:textId="77777777" w:rsidR="00EB0D7F" w:rsidRPr="00630A55" w:rsidRDefault="00EB0D7F" w:rsidP="003B139A">
            <w:pPr>
              <w:pStyle w:val="Tableheading"/>
              <w:spacing w:before="0" w:after="0"/>
            </w:pPr>
            <w:r w:rsidRPr="00630A55">
              <w:t xml:space="preserve">Jurisdiction </w:t>
            </w:r>
          </w:p>
        </w:tc>
        <w:tc>
          <w:tcPr>
            <w:tcW w:w="1485" w:type="dxa"/>
            <w:shd w:val="clear" w:color="auto" w:fill="00338D"/>
          </w:tcPr>
          <w:p w14:paraId="69D8496E" w14:textId="77777777" w:rsidR="00EB0D7F" w:rsidRPr="00630A55" w:rsidRDefault="00EB0D7F" w:rsidP="003B139A">
            <w:pPr>
              <w:pStyle w:val="Tableheading"/>
              <w:spacing w:before="0" w:after="0"/>
            </w:pPr>
            <w:r w:rsidRPr="00630A55">
              <w:t>Site</w:t>
            </w:r>
          </w:p>
        </w:tc>
        <w:tc>
          <w:tcPr>
            <w:tcW w:w="1561" w:type="dxa"/>
            <w:shd w:val="clear" w:color="auto" w:fill="00338D"/>
          </w:tcPr>
          <w:p w14:paraId="2985E0F2" w14:textId="77777777" w:rsidR="00EB0D7F" w:rsidRPr="00630A55" w:rsidRDefault="00EB0D7F" w:rsidP="003B139A">
            <w:pPr>
              <w:pStyle w:val="Tableheading"/>
              <w:spacing w:before="0" w:after="0"/>
            </w:pPr>
            <w:r w:rsidRPr="00630A55">
              <w:t>Stream</w:t>
            </w:r>
          </w:p>
        </w:tc>
        <w:tc>
          <w:tcPr>
            <w:tcW w:w="1623" w:type="dxa"/>
            <w:shd w:val="clear" w:color="auto" w:fill="00338D"/>
          </w:tcPr>
          <w:p w14:paraId="1013718B" w14:textId="68A97014" w:rsidR="00EB0D7F" w:rsidRPr="00630A55" w:rsidRDefault="00EB0D7F" w:rsidP="003B139A">
            <w:pPr>
              <w:pStyle w:val="Tableheading"/>
              <w:spacing w:before="0" w:after="0"/>
            </w:pPr>
            <w:r w:rsidRPr="00630A55">
              <w:t xml:space="preserve">Jurisdiction </w:t>
            </w:r>
            <w:r w:rsidR="00FF2F13">
              <w:t>r</w:t>
            </w:r>
            <w:r w:rsidRPr="00630A55">
              <w:t>ecords</w:t>
            </w:r>
          </w:p>
        </w:tc>
        <w:tc>
          <w:tcPr>
            <w:tcW w:w="1685" w:type="dxa"/>
            <w:shd w:val="clear" w:color="auto" w:fill="00338D"/>
          </w:tcPr>
          <w:p w14:paraId="54F79BDD" w14:textId="77777777" w:rsidR="00EB0D7F" w:rsidRPr="00630A55" w:rsidRDefault="00EB0D7F" w:rsidP="003B139A">
            <w:pPr>
              <w:pStyle w:val="Tableheading"/>
              <w:spacing w:before="0" w:after="0"/>
            </w:pPr>
            <w:r w:rsidRPr="00630A55">
              <w:t xml:space="preserve">Received by IHACPA </w:t>
            </w:r>
          </w:p>
        </w:tc>
        <w:tc>
          <w:tcPr>
            <w:tcW w:w="1455" w:type="dxa"/>
            <w:shd w:val="clear" w:color="auto" w:fill="00338D"/>
          </w:tcPr>
          <w:p w14:paraId="3A235A3B" w14:textId="77777777" w:rsidR="00EB0D7F" w:rsidRPr="00630A55" w:rsidRDefault="00EB0D7F" w:rsidP="003B139A">
            <w:pPr>
              <w:pStyle w:val="Tableheading"/>
              <w:spacing w:before="0" w:after="0"/>
            </w:pPr>
            <w:r w:rsidRPr="00630A55">
              <w:t>Variance</w:t>
            </w:r>
          </w:p>
        </w:tc>
      </w:tr>
      <w:tr w:rsidR="00482B70" w:rsidRPr="00630A55" w14:paraId="35280978" w14:textId="77777777" w:rsidTr="003B139A">
        <w:trPr>
          <w:trHeight w:val="20"/>
        </w:trPr>
        <w:tc>
          <w:tcPr>
            <w:tcW w:w="1400" w:type="dxa"/>
            <w:vMerge w:val="restart"/>
          </w:tcPr>
          <w:p w14:paraId="2C68B112" w14:textId="77777777" w:rsidR="00482B70" w:rsidRPr="00630A55" w:rsidRDefault="00482B70" w:rsidP="003B139A">
            <w:pPr>
              <w:pStyle w:val="Tabletext"/>
              <w:spacing w:before="0" w:after="0"/>
            </w:pPr>
            <w:r w:rsidRPr="00630A55">
              <w:t>Victoria</w:t>
            </w:r>
          </w:p>
        </w:tc>
        <w:tc>
          <w:tcPr>
            <w:tcW w:w="1485" w:type="dxa"/>
            <w:vMerge w:val="restart"/>
          </w:tcPr>
          <w:p w14:paraId="475DD3D6" w14:textId="77777777" w:rsidR="00482B70" w:rsidRPr="00630A55" w:rsidRDefault="00482B70" w:rsidP="003B139A">
            <w:pPr>
              <w:pStyle w:val="Tabletext"/>
              <w:spacing w:before="0" w:after="0"/>
            </w:pPr>
            <w:r w:rsidRPr="00630A55">
              <w:t>Latrobe Regional Hospital</w:t>
            </w:r>
          </w:p>
        </w:tc>
        <w:tc>
          <w:tcPr>
            <w:tcW w:w="1561" w:type="dxa"/>
          </w:tcPr>
          <w:p w14:paraId="759487DD" w14:textId="77777777" w:rsidR="00482B70" w:rsidRPr="00630A55" w:rsidRDefault="00482B70" w:rsidP="003B139A">
            <w:pPr>
              <w:pStyle w:val="Tabletext"/>
              <w:spacing w:before="0" w:after="0"/>
            </w:pPr>
            <w:r w:rsidRPr="00630A55">
              <w:t>Acute</w:t>
            </w:r>
          </w:p>
        </w:tc>
        <w:tc>
          <w:tcPr>
            <w:tcW w:w="1623" w:type="dxa"/>
          </w:tcPr>
          <w:p w14:paraId="5E2D224B" w14:textId="77777777" w:rsidR="00482B70" w:rsidRPr="00630A55" w:rsidRDefault="00482B70" w:rsidP="003B139A">
            <w:pPr>
              <w:pStyle w:val="TableNumberdectab"/>
              <w:spacing w:before="0" w:after="0"/>
              <w:jc w:val="right"/>
            </w:pPr>
            <w:r w:rsidRPr="00630A55">
              <w:t>$149,090.66</w:t>
            </w:r>
          </w:p>
        </w:tc>
        <w:tc>
          <w:tcPr>
            <w:tcW w:w="1685" w:type="dxa"/>
          </w:tcPr>
          <w:p w14:paraId="04897E93" w14:textId="77777777" w:rsidR="00482B70" w:rsidRPr="00630A55" w:rsidRDefault="00482B70" w:rsidP="003B139A">
            <w:pPr>
              <w:pStyle w:val="TableNumberdectab"/>
              <w:spacing w:before="0" w:after="0"/>
              <w:jc w:val="right"/>
            </w:pPr>
            <w:r w:rsidRPr="00630A55">
              <w:t>$149,090.66</w:t>
            </w:r>
          </w:p>
        </w:tc>
        <w:tc>
          <w:tcPr>
            <w:tcW w:w="1455" w:type="dxa"/>
          </w:tcPr>
          <w:p w14:paraId="29C99363" w14:textId="77777777" w:rsidR="00482B70" w:rsidRPr="00630A55" w:rsidRDefault="00482B70" w:rsidP="003B139A">
            <w:pPr>
              <w:tabs>
                <w:tab w:val="decimal" w:pos="633"/>
              </w:tabs>
              <w:spacing w:before="0" w:after="0"/>
              <w:jc w:val="right"/>
            </w:pPr>
            <w:r w:rsidRPr="00630A55">
              <w:t>$0.00</w:t>
            </w:r>
          </w:p>
        </w:tc>
      </w:tr>
      <w:tr w:rsidR="00482B70" w:rsidRPr="00630A55" w14:paraId="495D6211" w14:textId="77777777" w:rsidTr="003B139A">
        <w:trPr>
          <w:trHeight w:val="20"/>
        </w:trPr>
        <w:tc>
          <w:tcPr>
            <w:tcW w:w="1400" w:type="dxa"/>
            <w:vMerge/>
          </w:tcPr>
          <w:p w14:paraId="5C000587" w14:textId="77777777" w:rsidR="00482B70" w:rsidRPr="00630A55" w:rsidRDefault="00482B70" w:rsidP="003B139A">
            <w:pPr>
              <w:pStyle w:val="Tabletext"/>
              <w:spacing w:before="0" w:after="0"/>
            </w:pPr>
          </w:p>
        </w:tc>
        <w:tc>
          <w:tcPr>
            <w:tcW w:w="1485" w:type="dxa"/>
            <w:vMerge/>
          </w:tcPr>
          <w:p w14:paraId="07E0EA15" w14:textId="77777777" w:rsidR="00482B70" w:rsidRPr="00630A55" w:rsidRDefault="00482B70" w:rsidP="003B139A">
            <w:pPr>
              <w:pStyle w:val="Tabletext"/>
              <w:spacing w:before="0" w:after="0"/>
            </w:pPr>
          </w:p>
        </w:tc>
        <w:tc>
          <w:tcPr>
            <w:tcW w:w="1561" w:type="dxa"/>
          </w:tcPr>
          <w:p w14:paraId="5A80D988" w14:textId="77777777" w:rsidR="00482B70" w:rsidRPr="00630A55" w:rsidRDefault="00482B70" w:rsidP="003B139A">
            <w:pPr>
              <w:pStyle w:val="Tabletext"/>
              <w:spacing w:before="0" w:after="0"/>
            </w:pPr>
            <w:r w:rsidRPr="00630A55">
              <w:t>Sub-Acute</w:t>
            </w:r>
          </w:p>
        </w:tc>
        <w:tc>
          <w:tcPr>
            <w:tcW w:w="1623" w:type="dxa"/>
          </w:tcPr>
          <w:p w14:paraId="1C260F33" w14:textId="77777777" w:rsidR="00482B70" w:rsidRPr="00630A55" w:rsidRDefault="00482B70" w:rsidP="003B139A">
            <w:pPr>
              <w:pStyle w:val="TableNumberdectab"/>
              <w:spacing w:before="0" w:after="0"/>
              <w:jc w:val="right"/>
            </w:pPr>
            <w:r w:rsidRPr="00630A55">
              <w:t>$1,116.13</w:t>
            </w:r>
          </w:p>
        </w:tc>
        <w:tc>
          <w:tcPr>
            <w:tcW w:w="1685" w:type="dxa"/>
          </w:tcPr>
          <w:p w14:paraId="7B21D45E" w14:textId="77777777" w:rsidR="00482B70" w:rsidRPr="00630A55" w:rsidRDefault="00482B70" w:rsidP="003B139A">
            <w:pPr>
              <w:pStyle w:val="TableNumberdectab"/>
              <w:spacing w:before="0" w:after="0"/>
              <w:jc w:val="right"/>
            </w:pPr>
            <w:r w:rsidRPr="00630A55">
              <w:t>$1,116.13</w:t>
            </w:r>
          </w:p>
        </w:tc>
        <w:tc>
          <w:tcPr>
            <w:tcW w:w="1455" w:type="dxa"/>
          </w:tcPr>
          <w:p w14:paraId="5BDD06DE" w14:textId="77777777" w:rsidR="00482B70" w:rsidRPr="00630A55" w:rsidRDefault="00482B70" w:rsidP="003B139A">
            <w:pPr>
              <w:tabs>
                <w:tab w:val="decimal" w:pos="633"/>
              </w:tabs>
              <w:spacing w:before="0" w:after="0"/>
              <w:jc w:val="right"/>
            </w:pPr>
            <w:r w:rsidRPr="00630A55">
              <w:t>$0.00</w:t>
            </w:r>
          </w:p>
        </w:tc>
      </w:tr>
      <w:tr w:rsidR="00482B70" w:rsidRPr="00630A55" w14:paraId="5E549096" w14:textId="77777777" w:rsidTr="003B139A">
        <w:trPr>
          <w:trHeight w:val="20"/>
        </w:trPr>
        <w:tc>
          <w:tcPr>
            <w:tcW w:w="1400" w:type="dxa"/>
            <w:vMerge/>
          </w:tcPr>
          <w:p w14:paraId="1E8803D7" w14:textId="77777777" w:rsidR="00482B70" w:rsidRPr="00630A55" w:rsidRDefault="00482B70" w:rsidP="003B139A">
            <w:pPr>
              <w:pStyle w:val="Tabletext"/>
              <w:spacing w:before="0" w:after="0"/>
            </w:pPr>
          </w:p>
        </w:tc>
        <w:tc>
          <w:tcPr>
            <w:tcW w:w="1485" w:type="dxa"/>
            <w:vMerge/>
          </w:tcPr>
          <w:p w14:paraId="63080487" w14:textId="77777777" w:rsidR="00482B70" w:rsidRPr="00630A55" w:rsidRDefault="00482B70" w:rsidP="003B139A">
            <w:pPr>
              <w:pStyle w:val="Tabletext"/>
              <w:spacing w:before="0" w:after="0"/>
            </w:pPr>
          </w:p>
        </w:tc>
        <w:tc>
          <w:tcPr>
            <w:tcW w:w="1561" w:type="dxa"/>
          </w:tcPr>
          <w:p w14:paraId="45A29C70" w14:textId="77777777" w:rsidR="00482B70" w:rsidRPr="00630A55" w:rsidRDefault="00482B70" w:rsidP="003B139A">
            <w:pPr>
              <w:pStyle w:val="Tabletext"/>
              <w:spacing w:before="0" w:after="0"/>
            </w:pPr>
            <w:r w:rsidRPr="00630A55">
              <w:t>ED</w:t>
            </w:r>
          </w:p>
        </w:tc>
        <w:tc>
          <w:tcPr>
            <w:tcW w:w="1623" w:type="dxa"/>
          </w:tcPr>
          <w:p w14:paraId="0A585606" w14:textId="77777777" w:rsidR="00482B70" w:rsidRPr="00630A55" w:rsidRDefault="00482B70" w:rsidP="003B139A">
            <w:pPr>
              <w:pStyle w:val="TableNumberdectab"/>
              <w:spacing w:before="0" w:after="0"/>
              <w:jc w:val="right"/>
            </w:pPr>
            <w:r w:rsidRPr="00630A55">
              <w:t>$705.84</w:t>
            </w:r>
          </w:p>
        </w:tc>
        <w:tc>
          <w:tcPr>
            <w:tcW w:w="1685" w:type="dxa"/>
          </w:tcPr>
          <w:p w14:paraId="79E8D5C7" w14:textId="77777777" w:rsidR="00482B70" w:rsidRPr="00630A55" w:rsidRDefault="00482B70" w:rsidP="003B139A">
            <w:pPr>
              <w:pStyle w:val="TableNumberdectab"/>
              <w:spacing w:before="0" w:after="0"/>
              <w:jc w:val="right"/>
            </w:pPr>
            <w:r w:rsidRPr="00630A55">
              <w:t>$705.84</w:t>
            </w:r>
          </w:p>
        </w:tc>
        <w:tc>
          <w:tcPr>
            <w:tcW w:w="1455" w:type="dxa"/>
          </w:tcPr>
          <w:p w14:paraId="745E3CEF" w14:textId="77777777" w:rsidR="00482B70" w:rsidRPr="00630A55" w:rsidRDefault="00482B70" w:rsidP="003B139A">
            <w:pPr>
              <w:tabs>
                <w:tab w:val="decimal" w:pos="633"/>
              </w:tabs>
              <w:spacing w:before="0" w:after="0"/>
              <w:jc w:val="right"/>
            </w:pPr>
            <w:r w:rsidRPr="00630A55">
              <w:t>$0.00</w:t>
            </w:r>
          </w:p>
        </w:tc>
      </w:tr>
      <w:tr w:rsidR="00482B70" w:rsidRPr="00630A55" w14:paraId="24C0D6E7" w14:textId="77777777" w:rsidTr="003B139A">
        <w:trPr>
          <w:trHeight w:val="20"/>
        </w:trPr>
        <w:tc>
          <w:tcPr>
            <w:tcW w:w="1400" w:type="dxa"/>
            <w:vMerge/>
          </w:tcPr>
          <w:p w14:paraId="6D3BBCC1" w14:textId="77777777" w:rsidR="00482B70" w:rsidRPr="00630A55" w:rsidRDefault="00482B70" w:rsidP="003B139A">
            <w:pPr>
              <w:pStyle w:val="Tabletext"/>
              <w:spacing w:before="0" w:after="0"/>
            </w:pPr>
          </w:p>
        </w:tc>
        <w:tc>
          <w:tcPr>
            <w:tcW w:w="1485" w:type="dxa"/>
            <w:vMerge/>
          </w:tcPr>
          <w:p w14:paraId="27C53864" w14:textId="77777777" w:rsidR="00482B70" w:rsidRPr="00630A55" w:rsidRDefault="00482B70" w:rsidP="003B139A">
            <w:pPr>
              <w:pStyle w:val="Tabletext"/>
              <w:spacing w:before="0" w:after="0"/>
            </w:pPr>
          </w:p>
        </w:tc>
        <w:tc>
          <w:tcPr>
            <w:tcW w:w="1561" w:type="dxa"/>
          </w:tcPr>
          <w:p w14:paraId="54112CF8" w14:textId="77777777" w:rsidR="00482B70" w:rsidRPr="00630A55" w:rsidRDefault="00482B70" w:rsidP="003B139A">
            <w:pPr>
              <w:pStyle w:val="Tabletext"/>
              <w:spacing w:before="0" w:after="0"/>
            </w:pPr>
            <w:r w:rsidRPr="00630A55">
              <w:t>Non-Admitted</w:t>
            </w:r>
          </w:p>
        </w:tc>
        <w:tc>
          <w:tcPr>
            <w:tcW w:w="1623" w:type="dxa"/>
          </w:tcPr>
          <w:p w14:paraId="31F6FB5D" w14:textId="77777777" w:rsidR="00482B70" w:rsidRPr="00630A55" w:rsidRDefault="00482B70" w:rsidP="003B139A">
            <w:pPr>
              <w:pStyle w:val="TableNumberdectab"/>
              <w:spacing w:before="0" w:after="0"/>
              <w:jc w:val="right"/>
            </w:pPr>
            <w:r w:rsidRPr="00630A55">
              <w:t>$2,347.15</w:t>
            </w:r>
          </w:p>
        </w:tc>
        <w:tc>
          <w:tcPr>
            <w:tcW w:w="1685" w:type="dxa"/>
          </w:tcPr>
          <w:p w14:paraId="6B15ED62" w14:textId="77777777" w:rsidR="00482B70" w:rsidRPr="00630A55" w:rsidRDefault="00482B70" w:rsidP="003B139A">
            <w:pPr>
              <w:pStyle w:val="TableNumberdectab"/>
              <w:spacing w:before="0" w:after="0"/>
              <w:jc w:val="right"/>
            </w:pPr>
            <w:r w:rsidRPr="00630A55">
              <w:t>$2,347.15</w:t>
            </w:r>
          </w:p>
        </w:tc>
        <w:tc>
          <w:tcPr>
            <w:tcW w:w="1455" w:type="dxa"/>
          </w:tcPr>
          <w:p w14:paraId="4340B732" w14:textId="77777777" w:rsidR="00482B70" w:rsidRPr="00630A55" w:rsidRDefault="00482B70" w:rsidP="003B139A">
            <w:pPr>
              <w:tabs>
                <w:tab w:val="decimal" w:pos="633"/>
              </w:tabs>
              <w:spacing w:before="0" w:after="0"/>
              <w:jc w:val="right"/>
            </w:pPr>
            <w:r w:rsidRPr="00630A55">
              <w:t>$0.00</w:t>
            </w:r>
          </w:p>
        </w:tc>
      </w:tr>
      <w:tr w:rsidR="00482B70" w:rsidRPr="00630A55" w14:paraId="478DEB7D" w14:textId="77777777" w:rsidTr="003B139A">
        <w:trPr>
          <w:trHeight w:val="20"/>
        </w:trPr>
        <w:tc>
          <w:tcPr>
            <w:tcW w:w="1400" w:type="dxa"/>
            <w:vMerge/>
          </w:tcPr>
          <w:p w14:paraId="15011850" w14:textId="77777777" w:rsidR="00482B70" w:rsidRPr="00630A55" w:rsidRDefault="00482B70" w:rsidP="003B139A">
            <w:pPr>
              <w:pStyle w:val="Tabletext"/>
              <w:spacing w:before="0" w:after="0"/>
            </w:pPr>
          </w:p>
        </w:tc>
        <w:tc>
          <w:tcPr>
            <w:tcW w:w="1485" w:type="dxa"/>
            <w:vMerge/>
          </w:tcPr>
          <w:p w14:paraId="660E77F9" w14:textId="77777777" w:rsidR="00482B70" w:rsidRPr="00630A55" w:rsidRDefault="00482B70" w:rsidP="003B139A">
            <w:pPr>
              <w:pStyle w:val="Tabletext"/>
              <w:spacing w:before="0" w:after="0"/>
            </w:pPr>
          </w:p>
        </w:tc>
        <w:tc>
          <w:tcPr>
            <w:tcW w:w="1561" w:type="dxa"/>
          </w:tcPr>
          <w:p w14:paraId="541D6D2A" w14:textId="77777777" w:rsidR="00482B70" w:rsidRPr="00630A55" w:rsidRDefault="00482B70" w:rsidP="003B139A">
            <w:pPr>
              <w:pStyle w:val="Tabletext"/>
              <w:spacing w:before="0" w:after="0"/>
            </w:pPr>
            <w:r w:rsidRPr="00630A55">
              <w:t>Mental Health</w:t>
            </w:r>
          </w:p>
        </w:tc>
        <w:tc>
          <w:tcPr>
            <w:tcW w:w="1623" w:type="dxa"/>
          </w:tcPr>
          <w:p w14:paraId="07F1B8B5" w14:textId="77777777" w:rsidR="00482B70" w:rsidRPr="00630A55" w:rsidRDefault="00482B70" w:rsidP="003B139A">
            <w:pPr>
              <w:pStyle w:val="TableNumberdectab"/>
              <w:spacing w:before="0" w:after="0"/>
              <w:jc w:val="right"/>
            </w:pPr>
            <w:r w:rsidRPr="00630A55">
              <w:t>$131.77</w:t>
            </w:r>
          </w:p>
        </w:tc>
        <w:tc>
          <w:tcPr>
            <w:tcW w:w="1685" w:type="dxa"/>
          </w:tcPr>
          <w:p w14:paraId="5F47A010" w14:textId="77777777" w:rsidR="00482B70" w:rsidRPr="00630A55" w:rsidRDefault="00482B70" w:rsidP="003B139A">
            <w:pPr>
              <w:pStyle w:val="TableNumberdectab"/>
              <w:spacing w:before="0" w:after="0"/>
              <w:jc w:val="right"/>
            </w:pPr>
            <w:r w:rsidRPr="00630A55">
              <w:t>$131.77</w:t>
            </w:r>
          </w:p>
        </w:tc>
        <w:tc>
          <w:tcPr>
            <w:tcW w:w="1455" w:type="dxa"/>
          </w:tcPr>
          <w:p w14:paraId="59D47B60" w14:textId="77777777" w:rsidR="00482B70" w:rsidRPr="00630A55" w:rsidRDefault="00482B70" w:rsidP="003B139A">
            <w:pPr>
              <w:tabs>
                <w:tab w:val="decimal" w:pos="633"/>
              </w:tabs>
              <w:spacing w:before="0" w:after="0"/>
              <w:jc w:val="right"/>
            </w:pPr>
            <w:r w:rsidRPr="00630A55">
              <w:t>$0.00</w:t>
            </w:r>
          </w:p>
        </w:tc>
      </w:tr>
      <w:tr w:rsidR="00482B70" w:rsidRPr="00630A55" w14:paraId="3F35AFBE" w14:textId="77777777" w:rsidTr="003B139A">
        <w:trPr>
          <w:trHeight w:val="20"/>
        </w:trPr>
        <w:tc>
          <w:tcPr>
            <w:tcW w:w="1400" w:type="dxa"/>
            <w:vMerge w:val="restart"/>
          </w:tcPr>
          <w:p w14:paraId="2A8FFD8B" w14:textId="77777777" w:rsidR="00482B70" w:rsidRPr="00630A55" w:rsidRDefault="00482B70" w:rsidP="003B139A">
            <w:pPr>
              <w:pStyle w:val="Tabletext"/>
              <w:spacing w:before="0" w:after="0"/>
            </w:pPr>
            <w:r w:rsidRPr="00630A55">
              <w:t>Victoria</w:t>
            </w:r>
          </w:p>
        </w:tc>
        <w:tc>
          <w:tcPr>
            <w:tcW w:w="1485" w:type="dxa"/>
            <w:vMerge w:val="restart"/>
          </w:tcPr>
          <w:p w14:paraId="70FE7CE2" w14:textId="77777777" w:rsidR="00482B70" w:rsidRPr="00630A55" w:rsidRDefault="00482B70" w:rsidP="003B139A">
            <w:pPr>
              <w:pStyle w:val="Tabletext"/>
              <w:spacing w:before="0" w:after="0"/>
            </w:pPr>
            <w:r w:rsidRPr="00630A55">
              <w:t>Ballarat Health Service</w:t>
            </w:r>
          </w:p>
        </w:tc>
        <w:tc>
          <w:tcPr>
            <w:tcW w:w="1561" w:type="dxa"/>
          </w:tcPr>
          <w:p w14:paraId="6E09DD90" w14:textId="77777777" w:rsidR="00482B70" w:rsidRPr="00630A55" w:rsidRDefault="00482B70" w:rsidP="003B139A">
            <w:pPr>
              <w:pStyle w:val="Tabletext"/>
              <w:spacing w:before="0" w:after="0"/>
            </w:pPr>
            <w:r w:rsidRPr="00630A55">
              <w:t>Acute</w:t>
            </w:r>
          </w:p>
        </w:tc>
        <w:tc>
          <w:tcPr>
            <w:tcW w:w="1623" w:type="dxa"/>
          </w:tcPr>
          <w:p w14:paraId="0B85DA12" w14:textId="77777777" w:rsidR="00482B70" w:rsidRPr="00630A55" w:rsidRDefault="00482B70" w:rsidP="003B139A">
            <w:pPr>
              <w:pStyle w:val="TableNumberdectab"/>
              <w:spacing w:before="0" w:after="0"/>
              <w:jc w:val="right"/>
            </w:pPr>
            <w:r w:rsidRPr="00630A55">
              <w:t>$15,992.11</w:t>
            </w:r>
          </w:p>
        </w:tc>
        <w:tc>
          <w:tcPr>
            <w:tcW w:w="1685" w:type="dxa"/>
          </w:tcPr>
          <w:p w14:paraId="290BA8A7" w14:textId="77777777" w:rsidR="00482B70" w:rsidRPr="00630A55" w:rsidRDefault="00482B70" w:rsidP="003B139A">
            <w:pPr>
              <w:pStyle w:val="TableNumberdectab"/>
              <w:spacing w:before="0" w:after="0"/>
              <w:jc w:val="right"/>
            </w:pPr>
            <w:r w:rsidRPr="00630A55">
              <w:t>$15,992.11</w:t>
            </w:r>
          </w:p>
        </w:tc>
        <w:tc>
          <w:tcPr>
            <w:tcW w:w="1455" w:type="dxa"/>
          </w:tcPr>
          <w:p w14:paraId="3F51C66A" w14:textId="77777777" w:rsidR="00482B70" w:rsidRPr="00630A55" w:rsidRDefault="00482B70" w:rsidP="003B139A">
            <w:pPr>
              <w:tabs>
                <w:tab w:val="decimal" w:pos="633"/>
              </w:tabs>
              <w:spacing w:before="0" w:after="0"/>
              <w:jc w:val="right"/>
            </w:pPr>
            <w:r w:rsidRPr="00630A55">
              <w:t>$0.00</w:t>
            </w:r>
          </w:p>
        </w:tc>
      </w:tr>
      <w:tr w:rsidR="00482B70" w:rsidRPr="00630A55" w14:paraId="24F92757" w14:textId="77777777" w:rsidTr="003B139A">
        <w:trPr>
          <w:trHeight w:val="20"/>
        </w:trPr>
        <w:tc>
          <w:tcPr>
            <w:tcW w:w="1400" w:type="dxa"/>
            <w:vMerge/>
          </w:tcPr>
          <w:p w14:paraId="09A3E0B2" w14:textId="77777777" w:rsidR="00482B70" w:rsidRPr="00630A55" w:rsidRDefault="00482B70" w:rsidP="003B139A">
            <w:pPr>
              <w:pStyle w:val="Tabletext"/>
              <w:spacing w:before="0" w:after="0"/>
            </w:pPr>
          </w:p>
        </w:tc>
        <w:tc>
          <w:tcPr>
            <w:tcW w:w="1485" w:type="dxa"/>
            <w:vMerge/>
          </w:tcPr>
          <w:p w14:paraId="6EEFC9E1" w14:textId="77777777" w:rsidR="00482B70" w:rsidRPr="00630A55" w:rsidRDefault="00482B70" w:rsidP="003B139A">
            <w:pPr>
              <w:pStyle w:val="Tabletext"/>
              <w:spacing w:before="0" w:after="0"/>
            </w:pPr>
          </w:p>
        </w:tc>
        <w:tc>
          <w:tcPr>
            <w:tcW w:w="1561" w:type="dxa"/>
          </w:tcPr>
          <w:p w14:paraId="0020A5F1" w14:textId="77777777" w:rsidR="00482B70" w:rsidRPr="00630A55" w:rsidRDefault="00482B70" w:rsidP="003B139A">
            <w:pPr>
              <w:pStyle w:val="Tabletext"/>
              <w:spacing w:before="0" w:after="0"/>
            </w:pPr>
            <w:r w:rsidRPr="00630A55">
              <w:t>Sub-Acute</w:t>
            </w:r>
          </w:p>
        </w:tc>
        <w:tc>
          <w:tcPr>
            <w:tcW w:w="1623" w:type="dxa"/>
          </w:tcPr>
          <w:p w14:paraId="7F8AC2EC" w14:textId="77777777" w:rsidR="00482B70" w:rsidRPr="00630A55" w:rsidRDefault="00482B70" w:rsidP="003B139A">
            <w:pPr>
              <w:pStyle w:val="TableNumberdectab"/>
              <w:spacing w:before="0" w:after="0"/>
              <w:jc w:val="right"/>
            </w:pPr>
            <w:r w:rsidRPr="00630A55">
              <w:t>$29,573.66</w:t>
            </w:r>
          </w:p>
        </w:tc>
        <w:tc>
          <w:tcPr>
            <w:tcW w:w="1685" w:type="dxa"/>
          </w:tcPr>
          <w:p w14:paraId="0964D6AB" w14:textId="77777777" w:rsidR="00482B70" w:rsidRPr="00630A55" w:rsidRDefault="00482B70" w:rsidP="003B139A">
            <w:pPr>
              <w:pStyle w:val="TableNumberdectab"/>
              <w:spacing w:before="0" w:after="0"/>
              <w:jc w:val="right"/>
            </w:pPr>
            <w:r w:rsidRPr="00630A55">
              <w:t>$29,573.66</w:t>
            </w:r>
          </w:p>
        </w:tc>
        <w:tc>
          <w:tcPr>
            <w:tcW w:w="1455" w:type="dxa"/>
          </w:tcPr>
          <w:p w14:paraId="7C8C1471" w14:textId="77777777" w:rsidR="00482B70" w:rsidRPr="00630A55" w:rsidRDefault="00482B70" w:rsidP="003B139A">
            <w:pPr>
              <w:tabs>
                <w:tab w:val="decimal" w:pos="633"/>
              </w:tabs>
              <w:spacing w:before="0" w:after="0"/>
              <w:jc w:val="right"/>
            </w:pPr>
            <w:r w:rsidRPr="00630A55">
              <w:t>$0.00</w:t>
            </w:r>
          </w:p>
        </w:tc>
      </w:tr>
      <w:tr w:rsidR="00482B70" w:rsidRPr="00630A55" w14:paraId="33F60A1E" w14:textId="77777777" w:rsidTr="003B139A">
        <w:trPr>
          <w:trHeight w:val="20"/>
        </w:trPr>
        <w:tc>
          <w:tcPr>
            <w:tcW w:w="1400" w:type="dxa"/>
            <w:vMerge/>
          </w:tcPr>
          <w:p w14:paraId="05670ADA" w14:textId="77777777" w:rsidR="00482B70" w:rsidRPr="00630A55" w:rsidRDefault="00482B70" w:rsidP="003B139A">
            <w:pPr>
              <w:pStyle w:val="Tabletext"/>
              <w:spacing w:before="0" w:after="0"/>
            </w:pPr>
          </w:p>
        </w:tc>
        <w:tc>
          <w:tcPr>
            <w:tcW w:w="1485" w:type="dxa"/>
            <w:vMerge/>
          </w:tcPr>
          <w:p w14:paraId="5D18034B" w14:textId="77777777" w:rsidR="00482B70" w:rsidRPr="00630A55" w:rsidRDefault="00482B70" w:rsidP="003B139A">
            <w:pPr>
              <w:pStyle w:val="Tabletext"/>
              <w:spacing w:before="0" w:after="0"/>
            </w:pPr>
          </w:p>
        </w:tc>
        <w:tc>
          <w:tcPr>
            <w:tcW w:w="1561" w:type="dxa"/>
          </w:tcPr>
          <w:p w14:paraId="7D4333A0" w14:textId="77777777" w:rsidR="00482B70" w:rsidRPr="00630A55" w:rsidRDefault="00482B70" w:rsidP="003B139A">
            <w:pPr>
              <w:pStyle w:val="Tabletext"/>
              <w:spacing w:before="0" w:after="0"/>
            </w:pPr>
            <w:r w:rsidRPr="00630A55">
              <w:t>ED</w:t>
            </w:r>
          </w:p>
        </w:tc>
        <w:tc>
          <w:tcPr>
            <w:tcW w:w="1623" w:type="dxa"/>
          </w:tcPr>
          <w:p w14:paraId="16208A19" w14:textId="77777777" w:rsidR="00482B70" w:rsidRPr="00630A55" w:rsidRDefault="00482B70" w:rsidP="003B139A">
            <w:pPr>
              <w:pStyle w:val="TableNumberdectab"/>
              <w:spacing w:before="0" w:after="0"/>
              <w:jc w:val="right"/>
            </w:pPr>
            <w:r w:rsidRPr="00630A55">
              <w:t>$1,678.36</w:t>
            </w:r>
          </w:p>
        </w:tc>
        <w:tc>
          <w:tcPr>
            <w:tcW w:w="1685" w:type="dxa"/>
          </w:tcPr>
          <w:p w14:paraId="795E960E" w14:textId="77777777" w:rsidR="00482B70" w:rsidRPr="00630A55" w:rsidRDefault="00482B70" w:rsidP="003B139A">
            <w:pPr>
              <w:pStyle w:val="TableNumberdectab"/>
              <w:spacing w:before="0" w:after="0"/>
              <w:jc w:val="right"/>
            </w:pPr>
            <w:r w:rsidRPr="00630A55">
              <w:t>$1,678.36</w:t>
            </w:r>
          </w:p>
        </w:tc>
        <w:tc>
          <w:tcPr>
            <w:tcW w:w="1455" w:type="dxa"/>
          </w:tcPr>
          <w:p w14:paraId="3CAF8109" w14:textId="77777777" w:rsidR="00482B70" w:rsidRPr="00630A55" w:rsidRDefault="00482B70" w:rsidP="003B139A">
            <w:pPr>
              <w:tabs>
                <w:tab w:val="decimal" w:pos="633"/>
              </w:tabs>
              <w:spacing w:before="0" w:after="0"/>
              <w:jc w:val="right"/>
            </w:pPr>
            <w:r w:rsidRPr="00630A55">
              <w:t>$0.00</w:t>
            </w:r>
          </w:p>
        </w:tc>
      </w:tr>
      <w:tr w:rsidR="00482B70" w:rsidRPr="00630A55" w14:paraId="19CE08E1" w14:textId="77777777" w:rsidTr="003B139A">
        <w:trPr>
          <w:trHeight w:val="20"/>
        </w:trPr>
        <w:tc>
          <w:tcPr>
            <w:tcW w:w="1400" w:type="dxa"/>
            <w:vMerge/>
          </w:tcPr>
          <w:p w14:paraId="00EEDE32" w14:textId="77777777" w:rsidR="00482B70" w:rsidRPr="00630A55" w:rsidRDefault="00482B70" w:rsidP="003B139A">
            <w:pPr>
              <w:pStyle w:val="Tabletext"/>
              <w:spacing w:before="0" w:after="0"/>
            </w:pPr>
          </w:p>
        </w:tc>
        <w:tc>
          <w:tcPr>
            <w:tcW w:w="1485" w:type="dxa"/>
            <w:vMerge/>
          </w:tcPr>
          <w:p w14:paraId="66CEC79A" w14:textId="77777777" w:rsidR="00482B70" w:rsidRPr="00630A55" w:rsidRDefault="00482B70" w:rsidP="003B139A">
            <w:pPr>
              <w:pStyle w:val="Tabletext"/>
              <w:spacing w:before="0" w:after="0"/>
            </w:pPr>
          </w:p>
        </w:tc>
        <w:tc>
          <w:tcPr>
            <w:tcW w:w="1561" w:type="dxa"/>
          </w:tcPr>
          <w:p w14:paraId="25CC5BEE" w14:textId="77777777" w:rsidR="00482B70" w:rsidRPr="00630A55" w:rsidRDefault="00482B70" w:rsidP="003B139A">
            <w:pPr>
              <w:pStyle w:val="Tabletext"/>
              <w:spacing w:before="0" w:after="0"/>
            </w:pPr>
            <w:r w:rsidRPr="00630A55">
              <w:t>Non-Admitted</w:t>
            </w:r>
          </w:p>
        </w:tc>
        <w:tc>
          <w:tcPr>
            <w:tcW w:w="1623" w:type="dxa"/>
          </w:tcPr>
          <w:p w14:paraId="2BEF7781" w14:textId="77777777" w:rsidR="00482B70" w:rsidRPr="00630A55" w:rsidRDefault="00482B70" w:rsidP="003B139A">
            <w:pPr>
              <w:pStyle w:val="TableNumberdectab"/>
              <w:spacing w:before="0" w:after="0"/>
              <w:jc w:val="right"/>
            </w:pPr>
            <w:r w:rsidRPr="00630A55">
              <w:t>$30.59</w:t>
            </w:r>
          </w:p>
        </w:tc>
        <w:tc>
          <w:tcPr>
            <w:tcW w:w="1685" w:type="dxa"/>
          </w:tcPr>
          <w:p w14:paraId="1CC852A0" w14:textId="77777777" w:rsidR="00482B70" w:rsidRPr="00630A55" w:rsidRDefault="00482B70" w:rsidP="003B139A">
            <w:pPr>
              <w:pStyle w:val="TableNumberdectab"/>
              <w:spacing w:before="0" w:after="0"/>
              <w:jc w:val="right"/>
            </w:pPr>
            <w:r w:rsidRPr="00630A55">
              <w:t>$30.59</w:t>
            </w:r>
          </w:p>
        </w:tc>
        <w:tc>
          <w:tcPr>
            <w:tcW w:w="1455" w:type="dxa"/>
          </w:tcPr>
          <w:p w14:paraId="4C1697E5" w14:textId="77777777" w:rsidR="00482B70" w:rsidRPr="00630A55" w:rsidRDefault="00482B70" w:rsidP="003B139A">
            <w:pPr>
              <w:tabs>
                <w:tab w:val="decimal" w:pos="633"/>
              </w:tabs>
              <w:spacing w:before="0" w:after="0"/>
              <w:jc w:val="right"/>
            </w:pPr>
            <w:r w:rsidRPr="00630A55">
              <w:t>$0.00</w:t>
            </w:r>
          </w:p>
        </w:tc>
      </w:tr>
      <w:tr w:rsidR="00482B70" w:rsidRPr="00630A55" w14:paraId="7C06CF36" w14:textId="77777777" w:rsidTr="003B139A">
        <w:trPr>
          <w:trHeight w:val="20"/>
        </w:trPr>
        <w:tc>
          <w:tcPr>
            <w:tcW w:w="1400" w:type="dxa"/>
            <w:vMerge/>
          </w:tcPr>
          <w:p w14:paraId="10376DAB" w14:textId="77777777" w:rsidR="00482B70" w:rsidRPr="00630A55" w:rsidRDefault="00482B70" w:rsidP="003B139A">
            <w:pPr>
              <w:pStyle w:val="Tabletext"/>
              <w:spacing w:before="0" w:after="0"/>
            </w:pPr>
          </w:p>
        </w:tc>
        <w:tc>
          <w:tcPr>
            <w:tcW w:w="1485" w:type="dxa"/>
            <w:vMerge/>
          </w:tcPr>
          <w:p w14:paraId="3976E900" w14:textId="77777777" w:rsidR="00482B70" w:rsidRPr="00630A55" w:rsidRDefault="00482B70" w:rsidP="003B139A">
            <w:pPr>
              <w:pStyle w:val="Tabletext"/>
              <w:spacing w:before="0" w:after="0"/>
            </w:pPr>
          </w:p>
        </w:tc>
        <w:tc>
          <w:tcPr>
            <w:tcW w:w="1561" w:type="dxa"/>
          </w:tcPr>
          <w:p w14:paraId="21D58177" w14:textId="77777777" w:rsidR="00482B70" w:rsidRPr="00630A55" w:rsidRDefault="00482B70" w:rsidP="003B139A">
            <w:pPr>
              <w:pStyle w:val="Tabletext"/>
              <w:spacing w:before="0" w:after="0"/>
            </w:pPr>
            <w:r w:rsidRPr="00630A55">
              <w:t>Mental Health</w:t>
            </w:r>
          </w:p>
        </w:tc>
        <w:tc>
          <w:tcPr>
            <w:tcW w:w="1623" w:type="dxa"/>
          </w:tcPr>
          <w:p w14:paraId="16D46B41" w14:textId="77777777" w:rsidR="00482B70" w:rsidRPr="00630A55" w:rsidRDefault="00482B70" w:rsidP="003B139A">
            <w:pPr>
              <w:pStyle w:val="TableNumberdectab"/>
              <w:spacing w:before="0" w:after="0"/>
              <w:jc w:val="right"/>
            </w:pPr>
            <w:r w:rsidRPr="00630A55">
              <w:t>$987.00</w:t>
            </w:r>
          </w:p>
        </w:tc>
        <w:tc>
          <w:tcPr>
            <w:tcW w:w="1685" w:type="dxa"/>
          </w:tcPr>
          <w:p w14:paraId="6E2358DA" w14:textId="77777777" w:rsidR="00482B70" w:rsidRPr="00630A55" w:rsidRDefault="00482B70" w:rsidP="003B139A">
            <w:pPr>
              <w:pStyle w:val="TableNumberdectab"/>
              <w:spacing w:before="0" w:after="0"/>
              <w:jc w:val="right"/>
            </w:pPr>
            <w:r w:rsidRPr="00630A55">
              <w:t>$987.00</w:t>
            </w:r>
          </w:p>
        </w:tc>
        <w:tc>
          <w:tcPr>
            <w:tcW w:w="1455" w:type="dxa"/>
          </w:tcPr>
          <w:p w14:paraId="5D14A4E5" w14:textId="77777777" w:rsidR="00482B70" w:rsidRPr="00630A55" w:rsidRDefault="00482B70" w:rsidP="003B139A">
            <w:pPr>
              <w:tabs>
                <w:tab w:val="decimal" w:pos="633"/>
              </w:tabs>
              <w:spacing w:before="0" w:after="0"/>
              <w:jc w:val="right"/>
            </w:pPr>
            <w:r w:rsidRPr="00630A55">
              <w:t>$0.00</w:t>
            </w:r>
          </w:p>
        </w:tc>
      </w:tr>
      <w:tr w:rsidR="00482B70" w:rsidRPr="00630A55" w14:paraId="54105EAB" w14:textId="77777777" w:rsidTr="003B139A">
        <w:trPr>
          <w:trHeight w:val="20"/>
        </w:trPr>
        <w:tc>
          <w:tcPr>
            <w:tcW w:w="1400" w:type="dxa"/>
            <w:vMerge w:val="restart"/>
          </w:tcPr>
          <w:p w14:paraId="2C484BA5" w14:textId="77777777" w:rsidR="00482B70" w:rsidRPr="00630A55" w:rsidRDefault="00482B70" w:rsidP="003B139A">
            <w:pPr>
              <w:pStyle w:val="Tabletext"/>
              <w:spacing w:before="0" w:after="0"/>
            </w:pPr>
            <w:r w:rsidRPr="00630A55">
              <w:t>Victoria</w:t>
            </w:r>
          </w:p>
        </w:tc>
        <w:tc>
          <w:tcPr>
            <w:tcW w:w="1485" w:type="dxa"/>
            <w:vMerge w:val="restart"/>
          </w:tcPr>
          <w:p w14:paraId="6C8ACAB0" w14:textId="77777777" w:rsidR="00482B70" w:rsidRPr="00630A55" w:rsidRDefault="00482B70" w:rsidP="003B139A">
            <w:pPr>
              <w:pStyle w:val="Tabletext"/>
              <w:spacing w:before="0" w:after="0"/>
            </w:pPr>
            <w:r w:rsidRPr="00630A55">
              <w:t xml:space="preserve">Royal Melbourne Hospital (Melbourne Health) </w:t>
            </w:r>
          </w:p>
        </w:tc>
        <w:tc>
          <w:tcPr>
            <w:tcW w:w="1561" w:type="dxa"/>
          </w:tcPr>
          <w:p w14:paraId="238EA24C" w14:textId="77777777" w:rsidR="00482B70" w:rsidRPr="00630A55" w:rsidRDefault="00482B70" w:rsidP="003B139A">
            <w:pPr>
              <w:pStyle w:val="Tabletext"/>
              <w:spacing w:before="0" w:after="0"/>
            </w:pPr>
            <w:r w:rsidRPr="00630A55">
              <w:t>Acute</w:t>
            </w:r>
          </w:p>
        </w:tc>
        <w:tc>
          <w:tcPr>
            <w:tcW w:w="1623" w:type="dxa"/>
          </w:tcPr>
          <w:p w14:paraId="31F507DD" w14:textId="77777777" w:rsidR="00482B70" w:rsidRPr="00630A55" w:rsidRDefault="00482B70" w:rsidP="003B139A">
            <w:pPr>
              <w:pStyle w:val="TableNumberdectab"/>
              <w:spacing w:before="0" w:after="0"/>
              <w:jc w:val="right"/>
            </w:pPr>
            <w:r w:rsidRPr="00630A55">
              <w:t>$845.27</w:t>
            </w:r>
          </w:p>
        </w:tc>
        <w:tc>
          <w:tcPr>
            <w:tcW w:w="1685" w:type="dxa"/>
          </w:tcPr>
          <w:p w14:paraId="203B835A" w14:textId="77777777" w:rsidR="00482B70" w:rsidRPr="00630A55" w:rsidRDefault="00482B70" w:rsidP="003B139A">
            <w:pPr>
              <w:pStyle w:val="TableNumberdectab"/>
              <w:spacing w:before="0" w:after="0"/>
              <w:jc w:val="right"/>
            </w:pPr>
            <w:r w:rsidRPr="00630A55">
              <w:t>$845.27</w:t>
            </w:r>
          </w:p>
        </w:tc>
        <w:tc>
          <w:tcPr>
            <w:tcW w:w="1455" w:type="dxa"/>
          </w:tcPr>
          <w:p w14:paraId="262AD3E9" w14:textId="77777777" w:rsidR="00482B70" w:rsidRPr="00630A55" w:rsidRDefault="00482B70" w:rsidP="003B139A">
            <w:pPr>
              <w:tabs>
                <w:tab w:val="decimal" w:pos="633"/>
              </w:tabs>
              <w:spacing w:before="0" w:after="0"/>
              <w:jc w:val="right"/>
            </w:pPr>
            <w:r w:rsidRPr="00630A55">
              <w:t>$0.00</w:t>
            </w:r>
          </w:p>
        </w:tc>
      </w:tr>
      <w:tr w:rsidR="00482B70" w:rsidRPr="00630A55" w14:paraId="4A6E3919" w14:textId="77777777" w:rsidTr="003B139A">
        <w:trPr>
          <w:trHeight w:val="20"/>
        </w:trPr>
        <w:tc>
          <w:tcPr>
            <w:tcW w:w="1400" w:type="dxa"/>
            <w:vMerge/>
          </w:tcPr>
          <w:p w14:paraId="130CBBD6" w14:textId="77777777" w:rsidR="00482B70" w:rsidRPr="00630A55" w:rsidRDefault="00482B70" w:rsidP="003B139A">
            <w:pPr>
              <w:pStyle w:val="Tabletext"/>
              <w:spacing w:before="0" w:after="0"/>
            </w:pPr>
          </w:p>
        </w:tc>
        <w:tc>
          <w:tcPr>
            <w:tcW w:w="1485" w:type="dxa"/>
            <w:vMerge/>
          </w:tcPr>
          <w:p w14:paraId="6A8EC1ED" w14:textId="77777777" w:rsidR="00482B70" w:rsidRPr="00630A55" w:rsidRDefault="00482B70" w:rsidP="003B139A">
            <w:pPr>
              <w:pStyle w:val="Tabletext"/>
              <w:spacing w:before="0" w:after="0"/>
            </w:pPr>
          </w:p>
        </w:tc>
        <w:tc>
          <w:tcPr>
            <w:tcW w:w="1561" w:type="dxa"/>
          </w:tcPr>
          <w:p w14:paraId="01B2A25A" w14:textId="77777777" w:rsidR="00482B70" w:rsidRPr="00630A55" w:rsidRDefault="00482B70" w:rsidP="003B139A">
            <w:pPr>
              <w:pStyle w:val="Tabletext"/>
              <w:spacing w:before="0" w:after="0"/>
            </w:pPr>
            <w:r w:rsidRPr="00630A55">
              <w:t>Sub-Acute</w:t>
            </w:r>
          </w:p>
        </w:tc>
        <w:tc>
          <w:tcPr>
            <w:tcW w:w="1623" w:type="dxa"/>
          </w:tcPr>
          <w:p w14:paraId="3D0B16D6" w14:textId="77777777" w:rsidR="00482B70" w:rsidRPr="00630A55" w:rsidRDefault="00482B70" w:rsidP="003B139A">
            <w:pPr>
              <w:pStyle w:val="TableNumberdectab"/>
              <w:spacing w:before="0" w:after="0"/>
              <w:jc w:val="right"/>
            </w:pPr>
            <w:r w:rsidRPr="00630A55">
              <w:t>$30,086.64</w:t>
            </w:r>
          </w:p>
        </w:tc>
        <w:tc>
          <w:tcPr>
            <w:tcW w:w="1685" w:type="dxa"/>
          </w:tcPr>
          <w:p w14:paraId="6D77D5CD" w14:textId="77777777" w:rsidR="00482B70" w:rsidRPr="00630A55" w:rsidRDefault="00482B70" w:rsidP="003B139A">
            <w:pPr>
              <w:pStyle w:val="TableNumberdectab"/>
              <w:spacing w:before="0" w:after="0"/>
              <w:jc w:val="right"/>
            </w:pPr>
            <w:r w:rsidRPr="00630A55">
              <w:t>$30,086.64</w:t>
            </w:r>
          </w:p>
        </w:tc>
        <w:tc>
          <w:tcPr>
            <w:tcW w:w="1455" w:type="dxa"/>
          </w:tcPr>
          <w:p w14:paraId="295203F3" w14:textId="77777777" w:rsidR="00482B70" w:rsidRPr="00630A55" w:rsidRDefault="00482B70" w:rsidP="003B139A">
            <w:pPr>
              <w:tabs>
                <w:tab w:val="decimal" w:pos="633"/>
              </w:tabs>
              <w:spacing w:before="0" w:after="0"/>
              <w:jc w:val="right"/>
            </w:pPr>
            <w:r w:rsidRPr="00630A55">
              <w:t>$0.00</w:t>
            </w:r>
          </w:p>
        </w:tc>
      </w:tr>
      <w:tr w:rsidR="00482B70" w:rsidRPr="00630A55" w14:paraId="3AEB2CCD" w14:textId="77777777" w:rsidTr="003B139A">
        <w:trPr>
          <w:trHeight w:val="20"/>
        </w:trPr>
        <w:tc>
          <w:tcPr>
            <w:tcW w:w="1400" w:type="dxa"/>
            <w:vMerge/>
          </w:tcPr>
          <w:p w14:paraId="01915A4A" w14:textId="77777777" w:rsidR="00482B70" w:rsidRPr="00630A55" w:rsidRDefault="00482B70" w:rsidP="003B139A">
            <w:pPr>
              <w:pStyle w:val="Tabletext"/>
              <w:spacing w:before="0" w:after="0"/>
            </w:pPr>
          </w:p>
        </w:tc>
        <w:tc>
          <w:tcPr>
            <w:tcW w:w="1485" w:type="dxa"/>
            <w:vMerge/>
          </w:tcPr>
          <w:p w14:paraId="40417311" w14:textId="77777777" w:rsidR="00482B70" w:rsidRPr="00630A55" w:rsidRDefault="00482B70" w:rsidP="003B139A">
            <w:pPr>
              <w:pStyle w:val="Tabletext"/>
              <w:spacing w:before="0" w:after="0"/>
            </w:pPr>
          </w:p>
        </w:tc>
        <w:tc>
          <w:tcPr>
            <w:tcW w:w="1561" w:type="dxa"/>
          </w:tcPr>
          <w:p w14:paraId="29E83722" w14:textId="77777777" w:rsidR="00482B70" w:rsidRPr="00630A55" w:rsidRDefault="00482B70" w:rsidP="003B139A">
            <w:pPr>
              <w:pStyle w:val="Tabletext"/>
              <w:spacing w:before="0" w:after="0"/>
            </w:pPr>
            <w:r w:rsidRPr="00630A55">
              <w:t>ED</w:t>
            </w:r>
          </w:p>
        </w:tc>
        <w:tc>
          <w:tcPr>
            <w:tcW w:w="1623" w:type="dxa"/>
          </w:tcPr>
          <w:p w14:paraId="4C97DE21" w14:textId="77777777" w:rsidR="00482B70" w:rsidRPr="00630A55" w:rsidRDefault="00482B70" w:rsidP="003B139A">
            <w:pPr>
              <w:pStyle w:val="TableNumberdectab"/>
              <w:spacing w:before="0" w:after="0"/>
              <w:jc w:val="right"/>
            </w:pPr>
            <w:r w:rsidRPr="00630A55">
              <w:t>$1,985.50</w:t>
            </w:r>
          </w:p>
        </w:tc>
        <w:tc>
          <w:tcPr>
            <w:tcW w:w="1685" w:type="dxa"/>
          </w:tcPr>
          <w:p w14:paraId="79317C77" w14:textId="77777777" w:rsidR="00482B70" w:rsidRPr="00630A55" w:rsidRDefault="00482B70" w:rsidP="003B139A">
            <w:pPr>
              <w:pStyle w:val="TableNumberdectab"/>
              <w:spacing w:before="0" w:after="0"/>
              <w:jc w:val="right"/>
            </w:pPr>
            <w:r w:rsidRPr="00630A55">
              <w:t>$1,985.50</w:t>
            </w:r>
          </w:p>
        </w:tc>
        <w:tc>
          <w:tcPr>
            <w:tcW w:w="1455" w:type="dxa"/>
          </w:tcPr>
          <w:p w14:paraId="7A80D152" w14:textId="77777777" w:rsidR="00482B70" w:rsidRPr="00630A55" w:rsidRDefault="00482B70" w:rsidP="003B139A">
            <w:pPr>
              <w:tabs>
                <w:tab w:val="decimal" w:pos="633"/>
              </w:tabs>
              <w:spacing w:before="0" w:after="0"/>
              <w:jc w:val="right"/>
            </w:pPr>
            <w:r w:rsidRPr="00630A55">
              <w:t>$0.00</w:t>
            </w:r>
          </w:p>
        </w:tc>
      </w:tr>
      <w:tr w:rsidR="00482B70" w:rsidRPr="00630A55" w14:paraId="1A36A398" w14:textId="77777777" w:rsidTr="003B139A">
        <w:trPr>
          <w:trHeight w:val="20"/>
        </w:trPr>
        <w:tc>
          <w:tcPr>
            <w:tcW w:w="1400" w:type="dxa"/>
            <w:vMerge/>
          </w:tcPr>
          <w:p w14:paraId="6B22919B" w14:textId="77777777" w:rsidR="00482B70" w:rsidRPr="00630A55" w:rsidRDefault="00482B70" w:rsidP="003B139A">
            <w:pPr>
              <w:pStyle w:val="Tabletext"/>
              <w:spacing w:before="0" w:after="0"/>
            </w:pPr>
          </w:p>
        </w:tc>
        <w:tc>
          <w:tcPr>
            <w:tcW w:w="1485" w:type="dxa"/>
            <w:vMerge/>
          </w:tcPr>
          <w:p w14:paraId="2838DF0C" w14:textId="77777777" w:rsidR="00482B70" w:rsidRPr="00630A55" w:rsidRDefault="00482B70" w:rsidP="003B139A">
            <w:pPr>
              <w:pStyle w:val="Tabletext"/>
              <w:spacing w:before="0" w:after="0"/>
            </w:pPr>
          </w:p>
        </w:tc>
        <w:tc>
          <w:tcPr>
            <w:tcW w:w="1561" w:type="dxa"/>
          </w:tcPr>
          <w:p w14:paraId="28D18D07" w14:textId="77777777" w:rsidR="00482B70" w:rsidRPr="00630A55" w:rsidRDefault="00482B70" w:rsidP="003B139A">
            <w:pPr>
              <w:pStyle w:val="Tabletext"/>
              <w:spacing w:before="0" w:after="0"/>
            </w:pPr>
            <w:r w:rsidRPr="00630A55">
              <w:t>Non-Admitted</w:t>
            </w:r>
          </w:p>
        </w:tc>
        <w:tc>
          <w:tcPr>
            <w:tcW w:w="1623" w:type="dxa"/>
          </w:tcPr>
          <w:p w14:paraId="0A1C0BD4" w14:textId="77777777" w:rsidR="00482B70" w:rsidRPr="00630A55" w:rsidRDefault="00482B70" w:rsidP="003B139A">
            <w:pPr>
              <w:pStyle w:val="TableNumberdectab"/>
              <w:spacing w:before="0" w:after="0"/>
              <w:jc w:val="right"/>
            </w:pPr>
            <w:r w:rsidRPr="00630A55">
              <w:t>$23.62</w:t>
            </w:r>
          </w:p>
        </w:tc>
        <w:tc>
          <w:tcPr>
            <w:tcW w:w="1685" w:type="dxa"/>
          </w:tcPr>
          <w:p w14:paraId="70FE8606" w14:textId="77777777" w:rsidR="00482B70" w:rsidRPr="00630A55" w:rsidRDefault="00482B70" w:rsidP="003B139A">
            <w:pPr>
              <w:pStyle w:val="TableNumberdectab"/>
              <w:spacing w:before="0" w:after="0"/>
              <w:jc w:val="right"/>
            </w:pPr>
            <w:r w:rsidRPr="00630A55">
              <w:t>$23.62</w:t>
            </w:r>
          </w:p>
        </w:tc>
        <w:tc>
          <w:tcPr>
            <w:tcW w:w="1455" w:type="dxa"/>
          </w:tcPr>
          <w:p w14:paraId="6F68955A" w14:textId="77777777" w:rsidR="00482B70" w:rsidRPr="00630A55" w:rsidRDefault="00482B70" w:rsidP="003B139A">
            <w:pPr>
              <w:tabs>
                <w:tab w:val="decimal" w:pos="633"/>
              </w:tabs>
              <w:spacing w:before="0" w:after="0"/>
              <w:jc w:val="right"/>
            </w:pPr>
            <w:r w:rsidRPr="00630A55">
              <w:t>$0.00</w:t>
            </w:r>
          </w:p>
        </w:tc>
      </w:tr>
      <w:tr w:rsidR="00482B70" w:rsidRPr="00630A55" w14:paraId="67E131BB" w14:textId="77777777" w:rsidTr="003B139A">
        <w:trPr>
          <w:trHeight w:val="20"/>
        </w:trPr>
        <w:tc>
          <w:tcPr>
            <w:tcW w:w="1400" w:type="dxa"/>
            <w:vMerge/>
          </w:tcPr>
          <w:p w14:paraId="3D2EC879" w14:textId="77777777" w:rsidR="00482B70" w:rsidRPr="00630A55" w:rsidRDefault="00482B70" w:rsidP="003B139A">
            <w:pPr>
              <w:pStyle w:val="Tabletext"/>
              <w:spacing w:before="0" w:after="0"/>
            </w:pPr>
          </w:p>
        </w:tc>
        <w:tc>
          <w:tcPr>
            <w:tcW w:w="1485" w:type="dxa"/>
            <w:vMerge/>
          </w:tcPr>
          <w:p w14:paraId="46CDA405" w14:textId="77777777" w:rsidR="00482B70" w:rsidRPr="00630A55" w:rsidRDefault="00482B70" w:rsidP="003B139A">
            <w:pPr>
              <w:pStyle w:val="Tabletext"/>
              <w:spacing w:before="0" w:after="0"/>
            </w:pPr>
          </w:p>
        </w:tc>
        <w:tc>
          <w:tcPr>
            <w:tcW w:w="1561" w:type="dxa"/>
          </w:tcPr>
          <w:p w14:paraId="5A1A3A64" w14:textId="77777777" w:rsidR="00482B70" w:rsidRPr="00630A55" w:rsidRDefault="00482B70" w:rsidP="003B139A">
            <w:pPr>
              <w:pStyle w:val="Tabletext"/>
              <w:spacing w:before="0" w:after="0"/>
            </w:pPr>
            <w:r w:rsidRPr="00630A55">
              <w:t>Mental Health</w:t>
            </w:r>
          </w:p>
        </w:tc>
        <w:tc>
          <w:tcPr>
            <w:tcW w:w="1623" w:type="dxa"/>
          </w:tcPr>
          <w:p w14:paraId="3B3F01B8" w14:textId="77777777" w:rsidR="00482B70" w:rsidRPr="00630A55" w:rsidRDefault="00482B70" w:rsidP="003B139A">
            <w:pPr>
              <w:pStyle w:val="TableNumberdectab"/>
              <w:spacing w:before="0" w:after="0"/>
              <w:jc w:val="right"/>
            </w:pPr>
            <w:r w:rsidRPr="00630A55">
              <w:t>$395,934.85</w:t>
            </w:r>
          </w:p>
        </w:tc>
        <w:tc>
          <w:tcPr>
            <w:tcW w:w="1685" w:type="dxa"/>
          </w:tcPr>
          <w:p w14:paraId="7B31BF31" w14:textId="77777777" w:rsidR="00482B70" w:rsidRPr="00630A55" w:rsidRDefault="00482B70" w:rsidP="003B139A">
            <w:pPr>
              <w:pStyle w:val="TableNumberdectab"/>
              <w:spacing w:before="0" w:after="0"/>
              <w:jc w:val="right"/>
            </w:pPr>
            <w:r w:rsidRPr="00630A55">
              <w:t>$395,934.85</w:t>
            </w:r>
          </w:p>
        </w:tc>
        <w:tc>
          <w:tcPr>
            <w:tcW w:w="1455" w:type="dxa"/>
          </w:tcPr>
          <w:p w14:paraId="3E80A25A" w14:textId="77777777" w:rsidR="00482B70" w:rsidRPr="00630A55" w:rsidRDefault="00482B70" w:rsidP="003B139A">
            <w:pPr>
              <w:tabs>
                <w:tab w:val="decimal" w:pos="633"/>
              </w:tabs>
              <w:spacing w:before="0" w:after="0"/>
              <w:jc w:val="right"/>
            </w:pPr>
            <w:r w:rsidRPr="00630A55">
              <w:t>$0.00</w:t>
            </w:r>
          </w:p>
        </w:tc>
      </w:tr>
    </w:tbl>
    <w:p w14:paraId="4C17B6FE" w14:textId="77777777" w:rsidR="009662DD" w:rsidRPr="00630A55" w:rsidRDefault="009662DD" w:rsidP="009662DD">
      <w:pPr>
        <w:pStyle w:val="Source"/>
      </w:pPr>
      <w:r w:rsidRPr="00630A55">
        <w:t xml:space="preserve">Source: Jurisdictional consultations and </w:t>
      </w:r>
      <w:r>
        <w:t>templates</w:t>
      </w:r>
    </w:p>
    <w:p w14:paraId="6B53DA46" w14:textId="0500FE3A" w:rsidR="006B6DF6" w:rsidRPr="00630A55" w:rsidRDefault="006B6DF6" w:rsidP="0008151F">
      <w:pPr>
        <w:pStyle w:val="Heading3"/>
        <w:rPr>
          <w:rFonts w:ascii="Univers 45 Light" w:hAnsi="Univers 45 Light"/>
          <w:b w:val="0"/>
          <w:color w:val="4FC3FF" w:themeColor="accent2" w:themeTint="99"/>
          <w:szCs w:val="20"/>
        </w:rPr>
      </w:pPr>
      <w:r w:rsidRPr="00630A55">
        <w:t>Governance arrangements</w:t>
      </w:r>
    </w:p>
    <w:p w14:paraId="0AE9B0D6" w14:textId="41D8F6CA" w:rsidR="006B6DF6" w:rsidRPr="00630A55" w:rsidRDefault="006B6DF6" w:rsidP="00D87587">
      <w:pPr>
        <w:jc w:val="both"/>
      </w:pPr>
      <w:r w:rsidRPr="00630A55">
        <w:t xml:space="preserve">The VCDC line items are aligned to Victoria’s standard Chart of Accounts, which provides consistency in the mapping of costs from the GL. </w:t>
      </w:r>
      <w:r w:rsidR="00520FDC">
        <w:t>DH</w:t>
      </w:r>
      <w:r w:rsidRPr="00630A55">
        <w:t xml:space="preserve"> provides a specific data requirements statement to define the information they want reported and the </w:t>
      </w:r>
      <w:r w:rsidR="004337A6">
        <w:t xml:space="preserve">reporting </w:t>
      </w:r>
      <w:r w:rsidRPr="00630A55">
        <w:t>format, supported by appropriate business roles and guidance documentation; health services not only need to adhere to those requirements</w:t>
      </w:r>
      <w:r w:rsidR="00FD4A7C">
        <w:t>,</w:t>
      </w:r>
      <w:r w:rsidRPr="00630A55">
        <w:t xml:space="preserve"> but also those of the AHPCS. </w:t>
      </w:r>
    </w:p>
    <w:p w14:paraId="4231A988" w14:textId="4B1747F7" w:rsidR="006B6DF6" w:rsidRPr="00630A55" w:rsidRDefault="006B6DF6" w:rsidP="00D87587">
      <w:pPr>
        <w:jc w:val="both"/>
      </w:pPr>
      <w:r w:rsidRPr="00630A55">
        <w:t xml:space="preserve">Health service and hospital data for the VCDC is extensively reviewed by the in-house </w:t>
      </w:r>
      <w:r w:rsidR="00FD4A7C">
        <w:t>c</w:t>
      </w:r>
      <w:r w:rsidRPr="00630A55">
        <w:t xml:space="preserve">osting teams prior to submission to </w:t>
      </w:r>
      <w:r w:rsidR="00520FDC">
        <w:t>DH</w:t>
      </w:r>
      <w:r w:rsidRPr="00630A55">
        <w:t xml:space="preserve">, with multiple refinements to ensure the data is as accurate as possible. Health services also provide </w:t>
      </w:r>
      <w:r w:rsidR="00520FDC">
        <w:t>DH</w:t>
      </w:r>
      <w:r w:rsidRPr="00630A55">
        <w:t xml:space="preserve"> with a reconciliation report (similar to the IFR templates) and submit their individual DQS as part of the VCDC. Both the reconciliation report and DQS </w:t>
      </w:r>
      <w:r w:rsidR="00975C87">
        <w:t xml:space="preserve">require sign </w:t>
      </w:r>
      <w:r w:rsidRPr="00630A55">
        <w:t>off by the Health Service CEO or CFO</w:t>
      </w:r>
      <w:r w:rsidR="00975C87">
        <w:t>, including an attestation</w:t>
      </w:r>
      <w:r w:rsidRPr="00630A55">
        <w:t>.</w:t>
      </w:r>
    </w:p>
    <w:p w14:paraId="06418B32" w14:textId="47DB8391" w:rsidR="006B6DF6" w:rsidRPr="00630A55" w:rsidRDefault="006B6DF6" w:rsidP="00D87587">
      <w:pPr>
        <w:jc w:val="both"/>
      </w:pPr>
      <w:r w:rsidRPr="00630A55">
        <w:t xml:space="preserve">The Department’s file validation process is </w:t>
      </w:r>
      <w:r w:rsidR="00D87587" w:rsidRPr="00630A55">
        <w:t>like</w:t>
      </w:r>
      <w:r w:rsidRPr="00630A55">
        <w:t xml:space="preserve"> IHACPA’s process with respect to data quality and error checking; if any critical errors or missing data is identified by </w:t>
      </w:r>
      <w:r w:rsidR="00520FDC">
        <w:t>DH</w:t>
      </w:r>
      <w:r w:rsidRPr="00630A55">
        <w:t xml:space="preserve">, the submission is returned to the health service for their review, </w:t>
      </w:r>
      <w:r w:rsidR="00D87587" w:rsidRPr="00630A55">
        <w:t>rectification,</w:t>
      </w:r>
      <w:r w:rsidRPr="00630A55">
        <w:t xml:space="preserve"> and resubmission (where appropriate). </w:t>
      </w:r>
    </w:p>
    <w:p w14:paraId="1B85A6E7" w14:textId="1980E4C5" w:rsidR="006B6DF6" w:rsidRPr="00630A55" w:rsidRDefault="006B6DF6" w:rsidP="00D87587">
      <w:pPr>
        <w:jc w:val="both"/>
      </w:pPr>
      <w:r w:rsidRPr="00630A55">
        <w:t xml:space="preserve">Once the final VCDC has been consolidated, </w:t>
      </w:r>
      <w:r w:rsidR="00520FDC">
        <w:t>DH</w:t>
      </w:r>
      <w:r w:rsidRPr="00630A55">
        <w:t xml:space="preserve"> coordinates the submission of the NHCDC, ensuring that all reporting requirements are met with respect to final cost centres, line items and reported activity. A formal briefing is prepared the Deputy Secretary (Commissioning and Systems Improvement), who signs off on the data and submission to IHACPA</w:t>
      </w:r>
      <w:r>
        <w:t xml:space="preserve">. </w:t>
      </w:r>
    </w:p>
    <w:p w14:paraId="4976A4DF" w14:textId="77777777" w:rsidR="004C1768" w:rsidRDefault="004C1768">
      <w:pPr>
        <w:spacing w:before="0" w:after="160" w:line="259" w:lineRule="auto"/>
        <w:rPr>
          <w:iCs/>
          <w:sz w:val="20"/>
          <w:szCs w:val="16"/>
        </w:rPr>
      </w:pPr>
      <w:r>
        <w:br w:type="page"/>
      </w:r>
    </w:p>
    <w:p w14:paraId="7160A60F" w14:textId="65C3B143" w:rsidR="006B6DF6" w:rsidRPr="00630A55" w:rsidRDefault="00721BBB" w:rsidP="00721BBB">
      <w:pPr>
        <w:pStyle w:val="Caption"/>
      </w:pPr>
      <w:r w:rsidRPr="00A8310C">
        <w:rPr>
          <w:b/>
          <w:bCs/>
        </w:rPr>
        <w:lastRenderedPageBreak/>
        <w:t xml:space="preserve">Table </w:t>
      </w:r>
      <w:r w:rsidR="00D91CB1" w:rsidRPr="00A8310C">
        <w:rPr>
          <w:b/>
          <w:bCs/>
        </w:rPr>
        <w:fldChar w:fldCharType="begin"/>
      </w:r>
      <w:r w:rsidR="00D91CB1" w:rsidRPr="00A8310C">
        <w:rPr>
          <w:b/>
          <w:bCs/>
        </w:rPr>
        <w:instrText xml:space="preserve"> SEQ Table \* ARABIC </w:instrText>
      </w:r>
      <w:r w:rsidR="00D91CB1" w:rsidRPr="00A8310C">
        <w:rPr>
          <w:b/>
          <w:bCs/>
        </w:rPr>
        <w:fldChar w:fldCharType="separate"/>
      </w:r>
      <w:r w:rsidR="007E2ACB">
        <w:rPr>
          <w:b/>
          <w:bCs/>
          <w:noProof/>
        </w:rPr>
        <w:t>29</w:t>
      </w:r>
      <w:r w:rsidR="00D91CB1" w:rsidRPr="00A8310C">
        <w:rPr>
          <w:b/>
          <w:bCs/>
          <w:noProof/>
        </w:rPr>
        <w:fldChar w:fldCharType="end"/>
      </w:r>
      <w:r w:rsidRPr="00A8310C">
        <w:rPr>
          <w:b/>
          <w:bCs/>
        </w:rPr>
        <w:t>:</w:t>
      </w:r>
      <w:r w:rsidR="00D87587">
        <w:rPr>
          <w:b/>
          <w:bCs/>
        </w:rPr>
        <w:t xml:space="preserve"> </w:t>
      </w:r>
      <w:r w:rsidR="006B6DF6" w:rsidRPr="00630A55">
        <w:t xml:space="preserve">Summary of </w:t>
      </w:r>
      <w:r w:rsidR="009A24F7">
        <w:t>quality assurance (</w:t>
      </w:r>
      <w:r w:rsidR="006B6DF6" w:rsidRPr="00630A55">
        <w:t>QA</w:t>
      </w:r>
      <w:r w:rsidR="009A24F7">
        <w:t>)</w:t>
      </w:r>
      <w:r w:rsidR="006B6DF6" w:rsidRPr="00630A55">
        <w:t xml:space="preserve"> checks performed – Victoria</w:t>
      </w:r>
    </w:p>
    <w:tbl>
      <w:tblPr>
        <w:tblW w:w="9050" w:type="dxa"/>
        <w:tblCellMar>
          <w:top w:w="28" w:type="dxa"/>
          <w:left w:w="28" w:type="dxa"/>
          <w:bottom w:w="28" w:type="dxa"/>
          <w:right w:w="28" w:type="dxa"/>
        </w:tblCellMar>
        <w:tblLook w:val="04A0" w:firstRow="1" w:lastRow="0" w:firstColumn="1" w:lastColumn="0" w:noHBand="0" w:noVBand="1"/>
      </w:tblPr>
      <w:tblGrid>
        <w:gridCol w:w="2188"/>
        <w:gridCol w:w="1629"/>
        <w:gridCol w:w="1730"/>
        <w:gridCol w:w="1572"/>
        <w:gridCol w:w="1931"/>
      </w:tblGrid>
      <w:tr w:rsidR="006B6DF6" w:rsidRPr="00630A55" w14:paraId="38A22202" w14:textId="77777777" w:rsidTr="001C04DE">
        <w:trPr>
          <w:trHeight w:val="280"/>
          <w:tblHeader/>
        </w:trPr>
        <w:tc>
          <w:tcPr>
            <w:tcW w:w="2188" w:type="dxa"/>
            <w:tcBorders>
              <w:top w:val="single" w:sz="8" w:space="0" w:color="auto"/>
              <w:left w:val="single" w:sz="8" w:space="0" w:color="auto"/>
              <w:bottom w:val="single" w:sz="8" w:space="0" w:color="auto"/>
              <w:right w:val="single" w:sz="8" w:space="0" w:color="auto"/>
            </w:tcBorders>
            <w:shd w:val="clear" w:color="auto" w:fill="00338D"/>
            <w:tcMar>
              <w:top w:w="0" w:type="dxa"/>
              <w:left w:w="108" w:type="dxa"/>
              <w:bottom w:w="0" w:type="dxa"/>
              <w:right w:w="108" w:type="dxa"/>
            </w:tcMar>
            <w:vAlign w:val="center"/>
            <w:hideMark/>
          </w:tcPr>
          <w:p w14:paraId="23CF8BDB" w14:textId="77777777" w:rsidR="006B6DF6" w:rsidRPr="00630A55" w:rsidRDefault="006B6DF6" w:rsidP="00A92341">
            <w:pPr>
              <w:pStyle w:val="Tableheading"/>
              <w:spacing w:before="0" w:after="0"/>
              <w:rPr>
                <w:rFonts w:ascii="Univers 45 Light" w:hAnsi="Univers 45 Light"/>
              </w:rPr>
            </w:pPr>
            <w:r w:rsidRPr="00630A55">
              <w:rPr>
                <w:rFonts w:ascii="Univers 45 Light" w:hAnsi="Univers 45 Light"/>
              </w:rPr>
              <w:t>QA Test</w:t>
            </w:r>
          </w:p>
        </w:tc>
        <w:tc>
          <w:tcPr>
            <w:tcW w:w="1629" w:type="dxa"/>
            <w:tcBorders>
              <w:top w:val="single" w:sz="8" w:space="0" w:color="auto"/>
              <w:left w:val="nil"/>
              <w:bottom w:val="single" w:sz="8" w:space="0" w:color="auto"/>
              <w:right w:val="single" w:sz="8" w:space="0" w:color="auto"/>
            </w:tcBorders>
            <w:shd w:val="clear" w:color="auto" w:fill="00338D"/>
            <w:tcMar>
              <w:top w:w="0" w:type="dxa"/>
              <w:left w:w="108" w:type="dxa"/>
              <w:bottom w:w="0" w:type="dxa"/>
              <w:right w:w="108" w:type="dxa"/>
            </w:tcMar>
            <w:vAlign w:val="center"/>
            <w:hideMark/>
          </w:tcPr>
          <w:p w14:paraId="6C351484" w14:textId="0CB7BEC0" w:rsidR="006B6DF6" w:rsidRPr="00630A55" w:rsidRDefault="00520FDC" w:rsidP="00A92341">
            <w:pPr>
              <w:pStyle w:val="Tableheading"/>
              <w:spacing w:before="0" w:after="0"/>
              <w:rPr>
                <w:rFonts w:ascii="Univers 45 Light" w:hAnsi="Univers 45 Light"/>
              </w:rPr>
            </w:pPr>
            <w:r>
              <w:rPr>
                <w:rFonts w:ascii="Univers 45 Light" w:hAnsi="Univers 45 Light"/>
              </w:rPr>
              <w:t>DH</w:t>
            </w:r>
          </w:p>
        </w:tc>
        <w:tc>
          <w:tcPr>
            <w:tcW w:w="1730" w:type="dxa"/>
            <w:tcBorders>
              <w:top w:val="single" w:sz="8" w:space="0" w:color="auto"/>
              <w:left w:val="nil"/>
              <w:bottom w:val="single" w:sz="8" w:space="0" w:color="auto"/>
              <w:right w:val="single" w:sz="8" w:space="0" w:color="auto"/>
            </w:tcBorders>
            <w:shd w:val="clear" w:color="auto" w:fill="00338D"/>
            <w:tcMar>
              <w:top w:w="0" w:type="dxa"/>
              <w:left w:w="108" w:type="dxa"/>
              <w:bottom w:w="0" w:type="dxa"/>
              <w:right w:w="108" w:type="dxa"/>
            </w:tcMar>
            <w:vAlign w:val="center"/>
            <w:hideMark/>
          </w:tcPr>
          <w:p w14:paraId="4B61027D" w14:textId="77777777" w:rsidR="006B6DF6" w:rsidRPr="00630A55" w:rsidRDefault="006B6DF6" w:rsidP="00A92341">
            <w:pPr>
              <w:pStyle w:val="Tableheading"/>
              <w:spacing w:before="0" w:after="0"/>
              <w:rPr>
                <w:rFonts w:ascii="Univers 45 Light" w:hAnsi="Univers 45 Light"/>
              </w:rPr>
            </w:pPr>
            <w:r w:rsidRPr="00630A55">
              <w:rPr>
                <w:rFonts w:ascii="Univers 45 Light" w:hAnsi="Univers 45 Light"/>
              </w:rPr>
              <w:t>Latrobe Regional Hospital</w:t>
            </w:r>
          </w:p>
        </w:tc>
        <w:tc>
          <w:tcPr>
            <w:tcW w:w="1572" w:type="dxa"/>
            <w:tcBorders>
              <w:top w:val="single" w:sz="8" w:space="0" w:color="auto"/>
              <w:left w:val="nil"/>
              <w:bottom w:val="single" w:sz="8" w:space="0" w:color="auto"/>
              <w:right w:val="single" w:sz="8" w:space="0" w:color="auto"/>
            </w:tcBorders>
            <w:shd w:val="clear" w:color="auto" w:fill="00338D"/>
            <w:vAlign w:val="center"/>
          </w:tcPr>
          <w:p w14:paraId="63A95D09" w14:textId="77777777" w:rsidR="006B6DF6" w:rsidRPr="00630A55" w:rsidRDefault="006B6DF6" w:rsidP="00A92341">
            <w:pPr>
              <w:pStyle w:val="Tableheading"/>
              <w:spacing w:before="0" w:after="0"/>
              <w:rPr>
                <w:rFonts w:ascii="Univers 45 Light" w:hAnsi="Univers 45 Light"/>
              </w:rPr>
            </w:pPr>
            <w:r w:rsidRPr="00630A55">
              <w:rPr>
                <w:rFonts w:ascii="Univers 45 Light" w:hAnsi="Univers 45 Light"/>
              </w:rPr>
              <w:t>Ballarat Health Service</w:t>
            </w:r>
          </w:p>
        </w:tc>
        <w:tc>
          <w:tcPr>
            <w:tcW w:w="1931" w:type="dxa"/>
            <w:tcBorders>
              <w:top w:val="single" w:sz="8" w:space="0" w:color="auto"/>
              <w:left w:val="nil"/>
              <w:bottom w:val="single" w:sz="8" w:space="0" w:color="auto"/>
              <w:right w:val="single" w:sz="8" w:space="0" w:color="auto"/>
            </w:tcBorders>
            <w:shd w:val="clear" w:color="auto" w:fill="00338D"/>
          </w:tcPr>
          <w:p w14:paraId="73630420" w14:textId="77777777" w:rsidR="006B6DF6" w:rsidRPr="00630A55" w:rsidRDefault="006B6DF6" w:rsidP="00A92341">
            <w:pPr>
              <w:pStyle w:val="Tableheading"/>
              <w:spacing w:before="0" w:after="0"/>
              <w:rPr>
                <w:rFonts w:ascii="Univers 45 Light" w:hAnsi="Univers 45 Light"/>
              </w:rPr>
            </w:pPr>
            <w:r w:rsidRPr="00630A55">
              <w:rPr>
                <w:rFonts w:ascii="Univers 45 Light" w:hAnsi="Univers 45 Light"/>
              </w:rPr>
              <w:t>Royal Melbourne Hospital</w:t>
            </w:r>
          </w:p>
        </w:tc>
      </w:tr>
      <w:tr w:rsidR="006B6DF6" w:rsidRPr="00630A55" w14:paraId="1E36321F" w14:textId="77777777" w:rsidTr="008D7CF4">
        <w:trPr>
          <w:trHeight w:val="263"/>
        </w:trPr>
        <w:tc>
          <w:tcPr>
            <w:tcW w:w="5547" w:type="dxa"/>
            <w:gridSpan w:val="3"/>
            <w:tcBorders>
              <w:top w:val="nil"/>
              <w:left w:val="single" w:sz="8" w:space="0" w:color="auto"/>
              <w:bottom w:val="single" w:sz="8" w:space="0" w:color="auto"/>
              <w:right w:val="single" w:sz="8" w:space="0" w:color="auto"/>
            </w:tcBorders>
            <w:shd w:val="clear" w:color="auto" w:fill="808080"/>
            <w:tcMar>
              <w:top w:w="0" w:type="dxa"/>
              <w:left w:w="108" w:type="dxa"/>
              <w:bottom w:w="0" w:type="dxa"/>
              <w:right w:w="108" w:type="dxa"/>
            </w:tcMar>
            <w:vAlign w:val="center"/>
            <w:hideMark/>
          </w:tcPr>
          <w:p w14:paraId="3EFF6D3C" w14:textId="77777777" w:rsidR="006B6DF6" w:rsidRPr="00630A55" w:rsidRDefault="006B6DF6" w:rsidP="00A92341">
            <w:pPr>
              <w:pStyle w:val="Tableheading"/>
              <w:rPr>
                <w:rFonts w:ascii="Univers 45 Light" w:hAnsi="Univers 45 Light"/>
              </w:rPr>
            </w:pPr>
            <w:r w:rsidRPr="00467F5A">
              <w:rPr>
                <w:rFonts w:ascii="Univers 45 Light" w:hAnsi="Univers 45 Light"/>
                <w:color w:val="000000" w:themeColor="text1"/>
              </w:rPr>
              <w:t>Source data and systems</w:t>
            </w:r>
          </w:p>
        </w:tc>
        <w:tc>
          <w:tcPr>
            <w:tcW w:w="1572" w:type="dxa"/>
            <w:tcBorders>
              <w:top w:val="nil"/>
              <w:left w:val="single" w:sz="8" w:space="0" w:color="auto"/>
              <w:bottom w:val="single" w:sz="8" w:space="0" w:color="auto"/>
              <w:right w:val="single" w:sz="8" w:space="0" w:color="auto"/>
            </w:tcBorders>
            <w:shd w:val="clear" w:color="auto" w:fill="808080"/>
            <w:vAlign w:val="center"/>
          </w:tcPr>
          <w:p w14:paraId="680E6DB6" w14:textId="77777777" w:rsidR="006B6DF6" w:rsidRPr="00630A55" w:rsidRDefault="006B6DF6" w:rsidP="00A92341">
            <w:pPr>
              <w:pStyle w:val="Tableheading"/>
              <w:rPr>
                <w:rFonts w:ascii="Univers 45 Light" w:hAnsi="Univers 45 Light"/>
              </w:rPr>
            </w:pPr>
          </w:p>
        </w:tc>
        <w:tc>
          <w:tcPr>
            <w:tcW w:w="1931" w:type="dxa"/>
            <w:tcBorders>
              <w:top w:val="nil"/>
              <w:left w:val="single" w:sz="8" w:space="0" w:color="auto"/>
              <w:bottom w:val="single" w:sz="8" w:space="0" w:color="auto"/>
              <w:right w:val="single" w:sz="8" w:space="0" w:color="auto"/>
            </w:tcBorders>
            <w:shd w:val="clear" w:color="auto" w:fill="808080"/>
          </w:tcPr>
          <w:p w14:paraId="0C93D3EF" w14:textId="77777777" w:rsidR="006B6DF6" w:rsidRPr="00630A55" w:rsidRDefault="006B6DF6" w:rsidP="00A92341">
            <w:pPr>
              <w:pStyle w:val="Tableheading"/>
              <w:rPr>
                <w:rFonts w:ascii="Univers 45 Light" w:hAnsi="Univers 45 Light"/>
              </w:rPr>
            </w:pPr>
          </w:p>
        </w:tc>
      </w:tr>
      <w:tr w:rsidR="006B6DF6" w:rsidRPr="00630A55" w14:paraId="39463224" w14:textId="77777777" w:rsidTr="003B139A">
        <w:trPr>
          <w:trHeight w:val="543"/>
        </w:trPr>
        <w:tc>
          <w:tcPr>
            <w:tcW w:w="21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2D8EE1" w14:textId="77777777" w:rsidR="006B6DF6" w:rsidRPr="00B16266" w:rsidRDefault="006B6DF6" w:rsidP="009527C7">
            <w:pPr>
              <w:pStyle w:val="Tabletext"/>
            </w:pPr>
            <w:r w:rsidRPr="00B16266">
              <w:t>Reconciliation back to GL and audited statements</w:t>
            </w:r>
          </w:p>
        </w:tc>
        <w:tc>
          <w:tcPr>
            <w:tcW w:w="1629" w:type="dxa"/>
            <w:tcBorders>
              <w:top w:val="nil"/>
              <w:left w:val="nil"/>
              <w:bottom w:val="single" w:sz="8" w:space="0" w:color="auto"/>
              <w:right w:val="single" w:sz="8" w:space="0" w:color="auto"/>
            </w:tcBorders>
            <w:tcMar>
              <w:top w:w="0" w:type="dxa"/>
              <w:left w:w="108" w:type="dxa"/>
              <w:bottom w:w="0" w:type="dxa"/>
              <w:right w:w="108" w:type="dxa"/>
            </w:tcMar>
          </w:tcPr>
          <w:p w14:paraId="0ECF0962" w14:textId="77777777" w:rsidR="006B6DF6" w:rsidRPr="00B16266" w:rsidRDefault="006B6DF6" w:rsidP="003B139A">
            <w:pPr>
              <w:pStyle w:val="Tabletext"/>
            </w:pPr>
            <w:r>
              <w:t>The F1 report confirms that the submissions reconcile to the GL</w:t>
            </w:r>
          </w:p>
        </w:tc>
        <w:tc>
          <w:tcPr>
            <w:tcW w:w="5233" w:type="dxa"/>
            <w:gridSpan w:val="3"/>
            <w:tcBorders>
              <w:top w:val="nil"/>
              <w:left w:val="nil"/>
              <w:bottom w:val="single" w:sz="8" w:space="0" w:color="auto"/>
              <w:right w:val="single" w:sz="8" w:space="0" w:color="auto"/>
            </w:tcBorders>
            <w:tcMar>
              <w:top w:w="0" w:type="dxa"/>
              <w:left w:w="108" w:type="dxa"/>
              <w:bottom w:w="0" w:type="dxa"/>
              <w:right w:w="108" w:type="dxa"/>
            </w:tcMar>
          </w:tcPr>
          <w:p w14:paraId="37A7BE8E" w14:textId="09A90E97" w:rsidR="006B6DF6" w:rsidRPr="00B16266" w:rsidRDefault="006B6DF6" w:rsidP="003B139A">
            <w:pPr>
              <w:pStyle w:val="Tabletext"/>
            </w:pPr>
            <w:r>
              <w:t xml:space="preserve">All health services submit their F1 report to </w:t>
            </w:r>
            <w:r w:rsidR="00520FDC">
              <w:t>DH</w:t>
            </w:r>
            <w:r>
              <w:t xml:space="preserve"> and all costing ledgers are reconciled to this. </w:t>
            </w:r>
          </w:p>
        </w:tc>
      </w:tr>
      <w:tr w:rsidR="006B6DF6" w:rsidRPr="00630A55" w14:paraId="5BEDC7FA" w14:textId="77777777" w:rsidTr="003B139A">
        <w:trPr>
          <w:cantSplit/>
          <w:trHeight w:val="543"/>
        </w:trPr>
        <w:tc>
          <w:tcPr>
            <w:tcW w:w="21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4FE5FC6" w14:textId="77777777" w:rsidR="006B6DF6" w:rsidRPr="00B16266" w:rsidRDefault="006B6DF6" w:rsidP="009527C7">
            <w:pPr>
              <w:pStyle w:val="Tabletext"/>
            </w:pPr>
            <w:r w:rsidRPr="00B16266">
              <w:t>Reconciliation of activity data back to source systems</w:t>
            </w:r>
          </w:p>
        </w:tc>
        <w:tc>
          <w:tcPr>
            <w:tcW w:w="1629" w:type="dxa"/>
            <w:tcBorders>
              <w:top w:val="nil"/>
              <w:left w:val="nil"/>
              <w:bottom w:val="single" w:sz="8" w:space="0" w:color="auto"/>
              <w:right w:val="single" w:sz="8" w:space="0" w:color="auto"/>
            </w:tcBorders>
            <w:tcMar>
              <w:top w:w="0" w:type="dxa"/>
              <w:left w:w="108" w:type="dxa"/>
              <w:bottom w:w="0" w:type="dxa"/>
              <w:right w:w="108" w:type="dxa"/>
            </w:tcMar>
          </w:tcPr>
          <w:p w14:paraId="3DAD20D2" w14:textId="30A7ACCF" w:rsidR="006B6DF6" w:rsidRPr="00B16266" w:rsidRDefault="004C1768" w:rsidP="003B139A">
            <w:pPr>
              <w:pStyle w:val="Tabletext"/>
            </w:pPr>
            <w:r>
              <w:t>DH reconciles the activity records submitted through VCDC to the activity datasets reported by health services to the Department</w:t>
            </w:r>
            <w:r w:rsidR="006B6DF6">
              <w:t xml:space="preserve">. </w:t>
            </w:r>
          </w:p>
        </w:tc>
        <w:tc>
          <w:tcPr>
            <w:tcW w:w="173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5D0F5BA" w14:textId="2ACAFCAF" w:rsidR="006B6DF6" w:rsidRPr="00B16266" w:rsidRDefault="006B6DF6" w:rsidP="003B139A">
            <w:pPr>
              <w:pStyle w:val="Tabletext"/>
            </w:pPr>
            <w:r w:rsidRPr="00AF2E73">
              <w:t>Various reconciliation processes to ensure what is loaded into staging database and PPM reconciles with what is lodged for VCDC</w:t>
            </w:r>
            <w:r>
              <w:t xml:space="preserve">. </w:t>
            </w:r>
          </w:p>
        </w:tc>
        <w:tc>
          <w:tcPr>
            <w:tcW w:w="1572" w:type="dxa"/>
            <w:tcBorders>
              <w:top w:val="nil"/>
              <w:left w:val="nil"/>
              <w:bottom w:val="single" w:sz="8" w:space="0" w:color="auto"/>
              <w:right w:val="single" w:sz="8" w:space="0" w:color="auto"/>
            </w:tcBorders>
            <w:shd w:val="clear" w:color="auto" w:fill="auto"/>
          </w:tcPr>
          <w:p w14:paraId="2C6FA774" w14:textId="3BA9B86B" w:rsidR="006B6DF6" w:rsidRPr="00B16266" w:rsidRDefault="006B6DF6" w:rsidP="003B139A">
            <w:pPr>
              <w:pStyle w:val="Tabletext"/>
            </w:pPr>
            <w:r w:rsidRPr="00AF2E73">
              <w:t>Various reconciliation processes to ensure what is loaded into staging database and PPM reconciles with what is lodged for VCDC</w:t>
            </w:r>
            <w:r>
              <w:t xml:space="preserve">. </w:t>
            </w:r>
          </w:p>
        </w:tc>
        <w:tc>
          <w:tcPr>
            <w:tcW w:w="1931" w:type="dxa"/>
            <w:tcBorders>
              <w:top w:val="nil"/>
              <w:left w:val="nil"/>
              <w:bottom w:val="single" w:sz="8" w:space="0" w:color="auto"/>
              <w:right w:val="single" w:sz="8" w:space="0" w:color="auto"/>
            </w:tcBorders>
            <w:shd w:val="clear" w:color="auto" w:fill="auto"/>
          </w:tcPr>
          <w:p w14:paraId="5277E089" w14:textId="28F8A490" w:rsidR="006B6DF6" w:rsidRPr="00B16266" w:rsidRDefault="006B6DF6" w:rsidP="003B139A">
            <w:pPr>
              <w:pStyle w:val="Tabletext"/>
            </w:pPr>
            <w:r>
              <w:t xml:space="preserve">Various reconciliation processes to ensure what is loaded into staging database and PPM reconciles with what is lodged for VCDC. </w:t>
            </w:r>
          </w:p>
        </w:tc>
      </w:tr>
      <w:tr w:rsidR="006B6DF6" w:rsidRPr="00630A55" w14:paraId="2B3CA56C" w14:textId="77777777" w:rsidTr="008D7CF4">
        <w:trPr>
          <w:trHeight w:val="280"/>
        </w:trPr>
        <w:tc>
          <w:tcPr>
            <w:tcW w:w="5547" w:type="dxa"/>
            <w:gridSpan w:val="3"/>
            <w:tcBorders>
              <w:top w:val="nil"/>
              <w:left w:val="single" w:sz="8" w:space="0" w:color="auto"/>
              <w:bottom w:val="single" w:sz="8" w:space="0" w:color="auto"/>
              <w:right w:val="single" w:sz="8" w:space="0" w:color="auto"/>
            </w:tcBorders>
            <w:shd w:val="clear" w:color="auto" w:fill="808080"/>
            <w:tcMar>
              <w:top w:w="0" w:type="dxa"/>
              <w:left w:w="108" w:type="dxa"/>
              <w:bottom w:w="0" w:type="dxa"/>
              <w:right w:w="108" w:type="dxa"/>
            </w:tcMar>
            <w:vAlign w:val="center"/>
            <w:hideMark/>
          </w:tcPr>
          <w:p w14:paraId="4C1DA45A" w14:textId="7E93182D" w:rsidR="006B6DF6" w:rsidRPr="00630A55" w:rsidRDefault="006B6DF6" w:rsidP="00A92341">
            <w:pPr>
              <w:pStyle w:val="Tableheading"/>
              <w:rPr>
                <w:rFonts w:ascii="Univers 45 Light" w:hAnsi="Univers 45 Light"/>
              </w:rPr>
            </w:pPr>
            <w:r w:rsidRPr="00467F5A">
              <w:rPr>
                <w:rFonts w:ascii="Univers 45 Light" w:hAnsi="Univers 45 Light"/>
                <w:color w:val="000000" w:themeColor="text1"/>
              </w:rPr>
              <w:t xml:space="preserve">Costing </w:t>
            </w:r>
            <w:r w:rsidR="001136C5">
              <w:rPr>
                <w:rFonts w:ascii="Univers 45 Light" w:hAnsi="Univers 45 Light"/>
                <w:color w:val="000000" w:themeColor="text1"/>
              </w:rPr>
              <w:t>d</w:t>
            </w:r>
            <w:r w:rsidRPr="00467F5A">
              <w:rPr>
                <w:rFonts w:ascii="Univers 45 Light" w:hAnsi="Univers 45 Light"/>
                <w:color w:val="000000" w:themeColor="text1"/>
              </w:rPr>
              <w:t xml:space="preserve">ata – </w:t>
            </w:r>
            <w:r w:rsidR="001136C5">
              <w:rPr>
                <w:rFonts w:ascii="Univers 45 Light" w:hAnsi="Univers 45 Light"/>
                <w:color w:val="000000" w:themeColor="text1"/>
              </w:rPr>
              <w:t>v</w:t>
            </w:r>
            <w:r w:rsidRPr="00467F5A">
              <w:rPr>
                <w:rFonts w:ascii="Univers 45 Light" w:hAnsi="Univers 45 Light"/>
                <w:color w:val="000000" w:themeColor="text1"/>
              </w:rPr>
              <w:t>alidation</w:t>
            </w:r>
          </w:p>
        </w:tc>
        <w:tc>
          <w:tcPr>
            <w:tcW w:w="1572" w:type="dxa"/>
            <w:tcBorders>
              <w:top w:val="nil"/>
              <w:left w:val="single" w:sz="8" w:space="0" w:color="auto"/>
              <w:bottom w:val="single" w:sz="8" w:space="0" w:color="auto"/>
              <w:right w:val="single" w:sz="8" w:space="0" w:color="auto"/>
            </w:tcBorders>
            <w:shd w:val="clear" w:color="auto" w:fill="808080"/>
            <w:vAlign w:val="center"/>
          </w:tcPr>
          <w:p w14:paraId="2836E511" w14:textId="77777777" w:rsidR="006B6DF6" w:rsidRPr="00630A55" w:rsidRDefault="006B6DF6" w:rsidP="00A92341">
            <w:pPr>
              <w:pStyle w:val="Tableheading"/>
              <w:rPr>
                <w:rFonts w:ascii="Univers 45 Light" w:hAnsi="Univers 45 Light"/>
              </w:rPr>
            </w:pPr>
          </w:p>
        </w:tc>
        <w:tc>
          <w:tcPr>
            <w:tcW w:w="1931" w:type="dxa"/>
            <w:tcBorders>
              <w:top w:val="nil"/>
              <w:left w:val="single" w:sz="8" w:space="0" w:color="auto"/>
              <w:bottom w:val="single" w:sz="8" w:space="0" w:color="auto"/>
              <w:right w:val="single" w:sz="8" w:space="0" w:color="auto"/>
            </w:tcBorders>
            <w:shd w:val="clear" w:color="auto" w:fill="808080"/>
          </w:tcPr>
          <w:p w14:paraId="5CFE84E1" w14:textId="77777777" w:rsidR="006B6DF6" w:rsidRPr="00630A55" w:rsidRDefault="006B6DF6" w:rsidP="00A92341">
            <w:pPr>
              <w:pStyle w:val="Tableheading"/>
              <w:rPr>
                <w:rFonts w:ascii="Univers 45 Light" w:hAnsi="Univers 45 Light"/>
              </w:rPr>
            </w:pPr>
          </w:p>
        </w:tc>
      </w:tr>
      <w:tr w:rsidR="0002263E" w:rsidRPr="00630A55" w14:paraId="7A8EE65D" w14:textId="77777777" w:rsidTr="003B139A">
        <w:trPr>
          <w:trHeight w:val="543"/>
        </w:trPr>
        <w:tc>
          <w:tcPr>
            <w:tcW w:w="21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A2F979" w14:textId="77777777" w:rsidR="0002263E" w:rsidRPr="00B16266" w:rsidRDefault="0002263E" w:rsidP="0002263E">
            <w:pPr>
              <w:pStyle w:val="Tabletext"/>
            </w:pPr>
            <w:r w:rsidRPr="00B16266">
              <w:t>Trend analysis to prior periods across cost products</w:t>
            </w:r>
          </w:p>
        </w:tc>
        <w:tc>
          <w:tcPr>
            <w:tcW w:w="1629" w:type="dxa"/>
            <w:vMerge w:val="restart"/>
            <w:tcBorders>
              <w:top w:val="nil"/>
              <w:left w:val="nil"/>
              <w:right w:val="single" w:sz="4" w:space="0" w:color="auto"/>
            </w:tcBorders>
            <w:tcMar>
              <w:top w:w="0" w:type="dxa"/>
              <w:left w:w="108" w:type="dxa"/>
              <w:bottom w:w="0" w:type="dxa"/>
              <w:right w:w="108" w:type="dxa"/>
            </w:tcMar>
          </w:tcPr>
          <w:p w14:paraId="17497D9D" w14:textId="199FD1C1" w:rsidR="0002263E" w:rsidRDefault="0002263E" w:rsidP="0002263E">
            <w:pPr>
              <w:pStyle w:val="Tabletext"/>
              <w:rPr>
                <w:rFonts w:ascii="Univers 45 Light" w:hAnsi="Univers 45 Light"/>
                <w:szCs w:val="20"/>
              </w:rPr>
            </w:pPr>
            <w:r w:rsidRPr="00D16C9F">
              <w:rPr>
                <w:rFonts w:cs="Arial"/>
              </w:rPr>
              <w:t>Various QA checks are conducted on the linking of datasets and the reaso</w:t>
            </w:r>
            <w:r w:rsidRPr="00D16C9F">
              <w:rPr>
                <w:rFonts w:cs="Arial"/>
                <w:szCs w:val="20"/>
              </w:rPr>
              <w:t>nableness of the costing data – including admitted, non-admitted</w:t>
            </w:r>
            <w:r>
              <w:rPr>
                <w:rFonts w:cs="Arial"/>
                <w:szCs w:val="20"/>
              </w:rPr>
              <w:t xml:space="preserve"> (including subacute and mental health)</w:t>
            </w:r>
            <w:r w:rsidRPr="00D16C9F">
              <w:rPr>
                <w:rFonts w:cs="Arial"/>
                <w:szCs w:val="20"/>
              </w:rPr>
              <w:t xml:space="preserve">, emergency and </w:t>
            </w:r>
            <w:r>
              <w:rPr>
                <w:rFonts w:cs="Arial"/>
                <w:szCs w:val="20"/>
              </w:rPr>
              <w:t xml:space="preserve">community </w:t>
            </w:r>
            <w:r w:rsidRPr="00D16C9F">
              <w:rPr>
                <w:rFonts w:cs="Arial"/>
                <w:szCs w:val="20"/>
              </w:rPr>
              <w:t xml:space="preserve">mental health. </w:t>
            </w:r>
          </w:p>
          <w:p w14:paraId="79649DAA" w14:textId="0D9B7E47" w:rsidR="0002263E" w:rsidRPr="00D16C9F" w:rsidRDefault="0002263E" w:rsidP="0002263E">
            <w:pPr>
              <w:pStyle w:val="Tabletext"/>
              <w:rPr>
                <w:rFonts w:cs="Arial"/>
              </w:rPr>
            </w:pPr>
            <w:r>
              <w:rPr>
                <w:rFonts w:cs="Arial"/>
              </w:rPr>
              <w:t>DH</w:t>
            </w:r>
            <w:r w:rsidRPr="00D16C9F">
              <w:rPr>
                <w:rFonts w:cs="Arial"/>
              </w:rPr>
              <w:t xml:space="preserve"> also summarises trends over 4–5-year period to highlight change. </w:t>
            </w:r>
          </w:p>
        </w:tc>
        <w:tc>
          <w:tcPr>
            <w:tcW w:w="1730"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tcPr>
          <w:p w14:paraId="66D96241" w14:textId="6C136517" w:rsidR="0002263E" w:rsidRPr="00D16C9F" w:rsidRDefault="0002263E" w:rsidP="0002263E">
            <w:pPr>
              <w:pStyle w:val="Tabletext"/>
              <w:rPr>
                <w:rFonts w:cs="Arial"/>
              </w:rPr>
            </w:pPr>
            <w:r w:rsidRPr="0002263E">
              <w:rPr>
                <w:rFonts w:cs="Arial"/>
              </w:rPr>
              <w:t>Various QA and reasonableness checks are conducted during loading of data. Validation is throughout the whole process (GL reclass, overhead allocation, activity loading, linking, mapping and costing). Various vendor reports embedded in the cost system as well as user developed reports are specifically built for the validation purpose.</w:t>
            </w:r>
          </w:p>
          <w:p w14:paraId="3C9B5558" w14:textId="77777777" w:rsidR="0002263E" w:rsidRPr="00D16C9F" w:rsidRDefault="0002263E" w:rsidP="0002263E">
            <w:pPr>
              <w:pStyle w:val="Tabletext"/>
              <w:rPr>
                <w:rFonts w:cs="Arial"/>
              </w:rPr>
            </w:pPr>
          </w:p>
        </w:tc>
        <w:tc>
          <w:tcPr>
            <w:tcW w:w="1572" w:type="dxa"/>
            <w:vMerge w:val="restart"/>
            <w:tcBorders>
              <w:top w:val="single" w:sz="4" w:space="0" w:color="auto"/>
              <w:left w:val="single" w:sz="4" w:space="0" w:color="auto"/>
              <w:right w:val="single" w:sz="4" w:space="0" w:color="auto"/>
            </w:tcBorders>
            <w:shd w:val="clear" w:color="auto" w:fill="auto"/>
          </w:tcPr>
          <w:p w14:paraId="313C19FA" w14:textId="3F1A0F2D" w:rsidR="0002263E" w:rsidRPr="00D16C9F" w:rsidRDefault="0002263E" w:rsidP="0002263E">
            <w:pPr>
              <w:pStyle w:val="Tabletext"/>
              <w:rPr>
                <w:rFonts w:cs="Arial"/>
              </w:rPr>
            </w:pPr>
            <w:r w:rsidRPr="0002263E">
              <w:rPr>
                <w:rFonts w:cs="Arial"/>
              </w:rPr>
              <w:t>Various QA and reasonableness checks are conducted during loading of data. Validation is throughout the whole process (GL reclass, overhead allocation, activity loading, linking, mapping and costing). Various vendor reports embedded in the cost system as well as user developed reports are specifically built for the validation purpose.</w:t>
            </w:r>
          </w:p>
          <w:p w14:paraId="223DE3FE" w14:textId="77777777" w:rsidR="0002263E" w:rsidRPr="00D16C9F" w:rsidRDefault="0002263E" w:rsidP="0002263E">
            <w:pPr>
              <w:pStyle w:val="Tabletext"/>
              <w:rPr>
                <w:rFonts w:cs="Arial"/>
              </w:rPr>
            </w:pPr>
          </w:p>
        </w:tc>
        <w:tc>
          <w:tcPr>
            <w:tcW w:w="1931" w:type="dxa"/>
            <w:vMerge w:val="restart"/>
            <w:tcBorders>
              <w:top w:val="single" w:sz="4" w:space="0" w:color="auto"/>
              <w:left w:val="single" w:sz="4" w:space="0" w:color="auto"/>
              <w:right w:val="single" w:sz="4" w:space="0" w:color="auto"/>
            </w:tcBorders>
            <w:shd w:val="clear" w:color="auto" w:fill="auto"/>
          </w:tcPr>
          <w:p w14:paraId="5360DFB2" w14:textId="65C519DF" w:rsidR="0002263E" w:rsidRPr="00D16C9F" w:rsidRDefault="0002263E" w:rsidP="0002263E">
            <w:pPr>
              <w:pStyle w:val="Tabletext"/>
              <w:rPr>
                <w:rFonts w:cs="Arial"/>
              </w:rPr>
            </w:pPr>
            <w:r w:rsidRPr="0002263E">
              <w:rPr>
                <w:rFonts w:cs="Arial"/>
              </w:rPr>
              <w:t>Various QA and reasonableness checks are conducted during loading of data. Validation is throughout the whole process (GL reclass, overhead allocation, activity loading, linking, mapping and costing). Various vendor reports embedded in the cost system as well as user developed reports are specifically built for the validation purpose.</w:t>
            </w:r>
          </w:p>
          <w:p w14:paraId="0A871074" w14:textId="12663198" w:rsidR="0002263E" w:rsidRPr="00D16C9F" w:rsidRDefault="0002263E" w:rsidP="0002263E">
            <w:pPr>
              <w:pStyle w:val="Tabletext"/>
              <w:rPr>
                <w:rFonts w:cs="Arial"/>
              </w:rPr>
            </w:pPr>
          </w:p>
        </w:tc>
      </w:tr>
      <w:tr w:rsidR="0002263E" w:rsidRPr="00630A55" w14:paraId="403D5638" w14:textId="77777777" w:rsidTr="003B139A">
        <w:trPr>
          <w:trHeight w:val="543"/>
        </w:trPr>
        <w:tc>
          <w:tcPr>
            <w:tcW w:w="21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7286EC7" w14:textId="77777777" w:rsidR="0002263E" w:rsidRPr="00B16266" w:rsidRDefault="0002263E" w:rsidP="0002263E">
            <w:pPr>
              <w:pStyle w:val="Tabletext"/>
            </w:pPr>
            <w:r w:rsidRPr="00B16266">
              <w:t>Reasonableness test of excluded data and outliers</w:t>
            </w:r>
          </w:p>
        </w:tc>
        <w:tc>
          <w:tcPr>
            <w:tcW w:w="1629" w:type="dxa"/>
            <w:vMerge/>
            <w:tcBorders>
              <w:left w:val="nil"/>
              <w:right w:val="single" w:sz="4" w:space="0" w:color="auto"/>
            </w:tcBorders>
            <w:tcMar>
              <w:top w:w="0" w:type="dxa"/>
              <w:left w:w="108" w:type="dxa"/>
              <w:bottom w:w="0" w:type="dxa"/>
              <w:right w:w="108" w:type="dxa"/>
            </w:tcMar>
          </w:tcPr>
          <w:p w14:paraId="452E9ED6" w14:textId="77777777" w:rsidR="0002263E" w:rsidRPr="00B16266" w:rsidRDefault="0002263E" w:rsidP="0002263E">
            <w:pPr>
              <w:pStyle w:val="BodyText1"/>
            </w:pPr>
          </w:p>
        </w:tc>
        <w:tc>
          <w:tcPr>
            <w:tcW w:w="1730" w:type="dxa"/>
            <w:vMerge/>
            <w:tcBorders>
              <w:left w:val="single" w:sz="4" w:space="0" w:color="auto"/>
              <w:right w:val="single" w:sz="4" w:space="0" w:color="auto"/>
            </w:tcBorders>
            <w:shd w:val="clear" w:color="auto" w:fill="auto"/>
            <w:tcMar>
              <w:top w:w="0" w:type="dxa"/>
              <w:left w:w="108" w:type="dxa"/>
              <w:bottom w:w="0" w:type="dxa"/>
              <w:right w:w="108" w:type="dxa"/>
            </w:tcMar>
          </w:tcPr>
          <w:p w14:paraId="289049B7" w14:textId="77777777" w:rsidR="0002263E" w:rsidRPr="00B16266" w:rsidRDefault="0002263E" w:rsidP="0002263E">
            <w:pPr>
              <w:pStyle w:val="BodyText1"/>
            </w:pPr>
          </w:p>
        </w:tc>
        <w:tc>
          <w:tcPr>
            <w:tcW w:w="1572" w:type="dxa"/>
            <w:vMerge/>
            <w:tcBorders>
              <w:left w:val="single" w:sz="4" w:space="0" w:color="auto"/>
              <w:right w:val="single" w:sz="4" w:space="0" w:color="auto"/>
            </w:tcBorders>
            <w:shd w:val="clear" w:color="auto" w:fill="auto"/>
          </w:tcPr>
          <w:p w14:paraId="4268C061" w14:textId="77777777" w:rsidR="0002263E" w:rsidRPr="00B16266" w:rsidRDefault="0002263E" w:rsidP="0002263E">
            <w:pPr>
              <w:pStyle w:val="BodyText1"/>
            </w:pPr>
          </w:p>
        </w:tc>
        <w:tc>
          <w:tcPr>
            <w:tcW w:w="1931" w:type="dxa"/>
            <w:vMerge/>
            <w:tcBorders>
              <w:left w:val="single" w:sz="4" w:space="0" w:color="auto"/>
              <w:right w:val="single" w:sz="4" w:space="0" w:color="auto"/>
            </w:tcBorders>
            <w:shd w:val="clear" w:color="auto" w:fill="auto"/>
          </w:tcPr>
          <w:p w14:paraId="47A92D58" w14:textId="77777777" w:rsidR="0002263E" w:rsidRPr="00B16266" w:rsidRDefault="0002263E" w:rsidP="0002263E">
            <w:pPr>
              <w:pStyle w:val="BodyText1"/>
            </w:pPr>
          </w:p>
        </w:tc>
      </w:tr>
      <w:tr w:rsidR="0002263E" w:rsidRPr="00630A55" w14:paraId="5606C483" w14:textId="77777777" w:rsidTr="003B139A">
        <w:trPr>
          <w:trHeight w:val="806"/>
        </w:trPr>
        <w:tc>
          <w:tcPr>
            <w:tcW w:w="21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C21869A" w14:textId="0B1CE021" w:rsidR="0002263E" w:rsidRPr="00B16266" w:rsidRDefault="0002263E" w:rsidP="0002263E">
            <w:pPr>
              <w:pStyle w:val="Tabletext"/>
            </w:pPr>
            <w:r w:rsidRPr="00B16266">
              <w:t>Analysis of outliers at the cost, LOS or cost bucket level</w:t>
            </w:r>
          </w:p>
        </w:tc>
        <w:tc>
          <w:tcPr>
            <w:tcW w:w="1629" w:type="dxa"/>
            <w:vMerge/>
            <w:tcBorders>
              <w:left w:val="nil"/>
              <w:right w:val="single" w:sz="4" w:space="0" w:color="auto"/>
            </w:tcBorders>
            <w:tcMar>
              <w:top w:w="0" w:type="dxa"/>
              <w:left w:w="108" w:type="dxa"/>
              <w:bottom w:w="0" w:type="dxa"/>
              <w:right w:w="108" w:type="dxa"/>
            </w:tcMar>
          </w:tcPr>
          <w:p w14:paraId="7D3576C4" w14:textId="77777777" w:rsidR="0002263E" w:rsidRPr="00B16266" w:rsidRDefault="0002263E" w:rsidP="0002263E">
            <w:pPr>
              <w:pStyle w:val="BodyText1"/>
            </w:pPr>
          </w:p>
        </w:tc>
        <w:tc>
          <w:tcPr>
            <w:tcW w:w="1730" w:type="dxa"/>
            <w:vMerge/>
            <w:tcBorders>
              <w:left w:val="single" w:sz="4" w:space="0" w:color="auto"/>
              <w:right w:val="single" w:sz="4" w:space="0" w:color="auto"/>
            </w:tcBorders>
            <w:shd w:val="clear" w:color="auto" w:fill="auto"/>
            <w:tcMar>
              <w:top w:w="0" w:type="dxa"/>
              <w:left w:w="108" w:type="dxa"/>
              <w:bottom w:w="0" w:type="dxa"/>
              <w:right w:w="108" w:type="dxa"/>
            </w:tcMar>
          </w:tcPr>
          <w:p w14:paraId="071A3F95" w14:textId="77777777" w:rsidR="0002263E" w:rsidRPr="00B16266" w:rsidRDefault="0002263E" w:rsidP="0002263E">
            <w:pPr>
              <w:pStyle w:val="BodyText1"/>
            </w:pPr>
          </w:p>
        </w:tc>
        <w:tc>
          <w:tcPr>
            <w:tcW w:w="1572" w:type="dxa"/>
            <w:vMerge/>
            <w:tcBorders>
              <w:left w:val="single" w:sz="4" w:space="0" w:color="auto"/>
              <w:right w:val="single" w:sz="4" w:space="0" w:color="auto"/>
            </w:tcBorders>
            <w:shd w:val="clear" w:color="auto" w:fill="auto"/>
          </w:tcPr>
          <w:p w14:paraId="1505ECB5" w14:textId="77777777" w:rsidR="0002263E" w:rsidRPr="00B16266" w:rsidRDefault="0002263E" w:rsidP="0002263E">
            <w:pPr>
              <w:pStyle w:val="BodyText1"/>
            </w:pPr>
          </w:p>
        </w:tc>
        <w:tc>
          <w:tcPr>
            <w:tcW w:w="1931" w:type="dxa"/>
            <w:vMerge/>
            <w:tcBorders>
              <w:left w:val="single" w:sz="4" w:space="0" w:color="auto"/>
              <w:right w:val="single" w:sz="4" w:space="0" w:color="auto"/>
            </w:tcBorders>
            <w:shd w:val="clear" w:color="auto" w:fill="auto"/>
          </w:tcPr>
          <w:p w14:paraId="1F568A5D" w14:textId="77777777" w:rsidR="0002263E" w:rsidRPr="00B16266" w:rsidRDefault="0002263E" w:rsidP="0002263E">
            <w:pPr>
              <w:pStyle w:val="BodyText1"/>
            </w:pPr>
          </w:p>
        </w:tc>
      </w:tr>
      <w:tr w:rsidR="0002263E" w:rsidRPr="00630A55" w14:paraId="23C23A3F" w14:textId="77777777" w:rsidTr="003B139A">
        <w:trPr>
          <w:trHeight w:val="543"/>
        </w:trPr>
        <w:tc>
          <w:tcPr>
            <w:tcW w:w="21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ADAE4E" w14:textId="77777777" w:rsidR="0002263E" w:rsidRPr="00B16266" w:rsidRDefault="0002263E" w:rsidP="0002263E">
            <w:pPr>
              <w:pStyle w:val="Tabletext"/>
            </w:pPr>
            <w:r w:rsidRPr="00B16266">
              <w:t>Reasonableness of direct vs overhead allocations</w:t>
            </w:r>
          </w:p>
        </w:tc>
        <w:tc>
          <w:tcPr>
            <w:tcW w:w="1629" w:type="dxa"/>
            <w:vMerge/>
            <w:tcBorders>
              <w:left w:val="nil"/>
              <w:bottom w:val="single" w:sz="8" w:space="0" w:color="auto"/>
              <w:right w:val="single" w:sz="4" w:space="0" w:color="auto"/>
            </w:tcBorders>
            <w:tcMar>
              <w:top w:w="0" w:type="dxa"/>
              <w:left w:w="108" w:type="dxa"/>
              <w:bottom w:w="0" w:type="dxa"/>
              <w:right w:w="108" w:type="dxa"/>
            </w:tcMar>
          </w:tcPr>
          <w:p w14:paraId="0E04C293" w14:textId="77777777" w:rsidR="0002263E" w:rsidRPr="00B16266" w:rsidRDefault="0002263E" w:rsidP="0002263E">
            <w:pPr>
              <w:pStyle w:val="BodyText1"/>
            </w:pPr>
          </w:p>
        </w:tc>
        <w:tc>
          <w:tcPr>
            <w:tcW w:w="1730"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7A94BE1" w14:textId="77777777" w:rsidR="0002263E" w:rsidRPr="006840AF" w:rsidRDefault="0002263E" w:rsidP="0002263E">
            <w:pPr>
              <w:pStyle w:val="BodyText1"/>
            </w:pPr>
          </w:p>
        </w:tc>
        <w:tc>
          <w:tcPr>
            <w:tcW w:w="1572" w:type="dxa"/>
            <w:vMerge/>
            <w:tcBorders>
              <w:left w:val="single" w:sz="4" w:space="0" w:color="auto"/>
              <w:bottom w:val="single" w:sz="4" w:space="0" w:color="auto"/>
              <w:right w:val="single" w:sz="4" w:space="0" w:color="auto"/>
            </w:tcBorders>
            <w:shd w:val="clear" w:color="auto" w:fill="auto"/>
          </w:tcPr>
          <w:p w14:paraId="64D0E5B5" w14:textId="77777777" w:rsidR="0002263E" w:rsidRPr="006840AF" w:rsidRDefault="0002263E" w:rsidP="0002263E">
            <w:pPr>
              <w:pStyle w:val="BodyText1"/>
            </w:pPr>
          </w:p>
        </w:tc>
        <w:tc>
          <w:tcPr>
            <w:tcW w:w="1931" w:type="dxa"/>
            <w:vMerge/>
            <w:tcBorders>
              <w:left w:val="single" w:sz="4" w:space="0" w:color="auto"/>
              <w:bottom w:val="single" w:sz="4" w:space="0" w:color="auto"/>
              <w:right w:val="single" w:sz="4" w:space="0" w:color="auto"/>
            </w:tcBorders>
            <w:shd w:val="clear" w:color="auto" w:fill="auto"/>
          </w:tcPr>
          <w:p w14:paraId="3D092AF8" w14:textId="77777777" w:rsidR="0002263E" w:rsidRPr="006840AF" w:rsidRDefault="0002263E" w:rsidP="0002263E">
            <w:pPr>
              <w:pStyle w:val="BodyText1"/>
            </w:pPr>
          </w:p>
        </w:tc>
      </w:tr>
      <w:tr w:rsidR="0002263E" w:rsidRPr="00630A55" w14:paraId="3CB6AE96" w14:textId="77777777" w:rsidTr="003B139A">
        <w:trPr>
          <w:trHeight w:val="280"/>
        </w:trPr>
        <w:tc>
          <w:tcPr>
            <w:tcW w:w="21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4147AB" w14:textId="77777777" w:rsidR="0002263E" w:rsidRPr="00B16266" w:rsidRDefault="0002263E" w:rsidP="0002263E">
            <w:pPr>
              <w:pStyle w:val="Tabletext"/>
            </w:pPr>
            <w:r w:rsidRPr="00B16266">
              <w:t>Specific business rule tests</w:t>
            </w:r>
          </w:p>
        </w:tc>
        <w:tc>
          <w:tcPr>
            <w:tcW w:w="1629" w:type="dxa"/>
            <w:tcBorders>
              <w:top w:val="nil"/>
              <w:left w:val="nil"/>
              <w:bottom w:val="single" w:sz="8" w:space="0" w:color="auto"/>
              <w:right w:val="single" w:sz="8" w:space="0" w:color="auto"/>
            </w:tcBorders>
            <w:tcMar>
              <w:top w:w="0" w:type="dxa"/>
              <w:left w:w="108" w:type="dxa"/>
              <w:bottom w:w="0" w:type="dxa"/>
              <w:right w:w="108" w:type="dxa"/>
            </w:tcMar>
          </w:tcPr>
          <w:p w14:paraId="7C676194" w14:textId="272FB838" w:rsidR="0002263E" w:rsidRPr="00B16266" w:rsidRDefault="0002263E" w:rsidP="0002263E">
            <w:pPr>
              <w:pStyle w:val="Tabletext"/>
            </w:pPr>
            <w:r>
              <w:t xml:space="preserve">A number of checks are conducted on submission outputs. Business rules for VCDC </w:t>
            </w:r>
            <w:r>
              <w:lastRenderedPageBreak/>
              <w:t xml:space="preserve">collection are published annually by DH and provide guidance on costing and reporting of patient-level data. </w:t>
            </w:r>
          </w:p>
        </w:tc>
        <w:tc>
          <w:tcPr>
            <w:tcW w:w="1730"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51771B7" w14:textId="77777777" w:rsidR="0002263E" w:rsidRPr="00B16266" w:rsidRDefault="0002263E" w:rsidP="0002263E">
            <w:pPr>
              <w:pStyle w:val="Tabletext"/>
            </w:pPr>
            <w:r>
              <w:lastRenderedPageBreak/>
              <w:t>Yes</w:t>
            </w:r>
          </w:p>
        </w:tc>
        <w:tc>
          <w:tcPr>
            <w:tcW w:w="1572" w:type="dxa"/>
            <w:tcBorders>
              <w:top w:val="single" w:sz="4" w:space="0" w:color="auto"/>
              <w:left w:val="nil"/>
              <w:bottom w:val="single" w:sz="8" w:space="0" w:color="auto"/>
              <w:right w:val="single" w:sz="8" w:space="0" w:color="auto"/>
            </w:tcBorders>
            <w:shd w:val="clear" w:color="auto" w:fill="auto"/>
          </w:tcPr>
          <w:p w14:paraId="0F723234" w14:textId="77777777" w:rsidR="0002263E" w:rsidRPr="00B16266" w:rsidRDefault="0002263E" w:rsidP="0002263E">
            <w:pPr>
              <w:pStyle w:val="Tabletext"/>
            </w:pPr>
            <w:r>
              <w:t>Yes</w:t>
            </w:r>
          </w:p>
        </w:tc>
        <w:tc>
          <w:tcPr>
            <w:tcW w:w="1931" w:type="dxa"/>
            <w:tcBorders>
              <w:top w:val="single" w:sz="4" w:space="0" w:color="auto"/>
              <w:left w:val="nil"/>
              <w:bottom w:val="single" w:sz="8" w:space="0" w:color="auto"/>
              <w:right w:val="single" w:sz="8" w:space="0" w:color="auto"/>
            </w:tcBorders>
            <w:shd w:val="clear" w:color="auto" w:fill="auto"/>
          </w:tcPr>
          <w:p w14:paraId="2AFCBBA0" w14:textId="77777777" w:rsidR="0002263E" w:rsidRPr="00B16266" w:rsidRDefault="0002263E" w:rsidP="0002263E">
            <w:pPr>
              <w:pStyle w:val="Tabletext"/>
            </w:pPr>
            <w:r>
              <w:t>Yes</w:t>
            </w:r>
          </w:p>
        </w:tc>
      </w:tr>
      <w:tr w:rsidR="0002263E" w:rsidRPr="00630A55" w14:paraId="317606FC" w14:textId="77777777" w:rsidTr="008D7CF4">
        <w:trPr>
          <w:trHeight w:val="280"/>
        </w:trPr>
        <w:tc>
          <w:tcPr>
            <w:tcW w:w="5547" w:type="dxa"/>
            <w:gridSpan w:val="3"/>
            <w:tcBorders>
              <w:top w:val="nil"/>
              <w:left w:val="single" w:sz="8" w:space="0" w:color="auto"/>
              <w:bottom w:val="single" w:sz="8" w:space="0" w:color="auto"/>
              <w:right w:val="single" w:sz="8" w:space="0" w:color="auto"/>
            </w:tcBorders>
            <w:shd w:val="clear" w:color="auto" w:fill="808080"/>
            <w:tcMar>
              <w:top w:w="0" w:type="dxa"/>
              <w:left w:w="108" w:type="dxa"/>
              <w:bottom w:w="0" w:type="dxa"/>
              <w:right w:w="108" w:type="dxa"/>
            </w:tcMar>
            <w:vAlign w:val="center"/>
            <w:hideMark/>
          </w:tcPr>
          <w:p w14:paraId="47547294" w14:textId="77777777" w:rsidR="0002263E" w:rsidRPr="00467F5A" w:rsidRDefault="0002263E" w:rsidP="0002263E">
            <w:pPr>
              <w:pStyle w:val="Tableheading"/>
              <w:rPr>
                <w:rFonts w:ascii="Univers 45 Light" w:hAnsi="Univers 45 Light"/>
                <w:color w:val="000000" w:themeColor="text1"/>
              </w:rPr>
            </w:pPr>
            <w:r w:rsidRPr="00467F5A">
              <w:rPr>
                <w:rFonts w:ascii="Univers 45 Light" w:hAnsi="Univers 45 Light"/>
                <w:color w:val="000000" w:themeColor="text1"/>
              </w:rPr>
              <w:t>Costing Data – Governance</w:t>
            </w:r>
          </w:p>
        </w:tc>
        <w:tc>
          <w:tcPr>
            <w:tcW w:w="1572" w:type="dxa"/>
            <w:tcBorders>
              <w:top w:val="nil"/>
              <w:left w:val="single" w:sz="8" w:space="0" w:color="auto"/>
              <w:bottom w:val="single" w:sz="8" w:space="0" w:color="auto"/>
              <w:right w:val="single" w:sz="8" w:space="0" w:color="auto"/>
            </w:tcBorders>
            <w:shd w:val="clear" w:color="auto" w:fill="808080"/>
            <w:vAlign w:val="center"/>
          </w:tcPr>
          <w:p w14:paraId="0DBC798D" w14:textId="77777777" w:rsidR="0002263E" w:rsidRPr="00630A55" w:rsidRDefault="0002263E" w:rsidP="0002263E">
            <w:pPr>
              <w:pStyle w:val="Tableheading"/>
              <w:rPr>
                <w:rFonts w:ascii="Univers 45 Light" w:hAnsi="Univers 45 Light"/>
              </w:rPr>
            </w:pPr>
          </w:p>
        </w:tc>
        <w:tc>
          <w:tcPr>
            <w:tcW w:w="1931" w:type="dxa"/>
            <w:tcBorders>
              <w:top w:val="nil"/>
              <w:left w:val="single" w:sz="8" w:space="0" w:color="auto"/>
              <w:bottom w:val="single" w:sz="8" w:space="0" w:color="auto"/>
              <w:right w:val="single" w:sz="8" w:space="0" w:color="auto"/>
            </w:tcBorders>
            <w:shd w:val="clear" w:color="auto" w:fill="808080"/>
          </w:tcPr>
          <w:p w14:paraId="128FCB46" w14:textId="77777777" w:rsidR="0002263E" w:rsidRPr="00630A55" w:rsidRDefault="0002263E" w:rsidP="0002263E">
            <w:pPr>
              <w:pStyle w:val="Tableheading"/>
              <w:rPr>
                <w:rFonts w:ascii="Univers 45 Light" w:hAnsi="Univers 45 Light"/>
              </w:rPr>
            </w:pPr>
          </w:p>
        </w:tc>
      </w:tr>
      <w:tr w:rsidR="0002263E" w:rsidRPr="00630A55" w14:paraId="6BC32579" w14:textId="77777777" w:rsidTr="003B139A">
        <w:trPr>
          <w:trHeight w:val="806"/>
        </w:trPr>
        <w:tc>
          <w:tcPr>
            <w:tcW w:w="21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7F6C120" w14:textId="77777777" w:rsidR="0002263E" w:rsidRPr="00B16266" w:rsidRDefault="0002263E" w:rsidP="0002263E">
            <w:pPr>
              <w:pStyle w:val="Tabletext"/>
            </w:pPr>
            <w:r w:rsidRPr="00B16266">
              <w:t>Regular updates with costing staff</w:t>
            </w:r>
          </w:p>
        </w:tc>
        <w:tc>
          <w:tcPr>
            <w:tcW w:w="1629" w:type="dxa"/>
            <w:tcBorders>
              <w:top w:val="nil"/>
              <w:left w:val="nil"/>
              <w:bottom w:val="single" w:sz="8" w:space="0" w:color="auto"/>
              <w:right w:val="single" w:sz="8" w:space="0" w:color="auto"/>
            </w:tcBorders>
            <w:tcMar>
              <w:top w:w="0" w:type="dxa"/>
              <w:left w:w="108" w:type="dxa"/>
              <w:bottom w:w="0" w:type="dxa"/>
              <w:right w:w="108" w:type="dxa"/>
            </w:tcMar>
            <w:vAlign w:val="center"/>
          </w:tcPr>
          <w:p w14:paraId="705B985A" w14:textId="77777777" w:rsidR="0002263E" w:rsidRPr="00B16266" w:rsidRDefault="0002263E" w:rsidP="0002263E">
            <w:pPr>
              <w:pStyle w:val="Tabletext"/>
            </w:pPr>
            <w:r>
              <w:t xml:space="preserve">Monthly meeting with cost practitioners. </w:t>
            </w:r>
          </w:p>
        </w:tc>
        <w:tc>
          <w:tcPr>
            <w:tcW w:w="1730" w:type="dxa"/>
            <w:tcBorders>
              <w:top w:val="nil"/>
              <w:left w:val="nil"/>
              <w:bottom w:val="single" w:sz="8" w:space="0" w:color="auto"/>
              <w:right w:val="single" w:sz="8" w:space="0" w:color="auto"/>
            </w:tcBorders>
            <w:tcMar>
              <w:top w:w="0" w:type="dxa"/>
              <w:left w:w="108" w:type="dxa"/>
              <w:bottom w:w="0" w:type="dxa"/>
              <w:right w:w="108" w:type="dxa"/>
            </w:tcMar>
          </w:tcPr>
          <w:p w14:paraId="04F0A996" w14:textId="05C3E0CF" w:rsidR="0002263E" w:rsidRPr="00B16266" w:rsidRDefault="0002263E" w:rsidP="0002263E">
            <w:pPr>
              <w:pStyle w:val="Tabletext"/>
            </w:pPr>
            <w:r>
              <w:t xml:space="preserve">Regular engagement with finance and other key stakeholders. Annual costing and reports provided to Executive. </w:t>
            </w:r>
          </w:p>
        </w:tc>
        <w:tc>
          <w:tcPr>
            <w:tcW w:w="1572" w:type="dxa"/>
            <w:tcBorders>
              <w:top w:val="nil"/>
              <w:left w:val="nil"/>
              <w:bottom w:val="single" w:sz="8" w:space="0" w:color="auto"/>
              <w:right w:val="single" w:sz="8" w:space="0" w:color="auto"/>
            </w:tcBorders>
          </w:tcPr>
          <w:p w14:paraId="1FA6A0C2" w14:textId="77777777" w:rsidR="0002263E" w:rsidRPr="00B16266" w:rsidRDefault="0002263E" w:rsidP="0002263E">
            <w:pPr>
              <w:pStyle w:val="Tabletext"/>
            </w:pPr>
            <w:r>
              <w:t xml:space="preserve">Regular engagement with finance and other key stakeholders. Clinical costing dashboards provided on intranet. </w:t>
            </w:r>
          </w:p>
        </w:tc>
        <w:tc>
          <w:tcPr>
            <w:tcW w:w="1931" w:type="dxa"/>
            <w:tcBorders>
              <w:top w:val="nil"/>
              <w:left w:val="nil"/>
              <w:bottom w:val="single" w:sz="8" w:space="0" w:color="auto"/>
              <w:right w:val="single" w:sz="8" w:space="0" w:color="auto"/>
            </w:tcBorders>
          </w:tcPr>
          <w:p w14:paraId="5671EDF8" w14:textId="77777777" w:rsidR="0002263E" w:rsidRPr="00B16266" w:rsidRDefault="0002263E" w:rsidP="0002263E">
            <w:pPr>
              <w:pStyle w:val="Tabletext"/>
            </w:pPr>
            <w:r>
              <w:t>Regular engagement with finance and other key stakeholders. Clinical costing dashboards (Qlikview) available on request</w:t>
            </w:r>
          </w:p>
        </w:tc>
      </w:tr>
      <w:tr w:rsidR="0002263E" w:rsidRPr="00630A55" w14:paraId="04CB9D33" w14:textId="77777777" w:rsidTr="003B139A">
        <w:trPr>
          <w:trHeight w:val="806"/>
        </w:trPr>
        <w:tc>
          <w:tcPr>
            <w:tcW w:w="21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817FC1" w14:textId="77777777" w:rsidR="0002263E" w:rsidRPr="00B16266" w:rsidRDefault="0002263E" w:rsidP="0002263E">
            <w:pPr>
              <w:pStyle w:val="Tabletext"/>
            </w:pPr>
            <w:r w:rsidRPr="00B16266">
              <w:t>Local guidelines supporting the AHPCS standards framework</w:t>
            </w:r>
          </w:p>
        </w:tc>
        <w:tc>
          <w:tcPr>
            <w:tcW w:w="1629" w:type="dxa"/>
            <w:tcBorders>
              <w:top w:val="nil"/>
              <w:left w:val="nil"/>
              <w:bottom w:val="single" w:sz="8" w:space="0" w:color="auto"/>
              <w:right w:val="single" w:sz="8" w:space="0" w:color="auto"/>
            </w:tcBorders>
            <w:tcMar>
              <w:top w:w="0" w:type="dxa"/>
              <w:left w:w="108" w:type="dxa"/>
              <w:bottom w:w="0" w:type="dxa"/>
              <w:right w:w="108" w:type="dxa"/>
            </w:tcMar>
            <w:vAlign w:val="center"/>
          </w:tcPr>
          <w:p w14:paraId="5B0EDF0F" w14:textId="2123BF42" w:rsidR="0002263E" w:rsidRPr="00B16266" w:rsidRDefault="0002263E" w:rsidP="0002263E">
            <w:pPr>
              <w:pStyle w:val="Tabletext"/>
            </w:pPr>
            <w:r>
              <w:t>Yes</w:t>
            </w:r>
            <w:r w:rsidR="00143C3D">
              <w:t>,</w:t>
            </w:r>
            <w:r>
              <w:t xml:space="preserve"> guidelines provided to all hospitals and health services</w:t>
            </w:r>
          </w:p>
        </w:tc>
        <w:tc>
          <w:tcPr>
            <w:tcW w:w="173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4903B62" w14:textId="77777777" w:rsidR="0002263E" w:rsidRPr="00BA3ECE" w:rsidRDefault="0002263E" w:rsidP="0002263E">
            <w:pPr>
              <w:pStyle w:val="Tabletext"/>
            </w:pPr>
            <w:r>
              <w:t>Yes</w:t>
            </w:r>
          </w:p>
        </w:tc>
        <w:tc>
          <w:tcPr>
            <w:tcW w:w="1572" w:type="dxa"/>
            <w:tcBorders>
              <w:top w:val="nil"/>
              <w:left w:val="nil"/>
              <w:bottom w:val="single" w:sz="8" w:space="0" w:color="auto"/>
              <w:right w:val="single" w:sz="8" w:space="0" w:color="auto"/>
            </w:tcBorders>
            <w:shd w:val="clear" w:color="auto" w:fill="auto"/>
          </w:tcPr>
          <w:p w14:paraId="0C42FEE3" w14:textId="77777777" w:rsidR="0002263E" w:rsidRPr="00BA3ECE" w:rsidRDefault="0002263E" w:rsidP="0002263E">
            <w:pPr>
              <w:pStyle w:val="Tabletext"/>
            </w:pPr>
            <w:r>
              <w:t>Yes</w:t>
            </w:r>
          </w:p>
        </w:tc>
        <w:tc>
          <w:tcPr>
            <w:tcW w:w="1931" w:type="dxa"/>
            <w:tcBorders>
              <w:top w:val="nil"/>
              <w:left w:val="nil"/>
              <w:bottom w:val="single" w:sz="8" w:space="0" w:color="auto"/>
              <w:right w:val="single" w:sz="8" w:space="0" w:color="auto"/>
            </w:tcBorders>
            <w:shd w:val="clear" w:color="auto" w:fill="auto"/>
          </w:tcPr>
          <w:p w14:paraId="01390D9B" w14:textId="77777777" w:rsidR="0002263E" w:rsidRPr="00BA3ECE" w:rsidRDefault="0002263E" w:rsidP="0002263E">
            <w:pPr>
              <w:pStyle w:val="Tabletext"/>
            </w:pPr>
            <w:r>
              <w:t>Yes</w:t>
            </w:r>
          </w:p>
        </w:tc>
      </w:tr>
      <w:tr w:rsidR="0002263E" w:rsidRPr="00630A55" w14:paraId="30140345" w14:textId="77777777" w:rsidTr="003B139A">
        <w:trPr>
          <w:trHeight w:val="280"/>
        </w:trPr>
        <w:tc>
          <w:tcPr>
            <w:tcW w:w="21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5A4F40" w14:textId="77777777" w:rsidR="0002263E" w:rsidRPr="00B16266" w:rsidRDefault="0002263E" w:rsidP="0002263E">
            <w:pPr>
              <w:pStyle w:val="Tabletext"/>
            </w:pPr>
            <w:r w:rsidRPr="00B16266">
              <w:t>Review of cost allocations</w:t>
            </w:r>
          </w:p>
        </w:tc>
        <w:tc>
          <w:tcPr>
            <w:tcW w:w="1629" w:type="dxa"/>
            <w:tcBorders>
              <w:top w:val="nil"/>
              <w:left w:val="nil"/>
              <w:bottom w:val="single" w:sz="8" w:space="0" w:color="auto"/>
              <w:right w:val="single" w:sz="8" w:space="0" w:color="auto"/>
            </w:tcBorders>
            <w:tcMar>
              <w:top w:w="0" w:type="dxa"/>
              <w:left w:w="108" w:type="dxa"/>
              <w:bottom w:w="0" w:type="dxa"/>
              <w:right w:w="108" w:type="dxa"/>
            </w:tcMar>
            <w:vAlign w:val="center"/>
          </w:tcPr>
          <w:p w14:paraId="2D9EFF2F" w14:textId="5C160B5F" w:rsidR="0002263E" w:rsidRPr="00B16266" w:rsidRDefault="0002263E" w:rsidP="0002263E">
            <w:pPr>
              <w:pStyle w:val="Tabletext"/>
            </w:pPr>
            <w:r>
              <w:t>DH conducts checks during site submissions to VCDC</w:t>
            </w:r>
          </w:p>
        </w:tc>
        <w:tc>
          <w:tcPr>
            <w:tcW w:w="1730" w:type="dxa"/>
            <w:tcBorders>
              <w:top w:val="nil"/>
              <w:left w:val="nil"/>
              <w:bottom w:val="single" w:sz="8" w:space="0" w:color="auto"/>
              <w:right w:val="single" w:sz="8" w:space="0" w:color="auto"/>
            </w:tcBorders>
            <w:tcMar>
              <w:top w:w="0" w:type="dxa"/>
              <w:left w:w="108" w:type="dxa"/>
              <w:bottom w:w="0" w:type="dxa"/>
              <w:right w:w="108" w:type="dxa"/>
            </w:tcMar>
          </w:tcPr>
          <w:p w14:paraId="47B079BC" w14:textId="77777777" w:rsidR="0002263E" w:rsidRPr="00B16266" w:rsidRDefault="0002263E" w:rsidP="0002263E">
            <w:pPr>
              <w:pStyle w:val="Tabletext"/>
            </w:pPr>
            <w:r>
              <w:t xml:space="preserve">Yes </w:t>
            </w:r>
          </w:p>
        </w:tc>
        <w:tc>
          <w:tcPr>
            <w:tcW w:w="1572" w:type="dxa"/>
            <w:tcBorders>
              <w:top w:val="nil"/>
              <w:left w:val="nil"/>
              <w:bottom w:val="single" w:sz="8" w:space="0" w:color="auto"/>
              <w:right w:val="single" w:sz="8" w:space="0" w:color="auto"/>
            </w:tcBorders>
          </w:tcPr>
          <w:p w14:paraId="583AEE2C" w14:textId="77777777" w:rsidR="0002263E" w:rsidRPr="00B16266" w:rsidRDefault="0002263E" w:rsidP="0002263E">
            <w:pPr>
              <w:pStyle w:val="Tabletext"/>
            </w:pPr>
            <w:r>
              <w:t xml:space="preserve">Yes </w:t>
            </w:r>
          </w:p>
        </w:tc>
        <w:tc>
          <w:tcPr>
            <w:tcW w:w="1931" w:type="dxa"/>
            <w:tcBorders>
              <w:top w:val="nil"/>
              <w:left w:val="nil"/>
              <w:bottom w:val="single" w:sz="8" w:space="0" w:color="auto"/>
              <w:right w:val="single" w:sz="8" w:space="0" w:color="auto"/>
            </w:tcBorders>
          </w:tcPr>
          <w:p w14:paraId="67CFF5C2" w14:textId="77777777" w:rsidR="0002263E" w:rsidRPr="00B16266" w:rsidRDefault="0002263E" w:rsidP="0002263E">
            <w:pPr>
              <w:pStyle w:val="Tabletext"/>
            </w:pPr>
            <w:r>
              <w:t xml:space="preserve">Yes </w:t>
            </w:r>
          </w:p>
        </w:tc>
      </w:tr>
      <w:tr w:rsidR="0002263E" w:rsidRPr="00630A55" w14:paraId="446BF269" w14:textId="77777777" w:rsidTr="003B139A">
        <w:trPr>
          <w:trHeight w:val="806"/>
        </w:trPr>
        <w:tc>
          <w:tcPr>
            <w:tcW w:w="21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ACE4835" w14:textId="77777777" w:rsidR="0002263E" w:rsidRPr="00B16266" w:rsidRDefault="0002263E" w:rsidP="0002263E">
            <w:pPr>
              <w:pStyle w:val="Tabletext"/>
            </w:pPr>
            <w:r w:rsidRPr="00B16266">
              <w:t>Review on reasonableness of costing data output</w:t>
            </w:r>
          </w:p>
        </w:tc>
        <w:tc>
          <w:tcPr>
            <w:tcW w:w="1629" w:type="dxa"/>
            <w:tcBorders>
              <w:top w:val="nil"/>
              <w:left w:val="nil"/>
              <w:bottom w:val="single" w:sz="8" w:space="0" w:color="auto"/>
              <w:right w:val="single" w:sz="8" w:space="0" w:color="auto"/>
            </w:tcBorders>
            <w:tcMar>
              <w:top w:w="0" w:type="dxa"/>
              <w:left w:w="108" w:type="dxa"/>
              <w:bottom w:w="0" w:type="dxa"/>
              <w:right w:w="108" w:type="dxa"/>
            </w:tcMar>
            <w:vAlign w:val="center"/>
          </w:tcPr>
          <w:p w14:paraId="26B4E070" w14:textId="7AFDC830" w:rsidR="0002263E" w:rsidRPr="00B16266" w:rsidRDefault="0002263E" w:rsidP="0002263E">
            <w:pPr>
              <w:pStyle w:val="Tabletext"/>
            </w:pPr>
            <w:r>
              <w:t>Yes – any major variations highlighted, and reason is reporting in briefing to Deputy Secretary</w:t>
            </w:r>
          </w:p>
        </w:tc>
        <w:tc>
          <w:tcPr>
            <w:tcW w:w="1730" w:type="dxa"/>
            <w:tcBorders>
              <w:top w:val="nil"/>
              <w:left w:val="nil"/>
              <w:bottom w:val="single" w:sz="8" w:space="0" w:color="auto"/>
              <w:right w:val="single" w:sz="8" w:space="0" w:color="auto"/>
            </w:tcBorders>
            <w:tcMar>
              <w:top w:w="0" w:type="dxa"/>
              <w:left w:w="108" w:type="dxa"/>
              <w:bottom w:w="0" w:type="dxa"/>
              <w:right w:w="108" w:type="dxa"/>
            </w:tcMar>
          </w:tcPr>
          <w:p w14:paraId="0412F199" w14:textId="77777777" w:rsidR="0002263E" w:rsidRPr="00B16266" w:rsidRDefault="0002263E" w:rsidP="0002263E">
            <w:pPr>
              <w:pStyle w:val="Tabletext"/>
            </w:pPr>
            <w:r>
              <w:t>Yes</w:t>
            </w:r>
          </w:p>
        </w:tc>
        <w:tc>
          <w:tcPr>
            <w:tcW w:w="1572" w:type="dxa"/>
            <w:tcBorders>
              <w:top w:val="nil"/>
              <w:left w:val="nil"/>
              <w:bottom w:val="single" w:sz="8" w:space="0" w:color="auto"/>
              <w:right w:val="single" w:sz="8" w:space="0" w:color="auto"/>
            </w:tcBorders>
          </w:tcPr>
          <w:p w14:paraId="65CB23F1" w14:textId="77777777" w:rsidR="0002263E" w:rsidRPr="00B16266" w:rsidRDefault="0002263E" w:rsidP="0002263E">
            <w:pPr>
              <w:pStyle w:val="Tabletext"/>
            </w:pPr>
            <w:r>
              <w:t xml:space="preserve">Yes </w:t>
            </w:r>
          </w:p>
        </w:tc>
        <w:tc>
          <w:tcPr>
            <w:tcW w:w="1931" w:type="dxa"/>
            <w:tcBorders>
              <w:top w:val="nil"/>
              <w:left w:val="nil"/>
              <w:bottom w:val="single" w:sz="8" w:space="0" w:color="auto"/>
              <w:right w:val="single" w:sz="8" w:space="0" w:color="auto"/>
            </w:tcBorders>
          </w:tcPr>
          <w:p w14:paraId="3D2EB895" w14:textId="77777777" w:rsidR="0002263E" w:rsidRPr="00B16266" w:rsidRDefault="0002263E" w:rsidP="0002263E">
            <w:pPr>
              <w:pStyle w:val="Tabletext"/>
            </w:pPr>
            <w:r>
              <w:t xml:space="preserve">Yes </w:t>
            </w:r>
          </w:p>
        </w:tc>
      </w:tr>
      <w:tr w:rsidR="0002263E" w:rsidRPr="00630A55" w14:paraId="5CE93526" w14:textId="77777777" w:rsidTr="009A3AA2">
        <w:trPr>
          <w:cantSplit/>
          <w:trHeight w:val="543"/>
        </w:trPr>
        <w:tc>
          <w:tcPr>
            <w:tcW w:w="21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3F8E84" w14:textId="77777777" w:rsidR="0002263E" w:rsidRPr="00B16266" w:rsidRDefault="0002263E" w:rsidP="0002263E">
            <w:pPr>
              <w:pStyle w:val="Tabletext"/>
            </w:pPr>
            <w:r w:rsidRPr="00B16266">
              <w:t>Formal sign-off</w:t>
            </w:r>
          </w:p>
        </w:tc>
        <w:tc>
          <w:tcPr>
            <w:tcW w:w="1629" w:type="dxa"/>
            <w:tcBorders>
              <w:top w:val="nil"/>
              <w:left w:val="nil"/>
              <w:bottom w:val="single" w:sz="8" w:space="0" w:color="auto"/>
              <w:right w:val="single" w:sz="8" w:space="0" w:color="auto"/>
            </w:tcBorders>
            <w:tcMar>
              <w:top w:w="0" w:type="dxa"/>
              <w:left w:w="108" w:type="dxa"/>
              <w:bottom w:w="0" w:type="dxa"/>
              <w:right w:w="108" w:type="dxa"/>
            </w:tcMar>
            <w:vAlign w:val="center"/>
          </w:tcPr>
          <w:p w14:paraId="2D4B5F22" w14:textId="5E46765E" w:rsidR="0002263E" w:rsidRPr="00B16266" w:rsidRDefault="0002263E" w:rsidP="0002263E">
            <w:pPr>
              <w:pStyle w:val="Tabletext"/>
            </w:pPr>
            <w:r>
              <w:t xml:space="preserve">Deputy Secretary signs submission to NHCDC. The </w:t>
            </w:r>
            <w:r w:rsidRPr="0002263E">
              <w:t xml:space="preserve">reconciliation report </w:t>
            </w:r>
            <w:r>
              <w:t xml:space="preserve">is </w:t>
            </w:r>
            <w:r w:rsidRPr="0002263E">
              <w:t xml:space="preserve">signed off by </w:t>
            </w:r>
            <w:r>
              <w:t xml:space="preserve">the </w:t>
            </w:r>
            <w:r w:rsidRPr="0002263E">
              <w:t>CFO</w:t>
            </w:r>
            <w:r w:rsidR="0022028F">
              <w:t xml:space="preserve"> and</w:t>
            </w:r>
            <w:r w:rsidRPr="0002263E">
              <w:t xml:space="preserve"> </w:t>
            </w:r>
            <w:r w:rsidR="0022028F">
              <w:t>t</w:t>
            </w:r>
            <w:r w:rsidRPr="0002263E">
              <w:t xml:space="preserve">he DQS </w:t>
            </w:r>
            <w:r>
              <w:t xml:space="preserve">is </w:t>
            </w:r>
            <w:r w:rsidRPr="0002263E">
              <w:t xml:space="preserve">signed off by </w:t>
            </w:r>
            <w:r>
              <w:t xml:space="preserve">the </w:t>
            </w:r>
            <w:r w:rsidRPr="0002263E">
              <w:t>executive director of which clinical costing report to</w:t>
            </w:r>
            <w:r>
              <w:t>.</w:t>
            </w:r>
          </w:p>
        </w:tc>
        <w:tc>
          <w:tcPr>
            <w:tcW w:w="1730" w:type="dxa"/>
            <w:tcBorders>
              <w:top w:val="nil"/>
              <w:left w:val="nil"/>
              <w:bottom w:val="single" w:sz="8" w:space="0" w:color="auto"/>
              <w:right w:val="single" w:sz="8" w:space="0" w:color="auto"/>
            </w:tcBorders>
            <w:tcMar>
              <w:top w:w="0" w:type="dxa"/>
              <w:left w:w="108" w:type="dxa"/>
              <w:bottom w:w="0" w:type="dxa"/>
              <w:right w:w="108" w:type="dxa"/>
            </w:tcMar>
          </w:tcPr>
          <w:p w14:paraId="3F8D5486" w14:textId="77777777" w:rsidR="0002263E" w:rsidRPr="00B16266" w:rsidRDefault="0002263E" w:rsidP="0002263E">
            <w:pPr>
              <w:pStyle w:val="Tabletext"/>
            </w:pPr>
            <w:r>
              <w:t>CEO signs submission to VCDC</w:t>
            </w:r>
          </w:p>
        </w:tc>
        <w:tc>
          <w:tcPr>
            <w:tcW w:w="1572" w:type="dxa"/>
            <w:tcBorders>
              <w:top w:val="nil"/>
              <w:left w:val="nil"/>
              <w:bottom w:val="single" w:sz="8" w:space="0" w:color="auto"/>
              <w:right w:val="single" w:sz="8" w:space="0" w:color="auto"/>
            </w:tcBorders>
          </w:tcPr>
          <w:p w14:paraId="2BF062DC" w14:textId="77777777" w:rsidR="0002263E" w:rsidRPr="00B16266" w:rsidRDefault="0002263E" w:rsidP="0002263E">
            <w:pPr>
              <w:pStyle w:val="Tabletext"/>
            </w:pPr>
            <w:r>
              <w:t>Finance Director signs off submission to VCDC</w:t>
            </w:r>
          </w:p>
        </w:tc>
        <w:tc>
          <w:tcPr>
            <w:tcW w:w="1931" w:type="dxa"/>
            <w:tcBorders>
              <w:top w:val="nil"/>
              <w:left w:val="nil"/>
              <w:bottom w:val="single" w:sz="8" w:space="0" w:color="auto"/>
              <w:right w:val="single" w:sz="8" w:space="0" w:color="auto"/>
            </w:tcBorders>
          </w:tcPr>
          <w:p w14:paraId="400D6505" w14:textId="77777777" w:rsidR="0002263E" w:rsidRPr="00B16266" w:rsidRDefault="0002263E" w:rsidP="0002263E">
            <w:pPr>
              <w:pStyle w:val="Tabletext"/>
            </w:pPr>
            <w:r>
              <w:t>CFO signs submission to VCDC</w:t>
            </w:r>
          </w:p>
        </w:tc>
      </w:tr>
    </w:tbl>
    <w:p w14:paraId="05CD4EE6" w14:textId="6491936A" w:rsidR="009662DD" w:rsidRPr="00630A55" w:rsidRDefault="009662DD" w:rsidP="009662DD">
      <w:pPr>
        <w:pStyle w:val="Source"/>
      </w:pPr>
      <w:r w:rsidRPr="00630A55">
        <w:t xml:space="preserve">Source: Jurisdictional consultations and </w:t>
      </w:r>
      <w:r>
        <w:t>data quality statements</w:t>
      </w:r>
    </w:p>
    <w:p w14:paraId="79A8E5D1" w14:textId="612EFD85" w:rsidR="006B6DF6" w:rsidRPr="00630A55" w:rsidRDefault="006B6DF6" w:rsidP="0008151F">
      <w:pPr>
        <w:pStyle w:val="Heading3"/>
        <w:rPr>
          <w:rFonts w:ascii="Univers 45 Light" w:hAnsi="Univers 45 Light"/>
          <w:b w:val="0"/>
          <w:color w:val="4FC3FF" w:themeColor="accent2" w:themeTint="99"/>
          <w:szCs w:val="20"/>
        </w:rPr>
      </w:pPr>
      <w:r w:rsidRPr="00630A55">
        <w:lastRenderedPageBreak/>
        <w:t xml:space="preserve">Business </w:t>
      </w:r>
      <w:r w:rsidR="00E14E2D">
        <w:t>r</w:t>
      </w:r>
      <w:r w:rsidRPr="00630A55">
        <w:t>equirements</w:t>
      </w:r>
    </w:p>
    <w:p w14:paraId="5F857C28" w14:textId="76271056" w:rsidR="006B6DF6" w:rsidRPr="00630A55" w:rsidRDefault="006B6DF6" w:rsidP="00D87587">
      <w:pPr>
        <w:jc w:val="both"/>
      </w:pPr>
      <w:r w:rsidRPr="00630A55">
        <w:t xml:space="preserve">The collated data from the VCDC submissions is extensively used by </w:t>
      </w:r>
      <w:r w:rsidR="00520FDC">
        <w:t>DH</w:t>
      </w:r>
      <w:r w:rsidRPr="00630A55">
        <w:t xml:space="preserve">, including as an input into the jurisdiction’s funding model; informing business cases, policies or models of care; investigating funding impacts; verifying NWAUs and is provided to </w:t>
      </w:r>
      <w:r w:rsidR="00520FDC">
        <w:t>DH</w:t>
      </w:r>
      <w:r w:rsidRPr="00630A55">
        <w:t xml:space="preserve">’s </w:t>
      </w:r>
      <w:r w:rsidR="007138D9">
        <w:t>D</w:t>
      </w:r>
      <w:r w:rsidRPr="00630A55">
        <w:t xml:space="preserve">ata </w:t>
      </w:r>
      <w:r w:rsidR="007138D9">
        <w:t>L</w:t>
      </w:r>
      <w:r w:rsidRPr="00630A55">
        <w:t>inkage team such that it can be linked to cross-government datasets to inform decision-making (e.g.</w:t>
      </w:r>
      <w:r w:rsidR="00204B77">
        <w:t> </w:t>
      </w:r>
      <w:r w:rsidRPr="00630A55">
        <w:t xml:space="preserve">assessing potential flow-through impacts to health in the event of a change in housing policy). </w:t>
      </w:r>
    </w:p>
    <w:p w14:paraId="1EF906D7" w14:textId="3A2BD55A" w:rsidR="006B6DF6" w:rsidRPr="00630A55" w:rsidRDefault="006B6DF6" w:rsidP="00D87587">
      <w:pPr>
        <w:jc w:val="both"/>
      </w:pPr>
      <w:r w:rsidRPr="00630A55">
        <w:t xml:space="preserve">The use of costing data and reporting varies across the health services </w:t>
      </w:r>
      <w:r w:rsidR="00D91CB1" w:rsidRPr="00630A55">
        <w:t>sampled;</w:t>
      </w:r>
      <w:r w:rsidRPr="00630A55">
        <w:t xml:space="preserve"> </w:t>
      </w:r>
      <w:r w:rsidR="00D87587" w:rsidRPr="00630A55">
        <w:t>however,</w:t>
      </w:r>
      <w:r w:rsidRPr="00630A55">
        <w:t xml:space="preserve"> all sites highlighted their intent</w:t>
      </w:r>
      <w:r w:rsidR="00394771">
        <w:t>ion</w:t>
      </w:r>
      <w:r w:rsidRPr="00630A55">
        <w:t xml:space="preserve"> to continue to improve their engagement with key stakeholders regarding the use of costing data to inform decision-making and improve performance. For most sites, business managers, health intelligence and finance teams were the key audience for costing reports, insights and trends. </w:t>
      </w:r>
    </w:p>
    <w:p w14:paraId="528826B1" w14:textId="79D80615" w:rsidR="006B6DF6" w:rsidRPr="00630A55" w:rsidRDefault="006B6DF6" w:rsidP="006B6DF6">
      <w:r w:rsidRPr="00630A55">
        <w:t>Some</w:t>
      </w:r>
      <w:r w:rsidR="00A052BA">
        <w:t xml:space="preserve"> sites</w:t>
      </w:r>
      <w:r w:rsidRPr="00630A55">
        <w:t>, including RMH (through Qlik</w:t>
      </w:r>
      <w:r w:rsidR="00E90507">
        <w:t>V</w:t>
      </w:r>
      <w:r w:rsidRPr="00630A55">
        <w:t>iew), develop and publish visual dashboards to improve accessibility of information across multiple stakeholders</w:t>
      </w:r>
      <w:r w:rsidR="0017441D">
        <w:t>.</w:t>
      </w:r>
      <w:r w:rsidRPr="00630A55">
        <w:t xml:space="preserve"> </w:t>
      </w:r>
    </w:p>
    <w:p w14:paraId="4C41442B" w14:textId="77777777" w:rsidR="006B6DF6" w:rsidRPr="00630A55" w:rsidRDefault="006B6DF6" w:rsidP="0008151F">
      <w:pPr>
        <w:pStyle w:val="Heading3"/>
        <w:rPr>
          <w:rFonts w:ascii="Univers 45 Light" w:hAnsi="Univers 45 Light"/>
          <w:b w:val="0"/>
          <w:color w:val="4FC3FF" w:themeColor="accent2" w:themeTint="99"/>
          <w:szCs w:val="20"/>
        </w:rPr>
      </w:pPr>
      <w:r w:rsidRPr="00630A55">
        <w:t>Implications of COVID-19</w:t>
      </w:r>
    </w:p>
    <w:p w14:paraId="7EE106BA" w14:textId="72B144B4" w:rsidR="006B6DF6" w:rsidRPr="00630A55" w:rsidRDefault="006B6DF6" w:rsidP="00D87587">
      <w:pPr>
        <w:jc w:val="both"/>
      </w:pPr>
      <w:r w:rsidRPr="00630A55">
        <w:t xml:space="preserve">The pandemic had a significant impact on patient services, the workforce, patient volumes and data capture, with Victoria experiencing protracted lockdowns due to COVID-19 in </w:t>
      </w:r>
      <w:r w:rsidR="00595A9F">
        <w:t>FY20/21</w:t>
      </w:r>
      <w:r w:rsidRPr="00630A55">
        <w:t>. This necessitated a number of changes across all health services including adjustments to wards (e.g. hot/cold zones), reductions or full postponement of elective surgery, bed closures due to furloughed staff, transfer of activity to private sector and changes to models of care (e.g.</w:t>
      </w:r>
      <w:r w:rsidR="00E707E5">
        <w:t> </w:t>
      </w:r>
      <w:r w:rsidRPr="00630A55">
        <w:t xml:space="preserve">use of telehealth). </w:t>
      </w:r>
    </w:p>
    <w:p w14:paraId="19CBF6FF" w14:textId="7BB05959" w:rsidR="006B6DF6" w:rsidRPr="00630A55" w:rsidRDefault="006B6DF6" w:rsidP="00D87587">
      <w:pPr>
        <w:jc w:val="both"/>
      </w:pPr>
      <w:r w:rsidRPr="00630A55">
        <w:t xml:space="preserve">Vaccination programs were managed by the individual health services where the vaccinations were recorded at the aggregate level, not at </w:t>
      </w:r>
      <w:r w:rsidR="00FF1C5B">
        <w:t xml:space="preserve">the </w:t>
      </w:r>
      <w:r w:rsidRPr="00630A55">
        <w:t xml:space="preserve">patient level. These costs were excluded in the submission to IHACPA for this </w:t>
      </w:r>
      <w:r w:rsidR="00FF1C5B">
        <w:t>r</w:t>
      </w:r>
      <w:r w:rsidRPr="00630A55">
        <w:t xml:space="preserve">ound. </w:t>
      </w:r>
    </w:p>
    <w:p w14:paraId="40CF5DFE" w14:textId="59FA5219" w:rsidR="006B6DF6" w:rsidRPr="00630A55" w:rsidRDefault="006B6DF6" w:rsidP="00D87587">
      <w:pPr>
        <w:jc w:val="both"/>
      </w:pPr>
      <w:r w:rsidRPr="00630A55">
        <w:t xml:space="preserve">As expected, higher costs were observed for PPE, security and cleaning services due to the nature of the pandemic response; however, costing was applied in the same manner as that for </w:t>
      </w:r>
      <w:r w:rsidR="00595A9F">
        <w:t>FY19/20</w:t>
      </w:r>
      <w:r w:rsidR="00BA3CD8">
        <w:t>,</w:t>
      </w:r>
      <w:r w:rsidRPr="00630A55">
        <w:t xml:space="preserve"> with existing COVID cost centres </w:t>
      </w:r>
      <w:r w:rsidR="00FF1C5B">
        <w:t>being</w:t>
      </w:r>
      <w:r w:rsidR="00FF1C5B" w:rsidRPr="00630A55">
        <w:t xml:space="preserve"> </w:t>
      </w:r>
      <w:r w:rsidRPr="00630A55">
        <w:t xml:space="preserve">rolled over for the </w:t>
      </w:r>
      <w:r w:rsidR="00595A9F">
        <w:t>FY20/21</w:t>
      </w:r>
      <w:r w:rsidRPr="00630A55">
        <w:t xml:space="preserve"> period. </w:t>
      </w:r>
      <w:r w:rsidR="00520FDC">
        <w:t>DH</w:t>
      </w:r>
      <w:r w:rsidR="00755BE6">
        <w:t> </w:t>
      </w:r>
      <w:r w:rsidRPr="00630A55">
        <w:t xml:space="preserve">provided guidelines for COVID cost capture, including allocation of costs for treating COVID positive patients versus activities that had been impacted by COVID (e.g. cleaning, PPE). </w:t>
      </w:r>
    </w:p>
    <w:p w14:paraId="6E55AC71" w14:textId="66EE77F0" w:rsidR="006B6DF6" w:rsidRPr="00630A55" w:rsidRDefault="006B6DF6" w:rsidP="00D87587">
      <w:pPr>
        <w:jc w:val="both"/>
      </w:pPr>
      <w:r w:rsidRPr="00630A55">
        <w:t xml:space="preserve">These guidelines were extensive, detailing different types of activities and the appropriate cost allocation approach, with accompanying templates for consistent use. </w:t>
      </w:r>
      <w:r w:rsidR="00D45CCE">
        <w:t>Victoria</w:t>
      </w:r>
      <w:r w:rsidR="00B05297">
        <w:t>n</w:t>
      </w:r>
      <w:r w:rsidR="00D45CCE">
        <w:t xml:space="preserve"> health services continued to use the </w:t>
      </w:r>
      <w:r w:rsidR="00076DDD">
        <w:t xml:space="preserve">PPE consumables distributed to them from the centrally procured stores specific to COVID-19 in terms of the </w:t>
      </w:r>
      <w:r w:rsidR="00A85EE6">
        <w:t>s</w:t>
      </w:r>
      <w:r w:rsidR="00076DDD">
        <w:t xml:space="preserve">tate supply arrangement, and per the accounting rules from the DH Finance </w:t>
      </w:r>
      <w:r w:rsidR="001443E0">
        <w:t>t</w:t>
      </w:r>
      <w:r w:rsidR="00076DDD">
        <w:t>eam.</w:t>
      </w:r>
      <w:r w:rsidR="00D45CCE">
        <w:t xml:space="preserve"> </w:t>
      </w:r>
      <w:r w:rsidR="00076DDD">
        <w:t>These</w:t>
      </w:r>
      <w:r w:rsidRPr="00630A55">
        <w:t xml:space="preserve"> were removed from the </w:t>
      </w:r>
      <w:r w:rsidR="00595A9F">
        <w:t>FY19/20</w:t>
      </w:r>
      <w:r w:rsidRPr="00630A55">
        <w:t xml:space="preserve"> submissions (as these were sourced by the Public Health Payment)</w:t>
      </w:r>
      <w:r w:rsidR="00053535">
        <w:t xml:space="preserve">. Some of these consumables are beginning to be </w:t>
      </w:r>
      <w:r w:rsidRPr="00630A55">
        <w:t xml:space="preserve">treated as “normal” in the post-pandemic environment and allocated to patients accordingly. </w:t>
      </w:r>
    </w:p>
    <w:p w14:paraId="67C55CB7" w14:textId="75EBC3D0" w:rsidR="006B6DF6" w:rsidRPr="00630A55" w:rsidRDefault="00520FDC" w:rsidP="00D87587">
      <w:pPr>
        <w:jc w:val="both"/>
      </w:pPr>
      <w:r>
        <w:t>DH</w:t>
      </w:r>
      <w:r w:rsidR="006B6DF6" w:rsidRPr="00630A55">
        <w:t xml:space="preserve"> noted some </w:t>
      </w:r>
      <w:r w:rsidR="007D7E8F">
        <w:t>difficulties</w:t>
      </w:r>
      <w:r w:rsidR="006B6DF6" w:rsidRPr="00630A55">
        <w:t xml:space="preserve"> with linking data relating to COVID testing and screening activities, partly driven by the three different reporting requirements on COVID activities </w:t>
      </w:r>
      <w:r w:rsidR="001D4ACD">
        <w:t>that</w:t>
      </w:r>
      <w:r w:rsidR="006B6DF6" w:rsidRPr="00630A55">
        <w:t xml:space="preserve"> was difficult to manage. </w:t>
      </w:r>
    </w:p>
    <w:p w14:paraId="1982C774" w14:textId="77777777" w:rsidR="006B6DF6" w:rsidRPr="00630A55" w:rsidRDefault="006B6DF6" w:rsidP="0008151F">
      <w:pPr>
        <w:pStyle w:val="Heading3"/>
        <w:rPr>
          <w:rFonts w:ascii="Univers 45 Light" w:hAnsi="Univers 45 Light"/>
          <w:b w:val="0"/>
          <w:color w:val="4FC3FF" w:themeColor="accent2" w:themeTint="99"/>
          <w:szCs w:val="20"/>
        </w:rPr>
      </w:pPr>
      <w:r w:rsidRPr="00630A55">
        <w:t>Key learnings and future improvements</w:t>
      </w:r>
    </w:p>
    <w:p w14:paraId="492A60FE" w14:textId="7A36806D" w:rsidR="006B6DF6" w:rsidRPr="00630A55" w:rsidRDefault="00520FDC" w:rsidP="00D87587">
      <w:pPr>
        <w:jc w:val="both"/>
      </w:pPr>
      <w:r>
        <w:t>DH</w:t>
      </w:r>
      <w:r w:rsidR="006B6DF6" w:rsidRPr="00630A55">
        <w:t xml:space="preserve"> and the health services across Victoria continue to explore opportunities to improve the accuracy and robustness of their patient costing. For example, LRH are reviewing bed-based mental health costings through CMI (their mental health PAS). </w:t>
      </w:r>
      <w:r w:rsidR="009C6371">
        <w:t xml:space="preserve">As RMH are transitioning from iPM to </w:t>
      </w:r>
      <w:r w:rsidR="006B6DF6" w:rsidRPr="00630A55">
        <w:t>their new PAS (Epic)</w:t>
      </w:r>
      <w:r w:rsidR="009C6371">
        <w:t>, they</w:t>
      </w:r>
      <w:r w:rsidR="006B6DF6" w:rsidRPr="00630A55">
        <w:t xml:space="preserve"> are looking to extend their business intelligence capacity and improve uptake and usage of data and analytics across the organisation. Continuing to </w:t>
      </w:r>
      <w:r w:rsidR="006B6DF6" w:rsidRPr="00630A55">
        <w:lastRenderedPageBreak/>
        <w:t xml:space="preserve">improve business intelligence and data analytics capacity and capability was echoed across all sites sampled and </w:t>
      </w:r>
      <w:r>
        <w:t>DH</w:t>
      </w:r>
      <w:r w:rsidR="006B6DF6" w:rsidRPr="00630A55">
        <w:t xml:space="preserve">. </w:t>
      </w:r>
    </w:p>
    <w:p w14:paraId="79D7BE6C" w14:textId="1BADE6DB" w:rsidR="006B6DF6" w:rsidRPr="00630A55" w:rsidRDefault="006B6DF6" w:rsidP="00D87587">
      <w:pPr>
        <w:jc w:val="both"/>
      </w:pPr>
      <w:r w:rsidRPr="00630A55">
        <w:t xml:space="preserve">Furthermore, Victoria </w:t>
      </w:r>
      <w:r w:rsidR="00701877">
        <w:t xml:space="preserve">continues to report cost data at </w:t>
      </w:r>
      <w:r w:rsidRPr="00630A55">
        <w:t xml:space="preserve">phase of care for mental health, </w:t>
      </w:r>
      <w:r w:rsidR="00701877">
        <w:t>for</w:t>
      </w:r>
      <w:r w:rsidRPr="00630A55">
        <w:t xml:space="preserve"> both a bed-based and community level for all health services in the </w:t>
      </w:r>
      <w:r w:rsidR="00ED70D3">
        <w:t>state</w:t>
      </w:r>
      <w:r w:rsidRPr="00630A55">
        <w:t xml:space="preserve"> that have a mental health service</w:t>
      </w:r>
      <w:r w:rsidR="00FF1C5B">
        <w:t>,</w:t>
      </w:r>
      <w:r w:rsidRPr="00630A55">
        <w:t xml:space="preserve"> supported by enhanced guidelines for mental health costing</w:t>
      </w:r>
      <w:r>
        <w:t xml:space="preserve">. </w:t>
      </w:r>
    </w:p>
    <w:p w14:paraId="64B12061" w14:textId="77777777" w:rsidR="006B6DF6" w:rsidRPr="00630A55" w:rsidRDefault="006B6DF6" w:rsidP="0008151F">
      <w:pPr>
        <w:pStyle w:val="Heading3"/>
        <w:rPr>
          <w:rFonts w:ascii="Univers 45 Light" w:hAnsi="Univers 45 Light"/>
          <w:b w:val="0"/>
          <w:color w:val="4FC3FF" w:themeColor="accent2" w:themeTint="99"/>
          <w:szCs w:val="20"/>
        </w:rPr>
      </w:pPr>
      <w:r w:rsidRPr="00630A55">
        <w:t>Conclusion</w:t>
      </w:r>
    </w:p>
    <w:p w14:paraId="7A341FD9" w14:textId="50BFED54" w:rsidR="006B6DF6" w:rsidRPr="00630A55" w:rsidRDefault="006B6DF6" w:rsidP="00D87587">
      <w:pPr>
        <w:jc w:val="both"/>
      </w:pPr>
      <w:r w:rsidRPr="00630A55">
        <w:t xml:space="preserve">Victoria continues to make best efforts to adhere to AHPCS </w:t>
      </w:r>
      <w:r w:rsidR="00710D0C">
        <w:t xml:space="preserve">version </w:t>
      </w:r>
      <w:r w:rsidRPr="00630A55">
        <w:t xml:space="preserve">4.1 and is compliant </w:t>
      </w:r>
      <w:r w:rsidR="00D87587" w:rsidRPr="00630A55">
        <w:t>apart from</w:t>
      </w:r>
      <w:r w:rsidRPr="00630A55">
        <w:t xml:space="preserve"> costing the following: </w:t>
      </w:r>
    </w:p>
    <w:p w14:paraId="3CB6B647" w14:textId="77777777" w:rsidR="006B6DF6" w:rsidRPr="00630A55" w:rsidRDefault="006B6DF6" w:rsidP="00D87587">
      <w:pPr>
        <w:pStyle w:val="Bullet1stlevel"/>
        <w:jc w:val="both"/>
      </w:pPr>
      <w:r w:rsidRPr="00630A55">
        <w:t xml:space="preserve">Capital and depreciation: non-cash expenditures (e.g. depreciation), as this does not impact on operational costs and comparisons. </w:t>
      </w:r>
    </w:p>
    <w:p w14:paraId="487B91BE" w14:textId="2F0A3FA9" w:rsidR="006B6DF6" w:rsidRPr="00630A55" w:rsidRDefault="006B6DF6" w:rsidP="00D87587">
      <w:pPr>
        <w:pStyle w:val="Bullet1stlevel"/>
        <w:jc w:val="both"/>
      </w:pPr>
      <w:r w:rsidRPr="00630A55">
        <w:t>Teaching and training costs: where the sole purpose of activity is teaching and training</w:t>
      </w:r>
      <w:r w:rsidR="00FF1C5B">
        <w:t>,</w:t>
      </w:r>
      <w:r w:rsidRPr="00630A55">
        <w:t xml:space="preserve"> these are counted in overheads; where teaching and training cannot be separated from routine work, these costs are included as salary and wages expense.</w:t>
      </w:r>
    </w:p>
    <w:p w14:paraId="4792F898" w14:textId="77777777" w:rsidR="006B6DF6" w:rsidRPr="00630A55" w:rsidRDefault="006B6DF6" w:rsidP="00D87587">
      <w:pPr>
        <w:pStyle w:val="Bullet1stlevel"/>
        <w:jc w:val="both"/>
      </w:pPr>
      <w:r w:rsidRPr="00630A55">
        <w:t xml:space="preserve">Research costs: excluded from Victoria’s submission pending further developments in the ABF work stream. </w:t>
      </w:r>
    </w:p>
    <w:p w14:paraId="6C57BF80" w14:textId="04F0F704" w:rsidR="006B6DF6" w:rsidRPr="00630A55" w:rsidRDefault="006B6DF6" w:rsidP="00D87587">
      <w:pPr>
        <w:pStyle w:val="Bullet1stlevel"/>
        <w:jc w:val="both"/>
      </w:pPr>
      <w:r w:rsidRPr="00630A55">
        <w:t xml:space="preserve">Posthumous organ donation: application of this standard is being </w:t>
      </w:r>
      <w:r w:rsidR="00D87587" w:rsidRPr="00630A55">
        <w:t>considered;</w:t>
      </w:r>
      <w:r w:rsidRPr="00630A55">
        <w:t xml:space="preserve"> </w:t>
      </w:r>
      <w:r w:rsidR="00D87587" w:rsidRPr="00630A55">
        <w:t>however,</w:t>
      </w:r>
      <w:r w:rsidRPr="00630A55">
        <w:t xml:space="preserve"> updates are required to the guidance in AHPCS version 4.1 to ensure full costing by Victoria. </w:t>
      </w:r>
    </w:p>
    <w:p w14:paraId="7D5A7AFF" w14:textId="00151E3D" w:rsidR="006B6DF6" w:rsidRPr="00630A55" w:rsidRDefault="006B6DF6" w:rsidP="00D87587">
      <w:pPr>
        <w:jc w:val="both"/>
      </w:pPr>
      <w:r w:rsidRPr="00630A55">
        <w:t>Victoria reported their costing submission was prepared in accordance with AHPCS version</w:t>
      </w:r>
      <w:r w:rsidR="00FF1C5B">
        <w:t> </w:t>
      </w:r>
      <w:r w:rsidRPr="00630A55">
        <w:t xml:space="preserve">4.1 for </w:t>
      </w:r>
      <w:r w:rsidR="00595A9F">
        <w:t>FY20/21</w:t>
      </w:r>
      <w:r w:rsidRPr="00630A55">
        <w:t xml:space="preserve">. Based on the methodology outlined above, </w:t>
      </w:r>
      <w:r w:rsidR="00710D0C">
        <w:t>LRH</w:t>
      </w:r>
      <w:r w:rsidRPr="00630A55">
        <w:t xml:space="preserve">, </w:t>
      </w:r>
      <w:r w:rsidR="00710D0C">
        <w:t>BHS</w:t>
      </w:r>
      <w:r w:rsidRPr="00630A55">
        <w:t xml:space="preserve"> and the </w:t>
      </w:r>
      <w:r w:rsidR="00710D0C">
        <w:t>RMH</w:t>
      </w:r>
      <w:r w:rsidRPr="00630A55">
        <w:t xml:space="preserve"> (Melbourne Health) have suitable reconciliation processes in place and the financial and activity data is considered fit for the NHCDC submission. </w:t>
      </w:r>
    </w:p>
    <w:p w14:paraId="7ED79795" w14:textId="77777777" w:rsidR="003B5539" w:rsidRPr="00630A55" w:rsidRDefault="003B5539" w:rsidP="003B5539"/>
    <w:p w14:paraId="4A7AAB5B" w14:textId="77777777" w:rsidR="006B6DF6" w:rsidRDefault="006B6DF6" w:rsidP="000F23B5">
      <w:pPr>
        <w:pStyle w:val="Heading2"/>
        <w:sectPr w:rsidR="006B6DF6" w:rsidSect="00146B60">
          <w:pgSz w:w="11906" w:h="16838"/>
          <w:pgMar w:top="1134" w:right="1418" w:bottom="1418" w:left="1418" w:header="709" w:footer="454" w:gutter="0"/>
          <w:cols w:space="708"/>
          <w:docGrid w:linePitch="360"/>
        </w:sectPr>
      </w:pPr>
    </w:p>
    <w:p w14:paraId="7B7064C2" w14:textId="541D83E9" w:rsidR="000F23B5" w:rsidRDefault="000F23B5" w:rsidP="000F23B5">
      <w:pPr>
        <w:pStyle w:val="Heading2"/>
      </w:pPr>
      <w:bookmarkStart w:id="75" w:name="_Toc128376730"/>
      <w:r w:rsidRPr="00A16B1D">
        <w:lastRenderedPageBreak/>
        <w:t>Western Australia</w:t>
      </w:r>
      <w:bookmarkEnd w:id="75"/>
    </w:p>
    <w:p w14:paraId="21D667E1" w14:textId="49C56F83" w:rsidR="000F23B5" w:rsidRDefault="000F23B5" w:rsidP="000F23B5">
      <w:pPr>
        <w:pStyle w:val="Heading3"/>
      </w:pPr>
      <w:r w:rsidRPr="00A16B1D">
        <w:t>Jurisdictional summary</w:t>
      </w:r>
    </w:p>
    <w:p w14:paraId="01786E19" w14:textId="57D3F499" w:rsidR="000242AC" w:rsidRPr="00630A55" w:rsidRDefault="000242AC" w:rsidP="009527C7">
      <w:pPr>
        <w:pStyle w:val="Heading4"/>
        <w:rPr>
          <w:rFonts w:ascii="Univers 45 Light" w:hAnsi="Univers 45 Light"/>
          <w:color w:val="4FC3FF" w:themeColor="accent2" w:themeTint="99"/>
          <w:szCs w:val="20"/>
        </w:rPr>
      </w:pPr>
      <w:r w:rsidRPr="00630A55">
        <w:t xml:space="preserve">Health Service </w:t>
      </w:r>
      <w:r w:rsidR="00647DD8">
        <w:t>o</w:t>
      </w:r>
      <w:r w:rsidRPr="00630A55">
        <w:t>verview</w:t>
      </w:r>
    </w:p>
    <w:p w14:paraId="04247633" w14:textId="795B7622" w:rsidR="000242AC" w:rsidRPr="00630A55" w:rsidRDefault="000242AC" w:rsidP="00D87587">
      <w:pPr>
        <w:jc w:val="both"/>
      </w:pPr>
      <w:r w:rsidRPr="00630A55">
        <w:t xml:space="preserve">The </w:t>
      </w:r>
      <w:r w:rsidR="006A2FD0">
        <w:t xml:space="preserve">Department of </w:t>
      </w:r>
      <w:r w:rsidR="00D653AC">
        <w:t xml:space="preserve">Health in </w:t>
      </w:r>
      <w:r w:rsidRPr="00630A55">
        <w:t>Western Australian (</w:t>
      </w:r>
      <w:r w:rsidR="00D653AC">
        <w:t>DoHWA</w:t>
      </w:r>
      <w:r w:rsidRPr="00630A55">
        <w:t xml:space="preserve">) is comprised of five LHNs, three located in metropolitan Perth, one responsible for WA Country Health and a specialist Child and Adolescent Health Service. These health services are supported by </w:t>
      </w:r>
      <w:r w:rsidR="00222ECB" w:rsidRPr="00630A55">
        <w:t>several</w:t>
      </w:r>
      <w:r w:rsidRPr="00630A55">
        <w:t xml:space="preserve"> other agencies</w:t>
      </w:r>
      <w:r w:rsidR="00FF1C5B">
        <w:t>,</w:t>
      </w:r>
      <w:r w:rsidRPr="00630A55">
        <w:t xml:space="preserve"> including PathWest and Health Support Services. In </w:t>
      </w:r>
      <w:r w:rsidR="00595A9F">
        <w:t>FY20/21</w:t>
      </w:r>
      <w:r w:rsidRPr="00630A55">
        <w:t xml:space="preserve"> of the IFR, three LHNs were selected as sample sites for the review</w:t>
      </w:r>
      <w:r w:rsidR="0018005C">
        <w:t xml:space="preserve">, </w:t>
      </w:r>
      <w:r w:rsidR="0018005C" w:rsidRPr="00630A55">
        <w:t>based upon the sampling framework</w:t>
      </w:r>
      <w:r w:rsidRPr="00630A55">
        <w:t xml:space="preserve">: East Metropolitan Health Services (EMHS), Child and Adolescent Health Service (CAHS) and WA Country Health Service (WACHS). </w:t>
      </w:r>
    </w:p>
    <w:p w14:paraId="05D73017" w14:textId="79CA3C24" w:rsidR="000242AC" w:rsidRPr="00630A55" w:rsidRDefault="000242AC" w:rsidP="00D87587">
      <w:pPr>
        <w:jc w:val="both"/>
      </w:pPr>
      <w:r w:rsidRPr="00630A55">
        <w:t>EMHS provides services across the whole continuum of care to almost 800,000 Western Australians in metropolitan Perth. The R</w:t>
      </w:r>
      <w:r w:rsidR="00571876">
        <w:t xml:space="preserve">oyal </w:t>
      </w:r>
      <w:r w:rsidRPr="00630A55">
        <w:t>P</w:t>
      </w:r>
      <w:r w:rsidR="00571876">
        <w:t xml:space="preserve">erth </w:t>
      </w:r>
      <w:r w:rsidRPr="00630A55">
        <w:t>H</w:t>
      </w:r>
      <w:r w:rsidR="00571876">
        <w:t>ospital (</w:t>
      </w:r>
      <w:r w:rsidRPr="00630A55">
        <w:t>RPH</w:t>
      </w:r>
      <w:r w:rsidR="00571876">
        <w:t>)</w:t>
      </w:r>
      <w:r w:rsidRPr="00630A55">
        <w:t xml:space="preserve"> is the largest facility in the EMHS, encompassing 425 multi-day beds (incl</w:t>
      </w:r>
      <w:r w:rsidR="00FF1C5B">
        <w:t>uding</w:t>
      </w:r>
      <w:r w:rsidRPr="00630A55">
        <w:t xml:space="preserve"> 20 trauma, 18 ICU and </w:t>
      </w:r>
      <w:r w:rsidR="00494EEF">
        <w:t>six</w:t>
      </w:r>
      <w:r w:rsidRPr="00630A55">
        <w:t xml:space="preserve"> coronary care beds). On a yearly basis</w:t>
      </w:r>
      <w:r w:rsidR="00494EEF">
        <w:t>,</w:t>
      </w:r>
      <w:r w:rsidRPr="00630A55">
        <w:t xml:space="preserve"> there are approximately 65,000 inpatient separations, 73,000</w:t>
      </w:r>
      <w:r w:rsidR="00494EEF">
        <w:t> </w:t>
      </w:r>
      <w:r w:rsidRPr="00630A55">
        <w:t xml:space="preserve">emergency presentations and 324,000 non-admitted attendances. </w:t>
      </w:r>
    </w:p>
    <w:p w14:paraId="2B5C8BC0" w14:textId="0F7429B3" w:rsidR="000242AC" w:rsidRPr="00630A55" w:rsidRDefault="000242AC" w:rsidP="00D87587">
      <w:pPr>
        <w:jc w:val="both"/>
      </w:pPr>
      <w:r w:rsidRPr="00630A55">
        <w:t>CAHS is comprised of Neonatology (at King Edwards Memorial Hospital), Community Health, Child and Adolescent Mental Health Services and the P</w:t>
      </w:r>
      <w:r w:rsidR="00571876">
        <w:t xml:space="preserve">erth </w:t>
      </w:r>
      <w:r w:rsidRPr="00630A55">
        <w:t>C</w:t>
      </w:r>
      <w:r w:rsidR="00571876">
        <w:t xml:space="preserve">hildren’s </w:t>
      </w:r>
      <w:r w:rsidRPr="00630A55">
        <w:t>H</w:t>
      </w:r>
      <w:r w:rsidR="00571876">
        <w:t>ospital (</w:t>
      </w:r>
      <w:r w:rsidRPr="00630A55">
        <w:t>PCH</w:t>
      </w:r>
      <w:r w:rsidR="00571876">
        <w:t>)</w:t>
      </w:r>
      <w:r w:rsidRPr="00630A55">
        <w:t xml:space="preserve">. The PCH is responsible for approximately half of the total expenditure incurred by CAHS and provides specialist paediatric and trauma services to children and adolescents aged 15 years or younger. PCH has 298 beds and on a yearly basis, services approximately 31,000 admissions, 67,000 emergency presentations and 236,000 outpatient appointments. </w:t>
      </w:r>
    </w:p>
    <w:p w14:paraId="186A1175" w14:textId="279439E5" w:rsidR="000242AC" w:rsidRPr="00630A55" w:rsidRDefault="000242AC" w:rsidP="00D87587">
      <w:pPr>
        <w:jc w:val="both"/>
      </w:pPr>
      <w:r w:rsidRPr="00630A55">
        <w:t>WACHS is responsible for the provision of health care services across regional and rural WA</w:t>
      </w:r>
      <w:r w:rsidR="00A2296C">
        <w:t>, including across remote aboriginal communities</w:t>
      </w:r>
      <w:r w:rsidRPr="00630A55">
        <w:t>. WA</w:t>
      </w:r>
      <w:r w:rsidR="00AA34FB">
        <w:t>CH</w:t>
      </w:r>
      <w:r w:rsidRPr="00630A55">
        <w:t>S is comprised of seven health regions that consist of six large regional hospitals, 46</w:t>
      </w:r>
      <w:r w:rsidR="00494EEF">
        <w:t> </w:t>
      </w:r>
      <w:r w:rsidRPr="00630A55">
        <w:t>small hospitals, 43 health centres and nursing posts and 24 community-based mental health services</w:t>
      </w:r>
      <w:r w:rsidR="00BF0C68">
        <w:rPr>
          <w:rStyle w:val="FootnoteReference"/>
        </w:rPr>
        <w:footnoteReference w:id="6"/>
      </w:r>
      <w:r w:rsidRPr="00630A55">
        <w:t xml:space="preserve">. </w:t>
      </w:r>
      <w:r w:rsidR="00710D0C">
        <w:t>A</w:t>
      </w:r>
      <w:r w:rsidR="009A793A">
        <w:t xml:space="preserve">lbany </w:t>
      </w:r>
      <w:r w:rsidR="00710D0C">
        <w:t>H</w:t>
      </w:r>
      <w:r w:rsidR="009A793A">
        <w:t>ospital (</w:t>
      </w:r>
      <w:r w:rsidR="00710D0C">
        <w:t>AH</w:t>
      </w:r>
      <w:r w:rsidR="009A793A">
        <w:t>)</w:t>
      </w:r>
      <w:r w:rsidRPr="00630A55">
        <w:t xml:space="preserve"> is part of the Great Southern Health region of WACHS and is one of the six large hospitals referred to above. </w:t>
      </w:r>
      <w:r w:rsidR="00710D0C">
        <w:t>AH</w:t>
      </w:r>
      <w:r w:rsidRPr="00630A55">
        <w:t xml:space="preserve"> is comprised of 134</w:t>
      </w:r>
      <w:r w:rsidR="00494EEF">
        <w:t> </w:t>
      </w:r>
      <w:r w:rsidRPr="00630A55">
        <w:t xml:space="preserve">beds, providing vertically integrated services across the whole continuum of care. As a larger regional health facility, staff from the </w:t>
      </w:r>
      <w:r w:rsidR="00710D0C">
        <w:t>AH</w:t>
      </w:r>
      <w:r w:rsidRPr="00630A55">
        <w:t xml:space="preserve"> also travel to service network gaps across the Great Southern region. </w:t>
      </w:r>
    </w:p>
    <w:p w14:paraId="382C6935" w14:textId="4F0486EB" w:rsidR="000242AC" w:rsidRPr="00630A55" w:rsidRDefault="000242AC" w:rsidP="009527C7">
      <w:pPr>
        <w:pStyle w:val="Heading4"/>
        <w:rPr>
          <w:rFonts w:ascii="Univers 45 Light" w:hAnsi="Univers 45 Light"/>
          <w:color w:val="4FC3FF" w:themeColor="accent2" w:themeTint="99"/>
          <w:szCs w:val="20"/>
        </w:rPr>
      </w:pPr>
      <w:r w:rsidRPr="00630A55">
        <w:t xml:space="preserve">Costing </w:t>
      </w:r>
      <w:r w:rsidR="0015702B">
        <w:t>o</w:t>
      </w:r>
      <w:r w:rsidRPr="00630A55">
        <w:t>verview</w:t>
      </w:r>
    </w:p>
    <w:p w14:paraId="1ACCD678" w14:textId="5F8292D7" w:rsidR="000242AC" w:rsidRPr="00630A55" w:rsidRDefault="000242AC" w:rsidP="00D87587">
      <w:pPr>
        <w:jc w:val="both"/>
      </w:pPr>
      <w:r w:rsidRPr="00630A55">
        <w:t xml:space="preserve">Patient costing is the responsibility of the respective LHNs and undertaken by dedicated </w:t>
      </w:r>
      <w:r w:rsidR="0015702B">
        <w:t>c</w:t>
      </w:r>
      <w:r w:rsidRPr="00630A55">
        <w:t xml:space="preserve">osting </w:t>
      </w:r>
      <w:r w:rsidR="007138D9">
        <w:t>t</w:t>
      </w:r>
      <w:r w:rsidRPr="00630A55">
        <w:t xml:space="preserve">eams. WA’s </w:t>
      </w:r>
      <w:r w:rsidR="00595A9F">
        <w:t>FY20/21</w:t>
      </w:r>
      <w:r w:rsidRPr="00630A55">
        <w:t xml:space="preserve"> NHCDC submission was based on the individual submissions from the five LHNs. Costing is undertaken annually for the NHCDC submission, however EMHS undertakes quarterly costing for internal purposes. Data submissions for the </w:t>
      </w:r>
      <w:r w:rsidR="00595A9F">
        <w:t>FY20/21</w:t>
      </w:r>
      <w:r w:rsidRPr="00630A55">
        <w:t xml:space="preserve"> NHCDC process were extensively reviewed by HSPs, prior to official sign-off at the CFO level, including a series of quality assurance tests covering inpatients, specific DRGs, </w:t>
      </w:r>
      <w:r w:rsidR="00276E98">
        <w:t xml:space="preserve">emergency and </w:t>
      </w:r>
      <w:r w:rsidRPr="00630A55">
        <w:t xml:space="preserve">outpatient activity and others. </w:t>
      </w:r>
    </w:p>
    <w:p w14:paraId="3F4C869F" w14:textId="06C315DD" w:rsidR="000242AC" w:rsidRPr="00630A55" w:rsidRDefault="000242AC" w:rsidP="00D87587">
      <w:pPr>
        <w:jc w:val="both"/>
      </w:pPr>
      <w:r w:rsidRPr="00630A55">
        <w:t>Upon submission of the approved data files to DoH</w:t>
      </w:r>
      <w:r w:rsidR="0018573C">
        <w:t>WA</w:t>
      </w:r>
      <w:r w:rsidRPr="00630A55">
        <w:t xml:space="preserve">, HSP costs were further tested and reconciled, with adjustments made to incorporate WIP from previous rounds. </w:t>
      </w:r>
      <w:r w:rsidR="00E213CA">
        <w:t>DoHWA</w:t>
      </w:r>
      <w:r w:rsidRPr="00630A55">
        <w:t xml:space="preserve"> also undertakes data matching and validation prior to submission to ensure costed </w:t>
      </w:r>
      <w:r w:rsidR="00494EEF">
        <w:t>dataset</w:t>
      </w:r>
      <w:r w:rsidRPr="00630A55">
        <w:t xml:space="preserve">s align with activity data submitted to IHACPA. </w:t>
      </w:r>
    </w:p>
    <w:p w14:paraId="75D5511C" w14:textId="5147B7F0" w:rsidR="000242AC" w:rsidRPr="00630A55" w:rsidRDefault="000242AC" w:rsidP="00D87587">
      <w:pPr>
        <w:jc w:val="both"/>
      </w:pPr>
      <w:r w:rsidRPr="00630A55">
        <w:t xml:space="preserve">WA has a single chart of accounts, such that the mapping for NHCDC line items is set at the </w:t>
      </w:r>
      <w:r w:rsidR="00710D0C">
        <w:t>statewide</w:t>
      </w:r>
      <w:r w:rsidRPr="00630A55">
        <w:t xml:space="preserve"> level. This promotes greater consistency across the system and enables the WA </w:t>
      </w:r>
      <w:r w:rsidRPr="00630A55">
        <w:lastRenderedPageBreak/>
        <w:t xml:space="preserve">health system to utilise costing resources more efficiently because the foundational systems, data and activities are the same. </w:t>
      </w:r>
    </w:p>
    <w:p w14:paraId="139586BA" w14:textId="2D1975D1" w:rsidR="000242AC" w:rsidRPr="00630A55" w:rsidRDefault="000242AC" w:rsidP="00D87587">
      <w:pPr>
        <w:jc w:val="both"/>
      </w:pPr>
      <w:r w:rsidRPr="00630A55">
        <w:t xml:space="preserve">There have also been some movements in resourcing of the </w:t>
      </w:r>
      <w:r w:rsidR="00F61FCA">
        <w:t>c</w:t>
      </w:r>
      <w:r w:rsidRPr="00630A55">
        <w:t xml:space="preserve">osting teams due to capacity and capability constraints across the HSPs, such that the </w:t>
      </w:r>
      <w:r w:rsidR="00595A9F">
        <w:t>FY20/21</w:t>
      </w:r>
      <w:r w:rsidRPr="00630A55">
        <w:t xml:space="preserve"> costings for CAHS was supported by EMHS. EMHS assumed responsibility for the process in late 2020/21, considering the timing the </w:t>
      </w:r>
      <w:r w:rsidR="00E1715B">
        <w:t>GL</w:t>
      </w:r>
      <w:r w:rsidRPr="00630A55">
        <w:t xml:space="preserve"> structure was taken as is, however EMHS were able to use the dataset in PPM to provide the extract to IH</w:t>
      </w:r>
      <w:r w:rsidR="00375B12">
        <w:t>AC</w:t>
      </w:r>
      <w:r w:rsidRPr="00630A55">
        <w:t xml:space="preserve">PA; the costing process applied to CAHS data therefore mirrored that of EMHS. </w:t>
      </w:r>
    </w:p>
    <w:p w14:paraId="6A5E423E" w14:textId="0432B834" w:rsidR="000242AC" w:rsidRPr="00630A55" w:rsidRDefault="000242AC" w:rsidP="009527C7">
      <w:pPr>
        <w:pStyle w:val="Heading4"/>
        <w:rPr>
          <w:rFonts w:ascii="Univers 45 Light" w:hAnsi="Univers 45 Light"/>
          <w:color w:val="4FC3FF" w:themeColor="accent2" w:themeTint="99"/>
          <w:szCs w:val="20"/>
        </w:rPr>
      </w:pPr>
      <w:r w:rsidRPr="00630A55">
        <w:t xml:space="preserve">Systems </w:t>
      </w:r>
      <w:r w:rsidR="00F61FCA">
        <w:t>e</w:t>
      </w:r>
      <w:r w:rsidRPr="00630A55">
        <w:t>nvironment</w:t>
      </w:r>
    </w:p>
    <w:p w14:paraId="3D2038F6" w14:textId="4AE0D330" w:rsidR="000242AC" w:rsidRPr="00630A55" w:rsidRDefault="000242AC" w:rsidP="00D87587">
      <w:pPr>
        <w:jc w:val="both"/>
      </w:pPr>
      <w:r w:rsidRPr="00630A55">
        <w:t>DoH</w:t>
      </w:r>
      <w:r w:rsidR="000208C0">
        <w:t>WA</w:t>
      </w:r>
      <w:r w:rsidRPr="00630A55">
        <w:t xml:space="preserve"> use the latest version of </w:t>
      </w:r>
      <w:r>
        <w:t>PPM</w:t>
      </w:r>
      <w:r w:rsidRPr="00630A55">
        <w:t xml:space="preserve"> 2 patient costing software for clinical costing. All WA HSPs </w:t>
      </w:r>
      <w:r w:rsidR="00D87587" w:rsidRPr="00630A55">
        <w:t>use</w:t>
      </w:r>
      <w:r w:rsidRPr="00630A55">
        <w:t xml:space="preserve"> the same PAS and the same statewide feeder systems for services including pathology, </w:t>
      </w:r>
      <w:r w:rsidR="00D87587" w:rsidRPr="00630A55">
        <w:t>imaging,</w:t>
      </w:r>
      <w:r w:rsidRPr="00630A55">
        <w:t xml:space="preserve"> and pharmacy systems. H</w:t>
      </w:r>
      <w:r w:rsidR="00FD3BEE">
        <w:t xml:space="preserve">ealth </w:t>
      </w:r>
      <w:r w:rsidRPr="00630A55">
        <w:t>S</w:t>
      </w:r>
      <w:r w:rsidR="00FD3BEE">
        <w:t xml:space="preserve">upport </w:t>
      </w:r>
      <w:r w:rsidRPr="00630A55">
        <w:t>S</w:t>
      </w:r>
      <w:r w:rsidR="00FD3BEE">
        <w:t>ervices (</w:t>
      </w:r>
      <w:r w:rsidRPr="00630A55">
        <w:t>HSS</w:t>
      </w:r>
      <w:r w:rsidR="00FD3BEE">
        <w:t>)</w:t>
      </w:r>
      <w:r w:rsidRPr="00630A55">
        <w:t xml:space="preserve"> – a shared service centre for WA’s health system – administer and provide technical support for the clinical costing system, provide extracts for the HSPs, and perform monthly validity checks on activity data against agreed data standards.</w:t>
      </w:r>
    </w:p>
    <w:p w14:paraId="1836198D" w14:textId="6C8281A8" w:rsidR="000242AC" w:rsidRPr="00630A55" w:rsidRDefault="000242AC" w:rsidP="00D87587">
      <w:pPr>
        <w:jc w:val="both"/>
      </w:pPr>
      <w:r w:rsidRPr="00630A55">
        <w:t xml:space="preserve">PowerBI is the most commonly used reporting and analysis tool across HSPs. WACHS had been using Presto for internal reporting in previous IFR rounds but will be transitioning to PowerBI from January 2023 due to </w:t>
      </w:r>
      <w:r w:rsidR="00494EEF">
        <w:t>Presto</w:t>
      </w:r>
      <w:r w:rsidRPr="00630A55">
        <w:t xml:space="preserve"> being wound down. HSPs have used PowerBI to create appropriate visualisations and dashboards to aid analysis and benchmarking of their results within their HSP and across like-HSPs. </w:t>
      </w:r>
    </w:p>
    <w:p w14:paraId="6E7EE414" w14:textId="77777777" w:rsidR="000242AC" w:rsidRPr="00630A55" w:rsidRDefault="000242AC" w:rsidP="009527C7">
      <w:pPr>
        <w:pStyle w:val="Heading4"/>
        <w:rPr>
          <w:rFonts w:ascii="Univers 45 Light" w:hAnsi="Univers 45 Light"/>
          <w:b w:val="0"/>
          <w:color w:val="4FC3FF" w:themeColor="accent2" w:themeTint="99"/>
          <w:szCs w:val="20"/>
        </w:rPr>
      </w:pPr>
      <w:r w:rsidRPr="00630A55">
        <w:t>Improvements</w:t>
      </w:r>
    </w:p>
    <w:p w14:paraId="1500B367" w14:textId="01111F8F" w:rsidR="000242AC" w:rsidRPr="00630A55" w:rsidRDefault="000242AC" w:rsidP="00D87587">
      <w:pPr>
        <w:jc w:val="both"/>
      </w:pPr>
      <w:r w:rsidRPr="00630A55">
        <w:t xml:space="preserve">Overall, there were no material changes or improvements in </w:t>
      </w:r>
      <w:r w:rsidR="00710D0C">
        <w:t>WA</w:t>
      </w:r>
      <w:r w:rsidRPr="00630A55">
        <w:t xml:space="preserve">’s costing process or methodology between the previous year and the NHCDC </w:t>
      </w:r>
      <w:r w:rsidR="00595A9F">
        <w:t>FY20/21</w:t>
      </w:r>
      <w:r w:rsidRPr="00630A55">
        <w:t xml:space="preserve">. Since </w:t>
      </w:r>
      <w:r w:rsidR="00595A9F">
        <w:t>FY19/20</w:t>
      </w:r>
      <w:r w:rsidRPr="00630A55">
        <w:t xml:space="preserve"> however, </w:t>
      </w:r>
      <w:r w:rsidR="00710D0C">
        <w:t>WA</w:t>
      </w:r>
      <w:r w:rsidRPr="00630A55">
        <w:t xml:space="preserve"> has formalised a suite of QA checks that HSPs are required to undertake (at </w:t>
      </w:r>
      <w:r w:rsidR="00494EEF">
        <w:t xml:space="preserve">a </w:t>
      </w:r>
      <w:r w:rsidRPr="00630A55">
        <w:t xml:space="preserve">minimum) and sign-off with the HSP CFO prior to their data submission to </w:t>
      </w:r>
      <w:r w:rsidR="00494EEF">
        <w:t>DoH</w:t>
      </w:r>
      <w:r w:rsidR="000208C0">
        <w:t>WA</w:t>
      </w:r>
      <w:r w:rsidRPr="00630A55">
        <w:t xml:space="preserve"> – </w:t>
      </w:r>
      <w:r w:rsidR="001D4ACD">
        <w:t>that</w:t>
      </w:r>
      <w:r w:rsidRPr="00630A55">
        <w:t xml:space="preserve"> has streamlined the process and improved consistency</w:t>
      </w:r>
      <w:r w:rsidR="008D6443">
        <w:t xml:space="preserve"> of costing allocations</w:t>
      </w:r>
      <w:r w:rsidRPr="00630A55">
        <w:t xml:space="preserve">. </w:t>
      </w:r>
    </w:p>
    <w:p w14:paraId="56EF2BB1" w14:textId="01F88B60" w:rsidR="000242AC" w:rsidRPr="00DD3DB5" w:rsidRDefault="000242AC" w:rsidP="0008151F">
      <w:pPr>
        <w:pStyle w:val="Heading3"/>
      </w:pPr>
      <w:r w:rsidRPr="00DD3DB5">
        <w:t xml:space="preserve">Data flow and </w:t>
      </w:r>
      <w:r w:rsidR="00687B5B">
        <w:t>r</w:t>
      </w:r>
      <w:r w:rsidRPr="00DD3DB5">
        <w:t>econciliation</w:t>
      </w:r>
    </w:p>
    <w:p w14:paraId="306C04C3" w14:textId="77777777" w:rsidR="000242AC" w:rsidRPr="00630A55" w:rsidRDefault="000242AC" w:rsidP="0008151F">
      <w:pPr>
        <w:pStyle w:val="Heading4"/>
        <w:rPr>
          <w:rFonts w:ascii="Univers 45 Light" w:hAnsi="Univers 45 Light"/>
          <w:b w:val="0"/>
        </w:rPr>
      </w:pPr>
      <w:r w:rsidRPr="00630A55">
        <w:t>East Metropolitan Health Se</w:t>
      </w:r>
      <w:r w:rsidRPr="00DD3DB5">
        <w:rPr>
          <w:rFonts w:ascii="Univers 45 Light" w:hAnsi="Univers 45 Light"/>
        </w:rPr>
        <w:t>rvice – Royal Perth Hospital</w:t>
      </w:r>
    </w:p>
    <w:p w14:paraId="3AFF700D" w14:textId="45908A3E" w:rsidR="000242AC" w:rsidRPr="00630A55" w:rsidRDefault="000242AC" w:rsidP="00D87587">
      <w:pPr>
        <w:jc w:val="both"/>
      </w:pPr>
      <w:r w:rsidRPr="00630A55">
        <w:t xml:space="preserve">The EMHS starting </w:t>
      </w:r>
      <w:r w:rsidR="00E1715B">
        <w:t>GL</w:t>
      </w:r>
      <w:r w:rsidRPr="00630A55">
        <w:t xml:space="preserve"> expenditure total was $1,738,653,458 as per the Audited Financial Statements, adjustments relating to retail operations and recoup</w:t>
      </w:r>
      <w:r w:rsidR="00494EEF">
        <w:t>ment</w:t>
      </w:r>
      <w:r w:rsidRPr="00630A55">
        <w:t xml:space="preserve">s were applied to arrive at an amount of $1,708,162,351 transferred to the costing system for </w:t>
      </w:r>
      <w:r w:rsidR="00595A9F">
        <w:t>FY20/21</w:t>
      </w:r>
      <w:r w:rsidRPr="00630A55">
        <w:t xml:space="preserve">. The initial expenditure attributed to RPH in the GL was $818,256,560, after allowing for adjustments relating to </w:t>
      </w:r>
      <w:r w:rsidR="00494EEF">
        <w:t>recoupments</w:t>
      </w:r>
      <w:r w:rsidRPr="00630A55">
        <w:t xml:space="preserve">, shared services and COVID-19 an amount of $831,653,569 was transferred to the costing system for </w:t>
      </w:r>
      <w:r w:rsidR="00595A9F">
        <w:t>FY20/21</w:t>
      </w:r>
      <w:r w:rsidRPr="00630A55">
        <w:t>.</w:t>
      </w:r>
    </w:p>
    <w:p w14:paraId="747A79F0" w14:textId="77777777" w:rsidR="000242AC" w:rsidRPr="00630A55" w:rsidRDefault="000242AC" w:rsidP="00D87587">
      <w:pPr>
        <w:jc w:val="both"/>
      </w:pPr>
      <w:r w:rsidRPr="00630A55">
        <w:t>The total costs submitted to the jurisdiction for RPH as per the line items (per IHACPA standards) was $831,653,470. Adjustments made at the jurisdiction level for WIP, virtual patients, teaching and research, COVID-19 and unmatched costing records totalled $79,717,722 and were excluded from the NHCDC submission.</w:t>
      </w:r>
    </w:p>
    <w:p w14:paraId="19A4D683" w14:textId="6285401D" w:rsidR="000242AC" w:rsidRPr="00630A55" w:rsidRDefault="000242AC" w:rsidP="00D87587">
      <w:pPr>
        <w:jc w:val="both"/>
      </w:pPr>
      <w:r w:rsidRPr="00630A55">
        <w:t xml:space="preserve">The total costs submitted to IHACPA from the jurisdiction for </w:t>
      </w:r>
      <w:r w:rsidR="00710D0C">
        <w:t>RPH</w:t>
      </w:r>
      <w:r w:rsidRPr="00630A55">
        <w:t xml:space="preserve"> was $751,935,746 including the adjustments listed above. For further details on the costs and activity submitted for </w:t>
      </w:r>
      <w:r w:rsidR="00710D0C">
        <w:t>RPH</w:t>
      </w:r>
      <w:r w:rsidRPr="00630A55">
        <w:t xml:space="preserve"> </w:t>
      </w:r>
      <w:r>
        <w:t xml:space="preserve">see </w:t>
      </w:r>
      <w:r w:rsidR="008D6443">
        <w:fldChar w:fldCharType="begin"/>
      </w:r>
      <w:r w:rsidR="008D6443">
        <w:instrText xml:space="preserve"> REF _Ref114757463 \h </w:instrText>
      </w:r>
      <w:r w:rsidR="00D87587">
        <w:instrText xml:space="preserve"> \* MERGEFORMAT </w:instrText>
      </w:r>
      <w:r w:rsidR="008D6443">
        <w:fldChar w:fldCharType="separate"/>
      </w:r>
      <w:r w:rsidR="007E2ACB" w:rsidRPr="007E2ACB">
        <w:t xml:space="preserve">Table </w:t>
      </w:r>
      <w:r w:rsidR="007E2ACB" w:rsidRPr="007E2ACB">
        <w:rPr>
          <w:noProof/>
        </w:rPr>
        <w:t>30</w:t>
      </w:r>
      <w:r w:rsidR="008D6443">
        <w:fldChar w:fldCharType="end"/>
      </w:r>
      <w:r w:rsidRPr="00630A55">
        <w:t>.</w:t>
      </w:r>
    </w:p>
    <w:p w14:paraId="63C62FD6" w14:textId="77777777" w:rsidR="000242AC" w:rsidRPr="00A2296C" w:rsidRDefault="000242AC" w:rsidP="0008151F">
      <w:pPr>
        <w:pStyle w:val="Heading4"/>
      </w:pPr>
      <w:r w:rsidRPr="00630A55">
        <w:lastRenderedPageBreak/>
        <w:t>Child and Adolescent Health Service</w:t>
      </w:r>
      <w:r w:rsidRPr="00A2296C">
        <w:t xml:space="preserve"> – Perth Children’s Hospital</w:t>
      </w:r>
    </w:p>
    <w:p w14:paraId="45261330" w14:textId="4B2A6403" w:rsidR="000242AC" w:rsidRPr="00630A55" w:rsidRDefault="000242AC" w:rsidP="001C157C">
      <w:pPr>
        <w:pStyle w:val="BodyTextkeepwithnext"/>
        <w:keepLines/>
      </w:pPr>
      <w:r w:rsidRPr="00630A55">
        <w:t xml:space="preserve">The total GL expenditure for the CAHS was $833,058,580 as per the Audited Financial Statements. </w:t>
      </w:r>
      <w:r w:rsidR="00A05FCB">
        <w:t>A</w:t>
      </w:r>
      <w:r w:rsidRPr="00630A55">
        <w:t>djustments relating to services to other health services and recoup</w:t>
      </w:r>
      <w:r w:rsidR="00494EEF">
        <w:t>ment</w:t>
      </w:r>
      <w:r w:rsidRPr="00630A55">
        <w:t xml:space="preserve">s </w:t>
      </w:r>
      <w:r w:rsidR="00A05FCB">
        <w:t>were</w:t>
      </w:r>
      <w:r w:rsidRPr="00630A55">
        <w:t xml:space="preserve"> applied to arrive at an amount of $765,532,529 transferred to the costing system for </w:t>
      </w:r>
      <w:r w:rsidR="00595A9F">
        <w:t>FY20/21</w:t>
      </w:r>
      <w:r w:rsidRPr="00630A55">
        <w:t>. The GL expenditure for PCH was $590,816,725, after allowing for adjustments relating to shared services, community health and mental health</w:t>
      </w:r>
      <w:r w:rsidR="000027A7">
        <w:t>,</w:t>
      </w:r>
      <w:r w:rsidRPr="00630A55">
        <w:t xml:space="preserve"> the amount transferred to the costing system for </w:t>
      </w:r>
      <w:r w:rsidR="00595A9F">
        <w:t>FY20/21</w:t>
      </w:r>
      <w:r w:rsidRPr="00630A55">
        <w:t xml:space="preserve"> was $524,595,023.</w:t>
      </w:r>
    </w:p>
    <w:p w14:paraId="60BAE83C" w14:textId="3FF0D6D1" w:rsidR="000242AC" w:rsidRPr="00630A55" w:rsidRDefault="000242AC" w:rsidP="00D87587">
      <w:pPr>
        <w:jc w:val="both"/>
      </w:pPr>
      <w:r w:rsidRPr="00630A55">
        <w:t>The total costs submitted to the jurisdiction for PCH as per the line items (per IHACPA standards) was $524,594,999</w:t>
      </w:r>
      <w:r w:rsidR="000027A7">
        <w:t>, with</w:t>
      </w:r>
      <w:r w:rsidRPr="00630A55">
        <w:t xml:space="preserve"> a minor variance of $24 noted between the line items and product type tables. Adjustments made at the jurisdiction level for WIP, virtual patients, teaching and research and unmatched costing records totalled $43,785,253 and were excluded from the jurisdictions NHCDC submission to IHACPA.</w:t>
      </w:r>
    </w:p>
    <w:p w14:paraId="7D6C30CB" w14:textId="672889EB" w:rsidR="000242AC" w:rsidRPr="00630A55" w:rsidRDefault="000242AC" w:rsidP="00D87587">
      <w:pPr>
        <w:jc w:val="both"/>
      </w:pPr>
      <w:r w:rsidRPr="00630A55">
        <w:t xml:space="preserve">The total costs submitted to IHACPA from the jurisdiction for the </w:t>
      </w:r>
      <w:r w:rsidR="00710D0C">
        <w:t>PCH</w:t>
      </w:r>
      <w:r w:rsidRPr="00630A55">
        <w:t xml:space="preserve"> was $480,809,745 including the adjustments listed above. For further details on the costs and activity submitted for the </w:t>
      </w:r>
      <w:r w:rsidR="00710D0C">
        <w:t>PCH</w:t>
      </w:r>
      <w:r w:rsidRPr="00630A55">
        <w:t xml:space="preserve"> </w:t>
      </w:r>
      <w:r>
        <w:t xml:space="preserve">see </w:t>
      </w:r>
      <w:r w:rsidR="008D6443">
        <w:fldChar w:fldCharType="begin"/>
      </w:r>
      <w:r w:rsidR="008D6443">
        <w:instrText xml:space="preserve"> REF _Ref114757492 \h </w:instrText>
      </w:r>
      <w:r w:rsidR="00D87587">
        <w:instrText xml:space="preserve"> \* MERGEFORMAT </w:instrText>
      </w:r>
      <w:r w:rsidR="008D6443">
        <w:fldChar w:fldCharType="separate"/>
      </w:r>
      <w:r w:rsidR="007E2ACB" w:rsidRPr="007E2ACB">
        <w:t xml:space="preserve">Table </w:t>
      </w:r>
      <w:r w:rsidR="007E2ACB" w:rsidRPr="007E2ACB">
        <w:rPr>
          <w:noProof/>
        </w:rPr>
        <w:t>31</w:t>
      </w:r>
      <w:r w:rsidR="008D6443">
        <w:fldChar w:fldCharType="end"/>
      </w:r>
      <w:r w:rsidRPr="00630A55">
        <w:t>.</w:t>
      </w:r>
    </w:p>
    <w:p w14:paraId="3A98C446" w14:textId="592E747B" w:rsidR="000242AC" w:rsidRPr="00630A55" w:rsidRDefault="000242AC" w:rsidP="0008151F">
      <w:pPr>
        <w:pStyle w:val="Heading4"/>
      </w:pPr>
      <w:r w:rsidRPr="00630A55">
        <w:t xml:space="preserve">WA Country Health Service – Albany </w:t>
      </w:r>
      <w:r w:rsidR="009527C7">
        <w:t>H</w:t>
      </w:r>
      <w:r w:rsidRPr="00630A55">
        <w:t>ospital</w:t>
      </w:r>
    </w:p>
    <w:p w14:paraId="11AE73E5" w14:textId="4E9F355C" w:rsidR="000242AC" w:rsidRPr="00630A55" w:rsidRDefault="000242AC" w:rsidP="00D87587">
      <w:pPr>
        <w:jc w:val="both"/>
      </w:pPr>
      <w:r w:rsidRPr="00630A55">
        <w:t>Total expenditure, per the GL and consistent with the Audited Financial Statements, for WACHS was $2,078,365,934. There were adjustment</w:t>
      </w:r>
      <w:r w:rsidR="00E94D33">
        <w:t>s</w:t>
      </w:r>
      <w:r w:rsidRPr="00630A55">
        <w:t xml:space="preserve"> made relating to internal and external </w:t>
      </w:r>
      <w:r w:rsidR="00494EEF">
        <w:t>recoupments</w:t>
      </w:r>
      <w:r w:rsidRPr="00630A55">
        <w:t xml:space="preserve"> to arrive at an amount of $2,064,442,822 </w:t>
      </w:r>
      <w:r w:rsidR="001D4ACD">
        <w:t>that</w:t>
      </w:r>
      <w:r w:rsidRPr="00630A55">
        <w:t xml:space="preserve"> was transferred to the costing system for </w:t>
      </w:r>
      <w:r w:rsidR="00595A9F">
        <w:t>FY20/21</w:t>
      </w:r>
      <w:r w:rsidRPr="00630A55">
        <w:t xml:space="preserve">. The GL expenditure for </w:t>
      </w:r>
      <w:r w:rsidR="00710D0C">
        <w:t>AH</w:t>
      </w:r>
      <w:r w:rsidRPr="00630A55">
        <w:t xml:space="preserve"> was $146,978,495. The adjustments relating to </w:t>
      </w:r>
      <w:r w:rsidR="00494EEF">
        <w:t>recoupments</w:t>
      </w:r>
      <w:r w:rsidRPr="00630A55">
        <w:t xml:space="preserve">, non-hospital products and exclusions were applied at the Health Service level, i.e. not be broken down to </w:t>
      </w:r>
      <w:r w:rsidR="006B1642">
        <w:t>h</w:t>
      </w:r>
      <w:r w:rsidRPr="00630A55">
        <w:t>ospital level by WACHS.</w:t>
      </w:r>
    </w:p>
    <w:p w14:paraId="78CA3684" w14:textId="3A532B2C" w:rsidR="009C41D0" w:rsidRDefault="000242AC" w:rsidP="00D87587">
      <w:pPr>
        <w:jc w:val="both"/>
      </w:pPr>
      <w:r w:rsidRPr="00630A55">
        <w:t xml:space="preserve">The total costs submitted to the jurisdiction for </w:t>
      </w:r>
      <w:r w:rsidR="00710D0C">
        <w:t>AH</w:t>
      </w:r>
      <w:r w:rsidRPr="00630A55">
        <w:t>, as part of the total WAHCS submission, per the line items (per IHACPA standards) was $146,978,495. Adjustments made at the jurisdiction level for WIP, virtual patients, teaching and research and unmatched costing records totalled $7,198,481 and these were excluded from the final NHCDC submission to IHACPA.</w:t>
      </w:r>
      <w:r w:rsidR="004B1263">
        <w:t xml:space="preserve"> </w:t>
      </w:r>
      <w:r w:rsidRPr="00630A55">
        <w:t xml:space="preserve">The total costs submitted to IHACPA from the jurisdiction for </w:t>
      </w:r>
      <w:r w:rsidR="00710D0C">
        <w:t>AH</w:t>
      </w:r>
      <w:r w:rsidRPr="00630A55">
        <w:t xml:space="preserve"> was $139,780,015, reflecting the adjustments listed above. </w:t>
      </w:r>
    </w:p>
    <w:p w14:paraId="0C411CC3" w14:textId="27EA6480" w:rsidR="00FB0EB3" w:rsidRDefault="000242AC" w:rsidP="00D87587">
      <w:pPr>
        <w:jc w:val="both"/>
      </w:pPr>
      <w:r w:rsidRPr="00630A55">
        <w:t xml:space="preserve">For further details on the costs and activity submitted for </w:t>
      </w:r>
      <w:r w:rsidR="00710D0C">
        <w:t>AH</w:t>
      </w:r>
      <w:r w:rsidRPr="00630A55">
        <w:t xml:space="preserve"> </w:t>
      </w:r>
      <w:r>
        <w:t xml:space="preserve">see </w:t>
      </w:r>
      <w:r w:rsidR="008D6443">
        <w:fldChar w:fldCharType="begin"/>
      </w:r>
      <w:r w:rsidR="008D6443">
        <w:instrText xml:space="preserve"> REF _Ref114757501 \h </w:instrText>
      </w:r>
      <w:r w:rsidR="00D87587">
        <w:instrText xml:space="preserve"> \* MERGEFORMAT </w:instrText>
      </w:r>
      <w:r w:rsidR="008D6443">
        <w:fldChar w:fldCharType="separate"/>
      </w:r>
      <w:r w:rsidR="007E2ACB" w:rsidRPr="007E2ACB">
        <w:t xml:space="preserve">Table </w:t>
      </w:r>
      <w:r w:rsidR="007E2ACB" w:rsidRPr="007E2ACB">
        <w:rPr>
          <w:noProof/>
        </w:rPr>
        <w:t>32</w:t>
      </w:r>
      <w:r w:rsidR="008D6443">
        <w:fldChar w:fldCharType="end"/>
      </w:r>
      <w:r w:rsidRPr="00630A55">
        <w:t>.</w:t>
      </w:r>
    </w:p>
    <w:p w14:paraId="0FD3DC5A" w14:textId="77777777" w:rsidR="00FB0EB3" w:rsidRDefault="00FB0EB3">
      <w:pPr>
        <w:spacing w:before="0" w:after="160" w:line="259" w:lineRule="auto"/>
      </w:pPr>
      <w:r>
        <w:br w:type="page"/>
      </w:r>
    </w:p>
    <w:p w14:paraId="1A560CB6" w14:textId="77777777" w:rsidR="000242AC" w:rsidRPr="00630A55" w:rsidRDefault="000242AC" w:rsidP="000242AC"/>
    <w:p w14:paraId="2B81B015" w14:textId="559297CD" w:rsidR="000242AC" w:rsidRPr="00630A55" w:rsidRDefault="008D6443" w:rsidP="008D6443">
      <w:pPr>
        <w:pStyle w:val="Caption"/>
      </w:pPr>
      <w:bookmarkStart w:id="76" w:name="_Ref114757463"/>
      <w:r w:rsidRPr="00A8310C">
        <w:rPr>
          <w:b/>
          <w:bCs/>
        </w:rPr>
        <w:t xml:space="preserve">Table </w:t>
      </w:r>
      <w:r w:rsidR="00D91CB1" w:rsidRPr="00A8310C">
        <w:rPr>
          <w:b/>
          <w:bCs/>
        </w:rPr>
        <w:fldChar w:fldCharType="begin"/>
      </w:r>
      <w:r w:rsidR="00D91CB1" w:rsidRPr="00A8310C">
        <w:rPr>
          <w:b/>
          <w:bCs/>
        </w:rPr>
        <w:instrText xml:space="preserve"> SEQ Table \* ARABIC </w:instrText>
      </w:r>
      <w:r w:rsidR="00D91CB1" w:rsidRPr="00A8310C">
        <w:rPr>
          <w:b/>
          <w:bCs/>
        </w:rPr>
        <w:fldChar w:fldCharType="separate"/>
      </w:r>
      <w:r w:rsidR="007E2ACB">
        <w:rPr>
          <w:b/>
          <w:bCs/>
          <w:noProof/>
        </w:rPr>
        <w:t>30</w:t>
      </w:r>
      <w:r w:rsidR="00D91CB1" w:rsidRPr="00A8310C">
        <w:rPr>
          <w:b/>
          <w:bCs/>
          <w:noProof/>
        </w:rPr>
        <w:fldChar w:fldCharType="end"/>
      </w:r>
      <w:bookmarkEnd w:id="76"/>
      <w:r w:rsidRPr="00A8310C">
        <w:rPr>
          <w:b/>
          <w:bCs/>
        </w:rPr>
        <w:t>:</w:t>
      </w:r>
      <w:r w:rsidR="000242AC">
        <w:t xml:space="preserve"> </w:t>
      </w:r>
      <w:r w:rsidR="000242AC" w:rsidRPr="00630A55">
        <w:t xml:space="preserve">Reconciliation from General Ledger to NHCDC </w:t>
      </w:r>
      <w:r w:rsidR="00EF123A">
        <w:t>c</w:t>
      </w:r>
      <w:r w:rsidR="000242AC" w:rsidRPr="00630A55">
        <w:t xml:space="preserve">osted </w:t>
      </w:r>
      <w:r w:rsidR="00EF123A">
        <w:t>p</w:t>
      </w:r>
      <w:r w:rsidR="000242AC" w:rsidRPr="00630A55">
        <w:t xml:space="preserve">roducts – </w:t>
      </w:r>
      <w:r w:rsidR="00EF123A">
        <w:t>Western Australia (</w:t>
      </w:r>
      <w:r w:rsidR="000242AC" w:rsidRPr="00630A55">
        <w:t>East Metropolitan Health Service</w:t>
      </w:r>
      <w:r w:rsidR="00EF123A">
        <w:t>)</w:t>
      </w:r>
    </w:p>
    <w:tbl>
      <w:tblPr>
        <w:tblW w:w="9052" w:type="dxa"/>
        <w:tblBorders>
          <w:top w:val="single" w:sz="12" w:space="0" w:color="auto"/>
          <w:left w:val="single" w:sz="12" w:space="0" w:color="auto"/>
          <w:bottom w:val="single" w:sz="12" w:space="0" w:color="auto"/>
          <w:right w:val="single" w:sz="12" w:space="0" w:color="auto"/>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81"/>
        <w:gridCol w:w="6792"/>
        <w:gridCol w:w="1979"/>
      </w:tblGrid>
      <w:tr w:rsidR="000242AC" w:rsidRPr="00630A55" w14:paraId="0F1FB94A" w14:textId="77777777" w:rsidTr="00D87587">
        <w:trPr>
          <w:trHeight w:val="258"/>
          <w:tblHeader/>
        </w:trPr>
        <w:tc>
          <w:tcPr>
            <w:tcW w:w="7073" w:type="dxa"/>
            <w:gridSpan w:val="2"/>
            <w:tcBorders>
              <w:top w:val="single" w:sz="4" w:space="0" w:color="auto"/>
              <w:left w:val="single" w:sz="4" w:space="0" w:color="auto"/>
              <w:bottom w:val="single" w:sz="12" w:space="0" w:color="auto"/>
              <w:right w:val="single" w:sz="4" w:space="0" w:color="auto"/>
            </w:tcBorders>
            <w:shd w:val="clear" w:color="000000" w:fill="00338D"/>
            <w:noWrap/>
            <w:vAlign w:val="center"/>
            <w:hideMark/>
          </w:tcPr>
          <w:p w14:paraId="294CDB77" w14:textId="29566364" w:rsidR="000242AC" w:rsidRPr="00630A55" w:rsidRDefault="000242AC" w:rsidP="009527C7">
            <w:pPr>
              <w:pStyle w:val="Tableheading"/>
              <w:rPr>
                <w:lang w:eastAsia="en-AU"/>
              </w:rPr>
            </w:pPr>
            <w:r w:rsidRPr="00630A55">
              <w:rPr>
                <w:lang w:eastAsia="en-AU"/>
              </w:rPr>
              <w:t xml:space="preserve">HSP level </w:t>
            </w:r>
            <w:r w:rsidR="00EF123A">
              <w:rPr>
                <w:lang w:eastAsia="en-AU"/>
              </w:rPr>
              <w:t>d</w:t>
            </w:r>
            <w:r w:rsidRPr="00630A55">
              <w:rPr>
                <w:lang w:eastAsia="en-AU"/>
              </w:rPr>
              <w:t>ata (EMHS)</w:t>
            </w:r>
          </w:p>
        </w:tc>
        <w:tc>
          <w:tcPr>
            <w:tcW w:w="1979" w:type="dxa"/>
            <w:tcBorders>
              <w:top w:val="single" w:sz="4" w:space="0" w:color="auto"/>
              <w:left w:val="single" w:sz="4" w:space="0" w:color="auto"/>
              <w:bottom w:val="single" w:sz="12" w:space="0" w:color="auto"/>
              <w:right w:val="single" w:sz="4" w:space="0" w:color="auto"/>
            </w:tcBorders>
            <w:shd w:val="clear" w:color="000000" w:fill="00338D"/>
            <w:noWrap/>
            <w:vAlign w:val="center"/>
            <w:hideMark/>
          </w:tcPr>
          <w:p w14:paraId="048C22CD" w14:textId="1DFD65B5" w:rsidR="000242AC" w:rsidRPr="00630A55" w:rsidRDefault="000242AC" w:rsidP="009527C7">
            <w:pPr>
              <w:pStyle w:val="Tableheading"/>
              <w:rPr>
                <w:color w:val="FFFFFF"/>
                <w:lang w:eastAsia="en-AU"/>
              </w:rPr>
            </w:pPr>
            <w:r w:rsidRPr="00630A55">
              <w:rPr>
                <w:lang w:eastAsia="en-AU"/>
              </w:rPr>
              <w:t> </w:t>
            </w:r>
            <w:r w:rsidR="003758E1">
              <w:rPr>
                <w:lang w:eastAsia="en-AU"/>
              </w:rPr>
              <w:t>Value</w:t>
            </w:r>
          </w:p>
        </w:tc>
      </w:tr>
      <w:tr w:rsidR="000242AC" w:rsidRPr="00630A55" w14:paraId="5259FF14" w14:textId="77777777" w:rsidTr="00D87587">
        <w:trPr>
          <w:trHeight w:val="248"/>
        </w:trPr>
        <w:tc>
          <w:tcPr>
            <w:tcW w:w="7073" w:type="dxa"/>
            <w:gridSpan w:val="2"/>
            <w:tcBorders>
              <w:top w:val="single" w:sz="12" w:space="0" w:color="auto"/>
              <w:left w:val="single" w:sz="4" w:space="0" w:color="auto"/>
              <w:right w:val="single" w:sz="4" w:space="0" w:color="auto"/>
            </w:tcBorders>
            <w:shd w:val="clear" w:color="auto" w:fill="808080"/>
            <w:noWrap/>
            <w:vAlign w:val="center"/>
            <w:hideMark/>
          </w:tcPr>
          <w:p w14:paraId="4F1402CE" w14:textId="77777777" w:rsidR="000242AC" w:rsidRPr="00467F5A" w:rsidRDefault="000242AC" w:rsidP="009527C7">
            <w:pPr>
              <w:pStyle w:val="Tableheading"/>
              <w:rPr>
                <w:rFonts w:ascii="Arial" w:hAnsi="Arial" w:cs="Arial"/>
                <w:b w:val="0"/>
                <w:bCs/>
                <w:color w:val="000000" w:themeColor="text1"/>
                <w:lang w:eastAsia="en-AU"/>
              </w:rPr>
            </w:pPr>
            <w:r w:rsidRPr="00467F5A">
              <w:rPr>
                <w:rFonts w:ascii="Arial" w:hAnsi="Arial" w:cs="Arial"/>
                <w:b w:val="0"/>
                <w:bCs/>
                <w:color w:val="000000" w:themeColor="text1"/>
                <w:lang w:eastAsia="en-AU"/>
              </w:rPr>
              <w:t>HSP</w:t>
            </w:r>
            <w:r w:rsidRPr="00467F5A">
              <w:rPr>
                <w:rFonts w:ascii="Arial" w:eastAsia="Times New Roman" w:hAnsi="Arial" w:cs="Arial"/>
                <w:b w:val="0"/>
                <w:bCs/>
                <w:color w:val="000000" w:themeColor="text1"/>
                <w:lang w:eastAsia="en-AU"/>
              </w:rPr>
              <w:t xml:space="preserve"> General Ledger (EMHS)</w:t>
            </w:r>
          </w:p>
        </w:tc>
        <w:tc>
          <w:tcPr>
            <w:tcW w:w="1979" w:type="dxa"/>
            <w:tcBorders>
              <w:top w:val="single" w:sz="12" w:space="0" w:color="auto"/>
              <w:left w:val="single" w:sz="4" w:space="0" w:color="auto"/>
              <w:right w:val="single" w:sz="4" w:space="0" w:color="auto"/>
            </w:tcBorders>
            <w:shd w:val="clear" w:color="auto" w:fill="808080"/>
            <w:noWrap/>
            <w:vAlign w:val="center"/>
            <w:hideMark/>
          </w:tcPr>
          <w:p w14:paraId="4DBC7825" w14:textId="7E29BEC8" w:rsidR="000242AC" w:rsidRPr="00467F5A" w:rsidRDefault="000242AC" w:rsidP="009527C7">
            <w:pPr>
              <w:pStyle w:val="Tableheading"/>
              <w:rPr>
                <w:rFonts w:ascii="Arial" w:hAnsi="Arial" w:cs="Arial"/>
                <w:b w:val="0"/>
                <w:bCs/>
                <w:color w:val="000000" w:themeColor="text1"/>
                <w:lang w:eastAsia="en-AU"/>
              </w:rPr>
            </w:pPr>
          </w:p>
        </w:tc>
      </w:tr>
      <w:tr w:rsidR="000242AC" w:rsidRPr="00630A55" w14:paraId="314EF2E0" w14:textId="77777777" w:rsidTr="00D87587">
        <w:trPr>
          <w:trHeight w:val="258"/>
        </w:trPr>
        <w:tc>
          <w:tcPr>
            <w:tcW w:w="7073" w:type="dxa"/>
            <w:gridSpan w:val="2"/>
            <w:tcBorders>
              <w:left w:val="single" w:sz="4" w:space="0" w:color="auto"/>
              <w:right w:val="single" w:sz="4" w:space="0" w:color="auto"/>
            </w:tcBorders>
            <w:shd w:val="clear" w:color="000000" w:fill="FFFFFF"/>
            <w:noWrap/>
            <w:vAlign w:val="center"/>
            <w:hideMark/>
          </w:tcPr>
          <w:p w14:paraId="619B81B9" w14:textId="72D24425" w:rsidR="000242AC" w:rsidRPr="00630A55" w:rsidRDefault="000242AC" w:rsidP="009527C7">
            <w:pPr>
              <w:pStyle w:val="Tabletext"/>
              <w:rPr>
                <w:color w:val="000000"/>
                <w:lang w:eastAsia="en-AU"/>
              </w:rPr>
            </w:pPr>
            <w:r w:rsidRPr="00630A55">
              <w:rPr>
                <w:lang w:eastAsia="en-AU"/>
              </w:rPr>
              <w:t xml:space="preserve">Transferred to </w:t>
            </w:r>
            <w:r w:rsidR="00EF123A">
              <w:rPr>
                <w:lang w:eastAsia="en-AU"/>
              </w:rPr>
              <w:t>c</w:t>
            </w:r>
            <w:r w:rsidRPr="00630A55">
              <w:rPr>
                <w:lang w:eastAsia="en-AU"/>
              </w:rPr>
              <w:t xml:space="preserve">osting </w:t>
            </w:r>
            <w:r w:rsidR="00EF123A">
              <w:rPr>
                <w:lang w:eastAsia="en-AU"/>
              </w:rPr>
              <w:t>s</w:t>
            </w:r>
            <w:r w:rsidRPr="00630A55">
              <w:rPr>
                <w:lang w:eastAsia="en-AU"/>
              </w:rPr>
              <w:t xml:space="preserve">ystem </w:t>
            </w:r>
          </w:p>
        </w:tc>
        <w:tc>
          <w:tcPr>
            <w:tcW w:w="1979" w:type="dxa"/>
            <w:tcBorders>
              <w:left w:val="single" w:sz="4" w:space="0" w:color="auto"/>
              <w:right w:val="single" w:sz="4" w:space="0" w:color="auto"/>
            </w:tcBorders>
            <w:shd w:val="clear" w:color="auto" w:fill="auto"/>
            <w:noWrap/>
            <w:vAlign w:val="bottom"/>
            <w:hideMark/>
          </w:tcPr>
          <w:p w14:paraId="25CC7FC8" w14:textId="77777777" w:rsidR="000242AC" w:rsidRPr="00630A55" w:rsidRDefault="000242AC" w:rsidP="009527C7">
            <w:pPr>
              <w:pStyle w:val="TableTextNumber"/>
            </w:pPr>
            <w:r w:rsidRPr="00630A55">
              <w:t>$1,708,162,351</w:t>
            </w:r>
          </w:p>
        </w:tc>
      </w:tr>
      <w:tr w:rsidR="000242AC" w:rsidRPr="00630A55" w14:paraId="54C147FC" w14:textId="77777777" w:rsidTr="00D87587">
        <w:trPr>
          <w:trHeight w:val="258"/>
        </w:trPr>
        <w:tc>
          <w:tcPr>
            <w:tcW w:w="7073" w:type="dxa"/>
            <w:gridSpan w:val="2"/>
            <w:tcBorders>
              <w:left w:val="single" w:sz="4" w:space="0" w:color="auto"/>
              <w:right w:val="single" w:sz="4" w:space="0" w:color="auto"/>
            </w:tcBorders>
            <w:shd w:val="clear" w:color="000000" w:fill="FFFFFF"/>
            <w:noWrap/>
            <w:vAlign w:val="center"/>
            <w:hideMark/>
          </w:tcPr>
          <w:p w14:paraId="3CC83F56" w14:textId="1EC50BA4" w:rsidR="000242AC" w:rsidRPr="00630A55" w:rsidRDefault="000242AC" w:rsidP="009527C7">
            <w:pPr>
              <w:pStyle w:val="Tabletext"/>
              <w:rPr>
                <w:color w:val="000000"/>
                <w:lang w:eastAsia="en-AU"/>
              </w:rPr>
            </w:pPr>
            <w:r w:rsidRPr="00630A55">
              <w:rPr>
                <w:lang w:eastAsia="en-AU"/>
              </w:rPr>
              <w:t xml:space="preserve">Post </w:t>
            </w:r>
            <w:r w:rsidR="00EF123A">
              <w:rPr>
                <w:lang w:eastAsia="en-AU"/>
              </w:rPr>
              <w:t>a</w:t>
            </w:r>
            <w:r w:rsidRPr="00630A55">
              <w:rPr>
                <w:lang w:eastAsia="en-AU"/>
              </w:rPr>
              <w:t xml:space="preserve">llocation </w:t>
            </w:r>
            <w:r w:rsidR="00EF123A">
              <w:rPr>
                <w:lang w:eastAsia="en-AU"/>
              </w:rPr>
              <w:t>a</w:t>
            </w:r>
            <w:r w:rsidRPr="00630A55">
              <w:rPr>
                <w:lang w:eastAsia="en-AU"/>
              </w:rPr>
              <w:t xml:space="preserve">mounts </w:t>
            </w:r>
          </w:p>
        </w:tc>
        <w:tc>
          <w:tcPr>
            <w:tcW w:w="1979" w:type="dxa"/>
            <w:tcBorders>
              <w:left w:val="single" w:sz="4" w:space="0" w:color="auto"/>
              <w:right w:val="single" w:sz="4" w:space="0" w:color="auto"/>
            </w:tcBorders>
            <w:shd w:val="clear" w:color="auto" w:fill="auto"/>
            <w:noWrap/>
            <w:vAlign w:val="bottom"/>
            <w:hideMark/>
          </w:tcPr>
          <w:p w14:paraId="6932966A" w14:textId="77777777" w:rsidR="000242AC" w:rsidRPr="00630A55" w:rsidRDefault="000242AC" w:rsidP="009527C7">
            <w:pPr>
              <w:pStyle w:val="TableTextNumber"/>
            </w:pPr>
            <w:r w:rsidRPr="00630A55">
              <w:t>$1,708,162,351</w:t>
            </w:r>
          </w:p>
        </w:tc>
      </w:tr>
      <w:tr w:rsidR="000242AC" w:rsidRPr="00630A55" w14:paraId="0F24EC3F" w14:textId="77777777" w:rsidTr="00D87587">
        <w:trPr>
          <w:trHeight w:val="258"/>
        </w:trPr>
        <w:tc>
          <w:tcPr>
            <w:tcW w:w="7073" w:type="dxa"/>
            <w:gridSpan w:val="2"/>
            <w:tcBorders>
              <w:left w:val="single" w:sz="4" w:space="0" w:color="auto"/>
              <w:right w:val="single" w:sz="4" w:space="0" w:color="auto"/>
            </w:tcBorders>
            <w:shd w:val="clear" w:color="000000" w:fill="FFFFFF"/>
            <w:noWrap/>
            <w:vAlign w:val="center"/>
            <w:hideMark/>
          </w:tcPr>
          <w:p w14:paraId="15F36278" w14:textId="77777777" w:rsidR="000242AC" w:rsidRPr="00630A55" w:rsidRDefault="000242AC" w:rsidP="009527C7">
            <w:pPr>
              <w:pStyle w:val="Tabletext"/>
              <w:rPr>
                <w:color w:val="000000"/>
                <w:lang w:eastAsia="en-AU"/>
              </w:rPr>
            </w:pPr>
            <w:r w:rsidRPr="00630A55">
              <w:rPr>
                <w:lang w:eastAsia="en-AU"/>
              </w:rPr>
              <w:t>Adjustments</w:t>
            </w:r>
          </w:p>
        </w:tc>
        <w:tc>
          <w:tcPr>
            <w:tcW w:w="1979" w:type="dxa"/>
            <w:tcBorders>
              <w:left w:val="single" w:sz="4" w:space="0" w:color="auto"/>
              <w:right w:val="single" w:sz="4" w:space="0" w:color="auto"/>
            </w:tcBorders>
            <w:shd w:val="clear" w:color="auto" w:fill="auto"/>
            <w:noWrap/>
            <w:vAlign w:val="bottom"/>
            <w:hideMark/>
          </w:tcPr>
          <w:p w14:paraId="351559DB" w14:textId="77777777" w:rsidR="000242AC" w:rsidRPr="00630A55" w:rsidRDefault="000242AC" w:rsidP="009527C7">
            <w:pPr>
              <w:pStyle w:val="TableTextNumber"/>
              <w:rPr>
                <w:color w:val="000000"/>
              </w:rPr>
            </w:pPr>
            <w:r w:rsidRPr="00630A55">
              <w:t>($452,610,063)</w:t>
            </w:r>
          </w:p>
        </w:tc>
      </w:tr>
      <w:tr w:rsidR="000242AC" w:rsidRPr="00630A55" w14:paraId="2F17A70D" w14:textId="77777777" w:rsidTr="00D87587">
        <w:trPr>
          <w:trHeight w:val="258"/>
        </w:trPr>
        <w:tc>
          <w:tcPr>
            <w:tcW w:w="7073" w:type="dxa"/>
            <w:gridSpan w:val="2"/>
            <w:tcBorders>
              <w:left w:val="single" w:sz="4" w:space="0" w:color="auto"/>
              <w:right w:val="single" w:sz="4" w:space="0" w:color="auto"/>
            </w:tcBorders>
            <w:shd w:val="clear" w:color="000000" w:fill="FFFFFF"/>
            <w:noWrap/>
            <w:vAlign w:val="center"/>
            <w:hideMark/>
          </w:tcPr>
          <w:p w14:paraId="1687DD85" w14:textId="77777777" w:rsidR="000242AC" w:rsidRPr="00630A55" w:rsidRDefault="000242AC" w:rsidP="009527C7">
            <w:pPr>
              <w:pStyle w:val="Tabletext"/>
              <w:rPr>
                <w:color w:val="000000"/>
                <w:lang w:eastAsia="en-AU"/>
              </w:rPr>
            </w:pPr>
            <w:r w:rsidRPr="00630A55">
              <w:rPr>
                <w:lang w:eastAsia="en-AU"/>
              </w:rPr>
              <w:t xml:space="preserve">Line items as per standards </w:t>
            </w:r>
          </w:p>
        </w:tc>
        <w:tc>
          <w:tcPr>
            <w:tcW w:w="1979" w:type="dxa"/>
            <w:tcBorders>
              <w:left w:val="single" w:sz="4" w:space="0" w:color="auto"/>
              <w:right w:val="single" w:sz="4" w:space="0" w:color="auto"/>
            </w:tcBorders>
            <w:shd w:val="clear" w:color="auto" w:fill="auto"/>
            <w:noWrap/>
            <w:vAlign w:val="bottom"/>
            <w:hideMark/>
          </w:tcPr>
          <w:p w14:paraId="7549E65E" w14:textId="77777777" w:rsidR="000242AC" w:rsidRPr="00630A55" w:rsidRDefault="000242AC" w:rsidP="009527C7">
            <w:pPr>
              <w:pStyle w:val="TableTextNumber"/>
            </w:pPr>
            <w:r w:rsidRPr="00630A55">
              <w:t>$1,255,552,288</w:t>
            </w:r>
          </w:p>
        </w:tc>
      </w:tr>
      <w:tr w:rsidR="000242AC" w:rsidRPr="00630A55" w14:paraId="4D39728C" w14:textId="77777777" w:rsidTr="00D87587">
        <w:trPr>
          <w:trHeight w:val="258"/>
        </w:trPr>
        <w:tc>
          <w:tcPr>
            <w:tcW w:w="7073" w:type="dxa"/>
            <w:gridSpan w:val="2"/>
            <w:tcBorders>
              <w:left w:val="single" w:sz="4" w:space="0" w:color="auto"/>
              <w:bottom w:val="single" w:sz="12" w:space="0" w:color="auto"/>
              <w:right w:val="single" w:sz="4" w:space="0" w:color="auto"/>
            </w:tcBorders>
            <w:shd w:val="clear" w:color="000000" w:fill="FFFFFF"/>
            <w:noWrap/>
            <w:vAlign w:val="center"/>
            <w:hideMark/>
          </w:tcPr>
          <w:p w14:paraId="39705DC9" w14:textId="42975549" w:rsidR="000242AC" w:rsidRPr="00630A55" w:rsidRDefault="000242AC" w:rsidP="009527C7">
            <w:pPr>
              <w:pStyle w:val="Tabletext"/>
              <w:rPr>
                <w:color w:val="000000"/>
                <w:lang w:eastAsia="en-AU"/>
              </w:rPr>
            </w:pPr>
            <w:r w:rsidRPr="00630A55">
              <w:rPr>
                <w:lang w:eastAsia="en-AU"/>
              </w:rPr>
              <w:t xml:space="preserve">Costs </w:t>
            </w:r>
            <w:r w:rsidR="00EF123A">
              <w:rPr>
                <w:lang w:eastAsia="en-AU"/>
              </w:rPr>
              <w:t>s</w:t>
            </w:r>
            <w:r w:rsidRPr="00630A55">
              <w:rPr>
                <w:lang w:eastAsia="en-AU"/>
              </w:rPr>
              <w:t xml:space="preserve">ubmitted to </w:t>
            </w:r>
            <w:r w:rsidR="00EF123A">
              <w:rPr>
                <w:lang w:eastAsia="en-AU"/>
              </w:rPr>
              <w:t>j</w:t>
            </w:r>
            <w:r w:rsidRPr="00630A55">
              <w:rPr>
                <w:lang w:eastAsia="en-AU"/>
              </w:rPr>
              <w:t xml:space="preserve">urisdiction </w:t>
            </w:r>
          </w:p>
        </w:tc>
        <w:tc>
          <w:tcPr>
            <w:tcW w:w="1979" w:type="dxa"/>
            <w:tcBorders>
              <w:left w:val="single" w:sz="4" w:space="0" w:color="auto"/>
              <w:bottom w:val="single" w:sz="12" w:space="0" w:color="auto"/>
              <w:right w:val="single" w:sz="4" w:space="0" w:color="auto"/>
            </w:tcBorders>
            <w:shd w:val="clear" w:color="auto" w:fill="auto"/>
            <w:noWrap/>
            <w:vAlign w:val="bottom"/>
            <w:hideMark/>
          </w:tcPr>
          <w:p w14:paraId="26CACD79" w14:textId="77777777" w:rsidR="000242AC" w:rsidRPr="00630A55" w:rsidRDefault="000242AC" w:rsidP="009527C7">
            <w:pPr>
              <w:pStyle w:val="TableTextNumber"/>
            </w:pPr>
            <w:r w:rsidRPr="00630A55">
              <w:t>$1,255,552,288</w:t>
            </w:r>
          </w:p>
        </w:tc>
      </w:tr>
      <w:tr w:rsidR="000242AC" w:rsidRPr="00630A55" w14:paraId="2CBE7D81" w14:textId="77777777" w:rsidTr="00D87587">
        <w:trPr>
          <w:trHeight w:val="258"/>
        </w:trPr>
        <w:tc>
          <w:tcPr>
            <w:tcW w:w="7073" w:type="dxa"/>
            <w:gridSpan w:val="2"/>
            <w:tcBorders>
              <w:top w:val="single" w:sz="12" w:space="0" w:color="auto"/>
              <w:left w:val="single" w:sz="4" w:space="0" w:color="auto"/>
              <w:bottom w:val="single" w:sz="12" w:space="0" w:color="auto"/>
              <w:right w:val="single" w:sz="4" w:space="0" w:color="auto"/>
            </w:tcBorders>
            <w:shd w:val="clear" w:color="000000" w:fill="00338D"/>
            <w:noWrap/>
            <w:vAlign w:val="center"/>
            <w:hideMark/>
          </w:tcPr>
          <w:p w14:paraId="2FEC4BAA" w14:textId="66C9AB8D" w:rsidR="000242AC" w:rsidRPr="00630A55" w:rsidRDefault="000242AC" w:rsidP="009527C7">
            <w:pPr>
              <w:pStyle w:val="Tableheading"/>
              <w:rPr>
                <w:color w:val="FFFFFF"/>
                <w:lang w:eastAsia="en-AU"/>
              </w:rPr>
            </w:pPr>
            <w:r w:rsidRPr="00630A55">
              <w:rPr>
                <w:lang w:eastAsia="en-AU"/>
              </w:rPr>
              <w:t xml:space="preserve">Hospital level </w:t>
            </w:r>
            <w:r w:rsidR="00EF123A">
              <w:rPr>
                <w:lang w:eastAsia="en-AU"/>
              </w:rPr>
              <w:t>d</w:t>
            </w:r>
            <w:r w:rsidRPr="00630A55">
              <w:rPr>
                <w:lang w:eastAsia="en-AU"/>
              </w:rPr>
              <w:t>ata (RPH)</w:t>
            </w:r>
          </w:p>
        </w:tc>
        <w:tc>
          <w:tcPr>
            <w:tcW w:w="1979" w:type="dxa"/>
            <w:tcBorders>
              <w:top w:val="single" w:sz="12" w:space="0" w:color="auto"/>
              <w:left w:val="single" w:sz="4" w:space="0" w:color="auto"/>
              <w:bottom w:val="single" w:sz="12" w:space="0" w:color="auto"/>
              <w:right w:val="single" w:sz="4" w:space="0" w:color="auto"/>
            </w:tcBorders>
            <w:shd w:val="clear" w:color="000000" w:fill="00338D"/>
            <w:noWrap/>
            <w:vAlign w:val="center"/>
            <w:hideMark/>
          </w:tcPr>
          <w:p w14:paraId="171F7454" w14:textId="4BB40480" w:rsidR="000242AC" w:rsidRPr="00630A55" w:rsidRDefault="000242AC" w:rsidP="009527C7">
            <w:pPr>
              <w:pStyle w:val="Tableheading"/>
              <w:rPr>
                <w:color w:val="FFFFFF"/>
                <w:lang w:eastAsia="en-AU"/>
              </w:rPr>
            </w:pPr>
            <w:r w:rsidRPr="00630A55">
              <w:rPr>
                <w:lang w:eastAsia="en-AU"/>
              </w:rPr>
              <w:t> </w:t>
            </w:r>
            <w:r w:rsidR="00467F5A">
              <w:rPr>
                <w:lang w:eastAsia="en-AU"/>
              </w:rPr>
              <w:t>Value</w:t>
            </w:r>
          </w:p>
        </w:tc>
      </w:tr>
      <w:tr w:rsidR="000242AC" w:rsidRPr="00630A55" w14:paraId="36E2AB89" w14:textId="77777777" w:rsidTr="00D87587">
        <w:trPr>
          <w:trHeight w:val="258"/>
        </w:trPr>
        <w:tc>
          <w:tcPr>
            <w:tcW w:w="7073" w:type="dxa"/>
            <w:gridSpan w:val="2"/>
            <w:tcBorders>
              <w:left w:val="single" w:sz="4" w:space="0" w:color="auto"/>
              <w:right w:val="single" w:sz="4" w:space="0" w:color="auto"/>
            </w:tcBorders>
            <w:shd w:val="clear" w:color="000000" w:fill="FFFFFF"/>
            <w:noWrap/>
            <w:vAlign w:val="center"/>
            <w:hideMark/>
          </w:tcPr>
          <w:p w14:paraId="22E1802D" w14:textId="426FE0CF" w:rsidR="000242AC" w:rsidRPr="00630A55" w:rsidRDefault="000242AC" w:rsidP="009527C7">
            <w:pPr>
              <w:pStyle w:val="Tabletext"/>
              <w:rPr>
                <w:color w:val="000000"/>
                <w:lang w:eastAsia="en-AU"/>
              </w:rPr>
            </w:pPr>
            <w:r w:rsidRPr="00630A55">
              <w:rPr>
                <w:lang w:eastAsia="en-AU"/>
              </w:rPr>
              <w:t xml:space="preserve">GL transferred to </w:t>
            </w:r>
            <w:r w:rsidR="00EF123A">
              <w:rPr>
                <w:lang w:eastAsia="en-AU"/>
              </w:rPr>
              <w:t>c</w:t>
            </w:r>
            <w:r w:rsidRPr="00630A55">
              <w:rPr>
                <w:lang w:eastAsia="en-AU"/>
              </w:rPr>
              <w:t xml:space="preserve">osting </w:t>
            </w:r>
            <w:r w:rsidR="00EF123A">
              <w:rPr>
                <w:lang w:eastAsia="en-AU"/>
              </w:rPr>
              <w:t>s</w:t>
            </w:r>
            <w:r w:rsidRPr="00630A55">
              <w:rPr>
                <w:lang w:eastAsia="en-AU"/>
              </w:rPr>
              <w:t xml:space="preserve">ystem </w:t>
            </w:r>
          </w:p>
        </w:tc>
        <w:tc>
          <w:tcPr>
            <w:tcW w:w="1979" w:type="dxa"/>
            <w:tcBorders>
              <w:left w:val="single" w:sz="4" w:space="0" w:color="auto"/>
              <w:right w:val="single" w:sz="4" w:space="0" w:color="auto"/>
            </w:tcBorders>
            <w:shd w:val="clear" w:color="auto" w:fill="auto"/>
            <w:noWrap/>
            <w:vAlign w:val="center"/>
            <w:hideMark/>
          </w:tcPr>
          <w:p w14:paraId="3FFF0EAC" w14:textId="77777777" w:rsidR="000242AC" w:rsidRPr="00630A55" w:rsidRDefault="000242AC" w:rsidP="009527C7">
            <w:pPr>
              <w:pStyle w:val="TableTextNumber"/>
            </w:pPr>
            <w:r w:rsidRPr="00630A55">
              <w:t>$818,256,560</w:t>
            </w:r>
          </w:p>
        </w:tc>
      </w:tr>
      <w:tr w:rsidR="000242AC" w:rsidRPr="00630A55" w14:paraId="56878606" w14:textId="77777777" w:rsidTr="00D87587">
        <w:trPr>
          <w:trHeight w:val="258"/>
        </w:trPr>
        <w:tc>
          <w:tcPr>
            <w:tcW w:w="7073" w:type="dxa"/>
            <w:gridSpan w:val="2"/>
            <w:tcBorders>
              <w:left w:val="single" w:sz="4" w:space="0" w:color="auto"/>
              <w:right w:val="single" w:sz="4" w:space="0" w:color="auto"/>
            </w:tcBorders>
            <w:shd w:val="clear" w:color="000000" w:fill="FFFFFF"/>
            <w:noWrap/>
            <w:vAlign w:val="center"/>
            <w:hideMark/>
          </w:tcPr>
          <w:p w14:paraId="30DB7273" w14:textId="77777777" w:rsidR="000242AC" w:rsidRPr="00630A55" w:rsidRDefault="000242AC" w:rsidP="009527C7">
            <w:pPr>
              <w:pStyle w:val="Tabletext"/>
              <w:rPr>
                <w:color w:val="000000"/>
                <w:lang w:eastAsia="en-AU"/>
              </w:rPr>
            </w:pPr>
            <w:r w:rsidRPr="00630A55">
              <w:rPr>
                <w:lang w:eastAsia="en-AU"/>
              </w:rPr>
              <w:t xml:space="preserve">Adjustments </w:t>
            </w:r>
          </w:p>
        </w:tc>
        <w:tc>
          <w:tcPr>
            <w:tcW w:w="1979" w:type="dxa"/>
            <w:tcBorders>
              <w:left w:val="single" w:sz="4" w:space="0" w:color="auto"/>
              <w:right w:val="single" w:sz="4" w:space="0" w:color="auto"/>
            </w:tcBorders>
            <w:shd w:val="clear" w:color="auto" w:fill="auto"/>
            <w:noWrap/>
            <w:vAlign w:val="center"/>
            <w:hideMark/>
          </w:tcPr>
          <w:p w14:paraId="6DC26AC9" w14:textId="77777777" w:rsidR="000242AC" w:rsidRPr="00630A55" w:rsidRDefault="000242AC" w:rsidP="009527C7">
            <w:pPr>
              <w:pStyle w:val="TableTextNumber"/>
              <w:rPr>
                <w:color w:val="000000"/>
              </w:rPr>
            </w:pPr>
            <w:r w:rsidRPr="00630A55">
              <w:t>$13,397,009</w:t>
            </w:r>
          </w:p>
        </w:tc>
      </w:tr>
      <w:tr w:rsidR="000242AC" w:rsidRPr="00630A55" w14:paraId="5D8D301C" w14:textId="77777777" w:rsidTr="00D87587">
        <w:trPr>
          <w:trHeight w:val="258"/>
        </w:trPr>
        <w:tc>
          <w:tcPr>
            <w:tcW w:w="7073" w:type="dxa"/>
            <w:gridSpan w:val="2"/>
            <w:tcBorders>
              <w:left w:val="single" w:sz="4" w:space="0" w:color="auto"/>
              <w:right w:val="single" w:sz="4" w:space="0" w:color="auto"/>
            </w:tcBorders>
            <w:shd w:val="clear" w:color="000000" w:fill="FFFFFF"/>
            <w:noWrap/>
            <w:vAlign w:val="center"/>
            <w:hideMark/>
          </w:tcPr>
          <w:p w14:paraId="282D6853" w14:textId="03FB1CA0" w:rsidR="000242AC" w:rsidRPr="00630A55" w:rsidRDefault="000242AC" w:rsidP="00710D0C">
            <w:pPr>
              <w:pStyle w:val="Tabletext"/>
              <w:rPr>
                <w:color w:val="000000"/>
                <w:lang w:eastAsia="en-AU"/>
              </w:rPr>
            </w:pPr>
            <w:r w:rsidRPr="00630A55">
              <w:rPr>
                <w:lang w:eastAsia="en-AU"/>
              </w:rPr>
              <w:t xml:space="preserve">Post </w:t>
            </w:r>
            <w:r w:rsidR="00EF123A">
              <w:rPr>
                <w:lang w:eastAsia="en-AU"/>
              </w:rPr>
              <w:t>a</w:t>
            </w:r>
            <w:r w:rsidRPr="00630A55">
              <w:rPr>
                <w:lang w:eastAsia="en-AU"/>
              </w:rPr>
              <w:t xml:space="preserve">llocation </w:t>
            </w:r>
            <w:r w:rsidR="00EF123A">
              <w:rPr>
                <w:lang w:eastAsia="en-AU"/>
              </w:rPr>
              <w:t>a</w:t>
            </w:r>
            <w:r w:rsidRPr="00630A55">
              <w:rPr>
                <w:lang w:eastAsia="en-AU"/>
              </w:rPr>
              <w:t>mounts</w:t>
            </w:r>
          </w:p>
        </w:tc>
        <w:tc>
          <w:tcPr>
            <w:tcW w:w="1979" w:type="dxa"/>
            <w:tcBorders>
              <w:left w:val="single" w:sz="4" w:space="0" w:color="auto"/>
              <w:right w:val="single" w:sz="4" w:space="0" w:color="auto"/>
            </w:tcBorders>
            <w:shd w:val="clear" w:color="auto" w:fill="auto"/>
            <w:noWrap/>
            <w:vAlign w:val="center"/>
            <w:hideMark/>
          </w:tcPr>
          <w:p w14:paraId="71081150" w14:textId="77777777" w:rsidR="000242AC" w:rsidRPr="00630A55" w:rsidRDefault="000242AC" w:rsidP="009527C7">
            <w:pPr>
              <w:pStyle w:val="TableTextNumber"/>
            </w:pPr>
            <w:r w:rsidRPr="00630A55">
              <w:t>$831,653,569</w:t>
            </w:r>
          </w:p>
        </w:tc>
      </w:tr>
      <w:tr w:rsidR="000242AC" w:rsidRPr="00630A55" w14:paraId="688708A2" w14:textId="77777777" w:rsidTr="00D87587">
        <w:trPr>
          <w:trHeight w:val="258"/>
        </w:trPr>
        <w:tc>
          <w:tcPr>
            <w:tcW w:w="7073" w:type="dxa"/>
            <w:gridSpan w:val="2"/>
            <w:tcBorders>
              <w:left w:val="single" w:sz="4" w:space="0" w:color="auto"/>
              <w:right w:val="single" w:sz="4" w:space="0" w:color="auto"/>
            </w:tcBorders>
            <w:shd w:val="clear" w:color="000000" w:fill="FFFFFF"/>
            <w:noWrap/>
            <w:vAlign w:val="center"/>
            <w:hideMark/>
          </w:tcPr>
          <w:p w14:paraId="0C7B7A5E" w14:textId="77777777" w:rsidR="000242AC" w:rsidRPr="00630A55" w:rsidRDefault="000242AC" w:rsidP="009527C7">
            <w:pPr>
              <w:pStyle w:val="Tabletext"/>
              <w:rPr>
                <w:color w:val="000000"/>
                <w:lang w:eastAsia="en-AU"/>
              </w:rPr>
            </w:pPr>
            <w:r w:rsidRPr="00630A55">
              <w:rPr>
                <w:lang w:eastAsia="en-AU"/>
              </w:rPr>
              <w:t xml:space="preserve">Line items as per standards </w:t>
            </w:r>
          </w:p>
        </w:tc>
        <w:tc>
          <w:tcPr>
            <w:tcW w:w="1979" w:type="dxa"/>
            <w:tcBorders>
              <w:left w:val="single" w:sz="4" w:space="0" w:color="auto"/>
              <w:right w:val="single" w:sz="4" w:space="0" w:color="auto"/>
            </w:tcBorders>
            <w:shd w:val="clear" w:color="auto" w:fill="auto"/>
            <w:noWrap/>
            <w:vAlign w:val="center"/>
            <w:hideMark/>
          </w:tcPr>
          <w:p w14:paraId="7812139B" w14:textId="77777777" w:rsidR="000242AC" w:rsidRPr="00630A55" w:rsidRDefault="000242AC" w:rsidP="009527C7">
            <w:pPr>
              <w:pStyle w:val="TableTextNumber"/>
            </w:pPr>
            <w:r w:rsidRPr="00630A55">
              <w:t>$831,653,569</w:t>
            </w:r>
          </w:p>
        </w:tc>
      </w:tr>
      <w:tr w:rsidR="000242AC" w:rsidRPr="00630A55" w14:paraId="5D46A1BB" w14:textId="77777777" w:rsidTr="00D87587">
        <w:trPr>
          <w:trHeight w:val="258"/>
        </w:trPr>
        <w:tc>
          <w:tcPr>
            <w:tcW w:w="7073" w:type="dxa"/>
            <w:gridSpan w:val="2"/>
            <w:tcBorders>
              <w:left w:val="single" w:sz="4" w:space="0" w:color="auto"/>
              <w:bottom w:val="single" w:sz="12" w:space="0" w:color="auto"/>
              <w:right w:val="single" w:sz="4" w:space="0" w:color="auto"/>
            </w:tcBorders>
            <w:shd w:val="clear" w:color="000000" w:fill="FFFFFF"/>
            <w:noWrap/>
            <w:vAlign w:val="center"/>
            <w:hideMark/>
          </w:tcPr>
          <w:p w14:paraId="1F631B46" w14:textId="4DFCEF38" w:rsidR="000242AC" w:rsidRPr="00630A55" w:rsidRDefault="000242AC" w:rsidP="009527C7">
            <w:pPr>
              <w:pStyle w:val="Tabletext"/>
              <w:rPr>
                <w:color w:val="000000"/>
                <w:lang w:eastAsia="en-AU"/>
              </w:rPr>
            </w:pPr>
            <w:r w:rsidRPr="00630A55">
              <w:rPr>
                <w:lang w:eastAsia="en-AU"/>
              </w:rPr>
              <w:t xml:space="preserve">Costs </w:t>
            </w:r>
            <w:r w:rsidR="00EF123A">
              <w:rPr>
                <w:lang w:eastAsia="en-AU"/>
              </w:rPr>
              <w:t>s</w:t>
            </w:r>
            <w:r w:rsidRPr="00630A55">
              <w:rPr>
                <w:lang w:eastAsia="en-AU"/>
              </w:rPr>
              <w:t xml:space="preserve">ubmitted to </w:t>
            </w:r>
            <w:r w:rsidR="00EF123A">
              <w:rPr>
                <w:lang w:eastAsia="en-AU"/>
              </w:rPr>
              <w:t>j</w:t>
            </w:r>
            <w:r w:rsidRPr="00630A55">
              <w:rPr>
                <w:lang w:eastAsia="en-AU"/>
              </w:rPr>
              <w:t xml:space="preserve">urisdiction </w:t>
            </w:r>
          </w:p>
        </w:tc>
        <w:tc>
          <w:tcPr>
            <w:tcW w:w="1979" w:type="dxa"/>
            <w:tcBorders>
              <w:left w:val="single" w:sz="4" w:space="0" w:color="auto"/>
              <w:bottom w:val="single" w:sz="12" w:space="0" w:color="auto"/>
              <w:right w:val="single" w:sz="4" w:space="0" w:color="auto"/>
            </w:tcBorders>
            <w:shd w:val="clear" w:color="auto" w:fill="auto"/>
            <w:noWrap/>
            <w:vAlign w:val="center"/>
            <w:hideMark/>
          </w:tcPr>
          <w:p w14:paraId="381A1FE7" w14:textId="77777777" w:rsidR="000242AC" w:rsidRPr="00630A55" w:rsidRDefault="000242AC" w:rsidP="009527C7">
            <w:pPr>
              <w:pStyle w:val="TableTextNumber"/>
            </w:pPr>
            <w:r w:rsidRPr="00630A55">
              <w:t>$831,653,470</w:t>
            </w:r>
          </w:p>
        </w:tc>
      </w:tr>
      <w:tr w:rsidR="000242AC" w:rsidRPr="00630A55" w14:paraId="22CBCDBE" w14:textId="77777777" w:rsidTr="00D87587">
        <w:trPr>
          <w:trHeight w:val="258"/>
        </w:trPr>
        <w:tc>
          <w:tcPr>
            <w:tcW w:w="7073" w:type="dxa"/>
            <w:gridSpan w:val="2"/>
            <w:tcBorders>
              <w:top w:val="single" w:sz="12" w:space="0" w:color="auto"/>
              <w:left w:val="single" w:sz="4" w:space="0" w:color="auto"/>
              <w:bottom w:val="single" w:sz="12" w:space="0" w:color="auto"/>
              <w:right w:val="single" w:sz="4" w:space="0" w:color="auto"/>
            </w:tcBorders>
            <w:shd w:val="clear" w:color="000000" w:fill="00338D"/>
            <w:noWrap/>
            <w:vAlign w:val="center"/>
            <w:hideMark/>
          </w:tcPr>
          <w:p w14:paraId="79B76157" w14:textId="64D2E9AC" w:rsidR="000242AC" w:rsidRPr="00630A55" w:rsidRDefault="000242AC" w:rsidP="009527C7">
            <w:pPr>
              <w:pStyle w:val="Tableheading"/>
              <w:rPr>
                <w:lang w:eastAsia="en-AU"/>
              </w:rPr>
            </w:pPr>
            <w:r w:rsidRPr="00630A55">
              <w:rPr>
                <w:lang w:eastAsia="en-AU"/>
              </w:rPr>
              <w:t xml:space="preserve">RPH </w:t>
            </w:r>
            <w:r w:rsidR="00EF123A">
              <w:rPr>
                <w:lang w:eastAsia="en-AU"/>
              </w:rPr>
              <w:t>a</w:t>
            </w:r>
            <w:r w:rsidRPr="00630A55">
              <w:rPr>
                <w:lang w:eastAsia="en-AU"/>
              </w:rPr>
              <w:t>ctivity</w:t>
            </w:r>
          </w:p>
        </w:tc>
        <w:tc>
          <w:tcPr>
            <w:tcW w:w="1979" w:type="dxa"/>
            <w:tcBorders>
              <w:top w:val="single" w:sz="12" w:space="0" w:color="auto"/>
              <w:left w:val="single" w:sz="4" w:space="0" w:color="auto"/>
              <w:bottom w:val="single" w:sz="12" w:space="0" w:color="auto"/>
              <w:right w:val="single" w:sz="4" w:space="0" w:color="auto"/>
            </w:tcBorders>
            <w:shd w:val="clear" w:color="000000" w:fill="00338D"/>
            <w:noWrap/>
            <w:vAlign w:val="center"/>
            <w:hideMark/>
          </w:tcPr>
          <w:p w14:paraId="0B1E41B7" w14:textId="77777777" w:rsidR="000242AC" w:rsidRPr="00630A55" w:rsidRDefault="000242AC" w:rsidP="009527C7">
            <w:pPr>
              <w:pStyle w:val="Tableheading"/>
              <w:rPr>
                <w:color w:val="FFFFFF"/>
                <w:lang w:eastAsia="en-AU"/>
              </w:rPr>
            </w:pPr>
            <w:r w:rsidRPr="00630A55">
              <w:rPr>
                <w:lang w:eastAsia="en-AU"/>
              </w:rPr>
              <w:t xml:space="preserve">Value </w:t>
            </w:r>
          </w:p>
        </w:tc>
      </w:tr>
      <w:tr w:rsidR="000242AC" w:rsidRPr="00630A55" w14:paraId="4C7C81E1" w14:textId="77777777" w:rsidTr="00D87587">
        <w:trPr>
          <w:trHeight w:val="465"/>
        </w:trPr>
        <w:tc>
          <w:tcPr>
            <w:tcW w:w="7073" w:type="dxa"/>
            <w:gridSpan w:val="2"/>
            <w:tcBorders>
              <w:top w:val="single" w:sz="12" w:space="0" w:color="auto"/>
              <w:left w:val="single" w:sz="4" w:space="0" w:color="auto"/>
              <w:right w:val="single" w:sz="4" w:space="0" w:color="auto"/>
            </w:tcBorders>
            <w:shd w:val="clear" w:color="000000" w:fill="FFFFFF"/>
            <w:vAlign w:val="center"/>
            <w:hideMark/>
          </w:tcPr>
          <w:p w14:paraId="7FA0B7B4" w14:textId="6C84BB8B" w:rsidR="000242AC" w:rsidRPr="00630A55" w:rsidRDefault="000242AC" w:rsidP="009527C7">
            <w:pPr>
              <w:pStyle w:val="Tabletext"/>
              <w:rPr>
                <w:color w:val="000000"/>
                <w:lang w:eastAsia="en-AU"/>
              </w:rPr>
            </w:pPr>
            <w:r w:rsidRPr="00630A55">
              <w:rPr>
                <w:lang w:eastAsia="en-AU"/>
              </w:rPr>
              <w:t xml:space="preserve">Data loaded to the costing </w:t>
            </w:r>
            <w:r w:rsidR="00EF123A">
              <w:rPr>
                <w:lang w:eastAsia="en-AU"/>
              </w:rPr>
              <w:t>s</w:t>
            </w:r>
            <w:r w:rsidRPr="00630A55">
              <w:rPr>
                <w:lang w:eastAsia="en-AU"/>
              </w:rPr>
              <w:t>ystem for costing purposes</w:t>
            </w:r>
          </w:p>
        </w:tc>
        <w:tc>
          <w:tcPr>
            <w:tcW w:w="1979" w:type="dxa"/>
            <w:tcBorders>
              <w:top w:val="single" w:sz="12" w:space="0" w:color="auto"/>
              <w:left w:val="single" w:sz="4" w:space="0" w:color="auto"/>
              <w:right w:val="single" w:sz="4" w:space="0" w:color="auto"/>
            </w:tcBorders>
            <w:shd w:val="clear" w:color="auto" w:fill="auto"/>
            <w:vAlign w:val="center"/>
            <w:hideMark/>
          </w:tcPr>
          <w:p w14:paraId="53B471BF" w14:textId="77777777" w:rsidR="000242AC" w:rsidRPr="00630A55" w:rsidRDefault="000242AC" w:rsidP="009527C7">
            <w:pPr>
              <w:pStyle w:val="TableTextNumber"/>
            </w:pPr>
            <w:r w:rsidRPr="00630A55">
              <w:t> </w:t>
            </w:r>
          </w:p>
        </w:tc>
      </w:tr>
      <w:tr w:rsidR="000242AC" w:rsidRPr="00630A55" w14:paraId="7FCE6EA5" w14:textId="77777777" w:rsidTr="00D87587">
        <w:trPr>
          <w:trHeight w:val="258"/>
        </w:trPr>
        <w:tc>
          <w:tcPr>
            <w:tcW w:w="281" w:type="dxa"/>
            <w:tcBorders>
              <w:left w:val="single" w:sz="4" w:space="0" w:color="auto"/>
            </w:tcBorders>
            <w:shd w:val="clear" w:color="000000" w:fill="FFFFFF"/>
            <w:noWrap/>
            <w:vAlign w:val="center"/>
            <w:hideMark/>
          </w:tcPr>
          <w:p w14:paraId="5F8F783E" w14:textId="77777777" w:rsidR="000242AC" w:rsidRPr="00630A55" w:rsidRDefault="000242AC" w:rsidP="009527C7">
            <w:pPr>
              <w:pStyle w:val="Tabletext"/>
              <w:rPr>
                <w:color w:val="000000"/>
                <w:lang w:eastAsia="en-AU"/>
              </w:rPr>
            </w:pPr>
            <w:r w:rsidRPr="00630A55">
              <w:rPr>
                <w:lang w:eastAsia="en-AU"/>
              </w:rPr>
              <w:t> </w:t>
            </w:r>
          </w:p>
        </w:tc>
        <w:tc>
          <w:tcPr>
            <w:tcW w:w="6792" w:type="dxa"/>
            <w:tcBorders>
              <w:right w:val="single" w:sz="4" w:space="0" w:color="auto"/>
            </w:tcBorders>
            <w:shd w:val="clear" w:color="000000" w:fill="FFFFFF"/>
            <w:noWrap/>
            <w:vAlign w:val="center"/>
            <w:hideMark/>
          </w:tcPr>
          <w:p w14:paraId="1E04C4C2" w14:textId="312FD2CC" w:rsidR="000242AC" w:rsidRPr="00630A55" w:rsidRDefault="000242AC" w:rsidP="009527C7">
            <w:pPr>
              <w:pStyle w:val="Tabletext"/>
              <w:rPr>
                <w:color w:val="000000"/>
                <w:lang w:eastAsia="en-AU"/>
              </w:rPr>
            </w:pPr>
            <w:r w:rsidRPr="00630A55">
              <w:rPr>
                <w:lang w:eastAsia="en-AU"/>
              </w:rPr>
              <w:t xml:space="preserve">Activity </w:t>
            </w:r>
            <w:r w:rsidR="00EF123A">
              <w:rPr>
                <w:lang w:eastAsia="en-AU"/>
              </w:rPr>
              <w:t>d</w:t>
            </w:r>
            <w:r w:rsidRPr="00630A55">
              <w:rPr>
                <w:lang w:eastAsia="en-AU"/>
              </w:rPr>
              <w:t xml:space="preserve">ata </w:t>
            </w:r>
          </w:p>
        </w:tc>
        <w:tc>
          <w:tcPr>
            <w:tcW w:w="1979" w:type="dxa"/>
            <w:tcBorders>
              <w:left w:val="single" w:sz="4" w:space="0" w:color="auto"/>
              <w:right w:val="single" w:sz="4" w:space="0" w:color="auto"/>
            </w:tcBorders>
            <w:shd w:val="clear" w:color="auto" w:fill="auto"/>
            <w:noWrap/>
            <w:vAlign w:val="center"/>
            <w:hideMark/>
          </w:tcPr>
          <w:p w14:paraId="37FCFEF9" w14:textId="77777777" w:rsidR="000242AC" w:rsidRPr="00630A55" w:rsidRDefault="000242AC" w:rsidP="009527C7">
            <w:pPr>
              <w:pStyle w:val="TableTextNumber"/>
              <w:rPr>
                <w:i/>
                <w:color w:val="000000"/>
              </w:rPr>
            </w:pPr>
            <w:r w:rsidRPr="00630A55">
              <w:t>654,514</w:t>
            </w:r>
          </w:p>
        </w:tc>
      </w:tr>
      <w:tr w:rsidR="000242AC" w:rsidRPr="00630A55" w14:paraId="44BA0EA0" w14:textId="77777777" w:rsidTr="00D87587">
        <w:trPr>
          <w:trHeight w:val="258"/>
        </w:trPr>
        <w:tc>
          <w:tcPr>
            <w:tcW w:w="281" w:type="dxa"/>
            <w:tcBorders>
              <w:left w:val="single" w:sz="4" w:space="0" w:color="auto"/>
            </w:tcBorders>
            <w:shd w:val="clear" w:color="000000" w:fill="FFFFFF"/>
            <w:noWrap/>
            <w:vAlign w:val="center"/>
            <w:hideMark/>
          </w:tcPr>
          <w:p w14:paraId="2D77A821" w14:textId="77777777" w:rsidR="000242AC" w:rsidRPr="00630A55" w:rsidRDefault="000242AC" w:rsidP="009527C7">
            <w:pPr>
              <w:pStyle w:val="Tabletext"/>
              <w:rPr>
                <w:color w:val="000000"/>
                <w:lang w:eastAsia="en-AU"/>
              </w:rPr>
            </w:pPr>
            <w:r w:rsidRPr="00630A55">
              <w:rPr>
                <w:lang w:eastAsia="en-AU"/>
              </w:rPr>
              <w:t> </w:t>
            </w:r>
          </w:p>
        </w:tc>
        <w:tc>
          <w:tcPr>
            <w:tcW w:w="6792" w:type="dxa"/>
            <w:tcBorders>
              <w:right w:val="single" w:sz="4" w:space="0" w:color="auto"/>
            </w:tcBorders>
            <w:shd w:val="clear" w:color="000000" w:fill="FFFFFF"/>
            <w:noWrap/>
            <w:vAlign w:val="center"/>
            <w:hideMark/>
          </w:tcPr>
          <w:p w14:paraId="6279BAF3" w14:textId="025B8BE6" w:rsidR="000242AC" w:rsidRPr="00630A55" w:rsidRDefault="000242AC" w:rsidP="009527C7">
            <w:pPr>
              <w:pStyle w:val="Tabletext"/>
              <w:rPr>
                <w:color w:val="000000"/>
                <w:lang w:eastAsia="en-AU"/>
              </w:rPr>
            </w:pPr>
            <w:r w:rsidRPr="00630A55">
              <w:rPr>
                <w:lang w:eastAsia="en-AU"/>
              </w:rPr>
              <w:t xml:space="preserve">Feeder </w:t>
            </w:r>
            <w:r w:rsidR="00EF123A">
              <w:rPr>
                <w:lang w:eastAsia="en-AU"/>
              </w:rPr>
              <w:t>d</w:t>
            </w:r>
            <w:r w:rsidRPr="00630A55">
              <w:rPr>
                <w:lang w:eastAsia="en-AU"/>
              </w:rPr>
              <w:t>ata</w:t>
            </w:r>
          </w:p>
        </w:tc>
        <w:tc>
          <w:tcPr>
            <w:tcW w:w="1979" w:type="dxa"/>
            <w:tcBorders>
              <w:left w:val="single" w:sz="4" w:space="0" w:color="auto"/>
              <w:right w:val="single" w:sz="4" w:space="0" w:color="auto"/>
            </w:tcBorders>
            <w:shd w:val="clear" w:color="auto" w:fill="auto"/>
            <w:noWrap/>
            <w:vAlign w:val="center"/>
            <w:hideMark/>
          </w:tcPr>
          <w:p w14:paraId="7305E89F" w14:textId="77777777" w:rsidR="000242AC" w:rsidRPr="00630A55" w:rsidRDefault="000242AC" w:rsidP="009527C7">
            <w:pPr>
              <w:pStyle w:val="TableTextNumber"/>
              <w:rPr>
                <w:i/>
                <w:color w:val="000000"/>
              </w:rPr>
            </w:pPr>
            <w:r w:rsidRPr="00630A55">
              <w:t>1,725,570</w:t>
            </w:r>
          </w:p>
        </w:tc>
      </w:tr>
      <w:tr w:rsidR="000242AC" w:rsidRPr="00630A55" w14:paraId="57746539" w14:textId="77777777" w:rsidTr="00D87587">
        <w:trPr>
          <w:trHeight w:val="257"/>
        </w:trPr>
        <w:tc>
          <w:tcPr>
            <w:tcW w:w="7073" w:type="dxa"/>
            <w:gridSpan w:val="2"/>
            <w:tcBorders>
              <w:left w:val="single" w:sz="4" w:space="0" w:color="auto"/>
              <w:right w:val="single" w:sz="4" w:space="0" w:color="auto"/>
            </w:tcBorders>
            <w:shd w:val="clear" w:color="000000" w:fill="FFFFFF"/>
            <w:vAlign w:val="center"/>
            <w:hideMark/>
          </w:tcPr>
          <w:p w14:paraId="30CFFB80" w14:textId="218C8BF6" w:rsidR="000242AC" w:rsidRPr="00630A55" w:rsidRDefault="000242AC" w:rsidP="009527C7">
            <w:pPr>
              <w:pStyle w:val="Tabletext"/>
              <w:rPr>
                <w:color w:val="000000"/>
                <w:lang w:eastAsia="en-AU"/>
              </w:rPr>
            </w:pPr>
            <w:r w:rsidRPr="00630A55">
              <w:rPr>
                <w:lang w:eastAsia="en-AU"/>
              </w:rPr>
              <w:t xml:space="preserve">NHCDC </w:t>
            </w:r>
            <w:r w:rsidR="00EF123A">
              <w:rPr>
                <w:lang w:eastAsia="en-AU"/>
              </w:rPr>
              <w:t>p</w:t>
            </w:r>
            <w:r w:rsidRPr="00630A55">
              <w:rPr>
                <w:lang w:eastAsia="en-AU"/>
              </w:rPr>
              <w:t xml:space="preserve">roduct </w:t>
            </w:r>
            <w:r w:rsidR="00EF123A">
              <w:rPr>
                <w:lang w:eastAsia="en-AU"/>
              </w:rPr>
              <w:t>o</w:t>
            </w:r>
            <w:r w:rsidRPr="00630A55">
              <w:rPr>
                <w:lang w:eastAsia="en-AU"/>
              </w:rPr>
              <w:t xml:space="preserve">utput </w:t>
            </w:r>
            <w:r w:rsidR="00EF123A">
              <w:rPr>
                <w:lang w:eastAsia="en-AU"/>
              </w:rPr>
              <w:t>a</w:t>
            </w:r>
            <w:r w:rsidRPr="00630A55">
              <w:rPr>
                <w:lang w:eastAsia="en-AU"/>
              </w:rPr>
              <w:t xml:space="preserve">ctivity - </w:t>
            </w:r>
            <w:r w:rsidR="00EF123A">
              <w:rPr>
                <w:lang w:eastAsia="en-AU"/>
              </w:rPr>
              <w:t>p</w:t>
            </w:r>
            <w:r w:rsidRPr="00630A55">
              <w:rPr>
                <w:lang w:eastAsia="en-AU"/>
              </w:rPr>
              <w:t xml:space="preserve">ost </w:t>
            </w:r>
            <w:r w:rsidR="00EF123A">
              <w:rPr>
                <w:lang w:eastAsia="en-AU"/>
              </w:rPr>
              <w:t>l</w:t>
            </w:r>
            <w:r w:rsidRPr="00630A55">
              <w:rPr>
                <w:lang w:eastAsia="en-AU"/>
              </w:rPr>
              <w:t xml:space="preserve">inking and </w:t>
            </w:r>
            <w:r w:rsidR="00EF123A">
              <w:rPr>
                <w:lang w:eastAsia="en-AU"/>
              </w:rPr>
              <w:t>l</w:t>
            </w:r>
            <w:r w:rsidRPr="00630A55">
              <w:rPr>
                <w:lang w:eastAsia="en-AU"/>
              </w:rPr>
              <w:t>oading</w:t>
            </w:r>
          </w:p>
        </w:tc>
        <w:tc>
          <w:tcPr>
            <w:tcW w:w="1979" w:type="dxa"/>
            <w:tcBorders>
              <w:left w:val="single" w:sz="4" w:space="0" w:color="auto"/>
              <w:right w:val="single" w:sz="4" w:space="0" w:color="auto"/>
            </w:tcBorders>
            <w:shd w:val="clear" w:color="auto" w:fill="auto"/>
            <w:noWrap/>
            <w:vAlign w:val="center"/>
            <w:hideMark/>
          </w:tcPr>
          <w:p w14:paraId="35F01C24" w14:textId="77777777" w:rsidR="000242AC" w:rsidRPr="00630A55" w:rsidRDefault="000242AC" w:rsidP="009527C7">
            <w:pPr>
              <w:pStyle w:val="TableTextNumber"/>
            </w:pPr>
            <w:r w:rsidRPr="00630A55">
              <w:t>654,496</w:t>
            </w:r>
          </w:p>
        </w:tc>
      </w:tr>
      <w:tr w:rsidR="000242AC" w:rsidRPr="00630A55" w14:paraId="28041AC8" w14:textId="77777777" w:rsidTr="00D87587">
        <w:trPr>
          <w:trHeight w:val="258"/>
        </w:trPr>
        <w:tc>
          <w:tcPr>
            <w:tcW w:w="7073" w:type="dxa"/>
            <w:gridSpan w:val="2"/>
            <w:tcBorders>
              <w:left w:val="single" w:sz="4" w:space="0" w:color="auto"/>
              <w:right w:val="single" w:sz="4" w:space="0" w:color="auto"/>
            </w:tcBorders>
            <w:shd w:val="clear" w:color="000000" w:fill="FFFFFF"/>
            <w:vAlign w:val="center"/>
            <w:hideMark/>
          </w:tcPr>
          <w:p w14:paraId="275C14E0" w14:textId="0379C8E8" w:rsidR="000242AC" w:rsidRPr="00630A55" w:rsidRDefault="000242AC" w:rsidP="009527C7">
            <w:pPr>
              <w:pStyle w:val="Tabletext"/>
              <w:rPr>
                <w:color w:val="000000"/>
                <w:lang w:eastAsia="en-AU"/>
              </w:rPr>
            </w:pPr>
            <w:r w:rsidRPr="00630A55">
              <w:rPr>
                <w:lang w:eastAsia="en-AU"/>
              </w:rPr>
              <w:t xml:space="preserve">Final </w:t>
            </w:r>
            <w:r w:rsidR="00EF123A">
              <w:rPr>
                <w:lang w:eastAsia="en-AU"/>
              </w:rPr>
              <w:t>s</w:t>
            </w:r>
            <w:r w:rsidRPr="00630A55">
              <w:rPr>
                <w:lang w:eastAsia="en-AU"/>
              </w:rPr>
              <w:t xml:space="preserve">ubmission to </w:t>
            </w:r>
            <w:r w:rsidR="00EF123A">
              <w:rPr>
                <w:lang w:eastAsia="en-AU"/>
              </w:rPr>
              <w:t>j</w:t>
            </w:r>
            <w:r w:rsidRPr="00630A55">
              <w:rPr>
                <w:lang w:eastAsia="en-AU"/>
              </w:rPr>
              <w:t xml:space="preserve">urisdiction - </w:t>
            </w:r>
            <w:r w:rsidR="00EF123A">
              <w:rPr>
                <w:lang w:eastAsia="en-AU"/>
              </w:rPr>
              <w:t>a</w:t>
            </w:r>
            <w:r w:rsidRPr="00630A55">
              <w:rPr>
                <w:lang w:eastAsia="en-AU"/>
              </w:rPr>
              <w:t xml:space="preserve">ctivity by </w:t>
            </w:r>
            <w:r w:rsidR="00EF123A">
              <w:rPr>
                <w:lang w:eastAsia="en-AU"/>
              </w:rPr>
              <w:t>p</w:t>
            </w:r>
            <w:r w:rsidRPr="00630A55">
              <w:rPr>
                <w:lang w:eastAsia="en-AU"/>
              </w:rPr>
              <w:t>roduct</w:t>
            </w:r>
          </w:p>
        </w:tc>
        <w:tc>
          <w:tcPr>
            <w:tcW w:w="1979" w:type="dxa"/>
            <w:tcBorders>
              <w:left w:val="single" w:sz="4" w:space="0" w:color="auto"/>
              <w:right w:val="single" w:sz="4" w:space="0" w:color="auto"/>
            </w:tcBorders>
            <w:shd w:val="clear" w:color="auto" w:fill="auto"/>
            <w:noWrap/>
            <w:vAlign w:val="center"/>
            <w:hideMark/>
          </w:tcPr>
          <w:p w14:paraId="12998EB3" w14:textId="77777777" w:rsidR="000242AC" w:rsidRPr="00630A55" w:rsidRDefault="000242AC" w:rsidP="009527C7">
            <w:pPr>
              <w:pStyle w:val="TableTextNumber"/>
            </w:pPr>
            <w:r w:rsidRPr="00630A55">
              <w:t>654,496</w:t>
            </w:r>
          </w:p>
        </w:tc>
      </w:tr>
      <w:tr w:rsidR="000242AC" w:rsidRPr="00630A55" w14:paraId="12FE5D76" w14:textId="77777777" w:rsidTr="00D87587">
        <w:trPr>
          <w:trHeight w:val="258"/>
        </w:trPr>
        <w:tc>
          <w:tcPr>
            <w:tcW w:w="7073" w:type="dxa"/>
            <w:gridSpan w:val="2"/>
            <w:tcBorders>
              <w:left w:val="single" w:sz="4" w:space="0" w:color="auto"/>
              <w:bottom w:val="single" w:sz="12" w:space="0" w:color="auto"/>
              <w:right w:val="single" w:sz="4" w:space="0" w:color="auto"/>
            </w:tcBorders>
            <w:shd w:val="clear" w:color="000000" w:fill="FFFFFF"/>
            <w:vAlign w:val="center"/>
            <w:hideMark/>
          </w:tcPr>
          <w:p w14:paraId="40843583" w14:textId="16A5C3F8" w:rsidR="000242AC" w:rsidRPr="00630A55" w:rsidRDefault="000242AC" w:rsidP="009527C7">
            <w:pPr>
              <w:pStyle w:val="Tabletext"/>
              <w:rPr>
                <w:color w:val="000000"/>
                <w:lang w:eastAsia="en-AU"/>
              </w:rPr>
            </w:pPr>
            <w:r w:rsidRPr="00630A55">
              <w:rPr>
                <w:lang w:eastAsia="en-AU"/>
              </w:rPr>
              <w:t xml:space="preserve">Final </w:t>
            </w:r>
            <w:r w:rsidR="00EF123A">
              <w:rPr>
                <w:lang w:eastAsia="en-AU"/>
              </w:rPr>
              <w:t>s</w:t>
            </w:r>
            <w:r w:rsidRPr="00630A55">
              <w:rPr>
                <w:lang w:eastAsia="en-AU"/>
              </w:rPr>
              <w:t xml:space="preserve">ubmission to </w:t>
            </w:r>
            <w:r w:rsidR="00EF123A">
              <w:rPr>
                <w:lang w:eastAsia="en-AU"/>
              </w:rPr>
              <w:t>j</w:t>
            </w:r>
            <w:r w:rsidRPr="00630A55">
              <w:rPr>
                <w:lang w:eastAsia="en-AU"/>
              </w:rPr>
              <w:t xml:space="preserve">urisdiction - </w:t>
            </w:r>
            <w:r w:rsidR="00EF123A">
              <w:rPr>
                <w:lang w:eastAsia="en-AU"/>
              </w:rPr>
              <w:t>a</w:t>
            </w:r>
            <w:r w:rsidRPr="00630A55">
              <w:rPr>
                <w:lang w:eastAsia="en-AU"/>
              </w:rPr>
              <w:t xml:space="preserve">ctivity and </w:t>
            </w:r>
            <w:r w:rsidR="00EF123A">
              <w:rPr>
                <w:lang w:eastAsia="en-AU"/>
              </w:rPr>
              <w:t>c</w:t>
            </w:r>
            <w:r w:rsidRPr="00630A55">
              <w:rPr>
                <w:lang w:eastAsia="en-AU"/>
              </w:rPr>
              <w:t xml:space="preserve">ost by </w:t>
            </w:r>
            <w:r w:rsidR="00EF123A">
              <w:rPr>
                <w:lang w:eastAsia="en-AU"/>
              </w:rPr>
              <w:t>p</w:t>
            </w:r>
            <w:r w:rsidRPr="00630A55">
              <w:rPr>
                <w:lang w:eastAsia="en-AU"/>
              </w:rPr>
              <w:t>roduct</w:t>
            </w:r>
          </w:p>
        </w:tc>
        <w:tc>
          <w:tcPr>
            <w:tcW w:w="1979" w:type="dxa"/>
            <w:tcBorders>
              <w:left w:val="single" w:sz="4" w:space="0" w:color="auto"/>
              <w:bottom w:val="single" w:sz="12" w:space="0" w:color="auto"/>
              <w:right w:val="single" w:sz="4" w:space="0" w:color="auto"/>
            </w:tcBorders>
            <w:shd w:val="clear" w:color="auto" w:fill="auto"/>
            <w:noWrap/>
            <w:vAlign w:val="center"/>
            <w:hideMark/>
          </w:tcPr>
          <w:p w14:paraId="2B05A7AD" w14:textId="77777777" w:rsidR="000242AC" w:rsidRPr="00630A55" w:rsidRDefault="000242AC" w:rsidP="009527C7">
            <w:pPr>
              <w:pStyle w:val="TableTextNumber"/>
            </w:pPr>
            <w:r w:rsidRPr="00630A55">
              <w:t>654,496</w:t>
            </w:r>
          </w:p>
        </w:tc>
      </w:tr>
      <w:tr w:rsidR="000242AC" w:rsidRPr="00630A55" w14:paraId="778A5D4A" w14:textId="77777777" w:rsidTr="00D87587">
        <w:trPr>
          <w:trHeight w:val="258"/>
        </w:trPr>
        <w:tc>
          <w:tcPr>
            <w:tcW w:w="7073" w:type="dxa"/>
            <w:gridSpan w:val="2"/>
            <w:tcBorders>
              <w:top w:val="single" w:sz="12" w:space="0" w:color="auto"/>
              <w:left w:val="single" w:sz="4" w:space="0" w:color="auto"/>
              <w:bottom w:val="single" w:sz="12" w:space="0" w:color="auto"/>
              <w:right w:val="single" w:sz="4" w:space="0" w:color="auto"/>
            </w:tcBorders>
            <w:shd w:val="clear" w:color="000000" w:fill="00338D"/>
            <w:noWrap/>
            <w:vAlign w:val="center"/>
            <w:hideMark/>
          </w:tcPr>
          <w:p w14:paraId="43542187" w14:textId="08EBD98F" w:rsidR="000242AC" w:rsidRPr="00630A55" w:rsidRDefault="000242AC" w:rsidP="009527C7">
            <w:pPr>
              <w:pStyle w:val="Tableheading"/>
              <w:rPr>
                <w:color w:val="FFFFFF"/>
                <w:lang w:eastAsia="en-AU"/>
              </w:rPr>
            </w:pPr>
            <w:r w:rsidRPr="00630A55">
              <w:rPr>
                <w:lang w:eastAsia="en-AU"/>
              </w:rPr>
              <w:t xml:space="preserve">RPH submitted to </w:t>
            </w:r>
            <w:r w:rsidR="00EF123A">
              <w:rPr>
                <w:lang w:eastAsia="en-AU"/>
              </w:rPr>
              <w:t>j</w:t>
            </w:r>
            <w:r w:rsidRPr="00630A55">
              <w:rPr>
                <w:lang w:eastAsia="en-AU"/>
              </w:rPr>
              <w:t xml:space="preserve">urisdiction </w:t>
            </w:r>
          </w:p>
        </w:tc>
        <w:tc>
          <w:tcPr>
            <w:tcW w:w="1979" w:type="dxa"/>
            <w:tcBorders>
              <w:top w:val="single" w:sz="12" w:space="0" w:color="auto"/>
              <w:left w:val="single" w:sz="4" w:space="0" w:color="auto"/>
              <w:bottom w:val="single" w:sz="12" w:space="0" w:color="auto"/>
              <w:right w:val="single" w:sz="4" w:space="0" w:color="auto"/>
            </w:tcBorders>
            <w:shd w:val="clear" w:color="000000" w:fill="00338D"/>
            <w:noWrap/>
            <w:vAlign w:val="center"/>
            <w:hideMark/>
          </w:tcPr>
          <w:p w14:paraId="0D971196" w14:textId="77777777" w:rsidR="000242AC" w:rsidRPr="00630A55" w:rsidRDefault="000242AC" w:rsidP="009527C7">
            <w:pPr>
              <w:pStyle w:val="Tableheading"/>
              <w:rPr>
                <w:color w:val="FFFFFF"/>
                <w:lang w:eastAsia="en-AU"/>
              </w:rPr>
            </w:pPr>
            <w:r w:rsidRPr="00630A55">
              <w:rPr>
                <w:lang w:eastAsia="en-AU"/>
              </w:rPr>
              <w:t xml:space="preserve">Value </w:t>
            </w:r>
          </w:p>
        </w:tc>
      </w:tr>
      <w:tr w:rsidR="000242AC" w:rsidRPr="00630A55" w14:paraId="439B589A" w14:textId="77777777" w:rsidTr="00D87587">
        <w:trPr>
          <w:trHeight w:val="258"/>
        </w:trPr>
        <w:tc>
          <w:tcPr>
            <w:tcW w:w="7073" w:type="dxa"/>
            <w:gridSpan w:val="2"/>
            <w:tcBorders>
              <w:top w:val="single" w:sz="12" w:space="0" w:color="auto"/>
              <w:left w:val="single" w:sz="4" w:space="0" w:color="auto"/>
              <w:right w:val="single" w:sz="4" w:space="0" w:color="auto"/>
            </w:tcBorders>
            <w:shd w:val="clear" w:color="auto" w:fill="auto"/>
            <w:vAlign w:val="center"/>
            <w:hideMark/>
          </w:tcPr>
          <w:p w14:paraId="1229C9C2" w14:textId="10D0EDFE" w:rsidR="000242AC" w:rsidRPr="00630A55" w:rsidRDefault="000242AC" w:rsidP="009527C7">
            <w:pPr>
              <w:pStyle w:val="Tabletext"/>
              <w:rPr>
                <w:color w:val="000000"/>
                <w:lang w:eastAsia="en-AU"/>
              </w:rPr>
            </w:pPr>
            <w:r w:rsidRPr="00630A55">
              <w:rPr>
                <w:lang w:eastAsia="en-AU"/>
              </w:rPr>
              <w:t xml:space="preserve">Summary submission to </w:t>
            </w:r>
            <w:r w:rsidR="00EF123A">
              <w:rPr>
                <w:lang w:eastAsia="en-AU"/>
              </w:rPr>
              <w:t>j</w:t>
            </w:r>
            <w:r w:rsidRPr="00630A55">
              <w:rPr>
                <w:lang w:eastAsia="en-AU"/>
              </w:rPr>
              <w:t xml:space="preserve">urisdiction </w:t>
            </w:r>
          </w:p>
        </w:tc>
        <w:tc>
          <w:tcPr>
            <w:tcW w:w="1979" w:type="dxa"/>
            <w:tcBorders>
              <w:top w:val="single" w:sz="12" w:space="0" w:color="auto"/>
              <w:left w:val="single" w:sz="4" w:space="0" w:color="auto"/>
              <w:right w:val="single" w:sz="4" w:space="0" w:color="auto"/>
            </w:tcBorders>
            <w:shd w:val="clear" w:color="auto" w:fill="auto"/>
            <w:vAlign w:val="center"/>
            <w:hideMark/>
          </w:tcPr>
          <w:p w14:paraId="682DE447" w14:textId="77777777" w:rsidR="000242AC" w:rsidRPr="00630A55" w:rsidRDefault="000242AC" w:rsidP="009527C7">
            <w:pPr>
              <w:pStyle w:val="TableTextNumber"/>
            </w:pPr>
            <w:r w:rsidRPr="00630A55">
              <w:t> </w:t>
            </w:r>
          </w:p>
        </w:tc>
      </w:tr>
      <w:tr w:rsidR="000242AC" w:rsidRPr="00630A55" w14:paraId="6DA85F45" w14:textId="77777777" w:rsidTr="00D87587">
        <w:trPr>
          <w:trHeight w:val="258"/>
        </w:trPr>
        <w:tc>
          <w:tcPr>
            <w:tcW w:w="281" w:type="dxa"/>
            <w:tcBorders>
              <w:left w:val="single" w:sz="4" w:space="0" w:color="auto"/>
            </w:tcBorders>
            <w:shd w:val="clear" w:color="000000" w:fill="FFFFFF"/>
            <w:noWrap/>
            <w:vAlign w:val="center"/>
            <w:hideMark/>
          </w:tcPr>
          <w:p w14:paraId="39A2D97F" w14:textId="77777777" w:rsidR="000242AC" w:rsidRPr="00630A55" w:rsidRDefault="000242AC" w:rsidP="009527C7">
            <w:pPr>
              <w:pStyle w:val="Tabletext"/>
              <w:rPr>
                <w:color w:val="000000"/>
                <w:lang w:eastAsia="en-AU"/>
              </w:rPr>
            </w:pPr>
            <w:r w:rsidRPr="00630A55">
              <w:rPr>
                <w:lang w:eastAsia="en-AU"/>
              </w:rPr>
              <w:t> </w:t>
            </w:r>
          </w:p>
        </w:tc>
        <w:tc>
          <w:tcPr>
            <w:tcW w:w="6792" w:type="dxa"/>
            <w:tcBorders>
              <w:right w:val="single" w:sz="4" w:space="0" w:color="auto"/>
            </w:tcBorders>
            <w:shd w:val="clear" w:color="auto" w:fill="auto"/>
            <w:vAlign w:val="center"/>
            <w:hideMark/>
          </w:tcPr>
          <w:p w14:paraId="377EB6E7" w14:textId="4F4F983A" w:rsidR="000242AC" w:rsidRPr="00630A55" w:rsidRDefault="000242AC" w:rsidP="009527C7">
            <w:pPr>
              <w:pStyle w:val="Tabletext"/>
              <w:rPr>
                <w:color w:val="000000"/>
                <w:lang w:eastAsia="en-AU"/>
              </w:rPr>
            </w:pPr>
            <w:r w:rsidRPr="00630A55">
              <w:rPr>
                <w:lang w:eastAsia="en-AU"/>
              </w:rPr>
              <w:t xml:space="preserve">Activity submitted to </w:t>
            </w:r>
            <w:r w:rsidR="00EF123A">
              <w:rPr>
                <w:lang w:eastAsia="en-AU"/>
              </w:rPr>
              <w:t>j</w:t>
            </w:r>
            <w:r w:rsidRPr="00630A55">
              <w:rPr>
                <w:lang w:eastAsia="en-AU"/>
              </w:rPr>
              <w:t>urisdiction</w:t>
            </w:r>
          </w:p>
        </w:tc>
        <w:tc>
          <w:tcPr>
            <w:tcW w:w="1979" w:type="dxa"/>
            <w:tcBorders>
              <w:left w:val="single" w:sz="4" w:space="0" w:color="auto"/>
              <w:right w:val="single" w:sz="4" w:space="0" w:color="auto"/>
            </w:tcBorders>
            <w:shd w:val="clear" w:color="auto" w:fill="auto"/>
            <w:noWrap/>
            <w:vAlign w:val="center"/>
            <w:hideMark/>
          </w:tcPr>
          <w:p w14:paraId="133B86A0" w14:textId="77777777" w:rsidR="000242AC" w:rsidRPr="00630A55" w:rsidRDefault="000242AC" w:rsidP="009527C7">
            <w:pPr>
              <w:pStyle w:val="TableTextNumber"/>
              <w:rPr>
                <w:i/>
              </w:rPr>
            </w:pPr>
            <w:r w:rsidRPr="00630A55">
              <w:t>390,683</w:t>
            </w:r>
          </w:p>
        </w:tc>
      </w:tr>
      <w:tr w:rsidR="000242AC" w:rsidRPr="00630A55" w14:paraId="46F49044" w14:textId="77777777" w:rsidTr="00D87587">
        <w:trPr>
          <w:trHeight w:val="258"/>
        </w:trPr>
        <w:tc>
          <w:tcPr>
            <w:tcW w:w="281" w:type="dxa"/>
            <w:tcBorders>
              <w:left w:val="single" w:sz="4" w:space="0" w:color="auto"/>
            </w:tcBorders>
            <w:shd w:val="clear" w:color="000000" w:fill="FFFFFF"/>
            <w:noWrap/>
            <w:vAlign w:val="center"/>
            <w:hideMark/>
          </w:tcPr>
          <w:p w14:paraId="6F5BCE47" w14:textId="77777777" w:rsidR="000242AC" w:rsidRPr="00630A55" w:rsidRDefault="000242AC" w:rsidP="009527C7">
            <w:pPr>
              <w:pStyle w:val="Tabletext"/>
              <w:rPr>
                <w:color w:val="000000"/>
                <w:lang w:eastAsia="en-AU"/>
              </w:rPr>
            </w:pPr>
            <w:r w:rsidRPr="00630A55">
              <w:rPr>
                <w:lang w:eastAsia="en-AU"/>
              </w:rPr>
              <w:t> </w:t>
            </w:r>
          </w:p>
        </w:tc>
        <w:tc>
          <w:tcPr>
            <w:tcW w:w="6792" w:type="dxa"/>
            <w:tcBorders>
              <w:right w:val="single" w:sz="4" w:space="0" w:color="auto"/>
            </w:tcBorders>
            <w:shd w:val="clear" w:color="auto" w:fill="auto"/>
            <w:vAlign w:val="center"/>
            <w:hideMark/>
          </w:tcPr>
          <w:p w14:paraId="30056F82" w14:textId="15D62F14" w:rsidR="000242AC" w:rsidRPr="00630A55" w:rsidRDefault="000242AC" w:rsidP="009527C7">
            <w:pPr>
              <w:pStyle w:val="Tabletext"/>
              <w:rPr>
                <w:color w:val="000000"/>
                <w:lang w:eastAsia="en-AU"/>
              </w:rPr>
            </w:pPr>
            <w:r w:rsidRPr="00630A55">
              <w:rPr>
                <w:lang w:eastAsia="en-AU"/>
              </w:rPr>
              <w:t xml:space="preserve">Costs submitted to </w:t>
            </w:r>
            <w:r w:rsidR="00EF123A">
              <w:rPr>
                <w:lang w:eastAsia="en-AU"/>
              </w:rPr>
              <w:t>j</w:t>
            </w:r>
            <w:r w:rsidRPr="00630A55">
              <w:rPr>
                <w:lang w:eastAsia="en-AU"/>
              </w:rPr>
              <w:t>urisdiction</w:t>
            </w:r>
          </w:p>
        </w:tc>
        <w:tc>
          <w:tcPr>
            <w:tcW w:w="1979" w:type="dxa"/>
            <w:tcBorders>
              <w:left w:val="single" w:sz="4" w:space="0" w:color="auto"/>
              <w:right w:val="single" w:sz="4" w:space="0" w:color="auto"/>
            </w:tcBorders>
            <w:shd w:val="clear" w:color="auto" w:fill="auto"/>
            <w:noWrap/>
            <w:vAlign w:val="center"/>
            <w:hideMark/>
          </w:tcPr>
          <w:p w14:paraId="5B938F7D" w14:textId="77777777" w:rsidR="000242AC" w:rsidRPr="00630A55" w:rsidRDefault="000242AC" w:rsidP="009527C7">
            <w:pPr>
              <w:pStyle w:val="TableTextNumber"/>
              <w:rPr>
                <w:i/>
              </w:rPr>
            </w:pPr>
            <w:r w:rsidRPr="00630A55">
              <w:t>$524,594,999</w:t>
            </w:r>
          </w:p>
        </w:tc>
      </w:tr>
      <w:tr w:rsidR="000242AC" w:rsidRPr="00630A55" w14:paraId="710B6A8B" w14:textId="77777777" w:rsidTr="00D87587">
        <w:trPr>
          <w:trHeight w:val="258"/>
        </w:trPr>
        <w:tc>
          <w:tcPr>
            <w:tcW w:w="7073" w:type="dxa"/>
            <w:gridSpan w:val="2"/>
            <w:tcBorders>
              <w:top w:val="single" w:sz="12" w:space="0" w:color="auto"/>
              <w:left w:val="single" w:sz="4" w:space="0" w:color="auto"/>
              <w:bottom w:val="single" w:sz="12" w:space="0" w:color="auto"/>
              <w:right w:val="single" w:sz="4" w:space="0" w:color="auto"/>
            </w:tcBorders>
            <w:shd w:val="clear" w:color="000000" w:fill="00338D"/>
            <w:noWrap/>
            <w:vAlign w:val="center"/>
            <w:hideMark/>
          </w:tcPr>
          <w:p w14:paraId="2F4F6316" w14:textId="77777777" w:rsidR="000242AC" w:rsidRPr="00630A55" w:rsidRDefault="000242AC" w:rsidP="009527C7">
            <w:pPr>
              <w:pStyle w:val="Tableheading"/>
              <w:rPr>
                <w:color w:val="FFFFFF"/>
                <w:lang w:eastAsia="en-AU"/>
              </w:rPr>
            </w:pPr>
            <w:r w:rsidRPr="00630A55">
              <w:rPr>
                <w:lang w:eastAsia="en-AU"/>
              </w:rPr>
              <w:t>RPH costs and activity submitted to IHACPA</w:t>
            </w:r>
          </w:p>
        </w:tc>
        <w:tc>
          <w:tcPr>
            <w:tcW w:w="1979" w:type="dxa"/>
            <w:tcBorders>
              <w:top w:val="single" w:sz="12" w:space="0" w:color="auto"/>
              <w:left w:val="single" w:sz="4" w:space="0" w:color="auto"/>
              <w:bottom w:val="single" w:sz="12" w:space="0" w:color="auto"/>
              <w:right w:val="single" w:sz="4" w:space="0" w:color="auto"/>
            </w:tcBorders>
            <w:shd w:val="clear" w:color="000000" w:fill="00338D"/>
            <w:noWrap/>
            <w:vAlign w:val="center"/>
            <w:hideMark/>
          </w:tcPr>
          <w:p w14:paraId="1399096E" w14:textId="77777777" w:rsidR="000242AC" w:rsidRPr="00630A55" w:rsidRDefault="000242AC" w:rsidP="009527C7">
            <w:pPr>
              <w:pStyle w:val="Tableheading"/>
              <w:rPr>
                <w:color w:val="FFFFFF"/>
                <w:lang w:eastAsia="en-AU"/>
              </w:rPr>
            </w:pPr>
            <w:r w:rsidRPr="00630A55">
              <w:rPr>
                <w:lang w:eastAsia="en-AU"/>
              </w:rPr>
              <w:t xml:space="preserve">Value </w:t>
            </w:r>
          </w:p>
        </w:tc>
      </w:tr>
      <w:tr w:rsidR="000242AC" w:rsidRPr="00630A55" w14:paraId="035A66C5" w14:textId="77777777" w:rsidTr="00D87587">
        <w:trPr>
          <w:trHeight w:val="258"/>
        </w:trPr>
        <w:tc>
          <w:tcPr>
            <w:tcW w:w="7073" w:type="dxa"/>
            <w:gridSpan w:val="2"/>
            <w:tcBorders>
              <w:top w:val="single" w:sz="12" w:space="0" w:color="auto"/>
              <w:left w:val="single" w:sz="4" w:space="0" w:color="auto"/>
              <w:right w:val="single" w:sz="4" w:space="0" w:color="auto"/>
            </w:tcBorders>
            <w:shd w:val="clear" w:color="000000" w:fill="FFFFFF"/>
            <w:vAlign w:val="center"/>
            <w:hideMark/>
          </w:tcPr>
          <w:p w14:paraId="5E034F6E" w14:textId="770A4388" w:rsidR="000242AC" w:rsidRPr="00630A55" w:rsidRDefault="000242AC" w:rsidP="009527C7">
            <w:pPr>
              <w:pStyle w:val="Tabletext"/>
              <w:rPr>
                <w:color w:val="000000"/>
                <w:lang w:eastAsia="en-AU"/>
              </w:rPr>
            </w:pPr>
            <w:r w:rsidRPr="00630A55">
              <w:rPr>
                <w:lang w:eastAsia="en-AU"/>
              </w:rPr>
              <w:t xml:space="preserve">Final </w:t>
            </w:r>
            <w:r w:rsidR="00EF123A">
              <w:rPr>
                <w:lang w:eastAsia="en-AU"/>
              </w:rPr>
              <w:t>s</w:t>
            </w:r>
            <w:r w:rsidRPr="00630A55">
              <w:rPr>
                <w:lang w:eastAsia="en-AU"/>
              </w:rPr>
              <w:t xml:space="preserve">ubmission to </w:t>
            </w:r>
            <w:r w:rsidR="00EF123A">
              <w:rPr>
                <w:lang w:eastAsia="en-AU"/>
              </w:rPr>
              <w:t>j</w:t>
            </w:r>
            <w:r w:rsidRPr="00630A55">
              <w:rPr>
                <w:lang w:eastAsia="en-AU"/>
              </w:rPr>
              <w:t xml:space="preserve">urisdiction for IHACPA - </w:t>
            </w:r>
            <w:r w:rsidR="00EF123A">
              <w:rPr>
                <w:lang w:eastAsia="en-AU"/>
              </w:rPr>
              <w:t>c</w:t>
            </w:r>
            <w:r w:rsidRPr="00630A55">
              <w:rPr>
                <w:lang w:eastAsia="en-AU"/>
              </w:rPr>
              <w:t xml:space="preserve">ost and </w:t>
            </w:r>
            <w:r w:rsidR="00EF123A">
              <w:rPr>
                <w:lang w:eastAsia="en-AU"/>
              </w:rPr>
              <w:t>a</w:t>
            </w:r>
            <w:r w:rsidRPr="00630A55">
              <w:rPr>
                <w:lang w:eastAsia="en-AU"/>
              </w:rPr>
              <w:t xml:space="preserve">ctivity by </w:t>
            </w:r>
            <w:r w:rsidR="00EF123A">
              <w:rPr>
                <w:lang w:eastAsia="en-AU"/>
              </w:rPr>
              <w:t>p</w:t>
            </w:r>
            <w:r w:rsidRPr="00630A55">
              <w:rPr>
                <w:lang w:eastAsia="en-AU"/>
              </w:rPr>
              <w:t xml:space="preserve">roduct </w:t>
            </w:r>
          </w:p>
        </w:tc>
        <w:tc>
          <w:tcPr>
            <w:tcW w:w="1979" w:type="dxa"/>
            <w:tcBorders>
              <w:top w:val="single" w:sz="12" w:space="0" w:color="auto"/>
              <w:left w:val="single" w:sz="4" w:space="0" w:color="auto"/>
              <w:right w:val="single" w:sz="4" w:space="0" w:color="auto"/>
            </w:tcBorders>
            <w:shd w:val="clear" w:color="auto" w:fill="auto"/>
            <w:vAlign w:val="center"/>
            <w:hideMark/>
          </w:tcPr>
          <w:p w14:paraId="400B0F65" w14:textId="77777777" w:rsidR="000242AC" w:rsidRPr="00630A55" w:rsidRDefault="000242AC" w:rsidP="009527C7">
            <w:pPr>
              <w:pStyle w:val="TableTextNumber"/>
            </w:pPr>
            <w:r w:rsidRPr="00630A55">
              <w:t> </w:t>
            </w:r>
          </w:p>
        </w:tc>
      </w:tr>
      <w:tr w:rsidR="000242AC" w:rsidRPr="00630A55" w14:paraId="2D86A68F" w14:textId="77777777" w:rsidTr="00D87587">
        <w:trPr>
          <w:trHeight w:val="258"/>
        </w:trPr>
        <w:tc>
          <w:tcPr>
            <w:tcW w:w="281" w:type="dxa"/>
            <w:tcBorders>
              <w:left w:val="single" w:sz="4" w:space="0" w:color="auto"/>
            </w:tcBorders>
            <w:shd w:val="clear" w:color="000000" w:fill="FFFFFF"/>
            <w:noWrap/>
            <w:vAlign w:val="center"/>
            <w:hideMark/>
          </w:tcPr>
          <w:p w14:paraId="3E253536" w14:textId="77777777" w:rsidR="000242AC" w:rsidRPr="00630A55" w:rsidRDefault="000242AC" w:rsidP="009527C7">
            <w:pPr>
              <w:pStyle w:val="Tabletext"/>
              <w:rPr>
                <w:color w:val="000000"/>
                <w:lang w:eastAsia="en-AU"/>
              </w:rPr>
            </w:pPr>
            <w:r w:rsidRPr="00630A55">
              <w:rPr>
                <w:lang w:eastAsia="en-AU"/>
              </w:rPr>
              <w:t> </w:t>
            </w:r>
          </w:p>
        </w:tc>
        <w:tc>
          <w:tcPr>
            <w:tcW w:w="6792" w:type="dxa"/>
            <w:tcBorders>
              <w:right w:val="single" w:sz="4" w:space="0" w:color="auto"/>
            </w:tcBorders>
            <w:shd w:val="clear" w:color="000000" w:fill="FFFFFF"/>
            <w:vAlign w:val="center"/>
            <w:hideMark/>
          </w:tcPr>
          <w:p w14:paraId="34772173" w14:textId="77777777" w:rsidR="000242AC" w:rsidRPr="00630A55" w:rsidRDefault="000242AC" w:rsidP="009527C7">
            <w:pPr>
              <w:pStyle w:val="Tabletext"/>
              <w:rPr>
                <w:color w:val="000000"/>
                <w:lang w:eastAsia="en-AU"/>
              </w:rPr>
            </w:pPr>
            <w:r w:rsidRPr="00630A55">
              <w:rPr>
                <w:lang w:eastAsia="en-AU"/>
              </w:rPr>
              <w:t>Activity</w:t>
            </w:r>
          </w:p>
        </w:tc>
        <w:tc>
          <w:tcPr>
            <w:tcW w:w="1979" w:type="dxa"/>
            <w:tcBorders>
              <w:left w:val="single" w:sz="4" w:space="0" w:color="auto"/>
              <w:right w:val="single" w:sz="4" w:space="0" w:color="auto"/>
            </w:tcBorders>
            <w:shd w:val="clear" w:color="auto" w:fill="auto"/>
            <w:noWrap/>
            <w:vAlign w:val="bottom"/>
            <w:hideMark/>
          </w:tcPr>
          <w:p w14:paraId="594B0188" w14:textId="77777777" w:rsidR="000242AC" w:rsidRPr="00630A55" w:rsidRDefault="000242AC" w:rsidP="009527C7">
            <w:pPr>
              <w:pStyle w:val="TableTextNumber"/>
              <w:rPr>
                <w:i/>
              </w:rPr>
            </w:pPr>
            <w:r w:rsidRPr="00630A55">
              <w:t>654,496</w:t>
            </w:r>
          </w:p>
        </w:tc>
      </w:tr>
      <w:tr w:rsidR="000242AC" w:rsidRPr="00630A55" w14:paraId="73D8A29B" w14:textId="77777777" w:rsidTr="00D87587">
        <w:trPr>
          <w:trHeight w:val="258"/>
        </w:trPr>
        <w:tc>
          <w:tcPr>
            <w:tcW w:w="281" w:type="dxa"/>
            <w:tcBorders>
              <w:left w:val="single" w:sz="4" w:space="0" w:color="auto"/>
            </w:tcBorders>
            <w:shd w:val="clear" w:color="000000" w:fill="FFFFFF"/>
            <w:noWrap/>
            <w:vAlign w:val="center"/>
            <w:hideMark/>
          </w:tcPr>
          <w:p w14:paraId="21B081DC" w14:textId="77777777" w:rsidR="000242AC" w:rsidRPr="00630A55" w:rsidRDefault="000242AC" w:rsidP="009527C7">
            <w:pPr>
              <w:pStyle w:val="Tabletext"/>
              <w:rPr>
                <w:color w:val="000000"/>
                <w:lang w:eastAsia="en-AU"/>
              </w:rPr>
            </w:pPr>
            <w:r w:rsidRPr="00630A55">
              <w:rPr>
                <w:lang w:eastAsia="en-AU"/>
              </w:rPr>
              <w:t> </w:t>
            </w:r>
          </w:p>
        </w:tc>
        <w:tc>
          <w:tcPr>
            <w:tcW w:w="6792" w:type="dxa"/>
            <w:tcBorders>
              <w:right w:val="single" w:sz="4" w:space="0" w:color="auto"/>
            </w:tcBorders>
            <w:shd w:val="clear" w:color="000000" w:fill="FFFFFF"/>
            <w:vAlign w:val="center"/>
            <w:hideMark/>
          </w:tcPr>
          <w:p w14:paraId="0B729A75" w14:textId="77777777" w:rsidR="000242AC" w:rsidRPr="00630A55" w:rsidRDefault="000242AC" w:rsidP="009527C7">
            <w:pPr>
              <w:pStyle w:val="Tabletext"/>
              <w:rPr>
                <w:color w:val="000000"/>
                <w:lang w:eastAsia="en-AU"/>
              </w:rPr>
            </w:pPr>
            <w:r w:rsidRPr="00630A55">
              <w:rPr>
                <w:lang w:eastAsia="en-AU"/>
              </w:rPr>
              <w:t>Costs</w:t>
            </w:r>
          </w:p>
        </w:tc>
        <w:tc>
          <w:tcPr>
            <w:tcW w:w="1979" w:type="dxa"/>
            <w:tcBorders>
              <w:left w:val="single" w:sz="4" w:space="0" w:color="auto"/>
              <w:right w:val="single" w:sz="4" w:space="0" w:color="auto"/>
            </w:tcBorders>
            <w:shd w:val="clear" w:color="auto" w:fill="auto"/>
            <w:noWrap/>
            <w:vAlign w:val="bottom"/>
            <w:hideMark/>
          </w:tcPr>
          <w:p w14:paraId="469C438F" w14:textId="77777777" w:rsidR="000242AC" w:rsidRPr="00630A55" w:rsidRDefault="000242AC" w:rsidP="009527C7">
            <w:pPr>
              <w:pStyle w:val="TableTextNumber"/>
              <w:rPr>
                <w:i/>
              </w:rPr>
            </w:pPr>
            <w:r w:rsidRPr="00630A55">
              <w:t>$831,653,470</w:t>
            </w:r>
          </w:p>
        </w:tc>
      </w:tr>
      <w:tr w:rsidR="000242AC" w:rsidRPr="00630A55" w14:paraId="562AFFC2" w14:textId="77777777" w:rsidTr="00D87587">
        <w:trPr>
          <w:trHeight w:val="258"/>
        </w:trPr>
        <w:tc>
          <w:tcPr>
            <w:tcW w:w="7073" w:type="dxa"/>
            <w:gridSpan w:val="2"/>
            <w:tcBorders>
              <w:left w:val="single" w:sz="4" w:space="0" w:color="auto"/>
              <w:right w:val="single" w:sz="4" w:space="0" w:color="auto"/>
            </w:tcBorders>
            <w:shd w:val="clear" w:color="000000" w:fill="FFFFFF"/>
            <w:vAlign w:val="center"/>
            <w:hideMark/>
          </w:tcPr>
          <w:p w14:paraId="58E31675" w14:textId="5E444AB9" w:rsidR="000242AC" w:rsidRPr="00630A55" w:rsidRDefault="000242AC" w:rsidP="009527C7">
            <w:pPr>
              <w:pStyle w:val="Tabletext"/>
              <w:rPr>
                <w:color w:val="000000"/>
                <w:lang w:eastAsia="en-AU"/>
              </w:rPr>
            </w:pPr>
            <w:r w:rsidRPr="00630A55">
              <w:rPr>
                <w:lang w:eastAsia="en-AU"/>
              </w:rPr>
              <w:t xml:space="preserve">Adjustments to </w:t>
            </w:r>
            <w:r w:rsidR="00EF123A">
              <w:rPr>
                <w:lang w:eastAsia="en-AU"/>
              </w:rPr>
              <w:t>j</w:t>
            </w:r>
            <w:r w:rsidRPr="00630A55">
              <w:rPr>
                <w:lang w:eastAsia="en-AU"/>
              </w:rPr>
              <w:t xml:space="preserve">urisdictional </w:t>
            </w:r>
            <w:r w:rsidR="00EF123A">
              <w:rPr>
                <w:lang w:eastAsia="en-AU"/>
              </w:rPr>
              <w:t>s</w:t>
            </w:r>
            <w:r w:rsidRPr="00630A55">
              <w:rPr>
                <w:lang w:eastAsia="en-AU"/>
              </w:rPr>
              <w:t xml:space="preserve">ubmission prior to finalisation of </w:t>
            </w:r>
            <w:r w:rsidR="00EF123A">
              <w:rPr>
                <w:lang w:eastAsia="en-AU"/>
              </w:rPr>
              <w:t>j</w:t>
            </w:r>
            <w:r w:rsidRPr="00630A55">
              <w:rPr>
                <w:lang w:eastAsia="en-AU"/>
              </w:rPr>
              <w:t>urisdictional data</w:t>
            </w:r>
          </w:p>
        </w:tc>
        <w:tc>
          <w:tcPr>
            <w:tcW w:w="1979" w:type="dxa"/>
            <w:tcBorders>
              <w:left w:val="single" w:sz="4" w:space="0" w:color="auto"/>
              <w:right w:val="single" w:sz="4" w:space="0" w:color="auto"/>
            </w:tcBorders>
            <w:shd w:val="clear" w:color="auto" w:fill="auto"/>
            <w:vAlign w:val="center"/>
            <w:hideMark/>
          </w:tcPr>
          <w:p w14:paraId="1AE173FA" w14:textId="77777777" w:rsidR="000242AC" w:rsidRPr="00630A55" w:rsidRDefault="000242AC" w:rsidP="009527C7">
            <w:pPr>
              <w:pStyle w:val="TableTextNumber"/>
            </w:pPr>
            <w:r w:rsidRPr="00630A55">
              <w:t> </w:t>
            </w:r>
          </w:p>
        </w:tc>
      </w:tr>
      <w:tr w:rsidR="000242AC" w:rsidRPr="00630A55" w14:paraId="2F3B3FF6" w14:textId="77777777" w:rsidTr="00D87587">
        <w:trPr>
          <w:trHeight w:val="258"/>
        </w:trPr>
        <w:tc>
          <w:tcPr>
            <w:tcW w:w="281" w:type="dxa"/>
            <w:tcBorders>
              <w:left w:val="single" w:sz="4" w:space="0" w:color="auto"/>
            </w:tcBorders>
            <w:shd w:val="clear" w:color="000000" w:fill="FFFFFF"/>
            <w:noWrap/>
            <w:vAlign w:val="center"/>
            <w:hideMark/>
          </w:tcPr>
          <w:p w14:paraId="4AA28952" w14:textId="77777777" w:rsidR="000242AC" w:rsidRPr="00630A55" w:rsidRDefault="000242AC" w:rsidP="009527C7">
            <w:pPr>
              <w:pStyle w:val="Tabletext"/>
              <w:rPr>
                <w:color w:val="000000"/>
                <w:lang w:eastAsia="en-AU"/>
              </w:rPr>
            </w:pPr>
            <w:r w:rsidRPr="00630A55">
              <w:rPr>
                <w:lang w:eastAsia="en-AU"/>
              </w:rPr>
              <w:t> </w:t>
            </w:r>
          </w:p>
        </w:tc>
        <w:tc>
          <w:tcPr>
            <w:tcW w:w="6792" w:type="dxa"/>
            <w:tcBorders>
              <w:right w:val="single" w:sz="4" w:space="0" w:color="auto"/>
            </w:tcBorders>
            <w:shd w:val="clear" w:color="000000" w:fill="FFFFFF"/>
            <w:noWrap/>
            <w:vAlign w:val="center"/>
            <w:hideMark/>
          </w:tcPr>
          <w:p w14:paraId="587AF271" w14:textId="77777777" w:rsidR="000242AC" w:rsidRPr="00630A55" w:rsidRDefault="000242AC" w:rsidP="009527C7">
            <w:pPr>
              <w:pStyle w:val="Tabletext"/>
              <w:rPr>
                <w:color w:val="000000"/>
                <w:lang w:eastAsia="en-AU"/>
              </w:rPr>
            </w:pPr>
            <w:r w:rsidRPr="00630A55">
              <w:rPr>
                <w:lang w:eastAsia="en-AU"/>
              </w:rPr>
              <w:t xml:space="preserve">Activity totals </w:t>
            </w:r>
          </w:p>
        </w:tc>
        <w:tc>
          <w:tcPr>
            <w:tcW w:w="1979" w:type="dxa"/>
            <w:tcBorders>
              <w:left w:val="single" w:sz="4" w:space="0" w:color="auto"/>
              <w:right w:val="single" w:sz="4" w:space="0" w:color="auto"/>
            </w:tcBorders>
            <w:shd w:val="clear" w:color="auto" w:fill="auto"/>
            <w:noWrap/>
            <w:vAlign w:val="bottom"/>
            <w:hideMark/>
          </w:tcPr>
          <w:p w14:paraId="7FB3C937" w14:textId="77777777" w:rsidR="000242AC" w:rsidRPr="00630A55" w:rsidRDefault="000242AC" w:rsidP="009527C7">
            <w:pPr>
              <w:pStyle w:val="TableTextNumber"/>
              <w:rPr>
                <w:i/>
              </w:rPr>
            </w:pPr>
            <w:r w:rsidRPr="00630A55">
              <w:t>(179,294)</w:t>
            </w:r>
          </w:p>
        </w:tc>
      </w:tr>
      <w:tr w:rsidR="000242AC" w:rsidRPr="00630A55" w14:paraId="5019E434" w14:textId="77777777" w:rsidTr="00D87587">
        <w:trPr>
          <w:trHeight w:val="258"/>
        </w:trPr>
        <w:tc>
          <w:tcPr>
            <w:tcW w:w="281" w:type="dxa"/>
            <w:tcBorders>
              <w:left w:val="single" w:sz="4" w:space="0" w:color="auto"/>
            </w:tcBorders>
            <w:shd w:val="clear" w:color="000000" w:fill="FFFFFF"/>
            <w:noWrap/>
            <w:vAlign w:val="center"/>
            <w:hideMark/>
          </w:tcPr>
          <w:p w14:paraId="0F11994F" w14:textId="77777777" w:rsidR="000242AC" w:rsidRPr="00630A55" w:rsidRDefault="000242AC" w:rsidP="009527C7">
            <w:pPr>
              <w:pStyle w:val="Tabletext"/>
              <w:rPr>
                <w:color w:val="000000"/>
                <w:lang w:eastAsia="en-AU"/>
              </w:rPr>
            </w:pPr>
            <w:r w:rsidRPr="00630A55">
              <w:rPr>
                <w:lang w:eastAsia="en-AU"/>
              </w:rPr>
              <w:t> </w:t>
            </w:r>
          </w:p>
        </w:tc>
        <w:tc>
          <w:tcPr>
            <w:tcW w:w="6792" w:type="dxa"/>
            <w:tcBorders>
              <w:right w:val="single" w:sz="4" w:space="0" w:color="auto"/>
            </w:tcBorders>
            <w:shd w:val="clear" w:color="000000" w:fill="FFFFFF"/>
            <w:noWrap/>
            <w:vAlign w:val="center"/>
            <w:hideMark/>
          </w:tcPr>
          <w:p w14:paraId="3133367B" w14:textId="77777777" w:rsidR="000242AC" w:rsidRPr="00630A55" w:rsidRDefault="000242AC" w:rsidP="009527C7">
            <w:pPr>
              <w:pStyle w:val="Tabletext"/>
              <w:rPr>
                <w:color w:val="000000"/>
                <w:lang w:eastAsia="en-AU"/>
              </w:rPr>
            </w:pPr>
            <w:r w:rsidRPr="00630A55">
              <w:rPr>
                <w:lang w:eastAsia="en-AU"/>
              </w:rPr>
              <w:t>Cost totals</w:t>
            </w:r>
          </w:p>
        </w:tc>
        <w:tc>
          <w:tcPr>
            <w:tcW w:w="1979" w:type="dxa"/>
            <w:tcBorders>
              <w:left w:val="single" w:sz="4" w:space="0" w:color="auto"/>
              <w:right w:val="single" w:sz="4" w:space="0" w:color="auto"/>
            </w:tcBorders>
            <w:shd w:val="clear" w:color="auto" w:fill="auto"/>
            <w:noWrap/>
            <w:vAlign w:val="bottom"/>
            <w:hideMark/>
          </w:tcPr>
          <w:p w14:paraId="14BDCACD" w14:textId="77777777" w:rsidR="000242AC" w:rsidRPr="00630A55" w:rsidRDefault="000242AC" w:rsidP="009527C7">
            <w:pPr>
              <w:pStyle w:val="TableTextNumber"/>
              <w:rPr>
                <w:i/>
              </w:rPr>
            </w:pPr>
            <w:r w:rsidRPr="00630A55">
              <w:t>($79,717,723)</w:t>
            </w:r>
          </w:p>
        </w:tc>
      </w:tr>
      <w:tr w:rsidR="000242AC" w:rsidRPr="00630A55" w14:paraId="06662592" w14:textId="77777777" w:rsidTr="00D87587">
        <w:trPr>
          <w:trHeight w:val="258"/>
        </w:trPr>
        <w:tc>
          <w:tcPr>
            <w:tcW w:w="7073" w:type="dxa"/>
            <w:gridSpan w:val="2"/>
            <w:tcBorders>
              <w:left w:val="single" w:sz="4" w:space="0" w:color="auto"/>
              <w:right w:val="single" w:sz="4" w:space="0" w:color="auto"/>
            </w:tcBorders>
            <w:shd w:val="clear" w:color="000000" w:fill="FFFFFF"/>
            <w:vAlign w:val="center"/>
            <w:hideMark/>
          </w:tcPr>
          <w:p w14:paraId="0C546E8B" w14:textId="4590BCD4" w:rsidR="000242AC" w:rsidRPr="00630A55" w:rsidRDefault="000242AC" w:rsidP="009527C7">
            <w:pPr>
              <w:pStyle w:val="Tabletext"/>
              <w:rPr>
                <w:color w:val="000000"/>
                <w:lang w:eastAsia="en-AU"/>
              </w:rPr>
            </w:pPr>
            <w:r w:rsidRPr="00630A55">
              <w:rPr>
                <w:lang w:eastAsia="en-AU"/>
              </w:rPr>
              <w:t xml:space="preserve">Final </w:t>
            </w:r>
            <w:r w:rsidR="00EF123A">
              <w:rPr>
                <w:lang w:eastAsia="en-AU"/>
              </w:rPr>
              <w:t>j</w:t>
            </w:r>
            <w:r w:rsidRPr="00630A55">
              <w:rPr>
                <w:lang w:eastAsia="en-AU"/>
              </w:rPr>
              <w:t xml:space="preserve">urisdictional </w:t>
            </w:r>
            <w:r w:rsidR="00EF123A">
              <w:rPr>
                <w:lang w:eastAsia="en-AU"/>
              </w:rPr>
              <w:t>d</w:t>
            </w:r>
            <w:r w:rsidRPr="00630A55">
              <w:rPr>
                <w:lang w:eastAsia="en-AU"/>
              </w:rPr>
              <w:t xml:space="preserve">ata for </w:t>
            </w:r>
            <w:r w:rsidR="00EF123A">
              <w:rPr>
                <w:lang w:eastAsia="en-AU"/>
              </w:rPr>
              <w:t>c</w:t>
            </w:r>
            <w:r w:rsidRPr="00630A55">
              <w:rPr>
                <w:lang w:eastAsia="en-AU"/>
              </w:rPr>
              <w:t xml:space="preserve">ost </w:t>
            </w:r>
            <w:r w:rsidR="00EF123A">
              <w:rPr>
                <w:lang w:eastAsia="en-AU"/>
              </w:rPr>
              <w:t>w</w:t>
            </w:r>
            <w:r w:rsidRPr="00630A55">
              <w:rPr>
                <w:lang w:eastAsia="en-AU"/>
              </w:rPr>
              <w:t xml:space="preserve">eight </w:t>
            </w:r>
            <w:r w:rsidR="00EF123A">
              <w:rPr>
                <w:lang w:eastAsia="en-AU"/>
              </w:rPr>
              <w:t>p</w:t>
            </w:r>
            <w:r w:rsidRPr="00630A55">
              <w:rPr>
                <w:lang w:eastAsia="en-AU"/>
              </w:rPr>
              <w:t>roduction</w:t>
            </w:r>
          </w:p>
        </w:tc>
        <w:tc>
          <w:tcPr>
            <w:tcW w:w="1979" w:type="dxa"/>
            <w:tcBorders>
              <w:left w:val="single" w:sz="4" w:space="0" w:color="auto"/>
              <w:right w:val="single" w:sz="4" w:space="0" w:color="auto"/>
            </w:tcBorders>
            <w:shd w:val="clear" w:color="auto" w:fill="auto"/>
            <w:vAlign w:val="center"/>
            <w:hideMark/>
          </w:tcPr>
          <w:p w14:paraId="1E218132" w14:textId="77777777" w:rsidR="000242AC" w:rsidRPr="00630A55" w:rsidRDefault="000242AC" w:rsidP="009527C7">
            <w:pPr>
              <w:pStyle w:val="TableTextNumber"/>
            </w:pPr>
            <w:r w:rsidRPr="00630A55">
              <w:t> </w:t>
            </w:r>
          </w:p>
        </w:tc>
      </w:tr>
      <w:tr w:rsidR="000242AC" w:rsidRPr="00630A55" w14:paraId="5C4BAD80" w14:textId="77777777" w:rsidTr="00D87587">
        <w:trPr>
          <w:trHeight w:val="258"/>
        </w:trPr>
        <w:tc>
          <w:tcPr>
            <w:tcW w:w="281" w:type="dxa"/>
            <w:tcBorders>
              <w:left w:val="single" w:sz="4" w:space="0" w:color="auto"/>
            </w:tcBorders>
            <w:shd w:val="clear" w:color="000000" w:fill="FFFFFF"/>
            <w:noWrap/>
            <w:vAlign w:val="center"/>
            <w:hideMark/>
          </w:tcPr>
          <w:p w14:paraId="17BC13AE" w14:textId="77777777" w:rsidR="000242AC" w:rsidRPr="00630A55" w:rsidRDefault="000242AC" w:rsidP="009527C7">
            <w:pPr>
              <w:pStyle w:val="Tabletext"/>
              <w:rPr>
                <w:color w:val="000000"/>
                <w:lang w:eastAsia="en-AU"/>
              </w:rPr>
            </w:pPr>
            <w:r w:rsidRPr="00630A55">
              <w:rPr>
                <w:lang w:eastAsia="en-AU"/>
              </w:rPr>
              <w:t> </w:t>
            </w:r>
          </w:p>
        </w:tc>
        <w:tc>
          <w:tcPr>
            <w:tcW w:w="6792" w:type="dxa"/>
            <w:tcBorders>
              <w:right w:val="single" w:sz="4" w:space="0" w:color="auto"/>
            </w:tcBorders>
            <w:shd w:val="clear" w:color="000000" w:fill="FFFFFF"/>
            <w:vAlign w:val="center"/>
            <w:hideMark/>
          </w:tcPr>
          <w:p w14:paraId="254BB22F" w14:textId="564C907B" w:rsidR="000242AC" w:rsidRPr="00630A55" w:rsidRDefault="000242AC" w:rsidP="009527C7">
            <w:pPr>
              <w:pStyle w:val="Tabletext"/>
              <w:rPr>
                <w:color w:val="000000"/>
                <w:lang w:eastAsia="en-AU"/>
              </w:rPr>
            </w:pPr>
            <w:r w:rsidRPr="00630A55">
              <w:rPr>
                <w:lang w:eastAsia="en-AU"/>
              </w:rPr>
              <w:t xml:space="preserve">Finalised </w:t>
            </w:r>
            <w:r w:rsidR="00EF123A">
              <w:rPr>
                <w:lang w:eastAsia="en-AU"/>
              </w:rPr>
              <w:t>a</w:t>
            </w:r>
            <w:r w:rsidRPr="00630A55">
              <w:rPr>
                <w:lang w:eastAsia="en-AU"/>
              </w:rPr>
              <w:t>ctivity</w:t>
            </w:r>
          </w:p>
        </w:tc>
        <w:tc>
          <w:tcPr>
            <w:tcW w:w="1979" w:type="dxa"/>
            <w:tcBorders>
              <w:left w:val="single" w:sz="4" w:space="0" w:color="auto"/>
              <w:right w:val="single" w:sz="4" w:space="0" w:color="auto"/>
            </w:tcBorders>
            <w:shd w:val="clear" w:color="auto" w:fill="auto"/>
            <w:noWrap/>
            <w:vAlign w:val="bottom"/>
            <w:hideMark/>
          </w:tcPr>
          <w:p w14:paraId="63FF82D9" w14:textId="77777777" w:rsidR="000242AC" w:rsidRPr="00630A55" w:rsidRDefault="000242AC" w:rsidP="009527C7">
            <w:pPr>
              <w:pStyle w:val="TableTextNumber"/>
              <w:rPr>
                <w:i/>
              </w:rPr>
            </w:pPr>
            <w:r w:rsidRPr="00630A55">
              <w:t>475,202</w:t>
            </w:r>
          </w:p>
        </w:tc>
      </w:tr>
      <w:tr w:rsidR="000242AC" w:rsidRPr="00630A55" w14:paraId="22A307B4" w14:textId="77777777" w:rsidTr="00D87587">
        <w:trPr>
          <w:trHeight w:val="258"/>
        </w:trPr>
        <w:tc>
          <w:tcPr>
            <w:tcW w:w="281" w:type="dxa"/>
            <w:tcBorders>
              <w:left w:val="single" w:sz="4" w:space="0" w:color="auto"/>
              <w:bottom w:val="single" w:sz="4" w:space="0" w:color="auto"/>
            </w:tcBorders>
            <w:shd w:val="clear" w:color="000000" w:fill="FFFFFF"/>
            <w:noWrap/>
            <w:vAlign w:val="center"/>
            <w:hideMark/>
          </w:tcPr>
          <w:p w14:paraId="5E4BEC34" w14:textId="77777777" w:rsidR="000242AC" w:rsidRPr="00630A55" w:rsidRDefault="000242AC" w:rsidP="009527C7">
            <w:pPr>
              <w:pStyle w:val="Tabletext"/>
              <w:rPr>
                <w:color w:val="000000"/>
                <w:lang w:eastAsia="en-AU"/>
              </w:rPr>
            </w:pPr>
            <w:r w:rsidRPr="00630A55">
              <w:rPr>
                <w:lang w:eastAsia="en-AU"/>
              </w:rPr>
              <w:t> </w:t>
            </w:r>
          </w:p>
        </w:tc>
        <w:tc>
          <w:tcPr>
            <w:tcW w:w="6792" w:type="dxa"/>
            <w:tcBorders>
              <w:bottom w:val="single" w:sz="4" w:space="0" w:color="auto"/>
              <w:right w:val="single" w:sz="4" w:space="0" w:color="auto"/>
            </w:tcBorders>
            <w:shd w:val="clear" w:color="000000" w:fill="FFFFFF"/>
            <w:vAlign w:val="center"/>
            <w:hideMark/>
          </w:tcPr>
          <w:p w14:paraId="21B16587" w14:textId="5486A83C" w:rsidR="000242AC" w:rsidRPr="00630A55" w:rsidRDefault="000242AC" w:rsidP="009527C7">
            <w:pPr>
              <w:pStyle w:val="Tabletext"/>
              <w:rPr>
                <w:color w:val="000000"/>
                <w:lang w:eastAsia="en-AU"/>
              </w:rPr>
            </w:pPr>
            <w:r w:rsidRPr="00630A55">
              <w:rPr>
                <w:lang w:eastAsia="en-AU"/>
              </w:rPr>
              <w:t xml:space="preserve">Finalised </w:t>
            </w:r>
            <w:r w:rsidR="00EF123A">
              <w:rPr>
                <w:lang w:eastAsia="en-AU"/>
              </w:rPr>
              <w:t>c</w:t>
            </w:r>
            <w:r w:rsidRPr="00630A55">
              <w:rPr>
                <w:lang w:eastAsia="en-AU"/>
              </w:rPr>
              <w:t>ost</w:t>
            </w:r>
          </w:p>
        </w:tc>
        <w:tc>
          <w:tcPr>
            <w:tcW w:w="1979" w:type="dxa"/>
            <w:tcBorders>
              <w:left w:val="single" w:sz="4" w:space="0" w:color="auto"/>
              <w:bottom w:val="single" w:sz="4" w:space="0" w:color="auto"/>
              <w:right w:val="single" w:sz="4" w:space="0" w:color="auto"/>
            </w:tcBorders>
            <w:shd w:val="clear" w:color="auto" w:fill="auto"/>
            <w:noWrap/>
            <w:vAlign w:val="bottom"/>
            <w:hideMark/>
          </w:tcPr>
          <w:p w14:paraId="2D90AF54" w14:textId="77777777" w:rsidR="000242AC" w:rsidRPr="00630A55" w:rsidRDefault="000242AC" w:rsidP="009527C7">
            <w:pPr>
              <w:pStyle w:val="TableTextNumber"/>
              <w:rPr>
                <w:i/>
              </w:rPr>
            </w:pPr>
            <w:r w:rsidRPr="00630A55">
              <w:t>$751,935,746</w:t>
            </w:r>
          </w:p>
        </w:tc>
      </w:tr>
    </w:tbl>
    <w:p w14:paraId="3739C022" w14:textId="77777777" w:rsidR="00DD3DB5" w:rsidRPr="00630A55" w:rsidRDefault="00DD3DB5" w:rsidP="00DD3DB5">
      <w:pPr>
        <w:pStyle w:val="Source"/>
      </w:pPr>
      <w:r w:rsidRPr="00630A55">
        <w:t xml:space="preserve">Source: Jurisdictional consultations and </w:t>
      </w:r>
      <w:r>
        <w:t>templates</w:t>
      </w:r>
    </w:p>
    <w:p w14:paraId="29C286F6" w14:textId="77777777" w:rsidR="00FB0EB3" w:rsidRDefault="00FB0EB3">
      <w:pPr>
        <w:spacing w:before="0" w:after="160" w:line="259" w:lineRule="auto"/>
        <w:rPr>
          <w:iCs/>
          <w:sz w:val="20"/>
          <w:szCs w:val="16"/>
        </w:rPr>
      </w:pPr>
      <w:bookmarkStart w:id="77" w:name="_Ref113989136"/>
      <w:r>
        <w:br w:type="page"/>
      </w:r>
    </w:p>
    <w:p w14:paraId="4165B67C" w14:textId="0F229037" w:rsidR="000242AC" w:rsidRPr="00630A55" w:rsidRDefault="008D6443" w:rsidP="008D6443">
      <w:pPr>
        <w:pStyle w:val="Caption"/>
      </w:pPr>
      <w:bookmarkStart w:id="78" w:name="_Ref114757492"/>
      <w:bookmarkEnd w:id="77"/>
      <w:r w:rsidRPr="00A8310C">
        <w:rPr>
          <w:b/>
          <w:bCs/>
        </w:rPr>
        <w:lastRenderedPageBreak/>
        <w:t xml:space="preserve">Table </w:t>
      </w:r>
      <w:r w:rsidR="00D91CB1" w:rsidRPr="00A8310C">
        <w:rPr>
          <w:b/>
          <w:bCs/>
        </w:rPr>
        <w:fldChar w:fldCharType="begin"/>
      </w:r>
      <w:r w:rsidR="00D91CB1" w:rsidRPr="00A8310C">
        <w:rPr>
          <w:b/>
          <w:bCs/>
        </w:rPr>
        <w:instrText xml:space="preserve"> SEQ Table \* ARABIC </w:instrText>
      </w:r>
      <w:r w:rsidR="00D91CB1" w:rsidRPr="00A8310C">
        <w:rPr>
          <w:b/>
          <w:bCs/>
        </w:rPr>
        <w:fldChar w:fldCharType="separate"/>
      </w:r>
      <w:r w:rsidR="007E2ACB">
        <w:rPr>
          <w:b/>
          <w:bCs/>
          <w:noProof/>
        </w:rPr>
        <w:t>31</w:t>
      </w:r>
      <w:r w:rsidR="00D91CB1" w:rsidRPr="00A8310C">
        <w:rPr>
          <w:b/>
          <w:bCs/>
          <w:noProof/>
        </w:rPr>
        <w:fldChar w:fldCharType="end"/>
      </w:r>
      <w:bookmarkEnd w:id="78"/>
      <w:r w:rsidRPr="00A8310C">
        <w:rPr>
          <w:b/>
          <w:bCs/>
        </w:rPr>
        <w:t>:</w:t>
      </w:r>
      <w:r w:rsidR="00A8310C">
        <w:t xml:space="preserve"> </w:t>
      </w:r>
      <w:r w:rsidR="000242AC" w:rsidRPr="00630A55">
        <w:t xml:space="preserve">Reconciliation from General Ledger to NHCDC </w:t>
      </w:r>
      <w:r w:rsidR="00EF123A">
        <w:t>c</w:t>
      </w:r>
      <w:r w:rsidR="000242AC" w:rsidRPr="00630A55">
        <w:t xml:space="preserve">osted </w:t>
      </w:r>
      <w:r w:rsidR="00EF123A">
        <w:t>p</w:t>
      </w:r>
      <w:r w:rsidR="000242AC" w:rsidRPr="00630A55">
        <w:t xml:space="preserve">roducts – </w:t>
      </w:r>
      <w:r w:rsidR="00EF123A">
        <w:t>Western Australia (</w:t>
      </w:r>
      <w:r w:rsidR="000242AC" w:rsidRPr="00630A55">
        <w:t>Child and Adolescent Health Service</w:t>
      </w:r>
      <w:r w:rsidR="00EF123A">
        <w:t>)</w:t>
      </w:r>
    </w:p>
    <w:tbl>
      <w:tblPr>
        <w:tblW w:w="9174" w:type="dxa"/>
        <w:tblBorders>
          <w:top w:val="single" w:sz="12" w:space="0" w:color="auto"/>
          <w:left w:val="single" w:sz="12" w:space="0" w:color="auto"/>
          <w:bottom w:val="single" w:sz="12" w:space="0" w:color="auto"/>
          <w:right w:val="single" w:sz="12" w:space="0" w:color="auto"/>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81"/>
        <w:gridCol w:w="6934"/>
        <w:gridCol w:w="1959"/>
      </w:tblGrid>
      <w:tr w:rsidR="000242AC" w:rsidRPr="00630A55" w14:paraId="3DA586CC" w14:textId="77777777" w:rsidTr="00D87587">
        <w:trPr>
          <w:trHeight w:val="258"/>
          <w:tblHeader/>
        </w:trPr>
        <w:tc>
          <w:tcPr>
            <w:tcW w:w="7215" w:type="dxa"/>
            <w:gridSpan w:val="2"/>
            <w:tcBorders>
              <w:top w:val="single" w:sz="4" w:space="0" w:color="auto"/>
              <w:left w:val="single" w:sz="4" w:space="0" w:color="auto"/>
              <w:bottom w:val="single" w:sz="12" w:space="0" w:color="auto"/>
              <w:right w:val="single" w:sz="4" w:space="0" w:color="auto"/>
            </w:tcBorders>
            <w:shd w:val="clear" w:color="000000" w:fill="00338D"/>
            <w:noWrap/>
            <w:vAlign w:val="center"/>
            <w:hideMark/>
          </w:tcPr>
          <w:p w14:paraId="761698CC" w14:textId="6B99FFF5" w:rsidR="000242AC" w:rsidRPr="00630A55" w:rsidRDefault="000242AC" w:rsidP="009527C7">
            <w:pPr>
              <w:pStyle w:val="Tableheading"/>
              <w:rPr>
                <w:lang w:eastAsia="en-AU"/>
              </w:rPr>
            </w:pPr>
            <w:r w:rsidRPr="00630A55">
              <w:rPr>
                <w:lang w:eastAsia="en-AU"/>
              </w:rPr>
              <w:t xml:space="preserve">HSP level </w:t>
            </w:r>
            <w:r w:rsidR="00315C99">
              <w:rPr>
                <w:lang w:eastAsia="en-AU"/>
              </w:rPr>
              <w:t>d</w:t>
            </w:r>
            <w:r w:rsidRPr="00630A55">
              <w:rPr>
                <w:lang w:eastAsia="en-AU"/>
              </w:rPr>
              <w:t>ata (CAHS)</w:t>
            </w:r>
          </w:p>
        </w:tc>
        <w:tc>
          <w:tcPr>
            <w:tcW w:w="1959" w:type="dxa"/>
            <w:tcBorders>
              <w:top w:val="single" w:sz="4" w:space="0" w:color="auto"/>
              <w:left w:val="single" w:sz="4" w:space="0" w:color="auto"/>
              <w:bottom w:val="single" w:sz="12" w:space="0" w:color="auto"/>
              <w:right w:val="single" w:sz="4" w:space="0" w:color="auto"/>
            </w:tcBorders>
            <w:shd w:val="clear" w:color="000000" w:fill="00338D"/>
            <w:noWrap/>
            <w:vAlign w:val="center"/>
            <w:hideMark/>
          </w:tcPr>
          <w:p w14:paraId="5BF0BD93" w14:textId="452EC244" w:rsidR="000242AC" w:rsidRPr="00630A55" w:rsidRDefault="000242AC" w:rsidP="009527C7">
            <w:pPr>
              <w:pStyle w:val="Tableheading"/>
              <w:rPr>
                <w:color w:val="FFFFFF"/>
                <w:lang w:eastAsia="en-AU"/>
              </w:rPr>
            </w:pPr>
            <w:r w:rsidRPr="00630A55">
              <w:rPr>
                <w:lang w:eastAsia="en-AU"/>
              </w:rPr>
              <w:t> </w:t>
            </w:r>
            <w:r w:rsidR="003758E1">
              <w:rPr>
                <w:lang w:eastAsia="en-AU"/>
              </w:rPr>
              <w:t>Value</w:t>
            </w:r>
          </w:p>
        </w:tc>
      </w:tr>
      <w:tr w:rsidR="000242AC" w:rsidRPr="00630A55" w14:paraId="1FCCF57C" w14:textId="77777777" w:rsidTr="00D87587">
        <w:trPr>
          <w:trHeight w:val="248"/>
        </w:trPr>
        <w:tc>
          <w:tcPr>
            <w:tcW w:w="7215" w:type="dxa"/>
            <w:gridSpan w:val="2"/>
            <w:tcBorders>
              <w:top w:val="single" w:sz="12" w:space="0" w:color="auto"/>
              <w:left w:val="single" w:sz="4" w:space="0" w:color="auto"/>
              <w:right w:val="single" w:sz="4" w:space="0" w:color="auto"/>
            </w:tcBorders>
            <w:shd w:val="clear" w:color="auto" w:fill="808080"/>
            <w:noWrap/>
            <w:vAlign w:val="center"/>
            <w:hideMark/>
          </w:tcPr>
          <w:p w14:paraId="12310426" w14:textId="77777777" w:rsidR="000242AC" w:rsidRPr="00467F5A" w:rsidRDefault="000242AC" w:rsidP="009527C7">
            <w:pPr>
              <w:pStyle w:val="Tableheading"/>
              <w:rPr>
                <w:rFonts w:ascii="Arial" w:hAnsi="Arial" w:cs="Arial"/>
                <w:b w:val="0"/>
                <w:bCs/>
                <w:color w:val="000000" w:themeColor="text1"/>
                <w:lang w:eastAsia="en-AU"/>
              </w:rPr>
            </w:pPr>
            <w:r w:rsidRPr="00467F5A">
              <w:rPr>
                <w:rFonts w:ascii="Arial" w:hAnsi="Arial" w:cs="Arial"/>
                <w:b w:val="0"/>
                <w:bCs/>
                <w:color w:val="000000" w:themeColor="text1"/>
                <w:lang w:eastAsia="en-AU"/>
              </w:rPr>
              <w:t>HSP</w:t>
            </w:r>
            <w:r w:rsidRPr="00467F5A">
              <w:rPr>
                <w:rFonts w:ascii="Arial" w:eastAsia="Times New Roman" w:hAnsi="Arial" w:cs="Arial"/>
                <w:b w:val="0"/>
                <w:bCs/>
                <w:color w:val="000000" w:themeColor="text1"/>
                <w:lang w:eastAsia="en-AU"/>
              </w:rPr>
              <w:t xml:space="preserve"> General Ledger (CAHS)</w:t>
            </w:r>
          </w:p>
        </w:tc>
        <w:tc>
          <w:tcPr>
            <w:tcW w:w="1959" w:type="dxa"/>
            <w:tcBorders>
              <w:top w:val="single" w:sz="12" w:space="0" w:color="auto"/>
              <w:left w:val="single" w:sz="4" w:space="0" w:color="auto"/>
              <w:right w:val="single" w:sz="4" w:space="0" w:color="auto"/>
            </w:tcBorders>
            <w:shd w:val="clear" w:color="auto" w:fill="808080"/>
            <w:noWrap/>
            <w:vAlign w:val="center"/>
            <w:hideMark/>
          </w:tcPr>
          <w:p w14:paraId="7D78D694" w14:textId="26743260" w:rsidR="000242AC" w:rsidRPr="00467F5A" w:rsidRDefault="000242AC" w:rsidP="00467F5A">
            <w:pPr>
              <w:pStyle w:val="Tableheading"/>
              <w:rPr>
                <w:rFonts w:ascii="Arial" w:hAnsi="Arial" w:cs="Arial"/>
                <w:b w:val="0"/>
                <w:bCs/>
                <w:color w:val="000000" w:themeColor="text1"/>
                <w:lang w:eastAsia="en-AU"/>
              </w:rPr>
            </w:pPr>
          </w:p>
        </w:tc>
      </w:tr>
      <w:tr w:rsidR="000242AC" w:rsidRPr="00630A55" w14:paraId="2A5834FA" w14:textId="77777777" w:rsidTr="00D87587">
        <w:trPr>
          <w:trHeight w:val="258"/>
        </w:trPr>
        <w:tc>
          <w:tcPr>
            <w:tcW w:w="7215" w:type="dxa"/>
            <w:gridSpan w:val="2"/>
            <w:tcBorders>
              <w:left w:val="single" w:sz="4" w:space="0" w:color="auto"/>
              <w:right w:val="single" w:sz="4" w:space="0" w:color="auto"/>
            </w:tcBorders>
            <w:shd w:val="clear" w:color="000000" w:fill="FFFFFF"/>
            <w:noWrap/>
            <w:vAlign w:val="center"/>
            <w:hideMark/>
          </w:tcPr>
          <w:p w14:paraId="14F26A7E" w14:textId="04EAB4EB" w:rsidR="000242AC" w:rsidRPr="00630A55" w:rsidRDefault="000242AC" w:rsidP="009527C7">
            <w:pPr>
              <w:pStyle w:val="Tabletext"/>
              <w:rPr>
                <w:color w:val="000000"/>
                <w:lang w:eastAsia="en-AU"/>
              </w:rPr>
            </w:pPr>
            <w:r w:rsidRPr="00630A55">
              <w:rPr>
                <w:lang w:eastAsia="en-AU"/>
              </w:rPr>
              <w:t xml:space="preserve">GL transferred to </w:t>
            </w:r>
            <w:r w:rsidR="00315C99">
              <w:rPr>
                <w:lang w:eastAsia="en-AU"/>
              </w:rPr>
              <w:t>c</w:t>
            </w:r>
            <w:r w:rsidRPr="00630A55">
              <w:rPr>
                <w:lang w:eastAsia="en-AU"/>
              </w:rPr>
              <w:t xml:space="preserve">osting </w:t>
            </w:r>
            <w:r w:rsidR="00315C99">
              <w:rPr>
                <w:lang w:eastAsia="en-AU"/>
              </w:rPr>
              <w:t>s</w:t>
            </w:r>
            <w:r w:rsidRPr="00630A55">
              <w:rPr>
                <w:lang w:eastAsia="en-AU"/>
              </w:rPr>
              <w:t xml:space="preserve">ystem </w:t>
            </w:r>
          </w:p>
        </w:tc>
        <w:tc>
          <w:tcPr>
            <w:tcW w:w="1959" w:type="dxa"/>
            <w:tcBorders>
              <w:left w:val="single" w:sz="4" w:space="0" w:color="auto"/>
              <w:right w:val="single" w:sz="4" w:space="0" w:color="auto"/>
            </w:tcBorders>
            <w:shd w:val="clear" w:color="auto" w:fill="auto"/>
            <w:noWrap/>
            <w:vAlign w:val="bottom"/>
            <w:hideMark/>
          </w:tcPr>
          <w:p w14:paraId="32EC3273" w14:textId="77777777" w:rsidR="000242AC" w:rsidRPr="00630A55" w:rsidRDefault="000242AC" w:rsidP="009527C7">
            <w:pPr>
              <w:pStyle w:val="TableTextNumber"/>
            </w:pPr>
            <w:r w:rsidRPr="00630A55">
              <w:t>$833,058,580</w:t>
            </w:r>
          </w:p>
        </w:tc>
      </w:tr>
      <w:tr w:rsidR="000242AC" w:rsidRPr="00630A55" w14:paraId="1E7F6CE5" w14:textId="77777777" w:rsidTr="00D87587">
        <w:trPr>
          <w:trHeight w:val="258"/>
        </w:trPr>
        <w:tc>
          <w:tcPr>
            <w:tcW w:w="7215" w:type="dxa"/>
            <w:gridSpan w:val="2"/>
            <w:tcBorders>
              <w:left w:val="single" w:sz="4" w:space="0" w:color="auto"/>
              <w:right w:val="single" w:sz="4" w:space="0" w:color="auto"/>
            </w:tcBorders>
            <w:shd w:val="clear" w:color="000000" w:fill="FFFFFF"/>
            <w:noWrap/>
            <w:vAlign w:val="center"/>
            <w:hideMark/>
          </w:tcPr>
          <w:p w14:paraId="14F53470" w14:textId="77777777" w:rsidR="000242AC" w:rsidRPr="00630A55" w:rsidRDefault="000242AC" w:rsidP="009527C7">
            <w:pPr>
              <w:pStyle w:val="Tabletext"/>
              <w:rPr>
                <w:color w:val="000000"/>
                <w:lang w:eastAsia="en-AU"/>
              </w:rPr>
            </w:pPr>
            <w:r w:rsidRPr="00630A55">
              <w:rPr>
                <w:lang w:eastAsia="en-AU"/>
              </w:rPr>
              <w:t xml:space="preserve">Adjustments </w:t>
            </w:r>
          </w:p>
        </w:tc>
        <w:tc>
          <w:tcPr>
            <w:tcW w:w="1959" w:type="dxa"/>
            <w:tcBorders>
              <w:left w:val="single" w:sz="4" w:space="0" w:color="auto"/>
              <w:right w:val="single" w:sz="4" w:space="0" w:color="auto"/>
            </w:tcBorders>
            <w:shd w:val="clear" w:color="auto" w:fill="auto"/>
            <w:noWrap/>
            <w:vAlign w:val="bottom"/>
            <w:hideMark/>
          </w:tcPr>
          <w:p w14:paraId="1DE96975" w14:textId="77777777" w:rsidR="000242AC" w:rsidRPr="00630A55" w:rsidRDefault="000242AC" w:rsidP="009527C7">
            <w:pPr>
              <w:pStyle w:val="TableTextNumber"/>
              <w:rPr>
                <w:color w:val="000000"/>
              </w:rPr>
            </w:pPr>
            <w:r w:rsidRPr="00630A55">
              <w:t>($67,526,951)</w:t>
            </w:r>
          </w:p>
        </w:tc>
      </w:tr>
      <w:tr w:rsidR="000242AC" w:rsidRPr="00630A55" w14:paraId="31B508BE" w14:textId="77777777" w:rsidTr="00D87587">
        <w:trPr>
          <w:trHeight w:val="258"/>
        </w:trPr>
        <w:tc>
          <w:tcPr>
            <w:tcW w:w="7215" w:type="dxa"/>
            <w:gridSpan w:val="2"/>
            <w:tcBorders>
              <w:left w:val="single" w:sz="4" w:space="0" w:color="auto"/>
              <w:right w:val="single" w:sz="4" w:space="0" w:color="auto"/>
            </w:tcBorders>
            <w:shd w:val="clear" w:color="000000" w:fill="FFFFFF"/>
            <w:noWrap/>
            <w:vAlign w:val="center"/>
            <w:hideMark/>
          </w:tcPr>
          <w:p w14:paraId="19815A4C" w14:textId="0D231785" w:rsidR="000242AC" w:rsidRPr="00630A55" w:rsidRDefault="000242AC" w:rsidP="009527C7">
            <w:pPr>
              <w:pStyle w:val="Tabletext"/>
              <w:rPr>
                <w:color w:val="000000"/>
                <w:lang w:eastAsia="en-AU"/>
              </w:rPr>
            </w:pPr>
            <w:r w:rsidRPr="00630A55">
              <w:rPr>
                <w:lang w:eastAsia="en-AU"/>
              </w:rPr>
              <w:t xml:space="preserve">Post </w:t>
            </w:r>
            <w:r w:rsidR="00315C99">
              <w:rPr>
                <w:lang w:eastAsia="en-AU"/>
              </w:rPr>
              <w:t>a</w:t>
            </w:r>
            <w:r w:rsidRPr="00630A55">
              <w:rPr>
                <w:lang w:eastAsia="en-AU"/>
              </w:rPr>
              <w:t xml:space="preserve">llocation </w:t>
            </w:r>
            <w:r w:rsidR="00315C99">
              <w:rPr>
                <w:lang w:eastAsia="en-AU"/>
              </w:rPr>
              <w:t>a</w:t>
            </w:r>
            <w:r w:rsidRPr="00630A55">
              <w:rPr>
                <w:lang w:eastAsia="en-AU"/>
              </w:rPr>
              <w:t>mounts</w:t>
            </w:r>
          </w:p>
        </w:tc>
        <w:tc>
          <w:tcPr>
            <w:tcW w:w="1959" w:type="dxa"/>
            <w:tcBorders>
              <w:left w:val="single" w:sz="4" w:space="0" w:color="auto"/>
              <w:right w:val="single" w:sz="4" w:space="0" w:color="auto"/>
            </w:tcBorders>
            <w:shd w:val="clear" w:color="auto" w:fill="auto"/>
            <w:noWrap/>
            <w:vAlign w:val="bottom"/>
            <w:hideMark/>
          </w:tcPr>
          <w:p w14:paraId="1271C591" w14:textId="77777777" w:rsidR="000242AC" w:rsidRPr="00630A55" w:rsidRDefault="000242AC" w:rsidP="009527C7">
            <w:pPr>
              <w:pStyle w:val="TableTextNumber"/>
            </w:pPr>
            <w:r w:rsidRPr="00630A55">
              <w:t>$765,532,529</w:t>
            </w:r>
          </w:p>
        </w:tc>
      </w:tr>
      <w:tr w:rsidR="000242AC" w:rsidRPr="00630A55" w14:paraId="7D59C950" w14:textId="77777777" w:rsidTr="00D87587">
        <w:trPr>
          <w:trHeight w:val="258"/>
        </w:trPr>
        <w:tc>
          <w:tcPr>
            <w:tcW w:w="7215" w:type="dxa"/>
            <w:gridSpan w:val="2"/>
            <w:tcBorders>
              <w:left w:val="single" w:sz="4" w:space="0" w:color="auto"/>
              <w:right w:val="single" w:sz="4" w:space="0" w:color="auto"/>
            </w:tcBorders>
            <w:shd w:val="clear" w:color="000000" w:fill="FFFFFF"/>
            <w:noWrap/>
            <w:vAlign w:val="center"/>
            <w:hideMark/>
          </w:tcPr>
          <w:p w14:paraId="091D3C4A" w14:textId="77777777" w:rsidR="000242AC" w:rsidRPr="00630A55" w:rsidRDefault="000242AC" w:rsidP="009527C7">
            <w:pPr>
              <w:pStyle w:val="Tabletext"/>
              <w:rPr>
                <w:color w:val="000000"/>
                <w:lang w:eastAsia="en-AU"/>
              </w:rPr>
            </w:pPr>
            <w:r w:rsidRPr="00630A55">
              <w:rPr>
                <w:lang w:eastAsia="en-AU"/>
              </w:rPr>
              <w:t xml:space="preserve">Line items as per standards </w:t>
            </w:r>
          </w:p>
        </w:tc>
        <w:tc>
          <w:tcPr>
            <w:tcW w:w="1959" w:type="dxa"/>
            <w:tcBorders>
              <w:left w:val="single" w:sz="4" w:space="0" w:color="auto"/>
              <w:right w:val="single" w:sz="4" w:space="0" w:color="auto"/>
            </w:tcBorders>
            <w:shd w:val="clear" w:color="auto" w:fill="auto"/>
            <w:noWrap/>
            <w:vAlign w:val="bottom"/>
            <w:hideMark/>
          </w:tcPr>
          <w:p w14:paraId="419E9F80" w14:textId="77777777" w:rsidR="000242AC" w:rsidRPr="00630A55" w:rsidRDefault="000242AC" w:rsidP="009527C7">
            <w:pPr>
              <w:pStyle w:val="TableTextNumber"/>
            </w:pPr>
            <w:r w:rsidRPr="00630A55">
              <w:t>$765,532,529</w:t>
            </w:r>
          </w:p>
        </w:tc>
      </w:tr>
      <w:tr w:rsidR="000242AC" w:rsidRPr="00630A55" w14:paraId="437596C5" w14:textId="77777777" w:rsidTr="00D87587">
        <w:trPr>
          <w:trHeight w:val="258"/>
        </w:trPr>
        <w:tc>
          <w:tcPr>
            <w:tcW w:w="7215" w:type="dxa"/>
            <w:gridSpan w:val="2"/>
            <w:tcBorders>
              <w:left w:val="single" w:sz="4" w:space="0" w:color="auto"/>
              <w:bottom w:val="single" w:sz="12" w:space="0" w:color="auto"/>
              <w:right w:val="single" w:sz="4" w:space="0" w:color="auto"/>
            </w:tcBorders>
            <w:shd w:val="clear" w:color="000000" w:fill="FFFFFF"/>
            <w:noWrap/>
            <w:vAlign w:val="center"/>
            <w:hideMark/>
          </w:tcPr>
          <w:p w14:paraId="788CFDC4" w14:textId="580C41F1" w:rsidR="000242AC" w:rsidRPr="00630A55" w:rsidRDefault="000242AC" w:rsidP="009527C7">
            <w:pPr>
              <w:pStyle w:val="Tabletext"/>
              <w:rPr>
                <w:color w:val="000000"/>
                <w:lang w:eastAsia="en-AU"/>
              </w:rPr>
            </w:pPr>
            <w:r w:rsidRPr="00630A55">
              <w:rPr>
                <w:lang w:eastAsia="en-AU"/>
              </w:rPr>
              <w:t xml:space="preserve">Costs </w:t>
            </w:r>
            <w:r w:rsidR="00315C99">
              <w:rPr>
                <w:lang w:eastAsia="en-AU"/>
              </w:rPr>
              <w:t>s</w:t>
            </w:r>
            <w:r w:rsidRPr="00630A55">
              <w:rPr>
                <w:lang w:eastAsia="en-AU"/>
              </w:rPr>
              <w:t xml:space="preserve">ubmitted to </w:t>
            </w:r>
            <w:r w:rsidR="00315C99">
              <w:rPr>
                <w:lang w:eastAsia="en-AU"/>
              </w:rPr>
              <w:t>j</w:t>
            </w:r>
            <w:r w:rsidRPr="00630A55">
              <w:rPr>
                <w:lang w:eastAsia="en-AU"/>
              </w:rPr>
              <w:t xml:space="preserve">urisdiction </w:t>
            </w:r>
          </w:p>
        </w:tc>
        <w:tc>
          <w:tcPr>
            <w:tcW w:w="1959" w:type="dxa"/>
            <w:tcBorders>
              <w:left w:val="single" w:sz="4" w:space="0" w:color="auto"/>
              <w:bottom w:val="single" w:sz="12" w:space="0" w:color="auto"/>
              <w:right w:val="single" w:sz="4" w:space="0" w:color="auto"/>
            </w:tcBorders>
            <w:shd w:val="clear" w:color="auto" w:fill="auto"/>
            <w:noWrap/>
            <w:vAlign w:val="bottom"/>
            <w:hideMark/>
          </w:tcPr>
          <w:p w14:paraId="53F04435" w14:textId="77777777" w:rsidR="000242AC" w:rsidRPr="00630A55" w:rsidRDefault="000242AC" w:rsidP="009527C7">
            <w:pPr>
              <w:pStyle w:val="TableTextNumber"/>
            </w:pPr>
            <w:r w:rsidRPr="00630A55">
              <w:t>$765,532,529</w:t>
            </w:r>
          </w:p>
        </w:tc>
      </w:tr>
      <w:tr w:rsidR="000242AC" w:rsidRPr="00630A55" w14:paraId="65BE7724" w14:textId="77777777" w:rsidTr="00D87587">
        <w:trPr>
          <w:trHeight w:val="258"/>
        </w:trPr>
        <w:tc>
          <w:tcPr>
            <w:tcW w:w="7215" w:type="dxa"/>
            <w:gridSpan w:val="2"/>
            <w:tcBorders>
              <w:top w:val="single" w:sz="12" w:space="0" w:color="auto"/>
              <w:left w:val="single" w:sz="4" w:space="0" w:color="auto"/>
              <w:bottom w:val="single" w:sz="12" w:space="0" w:color="auto"/>
              <w:right w:val="single" w:sz="4" w:space="0" w:color="auto"/>
            </w:tcBorders>
            <w:shd w:val="clear" w:color="000000" w:fill="00338D"/>
            <w:noWrap/>
            <w:vAlign w:val="center"/>
            <w:hideMark/>
          </w:tcPr>
          <w:p w14:paraId="1125E487" w14:textId="6F47F9AF" w:rsidR="000242AC" w:rsidRPr="00630A55" w:rsidRDefault="000242AC" w:rsidP="009527C7">
            <w:pPr>
              <w:pStyle w:val="Tableheading"/>
              <w:rPr>
                <w:color w:val="FFFFFF"/>
                <w:lang w:eastAsia="en-AU"/>
              </w:rPr>
            </w:pPr>
            <w:r w:rsidRPr="00630A55">
              <w:rPr>
                <w:lang w:eastAsia="en-AU"/>
              </w:rPr>
              <w:t xml:space="preserve">Hospital level </w:t>
            </w:r>
            <w:r w:rsidR="00315C99">
              <w:rPr>
                <w:lang w:eastAsia="en-AU"/>
              </w:rPr>
              <w:t>d</w:t>
            </w:r>
            <w:r w:rsidRPr="00630A55">
              <w:rPr>
                <w:lang w:eastAsia="en-AU"/>
              </w:rPr>
              <w:t>ata (PCH)</w:t>
            </w:r>
          </w:p>
        </w:tc>
        <w:tc>
          <w:tcPr>
            <w:tcW w:w="1959" w:type="dxa"/>
            <w:tcBorders>
              <w:top w:val="single" w:sz="12" w:space="0" w:color="auto"/>
              <w:left w:val="single" w:sz="4" w:space="0" w:color="auto"/>
              <w:bottom w:val="single" w:sz="12" w:space="0" w:color="auto"/>
              <w:right w:val="single" w:sz="4" w:space="0" w:color="auto"/>
            </w:tcBorders>
            <w:shd w:val="clear" w:color="000000" w:fill="00338D"/>
            <w:noWrap/>
            <w:vAlign w:val="center"/>
            <w:hideMark/>
          </w:tcPr>
          <w:p w14:paraId="75BCC42A" w14:textId="28EE1095" w:rsidR="000242AC" w:rsidRPr="00630A55" w:rsidRDefault="000242AC" w:rsidP="009527C7">
            <w:pPr>
              <w:pStyle w:val="Tableheading"/>
              <w:rPr>
                <w:color w:val="FFFFFF"/>
                <w:lang w:eastAsia="en-AU"/>
              </w:rPr>
            </w:pPr>
            <w:r w:rsidRPr="00630A55">
              <w:rPr>
                <w:lang w:eastAsia="en-AU"/>
              </w:rPr>
              <w:t> </w:t>
            </w:r>
            <w:r w:rsidR="00467F5A">
              <w:rPr>
                <w:lang w:eastAsia="en-AU"/>
              </w:rPr>
              <w:t>Value</w:t>
            </w:r>
          </w:p>
        </w:tc>
      </w:tr>
      <w:tr w:rsidR="000242AC" w:rsidRPr="00630A55" w14:paraId="4EA52266" w14:textId="77777777" w:rsidTr="00D87587">
        <w:trPr>
          <w:trHeight w:val="258"/>
        </w:trPr>
        <w:tc>
          <w:tcPr>
            <w:tcW w:w="7215" w:type="dxa"/>
            <w:gridSpan w:val="2"/>
            <w:tcBorders>
              <w:left w:val="single" w:sz="4" w:space="0" w:color="auto"/>
              <w:right w:val="single" w:sz="4" w:space="0" w:color="auto"/>
            </w:tcBorders>
            <w:shd w:val="clear" w:color="000000" w:fill="FFFFFF"/>
            <w:noWrap/>
            <w:vAlign w:val="center"/>
            <w:hideMark/>
          </w:tcPr>
          <w:p w14:paraId="56ED91E5" w14:textId="75B851E2" w:rsidR="000242AC" w:rsidRPr="00630A55" w:rsidRDefault="000242AC" w:rsidP="009527C7">
            <w:pPr>
              <w:pStyle w:val="Tabletext"/>
              <w:rPr>
                <w:color w:val="000000"/>
                <w:lang w:eastAsia="en-AU"/>
              </w:rPr>
            </w:pPr>
            <w:r w:rsidRPr="00630A55">
              <w:rPr>
                <w:lang w:eastAsia="en-AU"/>
              </w:rPr>
              <w:t xml:space="preserve">GL transferred to </w:t>
            </w:r>
            <w:r w:rsidR="00315C99">
              <w:rPr>
                <w:lang w:eastAsia="en-AU"/>
              </w:rPr>
              <w:t>c</w:t>
            </w:r>
            <w:r w:rsidRPr="00630A55">
              <w:rPr>
                <w:lang w:eastAsia="en-AU"/>
              </w:rPr>
              <w:t xml:space="preserve">osting </w:t>
            </w:r>
            <w:r w:rsidR="00315C99">
              <w:rPr>
                <w:lang w:eastAsia="en-AU"/>
              </w:rPr>
              <w:t>s</w:t>
            </w:r>
            <w:r w:rsidRPr="00630A55">
              <w:rPr>
                <w:lang w:eastAsia="en-AU"/>
              </w:rPr>
              <w:t xml:space="preserve">ystem </w:t>
            </w:r>
          </w:p>
        </w:tc>
        <w:tc>
          <w:tcPr>
            <w:tcW w:w="1959" w:type="dxa"/>
            <w:tcBorders>
              <w:left w:val="single" w:sz="4" w:space="0" w:color="auto"/>
              <w:right w:val="single" w:sz="4" w:space="0" w:color="auto"/>
            </w:tcBorders>
            <w:shd w:val="clear" w:color="auto" w:fill="auto"/>
            <w:noWrap/>
            <w:vAlign w:val="center"/>
            <w:hideMark/>
          </w:tcPr>
          <w:p w14:paraId="7302D4A8" w14:textId="77777777" w:rsidR="000242AC" w:rsidRPr="00630A55" w:rsidRDefault="000242AC" w:rsidP="009527C7">
            <w:pPr>
              <w:pStyle w:val="TableTextNumber"/>
            </w:pPr>
            <w:r w:rsidRPr="00630A55">
              <w:t>$590,816,725</w:t>
            </w:r>
          </w:p>
        </w:tc>
      </w:tr>
      <w:tr w:rsidR="000242AC" w:rsidRPr="00630A55" w14:paraId="33927384" w14:textId="77777777" w:rsidTr="00D87587">
        <w:trPr>
          <w:trHeight w:val="258"/>
        </w:trPr>
        <w:tc>
          <w:tcPr>
            <w:tcW w:w="7215" w:type="dxa"/>
            <w:gridSpan w:val="2"/>
            <w:tcBorders>
              <w:left w:val="single" w:sz="4" w:space="0" w:color="auto"/>
              <w:right w:val="single" w:sz="4" w:space="0" w:color="auto"/>
            </w:tcBorders>
            <w:shd w:val="clear" w:color="000000" w:fill="FFFFFF"/>
            <w:noWrap/>
            <w:vAlign w:val="center"/>
            <w:hideMark/>
          </w:tcPr>
          <w:p w14:paraId="30257627" w14:textId="77777777" w:rsidR="000242AC" w:rsidRPr="00630A55" w:rsidRDefault="000242AC" w:rsidP="009527C7">
            <w:pPr>
              <w:pStyle w:val="Tabletext"/>
              <w:rPr>
                <w:color w:val="000000"/>
                <w:lang w:eastAsia="en-AU"/>
              </w:rPr>
            </w:pPr>
            <w:r w:rsidRPr="00630A55">
              <w:rPr>
                <w:lang w:eastAsia="en-AU"/>
              </w:rPr>
              <w:t xml:space="preserve">Adjustments </w:t>
            </w:r>
          </w:p>
        </w:tc>
        <w:tc>
          <w:tcPr>
            <w:tcW w:w="1959" w:type="dxa"/>
            <w:tcBorders>
              <w:left w:val="single" w:sz="4" w:space="0" w:color="auto"/>
              <w:right w:val="single" w:sz="4" w:space="0" w:color="auto"/>
            </w:tcBorders>
            <w:shd w:val="clear" w:color="auto" w:fill="auto"/>
            <w:noWrap/>
            <w:vAlign w:val="center"/>
            <w:hideMark/>
          </w:tcPr>
          <w:p w14:paraId="28327A81" w14:textId="77777777" w:rsidR="000242AC" w:rsidRPr="00630A55" w:rsidRDefault="000242AC" w:rsidP="009527C7">
            <w:pPr>
              <w:pStyle w:val="TableTextNumber"/>
              <w:rPr>
                <w:color w:val="000000"/>
              </w:rPr>
            </w:pPr>
            <w:r w:rsidRPr="00630A55">
              <w:t>($66,221,792)</w:t>
            </w:r>
          </w:p>
        </w:tc>
      </w:tr>
      <w:tr w:rsidR="000242AC" w:rsidRPr="00630A55" w14:paraId="0C7B3B6F" w14:textId="77777777" w:rsidTr="00D87587">
        <w:trPr>
          <w:trHeight w:val="258"/>
        </w:trPr>
        <w:tc>
          <w:tcPr>
            <w:tcW w:w="7215" w:type="dxa"/>
            <w:gridSpan w:val="2"/>
            <w:tcBorders>
              <w:left w:val="single" w:sz="4" w:space="0" w:color="auto"/>
              <w:right w:val="single" w:sz="4" w:space="0" w:color="auto"/>
            </w:tcBorders>
            <w:shd w:val="clear" w:color="000000" w:fill="FFFFFF"/>
            <w:noWrap/>
            <w:vAlign w:val="center"/>
            <w:hideMark/>
          </w:tcPr>
          <w:p w14:paraId="146661D4" w14:textId="7BFBE6D0" w:rsidR="000242AC" w:rsidRPr="00630A55" w:rsidRDefault="000242AC" w:rsidP="009527C7">
            <w:pPr>
              <w:pStyle w:val="Tabletext"/>
              <w:rPr>
                <w:color w:val="000000"/>
                <w:lang w:eastAsia="en-AU"/>
              </w:rPr>
            </w:pPr>
            <w:r w:rsidRPr="00630A55">
              <w:rPr>
                <w:lang w:eastAsia="en-AU"/>
              </w:rPr>
              <w:t xml:space="preserve">Post </w:t>
            </w:r>
            <w:r w:rsidR="00315C99">
              <w:rPr>
                <w:lang w:eastAsia="en-AU"/>
              </w:rPr>
              <w:t>a</w:t>
            </w:r>
            <w:r w:rsidRPr="00630A55">
              <w:rPr>
                <w:lang w:eastAsia="en-AU"/>
              </w:rPr>
              <w:t xml:space="preserve">llocation </w:t>
            </w:r>
            <w:r w:rsidR="00315C99">
              <w:rPr>
                <w:lang w:eastAsia="en-AU"/>
              </w:rPr>
              <w:t>a</w:t>
            </w:r>
            <w:r w:rsidRPr="00630A55">
              <w:rPr>
                <w:lang w:eastAsia="en-AU"/>
              </w:rPr>
              <w:t>mounts</w:t>
            </w:r>
          </w:p>
        </w:tc>
        <w:tc>
          <w:tcPr>
            <w:tcW w:w="1959" w:type="dxa"/>
            <w:tcBorders>
              <w:left w:val="single" w:sz="4" w:space="0" w:color="auto"/>
              <w:right w:val="single" w:sz="4" w:space="0" w:color="auto"/>
            </w:tcBorders>
            <w:shd w:val="clear" w:color="auto" w:fill="auto"/>
            <w:noWrap/>
            <w:vAlign w:val="center"/>
            <w:hideMark/>
          </w:tcPr>
          <w:p w14:paraId="36C3B172" w14:textId="77777777" w:rsidR="000242AC" w:rsidRPr="00630A55" w:rsidRDefault="000242AC" w:rsidP="009527C7">
            <w:pPr>
              <w:pStyle w:val="TableTextNumber"/>
            </w:pPr>
            <w:r w:rsidRPr="00630A55">
              <w:t>$524,595,023</w:t>
            </w:r>
          </w:p>
        </w:tc>
      </w:tr>
      <w:tr w:rsidR="000242AC" w:rsidRPr="00630A55" w14:paraId="6CF3BEC9" w14:textId="77777777" w:rsidTr="00D87587">
        <w:trPr>
          <w:trHeight w:val="258"/>
        </w:trPr>
        <w:tc>
          <w:tcPr>
            <w:tcW w:w="7215" w:type="dxa"/>
            <w:gridSpan w:val="2"/>
            <w:tcBorders>
              <w:left w:val="single" w:sz="4" w:space="0" w:color="auto"/>
              <w:right w:val="single" w:sz="4" w:space="0" w:color="auto"/>
            </w:tcBorders>
            <w:shd w:val="clear" w:color="000000" w:fill="FFFFFF"/>
            <w:noWrap/>
            <w:vAlign w:val="center"/>
            <w:hideMark/>
          </w:tcPr>
          <w:p w14:paraId="6EA3BCB5" w14:textId="77777777" w:rsidR="000242AC" w:rsidRPr="00630A55" w:rsidRDefault="000242AC" w:rsidP="009527C7">
            <w:pPr>
              <w:pStyle w:val="Tabletext"/>
              <w:rPr>
                <w:color w:val="000000"/>
                <w:lang w:eastAsia="en-AU"/>
              </w:rPr>
            </w:pPr>
            <w:r w:rsidRPr="00630A55">
              <w:rPr>
                <w:lang w:eastAsia="en-AU"/>
              </w:rPr>
              <w:t xml:space="preserve">Line items as per standards </w:t>
            </w:r>
          </w:p>
        </w:tc>
        <w:tc>
          <w:tcPr>
            <w:tcW w:w="1959" w:type="dxa"/>
            <w:tcBorders>
              <w:left w:val="single" w:sz="4" w:space="0" w:color="auto"/>
              <w:right w:val="single" w:sz="4" w:space="0" w:color="auto"/>
            </w:tcBorders>
            <w:shd w:val="clear" w:color="auto" w:fill="auto"/>
            <w:noWrap/>
            <w:vAlign w:val="center"/>
            <w:hideMark/>
          </w:tcPr>
          <w:p w14:paraId="1A8B4C1D" w14:textId="77777777" w:rsidR="000242AC" w:rsidRPr="00630A55" w:rsidRDefault="000242AC" w:rsidP="009527C7">
            <w:pPr>
              <w:pStyle w:val="TableTextNumber"/>
            </w:pPr>
            <w:r w:rsidRPr="00630A55">
              <w:t>$524,595,023</w:t>
            </w:r>
          </w:p>
        </w:tc>
      </w:tr>
      <w:tr w:rsidR="000242AC" w:rsidRPr="00630A55" w14:paraId="5B4FD90A" w14:textId="77777777" w:rsidTr="00D87587">
        <w:trPr>
          <w:trHeight w:val="258"/>
        </w:trPr>
        <w:tc>
          <w:tcPr>
            <w:tcW w:w="7215" w:type="dxa"/>
            <w:gridSpan w:val="2"/>
            <w:tcBorders>
              <w:left w:val="single" w:sz="4" w:space="0" w:color="auto"/>
              <w:bottom w:val="single" w:sz="12" w:space="0" w:color="auto"/>
              <w:right w:val="single" w:sz="4" w:space="0" w:color="auto"/>
            </w:tcBorders>
            <w:shd w:val="clear" w:color="000000" w:fill="FFFFFF"/>
            <w:noWrap/>
            <w:vAlign w:val="center"/>
            <w:hideMark/>
          </w:tcPr>
          <w:p w14:paraId="5DEB2572" w14:textId="2FB9D2E4" w:rsidR="000242AC" w:rsidRPr="00630A55" w:rsidRDefault="000242AC" w:rsidP="009527C7">
            <w:pPr>
              <w:pStyle w:val="Tabletext"/>
              <w:rPr>
                <w:color w:val="000000"/>
                <w:lang w:eastAsia="en-AU"/>
              </w:rPr>
            </w:pPr>
            <w:r w:rsidRPr="00630A55">
              <w:rPr>
                <w:lang w:eastAsia="en-AU"/>
              </w:rPr>
              <w:t xml:space="preserve">Costs </w:t>
            </w:r>
            <w:r w:rsidR="00315C99">
              <w:rPr>
                <w:lang w:eastAsia="en-AU"/>
              </w:rPr>
              <w:t>s</w:t>
            </w:r>
            <w:r w:rsidRPr="00630A55">
              <w:rPr>
                <w:lang w:eastAsia="en-AU"/>
              </w:rPr>
              <w:t xml:space="preserve">ubmitted to </w:t>
            </w:r>
            <w:r w:rsidR="00315C99">
              <w:rPr>
                <w:lang w:eastAsia="en-AU"/>
              </w:rPr>
              <w:t>j</w:t>
            </w:r>
            <w:r w:rsidRPr="00630A55">
              <w:rPr>
                <w:lang w:eastAsia="en-AU"/>
              </w:rPr>
              <w:t xml:space="preserve">urisdiction </w:t>
            </w:r>
          </w:p>
        </w:tc>
        <w:tc>
          <w:tcPr>
            <w:tcW w:w="1959" w:type="dxa"/>
            <w:tcBorders>
              <w:left w:val="single" w:sz="4" w:space="0" w:color="auto"/>
              <w:bottom w:val="single" w:sz="12" w:space="0" w:color="auto"/>
              <w:right w:val="single" w:sz="4" w:space="0" w:color="auto"/>
            </w:tcBorders>
            <w:shd w:val="clear" w:color="auto" w:fill="auto"/>
            <w:noWrap/>
            <w:vAlign w:val="center"/>
            <w:hideMark/>
          </w:tcPr>
          <w:p w14:paraId="21086D25" w14:textId="77777777" w:rsidR="000242AC" w:rsidRPr="00630A55" w:rsidRDefault="000242AC" w:rsidP="009527C7">
            <w:pPr>
              <w:pStyle w:val="TableTextNumber"/>
            </w:pPr>
            <w:r w:rsidRPr="00630A55">
              <w:t>$524,594,999</w:t>
            </w:r>
          </w:p>
        </w:tc>
      </w:tr>
      <w:tr w:rsidR="000242AC" w:rsidRPr="00630A55" w14:paraId="2B95BE3C" w14:textId="77777777" w:rsidTr="00D87587">
        <w:trPr>
          <w:trHeight w:val="258"/>
        </w:trPr>
        <w:tc>
          <w:tcPr>
            <w:tcW w:w="7215" w:type="dxa"/>
            <w:gridSpan w:val="2"/>
            <w:tcBorders>
              <w:top w:val="single" w:sz="12" w:space="0" w:color="auto"/>
              <w:left w:val="single" w:sz="4" w:space="0" w:color="auto"/>
              <w:bottom w:val="single" w:sz="12" w:space="0" w:color="auto"/>
              <w:right w:val="single" w:sz="4" w:space="0" w:color="auto"/>
            </w:tcBorders>
            <w:shd w:val="clear" w:color="000000" w:fill="00338D"/>
            <w:noWrap/>
            <w:vAlign w:val="center"/>
            <w:hideMark/>
          </w:tcPr>
          <w:p w14:paraId="2146421B" w14:textId="4C7AEB07" w:rsidR="000242AC" w:rsidRPr="00630A55" w:rsidRDefault="000242AC" w:rsidP="009527C7">
            <w:pPr>
              <w:pStyle w:val="Tableheading"/>
              <w:rPr>
                <w:lang w:eastAsia="en-AU"/>
              </w:rPr>
            </w:pPr>
            <w:r w:rsidRPr="00630A55">
              <w:rPr>
                <w:lang w:eastAsia="en-AU"/>
              </w:rPr>
              <w:t xml:space="preserve">PCH </w:t>
            </w:r>
            <w:r w:rsidR="00315C99">
              <w:rPr>
                <w:lang w:eastAsia="en-AU"/>
              </w:rPr>
              <w:t>a</w:t>
            </w:r>
            <w:r w:rsidRPr="00630A55">
              <w:rPr>
                <w:lang w:eastAsia="en-AU"/>
              </w:rPr>
              <w:t>ctivity</w:t>
            </w:r>
          </w:p>
        </w:tc>
        <w:tc>
          <w:tcPr>
            <w:tcW w:w="1959" w:type="dxa"/>
            <w:tcBorders>
              <w:top w:val="single" w:sz="12" w:space="0" w:color="auto"/>
              <w:left w:val="single" w:sz="4" w:space="0" w:color="auto"/>
              <w:bottom w:val="single" w:sz="12" w:space="0" w:color="auto"/>
              <w:right w:val="single" w:sz="4" w:space="0" w:color="auto"/>
            </w:tcBorders>
            <w:shd w:val="clear" w:color="000000" w:fill="00338D"/>
            <w:noWrap/>
            <w:vAlign w:val="center"/>
            <w:hideMark/>
          </w:tcPr>
          <w:p w14:paraId="1F62C7BF" w14:textId="77777777" w:rsidR="000242AC" w:rsidRPr="00630A55" w:rsidRDefault="000242AC" w:rsidP="009527C7">
            <w:pPr>
              <w:pStyle w:val="Tableheading"/>
              <w:rPr>
                <w:color w:val="FFFFFF"/>
                <w:lang w:eastAsia="en-AU"/>
              </w:rPr>
            </w:pPr>
            <w:r w:rsidRPr="00630A55">
              <w:rPr>
                <w:lang w:eastAsia="en-AU"/>
              </w:rPr>
              <w:t xml:space="preserve">Value </w:t>
            </w:r>
          </w:p>
        </w:tc>
      </w:tr>
      <w:tr w:rsidR="000242AC" w:rsidRPr="00630A55" w14:paraId="1D5C5084" w14:textId="77777777" w:rsidTr="00D87587">
        <w:trPr>
          <w:trHeight w:val="465"/>
        </w:trPr>
        <w:tc>
          <w:tcPr>
            <w:tcW w:w="7215" w:type="dxa"/>
            <w:gridSpan w:val="2"/>
            <w:tcBorders>
              <w:top w:val="single" w:sz="12" w:space="0" w:color="auto"/>
              <w:left w:val="single" w:sz="4" w:space="0" w:color="auto"/>
              <w:right w:val="single" w:sz="4" w:space="0" w:color="auto"/>
            </w:tcBorders>
            <w:shd w:val="clear" w:color="000000" w:fill="FFFFFF"/>
            <w:vAlign w:val="center"/>
            <w:hideMark/>
          </w:tcPr>
          <w:p w14:paraId="2AAFC117" w14:textId="1E6D87E0" w:rsidR="000242AC" w:rsidRPr="00630A55" w:rsidRDefault="000242AC" w:rsidP="009527C7">
            <w:pPr>
              <w:pStyle w:val="Tabletext"/>
              <w:rPr>
                <w:color w:val="000000"/>
                <w:lang w:eastAsia="en-AU"/>
              </w:rPr>
            </w:pPr>
            <w:r w:rsidRPr="00630A55">
              <w:rPr>
                <w:lang w:eastAsia="en-AU"/>
              </w:rPr>
              <w:t xml:space="preserve">Data loaded to the costing </w:t>
            </w:r>
            <w:r w:rsidR="00315C99">
              <w:rPr>
                <w:lang w:eastAsia="en-AU"/>
              </w:rPr>
              <w:t>s</w:t>
            </w:r>
            <w:r w:rsidRPr="00630A55">
              <w:rPr>
                <w:lang w:eastAsia="en-AU"/>
              </w:rPr>
              <w:t>ystem for costing purposes</w:t>
            </w:r>
          </w:p>
        </w:tc>
        <w:tc>
          <w:tcPr>
            <w:tcW w:w="1959" w:type="dxa"/>
            <w:tcBorders>
              <w:top w:val="single" w:sz="12" w:space="0" w:color="auto"/>
              <w:left w:val="single" w:sz="4" w:space="0" w:color="auto"/>
              <w:right w:val="single" w:sz="4" w:space="0" w:color="auto"/>
            </w:tcBorders>
            <w:shd w:val="clear" w:color="auto" w:fill="auto"/>
            <w:vAlign w:val="center"/>
            <w:hideMark/>
          </w:tcPr>
          <w:p w14:paraId="338F5929" w14:textId="77777777" w:rsidR="000242AC" w:rsidRPr="00630A55" w:rsidRDefault="000242AC" w:rsidP="009527C7">
            <w:pPr>
              <w:pStyle w:val="TableTextNumber"/>
            </w:pPr>
            <w:r w:rsidRPr="00630A55">
              <w:t> </w:t>
            </w:r>
          </w:p>
        </w:tc>
      </w:tr>
      <w:tr w:rsidR="000242AC" w:rsidRPr="00630A55" w14:paraId="16E6E20F" w14:textId="77777777" w:rsidTr="00D87587">
        <w:trPr>
          <w:trHeight w:val="258"/>
        </w:trPr>
        <w:tc>
          <w:tcPr>
            <w:tcW w:w="281" w:type="dxa"/>
            <w:tcBorders>
              <w:left w:val="single" w:sz="4" w:space="0" w:color="auto"/>
            </w:tcBorders>
            <w:shd w:val="clear" w:color="000000" w:fill="FFFFFF"/>
            <w:noWrap/>
            <w:vAlign w:val="center"/>
            <w:hideMark/>
          </w:tcPr>
          <w:p w14:paraId="79898A87" w14:textId="77777777" w:rsidR="000242AC" w:rsidRPr="00630A55" w:rsidRDefault="000242AC" w:rsidP="009527C7">
            <w:pPr>
              <w:pStyle w:val="Tabletext"/>
              <w:rPr>
                <w:color w:val="000000"/>
                <w:lang w:eastAsia="en-AU"/>
              </w:rPr>
            </w:pPr>
            <w:r w:rsidRPr="00630A55">
              <w:rPr>
                <w:lang w:eastAsia="en-AU"/>
              </w:rPr>
              <w:t> </w:t>
            </w:r>
          </w:p>
        </w:tc>
        <w:tc>
          <w:tcPr>
            <w:tcW w:w="6934" w:type="dxa"/>
            <w:tcBorders>
              <w:right w:val="single" w:sz="4" w:space="0" w:color="auto"/>
            </w:tcBorders>
            <w:shd w:val="clear" w:color="000000" w:fill="FFFFFF"/>
            <w:noWrap/>
            <w:vAlign w:val="center"/>
            <w:hideMark/>
          </w:tcPr>
          <w:p w14:paraId="2C944E30" w14:textId="5253D4A7" w:rsidR="000242AC" w:rsidRPr="00630A55" w:rsidRDefault="000242AC" w:rsidP="009527C7">
            <w:pPr>
              <w:pStyle w:val="Tabletext"/>
              <w:rPr>
                <w:color w:val="000000"/>
                <w:lang w:eastAsia="en-AU"/>
              </w:rPr>
            </w:pPr>
            <w:r w:rsidRPr="00630A55">
              <w:rPr>
                <w:lang w:eastAsia="en-AU"/>
              </w:rPr>
              <w:t xml:space="preserve">Activity </w:t>
            </w:r>
            <w:r w:rsidR="00315C99">
              <w:rPr>
                <w:lang w:eastAsia="en-AU"/>
              </w:rPr>
              <w:t>d</w:t>
            </w:r>
            <w:r w:rsidRPr="00630A55">
              <w:rPr>
                <w:lang w:eastAsia="en-AU"/>
              </w:rPr>
              <w:t xml:space="preserve">ata </w:t>
            </w:r>
          </w:p>
        </w:tc>
        <w:tc>
          <w:tcPr>
            <w:tcW w:w="1959" w:type="dxa"/>
            <w:tcBorders>
              <w:left w:val="single" w:sz="4" w:space="0" w:color="auto"/>
              <w:right w:val="single" w:sz="4" w:space="0" w:color="auto"/>
            </w:tcBorders>
            <w:shd w:val="clear" w:color="auto" w:fill="auto"/>
            <w:noWrap/>
            <w:vAlign w:val="center"/>
            <w:hideMark/>
          </w:tcPr>
          <w:p w14:paraId="508845B4" w14:textId="77777777" w:rsidR="000242AC" w:rsidRPr="00630A55" w:rsidRDefault="000242AC" w:rsidP="009527C7">
            <w:pPr>
              <w:pStyle w:val="TableTextNumber"/>
            </w:pPr>
            <w:r w:rsidRPr="00630A55">
              <w:t>413,813</w:t>
            </w:r>
          </w:p>
        </w:tc>
      </w:tr>
      <w:tr w:rsidR="000242AC" w:rsidRPr="00630A55" w14:paraId="254FFA2B" w14:textId="77777777" w:rsidTr="00D87587">
        <w:trPr>
          <w:trHeight w:val="258"/>
        </w:trPr>
        <w:tc>
          <w:tcPr>
            <w:tcW w:w="281" w:type="dxa"/>
            <w:tcBorders>
              <w:left w:val="single" w:sz="4" w:space="0" w:color="auto"/>
            </w:tcBorders>
            <w:shd w:val="clear" w:color="000000" w:fill="FFFFFF"/>
            <w:noWrap/>
            <w:vAlign w:val="center"/>
            <w:hideMark/>
          </w:tcPr>
          <w:p w14:paraId="327B20DB" w14:textId="77777777" w:rsidR="000242AC" w:rsidRPr="00630A55" w:rsidRDefault="000242AC" w:rsidP="009527C7">
            <w:pPr>
              <w:pStyle w:val="Tabletext"/>
              <w:rPr>
                <w:color w:val="000000"/>
                <w:lang w:eastAsia="en-AU"/>
              </w:rPr>
            </w:pPr>
            <w:r w:rsidRPr="00630A55">
              <w:rPr>
                <w:lang w:eastAsia="en-AU"/>
              </w:rPr>
              <w:t> </w:t>
            </w:r>
          </w:p>
        </w:tc>
        <w:tc>
          <w:tcPr>
            <w:tcW w:w="6934" w:type="dxa"/>
            <w:tcBorders>
              <w:right w:val="single" w:sz="4" w:space="0" w:color="auto"/>
            </w:tcBorders>
            <w:shd w:val="clear" w:color="000000" w:fill="FFFFFF"/>
            <w:noWrap/>
            <w:vAlign w:val="center"/>
            <w:hideMark/>
          </w:tcPr>
          <w:p w14:paraId="38A84F5F" w14:textId="4A44633A" w:rsidR="000242AC" w:rsidRPr="00630A55" w:rsidRDefault="000242AC" w:rsidP="009527C7">
            <w:pPr>
              <w:pStyle w:val="Tabletext"/>
              <w:rPr>
                <w:color w:val="000000"/>
                <w:lang w:eastAsia="en-AU"/>
              </w:rPr>
            </w:pPr>
            <w:r w:rsidRPr="00630A55">
              <w:rPr>
                <w:lang w:eastAsia="en-AU"/>
              </w:rPr>
              <w:t xml:space="preserve">Feeder </w:t>
            </w:r>
            <w:r w:rsidR="00315C99">
              <w:rPr>
                <w:lang w:eastAsia="en-AU"/>
              </w:rPr>
              <w:t>d</w:t>
            </w:r>
            <w:r w:rsidRPr="00630A55">
              <w:rPr>
                <w:lang w:eastAsia="en-AU"/>
              </w:rPr>
              <w:t>ata</w:t>
            </w:r>
          </w:p>
        </w:tc>
        <w:tc>
          <w:tcPr>
            <w:tcW w:w="1959" w:type="dxa"/>
            <w:tcBorders>
              <w:left w:val="single" w:sz="4" w:space="0" w:color="auto"/>
              <w:right w:val="single" w:sz="4" w:space="0" w:color="auto"/>
            </w:tcBorders>
            <w:shd w:val="clear" w:color="auto" w:fill="auto"/>
            <w:noWrap/>
            <w:vAlign w:val="center"/>
            <w:hideMark/>
          </w:tcPr>
          <w:p w14:paraId="2BF9B2E0" w14:textId="77777777" w:rsidR="000242AC" w:rsidRPr="00630A55" w:rsidRDefault="000242AC" w:rsidP="009527C7">
            <w:pPr>
              <w:pStyle w:val="TableTextNumber"/>
            </w:pPr>
            <w:r w:rsidRPr="00630A55">
              <w:t>656,215</w:t>
            </w:r>
          </w:p>
        </w:tc>
      </w:tr>
      <w:tr w:rsidR="000242AC" w:rsidRPr="00630A55" w14:paraId="0B08847B" w14:textId="77777777" w:rsidTr="00D87587">
        <w:trPr>
          <w:trHeight w:val="257"/>
        </w:trPr>
        <w:tc>
          <w:tcPr>
            <w:tcW w:w="7215" w:type="dxa"/>
            <w:gridSpan w:val="2"/>
            <w:tcBorders>
              <w:left w:val="single" w:sz="4" w:space="0" w:color="auto"/>
              <w:right w:val="single" w:sz="4" w:space="0" w:color="auto"/>
            </w:tcBorders>
            <w:shd w:val="clear" w:color="000000" w:fill="FFFFFF"/>
            <w:vAlign w:val="center"/>
            <w:hideMark/>
          </w:tcPr>
          <w:p w14:paraId="083CFF58" w14:textId="4871A056" w:rsidR="000242AC" w:rsidRPr="00630A55" w:rsidRDefault="000242AC" w:rsidP="009527C7">
            <w:pPr>
              <w:pStyle w:val="Tabletext"/>
              <w:rPr>
                <w:color w:val="000000"/>
                <w:lang w:eastAsia="en-AU"/>
              </w:rPr>
            </w:pPr>
            <w:r w:rsidRPr="00630A55">
              <w:rPr>
                <w:lang w:eastAsia="en-AU"/>
              </w:rPr>
              <w:t xml:space="preserve">NHCDC </w:t>
            </w:r>
            <w:r w:rsidR="00315C99">
              <w:rPr>
                <w:lang w:eastAsia="en-AU"/>
              </w:rPr>
              <w:t>p</w:t>
            </w:r>
            <w:r w:rsidRPr="00630A55">
              <w:rPr>
                <w:lang w:eastAsia="en-AU"/>
              </w:rPr>
              <w:t xml:space="preserve">roduct </w:t>
            </w:r>
            <w:r w:rsidR="00315C99">
              <w:rPr>
                <w:lang w:eastAsia="en-AU"/>
              </w:rPr>
              <w:t>o</w:t>
            </w:r>
            <w:r w:rsidRPr="00630A55">
              <w:rPr>
                <w:lang w:eastAsia="en-AU"/>
              </w:rPr>
              <w:t xml:space="preserve">utput </w:t>
            </w:r>
            <w:r w:rsidR="00315C99">
              <w:rPr>
                <w:lang w:eastAsia="en-AU"/>
              </w:rPr>
              <w:t>a</w:t>
            </w:r>
            <w:r w:rsidRPr="00630A55">
              <w:rPr>
                <w:lang w:eastAsia="en-AU"/>
              </w:rPr>
              <w:t xml:space="preserve">ctivity - </w:t>
            </w:r>
            <w:r w:rsidR="00315C99">
              <w:rPr>
                <w:lang w:eastAsia="en-AU"/>
              </w:rPr>
              <w:t>p</w:t>
            </w:r>
            <w:r w:rsidRPr="00630A55">
              <w:rPr>
                <w:lang w:eastAsia="en-AU"/>
              </w:rPr>
              <w:t xml:space="preserve">ost </w:t>
            </w:r>
            <w:r w:rsidR="00315C99">
              <w:rPr>
                <w:lang w:eastAsia="en-AU"/>
              </w:rPr>
              <w:t>l</w:t>
            </w:r>
            <w:r w:rsidRPr="00630A55">
              <w:rPr>
                <w:lang w:eastAsia="en-AU"/>
              </w:rPr>
              <w:t xml:space="preserve">inking and </w:t>
            </w:r>
            <w:r w:rsidR="00315C99">
              <w:rPr>
                <w:lang w:eastAsia="en-AU"/>
              </w:rPr>
              <w:t>l</w:t>
            </w:r>
            <w:r w:rsidRPr="00630A55">
              <w:rPr>
                <w:lang w:eastAsia="en-AU"/>
              </w:rPr>
              <w:t>oading</w:t>
            </w:r>
          </w:p>
        </w:tc>
        <w:tc>
          <w:tcPr>
            <w:tcW w:w="1959" w:type="dxa"/>
            <w:tcBorders>
              <w:left w:val="single" w:sz="4" w:space="0" w:color="auto"/>
              <w:right w:val="single" w:sz="4" w:space="0" w:color="auto"/>
            </w:tcBorders>
            <w:shd w:val="clear" w:color="auto" w:fill="auto"/>
            <w:noWrap/>
            <w:vAlign w:val="center"/>
            <w:hideMark/>
          </w:tcPr>
          <w:p w14:paraId="271C7D88" w14:textId="77777777" w:rsidR="000242AC" w:rsidRPr="00630A55" w:rsidRDefault="000242AC" w:rsidP="009527C7">
            <w:pPr>
              <w:pStyle w:val="TableTextNumber"/>
            </w:pPr>
            <w:r w:rsidRPr="00630A55">
              <w:t>390,683</w:t>
            </w:r>
          </w:p>
        </w:tc>
      </w:tr>
      <w:tr w:rsidR="000242AC" w:rsidRPr="00630A55" w14:paraId="2B31D2DC" w14:textId="77777777" w:rsidTr="00D87587">
        <w:trPr>
          <w:trHeight w:val="258"/>
        </w:trPr>
        <w:tc>
          <w:tcPr>
            <w:tcW w:w="7215" w:type="dxa"/>
            <w:gridSpan w:val="2"/>
            <w:tcBorders>
              <w:left w:val="single" w:sz="4" w:space="0" w:color="auto"/>
              <w:right w:val="single" w:sz="4" w:space="0" w:color="auto"/>
            </w:tcBorders>
            <w:shd w:val="clear" w:color="000000" w:fill="FFFFFF"/>
            <w:vAlign w:val="center"/>
            <w:hideMark/>
          </w:tcPr>
          <w:p w14:paraId="60CF0D64" w14:textId="006A499D" w:rsidR="000242AC" w:rsidRPr="00630A55" w:rsidRDefault="000242AC" w:rsidP="009527C7">
            <w:pPr>
              <w:pStyle w:val="Tabletext"/>
              <w:rPr>
                <w:color w:val="000000"/>
                <w:lang w:eastAsia="en-AU"/>
              </w:rPr>
            </w:pPr>
            <w:r w:rsidRPr="00630A55">
              <w:rPr>
                <w:lang w:eastAsia="en-AU"/>
              </w:rPr>
              <w:t xml:space="preserve">Final </w:t>
            </w:r>
            <w:r w:rsidR="004C1B58">
              <w:rPr>
                <w:lang w:eastAsia="en-AU"/>
              </w:rPr>
              <w:t>s</w:t>
            </w:r>
            <w:r w:rsidRPr="00630A55">
              <w:rPr>
                <w:lang w:eastAsia="en-AU"/>
              </w:rPr>
              <w:t xml:space="preserve">ubmission to </w:t>
            </w:r>
            <w:r w:rsidR="004C1B58">
              <w:rPr>
                <w:lang w:eastAsia="en-AU"/>
              </w:rPr>
              <w:t>j</w:t>
            </w:r>
            <w:r w:rsidRPr="00630A55">
              <w:rPr>
                <w:lang w:eastAsia="en-AU"/>
              </w:rPr>
              <w:t xml:space="preserve">urisdiction - </w:t>
            </w:r>
            <w:r w:rsidR="004C1B58">
              <w:rPr>
                <w:lang w:eastAsia="en-AU"/>
              </w:rPr>
              <w:t>a</w:t>
            </w:r>
            <w:r w:rsidRPr="00630A55">
              <w:rPr>
                <w:lang w:eastAsia="en-AU"/>
              </w:rPr>
              <w:t xml:space="preserve">ctivity by </w:t>
            </w:r>
            <w:r w:rsidR="004C1B58">
              <w:rPr>
                <w:lang w:eastAsia="en-AU"/>
              </w:rPr>
              <w:t>p</w:t>
            </w:r>
            <w:r w:rsidRPr="00630A55">
              <w:rPr>
                <w:lang w:eastAsia="en-AU"/>
              </w:rPr>
              <w:t>roduct</w:t>
            </w:r>
          </w:p>
        </w:tc>
        <w:tc>
          <w:tcPr>
            <w:tcW w:w="1959" w:type="dxa"/>
            <w:tcBorders>
              <w:left w:val="single" w:sz="4" w:space="0" w:color="auto"/>
              <w:right w:val="single" w:sz="4" w:space="0" w:color="auto"/>
            </w:tcBorders>
            <w:shd w:val="clear" w:color="auto" w:fill="auto"/>
            <w:noWrap/>
            <w:vAlign w:val="center"/>
            <w:hideMark/>
          </w:tcPr>
          <w:p w14:paraId="0241A3B4" w14:textId="77777777" w:rsidR="000242AC" w:rsidRPr="00630A55" w:rsidRDefault="000242AC" w:rsidP="009527C7">
            <w:pPr>
              <w:pStyle w:val="TableTextNumber"/>
            </w:pPr>
            <w:r w:rsidRPr="00630A55">
              <w:t>390,683</w:t>
            </w:r>
          </w:p>
        </w:tc>
      </w:tr>
      <w:tr w:rsidR="000242AC" w:rsidRPr="00630A55" w14:paraId="76ED7934" w14:textId="77777777" w:rsidTr="00D87587">
        <w:trPr>
          <w:trHeight w:val="258"/>
        </w:trPr>
        <w:tc>
          <w:tcPr>
            <w:tcW w:w="7215" w:type="dxa"/>
            <w:gridSpan w:val="2"/>
            <w:tcBorders>
              <w:left w:val="single" w:sz="4" w:space="0" w:color="auto"/>
              <w:bottom w:val="single" w:sz="12" w:space="0" w:color="auto"/>
              <w:right w:val="single" w:sz="4" w:space="0" w:color="auto"/>
            </w:tcBorders>
            <w:shd w:val="clear" w:color="000000" w:fill="FFFFFF"/>
            <w:vAlign w:val="center"/>
            <w:hideMark/>
          </w:tcPr>
          <w:p w14:paraId="31730AAE" w14:textId="24A2F49A" w:rsidR="000242AC" w:rsidRPr="00630A55" w:rsidRDefault="000242AC" w:rsidP="009527C7">
            <w:pPr>
              <w:pStyle w:val="Tabletext"/>
              <w:rPr>
                <w:color w:val="000000"/>
                <w:lang w:eastAsia="en-AU"/>
              </w:rPr>
            </w:pPr>
            <w:r w:rsidRPr="00630A55">
              <w:rPr>
                <w:lang w:eastAsia="en-AU"/>
              </w:rPr>
              <w:t xml:space="preserve">Final </w:t>
            </w:r>
            <w:r w:rsidR="004C1B58">
              <w:rPr>
                <w:lang w:eastAsia="en-AU"/>
              </w:rPr>
              <w:t>s</w:t>
            </w:r>
            <w:r w:rsidRPr="00630A55">
              <w:rPr>
                <w:lang w:eastAsia="en-AU"/>
              </w:rPr>
              <w:t xml:space="preserve">ubmission to </w:t>
            </w:r>
            <w:r w:rsidR="004C1B58">
              <w:rPr>
                <w:lang w:eastAsia="en-AU"/>
              </w:rPr>
              <w:t>j</w:t>
            </w:r>
            <w:r w:rsidRPr="00630A55">
              <w:rPr>
                <w:lang w:eastAsia="en-AU"/>
              </w:rPr>
              <w:t xml:space="preserve">urisdiction - </w:t>
            </w:r>
            <w:r w:rsidR="004C1B58">
              <w:rPr>
                <w:lang w:eastAsia="en-AU"/>
              </w:rPr>
              <w:t>a</w:t>
            </w:r>
            <w:r w:rsidRPr="00630A55">
              <w:rPr>
                <w:lang w:eastAsia="en-AU"/>
              </w:rPr>
              <w:t xml:space="preserve">ctivity and </w:t>
            </w:r>
            <w:r w:rsidR="004C1B58">
              <w:rPr>
                <w:lang w:eastAsia="en-AU"/>
              </w:rPr>
              <w:t>c</w:t>
            </w:r>
            <w:r w:rsidRPr="00630A55">
              <w:rPr>
                <w:lang w:eastAsia="en-AU"/>
              </w:rPr>
              <w:t xml:space="preserve">ost by </w:t>
            </w:r>
            <w:r w:rsidR="004C1B58">
              <w:rPr>
                <w:lang w:eastAsia="en-AU"/>
              </w:rPr>
              <w:t>p</w:t>
            </w:r>
            <w:r w:rsidRPr="00630A55">
              <w:rPr>
                <w:lang w:eastAsia="en-AU"/>
              </w:rPr>
              <w:t>roduct</w:t>
            </w:r>
          </w:p>
        </w:tc>
        <w:tc>
          <w:tcPr>
            <w:tcW w:w="1959" w:type="dxa"/>
            <w:tcBorders>
              <w:left w:val="single" w:sz="4" w:space="0" w:color="auto"/>
              <w:bottom w:val="single" w:sz="12" w:space="0" w:color="auto"/>
              <w:right w:val="single" w:sz="4" w:space="0" w:color="auto"/>
            </w:tcBorders>
            <w:shd w:val="clear" w:color="auto" w:fill="auto"/>
            <w:noWrap/>
            <w:vAlign w:val="center"/>
            <w:hideMark/>
          </w:tcPr>
          <w:p w14:paraId="256D8E01" w14:textId="77777777" w:rsidR="000242AC" w:rsidRPr="00630A55" w:rsidRDefault="000242AC" w:rsidP="009527C7">
            <w:pPr>
              <w:pStyle w:val="TableTextNumber"/>
            </w:pPr>
            <w:r w:rsidRPr="00630A55">
              <w:t>390,683</w:t>
            </w:r>
          </w:p>
        </w:tc>
      </w:tr>
      <w:tr w:rsidR="000242AC" w:rsidRPr="00630A55" w14:paraId="06AB6C05" w14:textId="77777777" w:rsidTr="00D87587">
        <w:trPr>
          <w:trHeight w:val="258"/>
        </w:trPr>
        <w:tc>
          <w:tcPr>
            <w:tcW w:w="7215" w:type="dxa"/>
            <w:gridSpan w:val="2"/>
            <w:tcBorders>
              <w:top w:val="single" w:sz="12" w:space="0" w:color="auto"/>
              <w:left w:val="single" w:sz="4" w:space="0" w:color="auto"/>
              <w:bottom w:val="single" w:sz="12" w:space="0" w:color="auto"/>
              <w:right w:val="single" w:sz="4" w:space="0" w:color="auto"/>
            </w:tcBorders>
            <w:shd w:val="clear" w:color="000000" w:fill="00338D"/>
            <w:noWrap/>
            <w:vAlign w:val="center"/>
            <w:hideMark/>
          </w:tcPr>
          <w:p w14:paraId="0F4FAC9D" w14:textId="673A0332" w:rsidR="000242AC" w:rsidRPr="00630A55" w:rsidRDefault="000242AC" w:rsidP="009527C7">
            <w:pPr>
              <w:pStyle w:val="Tableheading"/>
              <w:rPr>
                <w:color w:val="FFFFFF"/>
                <w:lang w:eastAsia="en-AU"/>
              </w:rPr>
            </w:pPr>
            <w:r w:rsidRPr="00630A55">
              <w:rPr>
                <w:lang w:eastAsia="en-AU"/>
              </w:rPr>
              <w:t xml:space="preserve">PCH submitted to </w:t>
            </w:r>
            <w:r w:rsidR="004C1B58">
              <w:rPr>
                <w:lang w:eastAsia="en-AU"/>
              </w:rPr>
              <w:t>j</w:t>
            </w:r>
            <w:r w:rsidRPr="00630A55">
              <w:rPr>
                <w:lang w:eastAsia="en-AU"/>
              </w:rPr>
              <w:t xml:space="preserve">urisdiction </w:t>
            </w:r>
          </w:p>
        </w:tc>
        <w:tc>
          <w:tcPr>
            <w:tcW w:w="1959" w:type="dxa"/>
            <w:tcBorders>
              <w:top w:val="single" w:sz="12" w:space="0" w:color="auto"/>
              <w:left w:val="single" w:sz="4" w:space="0" w:color="auto"/>
              <w:bottom w:val="single" w:sz="12" w:space="0" w:color="auto"/>
              <w:right w:val="single" w:sz="4" w:space="0" w:color="auto"/>
            </w:tcBorders>
            <w:shd w:val="clear" w:color="000000" w:fill="00338D"/>
            <w:noWrap/>
            <w:vAlign w:val="center"/>
            <w:hideMark/>
          </w:tcPr>
          <w:p w14:paraId="7E9DCC16" w14:textId="77777777" w:rsidR="000242AC" w:rsidRPr="00630A55" w:rsidRDefault="000242AC" w:rsidP="009527C7">
            <w:pPr>
              <w:pStyle w:val="Tableheading"/>
              <w:rPr>
                <w:color w:val="FFFFFF"/>
                <w:lang w:eastAsia="en-AU"/>
              </w:rPr>
            </w:pPr>
            <w:r w:rsidRPr="00630A55">
              <w:rPr>
                <w:lang w:eastAsia="en-AU"/>
              </w:rPr>
              <w:t xml:space="preserve">Value </w:t>
            </w:r>
          </w:p>
        </w:tc>
      </w:tr>
      <w:tr w:rsidR="000242AC" w:rsidRPr="00630A55" w14:paraId="1EE422DA" w14:textId="77777777" w:rsidTr="00D87587">
        <w:trPr>
          <w:trHeight w:val="258"/>
        </w:trPr>
        <w:tc>
          <w:tcPr>
            <w:tcW w:w="7215" w:type="dxa"/>
            <w:gridSpan w:val="2"/>
            <w:tcBorders>
              <w:top w:val="single" w:sz="12" w:space="0" w:color="auto"/>
              <w:left w:val="single" w:sz="4" w:space="0" w:color="auto"/>
              <w:right w:val="single" w:sz="4" w:space="0" w:color="auto"/>
            </w:tcBorders>
            <w:shd w:val="clear" w:color="auto" w:fill="auto"/>
            <w:vAlign w:val="center"/>
            <w:hideMark/>
          </w:tcPr>
          <w:p w14:paraId="795BB163" w14:textId="151341BA" w:rsidR="000242AC" w:rsidRPr="00630A55" w:rsidRDefault="000242AC" w:rsidP="009527C7">
            <w:pPr>
              <w:pStyle w:val="Tabletext"/>
              <w:rPr>
                <w:color w:val="000000"/>
                <w:lang w:eastAsia="en-AU"/>
              </w:rPr>
            </w:pPr>
            <w:r w:rsidRPr="00630A55">
              <w:rPr>
                <w:lang w:eastAsia="en-AU"/>
              </w:rPr>
              <w:t xml:space="preserve">Summary submission to </w:t>
            </w:r>
            <w:r w:rsidR="004C1B58">
              <w:rPr>
                <w:lang w:eastAsia="en-AU"/>
              </w:rPr>
              <w:t>j</w:t>
            </w:r>
            <w:r w:rsidRPr="00630A55">
              <w:rPr>
                <w:lang w:eastAsia="en-AU"/>
              </w:rPr>
              <w:t xml:space="preserve">urisdiction </w:t>
            </w:r>
          </w:p>
        </w:tc>
        <w:tc>
          <w:tcPr>
            <w:tcW w:w="1959" w:type="dxa"/>
            <w:tcBorders>
              <w:top w:val="single" w:sz="12" w:space="0" w:color="auto"/>
              <w:left w:val="single" w:sz="4" w:space="0" w:color="auto"/>
              <w:right w:val="single" w:sz="4" w:space="0" w:color="auto"/>
            </w:tcBorders>
            <w:shd w:val="clear" w:color="auto" w:fill="auto"/>
            <w:vAlign w:val="center"/>
            <w:hideMark/>
          </w:tcPr>
          <w:p w14:paraId="4DB11E4C" w14:textId="77777777" w:rsidR="000242AC" w:rsidRPr="00630A55" w:rsidRDefault="000242AC" w:rsidP="009527C7">
            <w:pPr>
              <w:pStyle w:val="TableTextNumber"/>
            </w:pPr>
            <w:r w:rsidRPr="00630A55">
              <w:t> </w:t>
            </w:r>
          </w:p>
        </w:tc>
      </w:tr>
      <w:tr w:rsidR="000242AC" w:rsidRPr="00630A55" w14:paraId="5DB1C9A2" w14:textId="77777777" w:rsidTr="00D87587">
        <w:trPr>
          <w:trHeight w:val="258"/>
        </w:trPr>
        <w:tc>
          <w:tcPr>
            <w:tcW w:w="281" w:type="dxa"/>
            <w:tcBorders>
              <w:left w:val="single" w:sz="4" w:space="0" w:color="auto"/>
            </w:tcBorders>
            <w:shd w:val="clear" w:color="000000" w:fill="FFFFFF"/>
            <w:noWrap/>
            <w:vAlign w:val="center"/>
            <w:hideMark/>
          </w:tcPr>
          <w:p w14:paraId="3119C57C" w14:textId="77777777" w:rsidR="000242AC" w:rsidRPr="00630A55" w:rsidRDefault="000242AC" w:rsidP="009527C7">
            <w:pPr>
              <w:pStyle w:val="Tabletext"/>
              <w:rPr>
                <w:color w:val="000000"/>
                <w:lang w:eastAsia="en-AU"/>
              </w:rPr>
            </w:pPr>
            <w:r w:rsidRPr="00630A55">
              <w:rPr>
                <w:lang w:eastAsia="en-AU"/>
              </w:rPr>
              <w:t> </w:t>
            </w:r>
          </w:p>
        </w:tc>
        <w:tc>
          <w:tcPr>
            <w:tcW w:w="6934" w:type="dxa"/>
            <w:tcBorders>
              <w:right w:val="single" w:sz="4" w:space="0" w:color="auto"/>
            </w:tcBorders>
            <w:shd w:val="clear" w:color="auto" w:fill="auto"/>
            <w:vAlign w:val="center"/>
            <w:hideMark/>
          </w:tcPr>
          <w:p w14:paraId="44B9FA0B" w14:textId="422EBD38" w:rsidR="000242AC" w:rsidRPr="00630A55" w:rsidRDefault="000242AC" w:rsidP="009527C7">
            <w:pPr>
              <w:pStyle w:val="Tabletext"/>
              <w:rPr>
                <w:color w:val="000000"/>
                <w:lang w:eastAsia="en-AU"/>
              </w:rPr>
            </w:pPr>
            <w:r w:rsidRPr="00630A55">
              <w:rPr>
                <w:lang w:eastAsia="en-AU"/>
              </w:rPr>
              <w:t xml:space="preserve">Activity submitted to </w:t>
            </w:r>
            <w:r w:rsidR="004C1B58">
              <w:rPr>
                <w:lang w:eastAsia="en-AU"/>
              </w:rPr>
              <w:t>j</w:t>
            </w:r>
            <w:r w:rsidRPr="00630A55">
              <w:rPr>
                <w:lang w:eastAsia="en-AU"/>
              </w:rPr>
              <w:t>urisdiction</w:t>
            </w:r>
          </w:p>
        </w:tc>
        <w:tc>
          <w:tcPr>
            <w:tcW w:w="1959" w:type="dxa"/>
            <w:tcBorders>
              <w:left w:val="single" w:sz="4" w:space="0" w:color="auto"/>
              <w:right w:val="single" w:sz="4" w:space="0" w:color="auto"/>
            </w:tcBorders>
            <w:shd w:val="clear" w:color="auto" w:fill="auto"/>
            <w:noWrap/>
            <w:vAlign w:val="center"/>
            <w:hideMark/>
          </w:tcPr>
          <w:p w14:paraId="2DBA433A" w14:textId="77777777" w:rsidR="000242AC" w:rsidRPr="00630A55" w:rsidRDefault="000242AC" w:rsidP="009527C7">
            <w:pPr>
              <w:pStyle w:val="TableTextNumber"/>
              <w:rPr>
                <w:i/>
              </w:rPr>
            </w:pPr>
            <w:r w:rsidRPr="00630A55">
              <w:t>390,683</w:t>
            </w:r>
          </w:p>
        </w:tc>
      </w:tr>
      <w:tr w:rsidR="000242AC" w:rsidRPr="00630A55" w14:paraId="5681E95D" w14:textId="77777777" w:rsidTr="00D87587">
        <w:trPr>
          <w:trHeight w:val="258"/>
        </w:trPr>
        <w:tc>
          <w:tcPr>
            <w:tcW w:w="281" w:type="dxa"/>
            <w:tcBorders>
              <w:left w:val="single" w:sz="4" w:space="0" w:color="auto"/>
            </w:tcBorders>
            <w:shd w:val="clear" w:color="000000" w:fill="FFFFFF"/>
            <w:noWrap/>
            <w:vAlign w:val="center"/>
            <w:hideMark/>
          </w:tcPr>
          <w:p w14:paraId="08912339" w14:textId="77777777" w:rsidR="000242AC" w:rsidRPr="00630A55" w:rsidRDefault="000242AC" w:rsidP="009527C7">
            <w:pPr>
              <w:pStyle w:val="Tabletext"/>
              <w:rPr>
                <w:color w:val="000000"/>
                <w:lang w:eastAsia="en-AU"/>
              </w:rPr>
            </w:pPr>
            <w:r w:rsidRPr="00630A55">
              <w:rPr>
                <w:lang w:eastAsia="en-AU"/>
              </w:rPr>
              <w:t> </w:t>
            </w:r>
          </w:p>
        </w:tc>
        <w:tc>
          <w:tcPr>
            <w:tcW w:w="6934" w:type="dxa"/>
            <w:tcBorders>
              <w:right w:val="single" w:sz="4" w:space="0" w:color="auto"/>
            </w:tcBorders>
            <w:shd w:val="clear" w:color="auto" w:fill="auto"/>
            <w:vAlign w:val="center"/>
            <w:hideMark/>
          </w:tcPr>
          <w:p w14:paraId="4300ED3E" w14:textId="145D4632" w:rsidR="000242AC" w:rsidRPr="00630A55" w:rsidRDefault="000242AC" w:rsidP="009527C7">
            <w:pPr>
              <w:pStyle w:val="Tabletext"/>
              <w:rPr>
                <w:color w:val="000000"/>
                <w:lang w:eastAsia="en-AU"/>
              </w:rPr>
            </w:pPr>
            <w:r w:rsidRPr="00630A55">
              <w:rPr>
                <w:lang w:eastAsia="en-AU"/>
              </w:rPr>
              <w:t xml:space="preserve">Costs submitted to </w:t>
            </w:r>
            <w:r w:rsidR="004C1B58">
              <w:rPr>
                <w:lang w:eastAsia="en-AU"/>
              </w:rPr>
              <w:t>j</w:t>
            </w:r>
            <w:r w:rsidRPr="00630A55">
              <w:rPr>
                <w:lang w:eastAsia="en-AU"/>
              </w:rPr>
              <w:t>urisdiction</w:t>
            </w:r>
          </w:p>
        </w:tc>
        <w:tc>
          <w:tcPr>
            <w:tcW w:w="1959" w:type="dxa"/>
            <w:tcBorders>
              <w:left w:val="single" w:sz="4" w:space="0" w:color="auto"/>
              <w:right w:val="single" w:sz="4" w:space="0" w:color="auto"/>
            </w:tcBorders>
            <w:shd w:val="clear" w:color="auto" w:fill="auto"/>
            <w:noWrap/>
            <w:vAlign w:val="center"/>
            <w:hideMark/>
          </w:tcPr>
          <w:p w14:paraId="159A2B75" w14:textId="77777777" w:rsidR="000242AC" w:rsidRPr="00630A55" w:rsidRDefault="000242AC" w:rsidP="009527C7">
            <w:pPr>
              <w:pStyle w:val="TableTextNumber"/>
              <w:rPr>
                <w:i/>
              </w:rPr>
            </w:pPr>
            <w:r w:rsidRPr="00630A55">
              <w:t>$524,594,999</w:t>
            </w:r>
          </w:p>
        </w:tc>
      </w:tr>
      <w:tr w:rsidR="000242AC" w:rsidRPr="00630A55" w14:paraId="33E7C16F" w14:textId="77777777" w:rsidTr="00D87587">
        <w:trPr>
          <w:trHeight w:val="258"/>
        </w:trPr>
        <w:tc>
          <w:tcPr>
            <w:tcW w:w="7215" w:type="dxa"/>
            <w:gridSpan w:val="2"/>
            <w:tcBorders>
              <w:top w:val="single" w:sz="12" w:space="0" w:color="auto"/>
              <w:left w:val="single" w:sz="4" w:space="0" w:color="auto"/>
              <w:bottom w:val="single" w:sz="12" w:space="0" w:color="auto"/>
              <w:right w:val="single" w:sz="4" w:space="0" w:color="auto"/>
            </w:tcBorders>
            <w:shd w:val="clear" w:color="000000" w:fill="00338D"/>
            <w:noWrap/>
            <w:vAlign w:val="center"/>
            <w:hideMark/>
          </w:tcPr>
          <w:p w14:paraId="50E28806" w14:textId="77777777" w:rsidR="000242AC" w:rsidRPr="00630A55" w:rsidRDefault="000242AC" w:rsidP="009527C7">
            <w:pPr>
              <w:pStyle w:val="Tableheading"/>
              <w:rPr>
                <w:color w:val="FFFFFF"/>
                <w:lang w:eastAsia="en-AU"/>
              </w:rPr>
            </w:pPr>
            <w:r w:rsidRPr="00630A55">
              <w:rPr>
                <w:lang w:eastAsia="en-AU"/>
              </w:rPr>
              <w:t>PCH costs and activity submitted to IHACPA</w:t>
            </w:r>
          </w:p>
        </w:tc>
        <w:tc>
          <w:tcPr>
            <w:tcW w:w="1959" w:type="dxa"/>
            <w:tcBorders>
              <w:top w:val="single" w:sz="12" w:space="0" w:color="auto"/>
              <w:left w:val="single" w:sz="4" w:space="0" w:color="auto"/>
              <w:bottom w:val="single" w:sz="12" w:space="0" w:color="auto"/>
              <w:right w:val="single" w:sz="4" w:space="0" w:color="auto"/>
            </w:tcBorders>
            <w:shd w:val="clear" w:color="000000" w:fill="00338D"/>
            <w:noWrap/>
            <w:vAlign w:val="center"/>
            <w:hideMark/>
          </w:tcPr>
          <w:p w14:paraId="1D8935F5" w14:textId="77777777" w:rsidR="000242AC" w:rsidRPr="00630A55" w:rsidRDefault="000242AC" w:rsidP="009527C7">
            <w:pPr>
              <w:pStyle w:val="Tableheading"/>
              <w:rPr>
                <w:color w:val="FFFFFF"/>
                <w:lang w:eastAsia="en-AU"/>
              </w:rPr>
            </w:pPr>
            <w:r w:rsidRPr="00630A55">
              <w:rPr>
                <w:lang w:eastAsia="en-AU"/>
              </w:rPr>
              <w:t xml:space="preserve">Value </w:t>
            </w:r>
          </w:p>
        </w:tc>
      </w:tr>
      <w:tr w:rsidR="000242AC" w:rsidRPr="00630A55" w14:paraId="3864786A" w14:textId="77777777" w:rsidTr="00D87587">
        <w:trPr>
          <w:trHeight w:val="258"/>
        </w:trPr>
        <w:tc>
          <w:tcPr>
            <w:tcW w:w="7215" w:type="dxa"/>
            <w:gridSpan w:val="2"/>
            <w:tcBorders>
              <w:top w:val="single" w:sz="12" w:space="0" w:color="auto"/>
              <w:left w:val="single" w:sz="4" w:space="0" w:color="auto"/>
              <w:right w:val="single" w:sz="4" w:space="0" w:color="auto"/>
            </w:tcBorders>
            <w:shd w:val="clear" w:color="000000" w:fill="FFFFFF"/>
            <w:vAlign w:val="center"/>
            <w:hideMark/>
          </w:tcPr>
          <w:p w14:paraId="5CF49976" w14:textId="75F8C02B" w:rsidR="000242AC" w:rsidRPr="00630A55" w:rsidRDefault="000242AC" w:rsidP="009527C7">
            <w:pPr>
              <w:pStyle w:val="Tabletext"/>
              <w:rPr>
                <w:color w:val="000000"/>
                <w:lang w:eastAsia="en-AU"/>
              </w:rPr>
            </w:pPr>
            <w:r w:rsidRPr="00630A55">
              <w:rPr>
                <w:lang w:eastAsia="en-AU"/>
              </w:rPr>
              <w:t xml:space="preserve">Final </w:t>
            </w:r>
            <w:r w:rsidR="004C1B58">
              <w:rPr>
                <w:lang w:eastAsia="en-AU"/>
              </w:rPr>
              <w:t>s</w:t>
            </w:r>
            <w:r w:rsidRPr="00630A55">
              <w:rPr>
                <w:lang w:eastAsia="en-AU"/>
              </w:rPr>
              <w:t xml:space="preserve">ubmission to </w:t>
            </w:r>
            <w:r w:rsidR="004C1B58">
              <w:rPr>
                <w:lang w:eastAsia="en-AU"/>
              </w:rPr>
              <w:t>j</w:t>
            </w:r>
            <w:r w:rsidRPr="00630A55">
              <w:rPr>
                <w:lang w:eastAsia="en-AU"/>
              </w:rPr>
              <w:t xml:space="preserve">urisdiction for IHACPA - </w:t>
            </w:r>
            <w:r w:rsidR="004C1B58">
              <w:rPr>
                <w:lang w:eastAsia="en-AU"/>
              </w:rPr>
              <w:t>c</w:t>
            </w:r>
            <w:r w:rsidRPr="00630A55">
              <w:rPr>
                <w:lang w:eastAsia="en-AU"/>
              </w:rPr>
              <w:t xml:space="preserve">ost and </w:t>
            </w:r>
            <w:r w:rsidR="004C1B58">
              <w:rPr>
                <w:lang w:eastAsia="en-AU"/>
              </w:rPr>
              <w:t>a</w:t>
            </w:r>
            <w:r w:rsidRPr="00630A55">
              <w:rPr>
                <w:lang w:eastAsia="en-AU"/>
              </w:rPr>
              <w:t xml:space="preserve">ctivity by </w:t>
            </w:r>
            <w:r w:rsidR="004C1B58">
              <w:rPr>
                <w:lang w:eastAsia="en-AU"/>
              </w:rPr>
              <w:t>p</w:t>
            </w:r>
            <w:r w:rsidRPr="00630A55">
              <w:rPr>
                <w:lang w:eastAsia="en-AU"/>
              </w:rPr>
              <w:t xml:space="preserve">roduct </w:t>
            </w:r>
          </w:p>
        </w:tc>
        <w:tc>
          <w:tcPr>
            <w:tcW w:w="1959" w:type="dxa"/>
            <w:tcBorders>
              <w:top w:val="single" w:sz="12" w:space="0" w:color="auto"/>
              <w:left w:val="single" w:sz="4" w:space="0" w:color="auto"/>
              <w:right w:val="single" w:sz="4" w:space="0" w:color="auto"/>
            </w:tcBorders>
            <w:shd w:val="clear" w:color="auto" w:fill="auto"/>
            <w:vAlign w:val="center"/>
            <w:hideMark/>
          </w:tcPr>
          <w:p w14:paraId="2EB0316A" w14:textId="77777777" w:rsidR="000242AC" w:rsidRPr="00630A55" w:rsidRDefault="000242AC" w:rsidP="009527C7">
            <w:pPr>
              <w:pStyle w:val="TableTextNumber"/>
            </w:pPr>
            <w:r w:rsidRPr="00630A55">
              <w:t> </w:t>
            </w:r>
          </w:p>
        </w:tc>
      </w:tr>
      <w:tr w:rsidR="000242AC" w:rsidRPr="00630A55" w14:paraId="734D2977" w14:textId="77777777" w:rsidTr="00D87587">
        <w:trPr>
          <w:trHeight w:val="258"/>
        </w:trPr>
        <w:tc>
          <w:tcPr>
            <w:tcW w:w="281" w:type="dxa"/>
            <w:tcBorders>
              <w:left w:val="single" w:sz="4" w:space="0" w:color="auto"/>
            </w:tcBorders>
            <w:shd w:val="clear" w:color="000000" w:fill="FFFFFF"/>
            <w:noWrap/>
            <w:vAlign w:val="center"/>
            <w:hideMark/>
          </w:tcPr>
          <w:p w14:paraId="016C4A3C" w14:textId="77777777" w:rsidR="000242AC" w:rsidRPr="00630A55" w:rsidRDefault="000242AC" w:rsidP="009527C7">
            <w:pPr>
              <w:pStyle w:val="Tabletext"/>
              <w:rPr>
                <w:color w:val="000000"/>
                <w:lang w:eastAsia="en-AU"/>
              </w:rPr>
            </w:pPr>
            <w:r w:rsidRPr="00630A55">
              <w:rPr>
                <w:lang w:eastAsia="en-AU"/>
              </w:rPr>
              <w:t> </w:t>
            </w:r>
          </w:p>
        </w:tc>
        <w:tc>
          <w:tcPr>
            <w:tcW w:w="6934" w:type="dxa"/>
            <w:tcBorders>
              <w:right w:val="single" w:sz="4" w:space="0" w:color="auto"/>
            </w:tcBorders>
            <w:shd w:val="clear" w:color="000000" w:fill="FFFFFF"/>
            <w:vAlign w:val="center"/>
            <w:hideMark/>
          </w:tcPr>
          <w:p w14:paraId="32689D77" w14:textId="77777777" w:rsidR="000242AC" w:rsidRPr="00630A55" w:rsidRDefault="000242AC" w:rsidP="009527C7">
            <w:pPr>
              <w:pStyle w:val="Tabletext"/>
              <w:rPr>
                <w:color w:val="000000"/>
                <w:lang w:eastAsia="en-AU"/>
              </w:rPr>
            </w:pPr>
            <w:r w:rsidRPr="00630A55">
              <w:rPr>
                <w:lang w:eastAsia="en-AU"/>
              </w:rPr>
              <w:t>Activity</w:t>
            </w:r>
          </w:p>
        </w:tc>
        <w:tc>
          <w:tcPr>
            <w:tcW w:w="1959" w:type="dxa"/>
            <w:tcBorders>
              <w:left w:val="single" w:sz="4" w:space="0" w:color="auto"/>
              <w:right w:val="single" w:sz="4" w:space="0" w:color="auto"/>
            </w:tcBorders>
            <w:shd w:val="clear" w:color="auto" w:fill="auto"/>
            <w:noWrap/>
            <w:vAlign w:val="center"/>
            <w:hideMark/>
          </w:tcPr>
          <w:p w14:paraId="726DA483" w14:textId="77777777" w:rsidR="000242AC" w:rsidRPr="00630A55" w:rsidRDefault="000242AC" w:rsidP="009527C7">
            <w:pPr>
              <w:pStyle w:val="TableTextNumber"/>
              <w:rPr>
                <w:i/>
              </w:rPr>
            </w:pPr>
            <w:r w:rsidRPr="00630A55">
              <w:t>390,683</w:t>
            </w:r>
          </w:p>
        </w:tc>
      </w:tr>
      <w:tr w:rsidR="000242AC" w:rsidRPr="00630A55" w14:paraId="6AC3444B" w14:textId="77777777" w:rsidTr="00D87587">
        <w:trPr>
          <w:trHeight w:val="258"/>
        </w:trPr>
        <w:tc>
          <w:tcPr>
            <w:tcW w:w="281" w:type="dxa"/>
            <w:tcBorders>
              <w:left w:val="single" w:sz="4" w:space="0" w:color="auto"/>
            </w:tcBorders>
            <w:shd w:val="clear" w:color="000000" w:fill="FFFFFF"/>
            <w:noWrap/>
            <w:vAlign w:val="center"/>
            <w:hideMark/>
          </w:tcPr>
          <w:p w14:paraId="723CA3CD" w14:textId="77777777" w:rsidR="000242AC" w:rsidRPr="00630A55" w:rsidRDefault="000242AC" w:rsidP="009527C7">
            <w:pPr>
              <w:pStyle w:val="Tabletext"/>
              <w:rPr>
                <w:color w:val="000000"/>
                <w:lang w:eastAsia="en-AU"/>
              </w:rPr>
            </w:pPr>
            <w:r w:rsidRPr="00630A55">
              <w:rPr>
                <w:lang w:eastAsia="en-AU"/>
              </w:rPr>
              <w:t> </w:t>
            </w:r>
          </w:p>
        </w:tc>
        <w:tc>
          <w:tcPr>
            <w:tcW w:w="6934" w:type="dxa"/>
            <w:tcBorders>
              <w:right w:val="single" w:sz="4" w:space="0" w:color="auto"/>
            </w:tcBorders>
            <w:shd w:val="clear" w:color="000000" w:fill="FFFFFF"/>
            <w:vAlign w:val="center"/>
            <w:hideMark/>
          </w:tcPr>
          <w:p w14:paraId="1B64ED21" w14:textId="77777777" w:rsidR="000242AC" w:rsidRPr="00630A55" w:rsidRDefault="000242AC" w:rsidP="009527C7">
            <w:pPr>
              <w:pStyle w:val="Tabletext"/>
              <w:rPr>
                <w:color w:val="000000"/>
                <w:lang w:eastAsia="en-AU"/>
              </w:rPr>
            </w:pPr>
            <w:r w:rsidRPr="00630A55">
              <w:rPr>
                <w:lang w:eastAsia="en-AU"/>
              </w:rPr>
              <w:t>Costs</w:t>
            </w:r>
          </w:p>
        </w:tc>
        <w:tc>
          <w:tcPr>
            <w:tcW w:w="1959" w:type="dxa"/>
            <w:tcBorders>
              <w:left w:val="single" w:sz="4" w:space="0" w:color="auto"/>
              <w:right w:val="single" w:sz="4" w:space="0" w:color="auto"/>
            </w:tcBorders>
            <w:shd w:val="clear" w:color="auto" w:fill="auto"/>
            <w:noWrap/>
            <w:vAlign w:val="center"/>
            <w:hideMark/>
          </w:tcPr>
          <w:p w14:paraId="09E9D5FF" w14:textId="77777777" w:rsidR="000242AC" w:rsidRPr="00630A55" w:rsidRDefault="000242AC" w:rsidP="009527C7">
            <w:pPr>
              <w:pStyle w:val="TableTextNumber"/>
              <w:rPr>
                <w:i/>
              </w:rPr>
            </w:pPr>
            <w:r w:rsidRPr="00630A55">
              <w:t>$524,594,999</w:t>
            </w:r>
          </w:p>
        </w:tc>
      </w:tr>
      <w:tr w:rsidR="000242AC" w:rsidRPr="00630A55" w14:paraId="1772D8B8" w14:textId="77777777" w:rsidTr="00D87587">
        <w:trPr>
          <w:trHeight w:val="258"/>
        </w:trPr>
        <w:tc>
          <w:tcPr>
            <w:tcW w:w="7215" w:type="dxa"/>
            <w:gridSpan w:val="2"/>
            <w:tcBorders>
              <w:left w:val="single" w:sz="4" w:space="0" w:color="auto"/>
              <w:right w:val="single" w:sz="4" w:space="0" w:color="auto"/>
            </w:tcBorders>
            <w:shd w:val="clear" w:color="000000" w:fill="FFFFFF"/>
            <w:vAlign w:val="center"/>
            <w:hideMark/>
          </w:tcPr>
          <w:p w14:paraId="601FD4F9" w14:textId="0B470A46" w:rsidR="000242AC" w:rsidRPr="00630A55" w:rsidRDefault="000242AC" w:rsidP="009527C7">
            <w:pPr>
              <w:pStyle w:val="Tabletext"/>
              <w:rPr>
                <w:color w:val="000000"/>
                <w:lang w:eastAsia="en-AU"/>
              </w:rPr>
            </w:pPr>
            <w:r w:rsidRPr="00630A55">
              <w:rPr>
                <w:lang w:eastAsia="en-AU"/>
              </w:rPr>
              <w:t xml:space="preserve">Adjustments to </w:t>
            </w:r>
            <w:r w:rsidR="00B43C95">
              <w:rPr>
                <w:lang w:eastAsia="en-AU"/>
              </w:rPr>
              <w:t>j</w:t>
            </w:r>
            <w:r w:rsidRPr="00630A55">
              <w:rPr>
                <w:lang w:eastAsia="en-AU"/>
              </w:rPr>
              <w:t xml:space="preserve">urisdictional </w:t>
            </w:r>
            <w:r w:rsidR="00B43C95">
              <w:rPr>
                <w:lang w:eastAsia="en-AU"/>
              </w:rPr>
              <w:t>s</w:t>
            </w:r>
            <w:r w:rsidRPr="00630A55">
              <w:rPr>
                <w:lang w:eastAsia="en-AU"/>
              </w:rPr>
              <w:t xml:space="preserve">ubmission prior to finalisation of </w:t>
            </w:r>
            <w:r w:rsidR="00B43C95">
              <w:rPr>
                <w:lang w:eastAsia="en-AU"/>
              </w:rPr>
              <w:t>j</w:t>
            </w:r>
            <w:r w:rsidRPr="00630A55">
              <w:rPr>
                <w:lang w:eastAsia="en-AU"/>
              </w:rPr>
              <w:t>urisdictional data</w:t>
            </w:r>
          </w:p>
        </w:tc>
        <w:tc>
          <w:tcPr>
            <w:tcW w:w="1959" w:type="dxa"/>
            <w:tcBorders>
              <w:left w:val="single" w:sz="4" w:space="0" w:color="auto"/>
              <w:right w:val="single" w:sz="4" w:space="0" w:color="auto"/>
            </w:tcBorders>
            <w:shd w:val="clear" w:color="auto" w:fill="auto"/>
            <w:vAlign w:val="center"/>
            <w:hideMark/>
          </w:tcPr>
          <w:p w14:paraId="403A4B98" w14:textId="77777777" w:rsidR="000242AC" w:rsidRPr="00630A55" w:rsidRDefault="000242AC" w:rsidP="009527C7">
            <w:pPr>
              <w:pStyle w:val="TableTextNumber"/>
            </w:pPr>
            <w:r w:rsidRPr="00630A55">
              <w:t> </w:t>
            </w:r>
          </w:p>
        </w:tc>
      </w:tr>
      <w:tr w:rsidR="000242AC" w:rsidRPr="00630A55" w14:paraId="6510D1C8" w14:textId="77777777" w:rsidTr="00D87587">
        <w:trPr>
          <w:trHeight w:val="258"/>
        </w:trPr>
        <w:tc>
          <w:tcPr>
            <w:tcW w:w="281" w:type="dxa"/>
            <w:tcBorders>
              <w:left w:val="single" w:sz="4" w:space="0" w:color="auto"/>
            </w:tcBorders>
            <w:shd w:val="clear" w:color="000000" w:fill="FFFFFF"/>
            <w:noWrap/>
            <w:vAlign w:val="center"/>
            <w:hideMark/>
          </w:tcPr>
          <w:p w14:paraId="2BF0BDCC" w14:textId="77777777" w:rsidR="000242AC" w:rsidRPr="00630A55" w:rsidRDefault="000242AC" w:rsidP="009527C7">
            <w:pPr>
              <w:pStyle w:val="Tabletext"/>
              <w:rPr>
                <w:color w:val="000000"/>
                <w:lang w:eastAsia="en-AU"/>
              </w:rPr>
            </w:pPr>
            <w:r w:rsidRPr="00630A55">
              <w:rPr>
                <w:lang w:eastAsia="en-AU"/>
              </w:rPr>
              <w:t> </w:t>
            </w:r>
          </w:p>
        </w:tc>
        <w:tc>
          <w:tcPr>
            <w:tcW w:w="6934" w:type="dxa"/>
            <w:tcBorders>
              <w:right w:val="single" w:sz="4" w:space="0" w:color="auto"/>
            </w:tcBorders>
            <w:shd w:val="clear" w:color="000000" w:fill="FFFFFF"/>
            <w:noWrap/>
            <w:vAlign w:val="center"/>
            <w:hideMark/>
          </w:tcPr>
          <w:p w14:paraId="4DAE025E" w14:textId="77777777" w:rsidR="000242AC" w:rsidRPr="00630A55" w:rsidRDefault="000242AC" w:rsidP="009527C7">
            <w:pPr>
              <w:pStyle w:val="Tabletext"/>
              <w:rPr>
                <w:color w:val="000000"/>
                <w:lang w:eastAsia="en-AU"/>
              </w:rPr>
            </w:pPr>
            <w:r w:rsidRPr="00630A55">
              <w:rPr>
                <w:lang w:eastAsia="en-AU"/>
              </w:rPr>
              <w:t xml:space="preserve">Activity totals </w:t>
            </w:r>
          </w:p>
        </w:tc>
        <w:tc>
          <w:tcPr>
            <w:tcW w:w="1959" w:type="dxa"/>
            <w:tcBorders>
              <w:left w:val="single" w:sz="4" w:space="0" w:color="auto"/>
              <w:right w:val="single" w:sz="4" w:space="0" w:color="auto"/>
            </w:tcBorders>
            <w:shd w:val="clear" w:color="auto" w:fill="auto"/>
            <w:noWrap/>
            <w:vAlign w:val="center"/>
            <w:hideMark/>
          </w:tcPr>
          <w:p w14:paraId="279DA006" w14:textId="77777777" w:rsidR="000242AC" w:rsidRPr="00630A55" w:rsidRDefault="000242AC" w:rsidP="009527C7">
            <w:pPr>
              <w:pStyle w:val="TableTextNumber"/>
            </w:pPr>
            <w:r w:rsidRPr="00630A55">
              <w:t>(64,032)</w:t>
            </w:r>
          </w:p>
        </w:tc>
      </w:tr>
      <w:tr w:rsidR="000242AC" w:rsidRPr="00630A55" w14:paraId="7CFD5DAB" w14:textId="77777777" w:rsidTr="00D87587">
        <w:trPr>
          <w:trHeight w:val="258"/>
        </w:trPr>
        <w:tc>
          <w:tcPr>
            <w:tcW w:w="281" w:type="dxa"/>
            <w:tcBorders>
              <w:left w:val="single" w:sz="4" w:space="0" w:color="auto"/>
            </w:tcBorders>
            <w:shd w:val="clear" w:color="000000" w:fill="FFFFFF"/>
            <w:noWrap/>
            <w:vAlign w:val="center"/>
            <w:hideMark/>
          </w:tcPr>
          <w:p w14:paraId="514CCA0F" w14:textId="77777777" w:rsidR="000242AC" w:rsidRPr="00630A55" w:rsidRDefault="000242AC" w:rsidP="009527C7">
            <w:pPr>
              <w:pStyle w:val="Tabletext"/>
              <w:rPr>
                <w:color w:val="000000"/>
                <w:lang w:eastAsia="en-AU"/>
              </w:rPr>
            </w:pPr>
            <w:r w:rsidRPr="00630A55">
              <w:rPr>
                <w:lang w:eastAsia="en-AU"/>
              </w:rPr>
              <w:t> </w:t>
            </w:r>
          </w:p>
        </w:tc>
        <w:tc>
          <w:tcPr>
            <w:tcW w:w="6934" w:type="dxa"/>
            <w:tcBorders>
              <w:right w:val="single" w:sz="4" w:space="0" w:color="auto"/>
            </w:tcBorders>
            <w:shd w:val="clear" w:color="000000" w:fill="FFFFFF"/>
            <w:noWrap/>
            <w:vAlign w:val="center"/>
            <w:hideMark/>
          </w:tcPr>
          <w:p w14:paraId="09F08A94" w14:textId="77777777" w:rsidR="000242AC" w:rsidRPr="00630A55" w:rsidRDefault="000242AC" w:rsidP="009527C7">
            <w:pPr>
              <w:pStyle w:val="Tabletext"/>
              <w:rPr>
                <w:color w:val="000000"/>
                <w:lang w:eastAsia="en-AU"/>
              </w:rPr>
            </w:pPr>
            <w:r w:rsidRPr="00630A55">
              <w:rPr>
                <w:lang w:eastAsia="en-AU"/>
              </w:rPr>
              <w:t>Cost totals</w:t>
            </w:r>
          </w:p>
        </w:tc>
        <w:tc>
          <w:tcPr>
            <w:tcW w:w="1959" w:type="dxa"/>
            <w:tcBorders>
              <w:left w:val="single" w:sz="4" w:space="0" w:color="auto"/>
              <w:right w:val="single" w:sz="4" w:space="0" w:color="auto"/>
            </w:tcBorders>
            <w:shd w:val="clear" w:color="auto" w:fill="auto"/>
            <w:noWrap/>
            <w:vAlign w:val="center"/>
            <w:hideMark/>
          </w:tcPr>
          <w:p w14:paraId="6C00FD2B" w14:textId="77777777" w:rsidR="000242AC" w:rsidRPr="00630A55" w:rsidRDefault="000242AC" w:rsidP="009527C7">
            <w:pPr>
              <w:pStyle w:val="TableTextNumber"/>
            </w:pPr>
            <w:r w:rsidRPr="00630A55">
              <w:t>($43,785,254)</w:t>
            </w:r>
          </w:p>
        </w:tc>
      </w:tr>
      <w:tr w:rsidR="000242AC" w:rsidRPr="00630A55" w14:paraId="619B0B30" w14:textId="77777777" w:rsidTr="00D87587">
        <w:trPr>
          <w:trHeight w:val="258"/>
        </w:trPr>
        <w:tc>
          <w:tcPr>
            <w:tcW w:w="7215" w:type="dxa"/>
            <w:gridSpan w:val="2"/>
            <w:tcBorders>
              <w:left w:val="single" w:sz="4" w:space="0" w:color="auto"/>
              <w:right w:val="single" w:sz="4" w:space="0" w:color="auto"/>
            </w:tcBorders>
            <w:shd w:val="clear" w:color="000000" w:fill="FFFFFF"/>
            <w:vAlign w:val="center"/>
            <w:hideMark/>
          </w:tcPr>
          <w:p w14:paraId="1EFF5D7D" w14:textId="2520F188" w:rsidR="000242AC" w:rsidRPr="00630A55" w:rsidRDefault="000242AC" w:rsidP="009527C7">
            <w:pPr>
              <w:pStyle w:val="Tabletext"/>
              <w:rPr>
                <w:color w:val="000000"/>
                <w:lang w:eastAsia="en-AU"/>
              </w:rPr>
            </w:pPr>
            <w:r w:rsidRPr="00630A55">
              <w:rPr>
                <w:lang w:eastAsia="en-AU"/>
              </w:rPr>
              <w:t xml:space="preserve">Final </w:t>
            </w:r>
            <w:r w:rsidR="00B43C95">
              <w:rPr>
                <w:lang w:eastAsia="en-AU"/>
              </w:rPr>
              <w:t>j</w:t>
            </w:r>
            <w:r w:rsidRPr="00630A55">
              <w:rPr>
                <w:lang w:eastAsia="en-AU"/>
              </w:rPr>
              <w:t xml:space="preserve">urisdictional </w:t>
            </w:r>
            <w:r w:rsidR="00B43C95">
              <w:rPr>
                <w:lang w:eastAsia="en-AU"/>
              </w:rPr>
              <w:t>d</w:t>
            </w:r>
            <w:r w:rsidRPr="00630A55">
              <w:rPr>
                <w:lang w:eastAsia="en-AU"/>
              </w:rPr>
              <w:t xml:space="preserve">ata for </w:t>
            </w:r>
            <w:r w:rsidR="00B43C95">
              <w:rPr>
                <w:lang w:eastAsia="en-AU"/>
              </w:rPr>
              <w:t>c</w:t>
            </w:r>
            <w:r w:rsidRPr="00630A55">
              <w:rPr>
                <w:lang w:eastAsia="en-AU"/>
              </w:rPr>
              <w:t xml:space="preserve">ost </w:t>
            </w:r>
            <w:r w:rsidR="00B43C95">
              <w:rPr>
                <w:lang w:eastAsia="en-AU"/>
              </w:rPr>
              <w:t>w</w:t>
            </w:r>
            <w:r w:rsidRPr="00630A55">
              <w:rPr>
                <w:lang w:eastAsia="en-AU"/>
              </w:rPr>
              <w:t xml:space="preserve">eight </w:t>
            </w:r>
            <w:r w:rsidR="00B43C95">
              <w:rPr>
                <w:lang w:eastAsia="en-AU"/>
              </w:rPr>
              <w:t>p</w:t>
            </w:r>
            <w:r w:rsidRPr="00630A55">
              <w:rPr>
                <w:lang w:eastAsia="en-AU"/>
              </w:rPr>
              <w:t>roduction</w:t>
            </w:r>
          </w:p>
        </w:tc>
        <w:tc>
          <w:tcPr>
            <w:tcW w:w="1959" w:type="dxa"/>
            <w:tcBorders>
              <w:left w:val="single" w:sz="4" w:space="0" w:color="auto"/>
              <w:right w:val="single" w:sz="4" w:space="0" w:color="auto"/>
            </w:tcBorders>
            <w:shd w:val="clear" w:color="auto" w:fill="auto"/>
            <w:vAlign w:val="center"/>
            <w:hideMark/>
          </w:tcPr>
          <w:p w14:paraId="45B23B55" w14:textId="77777777" w:rsidR="000242AC" w:rsidRPr="00630A55" w:rsidRDefault="000242AC" w:rsidP="009527C7">
            <w:pPr>
              <w:pStyle w:val="TableTextNumber"/>
            </w:pPr>
            <w:r w:rsidRPr="00630A55">
              <w:t> </w:t>
            </w:r>
          </w:p>
        </w:tc>
      </w:tr>
      <w:tr w:rsidR="000242AC" w:rsidRPr="00630A55" w14:paraId="660E6BDA" w14:textId="77777777" w:rsidTr="00D87587">
        <w:trPr>
          <w:trHeight w:val="258"/>
        </w:trPr>
        <w:tc>
          <w:tcPr>
            <w:tcW w:w="281" w:type="dxa"/>
            <w:tcBorders>
              <w:left w:val="single" w:sz="4" w:space="0" w:color="auto"/>
            </w:tcBorders>
            <w:shd w:val="clear" w:color="000000" w:fill="FFFFFF"/>
            <w:noWrap/>
            <w:vAlign w:val="center"/>
            <w:hideMark/>
          </w:tcPr>
          <w:p w14:paraId="14090C14" w14:textId="77777777" w:rsidR="000242AC" w:rsidRPr="00630A55" w:rsidRDefault="000242AC" w:rsidP="009527C7">
            <w:pPr>
              <w:pStyle w:val="Tabletext"/>
              <w:rPr>
                <w:color w:val="000000"/>
                <w:lang w:eastAsia="en-AU"/>
              </w:rPr>
            </w:pPr>
            <w:r w:rsidRPr="00630A55">
              <w:rPr>
                <w:lang w:eastAsia="en-AU"/>
              </w:rPr>
              <w:t> </w:t>
            </w:r>
          </w:p>
        </w:tc>
        <w:tc>
          <w:tcPr>
            <w:tcW w:w="6934" w:type="dxa"/>
            <w:tcBorders>
              <w:right w:val="single" w:sz="4" w:space="0" w:color="auto"/>
            </w:tcBorders>
            <w:shd w:val="clear" w:color="000000" w:fill="FFFFFF"/>
            <w:vAlign w:val="center"/>
            <w:hideMark/>
          </w:tcPr>
          <w:p w14:paraId="3A21145D" w14:textId="2C02B294" w:rsidR="000242AC" w:rsidRPr="00630A55" w:rsidRDefault="000242AC" w:rsidP="009527C7">
            <w:pPr>
              <w:pStyle w:val="Tabletext"/>
              <w:rPr>
                <w:color w:val="000000"/>
                <w:lang w:eastAsia="en-AU"/>
              </w:rPr>
            </w:pPr>
            <w:r w:rsidRPr="00630A55">
              <w:rPr>
                <w:lang w:eastAsia="en-AU"/>
              </w:rPr>
              <w:t xml:space="preserve">Finalised </w:t>
            </w:r>
            <w:r w:rsidR="00B43C95">
              <w:rPr>
                <w:lang w:eastAsia="en-AU"/>
              </w:rPr>
              <w:t>a</w:t>
            </w:r>
            <w:r w:rsidRPr="00630A55">
              <w:rPr>
                <w:lang w:eastAsia="en-AU"/>
              </w:rPr>
              <w:t>ctivity</w:t>
            </w:r>
          </w:p>
        </w:tc>
        <w:tc>
          <w:tcPr>
            <w:tcW w:w="1959" w:type="dxa"/>
            <w:tcBorders>
              <w:left w:val="single" w:sz="4" w:space="0" w:color="auto"/>
              <w:right w:val="single" w:sz="4" w:space="0" w:color="auto"/>
            </w:tcBorders>
            <w:shd w:val="clear" w:color="auto" w:fill="auto"/>
            <w:noWrap/>
            <w:vAlign w:val="center"/>
            <w:hideMark/>
          </w:tcPr>
          <w:p w14:paraId="2216F6FF" w14:textId="77777777" w:rsidR="000242AC" w:rsidRPr="00630A55" w:rsidRDefault="000242AC" w:rsidP="009527C7">
            <w:pPr>
              <w:pStyle w:val="TableTextNumber"/>
            </w:pPr>
            <w:r w:rsidRPr="00630A55">
              <w:t>326,651</w:t>
            </w:r>
          </w:p>
        </w:tc>
      </w:tr>
      <w:tr w:rsidR="000242AC" w:rsidRPr="00630A55" w14:paraId="54D22462" w14:textId="77777777" w:rsidTr="00D87587">
        <w:trPr>
          <w:trHeight w:val="258"/>
        </w:trPr>
        <w:tc>
          <w:tcPr>
            <w:tcW w:w="281" w:type="dxa"/>
            <w:tcBorders>
              <w:left w:val="single" w:sz="4" w:space="0" w:color="auto"/>
              <w:bottom w:val="single" w:sz="4" w:space="0" w:color="auto"/>
            </w:tcBorders>
            <w:shd w:val="clear" w:color="000000" w:fill="FFFFFF"/>
            <w:noWrap/>
            <w:vAlign w:val="center"/>
            <w:hideMark/>
          </w:tcPr>
          <w:p w14:paraId="524C7485" w14:textId="77777777" w:rsidR="000242AC" w:rsidRPr="00630A55" w:rsidRDefault="000242AC" w:rsidP="009527C7">
            <w:pPr>
              <w:pStyle w:val="Tabletext"/>
              <w:rPr>
                <w:color w:val="000000"/>
                <w:lang w:eastAsia="en-AU"/>
              </w:rPr>
            </w:pPr>
            <w:r w:rsidRPr="00630A55">
              <w:rPr>
                <w:lang w:eastAsia="en-AU"/>
              </w:rPr>
              <w:t> </w:t>
            </w:r>
          </w:p>
        </w:tc>
        <w:tc>
          <w:tcPr>
            <w:tcW w:w="6934" w:type="dxa"/>
            <w:tcBorders>
              <w:bottom w:val="single" w:sz="4" w:space="0" w:color="auto"/>
              <w:right w:val="single" w:sz="4" w:space="0" w:color="auto"/>
            </w:tcBorders>
            <w:shd w:val="clear" w:color="000000" w:fill="FFFFFF"/>
            <w:vAlign w:val="center"/>
            <w:hideMark/>
          </w:tcPr>
          <w:p w14:paraId="5A1EE27D" w14:textId="0169F043" w:rsidR="000242AC" w:rsidRPr="00630A55" w:rsidRDefault="000242AC" w:rsidP="009527C7">
            <w:pPr>
              <w:pStyle w:val="Tabletext"/>
              <w:rPr>
                <w:color w:val="000000"/>
                <w:lang w:eastAsia="en-AU"/>
              </w:rPr>
            </w:pPr>
            <w:r w:rsidRPr="00630A55">
              <w:rPr>
                <w:lang w:eastAsia="en-AU"/>
              </w:rPr>
              <w:t xml:space="preserve">Finalised </w:t>
            </w:r>
            <w:r w:rsidR="00B43C95">
              <w:rPr>
                <w:lang w:eastAsia="en-AU"/>
              </w:rPr>
              <w:t>c</w:t>
            </w:r>
            <w:r w:rsidRPr="00630A55">
              <w:rPr>
                <w:lang w:eastAsia="en-AU"/>
              </w:rPr>
              <w:t>ost</w:t>
            </w:r>
          </w:p>
        </w:tc>
        <w:tc>
          <w:tcPr>
            <w:tcW w:w="1959" w:type="dxa"/>
            <w:tcBorders>
              <w:left w:val="single" w:sz="4" w:space="0" w:color="auto"/>
              <w:bottom w:val="single" w:sz="4" w:space="0" w:color="auto"/>
              <w:right w:val="single" w:sz="4" w:space="0" w:color="auto"/>
            </w:tcBorders>
            <w:shd w:val="clear" w:color="auto" w:fill="auto"/>
            <w:noWrap/>
            <w:vAlign w:val="center"/>
            <w:hideMark/>
          </w:tcPr>
          <w:p w14:paraId="6DE3BCE2" w14:textId="77777777" w:rsidR="000242AC" w:rsidRPr="00630A55" w:rsidRDefault="000242AC" w:rsidP="009527C7">
            <w:pPr>
              <w:pStyle w:val="TableTextNumber"/>
            </w:pPr>
            <w:r w:rsidRPr="00630A55">
              <w:t>$480,809,745</w:t>
            </w:r>
          </w:p>
        </w:tc>
      </w:tr>
    </w:tbl>
    <w:p w14:paraId="1B997673" w14:textId="77777777" w:rsidR="00DD3DB5" w:rsidRPr="00630A55" w:rsidRDefault="00DD3DB5" w:rsidP="00DD3DB5">
      <w:pPr>
        <w:pStyle w:val="Source"/>
      </w:pPr>
      <w:r w:rsidRPr="00630A55">
        <w:t xml:space="preserve">Source: Jurisdictional consultations and </w:t>
      </w:r>
      <w:r>
        <w:t>templates</w:t>
      </w:r>
    </w:p>
    <w:p w14:paraId="076BFCB9" w14:textId="77777777" w:rsidR="00FB0EB3" w:rsidRDefault="00FB0EB3">
      <w:pPr>
        <w:spacing w:before="0" w:after="160" w:line="259" w:lineRule="auto"/>
        <w:rPr>
          <w:iCs/>
          <w:sz w:val="20"/>
          <w:szCs w:val="16"/>
        </w:rPr>
      </w:pPr>
      <w:bookmarkStart w:id="79" w:name="_Ref113989227"/>
      <w:r>
        <w:br w:type="page"/>
      </w:r>
    </w:p>
    <w:p w14:paraId="7273C19B" w14:textId="05B743D9" w:rsidR="000242AC" w:rsidRPr="00630A55" w:rsidRDefault="008D6443" w:rsidP="008D6443">
      <w:pPr>
        <w:pStyle w:val="Caption"/>
      </w:pPr>
      <w:bookmarkStart w:id="80" w:name="_Ref114757501"/>
      <w:bookmarkEnd w:id="79"/>
      <w:r w:rsidRPr="00A8310C">
        <w:rPr>
          <w:b/>
          <w:bCs/>
        </w:rPr>
        <w:lastRenderedPageBreak/>
        <w:t xml:space="preserve">Table </w:t>
      </w:r>
      <w:r w:rsidR="00D91CB1" w:rsidRPr="00A8310C">
        <w:rPr>
          <w:b/>
          <w:bCs/>
        </w:rPr>
        <w:fldChar w:fldCharType="begin"/>
      </w:r>
      <w:r w:rsidR="00D91CB1" w:rsidRPr="00A8310C">
        <w:rPr>
          <w:b/>
          <w:bCs/>
        </w:rPr>
        <w:instrText xml:space="preserve"> SEQ Table \* ARABIC </w:instrText>
      </w:r>
      <w:r w:rsidR="00D91CB1" w:rsidRPr="00A8310C">
        <w:rPr>
          <w:b/>
          <w:bCs/>
        </w:rPr>
        <w:fldChar w:fldCharType="separate"/>
      </w:r>
      <w:r w:rsidR="007E2ACB">
        <w:rPr>
          <w:b/>
          <w:bCs/>
          <w:noProof/>
        </w:rPr>
        <w:t>32</w:t>
      </w:r>
      <w:r w:rsidR="00D91CB1" w:rsidRPr="00A8310C">
        <w:rPr>
          <w:b/>
          <w:bCs/>
          <w:noProof/>
        </w:rPr>
        <w:fldChar w:fldCharType="end"/>
      </w:r>
      <w:bookmarkEnd w:id="80"/>
      <w:r w:rsidRPr="00A8310C">
        <w:rPr>
          <w:b/>
          <w:bCs/>
        </w:rPr>
        <w:t>:</w:t>
      </w:r>
      <w:r w:rsidR="000242AC">
        <w:t xml:space="preserve"> </w:t>
      </w:r>
      <w:r w:rsidR="000242AC" w:rsidRPr="00630A55">
        <w:t xml:space="preserve">Reconciliation from General Ledger to NHCDC </w:t>
      </w:r>
      <w:r w:rsidR="00B43C95">
        <w:t>c</w:t>
      </w:r>
      <w:r w:rsidR="000242AC" w:rsidRPr="00630A55">
        <w:t xml:space="preserve">osted </w:t>
      </w:r>
      <w:r w:rsidR="00B43C95">
        <w:t>p</w:t>
      </w:r>
      <w:r w:rsidR="000242AC" w:rsidRPr="00630A55">
        <w:t xml:space="preserve">roducts – </w:t>
      </w:r>
      <w:r w:rsidR="00B43C95">
        <w:t>Western Australia (</w:t>
      </w:r>
      <w:r w:rsidR="000242AC" w:rsidRPr="00630A55">
        <w:t>WA Country Health Service</w:t>
      </w:r>
      <w:r w:rsidR="00B43C95">
        <w:t>)</w:t>
      </w:r>
    </w:p>
    <w:tbl>
      <w:tblPr>
        <w:tblW w:w="9187" w:type="dxa"/>
        <w:tblBorders>
          <w:top w:val="single" w:sz="12" w:space="0" w:color="auto"/>
          <w:left w:val="single" w:sz="12" w:space="0" w:color="auto"/>
          <w:bottom w:val="single" w:sz="12" w:space="0" w:color="auto"/>
          <w:right w:val="single" w:sz="12" w:space="0" w:color="auto"/>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81"/>
        <w:gridCol w:w="7075"/>
        <w:gridCol w:w="1831"/>
      </w:tblGrid>
      <w:tr w:rsidR="000242AC" w:rsidRPr="00630A55" w14:paraId="3C620531" w14:textId="77777777" w:rsidTr="00FE1EEA">
        <w:trPr>
          <w:trHeight w:val="258"/>
          <w:tblHeader/>
        </w:trPr>
        <w:tc>
          <w:tcPr>
            <w:tcW w:w="7356" w:type="dxa"/>
            <w:gridSpan w:val="2"/>
            <w:tcBorders>
              <w:top w:val="single" w:sz="4" w:space="0" w:color="auto"/>
              <w:left w:val="single" w:sz="4" w:space="0" w:color="auto"/>
              <w:bottom w:val="single" w:sz="4" w:space="0" w:color="auto"/>
              <w:right w:val="single" w:sz="4" w:space="0" w:color="auto"/>
            </w:tcBorders>
            <w:shd w:val="clear" w:color="000000" w:fill="00338D"/>
            <w:noWrap/>
            <w:vAlign w:val="center"/>
            <w:hideMark/>
          </w:tcPr>
          <w:p w14:paraId="5DD73DA9" w14:textId="574CCE33" w:rsidR="000242AC" w:rsidRPr="00630A55" w:rsidRDefault="000242AC" w:rsidP="009527C7">
            <w:pPr>
              <w:pStyle w:val="Tableheading"/>
              <w:rPr>
                <w:lang w:eastAsia="en-AU"/>
              </w:rPr>
            </w:pPr>
            <w:r w:rsidRPr="00630A55">
              <w:rPr>
                <w:lang w:eastAsia="en-AU"/>
              </w:rPr>
              <w:t xml:space="preserve">HSP level </w:t>
            </w:r>
            <w:r w:rsidR="00FE1EEA">
              <w:rPr>
                <w:lang w:eastAsia="en-AU"/>
              </w:rPr>
              <w:t>d</w:t>
            </w:r>
            <w:r w:rsidRPr="00630A55">
              <w:rPr>
                <w:lang w:eastAsia="en-AU"/>
              </w:rPr>
              <w:t>ata (WACHS)</w:t>
            </w:r>
          </w:p>
        </w:tc>
        <w:tc>
          <w:tcPr>
            <w:tcW w:w="1831" w:type="dxa"/>
            <w:tcBorders>
              <w:top w:val="single" w:sz="4" w:space="0" w:color="auto"/>
              <w:left w:val="single" w:sz="4" w:space="0" w:color="auto"/>
              <w:bottom w:val="single" w:sz="4" w:space="0" w:color="auto"/>
              <w:right w:val="single" w:sz="4" w:space="0" w:color="auto"/>
            </w:tcBorders>
            <w:shd w:val="clear" w:color="000000" w:fill="00338D"/>
            <w:noWrap/>
            <w:vAlign w:val="center"/>
            <w:hideMark/>
          </w:tcPr>
          <w:p w14:paraId="25655B08" w14:textId="51713F36" w:rsidR="000242AC" w:rsidRPr="00630A55" w:rsidRDefault="000242AC" w:rsidP="009527C7">
            <w:pPr>
              <w:pStyle w:val="Tableheading"/>
              <w:rPr>
                <w:color w:val="FFFFFF"/>
                <w:lang w:eastAsia="en-AU"/>
              </w:rPr>
            </w:pPr>
            <w:r w:rsidRPr="00630A55">
              <w:rPr>
                <w:lang w:eastAsia="en-AU"/>
              </w:rPr>
              <w:t> </w:t>
            </w:r>
            <w:r w:rsidR="003758E1">
              <w:rPr>
                <w:lang w:eastAsia="en-AU"/>
              </w:rPr>
              <w:t>Value</w:t>
            </w:r>
          </w:p>
        </w:tc>
      </w:tr>
      <w:tr w:rsidR="000242AC" w:rsidRPr="00630A55" w14:paraId="1B77B14D" w14:textId="77777777" w:rsidTr="00FE1EEA">
        <w:trPr>
          <w:trHeight w:val="248"/>
        </w:trPr>
        <w:tc>
          <w:tcPr>
            <w:tcW w:w="7356" w:type="dxa"/>
            <w:gridSpan w:val="2"/>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176E06FD" w14:textId="77777777" w:rsidR="000242AC" w:rsidRPr="00467F5A" w:rsidRDefault="000242AC" w:rsidP="009527C7">
            <w:pPr>
              <w:pStyle w:val="Tableheading"/>
              <w:rPr>
                <w:rFonts w:ascii="Arial" w:hAnsi="Arial" w:cs="Arial"/>
                <w:b w:val="0"/>
                <w:bCs/>
                <w:color w:val="000000" w:themeColor="text1"/>
                <w:lang w:eastAsia="en-AU"/>
              </w:rPr>
            </w:pPr>
            <w:r w:rsidRPr="00467F5A">
              <w:rPr>
                <w:rFonts w:ascii="Arial" w:hAnsi="Arial" w:cs="Arial"/>
                <w:b w:val="0"/>
                <w:bCs/>
                <w:color w:val="000000" w:themeColor="text1"/>
                <w:lang w:eastAsia="en-AU"/>
              </w:rPr>
              <w:t>HSP General Ledger (WACHS)</w:t>
            </w:r>
          </w:p>
        </w:tc>
        <w:tc>
          <w:tcPr>
            <w:tcW w:w="1831" w:type="dxa"/>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730ED7BF" w14:textId="3E361EDA" w:rsidR="000242AC" w:rsidRPr="00467F5A" w:rsidRDefault="000242AC" w:rsidP="00467F5A">
            <w:pPr>
              <w:pStyle w:val="Tableheading"/>
              <w:rPr>
                <w:rFonts w:ascii="Arial" w:hAnsi="Arial" w:cs="Arial"/>
                <w:b w:val="0"/>
                <w:bCs/>
                <w:color w:val="000000" w:themeColor="text1"/>
                <w:lang w:eastAsia="en-AU"/>
              </w:rPr>
            </w:pPr>
            <w:r w:rsidRPr="00467F5A">
              <w:rPr>
                <w:rFonts w:ascii="Arial" w:hAnsi="Arial" w:cs="Arial"/>
                <w:b w:val="0"/>
                <w:bCs/>
                <w:color w:val="000000" w:themeColor="text1"/>
                <w:lang w:eastAsia="en-AU"/>
              </w:rPr>
              <w:t xml:space="preserve"> </w:t>
            </w:r>
          </w:p>
        </w:tc>
      </w:tr>
      <w:tr w:rsidR="000242AC" w:rsidRPr="00630A55" w14:paraId="1D0E694D" w14:textId="77777777" w:rsidTr="00FE1EEA">
        <w:trPr>
          <w:trHeight w:val="258"/>
        </w:trPr>
        <w:tc>
          <w:tcPr>
            <w:tcW w:w="7356" w:type="dxa"/>
            <w:gridSpan w:val="2"/>
            <w:tcBorders>
              <w:top w:val="single" w:sz="4" w:space="0" w:color="auto"/>
              <w:left w:val="single" w:sz="4" w:space="0" w:color="auto"/>
              <w:right w:val="single" w:sz="4" w:space="0" w:color="auto"/>
            </w:tcBorders>
            <w:shd w:val="clear" w:color="000000" w:fill="FFFFFF"/>
            <w:noWrap/>
            <w:vAlign w:val="center"/>
            <w:hideMark/>
          </w:tcPr>
          <w:p w14:paraId="59D994A3" w14:textId="290B827B" w:rsidR="000242AC" w:rsidRPr="00630A55" w:rsidRDefault="000242AC" w:rsidP="009527C7">
            <w:pPr>
              <w:pStyle w:val="Tabletext"/>
              <w:rPr>
                <w:color w:val="000000"/>
                <w:lang w:eastAsia="en-AU"/>
              </w:rPr>
            </w:pPr>
            <w:r w:rsidRPr="00630A55">
              <w:rPr>
                <w:lang w:eastAsia="en-AU"/>
              </w:rPr>
              <w:t xml:space="preserve">GL transferred to </w:t>
            </w:r>
            <w:r w:rsidR="00FE1EEA">
              <w:rPr>
                <w:lang w:eastAsia="en-AU"/>
              </w:rPr>
              <w:t>c</w:t>
            </w:r>
            <w:r w:rsidRPr="00630A55">
              <w:rPr>
                <w:lang w:eastAsia="en-AU"/>
              </w:rPr>
              <w:t xml:space="preserve">osting </w:t>
            </w:r>
            <w:r w:rsidR="00FE1EEA">
              <w:rPr>
                <w:lang w:eastAsia="en-AU"/>
              </w:rPr>
              <w:t>s</w:t>
            </w:r>
            <w:r w:rsidRPr="00630A55">
              <w:rPr>
                <w:lang w:eastAsia="en-AU"/>
              </w:rPr>
              <w:t xml:space="preserve">ystem </w:t>
            </w:r>
          </w:p>
        </w:tc>
        <w:tc>
          <w:tcPr>
            <w:tcW w:w="1831" w:type="dxa"/>
            <w:tcBorders>
              <w:top w:val="single" w:sz="4" w:space="0" w:color="auto"/>
              <w:left w:val="single" w:sz="4" w:space="0" w:color="auto"/>
              <w:bottom w:val="nil"/>
              <w:right w:val="single" w:sz="4" w:space="0" w:color="auto"/>
            </w:tcBorders>
            <w:shd w:val="clear" w:color="auto" w:fill="auto"/>
            <w:noWrap/>
            <w:vAlign w:val="bottom"/>
            <w:hideMark/>
          </w:tcPr>
          <w:p w14:paraId="0B281DDD" w14:textId="77777777" w:rsidR="000242AC" w:rsidRPr="00630A55" w:rsidRDefault="000242AC" w:rsidP="009527C7">
            <w:pPr>
              <w:pStyle w:val="TableTextNumber"/>
            </w:pPr>
            <w:r w:rsidRPr="00630A55">
              <w:t>$2,078,365,934</w:t>
            </w:r>
          </w:p>
        </w:tc>
      </w:tr>
      <w:tr w:rsidR="000242AC" w:rsidRPr="00630A55" w14:paraId="10EB20C0" w14:textId="77777777" w:rsidTr="00D87587">
        <w:trPr>
          <w:trHeight w:val="258"/>
        </w:trPr>
        <w:tc>
          <w:tcPr>
            <w:tcW w:w="7356" w:type="dxa"/>
            <w:gridSpan w:val="2"/>
            <w:tcBorders>
              <w:left w:val="single" w:sz="4" w:space="0" w:color="auto"/>
              <w:right w:val="single" w:sz="4" w:space="0" w:color="auto"/>
            </w:tcBorders>
            <w:shd w:val="clear" w:color="000000" w:fill="FFFFFF"/>
            <w:noWrap/>
            <w:vAlign w:val="center"/>
            <w:hideMark/>
          </w:tcPr>
          <w:p w14:paraId="4CEA636C" w14:textId="77777777" w:rsidR="000242AC" w:rsidRPr="00630A55" w:rsidRDefault="000242AC" w:rsidP="009527C7">
            <w:pPr>
              <w:pStyle w:val="Tabletext"/>
              <w:rPr>
                <w:color w:val="000000"/>
                <w:lang w:eastAsia="en-AU"/>
              </w:rPr>
            </w:pPr>
            <w:r w:rsidRPr="00630A55">
              <w:rPr>
                <w:lang w:eastAsia="en-AU"/>
              </w:rPr>
              <w:t xml:space="preserve">Adjustments </w:t>
            </w:r>
          </w:p>
        </w:tc>
        <w:tc>
          <w:tcPr>
            <w:tcW w:w="1831" w:type="dxa"/>
            <w:tcBorders>
              <w:top w:val="nil"/>
              <w:left w:val="single" w:sz="4" w:space="0" w:color="auto"/>
              <w:bottom w:val="nil"/>
              <w:right w:val="single" w:sz="4" w:space="0" w:color="auto"/>
            </w:tcBorders>
            <w:shd w:val="clear" w:color="auto" w:fill="auto"/>
            <w:noWrap/>
            <w:vAlign w:val="bottom"/>
            <w:hideMark/>
          </w:tcPr>
          <w:p w14:paraId="56F505C4" w14:textId="77777777" w:rsidR="000242AC" w:rsidRPr="00630A55" w:rsidRDefault="000242AC" w:rsidP="009527C7">
            <w:pPr>
              <w:pStyle w:val="TableTextNumber"/>
              <w:rPr>
                <w:color w:val="000000"/>
              </w:rPr>
            </w:pPr>
            <w:r w:rsidRPr="00630A55">
              <w:t>($13,923,113)</w:t>
            </w:r>
          </w:p>
        </w:tc>
      </w:tr>
      <w:tr w:rsidR="000242AC" w:rsidRPr="00630A55" w14:paraId="7D00F340" w14:textId="77777777" w:rsidTr="00D87587">
        <w:trPr>
          <w:trHeight w:val="258"/>
        </w:trPr>
        <w:tc>
          <w:tcPr>
            <w:tcW w:w="7356" w:type="dxa"/>
            <w:gridSpan w:val="2"/>
            <w:tcBorders>
              <w:left w:val="single" w:sz="4" w:space="0" w:color="auto"/>
              <w:right w:val="single" w:sz="4" w:space="0" w:color="auto"/>
            </w:tcBorders>
            <w:shd w:val="clear" w:color="000000" w:fill="FFFFFF"/>
            <w:noWrap/>
            <w:vAlign w:val="center"/>
            <w:hideMark/>
          </w:tcPr>
          <w:p w14:paraId="2754127C" w14:textId="0A920529" w:rsidR="000242AC" w:rsidRPr="00630A55" w:rsidRDefault="000242AC" w:rsidP="009527C7">
            <w:pPr>
              <w:pStyle w:val="Tabletext"/>
              <w:rPr>
                <w:color w:val="000000"/>
                <w:lang w:eastAsia="en-AU"/>
              </w:rPr>
            </w:pPr>
            <w:r w:rsidRPr="00630A55">
              <w:rPr>
                <w:lang w:eastAsia="en-AU"/>
              </w:rPr>
              <w:t xml:space="preserve">Post </w:t>
            </w:r>
            <w:r w:rsidR="00FE1EEA">
              <w:rPr>
                <w:lang w:eastAsia="en-AU"/>
              </w:rPr>
              <w:t>a</w:t>
            </w:r>
            <w:r w:rsidRPr="00630A55">
              <w:rPr>
                <w:lang w:eastAsia="en-AU"/>
              </w:rPr>
              <w:t xml:space="preserve">llocation </w:t>
            </w:r>
            <w:r w:rsidR="00FE1EEA">
              <w:rPr>
                <w:lang w:eastAsia="en-AU"/>
              </w:rPr>
              <w:t>a</w:t>
            </w:r>
            <w:r w:rsidRPr="00630A55">
              <w:rPr>
                <w:lang w:eastAsia="en-AU"/>
              </w:rPr>
              <w:t>mounts</w:t>
            </w:r>
          </w:p>
        </w:tc>
        <w:tc>
          <w:tcPr>
            <w:tcW w:w="1831" w:type="dxa"/>
            <w:tcBorders>
              <w:top w:val="nil"/>
              <w:left w:val="single" w:sz="4" w:space="0" w:color="auto"/>
              <w:bottom w:val="nil"/>
              <w:right w:val="single" w:sz="4" w:space="0" w:color="auto"/>
            </w:tcBorders>
            <w:shd w:val="clear" w:color="auto" w:fill="auto"/>
            <w:noWrap/>
            <w:vAlign w:val="bottom"/>
            <w:hideMark/>
          </w:tcPr>
          <w:p w14:paraId="5F55E361" w14:textId="77777777" w:rsidR="000242AC" w:rsidRPr="00630A55" w:rsidRDefault="000242AC" w:rsidP="009527C7">
            <w:pPr>
              <w:pStyle w:val="TableTextNumber"/>
            </w:pPr>
            <w:r w:rsidRPr="00630A55">
              <w:t>$2,064,442,822</w:t>
            </w:r>
          </w:p>
        </w:tc>
      </w:tr>
      <w:tr w:rsidR="000242AC" w:rsidRPr="00630A55" w14:paraId="743C21DC" w14:textId="77777777" w:rsidTr="00D87587">
        <w:trPr>
          <w:trHeight w:val="258"/>
        </w:trPr>
        <w:tc>
          <w:tcPr>
            <w:tcW w:w="7356" w:type="dxa"/>
            <w:gridSpan w:val="2"/>
            <w:tcBorders>
              <w:left w:val="single" w:sz="4" w:space="0" w:color="auto"/>
              <w:right w:val="single" w:sz="4" w:space="0" w:color="auto"/>
            </w:tcBorders>
            <w:shd w:val="clear" w:color="000000" w:fill="FFFFFF"/>
            <w:noWrap/>
            <w:vAlign w:val="center"/>
            <w:hideMark/>
          </w:tcPr>
          <w:p w14:paraId="2880D77C" w14:textId="77777777" w:rsidR="000242AC" w:rsidRPr="00630A55" w:rsidRDefault="000242AC" w:rsidP="009527C7">
            <w:pPr>
              <w:pStyle w:val="Tabletext"/>
              <w:rPr>
                <w:color w:val="000000"/>
                <w:lang w:eastAsia="en-AU"/>
              </w:rPr>
            </w:pPr>
            <w:r w:rsidRPr="00630A55">
              <w:rPr>
                <w:lang w:eastAsia="en-AU"/>
              </w:rPr>
              <w:t xml:space="preserve">Line items as per standards </w:t>
            </w:r>
          </w:p>
        </w:tc>
        <w:tc>
          <w:tcPr>
            <w:tcW w:w="1831" w:type="dxa"/>
            <w:tcBorders>
              <w:top w:val="nil"/>
              <w:left w:val="single" w:sz="4" w:space="0" w:color="auto"/>
              <w:bottom w:val="nil"/>
              <w:right w:val="single" w:sz="4" w:space="0" w:color="auto"/>
            </w:tcBorders>
            <w:shd w:val="clear" w:color="auto" w:fill="auto"/>
            <w:noWrap/>
            <w:vAlign w:val="bottom"/>
            <w:hideMark/>
          </w:tcPr>
          <w:p w14:paraId="71D785FD" w14:textId="77777777" w:rsidR="000242AC" w:rsidRPr="00630A55" w:rsidRDefault="000242AC" w:rsidP="009527C7">
            <w:pPr>
              <w:pStyle w:val="TableTextNumber"/>
            </w:pPr>
            <w:r w:rsidRPr="00630A55">
              <w:t>$2,064,442,822</w:t>
            </w:r>
          </w:p>
        </w:tc>
      </w:tr>
      <w:tr w:rsidR="000242AC" w:rsidRPr="00630A55" w14:paraId="438A2A7D" w14:textId="77777777" w:rsidTr="00FE1EEA">
        <w:trPr>
          <w:trHeight w:val="258"/>
        </w:trPr>
        <w:tc>
          <w:tcPr>
            <w:tcW w:w="7356" w:type="dxa"/>
            <w:gridSpan w:val="2"/>
            <w:tcBorders>
              <w:left w:val="single" w:sz="4" w:space="0" w:color="auto"/>
              <w:bottom w:val="single" w:sz="4" w:space="0" w:color="auto"/>
              <w:right w:val="single" w:sz="4" w:space="0" w:color="auto"/>
            </w:tcBorders>
            <w:shd w:val="clear" w:color="000000" w:fill="FFFFFF"/>
            <w:noWrap/>
            <w:vAlign w:val="center"/>
            <w:hideMark/>
          </w:tcPr>
          <w:p w14:paraId="41EBE4F1" w14:textId="1C0DBDA1" w:rsidR="000242AC" w:rsidRPr="00630A55" w:rsidRDefault="000242AC" w:rsidP="009527C7">
            <w:pPr>
              <w:pStyle w:val="Tabletext"/>
              <w:rPr>
                <w:color w:val="000000"/>
                <w:lang w:eastAsia="en-AU"/>
              </w:rPr>
            </w:pPr>
            <w:r w:rsidRPr="00630A55">
              <w:rPr>
                <w:lang w:eastAsia="en-AU"/>
              </w:rPr>
              <w:t xml:space="preserve">Costs </w:t>
            </w:r>
            <w:r w:rsidR="00FE1EEA">
              <w:rPr>
                <w:lang w:eastAsia="en-AU"/>
              </w:rPr>
              <w:t>s</w:t>
            </w:r>
            <w:r w:rsidRPr="00630A55">
              <w:rPr>
                <w:lang w:eastAsia="en-AU"/>
              </w:rPr>
              <w:t xml:space="preserve">ubmitted to </w:t>
            </w:r>
            <w:r w:rsidR="00FE1EEA">
              <w:rPr>
                <w:lang w:eastAsia="en-AU"/>
              </w:rPr>
              <w:t>j</w:t>
            </w:r>
            <w:r w:rsidRPr="00630A55">
              <w:rPr>
                <w:lang w:eastAsia="en-AU"/>
              </w:rPr>
              <w:t xml:space="preserve">urisdiction </w:t>
            </w:r>
          </w:p>
        </w:tc>
        <w:tc>
          <w:tcPr>
            <w:tcW w:w="1831" w:type="dxa"/>
            <w:tcBorders>
              <w:top w:val="nil"/>
              <w:left w:val="single" w:sz="4" w:space="0" w:color="auto"/>
              <w:bottom w:val="single" w:sz="4" w:space="0" w:color="auto"/>
              <w:right w:val="single" w:sz="4" w:space="0" w:color="auto"/>
            </w:tcBorders>
            <w:shd w:val="clear" w:color="auto" w:fill="auto"/>
            <w:noWrap/>
            <w:vAlign w:val="bottom"/>
            <w:hideMark/>
          </w:tcPr>
          <w:p w14:paraId="11BABA4F" w14:textId="77777777" w:rsidR="000242AC" w:rsidRPr="00630A55" w:rsidRDefault="000242AC" w:rsidP="009527C7">
            <w:pPr>
              <w:pStyle w:val="TableTextNumber"/>
            </w:pPr>
            <w:r w:rsidRPr="00630A55">
              <w:t>$2,064,442,822</w:t>
            </w:r>
          </w:p>
        </w:tc>
      </w:tr>
      <w:tr w:rsidR="000242AC" w:rsidRPr="00630A55" w14:paraId="58E9C735" w14:textId="77777777" w:rsidTr="00FE1EEA">
        <w:trPr>
          <w:trHeight w:val="258"/>
        </w:trPr>
        <w:tc>
          <w:tcPr>
            <w:tcW w:w="7356" w:type="dxa"/>
            <w:gridSpan w:val="2"/>
            <w:tcBorders>
              <w:top w:val="single" w:sz="4" w:space="0" w:color="auto"/>
              <w:left w:val="single" w:sz="4" w:space="0" w:color="auto"/>
              <w:bottom w:val="single" w:sz="4" w:space="0" w:color="auto"/>
              <w:right w:val="single" w:sz="4" w:space="0" w:color="auto"/>
            </w:tcBorders>
            <w:shd w:val="clear" w:color="000000" w:fill="00338D"/>
            <w:noWrap/>
            <w:vAlign w:val="center"/>
            <w:hideMark/>
          </w:tcPr>
          <w:p w14:paraId="268CC352" w14:textId="454328FE" w:rsidR="000242AC" w:rsidRPr="00630A55" w:rsidRDefault="000242AC" w:rsidP="009527C7">
            <w:pPr>
              <w:pStyle w:val="Tableheading"/>
              <w:rPr>
                <w:color w:val="FFFFFF"/>
                <w:lang w:eastAsia="en-AU"/>
              </w:rPr>
            </w:pPr>
            <w:r w:rsidRPr="00630A55">
              <w:rPr>
                <w:lang w:eastAsia="en-AU"/>
              </w:rPr>
              <w:t xml:space="preserve">Hospital level </w:t>
            </w:r>
            <w:r w:rsidR="00FE1EEA">
              <w:rPr>
                <w:lang w:eastAsia="en-AU"/>
              </w:rPr>
              <w:t>d</w:t>
            </w:r>
            <w:r w:rsidRPr="00630A55">
              <w:rPr>
                <w:lang w:eastAsia="en-AU"/>
              </w:rPr>
              <w:t>ata (</w:t>
            </w:r>
            <w:r w:rsidR="00FE1EEA">
              <w:rPr>
                <w:lang w:eastAsia="en-AU"/>
              </w:rPr>
              <w:t>AH</w:t>
            </w:r>
            <w:r w:rsidRPr="00630A55">
              <w:rPr>
                <w:lang w:eastAsia="en-AU"/>
              </w:rPr>
              <w:t>)</w:t>
            </w:r>
          </w:p>
        </w:tc>
        <w:tc>
          <w:tcPr>
            <w:tcW w:w="1831" w:type="dxa"/>
            <w:tcBorders>
              <w:top w:val="single" w:sz="4" w:space="0" w:color="auto"/>
              <w:left w:val="single" w:sz="4" w:space="0" w:color="auto"/>
              <w:bottom w:val="single" w:sz="4" w:space="0" w:color="auto"/>
              <w:right w:val="single" w:sz="4" w:space="0" w:color="auto"/>
            </w:tcBorders>
            <w:shd w:val="clear" w:color="000000" w:fill="00338D"/>
            <w:noWrap/>
            <w:vAlign w:val="center"/>
            <w:hideMark/>
          </w:tcPr>
          <w:p w14:paraId="012DE654" w14:textId="59EB95DF" w:rsidR="000242AC" w:rsidRPr="00630A55" w:rsidRDefault="000242AC" w:rsidP="009527C7">
            <w:pPr>
              <w:pStyle w:val="Tableheading"/>
              <w:rPr>
                <w:color w:val="FFFFFF"/>
                <w:lang w:eastAsia="en-AU"/>
              </w:rPr>
            </w:pPr>
            <w:r w:rsidRPr="00630A55">
              <w:rPr>
                <w:lang w:eastAsia="en-AU"/>
              </w:rPr>
              <w:t> </w:t>
            </w:r>
            <w:r w:rsidR="00467F5A">
              <w:rPr>
                <w:lang w:eastAsia="en-AU"/>
              </w:rPr>
              <w:t>Value</w:t>
            </w:r>
          </w:p>
        </w:tc>
      </w:tr>
      <w:tr w:rsidR="000242AC" w:rsidRPr="00630A55" w14:paraId="50C8825B" w14:textId="77777777" w:rsidTr="00FE1EEA">
        <w:trPr>
          <w:trHeight w:val="258"/>
        </w:trPr>
        <w:tc>
          <w:tcPr>
            <w:tcW w:w="7356" w:type="dxa"/>
            <w:gridSpan w:val="2"/>
            <w:tcBorders>
              <w:top w:val="single" w:sz="4" w:space="0" w:color="auto"/>
              <w:left w:val="single" w:sz="4" w:space="0" w:color="auto"/>
              <w:right w:val="single" w:sz="4" w:space="0" w:color="auto"/>
            </w:tcBorders>
            <w:shd w:val="clear" w:color="000000" w:fill="FFFFFF"/>
            <w:noWrap/>
            <w:vAlign w:val="center"/>
            <w:hideMark/>
          </w:tcPr>
          <w:p w14:paraId="1B8C19EB" w14:textId="319B874D" w:rsidR="000242AC" w:rsidRPr="00630A55" w:rsidRDefault="000242AC" w:rsidP="009527C7">
            <w:pPr>
              <w:pStyle w:val="Tabletext"/>
              <w:rPr>
                <w:color w:val="000000"/>
                <w:lang w:eastAsia="en-AU"/>
              </w:rPr>
            </w:pPr>
            <w:r w:rsidRPr="00630A55">
              <w:rPr>
                <w:lang w:eastAsia="en-AU"/>
              </w:rPr>
              <w:t xml:space="preserve">GL transferred to </w:t>
            </w:r>
            <w:r w:rsidR="00FE1EEA">
              <w:rPr>
                <w:lang w:eastAsia="en-AU"/>
              </w:rPr>
              <w:t>c</w:t>
            </w:r>
            <w:r w:rsidRPr="00630A55">
              <w:rPr>
                <w:lang w:eastAsia="en-AU"/>
              </w:rPr>
              <w:t xml:space="preserve">osting </w:t>
            </w:r>
            <w:r w:rsidR="00FE1EEA">
              <w:rPr>
                <w:lang w:eastAsia="en-AU"/>
              </w:rPr>
              <w:t>s</w:t>
            </w:r>
            <w:r w:rsidRPr="00630A55">
              <w:rPr>
                <w:lang w:eastAsia="en-AU"/>
              </w:rPr>
              <w:t xml:space="preserve">ystem </w:t>
            </w:r>
          </w:p>
        </w:tc>
        <w:tc>
          <w:tcPr>
            <w:tcW w:w="1831" w:type="dxa"/>
            <w:tcBorders>
              <w:top w:val="single" w:sz="4" w:space="0" w:color="auto"/>
              <w:left w:val="single" w:sz="4" w:space="0" w:color="auto"/>
              <w:bottom w:val="nil"/>
              <w:right w:val="single" w:sz="4" w:space="0" w:color="auto"/>
            </w:tcBorders>
            <w:shd w:val="clear" w:color="auto" w:fill="auto"/>
            <w:noWrap/>
            <w:vAlign w:val="center"/>
            <w:hideMark/>
          </w:tcPr>
          <w:p w14:paraId="68CB0D42" w14:textId="01AC4A2C" w:rsidR="000242AC" w:rsidRPr="00630A55" w:rsidRDefault="000242AC" w:rsidP="009527C7">
            <w:pPr>
              <w:pStyle w:val="TableTextNumber"/>
            </w:pPr>
            <w:r w:rsidRPr="00630A55">
              <w:t>$14</w:t>
            </w:r>
            <w:r w:rsidR="003A7B94">
              <w:t>7</w:t>
            </w:r>
            <w:r w:rsidRPr="00630A55">
              <w:t>,</w:t>
            </w:r>
            <w:r w:rsidR="003A7B94">
              <w:t>260,309</w:t>
            </w:r>
          </w:p>
        </w:tc>
      </w:tr>
      <w:tr w:rsidR="000242AC" w:rsidRPr="00630A55" w14:paraId="3D1614E9" w14:textId="77777777" w:rsidTr="00D87587">
        <w:trPr>
          <w:trHeight w:val="258"/>
        </w:trPr>
        <w:tc>
          <w:tcPr>
            <w:tcW w:w="7356" w:type="dxa"/>
            <w:gridSpan w:val="2"/>
            <w:tcBorders>
              <w:left w:val="single" w:sz="4" w:space="0" w:color="auto"/>
              <w:right w:val="single" w:sz="4" w:space="0" w:color="auto"/>
            </w:tcBorders>
            <w:shd w:val="clear" w:color="000000" w:fill="FFFFFF"/>
            <w:noWrap/>
            <w:vAlign w:val="center"/>
            <w:hideMark/>
          </w:tcPr>
          <w:p w14:paraId="373DADAF" w14:textId="77777777" w:rsidR="000242AC" w:rsidRPr="00630A55" w:rsidRDefault="000242AC" w:rsidP="009527C7">
            <w:pPr>
              <w:pStyle w:val="Tabletext"/>
              <w:rPr>
                <w:color w:val="000000"/>
                <w:lang w:eastAsia="en-AU"/>
              </w:rPr>
            </w:pPr>
            <w:r w:rsidRPr="00630A55">
              <w:rPr>
                <w:lang w:eastAsia="en-AU"/>
              </w:rPr>
              <w:t xml:space="preserve">Adjustments </w:t>
            </w:r>
          </w:p>
        </w:tc>
        <w:tc>
          <w:tcPr>
            <w:tcW w:w="1831" w:type="dxa"/>
            <w:tcBorders>
              <w:top w:val="nil"/>
              <w:left w:val="single" w:sz="4" w:space="0" w:color="auto"/>
              <w:bottom w:val="nil"/>
              <w:right w:val="single" w:sz="4" w:space="0" w:color="auto"/>
            </w:tcBorders>
            <w:shd w:val="clear" w:color="auto" w:fill="auto"/>
            <w:noWrap/>
            <w:vAlign w:val="center"/>
            <w:hideMark/>
          </w:tcPr>
          <w:p w14:paraId="543CD722" w14:textId="3A06B8CC" w:rsidR="000242AC" w:rsidRPr="00630A55" w:rsidRDefault="00105759" w:rsidP="00105759">
            <w:pPr>
              <w:pStyle w:val="TableTextNumber"/>
            </w:pPr>
            <w:r>
              <w:t>($281,814)</w:t>
            </w:r>
          </w:p>
        </w:tc>
      </w:tr>
      <w:tr w:rsidR="000242AC" w:rsidRPr="00630A55" w14:paraId="41010A71" w14:textId="77777777" w:rsidTr="00D87587">
        <w:trPr>
          <w:trHeight w:val="258"/>
        </w:trPr>
        <w:tc>
          <w:tcPr>
            <w:tcW w:w="7356" w:type="dxa"/>
            <w:gridSpan w:val="2"/>
            <w:tcBorders>
              <w:left w:val="single" w:sz="4" w:space="0" w:color="auto"/>
              <w:right w:val="single" w:sz="4" w:space="0" w:color="auto"/>
            </w:tcBorders>
            <w:shd w:val="clear" w:color="000000" w:fill="FFFFFF"/>
            <w:noWrap/>
            <w:vAlign w:val="center"/>
            <w:hideMark/>
          </w:tcPr>
          <w:p w14:paraId="132CF528" w14:textId="2FE65DCF" w:rsidR="000242AC" w:rsidRPr="00630A55" w:rsidRDefault="000242AC" w:rsidP="009527C7">
            <w:pPr>
              <w:pStyle w:val="Tabletext"/>
              <w:rPr>
                <w:color w:val="000000"/>
                <w:lang w:eastAsia="en-AU"/>
              </w:rPr>
            </w:pPr>
            <w:r w:rsidRPr="00630A55">
              <w:rPr>
                <w:lang w:eastAsia="en-AU"/>
              </w:rPr>
              <w:t xml:space="preserve">Post </w:t>
            </w:r>
            <w:r w:rsidR="00FE1EEA">
              <w:rPr>
                <w:lang w:eastAsia="en-AU"/>
              </w:rPr>
              <w:t>a</w:t>
            </w:r>
            <w:r w:rsidRPr="00630A55">
              <w:rPr>
                <w:lang w:eastAsia="en-AU"/>
              </w:rPr>
              <w:t xml:space="preserve">llocation </w:t>
            </w:r>
            <w:r w:rsidR="00FE1EEA">
              <w:rPr>
                <w:lang w:eastAsia="en-AU"/>
              </w:rPr>
              <w:t>a</w:t>
            </w:r>
            <w:r w:rsidRPr="00630A55">
              <w:rPr>
                <w:lang w:eastAsia="en-AU"/>
              </w:rPr>
              <w:t>mounts</w:t>
            </w:r>
          </w:p>
        </w:tc>
        <w:tc>
          <w:tcPr>
            <w:tcW w:w="1831" w:type="dxa"/>
            <w:tcBorders>
              <w:top w:val="nil"/>
              <w:left w:val="single" w:sz="4" w:space="0" w:color="auto"/>
              <w:bottom w:val="nil"/>
              <w:right w:val="single" w:sz="4" w:space="0" w:color="auto"/>
            </w:tcBorders>
            <w:shd w:val="clear" w:color="auto" w:fill="auto"/>
            <w:noWrap/>
            <w:hideMark/>
          </w:tcPr>
          <w:p w14:paraId="3EC5B016" w14:textId="77777777" w:rsidR="000242AC" w:rsidRPr="00630A55" w:rsidRDefault="000242AC" w:rsidP="009527C7">
            <w:pPr>
              <w:pStyle w:val="TableTextNumber"/>
            </w:pPr>
            <w:r w:rsidRPr="00630A55">
              <w:t>$146,978,495</w:t>
            </w:r>
          </w:p>
        </w:tc>
      </w:tr>
      <w:tr w:rsidR="000242AC" w:rsidRPr="00630A55" w14:paraId="798071F0" w14:textId="77777777" w:rsidTr="00D87587">
        <w:trPr>
          <w:trHeight w:val="258"/>
        </w:trPr>
        <w:tc>
          <w:tcPr>
            <w:tcW w:w="7356" w:type="dxa"/>
            <w:gridSpan w:val="2"/>
            <w:tcBorders>
              <w:left w:val="single" w:sz="4" w:space="0" w:color="auto"/>
              <w:right w:val="single" w:sz="4" w:space="0" w:color="auto"/>
            </w:tcBorders>
            <w:shd w:val="clear" w:color="000000" w:fill="FFFFFF"/>
            <w:noWrap/>
            <w:vAlign w:val="center"/>
            <w:hideMark/>
          </w:tcPr>
          <w:p w14:paraId="5FFA71B5" w14:textId="77777777" w:rsidR="000242AC" w:rsidRPr="00630A55" w:rsidRDefault="000242AC" w:rsidP="009527C7">
            <w:pPr>
              <w:pStyle w:val="Tabletext"/>
              <w:rPr>
                <w:color w:val="000000"/>
                <w:lang w:eastAsia="en-AU"/>
              </w:rPr>
            </w:pPr>
            <w:r w:rsidRPr="00630A55">
              <w:rPr>
                <w:lang w:eastAsia="en-AU"/>
              </w:rPr>
              <w:t xml:space="preserve">Line items as per standards </w:t>
            </w:r>
          </w:p>
        </w:tc>
        <w:tc>
          <w:tcPr>
            <w:tcW w:w="1831" w:type="dxa"/>
            <w:tcBorders>
              <w:top w:val="nil"/>
              <w:left w:val="single" w:sz="4" w:space="0" w:color="auto"/>
              <w:bottom w:val="nil"/>
              <w:right w:val="single" w:sz="4" w:space="0" w:color="auto"/>
            </w:tcBorders>
            <w:shd w:val="clear" w:color="auto" w:fill="auto"/>
            <w:noWrap/>
            <w:hideMark/>
          </w:tcPr>
          <w:p w14:paraId="25E912BC" w14:textId="77777777" w:rsidR="000242AC" w:rsidRPr="00630A55" w:rsidRDefault="000242AC" w:rsidP="009527C7">
            <w:pPr>
              <w:pStyle w:val="TableTextNumber"/>
            </w:pPr>
            <w:r w:rsidRPr="00630A55">
              <w:t>$146,978,495</w:t>
            </w:r>
          </w:p>
        </w:tc>
      </w:tr>
      <w:tr w:rsidR="000242AC" w:rsidRPr="00630A55" w14:paraId="66050270" w14:textId="77777777" w:rsidTr="00FE1EEA">
        <w:trPr>
          <w:trHeight w:val="258"/>
        </w:trPr>
        <w:tc>
          <w:tcPr>
            <w:tcW w:w="7356" w:type="dxa"/>
            <w:gridSpan w:val="2"/>
            <w:tcBorders>
              <w:left w:val="single" w:sz="4" w:space="0" w:color="auto"/>
              <w:bottom w:val="single" w:sz="4" w:space="0" w:color="auto"/>
              <w:right w:val="single" w:sz="4" w:space="0" w:color="auto"/>
            </w:tcBorders>
            <w:shd w:val="clear" w:color="000000" w:fill="FFFFFF"/>
            <w:noWrap/>
            <w:vAlign w:val="center"/>
            <w:hideMark/>
          </w:tcPr>
          <w:p w14:paraId="4F9FF481" w14:textId="182C6805" w:rsidR="000242AC" w:rsidRPr="00630A55" w:rsidRDefault="000242AC" w:rsidP="009527C7">
            <w:pPr>
              <w:pStyle w:val="Tabletext"/>
              <w:rPr>
                <w:color w:val="000000"/>
                <w:lang w:eastAsia="en-AU"/>
              </w:rPr>
            </w:pPr>
            <w:r w:rsidRPr="00630A55">
              <w:rPr>
                <w:lang w:eastAsia="en-AU"/>
              </w:rPr>
              <w:t xml:space="preserve">Costs </w:t>
            </w:r>
            <w:r w:rsidR="00FE1EEA">
              <w:rPr>
                <w:lang w:eastAsia="en-AU"/>
              </w:rPr>
              <w:t>s</w:t>
            </w:r>
            <w:r w:rsidRPr="00630A55">
              <w:rPr>
                <w:lang w:eastAsia="en-AU"/>
              </w:rPr>
              <w:t xml:space="preserve">ubmitted to </w:t>
            </w:r>
            <w:r w:rsidR="00FE1EEA">
              <w:rPr>
                <w:lang w:eastAsia="en-AU"/>
              </w:rPr>
              <w:t>j</w:t>
            </w:r>
            <w:r w:rsidRPr="00630A55">
              <w:rPr>
                <w:lang w:eastAsia="en-AU"/>
              </w:rPr>
              <w:t xml:space="preserve">urisdiction </w:t>
            </w:r>
          </w:p>
        </w:tc>
        <w:tc>
          <w:tcPr>
            <w:tcW w:w="1831" w:type="dxa"/>
            <w:tcBorders>
              <w:top w:val="nil"/>
              <w:left w:val="single" w:sz="4" w:space="0" w:color="auto"/>
              <w:bottom w:val="single" w:sz="4" w:space="0" w:color="auto"/>
              <w:right w:val="single" w:sz="4" w:space="0" w:color="auto"/>
            </w:tcBorders>
            <w:shd w:val="clear" w:color="auto" w:fill="auto"/>
            <w:noWrap/>
            <w:hideMark/>
          </w:tcPr>
          <w:p w14:paraId="4673DD7E" w14:textId="77777777" w:rsidR="000242AC" w:rsidRPr="00630A55" w:rsidRDefault="000242AC" w:rsidP="009527C7">
            <w:pPr>
              <w:pStyle w:val="TableTextNumber"/>
            </w:pPr>
            <w:r w:rsidRPr="00630A55">
              <w:t>$146,978,495</w:t>
            </w:r>
          </w:p>
        </w:tc>
      </w:tr>
      <w:tr w:rsidR="000242AC" w:rsidRPr="00630A55" w14:paraId="09A2E4CA" w14:textId="77777777" w:rsidTr="00FE1EEA">
        <w:trPr>
          <w:trHeight w:val="258"/>
        </w:trPr>
        <w:tc>
          <w:tcPr>
            <w:tcW w:w="7356" w:type="dxa"/>
            <w:gridSpan w:val="2"/>
            <w:tcBorders>
              <w:top w:val="single" w:sz="4" w:space="0" w:color="auto"/>
              <w:left w:val="single" w:sz="4" w:space="0" w:color="auto"/>
              <w:bottom w:val="single" w:sz="4" w:space="0" w:color="auto"/>
              <w:right w:val="single" w:sz="4" w:space="0" w:color="auto"/>
            </w:tcBorders>
            <w:shd w:val="clear" w:color="000000" w:fill="00338D"/>
            <w:noWrap/>
            <w:vAlign w:val="center"/>
            <w:hideMark/>
          </w:tcPr>
          <w:p w14:paraId="693B7075" w14:textId="655561A1" w:rsidR="000242AC" w:rsidRPr="00630A55" w:rsidRDefault="000242AC" w:rsidP="009527C7">
            <w:pPr>
              <w:pStyle w:val="Tableheading"/>
              <w:rPr>
                <w:lang w:eastAsia="en-AU"/>
              </w:rPr>
            </w:pPr>
            <w:r w:rsidRPr="00630A55">
              <w:rPr>
                <w:lang w:eastAsia="en-AU"/>
              </w:rPr>
              <w:t>A</w:t>
            </w:r>
            <w:r w:rsidR="00FE1EEA">
              <w:rPr>
                <w:lang w:eastAsia="en-AU"/>
              </w:rPr>
              <w:t>H</w:t>
            </w:r>
            <w:r w:rsidRPr="00630A55">
              <w:rPr>
                <w:lang w:eastAsia="en-AU"/>
              </w:rPr>
              <w:t xml:space="preserve"> </w:t>
            </w:r>
            <w:r w:rsidR="00FE1EEA">
              <w:rPr>
                <w:lang w:eastAsia="en-AU"/>
              </w:rPr>
              <w:t>a</w:t>
            </w:r>
            <w:r w:rsidRPr="00630A55">
              <w:rPr>
                <w:lang w:eastAsia="en-AU"/>
              </w:rPr>
              <w:t>ctivity</w:t>
            </w:r>
          </w:p>
        </w:tc>
        <w:tc>
          <w:tcPr>
            <w:tcW w:w="1831" w:type="dxa"/>
            <w:tcBorders>
              <w:top w:val="single" w:sz="4" w:space="0" w:color="auto"/>
              <w:left w:val="single" w:sz="4" w:space="0" w:color="auto"/>
              <w:bottom w:val="single" w:sz="4" w:space="0" w:color="auto"/>
              <w:right w:val="single" w:sz="4" w:space="0" w:color="auto"/>
            </w:tcBorders>
            <w:shd w:val="clear" w:color="000000" w:fill="00338D"/>
            <w:noWrap/>
            <w:vAlign w:val="center"/>
            <w:hideMark/>
          </w:tcPr>
          <w:p w14:paraId="28561651" w14:textId="77777777" w:rsidR="000242AC" w:rsidRPr="00630A55" w:rsidRDefault="000242AC" w:rsidP="009527C7">
            <w:pPr>
              <w:pStyle w:val="Tableheading"/>
              <w:rPr>
                <w:color w:val="FFFFFF"/>
                <w:lang w:eastAsia="en-AU"/>
              </w:rPr>
            </w:pPr>
            <w:r w:rsidRPr="00630A55">
              <w:rPr>
                <w:lang w:eastAsia="en-AU"/>
              </w:rPr>
              <w:t xml:space="preserve">Value </w:t>
            </w:r>
          </w:p>
        </w:tc>
      </w:tr>
      <w:tr w:rsidR="000242AC" w:rsidRPr="00630A55" w14:paraId="46474719" w14:textId="77777777" w:rsidTr="00FE1EEA">
        <w:trPr>
          <w:trHeight w:val="465"/>
        </w:trPr>
        <w:tc>
          <w:tcPr>
            <w:tcW w:w="7356" w:type="dxa"/>
            <w:gridSpan w:val="2"/>
            <w:tcBorders>
              <w:top w:val="single" w:sz="4" w:space="0" w:color="auto"/>
              <w:left w:val="single" w:sz="4" w:space="0" w:color="auto"/>
              <w:right w:val="single" w:sz="4" w:space="0" w:color="auto"/>
            </w:tcBorders>
            <w:shd w:val="clear" w:color="000000" w:fill="FFFFFF"/>
            <w:vAlign w:val="center"/>
            <w:hideMark/>
          </w:tcPr>
          <w:p w14:paraId="492FD82C" w14:textId="705534A1" w:rsidR="000242AC" w:rsidRPr="00630A55" w:rsidRDefault="000242AC" w:rsidP="009527C7">
            <w:pPr>
              <w:pStyle w:val="Tabletext"/>
              <w:rPr>
                <w:color w:val="000000"/>
                <w:lang w:eastAsia="en-AU"/>
              </w:rPr>
            </w:pPr>
            <w:r w:rsidRPr="00630A55">
              <w:rPr>
                <w:lang w:eastAsia="en-AU"/>
              </w:rPr>
              <w:t xml:space="preserve">Data loaded to the costing </w:t>
            </w:r>
            <w:r w:rsidR="00FE1EEA">
              <w:rPr>
                <w:lang w:eastAsia="en-AU"/>
              </w:rPr>
              <w:t>s</w:t>
            </w:r>
            <w:r w:rsidRPr="00630A55">
              <w:rPr>
                <w:lang w:eastAsia="en-AU"/>
              </w:rPr>
              <w:t>ystem for costing purposes</w:t>
            </w:r>
          </w:p>
        </w:tc>
        <w:tc>
          <w:tcPr>
            <w:tcW w:w="1831" w:type="dxa"/>
            <w:tcBorders>
              <w:top w:val="single" w:sz="4" w:space="0" w:color="auto"/>
              <w:left w:val="single" w:sz="4" w:space="0" w:color="auto"/>
              <w:bottom w:val="nil"/>
              <w:right w:val="single" w:sz="4" w:space="0" w:color="auto"/>
            </w:tcBorders>
            <w:shd w:val="clear" w:color="auto" w:fill="auto"/>
            <w:vAlign w:val="center"/>
            <w:hideMark/>
          </w:tcPr>
          <w:p w14:paraId="4B84F211" w14:textId="77777777" w:rsidR="000242AC" w:rsidRPr="00630A55" w:rsidRDefault="000242AC" w:rsidP="009527C7">
            <w:pPr>
              <w:pStyle w:val="TableTextNumber"/>
            </w:pPr>
            <w:r w:rsidRPr="00630A55">
              <w:t> </w:t>
            </w:r>
          </w:p>
        </w:tc>
      </w:tr>
      <w:tr w:rsidR="000242AC" w:rsidRPr="00630A55" w14:paraId="7F7A210D" w14:textId="77777777" w:rsidTr="00D87587">
        <w:trPr>
          <w:trHeight w:val="258"/>
        </w:trPr>
        <w:tc>
          <w:tcPr>
            <w:tcW w:w="281" w:type="dxa"/>
            <w:tcBorders>
              <w:left w:val="single" w:sz="4" w:space="0" w:color="auto"/>
            </w:tcBorders>
            <w:shd w:val="clear" w:color="000000" w:fill="FFFFFF"/>
            <w:noWrap/>
            <w:vAlign w:val="center"/>
            <w:hideMark/>
          </w:tcPr>
          <w:p w14:paraId="377F6A84" w14:textId="77777777" w:rsidR="000242AC" w:rsidRPr="00630A55" w:rsidRDefault="000242AC" w:rsidP="009527C7">
            <w:pPr>
              <w:pStyle w:val="Tabletext"/>
              <w:rPr>
                <w:color w:val="000000"/>
                <w:lang w:eastAsia="en-AU"/>
              </w:rPr>
            </w:pPr>
            <w:r w:rsidRPr="00630A55">
              <w:rPr>
                <w:lang w:eastAsia="en-AU"/>
              </w:rPr>
              <w:t> </w:t>
            </w:r>
          </w:p>
        </w:tc>
        <w:tc>
          <w:tcPr>
            <w:tcW w:w="7075" w:type="dxa"/>
            <w:tcBorders>
              <w:right w:val="single" w:sz="4" w:space="0" w:color="auto"/>
            </w:tcBorders>
            <w:shd w:val="clear" w:color="000000" w:fill="FFFFFF"/>
            <w:noWrap/>
            <w:vAlign w:val="center"/>
            <w:hideMark/>
          </w:tcPr>
          <w:p w14:paraId="2E261B07" w14:textId="5CBFB94F" w:rsidR="000242AC" w:rsidRPr="00630A55" w:rsidRDefault="000242AC" w:rsidP="009527C7">
            <w:pPr>
              <w:pStyle w:val="Tabletext"/>
              <w:rPr>
                <w:color w:val="000000"/>
                <w:lang w:eastAsia="en-AU"/>
              </w:rPr>
            </w:pPr>
            <w:r w:rsidRPr="00630A55">
              <w:rPr>
                <w:lang w:eastAsia="en-AU"/>
              </w:rPr>
              <w:t xml:space="preserve">Activity </w:t>
            </w:r>
            <w:r w:rsidR="00FE1EEA">
              <w:rPr>
                <w:lang w:eastAsia="en-AU"/>
              </w:rPr>
              <w:t>d</w:t>
            </w:r>
            <w:r w:rsidRPr="00630A55">
              <w:rPr>
                <w:lang w:eastAsia="en-AU"/>
              </w:rPr>
              <w:t xml:space="preserve">ata </w:t>
            </w:r>
          </w:p>
        </w:tc>
        <w:tc>
          <w:tcPr>
            <w:tcW w:w="1831" w:type="dxa"/>
            <w:tcBorders>
              <w:top w:val="nil"/>
              <w:left w:val="single" w:sz="4" w:space="0" w:color="auto"/>
              <w:bottom w:val="nil"/>
              <w:right w:val="single" w:sz="4" w:space="0" w:color="auto"/>
            </w:tcBorders>
            <w:shd w:val="clear" w:color="auto" w:fill="auto"/>
            <w:noWrap/>
            <w:vAlign w:val="center"/>
            <w:hideMark/>
          </w:tcPr>
          <w:p w14:paraId="06E7A38E" w14:textId="77777777" w:rsidR="000242AC" w:rsidRPr="00630A55" w:rsidRDefault="000242AC" w:rsidP="009527C7">
            <w:pPr>
              <w:pStyle w:val="TableTextNumber"/>
            </w:pPr>
            <w:r w:rsidRPr="00630A55">
              <w:t>139,969</w:t>
            </w:r>
          </w:p>
        </w:tc>
      </w:tr>
      <w:tr w:rsidR="000242AC" w:rsidRPr="00630A55" w14:paraId="34E30EE4" w14:textId="77777777" w:rsidTr="00D87587">
        <w:trPr>
          <w:trHeight w:val="258"/>
        </w:trPr>
        <w:tc>
          <w:tcPr>
            <w:tcW w:w="281" w:type="dxa"/>
            <w:tcBorders>
              <w:left w:val="single" w:sz="4" w:space="0" w:color="auto"/>
            </w:tcBorders>
            <w:shd w:val="clear" w:color="000000" w:fill="FFFFFF"/>
            <w:noWrap/>
            <w:vAlign w:val="center"/>
            <w:hideMark/>
          </w:tcPr>
          <w:p w14:paraId="0B52DED8" w14:textId="77777777" w:rsidR="000242AC" w:rsidRPr="00630A55" w:rsidRDefault="000242AC" w:rsidP="009527C7">
            <w:pPr>
              <w:pStyle w:val="Tabletext"/>
              <w:rPr>
                <w:color w:val="000000"/>
                <w:lang w:eastAsia="en-AU"/>
              </w:rPr>
            </w:pPr>
            <w:r w:rsidRPr="00630A55">
              <w:rPr>
                <w:lang w:eastAsia="en-AU"/>
              </w:rPr>
              <w:t> </w:t>
            </w:r>
          </w:p>
        </w:tc>
        <w:tc>
          <w:tcPr>
            <w:tcW w:w="7075" w:type="dxa"/>
            <w:tcBorders>
              <w:right w:val="single" w:sz="4" w:space="0" w:color="auto"/>
            </w:tcBorders>
            <w:shd w:val="clear" w:color="000000" w:fill="FFFFFF"/>
            <w:noWrap/>
            <w:vAlign w:val="center"/>
            <w:hideMark/>
          </w:tcPr>
          <w:p w14:paraId="053BC656" w14:textId="06C05DFC" w:rsidR="000242AC" w:rsidRPr="00630A55" w:rsidRDefault="000242AC" w:rsidP="009527C7">
            <w:pPr>
              <w:pStyle w:val="Tabletext"/>
              <w:rPr>
                <w:color w:val="000000"/>
                <w:lang w:eastAsia="en-AU"/>
              </w:rPr>
            </w:pPr>
            <w:r w:rsidRPr="00630A55">
              <w:rPr>
                <w:lang w:eastAsia="en-AU"/>
              </w:rPr>
              <w:t xml:space="preserve">Feeder </w:t>
            </w:r>
            <w:r w:rsidR="00FE1EEA">
              <w:rPr>
                <w:lang w:eastAsia="en-AU"/>
              </w:rPr>
              <w:t>d</w:t>
            </w:r>
            <w:r w:rsidRPr="00630A55">
              <w:rPr>
                <w:lang w:eastAsia="en-AU"/>
              </w:rPr>
              <w:t>ata</w:t>
            </w:r>
          </w:p>
        </w:tc>
        <w:tc>
          <w:tcPr>
            <w:tcW w:w="1831" w:type="dxa"/>
            <w:tcBorders>
              <w:top w:val="nil"/>
              <w:left w:val="single" w:sz="4" w:space="0" w:color="auto"/>
              <w:bottom w:val="nil"/>
              <w:right w:val="single" w:sz="4" w:space="0" w:color="auto"/>
            </w:tcBorders>
            <w:shd w:val="clear" w:color="auto" w:fill="auto"/>
            <w:noWrap/>
            <w:vAlign w:val="center"/>
            <w:hideMark/>
          </w:tcPr>
          <w:p w14:paraId="613477C1" w14:textId="77777777" w:rsidR="000242AC" w:rsidRPr="00630A55" w:rsidRDefault="000242AC" w:rsidP="009527C7">
            <w:pPr>
              <w:pStyle w:val="TableTextNumber"/>
            </w:pPr>
            <w:r w:rsidRPr="00630A55">
              <w:t>136,286</w:t>
            </w:r>
          </w:p>
        </w:tc>
      </w:tr>
      <w:tr w:rsidR="000242AC" w:rsidRPr="00630A55" w14:paraId="55E92614" w14:textId="77777777" w:rsidTr="00D87587">
        <w:trPr>
          <w:trHeight w:val="257"/>
        </w:trPr>
        <w:tc>
          <w:tcPr>
            <w:tcW w:w="7356" w:type="dxa"/>
            <w:gridSpan w:val="2"/>
            <w:tcBorders>
              <w:left w:val="single" w:sz="4" w:space="0" w:color="auto"/>
              <w:right w:val="single" w:sz="4" w:space="0" w:color="auto"/>
            </w:tcBorders>
            <w:shd w:val="clear" w:color="000000" w:fill="FFFFFF"/>
            <w:vAlign w:val="center"/>
            <w:hideMark/>
          </w:tcPr>
          <w:p w14:paraId="05BF0A43" w14:textId="49D6BC19" w:rsidR="000242AC" w:rsidRPr="00630A55" w:rsidRDefault="000242AC" w:rsidP="009527C7">
            <w:pPr>
              <w:pStyle w:val="Tabletext"/>
              <w:rPr>
                <w:color w:val="000000"/>
                <w:lang w:eastAsia="en-AU"/>
              </w:rPr>
            </w:pPr>
            <w:r w:rsidRPr="00630A55">
              <w:rPr>
                <w:lang w:eastAsia="en-AU"/>
              </w:rPr>
              <w:t xml:space="preserve">NHCDC </w:t>
            </w:r>
            <w:r w:rsidR="00FE1EEA">
              <w:rPr>
                <w:lang w:eastAsia="en-AU"/>
              </w:rPr>
              <w:t>p</w:t>
            </w:r>
            <w:r w:rsidRPr="00630A55">
              <w:rPr>
                <w:lang w:eastAsia="en-AU"/>
              </w:rPr>
              <w:t xml:space="preserve">roduct </w:t>
            </w:r>
            <w:r w:rsidR="00FE1EEA">
              <w:rPr>
                <w:lang w:eastAsia="en-AU"/>
              </w:rPr>
              <w:t>o</w:t>
            </w:r>
            <w:r w:rsidRPr="00630A55">
              <w:rPr>
                <w:lang w:eastAsia="en-AU"/>
              </w:rPr>
              <w:t xml:space="preserve">utput </w:t>
            </w:r>
            <w:r w:rsidR="00FE1EEA">
              <w:rPr>
                <w:lang w:eastAsia="en-AU"/>
              </w:rPr>
              <w:t>a</w:t>
            </w:r>
            <w:r w:rsidRPr="00630A55">
              <w:rPr>
                <w:lang w:eastAsia="en-AU"/>
              </w:rPr>
              <w:t xml:space="preserve">ctivity - </w:t>
            </w:r>
            <w:r w:rsidR="00FE1EEA">
              <w:rPr>
                <w:lang w:eastAsia="en-AU"/>
              </w:rPr>
              <w:t>p</w:t>
            </w:r>
            <w:r w:rsidRPr="00630A55">
              <w:rPr>
                <w:lang w:eastAsia="en-AU"/>
              </w:rPr>
              <w:t xml:space="preserve">ost </w:t>
            </w:r>
            <w:r w:rsidR="00FE1EEA">
              <w:rPr>
                <w:lang w:eastAsia="en-AU"/>
              </w:rPr>
              <w:t>l</w:t>
            </w:r>
            <w:r w:rsidRPr="00630A55">
              <w:rPr>
                <w:lang w:eastAsia="en-AU"/>
              </w:rPr>
              <w:t xml:space="preserve">inking and </w:t>
            </w:r>
            <w:r w:rsidR="00FE1EEA">
              <w:rPr>
                <w:lang w:eastAsia="en-AU"/>
              </w:rPr>
              <w:t>l</w:t>
            </w:r>
            <w:r w:rsidRPr="00630A55">
              <w:rPr>
                <w:lang w:eastAsia="en-AU"/>
              </w:rPr>
              <w:t>oading</w:t>
            </w:r>
          </w:p>
        </w:tc>
        <w:tc>
          <w:tcPr>
            <w:tcW w:w="1831" w:type="dxa"/>
            <w:tcBorders>
              <w:top w:val="nil"/>
              <w:left w:val="single" w:sz="4" w:space="0" w:color="auto"/>
              <w:bottom w:val="nil"/>
              <w:right w:val="single" w:sz="4" w:space="0" w:color="auto"/>
            </w:tcBorders>
            <w:shd w:val="clear" w:color="auto" w:fill="auto"/>
            <w:noWrap/>
            <w:vAlign w:val="center"/>
            <w:hideMark/>
          </w:tcPr>
          <w:p w14:paraId="0CF9601E" w14:textId="77777777" w:rsidR="000242AC" w:rsidRPr="00630A55" w:rsidRDefault="000242AC" w:rsidP="009527C7">
            <w:pPr>
              <w:pStyle w:val="TableTextNumber"/>
            </w:pPr>
            <w:r w:rsidRPr="00630A55">
              <w:t>123,916</w:t>
            </w:r>
          </w:p>
        </w:tc>
      </w:tr>
      <w:tr w:rsidR="000242AC" w:rsidRPr="00630A55" w14:paraId="229BFCCE" w14:textId="77777777" w:rsidTr="00D87587">
        <w:trPr>
          <w:trHeight w:val="258"/>
        </w:trPr>
        <w:tc>
          <w:tcPr>
            <w:tcW w:w="7356" w:type="dxa"/>
            <w:gridSpan w:val="2"/>
            <w:tcBorders>
              <w:left w:val="single" w:sz="4" w:space="0" w:color="auto"/>
              <w:right w:val="single" w:sz="4" w:space="0" w:color="auto"/>
            </w:tcBorders>
            <w:shd w:val="clear" w:color="000000" w:fill="FFFFFF"/>
            <w:vAlign w:val="center"/>
            <w:hideMark/>
          </w:tcPr>
          <w:p w14:paraId="6C66BC88" w14:textId="1CEE35E5" w:rsidR="000242AC" w:rsidRPr="00630A55" w:rsidRDefault="000242AC" w:rsidP="009527C7">
            <w:pPr>
              <w:pStyle w:val="Tabletext"/>
              <w:rPr>
                <w:color w:val="000000"/>
                <w:lang w:eastAsia="en-AU"/>
              </w:rPr>
            </w:pPr>
            <w:r w:rsidRPr="00630A55">
              <w:rPr>
                <w:lang w:eastAsia="en-AU"/>
              </w:rPr>
              <w:t xml:space="preserve">Final </w:t>
            </w:r>
            <w:r w:rsidR="00FE1EEA">
              <w:rPr>
                <w:lang w:eastAsia="en-AU"/>
              </w:rPr>
              <w:t>s</w:t>
            </w:r>
            <w:r w:rsidRPr="00630A55">
              <w:rPr>
                <w:lang w:eastAsia="en-AU"/>
              </w:rPr>
              <w:t xml:space="preserve">ubmission to </w:t>
            </w:r>
            <w:r w:rsidR="00FE1EEA">
              <w:rPr>
                <w:lang w:eastAsia="en-AU"/>
              </w:rPr>
              <w:t>j</w:t>
            </w:r>
            <w:r w:rsidRPr="00630A55">
              <w:rPr>
                <w:lang w:eastAsia="en-AU"/>
              </w:rPr>
              <w:t xml:space="preserve">urisdiction - </w:t>
            </w:r>
            <w:r w:rsidR="00FE1EEA">
              <w:rPr>
                <w:lang w:eastAsia="en-AU"/>
              </w:rPr>
              <w:t>a</w:t>
            </w:r>
            <w:r w:rsidRPr="00630A55">
              <w:rPr>
                <w:lang w:eastAsia="en-AU"/>
              </w:rPr>
              <w:t xml:space="preserve">ctivity by </w:t>
            </w:r>
            <w:r w:rsidR="00FE1EEA">
              <w:rPr>
                <w:lang w:eastAsia="en-AU"/>
              </w:rPr>
              <w:t>p</w:t>
            </w:r>
            <w:r w:rsidRPr="00630A55">
              <w:rPr>
                <w:lang w:eastAsia="en-AU"/>
              </w:rPr>
              <w:t>roduct</w:t>
            </w:r>
          </w:p>
        </w:tc>
        <w:tc>
          <w:tcPr>
            <w:tcW w:w="1831" w:type="dxa"/>
            <w:tcBorders>
              <w:top w:val="nil"/>
              <w:left w:val="single" w:sz="4" w:space="0" w:color="auto"/>
              <w:bottom w:val="nil"/>
              <w:right w:val="single" w:sz="4" w:space="0" w:color="auto"/>
            </w:tcBorders>
            <w:shd w:val="clear" w:color="auto" w:fill="auto"/>
            <w:noWrap/>
            <w:hideMark/>
          </w:tcPr>
          <w:p w14:paraId="3C5BA37E" w14:textId="77777777" w:rsidR="000242AC" w:rsidRPr="00630A55" w:rsidRDefault="000242AC" w:rsidP="009527C7">
            <w:pPr>
              <w:pStyle w:val="TableTextNumber"/>
            </w:pPr>
            <w:r w:rsidRPr="00630A55">
              <w:t>123,916</w:t>
            </w:r>
          </w:p>
        </w:tc>
      </w:tr>
      <w:tr w:rsidR="000242AC" w:rsidRPr="00630A55" w14:paraId="6CB53C3E" w14:textId="77777777" w:rsidTr="00FE1EEA">
        <w:trPr>
          <w:trHeight w:val="258"/>
        </w:trPr>
        <w:tc>
          <w:tcPr>
            <w:tcW w:w="7356" w:type="dxa"/>
            <w:gridSpan w:val="2"/>
            <w:tcBorders>
              <w:left w:val="single" w:sz="4" w:space="0" w:color="auto"/>
              <w:bottom w:val="single" w:sz="4" w:space="0" w:color="auto"/>
              <w:right w:val="single" w:sz="4" w:space="0" w:color="auto"/>
            </w:tcBorders>
            <w:shd w:val="clear" w:color="000000" w:fill="FFFFFF"/>
            <w:vAlign w:val="center"/>
            <w:hideMark/>
          </w:tcPr>
          <w:p w14:paraId="553E311E" w14:textId="13EF54DE" w:rsidR="000242AC" w:rsidRPr="00630A55" w:rsidRDefault="000242AC" w:rsidP="009527C7">
            <w:pPr>
              <w:pStyle w:val="Tabletext"/>
              <w:rPr>
                <w:color w:val="000000"/>
                <w:lang w:eastAsia="en-AU"/>
              </w:rPr>
            </w:pPr>
            <w:r w:rsidRPr="00630A55">
              <w:rPr>
                <w:lang w:eastAsia="en-AU"/>
              </w:rPr>
              <w:t xml:space="preserve">Final </w:t>
            </w:r>
            <w:r w:rsidR="00FE1EEA">
              <w:rPr>
                <w:lang w:eastAsia="en-AU"/>
              </w:rPr>
              <w:t>s</w:t>
            </w:r>
            <w:r w:rsidRPr="00630A55">
              <w:rPr>
                <w:lang w:eastAsia="en-AU"/>
              </w:rPr>
              <w:t xml:space="preserve">ubmission to </w:t>
            </w:r>
            <w:r w:rsidR="00FE1EEA">
              <w:rPr>
                <w:lang w:eastAsia="en-AU"/>
              </w:rPr>
              <w:t>j</w:t>
            </w:r>
            <w:r w:rsidRPr="00630A55">
              <w:rPr>
                <w:lang w:eastAsia="en-AU"/>
              </w:rPr>
              <w:t xml:space="preserve">urisdiction - </w:t>
            </w:r>
            <w:r w:rsidR="00FE1EEA">
              <w:rPr>
                <w:lang w:eastAsia="en-AU"/>
              </w:rPr>
              <w:t>a</w:t>
            </w:r>
            <w:r w:rsidRPr="00630A55">
              <w:rPr>
                <w:lang w:eastAsia="en-AU"/>
              </w:rPr>
              <w:t xml:space="preserve">ctivity and </w:t>
            </w:r>
            <w:r w:rsidR="00FE1EEA">
              <w:rPr>
                <w:lang w:eastAsia="en-AU"/>
              </w:rPr>
              <w:t>c</w:t>
            </w:r>
            <w:r w:rsidRPr="00630A55">
              <w:rPr>
                <w:lang w:eastAsia="en-AU"/>
              </w:rPr>
              <w:t xml:space="preserve">ost by </w:t>
            </w:r>
            <w:r w:rsidR="00FE1EEA">
              <w:rPr>
                <w:lang w:eastAsia="en-AU"/>
              </w:rPr>
              <w:t>p</w:t>
            </w:r>
            <w:r w:rsidRPr="00630A55">
              <w:rPr>
                <w:lang w:eastAsia="en-AU"/>
              </w:rPr>
              <w:t>roduct</w:t>
            </w:r>
          </w:p>
        </w:tc>
        <w:tc>
          <w:tcPr>
            <w:tcW w:w="1831" w:type="dxa"/>
            <w:tcBorders>
              <w:top w:val="nil"/>
              <w:left w:val="single" w:sz="4" w:space="0" w:color="auto"/>
              <w:bottom w:val="single" w:sz="4" w:space="0" w:color="auto"/>
              <w:right w:val="single" w:sz="4" w:space="0" w:color="auto"/>
            </w:tcBorders>
            <w:shd w:val="clear" w:color="auto" w:fill="auto"/>
            <w:noWrap/>
            <w:hideMark/>
          </w:tcPr>
          <w:p w14:paraId="4DEF3446" w14:textId="77777777" w:rsidR="000242AC" w:rsidRPr="00630A55" w:rsidRDefault="000242AC" w:rsidP="009527C7">
            <w:pPr>
              <w:pStyle w:val="TableTextNumber"/>
            </w:pPr>
            <w:r w:rsidRPr="00630A55">
              <w:t>123,916</w:t>
            </w:r>
          </w:p>
        </w:tc>
      </w:tr>
      <w:tr w:rsidR="000242AC" w:rsidRPr="00630A55" w14:paraId="4CC73E87" w14:textId="77777777" w:rsidTr="00FE1EEA">
        <w:trPr>
          <w:trHeight w:val="258"/>
        </w:trPr>
        <w:tc>
          <w:tcPr>
            <w:tcW w:w="7356" w:type="dxa"/>
            <w:gridSpan w:val="2"/>
            <w:tcBorders>
              <w:top w:val="single" w:sz="4" w:space="0" w:color="auto"/>
              <w:left w:val="single" w:sz="4" w:space="0" w:color="auto"/>
              <w:bottom w:val="single" w:sz="4" w:space="0" w:color="auto"/>
              <w:right w:val="single" w:sz="4" w:space="0" w:color="auto"/>
            </w:tcBorders>
            <w:shd w:val="clear" w:color="000000" w:fill="00338D"/>
            <w:noWrap/>
            <w:vAlign w:val="center"/>
            <w:hideMark/>
          </w:tcPr>
          <w:p w14:paraId="7FD4F60E" w14:textId="4CE5ADB3" w:rsidR="000242AC" w:rsidRPr="00630A55" w:rsidRDefault="00FE1EEA" w:rsidP="009527C7">
            <w:pPr>
              <w:pStyle w:val="Tableheading"/>
              <w:rPr>
                <w:color w:val="FFFFFF"/>
                <w:lang w:eastAsia="en-AU"/>
              </w:rPr>
            </w:pPr>
            <w:r>
              <w:rPr>
                <w:lang w:eastAsia="en-AU"/>
              </w:rPr>
              <w:t>AH</w:t>
            </w:r>
            <w:r w:rsidR="000242AC" w:rsidRPr="00630A55">
              <w:rPr>
                <w:lang w:eastAsia="en-AU"/>
              </w:rPr>
              <w:t xml:space="preserve"> submitted to </w:t>
            </w:r>
            <w:r>
              <w:rPr>
                <w:lang w:eastAsia="en-AU"/>
              </w:rPr>
              <w:t>j</w:t>
            </w:r>
            <w:r w:rsidR="000242AC" w:rsidRPr="00630A55">
              <w:rPr>
                <w:lang w:eastAsia="en-AU"/>
              </w:rPr>
              <w:t xml:space="preserve">urisdiction </w:t>
            </w:r>
          </w:p>
        </w:tc>
        <w:tc>
          <w:tcPr>
            <w:tcW w:w="1831" w:type="dxa"/>
            <w:tcBorders>
              <w:top w:val="single" w:sz="4" w:space="0" w:color="auto"/>
              <w:left w:val="single" w:sz="4" w:space="0" w:color="auto"/>
              <w:bottom w:val="single" w:sz="4" w:space="0" w:color="auto"/>
              <w:right w:val="single" w:sz="4" w:space="0" w:color="auto"/>
            </w:tcBorders>
            <w:shd w:val="clear" w:color="000000" w:fill="00338D"/>
            <w:noWrap/>
            <w:vAlign w:val="center"/>
            <w:hideMark/>
          </w:tcPr>
          <w:p w14:paraId="27F067B4" w14:textId="77777777" w:rsidR="000242AC" w:rsidRPr="00630A55" w:rsidRDefault="000242AC" w:rsidP="009527C7">
            <w:pPr>
              <w:pStyle w:val="Tableheading"/>
              <w:rPr>
                <w:color w:val="FFFFFF"/>
                <w:lang w:eastAsia="en-AU"/>
              </w:rPr>
            </w:pPr>
            <w:r w:rsidRPr="00630A55">
              <w:rPr>
                <w:lang w:eastAsia="en-AU"/>
              </w:rPr>
              <w:t xml:space="preserve">Value </w:t>
            </w:r>
          </w:p>
        </w:tc>
      </w:tr>
      <w:tr w:rsidR="000242AC" w:rsidRPr="00630A55" w14:paraId="1A81CB91" w14:textId="77777777" w:rsidTr="00FE1EEA">
        <w:trPr>
          <w:trHeight w:val="258"/>
        </w:trPr>
        <w:tc>
          <w:tcPr>
            <w:tcW w:w="7356" w:type="dxa"/>
            <w:gridSpan w:val="2"/>
            <w:tcBorders>
              <w:top w:val="single" w:sz="4" w:space="0" w:color="auto"/>
              <w:left w:val="single" w:sz="4" w:space="0" w:color="auto"/>
              <w:right w:val="single" w:sz="4" w:space="0" w:color="auto"/>
            </w:tcBorders>
            <w:shd w:val="clear" w:color="auto" w:fill="auto"/>
            <w:vAlign w:val="center"/>
            <w:hideMark/>
          </w:tcPr>
          <w:p w14:paraId="12B6AE97" w14:textId="621EB0F2" w:rsidR="000242AC" w:rsidRPr="00630A55" w:rsidRDefault="000242AC" w:rsidP="009527C7">
            <w:pPr>
              <w:pStyle w:val="Tabletext"/>
              <w:rPr>
                <w:color w:val="000000"/>
                <w:lang w:eastAsia="en-AU"/>
              </w:rPr>
            </w:pPr>
            <w:r w:rsidRPr="00630A55">
              <w:rPr>
                <w:lang w:eastAsia="en-AU"/>
              </w:rPr>
              <w:t xml:space="preserve">Summary submission to </w:t>
            </w:r>
            <w:r w:rsidR="00FE1EEA">
              <w:rPr>
                <w:lang w:eastAsia="en-AU"/>
              </w:rPr>
              <w:t>j</w:t>
            </w:r>
            <w:r w:rsidRPr="00630A55">
              <w:rPr>
                <w:lang w:eastAsia="en-AU"/>
              </w:rPr>
              <w:t xml:space="preserve">urisdiction </w:t>
            </w:r>
          </w:p>
        </w:tc>
        <w:tc>
          <w:tcPr>
            <w:tcW w:w="1831" w:type="dxa"/>
            <w:tcBorders>
              <w:top w:val="single" w:sz="4" w:space="0" w:color="auto"/>
              <w:left w:val="single" w:sz="4" w:space="0" w:color="auto"/>
              <w:bottom w:val="nil"/>
              <w:right w:val="single" w:sz="4" w:space="0" w:color="auto"/>
            </w:tcBorders>
            <w:shd w:val="clear" w:color="auto" w:fill="auto"/>
            <w:vAlign w:val="center"/>
            <w:hideMark/>
          </w:tcPr>
          <w:p w14:paraId="05549FC4" w14:textId="77777777" w:rsidR="000242AC" w:rsidRPr="00630A55" w:rsidRDefault="000242AC" w:rsidP="009527C7">
            <w:pPr>
              <w:pStyle w:val="TableTextNumber"/>
            </w:pPr>
            <w:r w:rsidRPr="00630A55">
              <w:t> </w:t>
            </w:r>
          </w:p>
        </w:tc>
      </w:tr>
      <w:tr w:rsidR="000242AC" w:rsidRPr="00630A55" w14:paraId="5F3B3C70" w14:textId="77777777" w:rsidTr="00D87587">
        <w:trPr>
          <w:trHeight w:val="258"/>
        </w:trPr>
        <w:tc>
          <w:tcPr>
            <w:tcW w:w="281" w:type="dxa"/>
            <w:tcBorders>
              <w:left w:val="single" w:sz="4" w:space="0" w:color="auto"/>
            </w:tcBorders>
            <w:shd w:val="clear" w:color="000000" w:fill="FFFFFF"/>
            <w:noWrap/>
            <w:vAlign w:val="center"/>
            <w:hideMark/>
          </w:tcPr>
          <w:p w14:paraId="006B3759" w14:textId="77777777" w:rsidR="000242AC" w:rsidRPr="00630A55" w:rsidRDefault="000242AC" w:rsidP="009527C7">
            <w:pPr>
              <w:pStyle w:val="Tabletext"/>
              <w:rPr>
                <w:color w:val="000000"/>
                <w:lang w:eastAsia="en-AU"/>
              </w:rPr>
            </w:pPr>
            <w:r w:rsidRPr="00630A55">
              <w:rPr>
                <w:lang w:eastAsia="en-AU"/>
              </w:rPr>
              <w:t> </w:t>
            </w:r>
          </w:p>
        </w:tc>
        <w:tc>
          <w:tcPr>
            <w:tcW w:w="7075" w:type="dxa"/>
            <w:tcBorders>
              <w:right w:val="single" w:sz="4" w:space="0" w:color="auto"/>
            </w:tcBorders>
            <w:shd w:val="clear" w:color="auto" w:fill="auto"/>
            <w:vAlign w:val="center"/>
            <w:hideMark/>
          </w:tcPr>
          <w:p w14:paraId="2C36F141" w14:textId="4AAA7C04" w:rsidR="000242AC" w:rsidRPr="00630A55" w:rsidRDefault="000242AC" w:rsidP="009527C7">
            <w:pPr>
              <w:pStyle w:val="Tabletext"/>
              <w:rPr>
                <w:color w:val="000000"/>
                <w:lang w:eastAsia="en-AU"/>
              </w:rPr>
            </w:pPr>
            <w:r w:rsidRPr="00630A55">
              <w:rPr>
                <w:lang w:eastAsia="en-AU"/>
              </w:rPr>
              <w:t xml:space="preserve">Activity submitted to </w:t>
            </w:r>
            <w:r w:rsidR="00FE1EEA">
              <w:rPr>
                <w:lang w:eastAsia="en-AU"/>
              </w:rPr>
              <w:t>j</w:t>
            </w:r>
            <w:r w:rsidRPr="00630A55">
              <w:rPr>
                <w:lang w:eastAsia="en-AU"/>
              </w:rPr>
              <w:t>urisdiction</w:t>
            </w:r>
          </w:p>
        </w:tc>
        <w:tc>
          <w:tcPr>
            <w:tcW w:w="1831" w:type="dxa"/>
            <w:tcBorders>
              <w:top w:val="nil"/>
              <w:left w:val="single" w:sz="4" w:space="0" w:color="auto"/>
              <w:bottom w:val="nil"/>
              <w:right w:val="single" w:sz="4" w:space="0" w:color="auto"/>
            </w:tcBorders>
            <w:shd w:val="clear" w:color="auto" w:fill="auto"/>
            <w:noWrap/>
            <w:vAlign w:val="center"/>
            <w:hideMark/>
          </w:tcPr>
          <w:p w14:paraId="52D20CA0" w14:textId="77777777" w:rsidR="000242AC" w:rsidRPr="00630A55" w:rsidRDefault="000242AC" w:rsidP="009527C7">
            <w:pPr>
              <w:pStyle w:val="TableTextNumber"/>
              <w:rPr>
                <w:i/>
              </w:rPr>
            </w:pPr>
            <w:r w:rsidRPr="00630A55">
              <w:t>123,916</w:t>
            </w:r>
          </w:p>
        </w:tc>
      </w:tr>
      <w:tr w:rsidR="000242AC" w:rsidRPr="00630A55" w14:paraId="604BA30E" w14:textId="77777777" w:rsidTr="00FE1EEA">
        <w:trPr>
          <w:trHeight w:val="258"/>
        </w:trPr>
        <w:tc>
          <w:tcPr>
            <w:tcW w:w="281" w:type="dxa"/>
            <w:tcBorders>
              <w:left w:val="single" w:sz="4" w:space="0" w:color="auto"/>
              <w:bottom w:val="single" w:sz="4" w:space="0" w:color="auto"/>
            </w:tcBorders>
            <w:shd w:val="clear" w:color="000000" w:fill="FFFFFF"/>
            <w:noWrap/>
            <w:vAlign w:val="center"/>
            <w:hideMark/>
          </w:tcPr>
          <w:p w14:paraId="7E8A82D4" w14:textId="77777777" w:rsidR="000242AC" w:rsidRPr="00630A55" w:rsidRDefault="000242AC" w:rsidP="009527C7">
            <w:pPr>
              <w:pStyle w:val="Tabletext"/>
              <w:rPr>
                <w:color w:val="000000"/>
                <w:lang w:eastAsia="en-AU"/>
              </w:rPr>
            </w:pPr>
            <w:r w:rsidRPr="00630A55">
              <w:rPr>
                <w:lang w:eastAsia="en-AU"/>
              </w:rPr>
              <w:t> </w:t>
            </w:r>
          </w:p>
        </w:tc>
        <w:tc>
          <w:tcPr>
            <w:tcW w:w="7075" w:type="dxa"/>
            <w:tcBorders>
              <w:bottom w:val="single" w:sz="4" w:space="0" w:color="auto"/>
              <w:right w:val="single" w:sz="4" w:space="0" w:color="auto"/>
            </w:tcBorders>
            <w:shd w:val="clear" w:color="auto" w:fill="auto"/>
            <w:vAlign w:val="center"/>
            <w:hideMark/>
          </w:tcPr>
          <w:p w14:paraId="22C9FFAB" w14:textId="6E072257" w:rsidR="000242AC" w:rsidRPr="00630A55" w:rsidRDefault="000242AC" w:rsidP="009527C7">
            <w:pPr>
              <w:pStyle w:val="Tabletext"/>
              <w:rPr>
                <w:color w:val="000000"/>
                <w:lang w:eastAsia="en-AU"/>
              </w:rPr>
            </w:pPr>
            <w:r w:rsidRPr="00630A55">
              <w:rPr>
                <w:lang w:eastAsia="en-AU"/>
              </w:rPr>
              <w:t xml:space="preserve">Costs submitted to </w:t>
            </w:r>
            <w:r w:rsidR="00FE1EEA">
              <w:rPr>
                <w:lang w:eastAsia="en-AU"/>
              </w:rPr>
              <w:t>j</w:t>
            </w:r>
            <w:r w:rsidRPr="00630A55">
              <w:rPr>
                <w:lang w:eastAsia="en-AU"/>
              </w:rPr>
              <w:t>urisdiction</w:t>
            </w:r>
          </w:p>
        </w:tc>
        <w:tc>
          <w:tcPr>
            <w:tcW w:w="1831" w:type="dxa"/>
            <w:tcBorders>
              <w:top w:val="nil"/>
              <w:left w:val="single" w:sz="4" w:space="0" w:color="auto"/>
              <w:bottom w:val="single" w:sz="4" w:space="0" w:color="auto"/>
              <w:right w:val="single" w:sz="4" w:space="0" w:color="auto"/>
            </w:tcBorders>
            <w:shd w:val="clear" w:color="auto" w:fill="auto"/>
            <w:noWrap/>
            <w:vAlign w:val="center"/>
            <w:hideMark/>
          </w:tcPr>
          <w:p w14:paraId="3A621851" w14:textId="77777777" w:rsidR="000242AC" w:rsidRPr="00630A55" w:rsidRDefault="000242AC" w:rsidP="009527C7">
            <w:pPr>
              <w:pStyle w:val="TableTextNumber"/>
              <w:rPr>
                <w:i/>
              </w:rPr>
            </w:pPr>
            <w:r w:rsidRPr="00630A55">
              <w:t>$146,978,495</w:t>
            </w:r>
          </w:p>
        </w:tc>
      </w:tr>
      <w:tr w:rsidR="000242AC" w:rsidRPr="00630A55" w14:paraId="52E0C4A8" w14:textId="77777777" w:rsidTr="00FE1EEA">
        <w:trPr>
          <w:trHeight w:val="258"/>
        </w:trPr>
        <w:tc>
          <w:tcPr>
            <w:tcW w:w="7356" w:type="dxa"/>
            <w:gridSpan w:val="2"/>
            <w:tcBorders>
              <w:top w:val="single" w:sz="4" w:space="0" w:color="auto"/>
              <w:left w:val="single" w:sz="4" w:space="0" w:color="auto"/>
              <w:bottom w:val="single" w:sz="4" w:space="0" w:color="auto"/>
              <w:right w:val="single" w:sz="4" w:space="0" w:color="auto"/>
            </w:tcBorders>
            <w:shd w:val="clear" w:color="000000" w:fill="00338D"/>
            <w:noWrap/>
            <w:vAlign w:val="center"/>
            <w:hideMark/>
          </w:tcPr>
          <w:p w14:paraId="50BB42CD" w14:textId="548B8676" w:rsidR="000242AC" w:rsidRPr="00630A55" w:rsidRDefault="000242AC" w:rsidP="009527C7">
            <w:pPr>
              <w:pStyle w:val="Tableheading"/>
              <w:rPr>
                <w:color w:val="FFFFFF"/>
                <w:lang w:eastAsia="en-AU"/>
              </w:rPr>
            </w:pPr>
            <w:r w:rsidRPr="00630A55">
              <w:rPr>
                <w:lang w:eastAsia="en-AU"/>
              </w:rPr>
              <w:t>A</w:t>
            </w:r>
            <w:r w:rsidR="00FE1EEA">
              <w:rPr>
                <w:lang w:eastAsia="en-AU"/>
              </w:rPr>
              <w:t>H</w:t>
            </w:r>
            <w:r w:rsidRPr="00630A55">
              <w:rPr>
                <w:lang w:eastAsia="en-AU"/>
              </w:rPr>
              <w:t xml:space="preserve"> costs and activity submitted to IHACPA</w:t>
            </w:r>
          </w:p>
        </w:tc>
        <w:tc>
          <w:tcPr>
            <w:tcW w:w="1831" w:type="dxa"/>
            <w:tcBorders>
              <w:top w:val="single" w:sz="4" w:space="0" w:color="auto"/>
              <w:left w:val="single" w:sz="4" w:space="0" w:color="auto"/>
              <w:bottom w:val="single" w:sz="4" w:space="0" w:color="auto"/>
              <w:right w:val="single" w:sz="4" w:space="0" w:color="auto"/>
            </w:tcBorders>
            <w:shd w:val="clear" w:color="000000" w:fill="00338D"/>
            <w:noWrap/>
            <w:vAlign w:val="center"/>
            <w:hideMark/>
          </w:tcPr>
          <w:p w14:paraId="3AFE8FD5" w14:textId="77777777" w:rsidR="000242AC" w:rsidRPr="00630A55" w:rsidRDefault="000242AC" w:rsidP="009527C7">
            <w:pPr>
              <w:pStyle w:val="Tableheading"/>
              <w:rPr>
                <w:color w:val="FFFFFF"/>
                <w:lang w:eastAsia="en-AU"/>
              </w:rPr>
            </w:pPr>
            <w:r w:rsidRPr="00630A55">
              <w:rPr>
                <w:lang w:eastAsia="en-AU"/>
              </w:rPr>
              <w:t xml:space="preserve">Value </w:t>
            </w:r>
          </w:p>
        </w:tc>
      </w:tr>
      <w:tr w:rsidR="000242AC" w:rsidRPr="00630A55" w14:paraId="1E20965B" w14:textId="77777777" w:rsidTr="00FE1EEA">
        <w:trPr>
          <w:trHeight w:val="258"/>
        </w:trPr>
        <w:tc>
          <w:tcPr>
            <w:tcW w:w="7356" w:type="dxa"/>
            <w:gridSpan w:val="2"/>
            <w:tcBorders>
              <w:top w:val="single" w:sz="4" w:space="0" w:color="auto"/>
              <w:left w:val="single" w:sz="4" w:space="0" w:color="auto"/>
              <w:right w:val="single" w:sz="4" w:space="0" w:color="auto"/>
            </w:tcBorders>
            <w:shd w:val="clear" w:color="000000" w:fill="FFFFFF"/>
            <w:vAlign w:val="center"/>
            <w:hideMark/>
          </w:tcPr>
          <w:p w14:paraId="13E5388D" w14:textId="5F126685" w:rsidR="000242AC" w:rsidRPr="00630A55" w:rsidRDefault="000242AC" w:rsidP="009527C7">
            <w:pPr>
              <w:pStyle w:val="Tabletext"/>
              <w:rPr>
                <w:color w:val="000000"/>
                <w:lang w:eastAsia="en-AU"/>
              </w:rPr>
            </w:pPr>
            <w:r w:rsidRPr="00630A55">
              <w:rPr>
                <w:lang w:eastAsia="en-AU"/>
              </w:rPr>
              <w:t xml:space="preserve">Final </w:t>
            </w:r>
            <w:r w:rsidR="00FE1EEA">
              <w:rPr>
                <w:lang w:eastAsia="en-AU"/>
              </w:rPr>
              <w:t>s</w:t>
            </w:r>
            <w:r w:rsidRPr="00630A55">
              <w:rPr>
                <w:lang w:eastAsia="en-AU"/>
              </w:rPr>
              <w:t xml:space="preserve">ubmission to </w:t>
            </w:r>
            <w:r w:rsidR="00FE1EEA">
              <w:rPr>
                <w:lang w:eastAsia="en-AU"/>
              </w:rPr>
              <w:t>j</w:t>
            </w:r>
            <w:r w:rsidRPr="00630A55">
              <w:rPr>
                <w:lang w:eastAsia="en-AU"/>
              </w:rPr>
              <w:t xml:space="preserve">urisdiction for IHACPA - </w:t>
            </w:r>
            <w:r w:rsidR="00FE1EEA">
              <w:rPr>
                <w:lang w:eastAsia="en-AU"/>
              </w:rPr>
              <w:t>c</w:t>
            </w:r>
            <w:r w:rsidRPr="00630A55">
              <w:rPr>
                <w:lang w:eastAsia="en-AU"/>
              </w:rPr>
              <w:t xml:space="preserve">ost and </w:t>
            </w:r>
            <w:r w:rsidR="00FE1EEA">
              <w:rPr>
                <w:lang w:eastAsia="en-AU"/>
              </w:rPr>
              <w:t>a</w:t>
            </w:r>
            <w:r w:rsidRPr="00630A55">
              <w:rPr>
                <w:lang w:eastAsia="en-AU"/>
              </w:rPr>
              <w:t xml:space="preserve">ctivity by </w:t>
            </w:r>
            <w:r w:rsidR="00FE1EEA">
              <w:rPr>
                <w:lang w:eastAsia="en-AU"/>
              </w:rPr>
              <w:t>p</w:t>
            </w:r>
            <w:r w:rsidRPr="00630A55">
              <w:rPr>
                <w:lang w:eastAsia="en-AU"/>
              </w:rPr>
              <w:t xml:space="preserve">roduct </w:t>
            </w:r>
          </w:p>
        </w:tc>
        <w:tc>
          <w:tcPr>
            <w:tcW w:w="1831" w:type="dxa"/>
            <w:tcBorders>
              <w:top w:val="single" w:sz="4" w:space="0" w:color="auto"/>
              <w:left w:val="single" w:sz="4" w:space="0" w:color="auto"/>
              <w:bottom w:val="nil"/>
              <w:right w:val="single" w:sz="4" w:space="0" w:color="auto"/>
            </w:tcBorders>
            <w:shd w:val="clear" w:color="auto" w:fill="auto"/>
            <w:vAlign w:val="center"/>
            <w:hideMark/>
          </w:tcPr>
          <w:p w14:paraId="5BB732B1" w14:textId="77777777" w:rsidR="000242AC" w:rsidRPr="00630A55" w:rsidRDefault="000242AC" w:rsidP="009527C7">
            <w:pPr>
              <w:pStyle w:val="TableTextNumber"/>
            </w:pPr>
            <w:r w:rsidRPr="00630A55">
              <w:t> </w:t>
            </w:r>
          </w:p>
        </w:tc>
      </w:tr>
      <w:tr w:rsidR="000242AC" w:rsidRPr="00630A55" w14:paraId="3F62B34F" w14:textId="77777777" w:rsidTr="00593F15">
        <w:trPr>
          <w:trHeight w:val="258"/>
        </w:trPr>
        <w:tc>
          <w:tcPr>
            <w:tcW w:w="281" w:type="dxa"/>
            <w:tcBorders>
              <w:left w:val="single" w:sz="4" w:space="0" w:color="auto"/>
            </w:tcBorders>
            <w:shd w:val="clear" w:color="000000" w:fill="FFFFFF"/>
            <w:noWrap/>
            <w:vAlign w:val="center"/>
            <w:hideMark/>
          </w:tcPr>
          <w:p w14:paraId="6334E3AB" w14:textId="77777777" w:rsidR="000242AC" w:rsidRPr="00630A55" w:rsidRDefault="000242AC" w:rsidP="009527C7">
            <w:pPr>
              <w:pStyle w:val="Tabletext"/>
              <w:rPr>
                <w:color w:val="000000"/>
                <w:lang w:eastAsia="en-AU"/>
              </w:rPr>
            </w:pPr>
            <w:r w:rsidRPr="00630A55">
              <w:rPr>
                <w:lang w:eastAsia="en-AU"/>
              </w:rPr>
              <w:t> </w:t>
            </w:r>
          </w:p>
        </w:tc>
        <w:tc>
          <w:tcPr>
            <w:tcW w:w="7075" w:type="dxa"/>
            <w:tcBorders>
              <w:right w:val="single" w:sz="4" w:space="0" w:color="auto"/>
            </w:tcBorders>
            <w:shd w:val="clear" w:color="000000" w:fill="FFFFFF"/>
            <w:vAlign w:val="center"/>
            <w:hideMark/>
          </w:tcPr>
          <w:p w14:paraId="7F0F0350" w14:textId="77777777" w:rsidR="000242AC" w:rsidRPr="00630A55" w:rsidRDefault="000242AC" w:rsidP="009527C7">
            <w:pPr>
              <w:pStyle w:val="Tabletext"/>
              <w:rPr>
                <w:color w:val="000000"/>
                <w:lang w:eastAsia="en-AU"/>
              </w:rPr>
            </w:pPr>
            <w:r w:rsidRPr="00630A55">
              <w:rPr>
                <w:lang w:eastAsia="en-AU"/>
              </w:rPr>
              <w:t>Activity</w:t>
            </w:r>
          </w:p>
        </w:tc>
        <w:tc>
          <w:tcPr>
            <w:tcW w:w="1831" w:type="dxa"/>
            <w:tcBorders>
              <w:top w:val="nil"/>
              <w:left w:val="single" w:sz="4" w:space="0" w:color="auto"/>
              <w:bottom w:val="nil"/>
              <w:right w:val="single" w:sz="4" w:space="0" w:color="auto"/>
            </w:tcBorders>
            <w:shd w:val="clear" w:color="auto" w:fill="auto"/>
            <w:noWrap/>
            <w:vAlign w:val="center"/>
            <w:hideMark/>
          </w:tcPr>
          <w:p w14:paraId="7DFF1F5A" w14:textId="77777777" w:rsidR="000242AC" w:rsidRPr="00630A55" w:rsidRDefault="000242AC" w:rsidP="009527C7">
            <w:pPr>
              <w:pStyle w:val="TableTextNumber"/>
              <w:rPr>
                <w:i/>
              </w:rPr>
            </w:pPr>
            <w:r w:rsidRPr="00630A55">
              <w:t>123,916</w:t>
            </w:r>
          </w:p>
        </w:tc>
      </w:tr>
      <w:tr w:rsidR="000242AC" w:rsidRPr="00630A55" w14:paraId="44A77DAF" w14:textId="77777777" w:rsidTr="00593F15">
        <w:trPr>
          <w:trHeight w:val="258"/>
        </w:trPr>
        <w:tc>
          <w:tcPr>
            <w:tcW w:w="281" w:type="dxa"/>
            <w:tcBorders>
              <w:left w:val="single" w:sz="4" w:space="0" w:color="auto"/>
            </w:tcBorders>
            <w:shd w:val="clear" w:color="000000" w:fill="FFFFFF"/>
            <w:noWrap/>
            <w:vAlign w:val="center"/>
            <w:hideMark/>
          </w:tcPr>
          <w:p w14:paraId="4885C207" w14:textId="77777777" w:rsidR="000242AC" w:rsidRPr="00630A55" w:rsidRDefault="000242AC" w:rsidP="009527C7">
            <w:pPr>
              <w:pStyle w:val="Tabletext"/>
              <w:rPr>
                <w:color w:val="000000"/>
                <w:lang w:eastAsia="en-AU"/>
              </w:rPr>
            </w:pPr>
            <w:r w:rsidRPr="00630A55">
              <w:rPr>
                <w:lang w:eastAsia="en-AU"/>
              </w:rPr>
              <w:t> </w:t>
            </w:r>
          </w:p>
        </w:tc>
        <w:tc>
          <w:tcPr>
            <w:tcW w:w="7075" w:type="dxa"/>
            <w:tcBorders>
              <w:right w:val="single" w:sz="4" w:space="0" w:color="auto"/>
            </w:tcBorders>
            <w:shd w:val="clear" w:color="000000" w:fill="FFFFFF"/>
            <w:vAlign w:val="center"/>
            <w:hideMark/>
          </w:tcPr>
          <w:p w14:paraId="4E7168B3" w14:textId="77777777" w:rsidR="000242AC" w:rsidRPr="00630A55" w:rsidRDefault="000242AC" w:rsidP="009527C7">
            <w:pPr>
              <w:pStyle w:val="Tabletext"/>
              <w:rPr>
                <w:color w:val="000000"/>
                <w:lang w:eastAsia="en-AU"/>
              </w:rPr>
            </w:pPr>
            <w:r w:rsidRPr="00630A55">
              <w:rPr>
                <w:lang w:eastAsia="en-AU"/>
              </w:rPr>
              <w:t>Costs</w:t>
            </w:r>
          </w:p>
        </w:tc>
        <w:tc>
          <w:tcPr>
            <w:tcW w:w="1831" w:type="dxa"/>
            <w:tcBorders>
              <w:top w:val="nil"/>
              <w:left w:val="single" w:sz="4" w:space="0" w:color="auto"/>
              <w:bottom w:val="nil"/>
              <w:right w:val="single" w:sz="4" w:space="0" w:color="auto"/>
            </w:tcBorders>
            <w:shd w:val="clear" w:color="auto" w:fill="auto"/>
            <w:noWrap/>
            <w:vAlign w:val="center"/>
            <w:hideMark/>
          </w:tcPr>
          <w:p w14:paraId="6FCA72EA" w14:textId="77777777" w:rsidR="000242AC" w:rsidRPr="00630A55" w:rsidRDefault="000242AC" w:rsidP="009527C7">
            <w:pPr>
              <w:pStyle w:val="TableTextNumber"/>
              <w:rPr>
                <w:i/>
              </w:rPr>
            </w:pPr>
            <w:r w:rsidRPr="00630A55">
              <w:t>$146,978,495</w:t>
            </w:r>
          </w:p>
        </w:tc>
      </w:tr>
      <w:tr w:rsidR="000242AC" w:rsidRPr="00630A55" w14:paraId="080D2A5A" w14:textId="77777777" w:rsidTr="00593F15">
        <w:trPr>
          <w:trHeight w:val="258"/>
        </w:trPr>
        <w:tc>
          <w:tcPr>
            <w:tcW w:w="7356" w:type="dxa"/>
            <w:gridSpan w:val="2"/>
            <w:tcBorders>
              <w:left w:val="single" w:sz="4" w:space="0" w:color="auto"/>
              <w:right w:val="single" w:sz="4" w:space="0" w:color="auto"/>
            </w:tcBorders>
            <w:shd w:val="clear" w:color="000000" w:fill="FFFFFF"/>
            <w:vAlign w:val="center"/>
            <w:hideMark/>
          </w:tcPr>
          <w:p w14:paraId="688D7405" w14:textId="61B9C09C" w:rsidR="000242AC" w:rsidRPr="00630A55" w:rsidRDefault="000242AC" w:rsidP="009527C7">
            <w:pPr>
              <w:pStyle w:val="Tabletext"/>
              <w:rPr>
                <w:color w:val="000000"/>
                <w:lang w:eastAsia="en-AU"/>
              </w:rPr>
            </w:pPr>
            <w:r w:rsidRPr="00630A55">
              <w:rPr>
                <w:lang w:eastAsia="en-AU"/>
              </w:rPr>
              <w:t xml:space="preserve">Adjustments to </w:t>
            </w:r>
            <w:r w:rsidR="00FE1EEA">
              <w:rPr>
                <w:lang w:eastAsia="en-AU"/>
              </w:rPr>
              <w:t>j</w:t>
            </w:r>
            <w:r w:rsidRPr="00630A55">
              <w:rPr>
                <w:lang w:eastAsia="en-AU"/>
              </w:rPr>
              <w:t xml:space="preserve">urisdictional </w:t>
            </w:r>
            <w:r w:rsidR="00FE1EEA">
              <w:rPr>
                <w:lang w:eastAsia="en-AU"/>
              </w:rPr>
              <w:t>s</w:t>
            </w:r>
            <w:r w:rsidRPr="00630A55">
              <w:rPr>
                <w:lang w:eastAsia="en-AU"/>
              </w:rPr>
              <w:t xml:space="preserve">ubmission prior to finalisation of </w:t>
            </w:r>
            <w:r w:rsidR="00FE1EEA">
              <w:rPr>
                <w:lang w:eastAsia="en-AU"/>
              </w:rPr>
              <w:t>j</w:t>
            </w:r>
            <w:r w:rsidRPr="00630A55">
              <w:rPr>
                <w:lang w:eastAsia="en-AU"/>
              </w:rPr>
              <w:t>urisdictional data</w:t>
            </w:r>
          </w:p>
        </w:tc>
        <w:tc>
          <w:tcPr>
            <w:tcW w:w="1831" w:type="dxa"/>
            <w:tcBorders>
              <w:top w:val="nil"/>
              <w:left w:val="single" w:sz="4" w:space="0" w:color="auto"/>
              <w:bottom w:val="nil"/>
              <w:right w:val="single" w:sz="4" w:space="0" w:color="auto"/>
            </w:tcBorders>
            <w:shd w:val="clear" w:color="auto" w:fill="auto"/>
            <w:vAlign w:val="center"/>
            <w:hideMark/>
          </w:tcPr>
          <w:p w14:paraId="15A8CEAB" w14:textId="77777777" w:rsidR="000242AC" w:rsidRPr="00630A55" w:rsidRDefault="000242AC" w:rsidP="009527C7">
            <w:pPr>
              <w:pStyle w:val="TableTextNumber"/>
            </w:pPr>
            <w:r w:rsidRPr="00630A55">
              <w:t> </w:t>
            </w:r>
          </w:p>
        </w:tc>
      </w:tr>
      <w:tr w:rsidR="000242AC" w:rsidRPr="00630A55" w14:paraId="18BB1D2C" w14:textId="77777777" w:rsidTr="00593F15">
        <w:trPr>
          <w:trHeight w:val="258"/>
        </w:trPr>
        <w:tc>
          <w:tcPr>
            <w:tcW w:w="281" w:type="dxa"/>
            <w:tcBorders>
              <w:left w:val="single" w:sz="4" w:space="0" w:color="auto"/>
            </w:tcBorders>
            <w:shd w:val="clear" w:color="000000" w:fill="FFFFFF"/>
            <w:noWrap/>
            <w:vAlign w:val="center"/>
            <w:hideMark/>
          </w:tcPr>
          <w:p w14:paraId="7C1E62F5" w14:textId="77777777" w:rsidR="000242AC" w:rsidRPr="00630A55" w:rsidRDefault="000242AC" w:rsidP="009527C7">
            <w:pPr>
              <w:pStyle w:val="Tabletext"/>
              <w:rPr>
                <w:color w:val="000000"/>
                <w:lang w:eastAsia="en-AU"/>
              </w:rPr>
            </w:pPr>
            <w:r w:rsidRPr="00630A55">
              <w:rPr>
                <w:lang w:eastAsia="en-AU"/>
              </w:rPr>
              <w:t> </w:t>
            </w:r>
          </w:p>
        </w:tc>
        <w:tc>
          <w:tcPr>
            <w:tcW w:w="7075" w:type="dxa"/>
            <w:tcBorders>
              <w:right w:val="single" w:sz="4" w:space="0" w:color="auto"/>
            </w:tcBorders>
            <w:shd w:val="clear" w:color="000000" w:fill="FFFFFF"/>
            <w:noWrap/>
            <w:vAlign w:val="center"/>
            <w:hideMark/>
          </w:tcPr>
          <w:p w14:paraId="34C74DE9" w14:textId="77777777" w:rsidR="000242AC" w:rsidRPr="00630A55" w:rsidRDefault="000242AC" w:rsidP="009527C7">
            <w:pPr>
              <w:pStyle w:val="Tabletext"/>
              <w:rPr>
                <w:color w:val="000000"/>
                <w:lang w:eastAsia="en-AU"/>
              </w:rPr>
            </w:pPr>
            <w:r w:rsidRPr="00630A55">
              <w:rPr>
                <w:lang w:eastAsia="en-AU"/>
              </w:rPr>
              <w:t xml:space="preserve">Activity totals </w:t>
            </w:r>
          </w:p>
        </w:tc>
        <w:tc>
          <w:tcPr>
            <w:tcW w:w="1831" w:type="dxa"/>
            <w:tcBorders>
              <w:top w:val="nil"/>
              <w:left w:val="single" w:sz="4" w:space="0" w:color="auto"/>
              <w:bottom w:val="nil"/>
              <w:right w:val="single" w:sz="4" w:space="0" w:color="auto"/>
            </w:tcBorders>
            <w:shd w:val="clear" w:color="auto" w:fill="auto"/>
            <w:noWrap/>
            <w:vAlign w:val="center"/>
            <w:hideMark/>
          </w:tcPr>
          <w:p w14:paraId="5D04B5B1" w14:textId="77777777" w:rsidR="000242AC" w:rsidRPr="00630A55" w:rsidRDefault="000242AC" w:rsidP="009527C7">
            <w:pPr>
              <w:pStyle w:val="TableTextNumber"/>
            </w:pPr>
            <w:r w:rsidRPr="00630A55">
              <w:t>(1,780)</w:t>
            </w:r>
          </w:p>
        </w:tc>
      </w:tr>
      <w:tr w:rsidR="000242AC" w:rsidRPr="00630A55" w14:paraId="52A34288" w14:textId="77777777" w:rsidTr="00593F15">
        <w:trPr>
          <w:trHeight w:val="258"/>
        </w:trPr>
        <w:tc>
          <w:tcPr>
            <w:tcW w:w="281" w:type="dxa"/>
            <w:tcBorders>
              <w:left w:val="single" w:sz="4" w:space="0" w:color="auto"/>
            </w:tcBorders>
            <w:shd w:val="clear" w:color="000000" w:fill="FFFFFF"/>
            <w:noWrap/>
            <w:vAlign w:val="center"/>
            <w:hideMark/>
          </w:tcPr>
          <w:p w14:paraId="5D5ADA9A" w14:textId="77777777" w:rsidR="000242AC" w:rsidRPr="00630A55" w:rsidRDefault="000242AC" w:rsidP="009527C7">
            <w:pPr>
              <w:pStyle w:val="Tabletext"/>
              <w:rPr>
                <w:color w:val="000000"/>
                <w:lang w:eastAsia="en-AU"/>
              </w:rPr>
            </w:pPr>
            <w:r w:rsidRPr="00630A55">
              <w:rPr>
                <w:lang w:eastAsia="en-AU"/>
              </w:rPr>
              <w:t> </w:t>
            </w:r>
          </w:p>
        </w:tc>
        <w:tc>
          <w:tcPr>
            <w:tcW w:w="7075" w:type="dxa"/>
            <w:tcBorders>
              <w:right w:val="single" w:sz="4" w:space="0" w:color="auto"/>
            </w:tcBorders>
            <w:shd w:val="clear" w:color="000000" w:fill="FFFFFF"/>
            <w:noWrap/>
            <w:vAlign w:val="center"/>
            <w:hideMark/>
          </w:tcPr>
          <w:p w14:paraId="018139F0" w14:textId="77777777" w:rsidR="000242AC" w:rsidRPr="00630A55" w:rsidRDefault="000242AC" w:rsidP="009527C7">
            <w:pPr>
              <w:pStyle w:val="Tabletext"/>
              <w:rPr>
                <w:color w:val="000000"/>
                <w:lang w:eastAsia="en-AU"/>
              </w:rPr>
            </w:pPr>
            <w:r w:rsidRPr="00630A55">
              <w:rPr>
                <w:lang w:eastAsia="en-AU"/>
              </w:rPr>
              <w:t>Cost totals</w:t>
            </w:r>
          </w:p>
        </w:tc>
        <w:tc>
          <w:tcPr>
            <w:tcW w:w="1831" w:type="dxa"/>
            <w:tcBorders>
              <w:top w:val="nil"/>
              <w:left w:val="single" w:sz="4" w:space="0" w:color="auto"/>
              <w:bottom w:val="nil"/>
              <w:right w:val="single" w:sz="4" w:space="0" w:color="auto"/>
            </w:tcBorders>
            <w:shd w:val="clear" w:color="auto" w:fill="auto"/>
            <w:noWrap/>
            <w:vAlign w:val="center"/>
            <w:hideMark/>
          </w:tcPr>
          <w:p w14:paraId="5598668E" w14:textId="77777777" w:rsidR="000242AC" w:rsidRPr="00630A55" w:rsidRDefault="000242AC" w:rsidP="009527C7">
            <w:pPr>
              <w:pStyle w:val="TableTextNumber"/>
            </w:pPr>
            <w:r w:rsidRPr="00630A55">
              <w:t>($7,198,480)</w:t>
            </w:r>
          </w:p>
        </w:tc>
      </w:tr>
      <w:tr w:rsidR="000242AC" w:rsidRPr="00630A55" w14:paraId="545A7DB4" w14:textId="77777777" w:rsidTr="00593F15">
        <w:trPr>
          <w:trHeight w:val="258"/>
        </w:trPr>
        <w:tc>
          <w:tcPr>
            <w:tcW w:w="7356" w:type="dxa"/>
            <w:gridSpan w:val="2"/>
            <w:tcBorders>
              <w:left w:val="single" w:sz="4" w:space="0" w:color="auto"/>
              <w:right w:val="single" w:sz="4" w:space="0" w:color="auto"/>
            </w:tcBorders>
            <w:shd w:val="clear" w:color="000000" w:fill="FFFFFF"/>
            <w:vAlign w:val="center"/>
            <w:hideMark/>
          </w:tcPr>
          <w:p w14:paraId="5C3C44C1" w14:textId="02D0929A" w:rsidR="000242AC" w:rsidRPr="00630A55" w:rsidRDefault="000242AC" w:rsidP="009527C7">
            <w:pPr>
              <w:pStyle w:val="Tabletext"/>
              <w:rPr>
                <w:color w:val="000000"/>
                <w:lang w:eastAsia="en-AU"/>
              </w:rPr>
            </w:pPr>
            <w:r w:rsidRPr="00630A55">
              <w:rPr>
                <w:lang w:eastAsia="en-AU"/>
              </w:rPr>
              <w:t xml:space="preserve">Final </w:t>
            </w:r>
            <w:r w:rsidR="00FE1EEA">
              <w:rPr>
                <w:lang w:eastAsia="en-AU"/>
              </w:rPr>
              <w:t>j</w:t>
            </w:r>
            <w:r w:rsidRPr="00630A55">
              <w:rPr>
                <w:lang w:eastAsia="en-AU"/>
              </w:rPr>
              <w:t xml:space="preserve">urisdictional </w:t>
            </w:r>
            <w:r w:rsidR="00FE1EEA">
              <w:rPr>
                <w:lang w:eastAsia="en-AU"/>
              </w:rPr>
              <w:t>d</w:t>
            </w:r>
            <w:r w:rsidRPr="00630A55">
              <w:rPr>
                <w:lang w:eastAsia="en-AU"/>
              </w:rPr>
              <w:t xml:space="preserve">ata for </w:t>
            </w:r>
            <w:r w:rsidR="00FE1EEA">
              <w:rPr>
                <w:lang w:eastAsia="en-AU"/>
              </w:rPr>
              <w:t>c</w:t>
            </w:r>
            <w:r w:rsidRPr="00630A55">
              <w:rPr>
                <w:lang w:eastAsia="en-AU"/>
              </w:rPr>
              <w:t xml:space="preserve">ost </w:t>
            </w:r>
            <w:r w:rsidR="00FE1EEA">
              <w:rPr>
                <w:lang w:eastAsia="en-AU"/>
              </w:rPr>
              <w:t>w</w:t>
            </w:r>
            <w:r w:rsidRPr="00630A55">
              <w:rPr>
                <w:lang w:eastAsia="en-AU"/>
              </w:rPr>
              <w:t xml:space="preserve">eight </w:t>
            </w:r>
            <w:r w:rsidR="00FE1EEA">
              <w:rPr>
                <w:lang w:eastAsia="en-AU"/>
              </w:rPr>
              <w:t>p</w:t>
            </w:r>
            <w:r w:rsidRPr="00630A55">
              <w:rPr>
                <w:lang w:eastAsia="en-AU"/>
              </w:rPr>
              <w:t>roduction</w:t>
            </w:r>
          </w:p>
        </w:tc>
        <w:tc>
          <w:tcPr>
            <w:tcW w:w="1831" w:type="dxa"/>
            <w:tcBorders>
              <w:top w:val="nil"/>
              <w:left w:val="single" w:sz="4" w:space="0" w:color="auto"/>
              <w:bottom w:val="nil"/>
              <w:right w:val="single" w:sz="4" w:space="0" w:color="auto"/>
            </w:tcBorders>
            <w:shd w:val="clear" w:color="auto" w:fill="auto"/>
            <w:vAlign w:val="center"/>
            <w:hideMark/>
          </w:tcPr>
          <w:p w14:paraId="0F2688CB" w14:textId="77777777" w:rsidR="000242AC" w:rsidRPr="00630A55" w:rsidRDefault="000242AC" w:rsidP="009527C7">
            <w:pPr>
              <w:pStyle w:val="TableTextNumber"/>
            </w:pPr>
            <w:r w:rsidRPr="00630A55">
              <w:t> </w:t>
            </w:r>
          </w:p>
        </w:tc>
      </w:tr>
      <w:tr w:rsidR="000242AC" w:rsidRPr="00630A55" w14:paraId="7C79CB5E" w14:textId="77777777" w:rsidTr="00593F15">
        <w:trPr>
          <w:trHeight w:val="258"/>
        </w:trPr>
        <w:tc>
          <w:tcPr>
            <w:tcW w:w="281" w:type="dxa"/>
            <w:tcBorders>
              <w:left w:val="single" w:sz="4" w:space="0" w:color="auto"/>
            </w:tcBorders>
            <w:shd w:val="clear" w:color="000000" w:fill="FFFFFF"/>
            <w:noWrap/>
            <w:vAlign w:val="center"/>
            <w:hideMark/>
          </w:tcPr>
          <w:p w14:paraId="2E9557CE" w14:textId="77777777" w:rsidR="000242AC" w:rsidRPr="00630A55" w:rsidRDefault="000242AC" w:rsidP="009527C7">
            <w:pPr>
              <w:pStyle w:val="Tabletext"/>
              <w:rPr>
                <w:color w:val="000000"/>
                <w:lang w:eastAsia="en-AU"/>
              </w:rPr>
            </w:pPr>
            <w:r w:rsidRPr="00630A55">
              <w:rPr>
                <w:lang w:eastAsia="en-AU"/>
              </w:rPr>
              <w:t> </w:t>
            </w:r>
          </w:p>
        </w:tc>
        <w:tc>
          <w:tcPr>
            <w:tcW w:w="7075" w:type="dxa"/>
            <w:tcBorders>
              <w:right w:val="single" w:sz="4" w:space="0" w:color="auto"/>
            </w:tcBorders>
            <w:shd w:val="clear" w:color="000000" w:fill="FFFFFF"/>
            <w:vAlign w:val="center"/>
            <w:hideMark/>
          </w:tcPr>
          <w:p w14:paraId="32564584" w14:textId="6744019F" w:rsidR="000242AC" w:rsidRPr="00630A55" w:rsidRDefault="000242AC" w:rsidP="009527C7">
            <w:pPr>
              <w:pStyle w:val="Tabletext"/>
              <w:rPr>
                <w:color w:val="000000"/>
                <w:lang w:eastAsia="en-AU"/>
              </w:rPr>
            </w:pPr>
            <w:r w:rsidRPr="00630A55">
              <w:rPr>
                <w:lang w:eastAsia="en-AU"/>
              </w:rPr>
              <w:t xml:space="preserve">Finalised </w:t>
            </w:r>
            <w:r w:rsidR="00FE1EEA">
              <w:rPr>
                <w:lang w:eastAsia="en-AU"/>
              </w:rPr>
              <w:t>a</w:t>
            </w:r>
            <w:r w:rsidRPr="00630A55">
              <w:rPr>
                <w:lang w:eastAsia="en-AU"/>
              </w:rPr>
              <w:t>ctivity</w:t>
            </w:r>
          </w:p>
        </w:tc>
        <w:tc>
          <w:tcPr>
            <w:tcW w:w="1831" w:type="dxa"/>
            <w:tcBorders>
              <w:top w:val="nil"/>
              <w:left w:val="single" w:sz="4" w:space="0" w:color="auto"/>
              <w:bottom w:val="nil"/>
              <w:right w:val="single" w:sz="4" w:space="0" w:color="auto"/>
            </w:tcBorders>
            <w:shd w:val="clear" w:color="auto" w:fill="auto"/>
            <w:noWrap/>
            <w:vAlign w:val="center"/>
            <w:hideMark/>
          </w:tcPr>
          <w:p w14:paraId="32B59DF7" w14:textId="77777777" w:rsidR="000242AC" w:rsidRPr="00630A55" w:rsidRDefault="000242AC" w:rsidP="009527C7">
            <w:pPr>
              <w:pStyle w:val="TableTextNumber"/>
            </w:pPr>
            <w:r w:rsidRPr="00630A55">
              <w:t>122,316</w:t>
            </w:r>
          </w:p>
        </w:tc>
      </w:tr>
      <w:tr w:rsidR="000242AC" w:rsidRPr="00630A55" w14:paraId="1F1350D7" w14:textId="77777777" w:rsidTr="00593F15">
        <w:trPr>
          <w:trHeight w:val="258"/>
        </w:trPr>
        <w:tc>
          <w:tcPr>
            <w:tcW w:w="281" w:type="dxa"/>
            <w:tcBorders>
              <w:left w:val="single" w:sz="4" w:space="0" w:color="auto"/>
              <w:bottom w:val="single" w:sz="4" w:space="0" w:color="auto"/>
            </w:tcBorders>
            <w:shd w:val="clear" w:color="000000" w:fill="FFFFFF"/>
            <w:noWrap/>
            <w:vAlign w:val="center"/>
            <w:hideMark/>
          </w:tcPr>
          <w:p w14:paraId="677BCFA7" w14:textId="77777777" w:rsidR="000242AC" w:rsidRPr="00630A55" w:rsidRDefault="000242AC" w:rsidP="009527C7">
            <w:pPr>
              <w:pStyle w:val="Tabletext"/>
              <w:rPr>
                <w:color w:val="000000"/>
                <w:lang w:eastAsia="en-AU"/>
              </w:rPr>
            </w:pPr>
            <w:r w:rsidRPr="00630A55">
              <w:rPr>
                <w:lang w:eastAsia="en-AU"/>
              </w:rPr>
              <w:t> </w:t>
            </w:r>
          </w:p>
        </w:tc>
        <w:tc>
          <w:tcPr>
            <w:tcW w:w="7075" w:type="dxa"/>
            <w:tcBorders>
              <w:bottom w:val="single" w:sz="4" w:space="0" w:color="auto"/>
              <w:right w:val="single" w:sz="4" w:space="0" w:color="auto"/>
            </w:tcBorders>
            <w:shd w:val="clear" w:color="000000" w:fill="FFFFFF"/>
            <w:vAlign w:val="center"/>
            <w:hideMark/>
          </w:tcPr>
          <w:p w14:paraId="13DA3946" w14:textId="7379EE44" w:rsidR="000242AC" w:rsidRPr="00630A55" w:rsidRDefault="000242AC" w:rsidP="009527C7">
            <w:pPr>
              <w:pStyle w:val="Tabletext"/>
              <w:rPr>
                <w:color w:val="000000"/>
                <w:lang w:eastAsia="en-AU"/>
              </w:rPr>
            </w:pPr>
            <w:r w:rsidRPr="00630A55">
              <w:rPr>
                <w:lang w:eastAsia="en-AU"/>
              </w:rPr>
              <w:t xml:space="preserve">Finalised </w:t>
            </w:r>
            <w:r w:rsidR="00FE1EEA">
              <w:rPr>
                <w:lang w:eastAsia="en-AU"/>
              </w:rPr>
              <w:t>c</w:t>
            </w:r>
            <w:r w:rsidRPr="00630A55">
              <w:rPr>
                <w:lang w:eastAsia="en-AU"/>
              </w:rPr>
              <w:t>ost</w:t>
            </w:r>
          </w:p>
        </w:tc>
        <w:tc>
          <w:tcPr>
            <w:tcW w:w="1831" w:type="dxa"/>
            <w:tcBorders>
              <w:top w:val="nil"/>
              <w:left w:val="single" w:sz="4" w:space="0" w:color="auto"/>
              <w:bottom w:val="single" w:sz="4" w:space="0" w:color="auto"/>
              <w:right w:val="single" w:sz="4" w:space="0" w:color="auto"/>
            </w:tcBorders>
            <w:shd w:val="clear" w:color="auto" w:fill="auto"/>
            <w:noWrap/>
            <w:vAlign w:val="center"/>
            <w:hideMark/>
          </w:tcPr>
          <w:p w14:paraId="35D3F2B8" w14:textId="77777777" w:rsidR="000242AC" w:rsidRPr="00630A55" w:rsidRDefault="000242AC" w:rsidP="009527C7">
            <w:pPr>
              <w:pStyle w:val="TableTextNumber"/>
            </w:pPr>
            <w:r w:rsidRPr="00630A55">
              <w:t>$139,780,015</w:t>
            </w:r>
          </w:p>
        </w:tc>
      </w:tr>
    </w:tbl>
    <w:p w14:paraId="0884E581" w14:textId="77777777" w:rsidR="00DD3DB5" w:rsidRPr="00630A55" w:rsidRDefault="00DD3DB5" w:rsidP="00DD3DB5">
      <w:pPr>
        <w:pStyle w:val="Source"/>
      </w:pPr>
      <w:r w:rsidRPr="00630A55">
        <w:t xml:space="preserve">Source: Jurisdictional consultations and </w:t>
      </w:r>
      <w:r>
        <w:t>templates</w:t>
      </w:r>
    </w:p>
    <w:p w14:paraId="7D36A90A" w14:textId="77777777" w:rsidR="000242AC" w:rsidRPr="00630A55" w:rsidRDefault="000242AC" w:rsidP="0008151F">
      <w:pPr>
        <w:pStyle w:val="Heading3"/>
        <w:rPr>
          <w:rFonts w:ascii="Univers 45 Light" w:hAnsi="Univers 45 Light"/>
          <w:b w:val="0"/>
          <w:color w:val="4FC3FF" w:themeColor="accent2" w:themeTint="99"/>
          <w:szCs w:val="20"/>
        </w:rPr>
      </w:pPr>
      <w:r w:rsidRPr="00630A55">
        <w:lastRenderedPageBreak/>
        <w:t>Sample patient data</w:t>
      </w:r>
    </w:p>
    <w:p w14:paraId="02E19FF0" w14:textId="77777777" w:rsidR="00D91CB1" w:rsidRDefault="000242AC" w:rsidP="002042BB">
      <w:pPr>
        <w:pStyle w:val="BodyTextkeepwithnext"/>
      </w:pPr>
      <w:r w:rsidRPr="00630A55">
        <w:t xml:space="preserve">IHACPA selected a sample of five patients from each site (RPH, PCH and AH) for the purposes of testing the data flow from jurisdictions to IHACPA at patient level. </w:t>
      </w:r>
    </w:p>
    <w:p w14:paraId="34FFCE6F" w14:textId="59AE3446" w:rsidR="000242AC" w:rsidRDefault="000242AC" w:rsidP="00593F15">
      <w:pPr>
        <w:jc w:val="both"/>
      </w:pPr>
      <w:r w:rsidRPr="00630A55">
        <w:t xml:space="preserve">The jurisdiction provided the patient level costs for all five patients from each site and these reconciled with IHACPA records. Further information relating to the sample records is available in </w:t>
      </w:r>
      <w:r w:rsidR="008D6443" w:rsidRPr="00351098">
        <w:fldChar w:fldCharType="begin"/>
      </w:r>
      <w:r w:rsidR="008D6443" w:rsidRPr="00351098">
        <w:instrText xml:space="preserve"> REF _Ref114757532 \h </w:instrText>
      </w:r>
      <w:r w:rsidR="00351098" w:rsidRPr="00351098">
        <w:instrText xml:space="preserve"> \* MERGEFORMAT </w:instrText>
      </w:r>
      <w:r w:rsidR="008D6443" w:rsidRPr="00351098">
        <w:fldChar w:fldCharType="separate"/>
      </w:r>
      <w:r w:rsidR="007E2ACB" w:rsidRPr="007E2ACB">
        <w:t xml:space="preserve">Table </w:t>
      </w:r>
      <w:r w:rsidR="007E2ACB" w:rsidRPr="007E2ACB">
        <w:rPr>
          <w:noProof/>
        </w:rPr>
        <w:t>33</w:t>
      </w:r>
      <w:r w:rsidR="008D6443" w:rsidRPr="00351098">
        <w:fldChar w:fldCharType="end"/>
      </w:r>
      <w:r w:rsidR="00FB0EB3" w:rsidRPr="00351098">
        <w:t>.</w:t>
      </w:r>
    </w:p>
    <w:p w14:paraId="01E2CBE9" w14:textId="533AE6CC" w:rsidR="007340EF" w:rsidRDefault="007340EF" w:rsidP="007340EF">
      <w:pPr>
        <w:pStyle w:val="Caption"/>
      </w:pPr>
      <w:bookmarkStart w:id="81" w:name="_Ref114757532"/>
      <w:r w:rsidRPr="00A8310C">
        <w:rPr>
          <w:b/>
          <w:bCs/>
        </w:rPr>
        <w:t xml:space="preserve">Table </w:t>
      </w:r>
      <w:r w:rsidR="00D91CB1" w:rsidRPr="00A8310C">
        <w:rPr>
          <w:b/>
          <w:bCs/>
        </w:rPr>
        <w:fldChar w:fldCharType="begin"/>
      </w:r>
      <w:r w:rsidR="00D91CB1" w:rsidRPr="00A8310C">
        <w:rPr>
          <w:b/>
          <w:bCs/>
        </w:rPr>
        <w:instrText xml:space="preserve"> SEQ Table \* ARABIC </w:instrText>
      </w:r>
      <w:r w:rsidR="00D91CB1" w:rsidRPr="00A8310C">
        <w:rPr>
          <w:b/>
          <w:bCs/>
        </w:rPr>
        <w:fldChar w:fldCharType="separate"/>
      </w:r>
      <w:r w:rsidR="007E2ACB">
        <w:rPr>
          <w:b/>
          <w:bCs/>
          <w:noProof/>
        </w:rPr>
        <w:t>33</w:t>
      </w:r>
      <w:r w:rsidR="00D91CB1" w:rsidRPr="00A8310C">
        <w:rPr>
          <w:b/>
          <w:bCs/>
          <w:noProof/>
        </w:rPr>
        <w:fldChar w:fldCharType="end"/>
      </w:r>
      <w:bookmarkEnd w:id="81"/>
      <w:r w:rsidR="00A8310C" w:rsidRPr="00A8310C">
        <w:rPr>
          <w:b/>
          <w:bCs/>
          <w:noProof/>
        </w:rPr>
        <w:t>:</w:t>
      </w:r>
      <w:r w:rsidRPr="00961978">
        <w:t xml:space="preserve"> </w:t>
      </w:r>
      <w:r w:rsidR="008D6443">
        <w:t>Western Australia five patient sample reconciliation outcome</w:t>
      </w:r>
    </w:p>
    <w:tbl>
      <w:tblPr>
        <w:tblStyle w:val="TableGrid"/>
        <w:tblW w:w="0" w:type="auto"/>
        <w:tblLook w:val="04A0" w:firstRow="1" w:lastRow="0" w:firstColumn="1" w:lastColumn="0" w:noHBand="0" w:noVBand="1"/>
      </w:tblPr>
      <w:tblGrid>
        <w:gridCol w:w="1387"/>
        <w:gridCol w:w="1513"/>
        <w:gridCol w:w="1623"/>
        <w:gridCol w:w="1623"/>
        <w:gridCol w:w="1623"/>
        <w:gridCol w:w="1291"/>
      </w:tblGrid>
      <w:tr w:rsidR="007340EF" w:rsidRPr="003A7E92" w14:paraId="71B94F78" w14:textId="77777777" w:rsidTr="00584D24">
        <w:tc>
          <w:tcPr>
            <w:tcW w:w="1387" w:type="dxa"/>
            <w:shd w:val="clear" w:color="auto" w:fill="00338D"/>
          </w:tcPr>
          <w:p w14:paraId="651AF8F3" w14:textId="77777777" w:rsidR="007340EF" w:rsidRPr="00467F5A" w:rsidRDefault="007340EF" w:rsidP="00374C3F">
            <w:pPr>
              <w:spacing w:before="0" w:after="0"/>
              <w:rPr>
                <w:b/>
                <w:bCs/>
                <w:color w:val="FFFFFF" w:themeColor="background1"/>
                <w:sz w:val="20"/>
                <w:szCs w:val="20"/>
              </w:rPr>
            </w:pPr>
            <w:r w:rsidRPr="00467F5A">
              <w:rPr>
                <w:b/>
                <w:bCs/>
                <w:color w:val="FFFFFF" w:themeColor="background1"/>
                <w:sz w:val="20"/>
                <w:szCs w:val="20"/>
              </w:rPr>
              <w:t xml:space="preserve">Jurisdiction </w:t>
            </w:r>
          </w:p>
        </w:tc>
        <w:tc>
          <w:tcPr>
            <w:tcW w:w="1513" w:type="dxa"/>
            <w:shd w:val="clear" w:color="auto" w:fill="00338D"/>
          </w:tcPr>
          <w:p w14:paraId="56CD76CA" w14:textId="77777777" w:rsidR="007340EF" w:rsidRPr="00467F5A" w:rsidRDefault="007340EF" w:rsidP="00374C3F">
            <w:pPr>
              <w:spacing w:before="0" w:after="0"/>
              <w:rPr>
                <w:b/>
                <w:bCs/>
                <w:color w:val="FFFFFF" w:themeColor="background1"/>
                <w:sz w:val="20"/>
                <w:szCs w:val="20"/>
              </w:rPr>
            </w:pPr>
            <w:r w:rsidRPr="00467F5A">
              <w:rPr>
                <w:b/>
                <w:bCs/>
                <w:color w:val="FFFFFF" w:themeColor="background1"/>
                <w:sz w:val="20"/>
                <w:szCs w:val="20"/>
              </w:rPr>
              <w:t>Site</w:t>
            </w:r>
          </w:p>
        </w:tc>
        <w:tc>
          <w:tcPr>
            <w:tcW w:w="1623" w:type="dxa"/>
            <w:shd w:val="clear" w:color="auto" w:fill="00338D"/>
          </w:tcPr>
          <w:p w14:paraId="23530E88" w14:textId="77777777" w:rsidR="007340EF" w:rsidRPr="00467F5A" w:rsidRDefault="007340EF" w:rsidP="00374C3F">
            <w:pPr>
              <w:spacing w:before="0" w:after="0"/>
              <w:rPr>
                <w:b/>
                <w:bCs/>
                <w:color w:val="FFFFFF" w:themeColor="background1"/>
                <w:sz w:val="20"/>
                <w:szCs w:val="20"/>
              </w:rPr>
            </w:pPr>
            <w:r w:rsidRPr="00467F5A">
              <w:rPr>
                <w:b/>
                <w:bCs/>
                <w:color w:val="FFFFFF" w:themeColor="background1"/>
                <w:sz w:val="20"/>
                <w:szCs w:val="20"/>
              </w:rPr>
              <w:t>Stream</w:t>
            </w:r>
          </w:p>
        </w:tc>
        <w:tc>
          <w:tcPr>
            <w:tcW w:w="1623" w:type="dxa"/>
            <w:shd w:val="clear" w:color="auto" w:fill="00338D"/>
          </w:tcPr>
          <w:p w14:paraId="44614781" w14:textId="4E163082" w:rsidR="007340EF" w:rsidRPr="00467F5A" w:rsidRDefault="007340EF" w:rsidP="00A8310C">
            <w:pPr>
              <w:spacing w:before="0" w:after="0"/>
              <w:jc w:val="center"/>
              <w:rPr>
                <w:b/>
                <w:bCs/>
                <w:color w:val="FFFFFF" w:themeColor="background1"/>
                <w:sz w:val="20"/>
                <w:szCs w:val="20"/>
              </w:rPr>
            </w:pPr>
            <w:r w:rsidRPr="00467F5A">
              <w:rPr>
                <w:b/>
                <w:bCs/>
                <w:color w:val="FFFFFF" w:themeColor="background1"/>
                <w:sz w:val="20"/>
                <w:szCs w:val="20"/>
              </w:rPr>
              <w:t xml:space="preserve">Jurisdiction </w:t>
            </w:r>
            <w:r w:rsidR="00644EC4">
              <w:rPr>
                <w:b/>
                <w:bCs/>
                <w:color w:val="FFFFFF" w:themeColor="background1"/>
                <w:sz w:val="20"/>
                <w:szCs w:val="20"/>
              </w:rPr>
              <w:t>r</w:t>
            </w:r>
            <w:r w:rsidRPr="00467F5A">
              <w:rPr>
                <w:b/>
                <w:bCs/>
                <w:color w:val="FFFFFF" w:themeColor="background1"/>
                <w:sz w:val="20"/>
                <w:szCs w:val="20"/>
              </w:rPr>
              <w:t>ecords</w:t>
            </w:r>
          </w:p>
        </w:tc>
        <w:tc>
          <w:tcPr>
            <w:tcW w:w="1623" w:type="dxa"/>
            <w:shd w:val="clear" w:color="auto" w:fill="00338D"/>
          </w:tcPr>
          <w:p w14:paraId="6301005E" w14:textId="23D1F7B9" w:rsidR="007340EF" w:rsidRPr="00467F5A" w:rsidRDefault="007340EF" w:rsidP="00A8310C">
            <w:pPr>
              <w:spacing w:before="0" w:after="0"/>
              <w:jc w:val="center"/>
              <w:rPr>
                <w:b/>
                <w:bCs/>
                <w:color w:val="FFFFFF" w:themeColor="background1"/>
                <w:sz w:val="20"/>
                <w:szCs w:val="20"/>
              </w:rPr>
            </w:pPr>
            <w:r w:rsidRPr="00467F5A">
              <w:rPr>
                <w:b/>
                <w:bCs/>
                <w:color w:val="FFFFFF" w:themeColor="background1"/>
                <w:sz w:val="20"/>
                <w:szCs w:val="20"/>
              </w:rPr>
              <w:t>Received by IHACPA</w:t>
            </w:r>
          </w:p>
        </w:tc>
        <w:tc>
          <w:tcPr>
            <w:tcW w:w="1291" w:type="dxa"/>
            <w:shd w:val="clear" w:color="auto" w:fill="00338D"/>
          </w:tcPr>
          <w:p w14:paraId="3878148E" w14:textId="77777777" w:rsidR="007340EF" w:rsidRPr="00467F5A" w:rsidRDefault="007340EF" w:rsidP="00A8310C">
            <w:pPr>
              <w:spacing w:before="0" w:after="0"/>
              <w:jc w:val="center"/>
              <w:rPr>
                <w:b/>
                <w:bCs/>
                <w:color w:val="FFFFFF" w:themeColor="background1"/>
                <w:sz w:val="20"/>
                <w:szCs w:val="20"/>
              </w:rPr>
            </w:pPr>
            <w:r w:rsidRPr="00467F5A">
              <w:rPr>
                <w:b/>
                <w:bCs/>
                <w:color w:val="FFFFFF" w:themeColor="background1"/>
                <w:sz w:val="20"/>
                <w:szCs w:val="20"/>
              </w:rPr>
              <w:t>Variance</w:t>
            </w:r>
          </w:p>
        </w:tc>
      </w:tr>
      <w:tr w:rsidR="007340EF" w:rsidRPr="00B87F0A" w14:paraId="7608524D" w14:textId="77777777" w:rsidTr="007340EF">
        <w:tc>
          <w:tcPr>
            <w:tcW w:w="1387" w:type="dxa"/>
            <w:vMerge w:val="restart"/>
          </w:tcPr>
          <w:p w14:paraId="6D2A9E29" w14:textId="5D3013B5" w:rsidR="007340EF" w:rsidRPr="007340EF" w:rsidRDefault="007340EF" w:rsidP="007340EF">
            <w:pPr>
              <w:spacing w:before="0" w:after="0"/>
              <w:rPr>
                <w:rFonts w:cs="Arial"/>
                <w:sz w:val="20"/>
                <w:szCs w:val="20"/>
              </w:rPr>
            </w:pPr>
            <w:r w:rsidRPr="007340EF">
              <w:rPr>
                <w:rFonts w:cs="Arial"/>
                <w:sz w:val="20"/>
                <w:szCs w:val="20"/>
              </w:rPr>
              <w:t>Western Australia</w:t>
            </w:r>
          </w:p>
        </w:tc>
        <w:tc>
          <w:tcPr>
            <w:tcW w:w="1513" w:type="dxa"/>
            <w:vMerge w:val="restart"/>
          </w:tcPr>
          <w:p w14:paraId="17027692" w14:textId="1870FA72" w:rsidR="007340EF" w:rsidRPr="007340EF" w:rsidRDefault="007340EF" w:rsidP="007340EF">
            <w:pPr>
              <w:spacing w:before="0" w:after="0"/>
              <w:rPr>
                <w:rFonts w:cs="Arial"/>
                <w:sz w:val="20"/>
                <w:szCs w:val="20"/>
              </w:rPr>
            </w:pPr>
            <w:r w:rsidRPr="007340EF">
              <w:rPr>
                <w:rFonts w:cs="Arial"/>
                <w:sz w:val="20"/>
                <w:szCs w:val="20"/>
              </w:rPr>
              <w:t>Royal Perth Hospital</w:t>
            </w:r>
          </w:p>
        </w:tc>
        <w:tc>
          <w:tcPr>
            <w:tcW w:w="1623" w:type="dxa"/>
          </w:tcPr>
          <w:p w14:paraId="548B7343" w14:textId="4144AC46" w:rsidR="007340EF" w:rsidRPr="007340EF" w:rsidRDefault="007340EF" w:rsidP="007340EF">
            <w:pPr>
              <w:spacing w:before="0" w:after="0"/>
              <w:rPr>
                <w:rFonts w:cs="Arial"/>
                <w:sz w:val="20"/>
                <w:szCs w:val="20"/>
              </w:rPr>
            </w:pPr>
            <w:r w:rsidRPr="007340EF">
              <w:rPr>
                <w:rFonts w:cs="Arial"/>
                <w:sz w:val="20"/>
                <w:szCs w:val="20"/>
              </w:rPr>
              <w:t>Acute</w:t>
            </w:r>
          </w:p>
        </w:tc>
        <w:tc>
          <w:tcPr>
            <w:tcW w:w="1623" w:type="dxa"/>
          </w:tcPr>
          <w:p w14:paraId="04D1C256" w14:textId="0291D080" w:rsidR="007340EF" w:rsidRPr="007340EF" w:rsidRDefault="007340EF" w:rsidP="00644EC4">
            <w:pPr>
              <w:spacing w:before="0" w:after="0"/>
              <w:jc w:val="right"/>
              <w:rPr>
                <w:rFonts w:cs="Arial"/>
                <w:sz w:val="20"/>
                <w:szCs w:val="20"/>
              </w:rPr>
            </w:pPr>
            <w:r w:rsidRPr="007340EF">
              <w:rPr>
                <w:rFonts w:cs="Arial"/>
                <w:sz w:val="20"/>
                <w:szCs w:val="20"/>
              </w:rPr>
              <w:t>$518.43</w:t>
            </w:r>
          </w:p>
        </w:tc>
        <w:tc>
          <w:tcPr>
            <w:tcW w:w="1623" w:type="dxa"/>
          </w:tcPr>
          <w:p w14:paraId="7E190D6B" w14:textId="2EF87486" w:rsidR="007340EF" w:rsidRPr="007340EF" w:rsidRDefault="007340EF" w:rsidP="00644EC4">
            <w:pPr>
              <w:spacing w:before="0" w:after="0"/>
              <w:jc w:val="right"/>
              <w:rPr>
                <w:rFonts w:cs="Arial"/>
                <w:sz w:val="20"/>
                <w:szCs w:val="20"/>
              </w:rPr>
            </w:pPr>
            <w:r w:rsidRPr="007340EF">
              <w:rPr>
                <w:rFonts w:cs="Arial"/>
                <w:sz w:val="20"/>
                <w:szCs w:val="20"/>
              </w:rPr>
              <w:t>$518.43</w:t>
            </w:r>
          </w:p>
        </w:tc>
        <w:tc>
          <w:tcPr>
            <w:tcW w:w="1291" w:type="dxa"/>
          </w:tcPr>
          <w:p w14:paraId="2224BA35" w14:textId="0C9B111A" w:rsidR="007340EF" w:rsidRPr="007340EF" w:rsidRDefault="007340EF" w:rsidP="00644EC4">
            <w:pPr>
              <w:spacing w:before="0" w:after="0"/>
              <w:jc w:val="right"/>
              <w:rPr>
                <w:rFonts w:cs="Arial"/>
                <w:sz w:val="20"/>
                <w:szCs w:val="20"/>
              </w:rPr>
            </w:pPr>
            <w:r w:rsidRPr="007340EF">
              <w:rPr>
                <w:rFonts w:cs="Arial"/>
                <w:sz w:val="20"/>
                <w:szCs w:val="20"/>
              </w:rPr>
              <w:t>$0.00</w:t>
            </w:r>
          </w:p>
        </w:tc>
      </w:tr>
      <w:tr w:rsidR="007340EF" w:rsidRPr="00B87F0A" w14:paraId="59557956" w14:textId="77777777" w:rsidTr="007340EF">
        <w:tc>
          <w:tcPr>
            <w:tcW w:w="1387" w:type="dxa"/>
            <w:vMerge/>
          </w:tcPr>
          <w:p w14:paraId="384A4604" w14:textId="77777777" w:rsidR="007340EF" w:rsidRPr="007340EF" w:rsidRDefault="007340EF" w:rsidP="007340EF">
            <w:pPr>
              <w:spacing w:before="0" w:after="0"/>
              <w:rPr>
                <w:rFonts w:cs="Arial"/>
                <w:sz w:val="20"/>
                <w:szCs w:val="20"/>
              </w:rPr>
            </w:pPr>
          </w:p>
        </w:tc>
        <w:tc>
          <w:tcPr>
            <w:tcW w:w="1513" w:type="dxa"/>
            <w:vMerge/>
          </w:tcPr>
          <w:p w14:paraId="146CCC9D" w14:textId="77777777" w:rsidR="007340EF" w:rsidRPr="007340EF" w:rsidRDefault="007340EF" w:rsidP="007340EF">
            <w:pPr>
              <w:spacing w:before="0" w:after="0"/>
              <w:rPr>
                <w:rFonts w:cs="Arial"/>
                <w:sz w:val="20"/>
                <w:szCs w:val="20"/>
              </w:rPr>
            </w:pPr>
          </w:p>
        </w:tc>
        <w:tc>
          <w:tcPr>
            <w:tcW w:w="1623" w:type="dxa"/>
          </w:tcPr>
          <w:p w14:paraId="2CF26F9D" w14:textId="33EBC373" w:rsidR="007340EF" w:rsidRPr="007340EF" w:rsidRDefault="007340EF" w:rsidP="007340EF">
            <w:pPr>
              <w:spacing w:before="0" w:after="0"/>
              <w:rPr>
                <w:rFonts w:cs="Arial"/>
                <w:sz w:val="20"/>
                <w:szCs w:val="20"/>
              </w:rPr>
            </w:pPr>
            <w:r w:rsidRPr="007340EF">
              <w:rPr>
                <w:rFonts w:cs="Arial"/>
                <w:sz w:val="20"/>
                <w:szCs w:val="20"/>
              </w:rPr>
              <w:t>Sub-Acute</w:t>
            </w:r>
          </w:p>
        </w:tc>
        <w:tc>
          <w:tcPr>
            <w:tcW w:w="1623" w:type="dxa"/>
          </w:tcPr>
          <w:p w14:paraId="6BB0A5EF" w14:textId="76B5E4AC" w:rsidR="007340EF" w:rsidRPr="007340EF" w:rsidRDefault="007340EF" w:rsidP="00644EC4">
            <w:pPr>
              <w:spacing w:before="0" w:after="0"/>
              <w:jc w:val="right"/>
              <w:rPr>
                <w:rFonts w:cs="Arial"/>
                <w:sz w:val="20"/>
                <w:szCs w:val="20"/>
              </w:rPr>
            </w:pPr>
            <w:r w:rsidRPr="007340EF">
              <w:rPr>
                <w:rFonts w:cs="Arial"/>
                <w:sz w:val="20"/>
                <w:szCs w:val="20"/>
              </w:rPr>
              <w:t>$11,170.89</w:t>
            </w:r>
          </w:p>
        </w:tc>
        <w:tc>
          <w:tcPr>
            <w:tcW w:w="1623" w:type="dxa"/>
          </w:tcPr>
          <w:p w14:paraId="72DAC219" w14:textId="3B1288C8" w:rsidR="007340EF" w:rsidRPr="007340EF" w:rsidRDefault="007340EF" w:rsidP="00644EC4">
            <w:pPr>
              <w:spacing w:before="0" w:after="0"/>
              <w:jc w:val="right"/>
              <w:rPr>
                <w:rFonts w:cs="Arial"/>
                <w:sz w:val="20"/>
                <w:szCs w:val="20"/>
              </w:rPr>
            </w:pPr>
            <w:r w:rsidRPr="007340EF">
              <w:rPr>
                <w:rFonts w:cs="Arial"/>
                <w:sz w:val="20"/>
                <w:szCs w:val="20"/>
              </w:rPr>
              <w:t>$11,170.89</w:t>
            </w:r>
          </w:p>
        </w:tc>
        <w:tc>
          <w:tcPr>
            <w:tcW w:w="1291" w:type="dxa"/>
          </w:tcPr>
          <w:p w14:paraId="4D553816" w14:textId="51162284" w:rsidR="007340EF" w:rsidRPr="007340EF" w:rsidRDefault="007340EF" w:rsidP="00644EC4">
            <w:pPr>
              <w:spacing w:before="0" w:after="0"/>
              <w:jc w:val="right"/>
              <w:rPr>
                <w:rFonts w:cs="Arial"/>
                <w:sz w:val="20"/>
                <w:szCs w:val="20"/>
              </w:rPr>
            </w:pPr>
            <w:r w:rsidRPr="007340EF">
              <w:rPr>
                <w:rFonts w:cs="Arial"/>
                <w:sz w:val="20"/>
                <w:szCs w:val="20"/>
              </w:rPr>
              <w:t>$0.00</w:t>
            </w:r>
          </w:p>
        </w:tc>
      </w:tr>
      <w:tr w:rsidR="007340EF" w:rsidRPr="00B87F0A" w14:paraId="7F9BB390" w14:textId="77777777" w:rsidTr="007340EF">
        <w:tc>
          <w:tcPr>
            <w:tcW w:w="1387" w:type="dxa"/>
            <w:vMerge/>
          </w:tcPr>
          <w:p w14:paraId="3F1CADD0" w14:textId="77777777" w:rsidR="007340EF" w:rsidRPr="007340EF" w:rsidRDefault="007340EF" w:rsidP="007340EF">
            <w:pPr>
              <w:spacing w:before="0" w:after="0"/>
              <w:rPr>
                <w:rFonts w:cs="Arial"/>
                <w:sz w:val="20"/>
                <w:szCs w:val="20"/>
              </w:rPr>
            </w:pPr>
          </w:p>
        </w:tc>
        <w:tc>
          <w:tcPr>
            <w:tcW w:w="1513" w:type="dxa"/>
            <w:vMerge/>
          </w:tcPr>
          <w:p w14:paraId="4A44C8AC" w14:textId="77777777" w:rsidR="007340EF" w:rsidRPr="007340EF" w:rsidRDefault="007340EF" w:rsidP="007340EF">
            <w:pPr>
              <w:spacing w:before="0" w:after="0"/>
              <w:rPr>
                <w:rFonts w:cs="Arial"/>
                <w:sz w:val="20"/>
                <w:szCs w:val="20"/>
              </w:rPr>
            </w:pPr>
          </w:p>
        </w:tc>
        <w:tc>
          <w:tcPr>
            <w:tcW w:w="1623" w:type="dxa"/>
          </w:tcPr>
          <w:p w14:paraId="4BD34C98" w14:textId="59371531" w:rsidR="007340EF" w:rsidRPr="007340EF" w:rsidRDefault="007340EF" w:rsidP="007340EF">
            <w:pPr>
              <w:spacing w:before="0" w:after="0"/>
              <w:rPr>
                <w:rFonts w:cs="Arial"/>
                <w:sz w:val="20"/>
                <w:szCs w:val="20"/>
              </w:rPr>
            </w:pPr>
            <w:r w:rsidRPr="007340EF">
              <w:rPr>
                <w:rFonts w:cs="Arial"/>
                <w:sz w:val="20"/>
                <w:szCs w:val="20"/>
              </w:rPr>
              <w:t>ED</w:t>
            </w:r>
          </w:p>
        </w:tc>
        <w:tc>
          <w:tcPr>
            <w:tcW w:w="1623" w:type="dxa"/>
          </w:tcPr>
          <w:p w14:paraId="042E4275" w14:textId="3134E094" w:rsidR="007340EF" w:rsidRPr="007340EF" w:rsidRDefault="007340EF" w:rsidP="00644EC4">
            <w:pPr>
              <w:spacing w:before="0" w:after="0"/>
              <w:jc w:val="right"/>
              <w:rPr>
                <w:rFonts w:cs="Arial"/>
                <w:sz w:val="20"/>
                <w:szCs w:val="20"/>
              </w:rPr>
            </w:pPr>
            <w:r w:rsidRPr="007340EF">
              <w:rPr>
                <w:rFonts w:cs="Arial"/>
                <w:sz w:val="20"/>
                <w:szCs w:val="20"/>
              </w:rPr>
              <w:t>$1,032.13</w:t>
            </w:r>
          </w:p>
        </w:tc>
        <w:tc>
          <w:tcPr>
            <w:tcW w:w="1623" w:type="dxa"/>
          </w:tcPr>
          <w:p w14:paraId="7DB830CE" w14:textId="54985732" w:rsidR="007340EF" w:rsidRPr="007340EF" w:rsidRDefault="007340EF" w:rsidP="00644EC4">
            <w:pPr>
              <w:spacing w:before="0" w:after="0"/>
              <w:jc w:val="right"/>
              <w:rPr>
                <w:rFonts w:cs="Arial"/>
                <w:sz w:val="20"/>
                <w:szCs w:val="20"/>
              </w:rPr>
            </w:pPr>
            <w:r w:rsidRPr="007340EF">
              <w:rPr>
                <w:rFonts w:cs="Arial"/>
                <w:sz w:val="20"/>
                <w:szCs w:val="20"/>
              </w:rPr>
              <w:t>$1,032.13</w:t>
            </w:r>
          </w:p>
        </w:tc>
        <w:tc>
          <w:tcPr>
            <w:tcW w:w="1291" w:type="dxa"/>
          </w:tcPr>
          <w:p w14:paraId="1E3558C8" w14:textId="7355F34D" w:rsidR="007340EF" w:rsidRPr="007340EF" w:rsidRDefault="007340EF" w:rsidP="00644EC4">
            <w:pPr>
              <w:spacing w:before="0" w:after="0"/>
              <w:jc w:val="right"/>
              <w:rPr>
                <w:rFonts w:cs="Arial"/>
                <w:sz w:val="20"/>
                <w:szCs w:val="20"/>
              </w:rPr>
            </w:pPr>
            <w:r w:rsidRPr="007340EF">
              <w:rPr>
                <w:rFonts w:cs="Arial"/>
                <w:sz w:val="20"/>
                <w:szCs w:val="20"/>
              </w:rPr>
              <w:t>$0.00</w:t>
            </w:r>
          </w:p>
        </w:tc>
      </w:tr>
      <w:tr w:rsidR="007340EF" w:rsidRPr="00B87F0A" w14:paraId="313EB23F" w14:textId="77777777" w:rsidTr="007340EF">
        <w:tc>
          <w:tcPr>
            <w:tcW w:w="1387" w:type="dxa"/>
            <w:vMerge/>
          </w:tcPr>
          <w:p w14:paraId="1344A363" w14:textId="77777777" w:rsidR="007340EF" w:rsidRPr="007340EF" w:rsidRDefault="007340EF" w:rsidP="007340EF">
            <w:pPr>
              <w:spacing w:before="0" w:after="0"/>
              <w:rPr>
                <w:rFonts w:cs="Arial"/>
                <w:sz w:val="20"/>
                <w:szCs w:val="20"/>
              </w:rPr>
            </w:pPr>
          </w:p>
        </w:tc>
        <w:tc>
          <w:tcPr>
            <w:tcW w:w="1513" w:type="dxa"/>
            <w:vMerge/>
          </w:tcPr>
          <w:p w14:paraId="4B3CBB0C" w14:textId="77777777" w:rsidR="007340EF" w:rsidRPr="007340EF" w:rsidRDefault="007340EF" w:rsidP="007340EF">
            <w:pPr>
              <w:spacing w:before="0" w:after="0"/>
              <w:rPr>
                <w:rFonts w:cs="Arial"/>
                <w:sz w:val="20"/>
                <w:szCs w:val="20"/>
              </w:rPr>
            </w:pPr>
          </w:p>
        </w:tc>
        <w:tc>
          <w:tcPr>
            <w:tcW w:w="1623" w:type="dxa"/>
          </w:tcPr>
          <w:p w14:paraId="73E08A08" w14:textId="4363BE85" w:rsidR="007340EF" w:rsidRPr="007340EF" w:rsidRDefault="007340EF" w:rsidP="007340EF">
            <w:pPr>
              <w:spacing w:before="0" w:after="0"/>
              <w:rPr>
                <w:rFonts w:cs="Arial"/>
                <w:sz w:val="20"/>
                <w:szCs w:val="20"/>
              </w:rPr>
            </w:pPr>
            <w:r w:rsidRPr="007340EF">
              <w:rPr>
                <w:rFonts w:cs="Arial"/>
                <w:sz w:val="20"/>
                <w:szCs w:val="20"/>
              </w:rPr>
              <w:t>Non-Admitted</w:t>
            </w:r>
          </w:p>
        </w:tc>
        <w:tc>
          <w:tcPr>
            <w:tcW w:w="1623" w:type="dxa"/>
          </w:tcPr>
          <w:p w14:paraId="081C4A79" w14:textId="6490BD5F" w:rsidR="007340EF" w:rsidRPr="007340EF" w:rsidRDefault="007340EF" w:rsidP="00644EC4">
            <w:pPr>
              <w:spacing w:before="0" w:after="0"/>
              <w:jc w:val="right"/>
              <w:rPr>
                <w:rFonts w:cs="Arial"/>
                <w:sz w:val="20"/>
                <w:szCs w:val="20"/>
              </w:rPr>
            </w:pPr>
            <w:r w:rsidRPr="007340EF">
              <w:rPr>
                <w:rFonts w:cs="Arial"/>
                <w:sz w:val="20"/>
                <w:szCs w:val="20"/>
              </w:rPr>
              <w:t>$19.81</w:t>
            </w:r>
          </w:p>
        </w:tc>
        <w:tc>
          <w:tcPr>
            <w:tcW w:w="1623" w:type="dxa"/>
          </w:tcPr>
          <w:p w14:paraId="4061B749" w14:textId="1FBDC32D" w:rsidR="007340EF" w:rsidRPr="007340EF" w:rsidRDefault="007340EF" w:rsidP="00644EC4">
            <w:pPr>
              <w:spacing w:before="0" w:after="0"/>
              <w:jc w:val="right"/>
              <w:rPr>
                <w:rFonts w:cs="Arial"/>
                <w:sz w:val="20"/>
                <w:szCs w:val="20"/>
              </w:rPr>
            </w:pPr>
            <w:r w:rsidRPr="007340EF">
              <w:rPr>
                <w:rFonts w:cs="Arial"/>
                <w:sz w:val="20"/>
                <w:szCs w:val="20"/>
              </w:rPr>
              <w:t>$19.81</w:t>
            </w:r>
          </w:p>
        </w:tc>
        <w:tc>
          <w:tcPr>
            <w:tcW w:w="1291" w:type="dxa"/>
          </w:tcPr>
          <w:p w14:paraId="7FC12F40" w14:textId="4DF54AC5" w:rsidR="007340EF" w:rsidRPr="007340EF" w:rsidRDefault="007340EF" w:rsidP="00644EC4">
            <w:pPr>
              <w:spacing w:before="0" w:after="0"/>
              <w:jc w:val="right"/>
              <w:rPr>
                <w:rFonts w:cs="Arial"/>
                <w:sz w:val="20"/>
                <w:szCs w:val="20"/>
              </w:rPr>
            </w:pPr>
            <w:r w:rsidRPr="007340EF">
              <w:rPr>
                <w:rFonts w:cs="Arial"/>
                <w:sz w:val="20"/>
                <w:szCs w:val="20"/>
              </w:rPr>
              <w:t>$0.00</w:t>
            </w:r>
          </w:p>
        </w:tc>
      </w:tr>
      <w:tr w:rsidR="007340EF" w:rsidRPr="00B87F0A" w14:paraId="587CA83D" w14:textId="77777777" w:rsidTr="007340EF">
        <w:tc>
          <w:tcPr>
            <w:tcW w:w="1387" w:type="dxa"/>
            <w:vMerge/>
          </w:tcPr>
          <w:p w14:paraId="4D48E870" w14:textId="77777777" w:rsidR="007340EF" w:rsidRPr="007340EF" w:rsidRDefault="007340EF" w:rsidP="007340EF">
            <w:pPr>
              <w:spacing w:before="0" w:after="0"/>
              <w:rPr>
                <w:rFonts w:cs="Arial"/>
                <w:sz w:val="20"/>
                <w:szCs w:val="20"/>
              </w:rPr>
            </w:pPr>
          </w:p>
        </w:tc>
        <w:tc>
          <w:tcPr>
            <w:tcW w:w="1513" w:type="dxa"/>
            <w:vMerge/>
          </w:tcPr>
          <w:p w14:paraId="0109EA75" w14:textId="77777777" w:rsidR="007340EF" w:rsidRPr="007340EF" w:rsidRDefault="007340EF" w:rsidP="007340EF">
            <w:pPr>
              <w:spacing w:before="0" w:after="0"/>
              <w:rPr>
                <w:rFonts w:cs="Arial"/>
                <w:sz w:val="20"/>
                <w:szCs w:val="20"/>
              </w:rPr>
            </w:pPr>
          </w:p>
        </w:tc>
        <w:tc>
          <w:tcPr>
            <w:tcW w:w="1623" w:type="dxa"/>
          </w:tcPr>
          <w:p w14:paraId="74742ED7" w14:textId="564254F6" w:rsidR="007340EF" w:rsidRPr="007340EF" w:rsidRDefault="007340EF" w:rsidP="007340EF">
            <w:pPr>
              <w:spacing w:before="0" w:after="0"/>
              <w:rPr>
                <w:rFonts w:cs="Arial"/>
                <w:sz w:val="20"/>
                <w:szCs w:val="20"/>
              </w:rPr>
            </w:pPr>
            <w:r w:rsidRPr="007340EF">
              <w:rPr>
                <w:rFonts w:cs="Arial"/>
                <w:sz w:val="20"/>
                <w:szCs w:val="20"/>
              </w:rPr>
              <w:t>Mental Health</w:t>
            </w:r>
          </w:p>
        </w:tc>
        <w:tc>
          <w:tcPr>
            <w:tcW w:w="1623" w:type="dxa"/>
          </w:tcPr>
          <w:p w14:paraId="2835F1FB" w14:textId="49C242B3" w:rsidR="007340EF" w:rsidRPr="007340EF" w:rsidRDefault="007340EF" w:rsidP="00644EC4">
            <w:pPr>
              <w:spacing w:before="0" w:after="0"/>
              <w:jc w:val="right"/>
              <w:rPr>
                <w:rFonts w:cs="Arial"/>
                <w:sz w:val="20"/>
                <w:szCs w:val="20"/>
              </w:rPr>
            </w:pPr>
            <w:r w:rsidRPr="007340EF">
              <w:rPr>
                <w:rFonts w:cs="Arial"/>
                <w:sz w:val="20"/>
                <w:szCs w:val="20"/>
              </w:rPr>
              <w:t>$188,493.07</w:t>
            </w:r>
          </w:p>
        </w:tc>
        <w:tc>
          <w:tcPr>
            <w:tcW w:w="1623" w:type="dxa"/>
          </w:tcPr>
          <w:p w14:paraId="38910393" w14:textId="3C85A4FE" w:rsidR="007340EF" w:rsidRPr="007340EF" w:rsidRDefault="007340EF" w:rsidP="00644EC4">
            <w:pPr>
              <w:spacing w:before="0" w:after="0"/>
              <w:jc w:val="right"/>
              <w:rPr>
                <w:rFonts w:cs="Arial"/>
                <w:sz w:val="20"/>
                <w:szCs w:val="20"/>
              </w:rPr>
            </w:pPr>
            <w:r w:rsidRPr="007340EF">
              <w:rPr>
                <w:rFonts w:cs="Arial"/>
                <w:sz w:val="20"/>
                <w:szCs w:val="20"/>
              </w:rPr>
              <w:t>$188,493.07</w:t>
            </w:r>
          </w:p>
        </w:tc>
        <w:tc>
          <w:tcPr>
            <w:tcW w:w="1291" w:type="dxa"/>
          </w:tcPr>
          <w:p w14:paraId="2E42ECA1" w14:textId="6E17878D" w:rsidR="007340EF" w:rsidRPr="007340EF" w:rsidRDefault="007340EF" w:rsidP="00644EC4">
            <w:pPr>
              <w:spacing w:before="0" w:after="0"/>
              <w:jc w:val="right"/>
              <w:rPr>
                <w:rFonts w:cs="Arial"/>
                <w:sz w:val="20"/>
                <w:szCs w:val="20"/>
              </w:rPr>
            </w:pPr>
            <w:r w:rsidRPr="007340EF">
              <w:rPr>
                <w:rFonts w:cs="Arial"/>
                <w:sz w:val="20"/>
                <w:szCs w:val="20"/>
              </w:rPr>
              <w:t>$0.00</w:t>
            </w:r>
          </w:p>
        </w:tc>
      </w:tr>
      <w:tr w:rsidR="007340EF" w:rsidRPr="00B87F0A" w14:paraId="33DD77C5" w14:textId="77777777" w:rsidTr="007340EF">
        <w:tc>
          <w:tcPr>
            <w:tcW w:w="1387" w:type="dxa"/>
            <w:vMerge w:val="restart"/>
          </w:tcPr>
          <w:p w14:paraId="46FF9518" w14:textId="524899E1" w:rsidR="007340EF" w:rsidRPr="007340EF" w:rsidRDefault="007340EF" w:rsidP="007340EF">
            <w:pPr>
              <w:spacing w:before="0" w:after="0"/>
              <w:rPr>
                <w:rFonts w:cs="Arial"/>
                <w:sz w:val="20"/>
                <w:szCs w:val="20"/>
              </w:rPr>
            </w:pPr>
            <w:r w:rsidRPr="007340EF">
              <w:rPr>
                <w:rFonts w:cs="Arial"/>
                <w:sz w:val="20"/>
                <w:szCs w:val="20"/>
              </w:rPr>
              <w:t>Western Australia</w:t>
            </w:r>
          </w:p>
        </w:tc>
        <w:tc>
          <w:tcPr>
            <w:tcW w:w="1513" w:type="dxa"/>
            <w:vMerge w:val="restart"/>
          </w:tcPr>
          <w:p w14:paraId="5607A730" w14:textId="46443A5C" w:rsidR="007340EF" w:rsidRPr="007340EF" w:rsidRDefault="007340EF" w:rsidP="007340EF">
            <w:pPr>
              <w:spacing w:before="0" w:after="0"/>
              <w:rPr>
                <w:rFonts w:cs="Arial"/>
                <w:sz w:val="20"/>
                <w:szCs w:val="20"/>
              </w:rPr>
            </w:pPr>
            <w:r w:rsidRPr="007340EF">
              <w:rPr>
                <w:rFonts w:cs="Arial"/>
                <w:sz w:val="20"/>
                <w:szCs w:val="20"/>
              </w:rPr>
              <w:t>Perth Children’s Hospital</w:t>
            </w:r>
          </w:p>
        </w:tc>
        <w:tc>
          <w:tcPr>
            <w:tcW w:w="1623" w:type="dxa"/>
          </w:tcPr>
          <w:p w14:paraId="7EA5C4BC" w14:textId="427FAB4C" w:rsidR="007340EF" w:rsidRPr="007340EF" w:rsidRDefault="007340EF" w:rsidP="007340EF">
            <w:pPr>
              <w:spacing w:before="0" w:after="0"/>
              <w:rPr>
                <w:rFonts w:cs="Arial"/>
                <w:sz w:val="20"/>
                <w:szCs w:val="20"/>
              </w:rPr>
            </w:pPr>
            <w:r w:rsidRPr="007340EF">
              <w:rPr>
                <w:rFonts w:cs="Arial"/>
                <w:sz w:val="20"/>
                <w:szCs w:val="20"/>
              </w:rPr>
              <w:t>Acute</w:t>
            </w:r>
          </w:p>
        </w:tc>
        <w:tc>
          <w:tcPr>
            <w:tcW w:w="1623" w:type="dxa"/>
          </w:tcPr>
          <w:p w14:paraId="38795A81" w14:textId="36DB4E37" w:rsidR="007340EF" w:rsidRPr="007340EF" w:rsidRDefault="007340EF" w:rsidP="00644EC4">
            <w:pPr>
              <w:spacing w:before="0" w:after="0"/>
              <w:jc w:val="right"/>
              <w:rPr>
                <w:rFonts w:cs="Arial"/>
                <w:sz w:val="20"/>
                <w:szCs w:val="20"/>
              </w:rPr>
            </w:pPr>
            <w:r w:rsidRPr="007340EF">
              <w:rPr>
                <w:rFonts w:cs="Arial"/>
                <w:sz w:val="20"/>
                <w:szCs w:val="20"/>
              </w:rPr>
              <w:t>$1,005,942.55</w:t>
            </w:r>
          </w:p>
        </w:tc>
        <w:tc>
          <w:tcPr>
            <w:tcW w:w="1623" w:type="dxa"/>
          </w:tcPr>
          <w:p w14:paraId="2291EA98" w14:textId="16545206" w:rsidR="007340EF" w:rsidRPr="007340EF" w:rsidRDefault="007340EF" w:rsidP="00644EC4">
            <w:pPr>
              <w:spacing w:before="0" w:after="0"/>
              <w:jc w:val="right"/>
              <w:rPr>
                <w:rFonts w:cs="Arial"/>
                <w:sz w:val="20"/>
                <w:szCs w:val="20"/>
              </w:rPr>
            </w:pPr>
            <w:r w:rsidRPr="007340EF">
              <w:rPr>
                <w:rFonts w:cs="Arial"/>
                <w:sz w:val="20"/>
                <w:szCs w:val="20"/>
              </w:rPr>
              <w:t>$1,005,942.55</w:t>
            </w:r>
          </w:p>
        </w:tc>
        <w:tc>
          <w:tcPr>
            <w:tcW w:w="1291" w:type="dxa"/>
          </w:tcPr>
          <w:p w14:paraId="52E199FE" w14:textId="3BDB72F1" w:rsidR="007340EF" w:rsidRPr="007340EF" w:rsidRDefault="007340EF" w:rsidP="00644EC4">
            <w:pPr>
              <w:spacing w:before="0" w:after="0"/>
              <w:jc w:val="right"/>
              <w:rPr>
                <w:rFonts w:cs="Arial"/>
                <w:sz w:val="20"/>
                <w:szCs w:val="20"/>
              </w:rPr>
            </w:pPr>
            <w:r w:rsidRPr="007340EF">
              <w:rPr>
                <w:rFonts w:cs="Arial"/>
                <w:sz w:val="20"/>
                <w:szCs w:val="20"/>
              </w:rPr>
              <w:t>$0.00</w:t>
            </w:r>
          </w:p>
        </w:tc>
      </w:tr>
      <w:tr w:rsidR="007340EF" w:rsidRPr="00B87F0A" w14:paraId="3556D28E" w14:textId="77777777" w:rsidTr="007340EF">
        <w:tc>
          <w:tcPr>
            <w:tcW w:w="1387" w:type="dxa"/>
            <w:vMerge/>
          </w:tcPr>
          <w:p w14:paraId="09CED5DF" w14:textId="77777777" w:rsidR="007340EF" w:rsidRPr="007340EF" w:rsidRDefault="007340EF" w:rsidP="007340EF">
            <w:pPr>
              <w:spacing w:before="0" w:after="0"/>
              <w:rPr>
                <w:rFonts w:cs="Arial"/>
                <w:sz w:val="20"/>
                <w:szCs w:val="20"/>
              </w:rPr>
            </w:pPr>
          </w:p>
        </w:tc>
        <w:tc>
          <w:tcPr>
            <w:tcW w:w="1513" w:type="dxa"/>
            <w:vMerge/>
          </w:tcPr>
          <w:p w14:paraId="5EEF92BE" w14:textId="77777777" w:rsidR="007340EF" w:rsidRPr="007340EF" w:rsidRDefault="007340EF" w:rsidP="007340EF">
            <w:pPr>
              <w:spacing w:before="0" w:after="0"/>
              <w:rPr>
                <w:rFonts w:cs="Arial"/>
                <w:sz w:val="20"/>
                <w:szCs w:val="20"/>
              </w:rPr>
            </w:pPr>
          </w:p>
        </w:tc>
        <w:tc>
          <w:tcPr>
            <w:tcW w:w="1623" w:type="dxa"/>
          </w:tcPr>
          <w:p w14:paraId="27DD6ED9" w14:textId="5ED85D0A" w:rsidR="007340EF" w:rsidRPr="007340EF" w:rsidRDefault="007340EF" w:rsidP="007340EF">
            <w:pPr>
              <w:spacing w:before="0" w:after="0"/>
              <w:rPr>
                <w:rFonts w:cs="Arial"/>
                <w:sz w:val="20"/>
                <w:szCs w:val="20"/>
              </w:rPr>
            </w:pPr>
            <w:r w:rsidRPr="007340EF">
              <w:rPr>
                <w:rFonts w:cs="Arial"/>
                <w:sz w:val="20"/>
                <w:szCs w:val="20"/>
              </w:rPr>
              <w:t>Sub-Acute</w:t>
            </w:r>
          </w:p>
        </w:tc>
        <w:tc>
          <w:tcPr>
            <w:tcW w:w="1623" w:type="dxa"/>
          </w:tcPr>
          <w:p w14:paraId="74F23CEA" w14:textId="2D761F1A" w:rsidR="007340EF" w:rsidRPr="007340EF" w:rsidRDefault="007340EF" w:rsidP="00644EC4">
            <w:pPr>
              <w:spacing w:before="0" w:after="0"/>
              <w:jc w:val="right"/>
              <w:rPr>
                <w:rFonts w:cs="Arial"/>
                <w:sz w:val="20"/>
                <w:szCs w:val="20"/>
              </w:rPr>
            </w:pPr>
            <w:r w:rsidRPr="007340EF">
              <w:rPr>
                <w:rFonts w:cs="Arial"/>
                <w:sz w:val="20"/>
                <w:szCs w:val="20"/>
              </w:rPr>
              <w:t>$4,179.30</w:t>
            </w:r>
          </w:p>
        </w:tc>
        <w:tc>
          <w:tcPr>
            <w:tcW w:w="1623" w:type="dxa"/>
          </w:tcPr>
          <w:p w14:paraId="0C17E528" w14:textId="2793F373" w:rsidR="007340EF" w:rsidRPr="007340EF" w:rsidRDefault="007340EF" w:rsidP="00644EC4">
            <w:pPr>
              <w:spacing w:before="0" w:after="0"/>
              <w:jc w:val="right"/>
              <w:rPr>
                <w:rFonts w:cs="Arial"/>
                <w:sz w:val="20"/>
                <w:szCs w:val="20"/>
              </w:rPr>
            </w:pPr>
            <w:r w:rsidRPr="007340EF">
              <w:rPr>
                <w:rFonts w:cs="Arial"/>
                <w:sz w:val="20"/>
                <w:szCs w:val="20"/>
              </w:rPr>
              <w:t>$4,179.30</w:t>
            </w:r>
          </w:p>
        </w:tc>
        <w:tc>
          <w:tcPr>
            <w:tcW w:w="1291" w:type="dxa"/>
          </w:tcPr>
          <w:p w14:paraId="0BBEE4A9" w14:textId="71EF55CC" w:rsidR="007340EF" w:rsidRPr="007340EF" w:rsidRDefault="007340EF" w:rsidP="00644EC4">
            <w:pPr>
              <w:spacing w:before="0" w:after="0"/>
              <w:jc w:val="right"/>
              <w:rPr>
                <w:rFonts w:cs="Arial"/>
                <w:sz w:val="20"/>
                <w:szCs w:val="20"/>
              </w:rPr>
            </w:pPr>
            <w:r w:rsidRPr="007340EF">
              <w:rPr>
                <w:rFonts w:cs="Arial"/>
                <w:sz w:val="20"/>
                <w:szCs w:val="20"/>
              </w:rPr>
              <w:t>$0.00</w:t>
            </w:r>
          </w:p>
        </w:tc>
      </w:tr>
      <w:tr w:rsidR="007340EF" w:rsidRPr="00B87F0A" w14:paraId="5DEBB544" w14:textId="77777777" w:rsidTr="007340EF">
        <w:tc>
          <w:tcPr>
            <w:tcW w:w="1387" w:type="dxa"/>
            <w:vMerge/>
          </w:tcPr>
          <w:p w14:paraId="4D93F3C0" w14:textId="77777777" w:rsidR="007340EF" w:rsidRPr="007340EF" w:rsidRDefault="007340EF" w:rsidP="007340EF">
            <w:pPr>
              <w:spacing w:before="0" w:after="0"/>
              <w:rPr>
                <w:rFonts w:cs="Arial"/>
                <w:sz w:val="20"/>
                <w:szCs w:val="20"/>
              </w:rPr>
            </w:pPr>
          </w:p>
        </w:tc>
        <w:tc>
          <w:tcPr>
            <w:tcW w:w="1513" w:type="dxa"/>
            <w:vMerge/>
          </w:tcPr>
          <w:p w14:paraId="3FFAF307" w14:textId="77777777" w:rsidR="007340EF" w:rsidRPr="007340EF" w:rsidRDefault="007340EF" w:rsidP="007340EF">
            <w:pPr>
              <w:spacing w:before="0" w:after="0"/>
              <w:rPr>
                <w:rFonts w:cs="Arial"/>
                <w:sz w:val="20"/>
                <w:szCs w:val="20"/>
              </w:rPr>
            </w:pPr>
          </w:p>
        </w:tc>
        <w:tc>
          <w:tcPr>
            <w:tcW w:w="1623" w:type="dxa"/>
          </w:tcPr>
          <w:p w14:paraId="194A2B10" w14:textId="3695D6A2" w:rsidR="007340EF" w:rsidRPr="007340EF" w:rsidRDefault="007340EF" w:rsidP="007340EF">
            <w:pPr>
              <w:spacing w:before="0" w:after="0"/>
              <w:rPr>
                <w:rFonts w:cs="Arial"/>
                <w:sz w:val="20"/>
                <w:szCs w:val="20"/>
              </w:rPr>
            </w:pPr>
            <w:r w:rsidRPr="007340EF">
              <w:rPr>
                <w:rFonts w:cs="Arial"/>
                <w:sz w:val="20"/>
                <w:szCs w:val="20"/>
              </w:rPr>
              <w:t>ED</w:t>
            </w:r>
          </w:p>
        </w:tc>
        <w:tc>
          <w:tcPr>
            <w:tcW w:w="1623" w:type="dxa"/>
          </w:tcPr>
          <w:p w14:paraId="4D62BE48" w14:textId="2D57D207" w:rsidR="007340EF" w:rsidRPr="007340EF" w:rsidRDefault="007340EF" w:rsidP="00644EC4">
            <w:pPr>
              <w:spacing w:before="0" w:after="0"/>
              <w:jc w:val="right"/>
              <w:rPr>
                <w:rFonts w:cs="Arial"/>
                <w:sz w:val="20"/>
                <w:szCs w:val="20"/>
              </w:rPr>
            </w:pPr>
            <w:r w:rsidRPr="007340EF">
              <w:rPr>
                <w:rFonts w:cs="Arial"/>
                <w:sz w:val="20"/>
                <w:szCs w:val="20"/>
              </w:rPr>
              <w:t>$388.89</w:t>
            </w:r>
          </w:p>
        </w:tc>
        <w:tc>
          <w:tcPr>
            <w:tcW w:w="1623" w:type="dxa"/>
          </w:tcPr>
          <w:p w14:paraId="602AB635" w14:textId="1D2133D5" w:rsidR="007340EF" w:rsidRPr="007340EF" w:rsidRDefault="007340EF" w:rsidP="00644EC4">
            <w:pPr>
              <w:spacing w:before="0" w:after="0"/>
              <w:jc w:val="right"/>
              <w:rPr>
                <w:rFonts w:cs="Arial"/>
                <w:sz w:val="20"/>
                <w:szCs w:val="20"/>
              </w:rPr>
            </w:pPr>
            <w:r w:rsidRPr="007340EF">
              <w:rPr>
                <w:rFonts w:cs="Arial"/>
                <w:sz w:val="20"/>
                <w:szCs w:val="20"/>
              </w:rPr>
              <w:t>$388.89</w:t>
            </w:r>
          </w:p>
        </w:tc>
        <w:tc>
          <w:tcPr>
            <w:tcW w:w="1291" w:type="dxa"/>
          </w:tcPr>
          <w:p w14:paraId="619CF83A" w14:textId="1DCE2B54" w:rsidR="007340EF" w:rsidRPr="007340EF" w:rsidRDefault="007340EF" w:rsidP="00644EC4">
            <w:pPr>
              <w:spacing w:before="0" w:after="0"/>
              <w:jc w:val="right"/>
              <w:rPr>
                <w:rFonts w:cs="Arial"/>
                <w:sz w:val="20"/>
                <w:szCs w:val="20"/>
              </w:rPr>
            </w:pPr>
            <w:r w:rsidRPr="007340EF">
              <w:rPr>
                <w:rFonts w:cs="Arial"/>
                <w:sz w:val="20"/>
                <w:szCs w:val="20"/>
              </w:rPr>
              <w:t>$0.00</w:t>
            </w:r>
          </w:p>
        </w:tc>
      </w:tr>
      <w:tr w:rsidR="007340EF" w:rsidRPr="00B87F0A" w14:paraId="65904B0C" w14:textId="77777777" w:rsidTr="007340EF">
        <w:tc>
          <w:tcPr>
            <w:tcW w:w="1387" w:type="dxa"/>
            <w:vMerge/>
          </w:tcPr>
          <w:p w14:paraId="51830CA1" w14:textId="77777777" w:rsidR="007340EF" w:rsidRPr="007340EF" w:rsidRDefault="007340EF" w:rsidP="007340EF">
            <w:pPr>
              <w:spacing w:before="0" w:after="0"/>
              <w:rPr>
                <w:rFonts w:cs="Arial"/>
                <w:sz w:val="20"/>
                <w:szCs w:val="20"/>
              </w:rPr>
            </w:pPr>
          </w:p>
        </w:tc>
        <w:tc>
          <w:tcPr>
            <w:tcW w:w="1513" w:type="dxa"/>
            <w:vMerge/>
          </w:tcPr>
          <w:p w14:paraId="2B884C4A" w14:textId="77777777" w:rsidR="007340EF" w:rsidRPr="007340EF" w:rsidRDefault="007340EF" w:rsidP="007340EF">
            <w:pPr>
              <w:spacing w:before="0" w:after="0"/>
              <w:rPr>
                <w:rFonts w:cs="Arial"/>
                <w:sz w:val="20"/>
                <w:szCs w:val="20"/>
              </w:rPr>
            </w:pPr>
          </w:p>
        </w:tc>
        <w:tc>
          <w:tcPr>
            <w:tcW w:w="1623" w:type="dxa"/>
          </w:tcPr>
          <w:p w14:paraId="26E37785" w14:textId="6B9BF588" w:rsidR="007340EF" w:rsidRPr="007340EF" w:rsidRDefault="007340EF" w:rsidP="007340EF">
            <w:pPr>
              <w:spacing w:before="0" w:after="0"/>
              <w:rPr>
                <w:rFonts w:cs="Arial"/>
                <w:sz w:val="20"/>
                <w:szCs w:val="20"/>
              </w:rPr>
            </w:pPr>
            <w:r w:rsidRPr="007340EF">
              <w:rPr>
                <w:rFonts w:cs="Arial"/>
                <w:sz w:val="20"/>
                <w:szCs w:val="20"/>
              </w:rPr>
              <w:t>Non-Admitted</w:t>
            </w:r>
          </w:p>
        </w:tc>
        <w:tc>
          <w:tcPr>
            <w:tcW w:w="1623" w:type="dxa"/>
          </w:tcPr>
          <w:p w14:paraId="7F6CEB79" w14:textId="59274B01" w:rsidR="007340EF" w:rsidRPr="007340EF" w:rsidRDefault="007340EF" w:rsidP="00644EC4">
            <w:pPr>
              <w:spacing w:before="0" w:after="0"/>
              <w:jc w:val="right"/>
              <w:rPr>
                <w:rFonts w:cs="Arial"/>
                <w:sz w:val="20"/>
                <w:szCs w:val="20"/>
              </w:rPr>
            </w:pPr>
            <w:r w:rsidRPr="007340EF">
              <w:rPr>
                <w:rFonts w:cs="Arial"/>
                <w:sz w:val="20"/>
                <w:szCs w:val="20"/>
              </w:rPr>
              <w:t>$1,408.70</w:t>
            </w:r>
          </w:p>
        </w:tc>
        <w:tc>
          <w:tcPr>
            <w:tcW w:w="1623" w:type="dxa"/>
          </w:tcPr>
          <w:p w14:paraId="10929013" w14:textId="53755515" w:rsidR="007340EF" w:rsidRPr="007340EF" w:rsidRDefault="007340EF" w:rsidP="00644EC4">
            <w:pPr>
              <w:spacing w:before="0" w:after="0"/>
              <w:jc w:val="right"/>
              <w:rPr>
                <w:rFonts w:cs="Arial"/>
                <w:sz w:val="20"/>
                <w:szCs w:val="20"/>
              </w:rPr>
            </w:pPr>
            <w:r w:rsidRPr="007340EF">
              <w:rPr>
                <w:rFonts w:cs="Arial"/>
                <w:sz w:val="20"/>
                <w:szCs w:val="20"/>
              </w:rPr>
              <w:t>$1,408.70</w:t>
            </w:r>
          </w:p>
        </w:tc>
        <w:tc>
          <w:tcPr>
            <w:tcW w:w="1291" w:type="dxa"/>
          </w:tcPr>
          <w:p w14:paraId="61ADD9FB" w14:textId="574DD9CC" w:rsidR="007340EF" w:rsidRPr="007340EF" w:rsidRDefault="007340EF" w:rsidP="00644EC4">
            <w:pPr>
              <w:spacing w:before="0" w:after="0"/>
              <w:jc w:val="right"/>
              <w:rPr>
                <w:rFonts w:cs="Arial"/>
                <w:sz w:val="20"/>
                <w:szCs w:val="20"/>
              </w:rPr>
            </w:pPr>
            <w:r w:rsidRPr="007340EF">
              <w:rPr>
                <w:rFonts w:cs="Arial"/>
                <w:sz w:val="20"/>
                <w:szCs w:val="20"/>
              </w:rPr>
              <w:t>$0.00</w:t>
            </w:r>
          </w:p>
        </w:tc>
      </w:tr>
      <w:tr w:rsidR="007340EF" w:rsidRPr="00B87F0A" w14:paraId="2BDF7EE7" w14:textId="77777777" w:rsidTr="007340EF">
        <w:tc>
          <w:tcPr>
            <w:tcW w:w="1387" w:type="dxa"/>
            <w:vMerge/>
          </w:tcPr>
          <w:p w14:paraId="672860F6" w14:textId="77777777" w:rsidR="007340EF" w:rsidRPr="007340EF" w:rsidRDefault="007340EF" w:rsidP="007340EF">
            <w:pPr>
              <w:spacing w:before="0" w:after="0"/>
              <w:rPr>
                <w:rFonts w:cs="Arial"/>
                <w:sz w:val="20"/>
                <w:szCs w:val="20"/>
              </w:rPr>
            </w:pPr>
          </w:p>
        </w:tc>
        <w:tc>
          <w:tcPr>
            <w:tcW w:w="1513" w:type="dxa"/>
            <w:vMerge/>
          </w:tcPr>
          <w:p w14:paraId="131CB5C8" w14:textId="77777777" w:rsidR="007340EF" w:rsidRPr="007340EF" w:rsidRDefault="007340EF" w:rsidP="007340EF">
            <w:pPr>
              <w:spacing w:before="0" w:after="0"/>
              <w:rPr>
                <w:rFonts w:cs="Arial"/>
                <w:sz w:val="20"/>
                <w:szCs w:val="20"/>
              </w:rPr>
            </w:pPr>
          </w:p>
        </w:tc>
        <w:tc>
          <w:tcPr>
            <w:tcW w:w="1623" w:type="dxa"/>
          </w:tcPr>
          <w:p w14:paraId="4F766929" w14:textId="38141B71" w:rsidR="007340EF" w:rsidRPr="007340EF" w:rsidRDefault="007340EF" w:rsidP="007340EF">
            <w:pPr>
              <w:spacing w:before="0" w:after="0"/>
              <w:rPr>
                <w:rFonts w:cs="Arial"/>
                <w:sz w:val="20"/>
                <w:szCs w:val="20"/>
              </w:rPr>
            </w:pPr>
            <w:r w:rsidRPr="007340EF">
              <w:rPr>
                <w:rFonts w:cs="Arial"/>
                <w:sz w:val="20"/>
                <w:szCs w:val="20"/>
              </w:rPr>
              <w:t>Mental Health</w:t>
            </w:r>
          </w:p>
        </w:tc>
        <w:tc>
          <w:tcPr>
            <w:tcW w:w="1623" w:type="dxa"/>
          </w:tcPr>
          <w:p w14:paraId="0CAD29E2" w14:textId="766D8860" w:rsidR="007340EF" w:rsidRPr="007340EF" w:rsidRDefault="007340EF" w:rsidP="00644EC4">
            <w:pPr>
              <w:spacing w:before="0" w:after="0"/>
              <w:jc w:val="right"/>
              <w:rPr>
                <w:rFonts w:cs="Arial"/>
                <w:sz w:val="20"/>
                <w:szCs w:val="20"/>
              </w:rPr>
            </w:pPr>
            <w:r w:rsidRPr="007340EF">
              <w:rPr>
                <w:rFonts w:cs="Arial"/>
                <w:sz w:val="20"/>
                <w:szCs w:val="20"/>
              </w:rPr>
              <w:t>$402.08</w:t>
            </w:r>
          </w:p>
        </w:tc>
        <w:tc>
          <w:tcPr>
            <w:tcW w:w="1623" w:type="dxa"/>
          </w:tcPr>
          <w:p w14:paraId="6A2C6A5D" w14:textId="6315D245" w:rsidR="007340EF" w:rsidRPr="007340EF" w:rsidRDefault="007340EF" w:rsidP="00644EC4">
            <w:pPr>
              <w:spacing w:before="0" w:after="0"/>
              <w:jc w:val="right"/>
              <w:rPr>
                <w:rFonts w:cs="Arial"/>
                <w:sz w:val="20"/>
                <w:szCs w:val="20"/>
              </w:rPr>
            </w:pPr>
            <w:r w:rsidRPr="007340EF">
              <w:rPr>
                <w:rFonts w:cs="Arial"/>
                <w:sz w:val="20"/>
                <w:szCs w:val="20"/>
              </w:rPr>
              <w:t>$402.08</w:t>
            </w:r>
          </w:p>
        </w:tc>
        <w:tc>
          <w:tcPr>
            <w:tcW w:w="1291" w:type="dxa"/>
          </w:tcPr>
          <w:p w14:paraId="44F95285" w14:textId="57308399" w:rsidR="007340EF" w:rsidRPr="007340EF" w:rsidRDefault="007340EF" w:rsidP="00644EC4">
            <w:pPr>
              <w:spacing w:before="0" w:after="0"/>
              <w:jc w:val="right"/>
              <w:rPr>
                <w:rFonts w:cs="Arial"/>
                <w:sz w:val="20"/>
                <w:szCs w:val="20"/>
              </w:rPr>
            </w:pPr>
            <w:r w:rsidRPr="007340EF">
              <w:rPr>
                <w:rFonts w:cs="Arial"/>
                <w:sz w:val="20"/>
                <w:szCs w:val="20"/>
              </w:rPr>
              <w:t>$0.00</w:t>
            </w:r>
          </w:p>
        </w:tc>
      </w:tr>
      <w:tr w:rsidR="007340EF" w:rsidRPr="00B87F0A" w14:paraId="3F607A5B" w14:textId="77777777" w:rsidTr="007340EF">
        <w:tc>
          <w:tcPr>
            <w:tcW w:w="1387" w:type="dxa"/>
            <w:vMerge w:val="restart"/>
          </w:tcPr>
          <w:p w14:paraId="1C930CE3" w14:textId="7342CC6C" w:rsidR="007340EF" w:rsidRPr="007340EF" w:rsidRDefault="007340EF" w:rsidP="007340EF">
            <w:pPr>
              <w:spacing w:before="0" w:after="0"/>
              <w:rPr>
                <w:rFonts w:cs="Arial"/>
                <w:sz w:val="20"/>
                <w:szCs w:val="20"/>
              </w:rPr>
            </w:pPr>
            <w:r w:rsidRPr="007340EF">
              <w:rPr>
                <w:rFonts w:cs="Arial"/>
                <w:sz w:val="20"/>
                <w:szCs w:val="20"/>
              </w:rPr>
              <w:t>Western Australia</w:t>
            </w:r>
          </w:p>
        </w:tc>
        <w:tc>
          <w:tcPr>
            <w:tcW w:w="1513" w:type="dxa"/>
            <w:vMerge w:val="restart"/>
          </w:tcPr>
          <w:p w14:paraId="506233C9" w14:textId="64A9437E" w:rsidR="007340EF" w:rsidRPr="007340EF" w:rsidRDefault="007340EF" w:rsidP="007340EF">
            <w:pPr>
              <w:spacing w:before="0" w:after="0"/>
              <w:rPr>
                <w:rFonts w:cs="Arial"/>
                <w:sz w:val="20"/>
                <w:szCs w:val="20"/>
              </w:rPr>
            </w:pPr>
            <w:r w:rsidRPr="007340EF">
              <w:rPr>
                <w:rFonts w:cs="Arial"/>
                <w:sz w:val="20"/>
                <w:szCs w:val="20"/>
              </w:rPr>
              <w:t>Albany Hospital</w:t>
            </w:r>
          </w:p>
        </w:tc>
        <w:tc>
          <w:tcPr>
            <w:tcW w:w="1623" w:type="dxa"/>
          </w:tcPr>
          <w:p w14:paraId="62697F42" w14:textId="4C8F2724" w:rsidR="007340EF" w:rsidRPr="007340EF" w:rsidRDefault="007340EF" w:rsidP="007340EF">
            <w:pPr>
              <w:spacing w:before="0" w:after="0"/>
              <w:rPr>
                <w:rFonts w:cs="Arial"/>
                <w:sz w:val="20"/>
                <w:szCs w:val="20"/>
              </w:rPr>
            </w:pPr>
            <w:r w:rsidRPr="007340EF">
              <w:rPr>
                <w:rFonts w:cs="Arial"/>
                <w:sz w:val="20"/>
                <w:szCs w:val="20"/>
              </w:rPr>
              <w:t>Acute</w:t>
            </w:r>
          </w:p>
        </w:tc>
        <w:tc>
          <w:tcPr>
            <w:tcW w:w="1623" w:type="dxa"/>
          </w:tcPr>
          <w:p w14:paraId="0443EDA2" w14:textId="2ADD7F46" w:rsidR="007340EF" w:rsidRPr="007340EF" w:rsidRDefault="007340EF" w:rsidP="00644EC4">
            <w:pPr>
              <w:spacing w:before="0" w:after="0"/>
              <w:jc w:val="right"/>
              <w:rPr>
                <w:rFonts w:cs="Arial"/>
                <w:sz w:val="20"/>
                <w:szCs w:val="20"/>
              </w:rPr>
            </w:pPr>
            <w:r w:rsidRPr="007340EF">
              <w:rPr>
                <w:rFonts w:cs="Arial"/>
                <w:sz w:val="20"/>
                <w:szCs w:val="20"/>
              </w:rPr>
              <w:t>$750.17</w:t>
            </w:r>
          </w:p>
        </w:tc>
        <w:tc>
          <w:tcPr>
            <w:tcW w:w="1623" w:type="dxa"/>
          </w:tcPr>
          <w:p w14:paraId="3D000D7C" w14:textId="0E686930" w:rsidR="007340EF" w:rsidRPr="007340EF" w:rsidRDefault="007340EF" w:rsidP="00644EC4">
            <w:pPr>
              <w:spacing w:before="0" w:after="0"/>
              <w:jc w:val="right"/>
              <w:rPr>
                <w:rFonts w:cs="Arial"/>
                <w:sz w:val="20"/>
                <w:szCs w:val="20"/>
              </w:rPr>
            </w:pPr>
            <w:r w:rsidRPr="007340EF">
              <w:rPr>
                <w:rFonts w:cs="Arial"/>
                <w:sz w:val="20"/>
                <w:szCs w:val="20"/>
              </w:rPr>
              <w:t>$750.17</w:t>
            </w:r>
          </w:p>
        </w:tc>
        <w:tc>
          <w:tcPr>
            <w:tcW w:w="1291" w:type="dxa"/>
          </w:tcPr>
          <w:p w14:paraId="46121946" w14:textId="56981839" w:rsidR="007340EF" w:rsidRPr="007340EF" w:rsidRDefault="007340EF" w:rsidP="00644EC4">
            <w:pPr>
              <w:spacing w:before="0" w:after="0"/>
              <w:jc w:val="right"/>
              <w:rPr>
                <w:rFonts w:cs="Arial"/>
                <w:sz w:val="20"/>
                <w:szCs w:val="20"/>
              </w:rPr>
            </w:pPr>
            <w:r w:rsidRPr="007340EF">
              <w:rPr>
                <w:rFonts w:cs="Arial"/>
                <w:sz w:val="20"/>
                <w:szCs w:val="20"/>
              </w:rPr>
              <w:t>$0.00</w:t>
            </w:r>
          </w:p>
        </w:tc>
      </w:tr>
      <w:tr w:rsidR="007340EF" w:rsidRPr="00B87F0A" w14:paraId="7A80923C" w14:textId="77777777" w:rsidTr="007340EF">
        <w:tc>
          <w:tcPr>
            <w:tcW w:w="1387" w:type="dxa"/>
            <w:vMerge/>
          </w:tcPr>
          <w:p w14:paraId="4F2A37EA" w14:textId="77777777" w:rsidR="007340EF" w:rsidRPr="007340EF" w:rsidRDefault="007340EF" w:rsidP="007340EF">
            <w:pPr>
              <w:spacing w:before="0" w:after="0"/>
              <w:rPr>
                <w:rFonts w:cs="Arial"/>
                <w:sz w:val="20"/>
                <w:szCs w:val="20"/>
              </w:rPr>
            </w:pPr>
          </w:p>
        </w:tc>
        <w:tc>
          <w:tcPr>
            <w:tcW w:w="1513" w:type="dxa"/>
            <w:vMerge/>
          </w:tcPr>
          <w:p w14:paraId="21AFE3FA" w14:textId="77777777" w:rsidR="007340EF" w:rsidRPr="007340EF" w:rsidRDefault="007340EF" w:rsidP="007340EF">
            <w:pPr>
              <w:spacing w:before="0" w:after="0"/>
              <w:rPr>
                <w:rFonts w:cs="Arial"/>
                <w:sz w:val="20"/>
                <w:szCs w:val="20"/>
              </w:rPr>
            </w:pPr>
          </w:p>
        </w:tc>
        <w:tc>
          <w:tcPr>
            <w:tcW w:w="1623" w:type="dxa"/>
          </w:tcPr>
          <w:p w14:paraId="73C9AABC" w14:textId="31770694" w:rsidR="007340EF" w:rsidRPr="007340EF" w:rsidRDefault="007340EF" w:rsidP="007340EF">
            <w:pPr>
              <w:spacing w:before="0" w:after="0"/>
              <w:rPr>
                <w:rFonts w:cs="Arial"/>
                <w:sz w:val="20"/>
                <w:szCs w:val="20"/>
              </w:rPr>
            </w:pPr>
            <w:r w:rsidRPr="007340EF">
              <w:rPr>
                <w:rFonts w:cs="Arial"/>
                <w:sz w:val="20"/>
                <w:szCs w:val="20"/>
              </w:rPr>
              <w:t>Sub-Acute</w:t>
            </w:r>
          </w:p>
        </w:tc>
        <w:tc>
          <w:tcPr>
            <w:tcW w:w="1623" w:type="dxa"/>
          </w:tcPr>
          <w:p w14:paraId="1AA7E1FD" w14:textId="3E441C21" w:rsidR="007340EF" w:rsidRPr="007340EF" w:rsidRDefault="007340EF" w:rsidP="00644EC4">
            <w:pPr>
              <w:spacing w:before="0" w:after="0"/>
              <w:jc w:val="right"/>
              <w:rPr>
                <w:rFonts w:cs="Arial"/>
                <w:sz w:val="20"/>
                <w:szCs w:val="20"/>
              </w:rPr>
            </w:pPr>
            <w:r w:rsidRPr="007340EF">
              <w:rPr>
                <w:rFonts w:cs="Arial"/>
                <w:sz w:val="20"/>
                <w:szCs w:val="20"/>
              </w:rPr>
              <w:t>$263,020.45</w:t>
            </w:r>
          </w:p>
        </w:tc>
        <w:tc>
          <w:tcPr>
            <w:tcW w:w="1623" w:type="dxa"/>
          </w:tcPr>
          <w:p w14:paraId="35956BC5" w14:textId="55F7F8F3" w:rsidR="007340EF" w:rsidRPr="007340EF" w:rsidRDefault="007340EF" w:rsidP="00644EC4">
            <w:pPr>
              <w:spacing w:before="0" w:after="0"/>
              <w:jc w:val="right"/>
              <w:rPr>
                <w:rFonts w:cs="Arial"/>
                <w:sz w:val="20"/>
                <w:szCs w:val="20"/>
              </w:rPr>
            </w:pPr>
            <w:r w:rsidRPr="007340EF">
              <w:rPr>
                <w:rFonts w:cs="Arial"/>
                <w:sz w:val="20"/>
                <w:szCs w:val="20"/>
              </w:rPr>
              <w:t>$263,020.45</w:t>
            </w:r>
          </w:p>
        </w:tc>
        <w:tc>
          <w:tcPr>
            <w:tcW w:w="1291" w:type="dxa"/>
          </w:tcPr>
          <w:p w14:paraId="40543BA2" w14:textId="25166FC0" w:rsidR="007340EF" w:rsidRPr="007340EF" w:rsidRDefault="007340EF" w:rsidP="00644EC4">
            <w:pPr>
              <w:spacing w:before="0" w:after="0"/>
              <w:jc w:val="right"/>
              <w:rPr>
                <w:rFonts w:cs="Arial"/>
                <w:sz w:val="20"/>
                <w:szCs w:val="20"/>
              </w:rPr>
            </w:pPr>
            <w:r w:rsidRPr="007340EF">
              <w:rPr>
                <w:rFonts w:cs="Arial"/>
                <w:sz w:val="20"/>
                <w:szCs w:val="20"/>
              </w:rPr>
              <w:t>$0.00</w:t>
            </w:r>
          </w:p>
        </w:tc>
      </w:tr>
      <w:tr w:rsidR="007340EF" w:rsidRPr="00B87F0A" w14:paraId="28E49568" w14:textId="77777777" w:rsidTr="007340EF">
        <w:tc>
          <w:tcPr>
            <w:tcW w:w="1387" w:type="dxa"/>
            <w:vMerge/>
          </w:tcPr>
          <w:p w14:paraId="7A3DF7CB" w14:textId="77777777" w:rsidR="007340EF" w:rsidRPr="007340EF" w:rsidRDefault="007340EF" w:rsidP="007340EF">
            <w:pPr>
              <w:spacing w:before="0" w:after="0"/>
              <w:rPr>
                <w:rFonts w:cs="Arial"/>
                <w:sz w:val="20"/>
                <w:szCs w:val="20"/>
              </w:rPr>
            </w:pPr>
          </w:p>
        </w:tc>
        <w:tc>
          <w:tcPr>
            <w:tcW w:w="1513" w:type="dxa"/>
            <w:vMerge/>
          </w:tcPr>
          <w:p w14:paraId="36581232" w14:textId="77777777" w:rsidR="007340EF" w:rsidRPr="007340EF" w:rsidRDefault="007340EF" w:rsidP="007340EF">
            <w:pPr>
              <w:spacing w:before="0" w:after="0"/>
              <w:rPr>
                <w:rFonts w:cs="Arial"/>
                <w:sz w:val="20"/>
                <w:szCs w:val="20"/>
              </w:rPr>
            </w:pPr>
          </w:p>
        </w:tc>
        <w:tc>
          <w:tcPr>
            <w:tcW w:w="1623" w:type="dxa"/>
          </w:tcPr>
          <w:p w14:paraId="6BBECDEC" w14:textId="6444817C" w:rsidR="007340EF" w:rsidRPr="007340EF" w:rsidRDefault="007340EF" w:rsidP="007340EF">
            <w:pPr>
              <w:spacing w:before="0" w:after="0"/>
              <w:rPr>
                <w:rFonts w:cs="Arial"/>
                <w:sz w:val="20"/>
                <w:szCs w:val="20"/>
              </w:rPr>
            </w:pPr>
            <w:r w:rsidRPr="007340EF">
              <w:rPr>
                <w:rFonts w:cs="Arial"/>
                <w:sz w:val="20"/>
                <w:szCs w:val="20"/>
              </w:rPr>
              <w:t>ED</w:t>
            </w:r>
          </w:p>
        </w:tc>
        <w:tc>
          <w:tcPr>
            <w:tcW w:w="1623" w:type="dxa"/>
          </w:tcPr>
          <w:p w14:paraId="11EEB4B3" w14:textId="33284F8F" w:rsidR="007340EF" w:rsidRPr="007340EF" w:rsidRDefault="007340EF" w:rsidP="00644EC4">
            <w:pPr>
              <w:spacing w:before="0" w:after="0"/>
              <w:jc w:val="right"/>
              <w:rPr>
                <w:rFonts w:cs="Arial"/>
                <w:sz w:val="20"/>
                <w:szCs w:val="20"/>
              </w:rPr>
            </w:pPr>
            <w:r w:rsidRPr="007340EF">
              <w:rPr>
                <w:rFonts w:cs="Arial"/>
                <w:sz w:val="20"/>
                <w:szCs w:val="20"/>
              </w:rPr>
              <w:t>$1,744.50</w:t>
            </w:r>
          </w:p>
        </w:tc>
        <w:tc>
          <w:tcPr>
            <w:tcW w:w="1623" w:type="dxa"/>
          </w:tcPr>
          <w:p w14:paraId="0D96E21D" w14:textId="2C80EECD" w:rsidR="007340EF" w:rsidRPr="007340EF" w:rsidRDefault="007340EF" w:rsidP="00644EC4">
            <w:pPr>
              <w:spacing w:before="0" w:after="0"/>
              <w:jc w:val="right"/>
              <w:rPr>
                <w:rFonts w:cs="Arial"/>
                <w:sz w:val="20"/>
                <w:szCs w:val="20"/>
              </w:rPr>
            </w:pPr>
            <w:r w:rsidRPr="007340EF">
              <w:rPr>
                <w:rFonts w:cs="Arial"/>
                <w:sz w:val="20"/>
                <w:szCs w:val="20"/>
              </w:rPr>
              <w:t>$1,744.50</w:t>
            </w:r>
          </w:p>
        </w:tc>
        <w:tc>
          <w:tcPr>
            <w:tcW w:w="1291" w:type="dxa"/>
          </w:tcPr>
          <w:p w14:paraId="706D3704" w14:textId="6955FDBF" w:rsidR="007340EF" w:rsidRPr="007340EF" w:rsidRDefault="007340EF" w:rsidP="00644EC4">
            <w:pPr>
              <w:spacing w:before="0" w:after="0"/>
              <w:jc w:val="right"/>
              <w:rPr>
                <w:rFonts w:cs="Arial"/>
                <w:sz w:val="20"/>
                <w:szCs w:val="20"/>
              </w:rPr>
            </w:pPr>
            <w:r w:rsidRPr="007340EF">
              <w:rPr>
                <w:rFonts w:cs="Arial"/>
                <w:sz w:val="20"/>
                <w:szCs w:val="20"/>
              </w:rPr>
              <w:t>$0.00</w:t>
            </w:r>
          </w:p>
        </w:tc>
      </w:tr>
      <w:tr w:rsidR="007340EF" w:rsidRPr="00B87F0A" w14:paraId="6CA594FC" w14:textId="77777777" w:rsidTr="007340EF">
        <w:tc>
          <w:tcPr>
            <w:tcW w:w="1387" w:type="dxa"/>
            <w:vMerge/>
          </w:tcPr>
          <w:p w14:paraId="2AED4DD0" w14:textId="77777777" w:rsidR="007340EF" w:rsidRPr="007340EF" w:rsidRDefault="007340EF" w:rsidP="007340EF">
            <w:pPr>
              <w:spacing w:before="0" w:after="0"/>
              <w:rPr>
                <w:rFonts w:cs="Arial"/>
                <w:sz w:val="20"/>
                <w:szCs w:val="20"/>
              </w:rPr>
            </w:pPr>
          </w:p>
        </w:tc>
        <w:tc>
          <w:tcPr>
            <w:tcW w:w="1513" w:type="dxa"/>
            <w:vMerge/>
          </w:tcPr>
          <w:p w14:paraId="6CCEED3E" w14:textId="77777777" w:rsidR="007340EF" w:rsidRPr="007340EF" w:rsidRDefault="007340EF" w:rsidP="007340EF">
            <w:pPr>
              <w:spacing w:before="0" w:after="0"/>
              <w:rPr>
                <w:rFonts w:cs="Arial"/>
                <w:sz w:val="20"/>
                <w:szCs w:val="20"/>
              </w:rPr>
            </w:pPr>
          </w:p>
        </w:tc>
        <w:tc>
          <w:tcPr>
            <w:tcW w:w="1623" w:type="dxa"/>
          </w:tcPr>
          <w:p w14:paraId="597044B4" w14:textId="2751844E" w:rsidR="007340EF" w:rsidRPr="007340EF" w:rsidRDefault="007340EF" w:rsidP="007340EF">
            <w:pPr>
              <w:spacing w:before="0" w:after="0"/>
              <w:rPr>
                <w:rFonts w:cs="Arial"/>
                <w:sz w:val="20"/>
                <w:szCs w:val="20"/>
              </w:rPr>
            </w:pPr>
            <w:r w:rsidRPr="007340EF">
              <w:rPr>
                <w:rFonts w:cs="Arial"/>
                <w:sz w:val="20"/>
                <w:szCs w:val="20"/>
              </w:rPr>
              <w:t>Non-Admitted</w:t>
            </w:r>
          </w:p>
        </w:tc>
        <w:tc>
          <w:tcPr>
            <w:tcW w:w="1623" w:type="dxa"/>
          </w:tcPr>
          <w:p w14:paraId="43089DDC" w14:textId="7D4D6871" w:rsidR="007340EF" w:rsidRPr="007340EF" w:rsidRDefault="007340EF" w:rsidP="00644EC4">
            <w:pPr>
              <w:spacing w:before="0" w:after="0"/>
              <w:jc w:val="right"/>
              <w:rPr>
                <w:rFonts w:cs="Arial"/>
                <w:sz w:val="20"/>
                <w:szCs w:val="20"/>
              </w:rPr>
            </w:pPr>
            <w:r w:rsidRPr="007340EF">
              <w:rPr>
                <w:rFonts w:cs="Arial"/>
                <w:sz w:val="20"/>
                <w:szCs w:val="20"/>
              </w:rPr>
              <w:t>$16.24</w:t>
            </w:r>
          </w:p>
        </w:tc>
        <w:tc>
          <w:tcPr>
            <w:tcW w:w="1623" w:type="dxa"/>
          </w:tcPr>
          <w:p w14:paraId="3C9CCD0D" w14:textId="1DACBB87" w:rsidR="007340EF" w:rsidRPr="007340EF" w:rsidRDefault="007340EF" w:rsidP="00644EC4">
            <w:pPr>
              <w:spacing w:before="0" w:after="0"/>
              <w:jc w:val="right"/>
              <w:rPr>
                <w:rFonts w:cs="Arial"/>
                <w:sz w:val="20"/>
                <w:szCs w:val="20"/>
              </w:rPr>
            </w:pPr>
            <w:r w:rsidRPr="007340EF">
              <w:rPr>
                <w:rFonts w:cs="Arial"/>
                <w:sz w:val="20"/>
                <w:szCs w:val="20"/>
              </w:rPr>
              <w:t>$16.24</w:t>
            </w:r>
          </w:p>
        </w:tc>
        <w:tc>
          <w:tcPr>
            <w:tcW w:w="1291" w:type="dxa"/>
          </w:tcPr>
          <w:p w14:paraId="6673342D" w14:textId="06A2E2EB" w:rsidR="007340EF" w:rsidRPr="007340EF" w:rsidRDefault="007340EF" w:rsidP="00644EC4">
            <w:pPr>
              <w:spacing w:before="0" w:after="0"/>
              <w:jc w:val="right"/>
              <w:rPr>
                <w:rFonts w:cs="Arial"/>
                <w:sz w:val="20"/>
                <w:szCs w:val="20"/>
              </w:rPr>
            </w:pPr>
            <w:r w:rsidRPr="007340EF">
              <w:rPr>
                <w:rFonts w:cs="Arial"/>
                <w:sz w:val="20"/>
                <w:szCs w:val="20"/>
              </w:rPr>
              <w:t>$0.00</w:t>
            </w:r>
          </w:p>
        </w:tc>
      </w:tr>
      <w:tr w:rsidR="007340EF" w:rsidRPr="00B87F0A" w14:paraId="3835E0DD" w14:textId="77777777" w:rsidTr="007340EF">
        <w:tc>
          <w:tcPr>
            <w:tcW w:w="1387" w:type="dxa"/>
            <w:vMerge/>
          </w:tcPr>
          <w:p w14:paraId="41D770AC" w14:textId="77777777" w:rsidR="007340EF" w:rsidRPr="007340EF" w:rsidRDefault="007340EF" w:rsidP="007340EF">
            <w:pPr>
              <w:spacing w:before="0" w:after="0"/>
              <w:rPr>
                <w:rFonts w:cs="Arial"/>
                <w:sz w:val="20"/>
                <w:szCs w:val="20"/>
              </w:rPr>
            </w:pPr>
          </w:p>
        </w:tc>
        <w:tc>
          <w:tcPr>
            <w:tcW w:w="1513" w:type="dxa"/>
            <w:vMerge/>
          </w:tcPr>
          <w:p w14:paraId="010A3EB8" w14:textId="77777777" w:rsidR="007340EF" w:rsidRPr="007340EF" w:rsidRDefault="007340EF" w:rsidP="007340EF">
            <w:pPr>
              <w:spacing w:before="0" w:after="0"/>
              <w:rPr>
                <w:rFonts w:cs="Arial"/>
                <w:sz w:val="20"/>
                <w:szCs w:val="20"/>
              </w:rPr>
            </w:pPr>
          </w:p>
        </w:tc>
        <w:tc>
          <w:tcPr>
            <w:tcW w:w="1623" w:type="dxa"/>
          </w:tcPr>
          <w:p w14:paraId="0114D038" w14:textId="0600568E" w:rsidR="007340EF" w:rsidRPr="007340EF" w:rsidRDefault="007340EF" w:rsidP="007340EF">
            <w:pPr>
              <w:spacing w:before="0" w:after="0"/>
              <w:rPr>
                <w:rFonts w:cs="Arial"/>
                <w:sz w:val="20"/>
                <w:szCs w:val="20"/>
              </w:rPr>
            </w:pPr>
            <w:r w:rsidRPr="007340EF">
              <w:rPr>
                <w:rFonts w:cs="Arial"/>
                <w:sz w:val="20"/>
                <w:szCs w:val="20"/>
              </w:rPr>
              <w:t>Mental Health</w:t>
            </w:r>
          </w:p>
        </w:tc>
        <w:tc>
          <w:tcPr>
            <w:tcW w:w="1623" w:type="dxa"/>
          </w:tcPr>
          <w:p w14:paraId="1684B0BD" w14:textId="56053803" w:rsidR="007340EF" w:rsidRPr="007340EF" w:rsidRDefault="007340EF" w:rsidP="00644EC4">
            <w:pPr>
              <w:spacing w:before="0" w:after="0"/>
              <w:jc w:val="right"/>
              <w:rPr>
                <w:rFonts w:cs="Arial"/>
                <w:sz w:val="20"/>
                <w:szCs w:val="20"/>
              </w:rPr>
            </w:pPr>
            <w:r w:rsidRPr="007340EF">
              <w:rPr>
                <w:rFonts w:cs="Arial"/>
                <w:sz w:val="20"/>
                <w:szCs w:val="20"/>
              </w:rPr>
              <w:t>$9,384.83</w:t>
            </w:r>
          </w:p>
        </w:tc>
        <w:tc>
          <w:tcPr>
            <w:tcW w:w="1623" w:type="dxa"/>
          </w:tcPr>
          <w:p w14:paraId="7B7D1111" w14:textId="2142AE4C" w:rsidR="007340EF" w:rsidRPr="007340EF" w:rsidRDefault="007340EF" w:rsidP="00644EC4">
            <w:pPr>
              <w:spacing w:before="0" w:after="0"/>
              <w:jc w:val="right"/>
              <w:rPr>
                <w:rFonts w:cs="Arial"/>
                <w:sz w:val="20"/>
                <w:szCs w:val="20"/>
              </w:rPr>
            </w:pPr>
            <w:r w:rsidRPr="007340EF">
              <w:rPr>
                <w:rFonts w:cs="Arial"/>
                <w:sz w:val="20"/>
                <w:szCs w:val="20"/>
              </w:rPr>
              <w:t>$9,384.83</w:t>
            </w:r>
          </w:p>
        </w:tc>
        <w:tc>
          <w:tcPr>
            <w:tcW w:w="1291" w:type="dxa"/>
          </w:tcPr>
          <w:p w14:paraId="0804B8E5" w14:textId="16255FF8" w:rsidR="007340EF" w:rsidRPr="007340EF" w:rsidRDefault="007340EF" w:rsidP="00644EC4">
            <w:pPr>
              <w:spacing w:before="0" w:after="0"/>
              <w:jc w:val="right"/>
              <w:rPr>
                <w:rFonts w:cs="Arial"/>
                <w:sz w:val="20"/>
                <w:szCs w:val="20"/>
              </w:rPr>
            </w:pPr>
            <w:r w:rsidRPr="007340EF">
              <w:rPr>
                <w:rFonts w:cs="Arial"/>
                <w:sz w:val="20"/>
                <w:szCs w:val="20"/>
              </w:rPr>
              <w:t>$0.00</w:t>
            </w:r>
          </w:p>
        </w:tc>
      </w:tr>
    </w:tbl>
    <w:p w14:paraId="50D2600F" w14:textId="77777777" w:rsidR="00DD3DB5" w:rsidRPr="00630A55" w:rsidRDefault="00DD3DB5" w:rsidP="00DD3DB5">
      <w:pPr>
        <w:pStyle w:val="Source"/>
      </w:pPr>
      <w:r w:rsidRPr="00630A55">
        <w:t xml:space="preserve">Source: Jurisdictional consultations and </w:t>
      </w:r>
      <w:r>
        <w:t>templates</w:t>
      </w:r>
    </w:p>
    <w:p w14:paraId="549F3E15" w14:textId="7460327B" w:rsidR="000242AC" w:rsidRPr="00630A55" w:rsidRDefault="000242AC" w:rsidP="0008151F">
      <w:pPr>
        <w:pStyle w:val="Heading3"/>
        <w:rPr>
          <w:rFonts w:ascii="Univers 45 Light" w:hAnsi="Univers 45 Light"/>
          <w:b w:val="0"/>
          <w:color w:val="4FC3FF" w:themeColor="accent2" w:themeTint="99"/>
          <w:szCs w:val="20"/>
        </w:rPr>
      </w:pPr>
      <w:r w:rsidRPr="00630A55">
        <w:t>Governance arrangements</w:t>
      </w:r>
    </w:p>
    <w:p w14:paraId="7C1D8996" w14:textId="75DCBC30" w:rsidR="000242AC" w:rsidRPr="00630A55" w:rsidRDefault="000242AC" w:rsidP="00593F15">
      <w:pPr>
        <w:jc w:val="both"/>
      </w:pPr>
      <w:r w:rsidRPr="00630A55">
        <w:t>QA processes are conducted on a monthly and yearly</w:t>
      </w:r>
      <w:r w:rsidR="00E111CC">
        <w:t xml:space="preserve"> basis</w:t>
      </w:r>
      <w:r w:rsidRPr="00630A55">
        <w:t xml:space="preserve">, to monitor for missing, incomplete or inaccurate data and also highlight potential areas for further analysis (e.g. large variances to average length of stay or cost anomalies). At present, there are no automated processes or data algorithms available to validate and QA check the data. </w:t>
      </w:r>
    </w:p>
    <w:p w14:paraId="2E5071F6" w14:textId="779F5B2C" w:rsidR="007340EF" w:rsidRDefault="000242AC" w:rsidP="00593F15">
      <w:pPr>
        <w:jc w:val="both"/>
      </w:pPr>
      <w:r w:rsidRPr="00630A55">
        <w:t xml:space="preserve">The </w:t>
      </w:r>
      <w:r w:rsidR="00494EEF">
        <w:t>CFO</w:t>
      </w:r>
      <w:r w:rsidRPr="00630A55">
        <w:t xml:space="preserve"> of each of the HSPs signs off the data prior to submission to DoH</w:t>
      </w:r>
      <w:r w:rsidR="00753636">
        <w:t>WA</w:t>
      </w:r>
      <w:r w:rsidRPr="00630A55">
        <w:t>, whereupon the Director General of DoH</w:t>
      </w:r>
      <w:r w:rsidR="00753636">
        <w:t>WA</w:t>
      </w:r>
      <w:r w:rsidRPr="00630A55">
        <w:t xml:space="preserve"> reviews and signs off on the final data submission to IHACPA. </w:t>
      </w:r>
      <w:r w:rsidR="008D6443">
        <w:fldChar w:fldCharType="begin"/>
      </w:r>
      <w:r w:rsidR="008D6443">
        <w:instrText xml:space="preserve"> REF _Ref114757569 \h </w:instrText>
      </w:r>
      <w:r w:rsidR="00593F15">
        <w:instrText xml:space="preserve"> \* MERGEFORMAT </w:instrText>
      </w:r>
      <w:r w:rsidR="008D6443">
        <w:fldChar w:fldCharType="separate"/>
      </w:r>
      <w:r w:rsidR="007E2ACB" w:rsidRPr="007E2ACB">
        <w:t xml:space="preserve">Table </w:t>
      </w:r>
      <w:r w:rsidR="007E2ACB" w:rsidRPr="007E2ACB">
        <w:rPr>
          <w:noProof/>
        </w:rPr>
        <w:t>34</w:t>
      </w:r>
      <w:r w:rsidR="008D6443">
        <w:fldChar w:fldCharType="end"/>
      </w:r>
      <w:r>
        <w:t xml:space="preserve"> </w:t>
      </w:r>
      <w:r w:rsidRPr="00630A55">
        <w:t>summarises the QA checks performed by DoH</w:t>
      </w:r>
      <w:r w:rsidR="00753636">
        <w:t>WA</w:t>
      </w:r>
      <w:r w:rsidRPr="00630A55">
        <w:t xml:space="preserve"> and the HSPs.</w:t>
      </w:r>
    </w:p>
    <w:p w14:paraId="14343728" w14:textId="7573FE02" w:rsidR="000242AC" w:rsidRPr="00630A55" w:rsidRDefault="007340EF" w:rsidP="008D6443">
      <w:pPr>
        <w:spacing w:before="0" w:after="160" w:line="259" w:lineRule="auto"/>
      </w:pPr>
      <w:r>
        <w:br w:type="page"/>
      </w:r>
    </w:p>
    <w:p w14:paraId="3234B028" w14:textId="05E634DE" w:rsidR="000242AC" w:rsidRPr="00630A55" w:rsidRDefault="008D6443" w:rsidP="008D6443">
      <w:pPr>
        <w:pStyle w:val="Caption"/>
      </w:pPr>
      <w:bookmarkStart w:id="82" w:name="_Ref114757569"/>
      <w:r w:rsidRPr="00A8310C">
        <w:rPr>
          <w:b/>
          <w:bCs/>
        </w:rPr>
        <w:lastRenderedPageBreak/>
        <w:t xml:space="preserve">Table </w:t>
      </w:r>
      <w:r w:rsidR="00D91CB1" w:rsidRPr="00A8310C">
        <w:rPr>
          <w:b/>
          <w:bCs/>
        </w:rPr>
        <w:fldChar w:fldCharType="begin"/>
      </w:r>
      <w:r w:rsidR="00D91CB1" w:rsidRPr="00A8310C">
        <w:rPr>
          <w:b/>
          <w:bCs/>
        </w:rPr>
        <w:instrText xml:space="preserve"> SEQ Table \* ARABIC </w:instrText>
      </w:r>
      <w:r w:rsidR="00D91CB1" w:rsidRPr="00A8310C">
        <w:rPr>
          <w:b/>
          <w:bCs/>
        </w:rPr>
        <w:fldChar w:fldCharType="separate"/>
      </w:r>
      <w:r w:rsidR="007E2ACB">
        <w:rPr>
          <w:b/>
          <w:bCs/>
          <w:noProof/>
        </w:rPr>
        <w:t>34</w:t>
      </w:r>
      <w:r w:rsidR="00D91CB1" w:rsidRPr="00A8310C">
        <w:rPr>
          <w:b/>
          <w:bCs/>
          <w:noProof/>
        </w:rPr>
        <w:fldChar w:fldCharType="end"/>
      </w:r>
      <w:bookmarkEnd w:id="82"/>
      <w:r w:rsidRPr="00A8310C">
        <w:rPr>
          <w:b/>
          <w:bCs/>
        </w:rPr>
        <w:t>:</w:t>
      </w:r>
      <w:r w:rsidR="000242AC">
        <w:t xml:space="preserve"> </w:t>
      </w:r>
      <w:r w:rsidR="000242AC" w:rsidRPr="00630A55">
        <w:t xml:space="preserve">Summary of </w:t>
      </w:r>
      <w:r w:rsidR="00E30163">
        <w:t>quality assurance (</w:t>
      </w:r>
      <w:r w:rsidR="000242AC" w:rsidRPr="00630A55">
        <w:t>QA</w:t>
      </w:r>
      <w:r w:rsidR="00E30163">
        <w:t>)</w:t>
      </w:r>
      <w:r w:rsidR="000242AC" w:rsidRPr="00630A55">
        <w:t xml:space="preserve"> checks performed – Western Australia</w:t>
      </w:r>
    </w:p>
    <w:tbl>
      <w:tblPr>
        <w:tblW w:w="9050" w:type="dxa"/>
        <w:tblCellMar>
          <w:top w:w="28" w:type="dxa"/>
          <w:left w:w="28" w:type="dxa"/>
          <w:bottom w:w="28" w:type="dxa"/>
          <w:right w:w="28" w:type="dxa"/>
        </w:tblCellMar>
        <w:tblLook w:val="04A0" w:firstRow="1" w:lastRow="0" w:firstColumn="1" w:lastColumn="0" w:noHBand="0" w:noVBand="1"/>
      </w:tblPr>
      <w:tblGrid>
        <w:gridCol w:w="2768"/>
        <w:gridCol w:w="1475"/>
        <w:gridCol w:w="1701"/>
        <w:gridCol w:w="1635"/>
        <w:gridCol w:w="1471"/>
      </w:tblGrid>
      <w:tr w:rsidR="000242AC" w:rsidRPr="00630A55" w14:paraId="0AFB13EE" w14:textId="77777777" w:rsidTr="001C04DE">
        <w:trPr>
          <w:trHeight w:val="280"/>
          <w:tblHeader/>
        </w:trPr>
        <w:tc>
          <w:tcPr>
            <w:tcW w:w="2768" w:type="dxa"/>
            <w:tcBorders>
              <w:top w:val="single" w:sz="8" w:space="0" w:color="auto"/>
              <w:left w:val="single" w:sz="8" w:space="0" w:color="auto"/>
              <w:bottom w:val="single" w:sz="8" w:space="0" w:color="auto"/>
              <w:right w:val="single" w:sz="8" w:space="0" w:color="auto"/>
            </w:tcBorders>
            <w:shd w:val="clear" w:color="auto" w:fill="00338D"/>
            <w:tcMar>
              <w:top w:w="0" w:type="dxa"/>
              <w:left w:w="108" w:type="dxa"/>
              <w:bottom w:w="0" w:type="dxa"/>
              <w:right w:w="108" w:type="dxa"/>
            </w:tcMar>
            <w:hideMark/>
          </w:tcPr>
          <w:p w14:paraId="2A56B1F8" w14:textId="77777777" w:rsidR="000242AC" w:rsidRPr="00630A55" w:rsidRDefault="000242AC" w:rsidP="001C04DE">
            <w:pPr>
              <w:pStyle w:val="Tableheading"/>
              <w:spacing w:before="0" w:after="0"/>
              <w:rPr>
                <w:rFonts w:ascii="Univers 45 Light" w:hAnsi="Univers 45 Light"/>
              </w:rPr>
            </w:pPr>
            <w:r w:rsidRPr="00630A55">
              <w:rPr>
                <w:rFonts w:ascii="Univers 45 Light" w:hAnsi="Univers 45 Light"/>
              </w:rPr>
              <w:t>QA Test</w:t>
            </w:r>
          </w:p>
        </w:tc>
        <w:tc>
          <w:tcPr>
            <w:tcW w:w="1475" w:type="dxa"/>
            <w:tcBorders>
              <w:top w:val="single" w:sz="8" w:space="0" w:color="auto"/>
              <w:left w:val="nil"/>
              <w:bottom w:val="single" w:sz="8" w:space="0" w:color="auto"/>
              <w:right w:val="single" w:sz="8" w:space="0" w:color="auto"/>
            </w:tcBorders>
            <w:shd w:val="clear" w:color="auto" w:fill="00338D"/>
            <w:tcMar>
              <w:top w:w="0" w:type="dxa"/>
              <w:left w:w="108" w:type="dxa"/>
              <w:bottom w:w="0" w:type="dxa"/>
              <w:right w:w="108" w:type="dxa"/>
            </w:tcMar>
            <w:hideMark/>
          </w:tcPr>
          <w:p w14:paraId="5AF63CDA" w14:textId="775D1B2B" w:rsidR="000242AC" w:rsidRPr="00630A55" w:rsidRDefault="000242AC" w:rsidP="001C04DE">
            <w:pPr>
              <w:pStyle w:val="Tableheading"/>
              <w:spacing w:before="0" w:after="0"/>
              <w:rPr>
                <w:rFonts w:ascii="Univers 45 Light" w:hAnsi="Univers 45 Light"/>
              </w:rPr>
            </w:pPr>
            <w:r w:rsidRPr="00630A55">
              <w:rPr>
                <w:rFonts w:ascii="Univers 45 Light" w:hAnsi="Univers 45 Light"/>
              </w:rPr>
              <w:t>DoH</w:t>
            </w:r>
            <w:r w:rsidR="0009699A">
              <w:rPr>
                <w:rFonts w:ascii="Univers 45 Light" w:hAnsi="Univers 45 Light"/>
              </w:rPr>
              <w:t>WA</w:t>
            </w:r>
          </w:p>
        </w:tc>
        <w:tc>
          <w:tcPr>
            <w:tcW w:w="1701" w:type="dxa"/>
            <w:tcBorders>
              <w:top w:val="single" w:sz="8" w:space="0" w:color="auto"/>
              <w:left w:val="nil"/>
              <w:bottom w:val="single" w:sz="8" w:space="0" w:color="auto"/>
              <w:right w:val="single" w:sz="8" w:space="0" w:color="auto"/>
            </w:tcBorders>
            <w:shd w:val="clear" w:color="auto" w:fill="00338D"/>
            <w:tcMar>
              <w:top w:w="0" w:type="dxa"/>
              <w:left w:w="108" w:type="dxa"/>
              <w:bottom w:w="0" w:type="dxa"/>
              <w:right w:w="108" w:type="dxa"/>
            </w:tcMar>
            <w:hideMark/>
          </w:tcPr>
          <w:p w14:paraId="33895528" w14:textId="77777777" w:rsidR="000242AC" w:rsidRPr="00630A55" w:rsidRDefault="000242AC" w:rsidP="001C04DE">
            <w:pPr>
              <w:pStyle w:val="Tableheading"/>
              <w:spacing w:before="0" w:after="0"/>
              <w:rPr>
                <w:rFonts w:ascii="Univers 45 Light" w:hAnsi="Univers 45 Light"/>
              </w:rPr>
            </w:pPr>
            <w:r w:rsidRPr="00630A55">
              <w:rPr>
                <w:rFonts w:ascii="Univers 45 Light" w:hAnsi="Univers 45 Light"/>
              </w:rPr>
              <w:t>Royal Perth Hospital</w:t>
            </w:r>
          </w:p>
        </w:tc>
        <w:tc>
          <w:tcPr>
            <w:tcW w:w="1635" w:type="dxa"/>
            <w:tcBorders>
              <w:top w:val="single" w:sz="8" w:space="0" w:color="auto"/>
              <w:left w:val="nil"/>
              <w:bottom w:val="single" w:sz="8" w:space="0" w:color="auto"/>
              <w:right w:val="single" w:sz="8" w:space="0" w:color="auto"/>
            </w:tcBorders>
            <w:shd w:val="clear" w:color="auto" w:fill="00338D"/>
          </w:tcPr>
          <w:p w14:paraId="3694B0D4" w14:textId="77777777" w:rsidR="000242AC" w:rsidRPr="00630A55" w:rsidRDefault="000242AC" w:rsidP="001C04DE">
            <w:pPr>
              <w:pStyle w:val="Tableheading"/>
              <w:spacing w:before="0" w:after="0"/>
              <w:rPr>
                <w:rFonts w:ascii="Univers 45 Light" w:hAnsi="Univers 45 Light"/>
              </w:rPr>
            </w:pPr>
            <w:r w:rsidRPr="00630A55">
              <w:rPr>
                <w:rFonts w:ascii="Univers 45 Light" w:hAnsi="Univers 45 Light"/>
              </w:rPr>
              <w:t>Perth Children’s Hospital</w:t>
            </w:r>
          </w:p>
        </w:tc>
        <w:tc>
          <w:tcPr>
            <w:tcW w:w="1471" w:type="dxa"/>
            <w:tcBorders>
              <w:top w:val="single" w:sz="8" w:space="0" w:color="auto"/>
              <w:left w:val="nil"/>
              <w:bottom w:val="single" w:sz="8" w:space="0" w:color="auto"/>
              <w:right w:val="single" w:sz="8" w:space="0" w:color="auto"/>
            </w:tcBorders>
            <w:shd w:val="clear" w:color="auto" w:fill="00338D"/>
          </w:tcPr>
          <w:p w14:paraId="015091EE" w14:textId="77777777" w:rsidR="000242AC" w:rsidRPr="00630A55" w:rsidRDefault="000242AC" w:rsidP="001C04DE">
            <w:pPr>
              <w:pStyle w:val="Tableheading"/>
              <w:spacing w:before="0" w:after="0"/>
              <w:rPr>
                <w:rFonts w:ascii="Univers 45 Light" w:hAnsi="Univers 45 Light"/>
              </w:rPr>
            </w:pPr>
            <w:r w:rsidRPr="00630A55">
              <w:rPr>
                <w:rFonts w:ascii="Univers 45 Light" w:hAnsi="Univers 45 Light"/>
              </w:rPr>
              <w:t>Albany Hospital</w:t>
            </w:r>
          </w:p>
        </w:tc>
      </w:tr>
      <w:tr w:rsidR="000242AC" w:rsidRPr="00630A55" w14:paraId="294DAF12" w14:textId="77777777" w:rsidTr="00A92341">
        <w:trPr>
          <w:trHeight w:val="263"/>
        </w:trPr>
        <w:tc>
          <w:tcPr>
            <w:tcW w:w="5944" w:type="dxa"/>
            <w:gridSpan w:val="3"/>
            <w:tcBorders>
              <w:top w:val="nil"/>
              <w:left w:val="single" w:sz="8" w:space="0" w:color="auto"/>
              <w:bottom w:val="single" w:sz="8" w:space="0" w:color="auto"/>
              <w:right w:val="single" w:sz="8" w:space="0" w:color="auto"/>
            </w:tcBorders>
            <w:shd w:val="clear" w:color="auto" w:fill="808080"/>
            <w:tcMar>
              <w:top w:w="0" w:type="dxa"/>
              <w:left w:w="108" w:type="dxa"/>
              <w:bottom w:w="0" w:type="dxa"/>
              <w:right w:w="108" w:type="dxa"/>
            </w:tcMar>
            <w:vAlign w:val="center"/>
            <w:hideMark/>
          </w:tcPr>
          <w:p w14:paraId="5D385B57" w14:textId="77777777" w:rsidR="000242AC" w:rsidRPr="00630A55" w:rsidRDefault="000242AC" w:rsidP="00A92341">
            <w:pPr>
              <w:pStyle w:val="Tableheading"/>
              <w:rPr>
                <w:rFonts w:ascii="Univers 45 Light" w:hAnsi="Univers 45 Light"/>
              </w:rPr>
            </w:pPr>
            <w:r w:rsidRPr="00467F5A">
              <w:rPr>
                <w:rFonts w:ascii="Univers 45 Light" w:hAnsi="Univers 45 Light"/>
                <w:color w:val="000000" w:themeColor="text1"/>
              </w:rPr>
              <w:t>Source data and systems</w:t>
            </w:r>
          </w:p>
        </w:tc>
        <w:tc>
          <w:tcPr>
            <w:tcW w:w="1635" w:type="dxa"/>
            <w:tcBorders>
              <w:top w:val="nil"/>
              <w:left w:val="single" w:sz="8" w:space="0" w:color="auto"/>
              <w:bottom w:val="single" w:sz="8" w:space="0" w:color="auto"/>
              <w:right w:val="single" w:sz="8" w:space="0" w:color="auto"/>
            </w:tcBorders>
            <w:shd w:val="clear" w:color="auto" w:fill="808080"/>
            <w:vAlign w:val="center"/>
          </w:tcPr>
          <w:p w14:paraId="561501B1" w14:textId="77777777" w:rsidR="000242AC" w:rsidRPr="00630A55" w:rsidRDefault="000242AC" w:rsidP="00A92341">
            <w:pPr>
              <w:pStyle w:val="Tableheading"/>
              <w:rPr>
                <w:rFonts w:ascii="Univers 45 Light" w:hAnsi="Univers 45 Light"/>
              </w:rPr>
            </w:pPr>
          </w:p>
        </w:tc>
        <w:tc>
          <w:tcPr>
            <w:tcW w:w="1471" w:type="dxa"/>
            <w:tcBorders>
              <w:top w:val="nil"/>
              <w:left w:val="single" w:sz="8" w:space="0" w:color="auto"/>
              <w:bottom w:val="single" w:sz="8" w:space="0" w:color="auto"/>
              <w:right w:val="single" w:sz="8" w:space="0" w:color="auto"/>
            </w:tcBorders>
            <w:shd w:val="clear" w:color="auto" w:fill="808080"/>
            <w:vAlign w:val="center"/>
          </w:tcPr>
          <w:p w14:paraId="7EEEC6CD" w14:textId="77777777" w:rsidR="000242AC" w:rsidRPr="00630A55" w:rsidRDefault="000242AC" w:rsidP="00A92341">
            <w:pPr>
              <w:pStyle w:val="Tableheading"/>
              <w:rPr>
                <w:rFonts w:ascii="Univers 45 Light" w:hAnsi="Univers 45 Light"/>
              </w:rPr>
            </w:pPr>
          </w:p>
        </w:tc>
      </w:tr>
      <w:tr w:rsidR="000242AC" w:rsidRPr="00630A55" w14:paraId="61303358" w14:textId="77777777" w:rsidTr="0009699A">
        <w:trPr>
          <w:trHeight w:val="543"/>
        </w:trPr>
        <w:tc>
          <w:tcPr>
            <w:tcW w:w="27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41FE1D" w14:textId="77777777" w:rsidR="000242AC" w:rsidRPr="00B16266" w:rsidRDefault="000242AC" w:rsidP="009527C7">
            <w:pPr>
              <w:pStyle w:val="Tabletext"/>
            </w:pPr>
            <w:r w:rsidRPr="00B16266">
              <w:t>Reconciliation back to GL and audited statements</w:t>
            </w:r>
          </w:p>
        </w:tc>
        <w:tc>
          <w:tcPr>
            <w:tcW w:w="1475" w:type="dxa"/>
            <w:tcBorders>
              <w:top w:val="nil"/>
              <w:left w:val="nil"/>
              <w:bottom w:val="single" w:sz="8" w:space="0" w:color="auto"/>
              <w:right w:val="single" w:sz="8" w:space="0" w:color="auto"/>
            </w:tcBorders>
            <w:tcMar>
              <w:top w:w="0" w:type="dxa"/>
              <w:left w:w="108" w:type="dxa"/>
              <w:bottom w:w="0" w:type="dxa"/>
              <w:right w:w="108" w:type="dxa"/>
            </w:tcMar>
          </w:tcPr>
          <w:p w14:paraId="12BE5755" w14:textId="77777777" w:rsidR="000242AC" w:rsidRPr="00B16266" w:rsidRDefault="000242AC" w:rsidP="0009699A">
            <w:pPr>
              <w:pStyle w:val="Tabletext"/>
            </w:pPr>
            <w:r>
              <w:t>Annual reconciliation and checks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B292595" w14:textId="77777777" w:rsidR="000242AC" w:rsidRPr="00B16266" w:rsidRDefault="000242AC" w:rsidP="0009699A">
            <w:pPr>
              <w:pStyle w:val="Tabletext"/>
            </w:pPr>
            <w:r>
              <w:t>Annual reconciliation</w:t>
            </w:r>
          </w:p>
        </w:tc>
        <w:tc>
          <w:tcPr>
            <w:tcW w:w="1635" w:type="dxa"/>
            <w:tcBorders>
              <w:top w:val="nil"/>
              <w:left w:val="nil"/>
              <w:bottom w:val="single" w:sz="8" w:space="0" w:color="auto"/>
              <w:right w:val="single" w:sz="8" w:space="0" w:color="auto"/>
            </w:tcBorders>
          </w:tcPr>
          <w:p w14:paraId="64938677" w14:textId="77777777" w:rsidR="000242AC" w:rsidRPr="00B16266" w:rsidRDefault="000242AC" w:rsidP="0009699A">
            <w:pPr>
              <w:pStyle w:val="Tabletext"/>
            </w:pPr>
            <w:r>
              <w:t>Annual reconciliation</w:t>
            </w:r>
          </w:p>
        </w:tc>
        <w:tc>
          <w:tcPr>
            <w:tcW w:w="1471" w:type="dxa"/>
            <w:tcBorders>
              <w:top w:val="nil"/>
              <w:left w:val="nil"/>
              <w:bottom w:val="single" w:sz="8" w:space="0" w:color="auto"/>
              <w:right w:val="single" w:sz="8" w:space="0" w:color="auto"/>
            </w:tcBorders>
          </w:tcPr>
          <w:p w14:paraId="0A9A6C0F" w14:textId="77777777" w:rsidR="000242AC" w:rsidRPr="00B16266" w:rsidRDefault="000242AC" w:rsidP="0009699A">
            <w:pPr>
              <w:pStyle w:val="Tabletext"/>
            </w:pPr>
            <w:r>
              <w:t>Annual reconciliation</w:t>
            </w:r>
          </w:p>
        </w:tc>
      </w:tr>
      <w:tr w:rsidR="000242AC" w:rsidRPr="00630A55" w14:paraId="6A973651" w14:textId="77777777" w:rsidTr="0009699A">
        <w:trPr>
          <w:trHeight w:val="543"/>
        </w:trPr>
        <w:tc>
          <w:tcPr>
            <w:tcW w:w="27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12EA424" w14:textId="77777777" w:rsidR="000242AC" w:rsidRPr="00B16266" w:rsidRDefault="000242AC" w:rsidP="009527C7">
            <w:pPr>
              <w:pStyle w:val="Tabletext"/>
            </w:pPr>
            <w:r w:rsidRPr="00B16266">
              <w:t>Reconciliation of activity data back to source systems</w:t>
            </w:r>
          </w:p>
        </w:tc>
        <w:tc>
          <w:tcPr>
            <w:tcW w:w="1475" w:type="dxa"/>
            <w:tcBorders>
              <w:top w:val="nil"/>
              <w:left w:val="nil"/>
              <w:bottom w:val="single" w:sz="8" w:space="0" w:color="auto"/>
              <w:right w:val="single" w:sz="8" w:space="0" w:color="auto"/>
            </w:tcBorders>
            <w:tcMar>
              <w:top w:w="0" w:type="dxa"/>
              <w:left w:w="108" w:type="dxa"/>
              <w:bottom w:w="0" w:type="dxa"/>
              <w:right w:w="108" w:type="dxa"/>
            </w:tcMar>
          </w:tcPr>
          <w:p w14:paraId="455BC581" w14:textId="77777777" w:rsidR="000242AC" w:rsidRPr="00B16266" w:rsidRDefault="000242AC" w:rsidP="0009699A">
            <w:pPr>
              <w:pStyle w:val="Tabletext"/>
            </w:pPr>
            <w:r>
              <w:t>N/A</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6CB4CA31" w14:textId="77777777" w:rsidR="000242AC" w:rsidRPr="00B16266" w:rsidRDefault="000242AC" w:rsidP="0009699A">
            <w:pPr>
              <w:pStyle w:val="Tabletext"/>
            </w:pPr>
            <w:r>
              <w:t>Conducted by Health Support Services (HSS)</w:t>
            </w:r>
          </w:p>
        </w:tc>
        <w:tc>
          <w:tcPr>
            <w:tcW w:w="1635" w:type="dxa"/>
            <w:tcBorders>
              <w:top w:val="nil"/>
              <w:left w:val="nil"/>
              <w:bottom w:val="single" w:sz="8" w:space="0" w:color="auto"/>
              <w:right w:val="single" w:sz="8" w:space="0" w:color="auto"/>
            </w:tcBorders>
          </w:tcPr>
          <w:p w14:paraId="6EBD9BF4" w14:textId="77777777" w:rsidR="000242AC" w:rsidRPr="00B16266" w:rsidRDefault="000242AC" w:rsidP="0009699A">
            <w:pPr>
              <w:pStyle w:val="Tabletext"/>
            </w:pPr>
            <w:r>
              <w:t>Conducted by HSS</w:t>
            </w:r>
          </w:p>
        </w:tc>
        <w:tc>
          <w:tcPr>
            <w:tcW w:w="1471" w:type="dxa"/>
            <w:tcBorders>
              <w:top w:val="nil"/>
              <w:left w:val="nil"/>
              <w:bottom w:val="single" w:sz="8" w:space="0" w:color="auto"/>
              <w:right w:val="single" w:sz="8" w:space="0" w:color="auto"/>
            </w:tcBorders>
          </w:tcPr>
          <w:p w14:paraId="7B14DE0B" w14:textId="77777777" w:rsidR="000242AC" w:rsidRPr="00B16266" w:rsidRDefault="000242AC" w:rsidP="0009699A">
            <w:pPr>
              <w:pStyle w:val="Tabletext"/>
            </w:pPr>
            <w:r>
              <w:t>Conducted by HSS</w:t>
            </w:r>
          </w:p>
        </w:tc>
      </w:tr>
      <w:tr w:rsidR="000242AC" w:rsidRPr="00630A55" w14:paraId="6138B1CA" w14:textId="77777777" w:rsidTr="0009699A">
        <w:trPr>
          <w:trHeight w:val="280"/>
        </w:trPr>
        <w:tc>
          <w:tcPr>
            <w:tcW w:w="5944" w:type="dxa"/>
            <w:gridSpan w:val="3"/>
            <w:tcBorders>
              <w:top w:val="nil"/>
              <w:left w:val="single" w:sz="8" w:space="0" w:color="auto"/>
              <w:bottom w:val="single" w:sz="8" w:space="0" w:color="auto"/>
              <w:right w:val="single" w:sz="8" w:space="0" w:color="auto"/>
            </w:tcBorders>
            <w:shd w:val="clear" w:color="auto" w:fill="808080"/>
            <w:tcMar>
              <w:top w:w="0" w:type="dxa"/>
              <w:left w:w="108" w:type="dxa"/>
              <w:bottom w:w="0" w:type="dxa"/>
              <w:right w:w="108" w:type="dxa"/>
            </w:tcMar>
            <w:hideMark/>
          </w:tcPr>
          <w:p w14:paraId="460BB80A" w14:textId="2DEC8E8F" w:rsidR="000242AC" w:rsidRPr="00630A55" w:rsidRDefault="000242AC" w:rsidP="0009699A">
            <w:pPr>
              <w:pStyle w:val="Tableheading"/>
              <w:rPr>
                <w:rFonts w:ascii="Univers 45 Light" w:hAnsi="Univers 45 Light"/>
              </w:rPr>
            </w:pPr>
            <w:r w:rsidRPr="00467F5A">
              <w:rPr>
                <w:rFonts w:ascii="Univers 45 Light" w:hAnsi="Univers 45 Light"/>
                <w:color w:val="000000" w:themeColor="text1"/>
              </w:rPr>
              <w:t xml:space="preserve">Costing </w:t>
            </w:r>
            <w:r w:rsidR="009749E1">
              <w:rPr>
                <w:rFonts w:ascii="Univers 45 Light" w:hAnsi="Univers 45 Light"/>
                <w:color w:val="000000" w:themeColor="text1"/>
              </w:rPr>
              <w:t>d</w:t>
            </w:r>
            <w:r w:rsidRPr="00467F5A">
              <w:rPr>
                <w:rFonts w:ascii="Univers 45 Light" w:hAnsi="Univers 45 Light"/>
                <w:color w:val="000000" w:themeColor="text1"/>
              </w:rPr>
              <w:t xml:space="preserve">ata – </w:t>
            </w:r>
            <w:r w:rsidR="009749E1">
              <w:rPr>
                <w:rFonts w:ascii="Univers 45 Light" w:hAnsi="Univers 45 Light"/>
                <w:color w:val="000000" w:themeColor="text1"/>
              </w:rPr>
              <w:t>v</w:t>
            </w:r>
            <w:r w:rsidRPr="00467F5A">
              <w:rPr>
                <w:rFonts w:ascii="Univers 45 Light" w:hAnsi="Univers 45 Light"/>
                <w:color w:val="000000" w:themeColor="text1"/>
              </w:rPr>
              <w:t>alidation</w:t>
            </w:r>
          </w:p>
        </w:tc>
        <w:tc>
          <w:tcPr>
            <w:tcW w:w="1635" w:type="dxa"/>
            <w:tcBorders>
              <w:top w:val="nil"/>
              <w:left w:val="single" w:sz="8" w:space="0" w:color="auto"/>
              <w:bottom w:val="single" w:sz="8" w:space="0" w:color="auto"/>
              <w:right w:val="single" w:sz="8" w:space="0" w:color="auto"/>
            </w:tcBorders>
            <w:shd w:val="clear" w:color="auto" w:fill="808080"/>
          </w:tcPr>
          <w:p w14:paraId="4AA01FB7" w14:textId="77777777" w:rsidR="000242AC" w:rsidRPr="00630A55" w:rsidRDefault="000242AC" w:rsidP="0009699A">
            <w:pPr>
              <w:pStyle w:val="Tableheading"/>
              <w:rPr>
                <w:rFonts w:ascii="Univers 45 Light" w:hAnsi="Univers 45 Light"/>
              </w:rPr>
            </w:pPr>
          </w:p>
        </w:tc>
        <w:tc>
          <w:tcPr>
            <w:tcW w:w="1471" w:type="dxa"/>
            <w:tcBorders>
              <w:top w:val="nil"/>
              <w:left w:val="single" w:sz="8" w:space="0" w:color="auto"/>
              <w:bottom w:val="single" w:sz="8" w:space="0" w:color="auto"/>
              <w:right w:val="single" w:sz="8" w:space="0" w:color="auto"/>
            </w:tcBorders>
            <w:shd w:val="clear" w:color="auto" w:fill="808080"/>
          </w:tcPr>
          <w:p w14:paraId="7BED7F47" w14:textId="77777777" w:rsidR="000242AC" w:rsidRPr="00630A55" w:rsidRDefault="000242AC" w:rsidP="0009699A">
            <w:pPr>
              <w:pStyle w:val="Tableheading"/>
              <w:rPr>
                <w:rFonts w:ascii="Univers 45 Light" w:hAnsi="Univers 45 Light"/>
              </w:rPr>
            </w:pPr>
          </w:p>
        </w:tc>
      </w:tr>
      <w:tr w:rsidR="000242AC" w:rsidRPr="00630A55" w14:paraId="1663DAF8" w14:textId="77777777" w:rsidTr="0009699A">
        <w:trPr>
          <w:trHeight w:val="543"/>
        </w:trPr>
        <w:tc>
          <w:tcPr>
            <w:tcW w:w="27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7097AE8" w14:textId="77777777" w:rsidR="000242AC" w:rsidRPr="00B16266" w:rsidRDefault="000242AC" w:rsidP="009527C7">
            <w:pPr>
              <w:pStyle w:val="Tabletext"/>
            </w:pPr>
            <w:r w:rsidRPr="00B16266">
              <w:t>Trend analysis to prior periods across cost products</w:t>
            </w:r>
          </w:p>
        </w:tc>
        <w:tc>
          <w:tcPr>
            <w:tcW w:w="1475" w:type="dxa"/>
            <w:tcBorders>
              <w:top w:val="nil"/>
              <w:left w:val="nil"/>
              <w:bottom w:val="single" w:sz="8" w:space="0" w:color="auto"/>
              <w:right w:val="single" w:sz="8" w:space="0" w:color="auto"/>
            </w:tcBorders>
            <w:tcMar>
              <w:top w:w="0" w:type="dxa"/>
              <w:left w:w="108" w:type="dxa"/>
              <w:bottom w:w="0" w:type="dxa"/>
              <w:right w:w="108" w:type="dxa"/>
            </w:tcMar>
          </w:tcPr>
          <w:p w14:paraId="21BCFF08" w14:textId="46C32C86" w:rsidR="000242AC" w:rsidRPr="00B16266" w:rsidRDefault="000242AC" w:rsidP="0009699A">
            <w:pPr>
              <w:pStyle w:val="Tabletext"/>
            </w:pPr>
            <w:r>
              <w:t>Yes</w:t>
            </w:r>
            <w:r w:rsidR="009749E1">
              <w:t>,</w:t>
            </w:r>
            <w:r>
              <w:t xml:space="preserve"> annually</w:t>
            </w:r>
          </w:p>
        </w:tc>
        <w:tc>
          <w:tcPr>
            <w:tcW w:w="1701" w:type="dxa"/>
            <w:vMerge w:val="restart"/>
            <w:tcBorders>
              <w:top w:val="nil"/>
              <w:left w:val="nil"/>
              <w:right w:val="single" w:sz="8" w:space="0" w:color="auto"/>
            </w:tcBorders>
            <w:shd w:val="clear" w:color="auto" w:fill="auto"/>
            <w:tcMar>
              <w:top w:w="0" w:type="dxa"/>
              <w:left w:w="108" w:type="dxa"/>
              <w:bottom w:w="0" w:type="dxa"/>
              <w:right w:w="108" w:type="dxa"/>
            </w:tcMar>
          </w:tcPr>
          <w:p w14:paraId="6A90AD32" w14:textId="77777777" w:rsidR="000242AC" w:rsidRPr="009749E1" w:rsidRDefault="000242AC" w:rsidP="0009699A">
            <w:pPr>
              <w:pStyle w:val="Tabletext"/>
            </w:pPr>
            <w:r>
              <w:t>RPH hav</w:t>
            </w:r>
            <w:r w:rsidRPr="009749E1">
              <w:t xml:space="preserve">e </w:t>
            </w:r>
            <w:r w:rsidRPr="001B3457">
              <w:rPr>
                <w:rFonts w:cs="Arial"/>
                <w:szCs w:val="20"/>
              </w:rPr>
              <w:t>internal processes in place to review data in PPM2, then matched to activity.</w:t>
            </w:r>
          </w:p>
          <w:p w14:paraId="4B514875" w14:textId="77777777" w:rsidR="000242AC" w:rsidRDefault="000242AC" w:rsidP="0009699A">
            <w:pPr>
              <w:pStyle w:val="Tabletext"/>
            </w:pPr>
          </w:p>
          <w:p w14:paraId="352D0816" w14:textId="4A548229" w:rsidR="000242AC" w:rsidRPr="00B16266" w:rsidRDefault="000242AC" w:rsidP="0009699A">
            <w:pPr>
              <w:pStyle w:val="Tabletext"/>
            </w:pPr>
            <w:r>
              <w:t>Data validation occurs at the time feeder system data is loaded into PPM. A spreadsheet is maintained, and the values are verified as being loaded and linked. Feeder system files are also validated monthly to ensure consistency of data loaded into PPM</w:t>
            </w:r>
          </w:p>
        </w:tc>
        <w:tc>
          <w:tcPr>
            <w:tcW w:w="1635" w:type="dxa"/>
            <w:vMerge w:val="restart"/>
            <w:tcBorders>
              <w:top w:val="nil"/>
              <w:left w:val="nil"/>
              <w:right w:val="single" w:sz="8" w:space="0" w:color="auto"/>
            </w:tcBorders>
            <w:shd w:val="clear" w:color="auto" w:fill="auto"/>
          </w:tcPr>
          <w:p w14:paraId="1B9C0A03" w14:textId="77777777" w:rsidR="000242AC" w:rsidRPr="009E5D2B" w:rsidRDefault="000242AC" w:rsidP="0009699A">
            <w:pPr>
              <w:pStyle w:val="Tabletext"/>
            </w:pPr>
            <w:r>
              <w:t xml:space="preserve">Data validation occurs at the time feeder system data is loaded into PPM. A spreadsheet is maintained, and the values </w:t>
            </w:r>
            <w:r w:rsidRPr="009E5D2B">
              <w:t xml:space="preserve">are verified as being loaded and linked. Feeder system files are also validated monthly to ensure consistency of data loaded into PPM. </w:t>
            </w:r>
          </w:p>
          <w:p w14:paraId="4C38DCA5" w14:textId="77777777" w:rsidR="000242AC" w:rsidRDefault="000242AC" w:rsidP="0009699A">
            <w:pPr>
              <w:pStyle w:val="Tabletext"/>
            </w:pPr>
          </w:p>
          <w:p w14:paraId="0562EE6C" w14:textId="1583E984" w:rsidR="000242AC" w:rsidRPr="00B16266" w:rsidRDefault="000242AC" w:rsidP="0009699A">
            <w:pPr>
              <w:pStyle w:val="Tabletext"/>
            </w:pPr>
            <w:r>
              <w:t xml:space="preserve">However, given that EMHS was only engaged to complete CAHS costing for </w:t>
            </w:r>
            <w:r w:rsidR="009759C6">
              <w:t>FY20/21</w:t>
            </w:r>
            <w:r>
              <w:t xml:space="preserve"> towards the end of the year, the data load, linking and activity reconciliation was completed by CAHS who were unable to provide any documentation.</w:t>
            </w:r>
          </w:p>
        </w:tc>
        <w:tc>
          <w:tcPr>
            <w:tcW w:w="1471" w:type="dxa"/>
            <w:vMerge w:val="restart"/>
            <w:tcBorders>
              <w:top w:val="nil"/>
              <w:left w:val="nil"/>
              <w:right w:val="single" w:sz="8" w:space="0" w:color="auto"/>
            </w:tcBorders>
            <w:shd w:val="clear" w:color="auto" w:fill="auto"/>
          </w:tcPr>
          <w:p w14:paraId="3F6164C6" w14:textId="6037AD3A" w:rsidR="000242AC" w:rsidRPr="00B16266" w:rsidRDefault="009749E1" w:rsidP="0009699A">
            <w:pPr>
              <w:pStyle w:val="Tabletext"/>
            </w:pPr>
            <w:r>
              <w:t>AH</w:t>
            </w:r>
            <w:r w:rsidR="000242AC">
              <w:t xml:space="preserve"> </w:t>
            </w:r>
            <w:r w:rsidR="004317A5">
              <w:t>has</w:t>
            </w:r>
            <w:r w:rsidR="000242AC">
              <w:t xml:space="preserve"> internal processes in place to review data in PPM2, then matched to activity. This is similar to metropolitan HSPs but nuanced for the country health service data. </w:t>
            </w:r>
          </w:p>
        </w:tc>
      </w:tr>
      <w:tr w:rsidR="000242AC" w:rsidRPr="00630A55" w14:paraId="4D285EF4" w14:textId="77777777" w:rsidTr="00A92341">
        <w:trPr>
          <w:trHeight w:val="543"/>
        </w:trPr>
        <w:tc>
          <w:tcPr>
            <w:tcW w:w="27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D42A2C" w14:textId="77777777" w:rsidR="000242AC" w:rsidRPr="00B16266" w:rsidRDefault="000242AC" w:rsidP="009527C7">
            <w:pPr>
              <w:pStyle w:val="Tabletext"/>
            </w:pPr>
            <w:r w:rsidRPr="00B16266">
              <w:t>Reasonableness test of excluded data and outliers</w:t>
            </w: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14:paraId="596297CD" w14:textId="62A2C6C2" w:rsidR="000242AC" w:rsidRPr="00B16266" w:rsidRDefault="000242AC" w:rsidP="009527C7">
            <w:pPr>
              <w:pStyle w:val="Tabletext"/>
            </w:pPr>
            <w:r>
              <w:t>Yes</w:t>
            </w:r>
            <w:r w:rsidR="009749E1">
              <w:t>,</w:t>
            </w:r>
            <w:r>
              <w:t xml:space="preserve"> annually</w:t>
            </w:r>
          </w:p>
        </w:tc>
        <w:tc>
          <w:tcPr>
            <w:tcW w:w="1701" w:type="dxa"/>
            <w:vMerge/>
            <w:tcBorders>
              <w:left w:val="nil"/>
              <w:right w:val="single" w:sz="8" w:space="0" w:color="auto"/>
            </w:tcBorders>
            <w:shd w:val="clear" w:color="auto" w:fill="auto"/>
            <w:tcMar>
              <w:top w:w="0" w:type="dxa"/>
              <w:left w:w="108" w:type="dxa"/>
              <w:bottom w:w="0" w:type="dxa"/>
              <w:right w:w="108" w:type="dxa"/>
            </w:tcMar>
            <w:vAlign w:val="center"/>
          </w:tcPr>
          <w:p w14:paraId="366667B1" w14:textId="77777777" w:rsidR="000242AC" w:rsidRPr="00B16266" w:rsidRDefault="000242AC" w:rsidP="009527C7">
            <w:pPr>
              <w:pStyle w:val="Tabletext"/>
            </w:pPr>
          </w:p>
        </w:tc>
        <w:tc>
          <w:tcPr>
            <w:tcW w:w="1635" w:type="dxa"/>
            <w:vMerge/>
            <w:tcBorders>
              <w:left w:val="nil"/>
              <w:right w:val="single" w:sz="8" w:space="0" w:color="auto"/>
            </w:tcBorders>
            <w:shd w:val="clear" w:color="auto" w:fill="auto"/>
            <w:vAlign w:val="center"/>
          </w:tcPr>
          <w:p w14:paraId="11A4D170" w14:textId="77777777" w:rsidR="000242AC" w:rsidRPr="00B16266" w:rsidRDefault="000242AC" w:rsidP="009527C7">
            <w:pPr>
              <w:pStyle w:val="Tabletext"/>
            </w:pPr>
          </w:p>
        </w:tc>
        <w:tc>
          <w:tcPr>
            <w:tcW w:w="1471" w:type="dxa"/>
            <w:vMerge/>
            <w:tcBorders>
              <w:left w:val="nil"/>
              <w:right w:val="single" w:sz="8" w:space="0" w:color="auto"/>
            </w:tcBorders>
            <w:shd w:val="clear" w:color="auto" w:fill="auto"/>
            <w:vAlign w:val="center"/>
          </w:tcPr>
          <w:p w14:paraId="7B036AE2" w14:textId="77777777" w:rsidR="000242AC" w:rsidRPr="00B16266" w:rsidRDefault="000242AC" w:rsidP="009527C7">
            <w:pPr>
              <w:pStyle w:val="Tabletext"/>
            </w:pPr>
          </w:p>
        </w:tc>
      </w:tr>
      <w:tr w:rsidR="000242AC" w:rsidRPr="00630A55" w14:paraId="547A8FFD" w14:textId="77777777" w:rsidTr="00A92341">
        <w:trPr>
          <w:trHeight w:val="806"/>
        </w:trPr>
        <w:tc>
          <w:tcPr>
            <w:tcW w:w="27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CFA46A" w14:textId="4CE8A9B2" w:rsidR="000242AC" w:rsidRPr="00B16266" w:rsidRDefault="000242AC" w:rsidP="009527C7">
            <w:pPr>
              <w:pStyle w:val="Tabletext"/>
            </w:pPr>
            <w:r w:rsidRPr="00B16266">
              <w:t>Analysis of outliers at the cost, LOS or cost bucket level</w:t>
            </w: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14:paraId="58E32DF4" w14:textId="758C7EC6" w:rsidR="000242AC" w:rsidRPr="00B16266" w:rsidRDefault="000242AC" w:rsidP="009527C7">
            <w:pPr>
              <w:pStyle w:val="Tabletext"/>
            </w:pPr>
            <w:r>
              <w:t>Yes</w:t>
            </w:r>
            <w:r w:rsidR="009749E1">
              <w:t>,</w:t>
            </w:r>
            <w:r>
              <w:t xml:space="preserve"> annually</w:t>
            </w:r>
          </w:p>
        </w:tc>
        <w:tc>
          <w:tcPr>
            <w:tcW w:w="1701" w:type="dxa"/>
            <w:vMerge/>
            <w:tcBorders>
              <w:left w:val="nil"/>
              <w:right w:val="single" w:sz="8" w:space="0" w:color="auto"/>
            </w:tcBorders>
            <w:tcMar>
              <w:top w:w="0" w:type="dxa"/>
              <w:left w:w="108" w:type="dxa"/>
              <w:bottom w:w="0" w:type="dxa"/>
              <w:right w:w="108" w:type="dxa"/>
            </w:tcMar>
            <w:vAlign w:val="center"/>
          </w:tcPr>
          <w:p w14:paraId="1E66D35E" w14:textId="77777777" w:rsidR="000242AC" w:rsidRPr="00B16266" w:rsidRDefault="000242AC" w:rsidP="009527C7">
            <w:pPr>
              <w:pStyle w:val="Tabletext"/>
            </w:pPr>
          </w:p>
        </w:tc>
        <w:tc>
          <w:tcPr>
            <w:tcW w:w="1635" w:type="dxa"/>
            <w:vMerge/>
            <w:tcBorders>
              <w:left w:val="nil"/>
              <w:right w:val="single" w:sz="8" w:space="0" w:color="auto"/>
            </w:tcBorders>
            <w:shd w:val="clear" w:color="auto" w:fill="auto"/>
            <w:vAlign w:val="center"/>
          </w:tcPr>
          <w:p w14:paraId="69C77BF0" w14:textId="77777777" w:rsidR="000242AC" w:rsidRPr="00B16266" w:rsidRDefault="000242AC" w:rsidP="009527C7">
            <w:pPr>
              <w:pStyle w:val="Tabletext"/>
            </w:pPr>
          </w:p>
        </w:tc>
        <w:tc>
          <w:tcPr>
            <w:tcW w:w="1471" w:type="dxa"/>
            <w:vMerge/>
            <w:tcBorders>
              <w:left w:val="nil"/>
              <w:right w:val="single" w:sz="8" w:space="0" w:color="auto"/>
            </w:tcBorders>
            <w:shd w:val="clear" w:color="auto" w:fill="auto"/>
            <w:vAlign w:val="center"/>
          </w:tcPr>
          <w:p w14:paraId="24EA8845" w14:textId="77777777" w:rsidR="000242AC" w:rsidRPr="00B16266" w:rsidRDefault="000242AC" w:rsidP="009527C7">
            <w:pPr>
              <w:pStyle w:val="Tabletext"/>
            </w:pPr>
          </w:p>
        </w:tc>
      </w:tr>
      <w:tr w:rsidR="000242AC" w:rsidRPr="00630A55" w14:paraId="2883C4EE" w14:textId="77777777" w:rsidTr="00A92341">
        <w:trPr>
          <w:trHeight w:val="543"/>
        </w:trPr>
        <w:tc>
          <w:tcPr>
            <w:tcW w:w="27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F2BD57" w14:textId="77777777" w:rsidR="000242AC" w:rsidRPr="00B16266" w:rsidRDefault="000242AC" w:rsidP="009527C7">
            <w:pPr>
              <w:pStyle w:val="Tabletext"/>
            </w:pPr>
            <w:r w:rsidRPr="00B16266">
              <w:t>Reasonableness of direct vs overhead allocations</w:t>
            </w: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14:paraId="0756AA0C" w14:textId="19DC1EDE" w:rsidR="000242AC" w:rsidRPr="00B16266" w:rsidRDefault="000242AC" w:rsidP="009527C7">
            <w:pPr>
              <w:pStyle w:val="Tabletext"/>
            </w:pPr>
            <w:r w:rsidRPr="00B16266">
              <w:t>Yes</w:t>
            </w:r>
            <w:r w:rsidR="009749E1">
              <w:t>,</w:t>
            </w:r>
            <w:r w:rsidRPr="00B16266">
              <w:t xml:space="preserve"> annually </w:t>
            </w:r>
          </w:p>
        </w:tc>
        <w:tc>
          <w:tcPr>
            <w:tcW w:w="1701" w:type="dxa"/>
            <w:vMerge/>
            <w:tcBorders>
              <w:left w:val="nil"/>
              <w:right w:val="single" w:sz="8" w:space="0" w:color="auto"/>
            </w:tcBorders>
            <w:tcMar>
              <w:top w:w="0" w:type="dxa"/>
              <w:left w:w="108" w:type="dxa"/>
              <w:bottom w:w="0" w:type="dxa"/>
              <w:right w:w="108" w:type="dxa"/>
            </w:tcMar>
            <w:vAlign w:val="center"/>
          </w:tcPr>
          <w:p w14:paraId="22C63027" w14:textId="77777777" w:rsidR="000242AC" w:rsidRPr="00B16266" w:rsidRDefault="000242AC" w:rsidP="009527C7">
            <w:pPr>
              <w:pStyle w:val="Tabletext"/>
            </w:pPr>
          </w:p>
        </w:tc>
        <w:tc>
          <w:tcPr>
            <w:tcW w:w="1635" w:type="dxa"/>
            <w:vMerge/>
            <w:tcBorders>
              <w:left w:val="nil"/>
              <w:right w:val="single" w:sz="8" w:space="0" w:color="auto"/>
            </w:tcBorders>
            <w:shd w:val="clear" w:color="auto" w:fill="auto"/>
            <w:vAlign w:val="center"/>
          </w:tcPr>
          <w:p w14:paraId="28321EF0" w14:textId="77777777" w:rsidR="000242AC" w:rsidRPr="00B16266" w:rsidRDefault="000242AC" w:rsidP="009527C7">
            <w:pPr>
              <w:pStyle w:val="Tabletext"/>
            </w:pPr>
          </w:p>
        </w:tc>
        <w:tc>
          <w:tcPr>
            <w:tcW w:w="1471" w:type="dxa"/>
            <w:vMerge/>
            <w:tcBorders>
              <w:left w:val="nil"/>
              <w:right w:val="single" w:sz="8" w:space="0" w:color="auto"/>
            </w:tcBorders>
            <w:shd w:val="clear" w:color="auto" w:fill="auto"/>
            <w:vAlign w:val="center"/>
          </w:tcPr>
          <w:p w14:paraId="25D99DB4" w14:textId="77777777" w:rsidR="000242AC" w:rsidRPr="00B16266" w:rsidRDefault="000242AC" w:rsidP="009527C7">
            <w:pPr>
              <w:pStyle w:val="Tabletext"/>
            </w:pPr>
          </w:p>
        </w:tc>
      </w:tr>
      <w:tr w:rsidR="000242AC" w:rsidRPr="00630A55" w14:paraId="1A5E53BC" w14:textId="77777777" w:rsidTr="00A92341">
        <w:trPr>
          <w:trHeight w:val="280"/>
        </w:trPr>
        <w:tc>
          <w:tcPr>
            <w:tcW w:w="27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269D53" w14:textId="77777777" w:rsidR="000242AC" w:rsidRPr="00B16266" w:rsidRDefault="000242AC" w:rsidP="009527C7">
            <w:pPr>
              <w:pStyle w:val="Tabletext"/>
            </w:pPr>
            <w:r w:rsidRPr="00B16266">
              <w:t>Specific business rule tests</w:t>
            </w: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14:paraId="7E6E6233" w14:textId="77777777" w:rsidR="000242AC" w:rsidRPr="00B16266" w:rsidRDefault="000242AC" w:rsidP="009527C7">
            <w:pPr>
              <w:pStyle w:val="Tabletext"/>
            </w:pPr>
            <w:r>
              <w:t>Yes</w:t>
            </w:r>
          </w:p>
        </w:tc>
        <w:tc>
          <w:tcPr>
            <w:tcW w:w="1701" w:type="dxa"/>
            <w:vMerge/>
            <w:tcBorders>
              <w:left w:val="nil"/>
              <w:bottom w:val="single" w:sz="8" w:space="0" w:color="auto"/>
              <w:right w:val="single" w:sz="8" w:space="0" w:color="auto"/>
            </w:tcBorders>
            <w:tcMar>
              <w:top w:w="0" w:type="dxa"/>
              <w:left w:w="108" w:type="dxa"/>
              <w:bottom w:w="0" w:type="dxa"/>
              <w:right w:w="108" w:type="dxa"/>
            </w:tcMar>
            <w:vAlign w:val="center"/>
          </w:tcPr>
          <w:p w14:paraId="6BBA31B1" w14:textId="77777777" w:rsidR="000242AC" w:rsidRPr="00B16266" w:rsidRDefault="000242AC" w:rsidP="009527C7">
            <w:pPr>
              <w:pStyle w:val="Tabletext"/>
            </w:pPr>
          </w:p>
        </w:tc>
        <w:tc>
          <w:tcPr>
            <w:tcW w:w="1635" w:type="dxa"/>
            <w:vMerge/>
            <w:tcBorders>
              <w:left w:val="nil"/>
              <w:bottom w:val="single" w:sz="8" w:space="0" w:color="auto"/>
              <w:right w:val="single" w:sz="8" w:space="0" w:color="auto"/>
            </w:tcBorders>
            <w:shd w:val="clear" w:color="auto" w:fill="auto"/>
            <w:vAlign w:val="center"/>
          </w:tcPr>
          <w:p w14:paraId="6111342E" w14:textId="77777777" w:rsidR="000242AC" w:rsidRPr="00B16266" w:rsidRDefault="000242AC" w:rsidP="009527C7">
            <w:pPr>
              <w:pStyle w:val="Tabletext"/>
            </w:pPr>
          </w:p>
        </w:tc>
        <w:tc>
          <w:tcPr>
            <w:tcW w:w="1471" w:type="dxa"/>
            <w:vMerge/>
            <w:tcBorders>
              <w:left w:val="nil"/>
              <w:bottom w:val="single" w:sz="8" w:space="0" w:color="auto"/>
              <w:right w:val="single" w:sz="8" w:space="0" w:color="auto"/>
            </w:tcBorders>
            <w:shd w:val="clear" w:color="auto" w:fill="auto"/>
            <w:vAlign w:val="center"/>
          </w:tcPr>
          <w:p w14:paraId="6C0BC3AA" w14:textId="77777777" w:rsidR="000242AC" w:rsidRPr="00B16266" w:rsidRDefault="000242AC" w:rsidP="009527C7">
            <w:pPr>
              <w:pStyle w:val="Tabletext"/>
            </w:pPr>
          </w:p>
        </w:tc>
      </w:tr>
      <w:tr w:rsidR="000242AC" w:rsidRPr="00630A55" w14:paraId="38E68230" w14:textId="77777777" w:rsidTr="00A92341">
        <w:trPr>
          <w:trHeight w:val="280"/>
        </w:trPr>
        <w:tc>
          <w:tcPr>
            <w:tcW w:w="5944" w:type="dxa"/>
            <w:gridSpan w:val="3"/>
            <w:tcBorders>
              <w:top w:val="nil"/>
              <w:left w:val="single" w:sz="8" w:space="0" w:color="auto"/>
              <w:bottom w:val="single" w:sz="8" w:space="0" w:color="auto"/>
              <w:right w:val="single" w:sz="8" w:space="0" w:color="auto"/>
            </w:tcBorders>
            <w:shd w:val="clear" w:color="auto" w:fill="808080"/>
            <w:tcMar>
              <w:top w:w="0" w:type="dxa"/>
              <w:left w:w="108" w:type="dxa"/>
              <w:bottom w:w="0" w:type="dxa"/>
              <w:right w:w="108" w:type="dxa"/>
            </w:tcMar>
            <w:vAlign w:val="center"/>
            <w:hideMark/>
          </w:tcPr>
          <w:p w14:paraId="2FBF1A41" w14:textId="201544F5" w:rsidR="000242AC" w:rsidRPr="00630A55" w:rsidRDefault="000242AC" w:rsidP="00A92341">
            <w:pPr>
              <w:pStyle w:val="Tableheading"/>
              <w:rPr>
                <w:rFonts w:ascii="Univers 45 Light" w:hAnsi="Univers 45 Light"/>
              </w:rPr>
            </w:pPr>
            <w:r w:rsidRPr="00467F5A">
              <w:rPr>
                <w:rFonts w:ascii="Univers 45 Light" w:hAnsi="Univers 45 Light"/>
                <w:color w:val="000000" w:themeColor="text1"/>
              </w:rPr>
              <w:t xml:space="preserve">Costing </w:t>
            </w:r>
            <w:r w:rsidR="009759C6">
              <w:rPr>
                <w:rFonts w:ascii="Univers 45 Light" w:hAnsi="Univers 45 Light"/>
                <w:color w:val="000000" w:themeColor="text1"/>
              </w:rPr>
              <w:t>d</w:t>
            </w:r>
            <w:r w:rsidRPr="00467F5A">
              <w:rPr>
                <w:rFonts w:ascii="Univers 45 Light" w:hAnsi="Univers 45 Light"/>
                <w:color w:val="000000" w:themeColor="text1"/>
              </w:rPr>
              <w:t xml:space="preserve">ata – </w:t>
            </w:r>
            <w:r w:rsidR="009759C6">
              <w:rPr>
                <w:rFonts w:ascii="Univers 45 Light" w:hAnsi="Univers 45 Light"/>
                <w:color w:val="000000" w:themeColor="text1"/>
              </w:rPr>
              <w:t>g</w:t>
            </w:r>
            <w:r w:rsidRPr="00467F5A">
              <w:rPr>
                <w:rFonts w:ascii="Univers 45 Light" w:hAnsi="Univers 45 Light"/>
                <w:color w:val="000000" w:themeColor="text1"/>
              </w:rPr>
              <w:t>overnance</w:t>
            </w:r>
          </w:p>
        </w:tc>
        <w:tc>
          <w:tcPr>
            <w:tcW w:w="1635" w:type="dxa"/>
            <w:tcBorders>
              <w:top w:val="nil"/>
              <w:left w:val="single" w:sz="8" w:space="0" w:color="auto"/>
              <w:bottom w:val="single" w:sz="8" w:space="0" w:color="auto"/>
              <w:right w:val="single" w:sz="8" w:space="0" w:color="auto"/>
            </w:tcBorders>
            <w:shd w:val="clear" w:color="auto" w:fill="808080"/>
            <w:vAlign w:val="center"/>
          </w:tcPr>
          <w:p w14:paraId="515F09FA" w14:textId="77777777" w:rsidR="000242AC" w:rsidRPr="00630A55" w:rsidRDefault="000242AC" w:rsidP="00A92341">
            <w:pPr>
              <w:pStyle w:val="Tableheading"/>
              <w:rPr>
                <w:rFonts w:ascii="Univers 45 Light" w:hAnsi="Univers 45 Light"/>
              </w:rPr>
            </w:pPr>
          </w:p>
        </w:tc>
        <w:tc>
          <w:tcPr>
            <w:tcW w:w="1471" w:type="dxa"/>
            <w:tcBorders>
              <w:top w:val="nil"/>
              <w:left w:val="single" w:sz="8" w:space="0" w:color="auto"/>
              <w:bottom w:val="single" w:sz="8" w:space="0" w:color="auto"/>
              <w:right w:val="single" w:sz="8" w:space="0" w:color="auto"/>
            </w:tcBorders>
            <w:shd w:val="clear" w:color="auto" w:fill="808080"/>
            <w:vAlign w:val="center"/>
          </w:tcPr>
          <w:p w14:paraId="460E97E8" w14:textId="77777777" w:rsidR="000242AC" w:rsidRPr="00630A55" w:rsidRDefault="000242AC" w:rsidP="00A92341">
            <w:pPr>
              <w:pStyle w:val="Tableheading"/>
              <w:rPr>
                <w:rFonts w:ascii="Univers 45 Light" w:hAnsi="Univers 45 Light"/>
              </w:rPr>
            </w:pPr>
          </w:p>
        </w:tc>
      </w:tr>
      <w:tr w:rsidR="000242AC" w:rsidRPr="00630A55" w14:paraId="58ECB9E4" w14:textId="77777777" w:rsidTr="0009699A">
        <w:trPr>
          <w:trHeight w:val="543"/>
        </w:trPr>
        <w:tc>
          <w:tcPr>
            <w:tcW w:w="27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E1D3C48" w14:textId="77777777" w:rsidR="000242AC" w:rsidRPr="00B16266" w:rsidRDefault="000242AC" w:rsidP="009527C7">
            <w:pPr>
              <w:pStyle w:val="Tabletext"/>
            </w:pPr>
            <w:r w:rsidRPr="00B16266">
              <w:t>Regular updates with costing staff</w:t>
            </w:r>
          </w:p>
        </w:tc>
        <w:tc>
          <w:tcPr>
            <w:tcW w:w="6282" w:type="dxa"/>
            <w:gridSpan w:val="4"/>
            <w:tcBorders>
              <w:top w:val="nil"/>
              <w:left w:val="nil"/>
              <w:bottom w:val="single" w:sz="8" w:space="0" w:color="auto"/>
              <w:right w:val="single" w:sz="8" w:space="0" w:color="auto"/>
            </w:tcBorders>
            <w:tcMar>
              <w:top w:w="0" w:type="dxa"/>
              <w:left w:w="108" w:type="dxa"/>
              <w:bottom w:w="0" w:type="dxa"/>
              <w:right w:w="108" w:type="dxa"/>
            </w:tcMar>
          </w:tcPr>
          <w:p w14:paraId="429E95FC" w14:textId="77777777" w:rsidR="000242AC" w:rsidRPr="00B16266" w:rsidRDefault="000242AC" w:rsidP="0009699A">
            <w:pPr>
              <w:pStyle w:val="Tabletext"/>
            </w:pPr>
            <w:r>
              <w:t xml:space="preserve">Business User Group (BUG) and WA Clinical Costing Standards Group meet monthly. BUG includes technical support (Health Services Support) to discuss PPM usage, new features, upgrades, technical issues, improvements to HSS staging and extraction processes; Clinical Costing Standards Group explores continuous improvement, information sharing and learnings, and QA processes. </w:t>
            </w:r>
          </w:p>
        </w:tc>
      </w:tr>
      <w:tr w:rsidR="000242AC" w:rsidRPr="00630A55" w14:paraId="2A3406A6" w14:textId="77777777" w:rsidTr="0009699A">
        <w:trPr>
          <w:trHeight w:val="806"/>
        </w:trPr>
        <w:tc>
          <w:tcPr>
            <w:tcW w:w="27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CA43566" w14:textId="77777777" w:rsidR="000242AC" w:rsidRPr="00B16266" w:rsidRDefault="000242AC" w:rsidP="009527C7">
            <w:pPr>
              <w:pStyle w:val="Tabletext"/>
            </w:pPr>
            <w:r w:rsidRPr="00B16266">
              <w:lastRenderedPageBreak/>
              <w:t>Local guidelines supporting the AHPCS standards framework</w:t>
            </w:r>
          </w:p>
        </w:tc>
        <w:tc>
          <w:tcPr>
            <w:tcW w:w="1475" w:type="dxa"/>
            <w:tcBorders>
              <w:top w:val="nil"/>
              <w:left w:val="nil"/>
              <w:bottom w:val="single" w:sz="8" w:space="0" w:color="auto"/>
              <w:right w:val="single" w:sz="8" w:space="0" w:color="auto"/>
            </w:tcBorders>
            <w:tcMar>
              <w:top w:w="0" w:type="dxa"/>
              <w:left w:w="108" w:type="dxa"/>
              <w:bottom w:w="0" w:type="dxa"/>
              <w:right w:w="108" w:type="dxa"/>
            </w:tcMar>
          </w:tcPr>
          <w:p w14:paraId="12A14E2B" w14:textId="77777777" w:rsidR="000242AC" w:rsidRPr="00B16266" w:rsidRDefault="000242AC" w:rsidP="0009699A">
            <w:pPr>
              <w:pStyle w:val="Tabletext"/>
            </w:pPr>
            <w:r>
              <w:t>Yes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1407F5E" w14:textId="77777777" w:rsidR="000242AC" w:rsidRPr="00B16266" w:rsidRDefault="000242AC" w:rsidP="0009699A">
            <w:pPr>
              <w:pStyle w:val="Tabletext"/>
            </w:pPr>
            <w:r>
              <w:t>Yes</w:t>
            </w:r>
          </w:p>
        </w:tc>
        <w:tc>
          <w:tcPr>
            <w:tcW w:w="1635" w:type="dxa"/>
            <w:tcBorders>
              <w:top w:val="nil"/>
              <w:left w:val="nil"/>
              <w:bottom w:val="single" w:sz="8" w:space="0" w:color="auto"/>
              <w:right w:val="single" w:sz="8" w:space="0" w:color="auto"/>
            </w:tcBorders>
          </w:tcPr>
          <w:p w14:paraId="32631862" w14:textId="77777777" w:rsidR="000242AC" w:rsidRPr="00B16266" w:rsidRDefault="000242AC" w:rsidP="0009699A">
            <w:pPr>
              <w:pStyle w:val="Tabletext"/>
            </w:pPr>
            <w:r>
              <w:t>Yes</w:t>
            </w:r>
          </w:p>
        </w:tc>
        <w:tc>
          <w:tcPr>
            <w:tcW w:w="1471" w:type="dxa"/>
            <w:tcBorders>
              <w:top w:val="nil"/>
              <w:left w:val="nil"/>
              <w:bottom w:val="single" w:sz="8" w:space="0" w:color="auto"/>
              <w:right w:val="single" w:sz="8" w:space="0" w:color="auto"/>
            </w:tcBorders>
          </w:tcPr>
          <w:p w14:paraId="1EAB3C46" w14:textId="77777777" w:rsidR="000242AC" w:rsidRPr="00B16266" w:rsidRDefault="000242AC" w:rsidP="0009699A">
            <w:pPr>
              <w:pStyle w:val="Tabletext"/>
            </w:pPr>
            <w:r>
              <w:t>Yes</w:t>
            </w:r>
          </w:p>
        </w:tc>
      </w:tr>
      <w:tr w:rsidR="000242AC" w:rsidRPr="00630A55" w14:paraId="4D74CEFB" w14:textId="77777777" w:rsidTr="0009699A">
        <w:trPr>
          <w:trHeight w:val="280"/>
        </w:trPr>
        <w:tc>
          <w:tcPr>
            <w:tcW w:w="27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8EFD124" w14:textId="77777777" w:rsidR="000242AC" w:rsidRPr="00B16266" w:rsidRDefault="000242AC" w:rsidP="009527C7">
            <w:pPr>
              <w:pStyle w:val="Tabletext"/>
            </w:pPr>
            <w:r w:rsidRPr="00B16266">
              <w:t>Review of cost allocations</w:t>
            </w:r>
          </w:p>
        </w:tc>
        <w:tc>
          <w:tcPr>
            <w:tcW w:w="1475" w:type="dxa"/>
            <w:tcBorders>
              <w:top w:val="nil"/>
              <w:left w:val="nil"/>
              <w:bottom w:val="single" w:sz="8" w:space="0" w:color="auto"/>
              <w:right w:val="single" w:sz="8" w:space="0" w:color="auto"/>
            </w:tcBorders>
            <w:tcMar>
              <w:top w:w="0" w:type="dxa"/>
              <w:left w:w="108" w:type="dxa"/>
              <w:bottom w:w="0" w:type="dxa"/>
              <w:right w:w="108" w:type="dxa"/>
            </w:tcMar>
          </w:tcPr>
          <w:p w14:paraId="13372CD2" w14:textId="77777777" w:rsidR="000242AC" w:rsidRPr="00B16266" w:rsidRDefault="000242AC" w:rsidP="0009699A">
            <w:pPr>
              <w:pStyle w:val="Tabletext"/>
            </w:pPr>
            <w:r>
              <w:t>N/A</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6BF267E" w14:textId="77777777" w:rsidR="000242AC" w:rsidRPr="00B16266" w:rsidRDefault="000242AC" w:rsidP="0009699A">
            <w:pPr>
              <w:pStyle w:val="Tabletext"/>
            </w:pPr>
            <w:r>
              <w:t>Annual</w:t>
            </w:r>
          </w:p>
        </w:tc>
        <w:tc>
          <w:tcPr>
            <w:tcW w:w="1635" w:type="dxa"/>
            <w:tcBorders>
              <w:top w:val="nil"/>
              <w:left w:val="nil"/>
              <w:bottom w:val="single" w:sz="8" w:space="0" w:color="auto"/>
              <w:right w:val="single" w:sz="8" w:space="0" w:color="auto"/>
            </w:tcBorders>
          </w:tcPr>
          <w:p w14:paraId="2E347E13" w14:textId="77777777" w:rsidR="000242AC" w:rsidRPr="00B16266" w:rsidRDefault="000242AC" w:rsidP="0009699A">
            <w:pPr>
              <w:pStyle w:val="Tabletext"/>
            </w:pPr>
            <w:r>
              <w:t>Annual</w:t>
            </w:r>
          </w:p>
        </w:tc>
        <w:tc>
          <w:tcPr>
            <w:tcW w:w="1471" w:type="dxa"/>
            <w:tcBorders>
              <w:top w:val="nil"/>
              <w:left w:val="nil"/>
              <w:bottom w:val="single" w:sz="8" w:space="0" w:color="auto"/>
              <w:right w:val="single" w:sz="8" w:space="0" w:color="auto"/>
            </w:tcBorders>
          </w:tcPr>
          <w:p w14:paraId="2ED571A0" w14:textId="77777777" w:rsidR="000242AC" w:rsidRPr="00B16266" w:rsidRDefault="000242AC" w:rsidP="0009699A">
            <w:pPr>
              <w:pStyle w:val="Tabletext"/>
            </w:pPr>
            <w:r>
              <w:t>Annual</w:t>
            </w:r>
          </w:p>
        </w:tc>
      </w:tr>
      <w:tr w:rsidR="000242AC" w:rsidRPr="00630A55" w14:paraId="03E48B73" w14:textId="77777777" w:rsidTr="0009699A">
        <w:trPr>
          <w:trHeight w:val="806"/>
        </w:trPr>
        <w:tc>
          <w:tcPr>
            <w:tcW w:w="27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355472" w14:textId="77777777" w:rsidR="000242AC" w:rsidRPr="00B16266" w:rsidRDefault="000242AC" w:rsidP="009527C7">
            <w:pPr>
              <w:pStyle w:val="Tabletext"/>
            </w:pPr>
            <w:r w:rsidRPr="00B16266">
              <w:t>Review on reasonableness of costing data output</w:t>
            </w:r>
          </w:p>
        </w:tc>
        <w:tc>
          <w:tcPr>
            <w:tcW w:w="1475" w:type="dxa"/>
            <w:tcBorders>
              <w:top w:val="nil"/>
              <w:left w:val="nil"/>
              <w:bottom w:val="single" w:sz="8" w:space="0" w:color="auto"/>
              <w:right w:val="single" w:sz="8" w:space="0" w:color="auto"/>
            </w:tcBorders>
            <w:tcMar>
              <w:top w:w="0" w:type="dxa"/>
              <w:left w:w="108" w:type="dxa"/>
              <w:bottom w:w="0" w:type="dxa"/>
              <w:right w:w="108" w:type="dxa"/>
            </w:tcMar>
          </w:tcPr>
          <w:p w14:paraId="39F5440D" w14:textId="77777777" w:rsidR="000242AC" w:rsidRPr="00B16266" w:rsidRDefault="000242AC" w:rsidP="0009699A">
            <w:pPr>
              <w:pStyle w:val="Tabletext"/>
            </w:pPr>
            <w:r>
              <w:t>Multiple reviews undertaken, with any issues reported back to HSPs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14067C3" w14:textId="77777777" w:rsidR="000242AC" w:rsidRPr="00B16266" w:rsidRDefault="000242AC" w:rsidP="0009699A">
            <w:pPr>
              <w:pStyle w:val="Tabletext"/>
            </w:pPr>
            <w:r>
              <w:t>Multiple reviews undertaken prior to sign-off</w:t>
            </w:r>
          </w:p>
        </w:tc>
        <w:tc>
          <w:tcPr>
            <w:tcW w:w="1635" w:type="dxa"/>
            <w:tcBorders>
              <w:top w:val="nil"/>
              <w:left w:val="nil"/>
              <w:bottom w:val="single" w:sz="8" w:space="0" w:color="auto"/>
              <w:right w:val="single" w:sz="8" w:space="0" w:color="auto"/>
            </w:tcBorders>
          </w:tcPr>
          <w:p w14:paraId="6ED970CA" w14:textId="77777777" w:rsidR="000242AC" w:rsidRPr="00B16266" w:rsidRDefault="000242AC" w:rsidP="0009699A">
            <w:pPr>
              <w:pStyle w:val="Tabletext"/>
            </w:pPr>
            <w:r>
              <w:t>Multiple reviews undertaken prior to sign-off</w:t>
            </w:r>
          </w:p>
        </w:tc>
        <w:tc>
          <w:tcPr>
            <w:tcW w:w="1471" w:type="dxa"/>
            <w:tcBorders>
              <w:top w:val="nil"/>
              <w:left w:val="nil"/>
              <w:bottom w:val="single" w:sz="8" w:space="0" w:color="auto"/>
              <w:right w:val="single" w:sz="8" w:space="0" w:color="auto"/>
            </w:tcBorders>
          </w:tcPr>
          <w:p w14:paraId="26C8E421" w14:textId="77777777" w:rsidR="000242AC" w:rsidRPr="00B16266" w:rsidRDefault="000242AC" w:rsidP="0009699A">
            <w:pPr>
              <w:pStyle w:val="Tabletext"/>
            </w:pPr>
            <w:r>
              <w:t>Multiple reviews undertaken prior to sign-off</w:t>
            </w:r>
          </w:p>
        </w:tc>
      </w:tr>
      <w:tr w:rsidR="000242AC" w:rsidRPr="00630A55" w14:paraId="05670A25" w14:textId="77777777" w:rsidTr="0009699A">
        <w:trPr>
          <w:trHeight w:val="543"/>
        </w:trPr>
        <w:tc>
          <w:tcPr>
            <w:tcW w:w="27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1C67CDD" w14:textId="77777777" w:rsidR="000242AC" w:rsidRPr="00B16266" w:rsidRDefault="000242AC" w:rsidP="009527C7">
            <w:pPr>
              <w:pStyle w:val="Tabletext"/>
            </w:pPr>
            <w:r w:rsidRPr="00B16266">
              <w:t>Formal sign-off</w:t>
            </w:r>
          </w:p>
        </w:tc>
        <w:tc>
          <w:tcPr>
            <w:tcW w:w="1475" w:type="dxa"/>
            <w:tcBorders>
              <w:top w:val="nil"/>
              <w:left w:val="nil"/>
              <w:bottom w:val="single" w:sz="8" w:space="0" w:color="auto"/>
              <w:right w:val="single" w:sz="8" w:space="0" w:color="auto"/>
            </w:tcBorders>
            <w:tcMar>
              <w:top w:w="0" w:type="dxa"/>
              <w:left w:w="108" w:type="dxa"/>
              <w:bottom w:w="0" w:type="dxa"/>
              <w:right w:w="108" w:type="dxa"/>
            </w:tcMar>
          </w:tcPr>
          <w:p w14:paraId="66B10C11" w14:textId="77777777" w:rsidR="000242AC" w:rsidRPr="00B16266" w:rsidRDefault="000242AC" w:rsidP="0009699A">
            <w:pPr>
              <w:pStyle w:val="Tabletext"/>
            </w:pPr>
            <w:r>
              <w:t>Director-General</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128C3AA" w14:textId="77777777" w:rsidR="000242AC" w:rsidRPr="00B16266" w:rsidRDefault="000242AC" w:rsidP="0009699A">
            <w:pPr>
              <w:pStyle w:val="Tabletext"/>
            </w:pPr>
            <w:r>
              <w:t>Chief Financial Officer</w:t>
            </w:r>
          </w:p>
        </w:tc>
        <w:tc>
          <w:tcPr>
            <w:tcW w:w="1635" w:type="dxa"/>
            <w:tcBorders>
              <w:top w:val="nil"/>
              <w:left w:val="nil"/>
              <w:bottom w:val="single" w:sz="8" w:space="0" w:color="auto"/>
              <w:right w:val="single" w:sz="8" w:space="0" w:color="auto"/>
            </w:tcBorders>
          </w:tcPr>
          <w:p w14:paraId="03E72249" w14:textId="77777777" w:rsidR="000242AC" w:rsidRPr="00B16266" w:rsidRDefault="000242AC" w:rsidP="0009699A">
            <w:pPr>
              <w:pStyle w:val="Tabletext"/>
            </w:pPr>
            <w:r>
              <w:t>Chief Financial Officer</w:t>
            </w:r>
          </w:p>
        </w:tc>
        <w:tc>
          <w:tcPr>
            <w:tcW w:w="1471" w:type="dxa"/>
            <w:tcBorders>
              <w:top w:val="nil"/>
              <w:left w:val="nil"/>
              <w:bottom w:val="single" w:sz="8" w:space="0" w:color="auto"/>
              <w:right w:val="single" w:sz="8" w:space="0" w:color="auto"/>
            </w:tcBorders>
          </w:tcPr>
          <w:p w14:paraId="551AEF9C" w14:textId="77777777" w:rsidR="000242AC" w:rsidRPr="00B16266" w:rsidRDefault="000242AC" w:rsidP="0009699A">
            <w:pPr>
              <w:pStyle w:val="Tabletext"/>
            </w:pPr>
            <w:r>
              <w:t>Chief Financial Officer</w:t>
            </w:r>
          </w:p>
        </w:tc>
      </w:tr>
    </w:tbl>
    <w:p w14:paraId="33E314AE" w14:textId="35E44456" w:rsidR="001B4351" w:rsidRPr="00630A55" w:rsidRDefault="001B4351" w:rsidP="001B4351">
      <w:pPr>
        <w:pStyle w:val="Source"/>
      </w:pPr>
      <w:r w:rsidRPr="00630A55">
        <w:t xml:space="preserve">Source: Jurisdictional consultations and </w:t>
      </w:r>
      <w:r>
        <w:t>data quality statements</w:t>
      </w:r>
    </w:p>
    <w:p w14:paraId="6A1442A6" w14:textId="668C95D6" w:rsidR="000242AC" w:rsidRPr="00630A55" w:rsidRDefault="000242AC" w:rsidP="0008151F">
      <w:pPr>
        <w:pStyle w:val="Heading3"/>
        <w:rPr>
          <w:rFonts w:ascii="Univers 45 Light" w:hAnsi="Univers 45 Light"/>
          <w:b w:val="0"/>
          <w:color w:val="4FC3FF" w:themeColor="accent2" w:themeTint="99"/>
          <w:szCs w:val="20"/>
        </w:rPr>
      </w:pPr>
      <w:r w:rsidRPr="00630A55">
        <w:t xml:space="preserve">Business </w:t>
      </w:r>
      <w:r w:rsidR="00AA0901">
        <w:t>r</w:t>
      </w:r>
      <w:r w:rsidRPr="00630A55">
        <w:t>equirements</w:t>
      </w:r>
    </w:p>
    <w:p w14:paraId="264DBE09" w14:textId="3CA47FA0" w:rsidR="000242AC" w:rsidRPr="00630A55" w:rsidRDefault="00D46CBE" w:rsidP="00593F15">
      <w:pPr>
        <w:jc w:val="both"/>
      </w:pPr>
      <w:r>
        <w:t>WHS</w:t>
      </w:r>
      <w:r w:rsidR="000242AC" w:rsidRPr="00630A55">
        <w:t xml:space="preserve"> and hospitals do not distribute the final IHACPA reports and NHCDC data to the broader clinical workforce; however, many HSPs are using internal costing and PowerBI reports to engage with business managers</w:t>
      </w:r>
      <w:r w:rsidR="00593F15">
        <w:t xml:space="preserve"> </w:t>
      </w:r>
      <w:r w:rsidR="000242AC" w:rsidRPr="00630A55">
        <w:t>within and across their hospital network. The NHCDC data is made available to health services and is used for a variety of ad</w:t>
      </w:r>
      <w:r w:rsidR="00494EEF">
        <w:t> </w:t>
      </w:r>
      <w:r w:rsidR="000242AC" w:rsidRPr="00630A55">
        <w:t>hoc projects, costing requests and health economic modelling for funding calculations</w:t>
      </w:r>
      <w:r w:rsidR="00494EEF">
        <w:t>. H</w:t>
      </w:r>
      <w:r w:rsidR="000242AC" w:rsidRPr="00630A55">
        <w:t>owever</w:t>
      </w:r>
      <w:r w:rsidR="00494EEF">
        <w:t>,</w:t>
      </w:r>
      <w:r w:rsidR="000242AC" w:rsidRPr="00630A55">
        <w:t xml:space="preserve"> WHS acknowledge the opportunity to educate and engage more clinicians and hospital executives where capacity exists, to increase its use as an input to decision making and benchmarking exercises within and across HSPs and hospitals. </w:t>
      </w:r>
    </w:p>
    <w:p w14:paraId="34470317" w14:textId="77777777" w:rsidR="000242AC" w:rsidRPr="00630A55" w:rsidRDefault="000242AC" w:rsidP="0008151F">
      <w:pPr>
        <w:pStyle w:val="Heading3"/>
        <w:rPr>
          <w:rFonts w:ascii="Univers 45 Light" w:hAnsi="Univers 45 Light"/>
          <w:b w:val="0"/>
          <w:color w:val="4FC3FF" w:themeColor="accent2" w:themeTint="99"/>
          <w:szCs w:val="20"/>
        </w:rPr>
      </w:pPr>
      <w:r w:rsidRPr="00630A55">
        <w:t>Implications of COVID-19</w:t>
      </w:r>
    </w:p>
    <w:p w14:paraId="234E509D" w14:textId="46B4A73E" w:rsidR="000242AC" w:rsidRPr="00630A55" w:rsidRDefault="000242AC" w:rsidP="00593F15">
      <w:pPr>
        <w:jc w:val="both"/>
      </w:pPr>
      <w:r w:rsidRPr="00630A55">
        <w:t xml:space="preserve">The implications of COVID-19 on the data submitted for </w:t>
      </w:r>
      <w:r w:rsidR="00201CDD">
        <w:t>WA in the</w:t>
      </w:r>
      <w:r w:rsidRPr="00630A55">
        <w:t xml:space="preserve"> </w:t>
      </w:r>
      <w:r w:rsidR="00595A9F">
        <w:t>FY20/21</w:t>
      </w:r>
      <w:r w:rsidRPr="00630A55">
        <w:t xml:space="preserve"> </w:t>
      </w:r>
      <w:r w:rsidR="00201CDD">
        <w:t>IFR</w:t>
      </w:r>
      <w:r w:rsidRPr="00630A55">
        <w:t xml:space="preserve"> are different to those experienced in the other states and territories</w:t>
      </w:r>
      <w:r w:rsidRPr="0012607D">
        <w:t>. This is principally due to the approach to border closures in place during FY20</w:t>
      </w:r>
      <w:r w:rsidR="00316CBD" w:rsidRPr="0012607D">
        <w:t>/</w:t>
      </w:r>
      <w:r w:rsidRPr="0012607D">
        <w:t>21 and the very limited number of cases identified in WA during th</w:t>
      </w:r>
      <w:r w:rsidR="00524F81">
        <w:t>at</w:t>
      </w:r>
      <w:r w:rsidRPr="0012607D">
        <w:t xml:space="preserve"> period. WA costed the whole reference year for </w:t>
      </w:r>
      <w:r w:rsidR="00595A9F" w:rsidRPr="0012607D">
        <w:t>FY20/21</w:t>
      </w:r>
      <w:r w:rsidRPr="0012607D">
        <w:t xml:space="preserve">, following the 8/4 month split applied in </w:t>
      </w:r>
      <w:r w:rsidR="00595A9F" w:rsidRPr="0012607D">
        <w:t>FY19/20</w:t>
      </w:r>
      <w:r w:rsidRPr="0012607D">
        <w:t>. It is expected that</w:t>
      </w:r>
      <w:r w:rsidRPr="00630A55">
        <w:t xml:space="preserve"> the impact on activity and costing due to COVID-19 will become more apparent in </w:t>
      </w:r>
      <w:r w:rsidR="00AC2316">
        <w:t>the FY21/22 IFR</w:t>
      </w:r>
      <w:r w:rsidRPr="00630A55">
        <w:t xml:space="preserve"> (from March 2022). While there were minimal impacts to clinical care costing in </w:t>
      </w:r>
      <w:r w:rsidR="00595A9F">
        <w:t>FY20/21</w:t>
      </w:r>
      <w:r w:rsidRPr="00630A55">
        <w:t xml:space="preserve">, there were signs of incremental increases in costs for PPE and cleaning. The border closures (both in WA and other states) </w:t>
      </w:r>
      <w:r w:rsidR="00316CBD">
        <w:t xml:space="preserve">and vaccine mandates </w:t>
      </w:r>
      <w:r w:rsidRPr="00630A55">
        <w:t xml:space="preserve">also caused workforce issues due to limitations on the accessibility of doctors or specialists from other states. </w:t>
      </w:r>
    </w:p>
    <w:p w14:paraId="15B3C440" w14:textId="77777777" w:rsidR="000242AC" w:rsidRPr="00630A55" w:rsidRDefault="000242AC" w:rsidP="0008151F">
      <w:pPr>
        <w:pStyle w:val="Heading3"/>
        <w:rPr>
          <w:b w:val="0"/>
          <w:color w:val="4FC3FF" w:themeColor="accent2" w:themeTint="99"/>
        </w:rPr>
      </w:pPr>
      <w:r w:rsidRPr="00630A55">
        <w:t xml:space="preserve">Key </w:t>
      </w:r>
      <w:r w:rsidRPr="00185EA5">
        <w:t>learnings</w:t>
      </w:r>
      <w:r w:rsidRPr="00316CBD">
        <w:t xml:space="preserve"> and future improvements</w:t>
      </w:r>
    </w:p>
    <w:p w14:paraId="2C7C894B" w14:textId="5DA97288" w:rsidR="000242AC" w:rsidRPr="00630A55" w:rsidRDefault="000242AC" w:rsidP="00593F15">
      <w:pPr>
        <w:jc w:val="both"/>
      </w:pPr>
      <w:r w:rsidRPr="00630A55">
        <w:t xml:space="preserve">Whilst many HSPs have developed PowerBI dashboards to improve visualisation of costing data and improved access to these reports through common webpages (e.g. PULSE portal data for EMHS), the audience is usually limited to business managers and business analysts. Like many other jurisdictions, WHS acknowledges the opportunity to improve costing literacy across </w:t>
      </w:r>
      <w:r w:rsidR="00710D0C">
        <w:t>WA</w:t>
      </w:r>
      <w:r w:rsidRPr="00630A55">
        <w:t>, at both the hospital and LHN level. DoH</w:t>
      </w:r>
      <w:r w:rsidR="00B32882">
        <w:t>WA</w:t>
      </w:r>
      <w:r w:rsidRPr="00630A55">
        <w:t xml:space="preserve"> is currently looking at how it can support HSPs with their data visualisation, analysis and education activities to maximise their impact and effectiveness. WHS is</w:t>
      </w:r>
      <w:r w:rsidRPr="00630A55" w:rsidDel="00494EEF">
        <w:t xml:space="preserve"> </w:t>
      </w:r>
      <w:r w:rsidR="00494EEF">
        <w:t>planning</w:t>
      </w:r>
      <w:r w:rsidRPr="00630A55">
        <w:t xml:space="preserve"> to increase the unity of activity, clinical and financial forecasting across the WA health system and increase the use of clinical costing data in decision-making processes.</w:t>
      </w:r>
    </w:p>
    <w:p w14:paraId="40ABC502" w14:textId="5FD5ED47" w:rsidR="000242AC" w:rsidRPr="00630A55" w:rsidRDefault="000242AC" w:rsidP="00593F15">
      <w:pPr>
        <w:jc w:val="both"/>
      </w:pPr>
      <w:r w:rsidRPr="00630A55">
        <w:lastRenderedPageBreak/>
        <w:t xml:space="preserve">For future submissions, </w:t>
      </w:r>
      <w:r w:rsidR="00A3274B">
        <w:t>DoHWA</w:t>
      </w:r>
      <w:r w:rsidRPr="00630A55">
        <w:t xml:space="preserve"> are looking to cost blood products and improve non-admitted activities for submission to the IHACPA process. At present, non-admitted activities are excluded from the IHACPA submission, however there are many instances of outpatient activity that is a non-attendance or non-client event. Costs are incurred at these events and their continued exclusion therefore understates overall cost estimates. </w:t>
      </w:r>
    </w:p>
    <w:p w14:paraId="73F331D2" w14:textId="77777777" w:rsidR="000242AC" w:rsidRPr="00630A55" w:rsidRDefault="000242AC" w:rsidP="0008151F">
      <w:pPr>
        <w:pStyle w:val="Heading3"/>
        <w:rPr>
          <w:rFonts w:ascii="Univers 45 Light" w:hAnsi="Univers 45 Light"/>
          <w:b w:val="0"/>
          <w:color w:val="4FC3FF" w:themeColor="accent2" w:themeTint="99"/>
          <w:szCs w:val="20"/>
        </w:rPr>
      </w:pPr>
      <w:r w:rsidRPr="00630A55">
        <w:t>Conclusion</w:t>
      </w:r>
    </w:p>
    <w:p w14:paraId="53CB3994" w14:textId="4C983388" w:rsidR="000242AC" w:rsidRPr="00630A55" w:rsidRDefault="00710D0C" w:rsidP="00593F15">
      <w:pPr>
        <w:jc w:val="both"/>
      </w:pPr>
      <w:r>
        <w:t>WA</w:t>
      </w:r>
      <w:r w:rsidR="000242AC" w:rsidRPr="00630A55">
        <w:t xml:space="preserve"> continues to make best efforts to adhere to AHPCS </w:t>
      </w:r>
      <w:r>
        <w:t>version</w:t>
      </w:r>
      <w:r w:rsidR="00494EEF">
        <w:t> </w:t>
      </w:r>
      <w:r w:rsidR="000242AC" w:rsidRPr="00630A55">
        <w:t xml:space="preserve">4.1 and is compliant with exception to blood products and TTR. </w:t>
      </w:r>
      <w:r>
        <w:t>WA</w:t>
      </w:r>
      <w:r w:rsidR="000242AC" w:rsidRPr="00630A55">
        <w:t xml:space="preserve">’s approach to TTR is currently calculated using an established local methodology. The costs are assigned at a patient level but withheld from the annual submission to IHACPA. </w:t>
      </w:r>
    </w:p>
    <w:p w14:paraId="366CB902" w14:textId="0A2102DB" w:rsidR="000242AC" w:rsidRPr="00630A55" w:rsidRDefault="00710D0C" w:rsidP="00593F15">
      <w:pPr>
        <w:jc w:val="both"/>
      </w:pPr>
      <w:r>
        <w:t>WA</w:t>
      </w:r>
      <w:r w:rsidR="000242AC" w:rsidRPr="00630A55">
        <w:t xml:space="preserve"> reported their costing submission was prepared in accordance with the AHPCS version</w:t>
      </w:r>
      <w:r w:rsidR="006F1483">
        <w:t> </w:t>
      </w:r>
      <w:r w:rsidR="000242AC" w:rsidRPr="00630A55">
        <w:t xml:space="preserve">4.1 for </w:t>
      </w:r>
      <w:r w:rsidR="00595A9F">
        <w:t>FY20/21</w:t>
      </w:r>
      <w:r w:rsidR="000242AC" w:rsidRPr="00630A55">
        <w:t xml:space="preserve">. Based on the methodology outlined above, </w:t>
      </w:r>
      <w:r>
        <w:t>RPH</w:t>
      </w:r>
      <w:r w:rsidR="000242AC" w:rsidRPr="00630A55">
        <w:t xml:space="preserve">, </w:t>
      </w:r>
      <w:r>
        <w:t>PCH</w:t>
      </w:r>
      <w:r w:rsidR="000242AC" w:rsidRPr="00630A55">
        <w:t xml:space="preserve"> and </w:t>
      </w:r>
      <w:r>
        <w:t>AH</w:t>
      </w:r>
      <w:r w:rsidR="000242AC" w:rsidRPr="00630A55">
        <w:t xml:space="preserve"> have suitable reconciliation processes in place and the financial and activity data is considered fit for NHCDC submission. </w:t>
      </w:r>
    </w:p>
    <w:p w14:paraId="07554FF8" w14:textId="77777777" w:rsidR="006B6DF6" w:rsidRPr="00630A55" w:rsidRDefault="006B6DF6" w:rsidP="006B6DF6"/>
    <w:p w14:paraId="2CD5FDD2" w14:textId="70C4B59F" w:rsidR="00535A02" w:rsidRPr="00A16B1D" w:rsidRDefault="00535A02" w:rsidP="00DD4007">
      <w:pPr>
        <w:pStyle w:val="Heading1"/>
      </w:pPr>
      <w:bookmarkStart w:id="83" w:name="_Toc128376731"/>
      <w:r w:rsidRPr="00A16B1D">
        <w:lastRenderedPageBreak/>
        <w:t>IH</w:t>
      </w:r>
      <w:r w:rsidR="00F50B77">
        <w:t>AC</w:t>
      </w:r>
      <w:r w:rsidRPr="00A16B1D">
        <w:t>PA Review</w:t>
      </w:r>
      <w:bookmarkEnd w:id="83"/>
    </w:p>
    <w:p w14:paraId="2FE65D27" w14:textId="3D599798" w:rsidR="00535A02" w:rsidRPr="00A16B1D" w:rsidRDefault="00535A02" w:rsidP="009708A5">
      <w:pPr>
        <w:pStyle w:val="Heading2"/>
      </w:pPr>
      <w:bookmarkStart w:id="84" w:name="_Toc128376732"/>
      <w:r w:rsidRPr="00A16B1D">
        <w:t>IH</w:t>
      </w:r>
      <w:r w:rsidR="00F50B77">
        <w:t>AC</w:t>
      </w:r>
      <w:r w:rsidRPr="00A16B1D">
        <w:t>PA process for the NH</w:t>
      </w:r>
      <w:r w:rsidR="00A07732" w:rsidRPr="00A16B1D">
        <w:t>CDC</w:t>
      </w:r>
      <w:bookmarkEnd w:id="84"/>
    </w:p>
    <w:p w14:paraId="17EEB4C1" w14:textId="2F7A09E8" w:rsidR="009F6DBC" w:rsidRPr="00630A55" w:rsidRDefault="004E612F" w:rsidP="00593F15">
      <w:pPr>
        <w:pStyle w:val="BodyText1"/>
        <w:jc w:val="both"/>
        <w:rPr>
          <w:szCs w:val="24"/>
        </w:rPr>
      </w:pPr>
      <w:r w:rsidRPr="00630A55">
        <w:t>IHACPA’s Three Year Data Plan</w:t>
      </w:r>
      <w:r w:rsidR="009F6DBC" w:rsidRPr="00630A55">
        <w:t xml:space="preserve"> below</w:t>
      </w:r>
      <w:r w:rsidR="002373A5" w:rsidRPr="00630A55">
        <w:t xml:space="preserve"> outlines for each </w:t>
      </w:r>
      <w:r w:rsidR="00494EEF">
        <w:t>r</w:t>
      </w:r>
      <w:r w:rsidR="005C759B">
        <w:t>ound </w:t>
      </w:r>
      <w:r w:rsidR="002373A5" w:rsidRPr="00630A55">
        <w:t>of the NHCDC</w:t>
      </w:r>
      <w:r w:rsidR="00F74B0B" w:rsidRPr="00630A55">
        <w:t xml:space="preserve"> the respective timeframes </w:t>
      </w:r>
      <w:r w:rsidR="007360B0" w:rsidRPr="00630A55">
        <w:t xml:space="preserve">associated with </w:t>
      </w:r>
      <w:r w:rsidR="00EF3475" w:rsidRPr="00630A55">
        <w:t xml:space="preserve">the </w:t>
      </w:r>
      <w:r w:rsidR="007360B0" w:rsidRPr="00630A55">
        <w:t xml:space="preserve">submission of data </w:t>
      </w:r>
      <w:r w:rsidR="00EF3475" w:rsidRPr="00630A55">
        <w:t>through the portal</w:t>
      </w:r>
      <w:r w:rsidR="009F6DBC" w:rsidRPr="00630A55">
        <w:t xml:space="preserve">, </w:t>
      </w:r>
      <w:r w:rsidR="009F6DBC" w:rsidRPr="00630A55">
        <w:rPr>
          <w:szCs w:val="24"/>
        </w:rPr>
        <w:t>validation of data, QA</w:t>
      </w:r>
      <w:r w:rsidR="009D23AB">
        <w:rPr>
          <w:szCs w:val="24"/>
        </w:rPr>
        <w:t> </w:t>
      </w:r>
      <w:r w:rsidR="009F6DBC" w:rsidRPr="00630A55">
        <w:rPr>
          <w:szCs w:val="24"/>
        </w:rPr>
        <w:t>of submitted data and the finalisation of the costing database for the publication of national cost weights by 31 May each year.</w:t>
      </w:r>
    </w:p>
    <w:p w14:paraId="2208E751" w14:textId="2AA31387" w:rsidR="007F4F9E" w:rsidRPr="00630A55" w:rsidRDefault="00442D8E" w:rsidP="00442D8E">
      <w:pPr>
        <w:pStyle w:val="Caption"/>
        <w:rPr>
          <w:i/>
          <w:szCs w:val="24"/>
        </w:rPr>
      </w:pPr>
      <w:r w:rsidRPr="00A8310C">
        <w:rPr>
          <w:b/>
          <w:bCs/>
        </w:rPr>
        <w:t xml:space="preserve">Table </w:t>
      </w:r>
      <w:r w:rsidR="009E5129" w:rsidRPr="00A8310C">
        <w:rPr>
          <w:rFonts w:cs="Arial"/>
          <w:b/>
          <w:bCs/>
        </w:rPr>
        <w:fldChar w:fldCharType="begin"/>
      </w:r>
      <w:r w:rsidR="009E5129" w:rsidRPr="00A8310C">
        <w:rPr>
          <w:rFonts w:cs="Arial"/>
          <w:b/>
          <w:bCs/>
        </w:rPr>
        <w:instrText xml:space="preserve"> SEQ Table \* ARABIC </w:instrText>
      </w:r>
      <w:r w:rsidR="009E5129" w:rsidRPr="00A8310C">
        <w:rPr>
          <w:rFonts w:cs="Arial"/>
          <w:b/>
          <w:bCs/>
        </w:rPr>
        <w:fldChar w:fldCharType="separate"/>
      </w:r>
      <w:r w:rsidR="007E2ACB">
        <w:rPr>
          <w:rFonts w:cs="Arial"/>
          <w:b/>
          <w:bCs/>
          <w:noProof/>
        </w:rPr>
        <w:t>35</w:t>
      </w:r>
      <w:r w:rsidR="009E5129" w:rsidRPr="00A8310C">
        <w:rPr>
          <w:rFonts w:cs="Arial"/>
          <w:b/>
          <w:bCs/>
          <w:noProof/>
        </w:rPr>
        <w:fldChar w:fldCharType="end"/>
      </w:r>
      <w:r w:rsidRPr="00A8310C">
        <w:rPr>
          <w:rFonts w:cs="Arial"/>
          <w:b/>
          <w:bCs/>
        </w:rPr>
        <w:t>:</w:t>
      </w:r>
      <w:r w:rsidR="007F4F9E" w:rsidRPr="00630A55">
        <w:t xml:space="preserve"> </w:t>
      </w:r>
      <w:r w:rsidR="007F4F9E" w:rsidRPr="00630A55">
        <w:rPr>
          <w:szCs w:val="24"/>
        </w:rPr>
        <w:t>NHCDC submission timeline</w:t>
      </w:r>
    </w:p>
    <w:tbl>
      <w:tblPr>
        <w:tblStyle w:val="GridTable4-Accent11"/>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NHCDC submission timeline"/>
        <w:tblDescription w:val="This table shows NHCDC timeframes according to IHPA’s Three Year Data Plan, covering Round 20 to Round 22"/>
      </w:tblPr>
      <w:tblGrid>
        <w:gridCol w:w="1132"/>
        <w:gridCol w:w="1587"/>
        <w:gridCol w:w="1587"/>
        <w:gridCol w:w="1587"/>
        <w:gridCol w:w="1587"/>
        <w:gridCol w:w="1587"/>
      </w:tblGrid>
      <w:tr w:rsidR="007F4F9E" w:rsidRPr="00630A55" w14:paraId="400A901E" w14:textId="77777777" w:rsidTr="00467F5A">
        <w:trPr>
          <w:cnfStyle w:val="100000000000" w:firstRow="1" w:lastRow="0" w:firstColumn="0" w:lastColumn="0" w:oddVBand="0" w:evenVBand="0" w:oddHBand="0" w:evenHBand="0" w:firstRowFirstColumn="0" w:firstRowLastColumn="0" w:lastRowFirstColumn="0" w:lastRowLastColumn="0"/>
          <w:trHeight w:val="554"/>
          <w:tblHeader/>
        </w:trPr>
        <w:tc>
          <w:tcPr>
            <w:cnfStyle w:val="001000000000" w:firstRow="0" w:lastRow="0" w:firstColumn="1" w:lastColumn="0" w:oddVBand="0" w:evenVBand="0" w:oddHBand="0" w:evenHBand="0" w:firstRowFirstColumn="0" w:firstRowLastColumn="0" w:lastRowFirstColumn="0" w:lastRowLastColumn="0"/>
            <w:tcW w:w="625" w:type="pct"/>
            <w:tcBorders>
              <w:top w:val="none" w:sz="0" w:space="0" w:color="auto"/>
              <w:left w:val="none" w:sz="0" w:space="0" w:color="auto"/>
              <w:bottom w:val="none" w:sz="0" w:space="0" w:color="auto"/>
              <w:right w:val="none" w:sz="0" w:space="0" w:color="auto"/>
            </w:tcBorders>
            <w:shd w:val="clear" w:color="auto" w:fill="00338D"/>
          </w:tcPr>
          <w:p w14:paraId="4A9ED575" w14:textId="28FE2FC6" w:rsidR="007F4F9E" w:rsidRPr="00476468" w:rsidRDefault="001B50F5" w:rsidP="0042706A">
            <w:pPr>
              <w:pStyle w:val="TableHeadingcentred"/>
            </w:pPr>
            <w:r>
              <w:t>No</w:t>
            </w:r>
            <w:r w:rsidR="00025B89">
              <w:t xml:space="preserve"> </w:t>
            </w:r>
          </w:p>
        </w:tc>
        <w:tc>
          <w:tcPr>
            <w:tcW w:w="875" w:type="pct"/>
            <w:tcBorders>
              <w:top w:val="none" w:sz="0" w:space="0" w:color="auto"/>
              <w:left w:val="none" w:sz="0" w:space="0" w:color="auto"/>
              <w:bottom w:val="none" w:sz="0" w:space="0" w:color="auto"/>
              <w:right w:val="none" w:sz="0" w:space="0" w:color="auto"/>
            </w:tcBorders>
            <w:shd w:val="clear" w:color="auto" w:fill="00338D"/>
          </w:tcPr>
          <w:p w14:paraId="4A6FCAD6" w14:textId="77777777" w:rsidR="007F4F9E" w:rsidRPr="00476468" w:rsidRDefault="007F4F9E" w:rsidP="0042706A">
            <w:pPr>
              <w:pStyle w:val="TableHeadingcentred"/>
              <w:cnfStyle w:val="100000000000" w:firstRow="1" w:lastRow="0" w:firstColumn="0" w:lastColumn="0" w:oddVBand="0" w:evenVBand="0" w:oddHBand="0" w:evenHBand="0" w:firstRowFirstColumn="0" w:firstRowLastColumn="0" w:lastRowFirstColumn="0" w:lastRowLastColumn="0"/>
            </w:pPr>
            <w:r w:rsidRPr="00476468">
              <w:t>Data reporting period</w:t>
            </w:r>
          </w:p>
        </w:tc>
        <w:tc>
          <w:tcPr>
            <w:tcW w:w="875" w:type="pct"/>
            <w:tcBorders>
              <w:top w:val="none" w:sz="0" w:space="0" w:color="auto"/>
              <w:left w:val="none" w:sz="0" w:space="0" w:color="auto"/>
              <w:bottom w:val="none" w:sz="0" w:space="0" w:color="auto"/>
              <w:right w:val="none" w:sz="0" w:space="0" w:color="auto"/>
            </w:tcBorders>
            <w:shd w:val="clear" w:color="auto" w:fill="00338D"/>
          </w:tcPr>
          <w:p w14:paraId="3DC54BB5" w14:textId="77777777" w:rsidR="007F4F9E" w:rsidRPr="00476468" w:rsidRDefault="007F4F9E" w:rsidP="0042706A">
            <w:pPr>
              <w:pStyle w:val="TableHeadingcentred"/>
              <w:cnfStyle w:val="100000000000" w:firstRow="1" w:lastRow="0" w:firstColumn="0" w:lastColumn="0" w:oddVBand="0" w:evenVBand="0" w:oddHBand="0" w:evenHBand="0" w:firstRowFirstColumn="0" w:firstRowLastColumn="0" w:lastRowFirstColumn="0" w:lastRowLastColumn="0"/>
            </w:pPr>
            <w:r w:rsidRPr="00476468">
              <w:t>Data request sent</w:t>
            </w:r>
          </w:p>
        </w:tc>
        <w:tc>
          <w:tcPr>
            <w:tcW w:w="875" w:type="pct"/>
            <w:tcBorders>
              <w:top w:val="none" w:sz="0" w:space="0" w:color="auto"/>
              <w:left w:val="none" w:sz="0" w:space="0" w:color="auto"/>
              <w:bottom w:val="none" w:sz="0" w:space="0" w:color="auto"/>
              <w:right w:val="none" w:sz="0" w:space="0" w:color="auto"/>
            </w:tcBorders>
            <w:shd w:val="clear" w:color="auto" w:fill="00338D"/>
          </w:tcPr>
          <w:p w14:paraId="54F64208" w14:textId="77777777" w:rsidR="007F4F9E" w:rsidRPr="00476468" w:rsidRDefault="007F4F9E" w:rsidP="0042706A">
            <w:pPr>
              <w:pStyle w:val="TableHeadingcentred"/>
              <w:cnfStyle w:val="100000000000" w:firstRow="1" w:lastRow="0" w:firstColumn="0" w:lastColumn="0" w:oddVBand="0" w:evenVBand="0" w:oddHBand="0" w:evenHBand="0" w:firstRowFirstColumn="0" w:firstRowLastColumn="0" w:lastRowFirstColumn="0" w:lastRowLastColumn="0"/>
            </w:pPr>
            <w:r w:rsidRPr="00476468">
              <w:t>Submission date</w:t>
            </w:r>
          </w:p>
        </w:tc>
        <w:tc>
          <w:tcPr>
            <w:tcW w:w="875" w:type="pct"/>
            <w:tcBorders>
              <w:top w:val="none" w:sz="0" w:space="0" w:color="auto"/>
              <w:left w:val="none" w:sz="0" w:space="0" w:color="auto"/>
              <w:bottom w:val="none" w:sz="0" w:space="0" w:color="auto"/>
              <w:right w:val="none" w:sz="0" w:space="0" w:color="auto"/>
            </w:tcBorders>
            <w:shd w:val="clear" w:color="auto" w:fill="00338D"/>
          </w:tcPr>
          <w:p w14:paraId="06502099" w14:textId="144A1A40" w:rsidR="007F4F9E" w:rsidRPr="00476468" w:rsidRDefault="00B15257" w:rsidP="0042706A">
            <w:pPr>
              <w:pStyle w:val="TableHeadingcentred"/>
              <w:cnfStyle w:val="100000000000" w:firstRow="1" w:lastRow="0" w:firstColumn="0" w:lastColumn="0" w:oddVBand="0" w:evenVBand="0" w:oddHBand="0" w:evenHBand="0" w:firstRowFirstColumn="0" w:firstRowLastColumn="0" w:lastRowFirstColumn="0" w:lastRowLastColumn="0"/>
            </w:pPr>
            <w:r w:rsidRPr="00476468">
              <w:t>IHACPA review date</w:t>
            </w:r>
          </w:p>
        </w:tc>
        <w:tc>
          <w:tcPr>
            <w:tcW w:w="876" w:type="pct"/>
            <w:tcBorders>
              <w:top w:val="none" w:sz="0" w:space="0" w:color="auto"/>
              <w:left w:val="none" w:sz="0" w:space="0" w:color="auto"/>
              <w:bottom w:val="none" w:sz="0" w:space="0" w:color="auto"/>
              <w:right w:val="none" w:sz="0" w:space="0" w:color="auto"/>
            </w:tcBorders>
            <w:shd w:val="clear" w:color="auto" w:fill="00338D"/>
          </w:tcPr>
          <w:p w14:paraId="4AFF5271" w14:textId="327E68BA" w:rsidR="007F4F9E" w:rsidRPr="00476468" w:rsidRDefault="00B15257" w:rsidP="0042706A">
            <w:pPr>
              <w:pStyle w:val="TableHeadingcentred"/>
              <w:cnfStyle w:val="100000000000" w:firstRow="1" w:lastRow="0" w:firstColumn="0" w:lastColumn="0" w:oddVBand="0" w:evenVBand="0" w:oddHBand="0" w:evenHBand="0" w:firstRowFirstColumn="0" w:firstRowLastColumn="0" w:lastRowFirstColumn="0" w:lastRowLastColumn="0"/>
            </w:pPr>
            <w:r w:rsidRPr="00476468">
              <w:t>Resubmission date (if required)</w:t>
            </w:r>
          </w:p>
        </w:tc>
      </w:tr>
      <w:tr w:rsidR="0022196F" w:rsidRPr="00630A55" w14:paraId="7ADE97F3" w14:textId="77777777" w:rsidTr="00467F5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25" w:type="pct"/>
            <w:shd w:val="clear" w:color="auto" w:fill="auto"/>
            <w:noWrap/>
          </w:tcPr>
          <w:p w14:paraId="7047AB48" w14:textId="58C7A42E" w:rsidR="0022196F" w:rsidRPr="00756A4C" w:rsidRDefault="0022196F" w:rsidP="001B50F5">
            <w:pPr>
              <w:pStyle w:val="Tabletext"/>
              <w:jc w:val="center"/>
            </w:pPr>
            <w:r w:rsidRPr="00756A4C">
              <w:t>23</w:t>
            </w:r>
          </w:p>
        </w:tc>
        <w:tc>
          <w:tcPr>
            <w:tcW w:w="875" w:type="pct"/>
            <w:shd w:val="clear" w:color="auto" w:fill="auto"/>
          </w:tcPr>
          <w:p w14:paraId="0882E7F0" w14:textId="56E7FF47" w:rsidR="0022196F" w:rsidRPr="00756A4C" w:rsidRDefault="0022196F" w:rsidP="001B50F5">
            <w:pPr>
              <w:pStyle w:val="Tabletext"/>
              <w:jc w:val="center"/>
              <w:cnfStyle w:val="000000100000" w:firstRow="0" w:lastRow="0" w:firstColumn="0" w:lastColumn="0" w:oddVBand="0" w:evenVBand="0" w:oddHBand="1" w:evenHBand="0" w:firstRowFirstColumn="0" w:firstRowLastColumn="0" w:lastRowFirstColumn="0" w:lastRowLastColumn="0"/>
            </w:pPr>
            <w:r w:rsidRPr="00756A4C">
              <w:t>2018-19</w:t>
            </w:r>
          </w:p>
        </w:tc>
        <w:tc>
          <w:tcPr>
            <w:tcW w:w="875" w:type="pct"/>
            <w:shd w:val="clear" w:color="auto" w:fill="auto"/>
          </w:tcPr>
          <w:p w14:paraId="2108A28E" w14:textId="35E49EA9" w:rsidR="0022196F" w:rsidRPr="00756A4C" w:rsidRDefault="0022196F" w:rsidP="001B50F5">
            <w:pPr>
              <w:pStyle w:val="Tabletext"/>
              <w:jc w:val="center"/>
              <w:cnfStyle w:val="000000100000" w:firstRow="0" w:lastRow="0" w:firstColumn="0" w:lastColumn="0" w:oddVBand="0" w:evenVBand="0" w:oddHBand="1" w:evenHBand="0" w:firstRowFirstColumn="0" w:firstRowLastColumn="0" w:lastRowFirstColumn="0" w:lastRowLastColumn="0"/>
            </w:pPr>
            <w:r w:rsidRPr="00756A4C">
              <w:t>31 Jul 19</w:t>
            </w:r>
          </w:p>
        </w:tc>
        <w:tc>
          <w:tcPr>
            <w:tcW w:w="875" w:type="pct"/>
            <w:shd w:val="clear" w:color="auto" w:fill="auto"/>
            <w:noWrap/>
          </w:tcPr>
          <w:p w14:paraId="6350D62F" w14:textId="1AEE1752" w:rsidR="0022196F" w:rsidRPr="00756A4C" w:rsidRDefault="0022196F" w:rsidP="001B50F5">
            <w:pPr>
              <w:pStyle w:val="Tabletext"/>
              <w:jc w:val="center"/>
              <w:cnfStyle w:val="000000100000" w:firstRow="0" w:lastRow="0" w:firstColumn="0" w:lastColumn="0" w:oddVBand="0" w:evenVBand="0" w:oddHBand="1" w:evenHBand="0" w:firstRowFirstColumn="0" w:firstRowLastColumn="0" w:lastRowFirstColumn="0" w:lastRowLastColumn="0"/>
            </w:pPr>
            <w:r w:rsidRPr="00756A4C">
              <w:t>28 Feb 20</w:t>
            </w:r>
          </w:p>
        </w:tc>
        <w:tc>
          <w:tcPr>
            <w:tcW w:w="875" w:type="pct"/>
            <w:shd w:val="clear" w:color="auto" w:fill="auto"/>
          </w:tcPr>
          <w:p w14:paraId="2F35B68C" w14:textId="43C94A29" w:rsidR="0022196F" w:rsidRPr="00756A4C" w:rsidRDefault="00DA6A13" w:rsidP="001B50F5">
            <w:pPr>
              <w:pStyle w:val="Tabletext"/>
              <w:jc w:val="center"/>
              <w:cnfStyle w:val="000000100000" w:firstRow="0" w:lastRow="0" w:firstColumn="0" w:lastColumn="0" w:oddVBand="0" w:evenVBand="0" w:oddHBand="1" w:evenHBand="0" w:firstRowFirstColumn="0" w:firstRowLastColumn="0" w:lastRowFirstColumn="0" w:lastRowLastColumn="0"/>
            </w:pPr>
            <w:r w:rsidRPr="00756A4C">
              <w:t>31 Mar</w:t>
            </w:r>
            <w:r w:rsidR="0022196F" w:rsidRPr="00756A4C">
              <w:t xml:space="preserve"> 20</w:t>
            </w:r>
          </w:p>
        </w:tc>
        <w:tc>
          <w:tcPr>
            <w:tcW w:w="876" w:type="pct"/>
            <w:shd w:val="clear" w:color="auto" w:fill="auto"/>
          </w:tcPr>
          <w:p w14:paraId="3AA8DACC" w14:textId="2A1DBC7E" w:rsidR="0022196F" w:rsidRPr="00756A4C" w:rsidRDefault="00B315E7" w:rsidP="001B50F5">
            <w:pPr>
              <w:pStyle w:val="Tabletext"/>
              <w:jc w:val="center"/>
              <w:cnfStyle w:val="000000100000" w:firstRow="0" w:lastRow="0" w:firstColumn="0" w:lastColumn="0" w:oddVBand="0" w:evenVBand="0" w:oddHBand="1" w:evenHBand="0" w:firstRowFirstColumn="0" w:firstRowLastColumn="0" w:lastRowFirstColumn="0" w:lastRowLastColumn="0"/>
            </w:pPr>
            <w:r w:rsidRPr="00756A4C">
              <w:t>30 Apr</w:t>
            </w:r>
            <w:r w:rsidR="0022196F" w:rsidRPr="00756A4C">
              <w:t xml:space="preserve"> 20</w:t>
            </w:r>
          </w:p>
        </w:tc>
      </w:tr>
      <w:tr w:rsidR="0022196F" w:rsidRPr="00630A55" w14:paraId="21579B4E" w14:textId="77777777" w:rsidTr="00467F5A">
        <w:trPr>
          <w:trHeight w:val="283"/>
        </w:trPr>
        <w:tc>
          <w:tcPr>
            <w:cnfStyle w:val="001000000000" w:firstRow="0" w:lastRow="0" w:firstColumn="1" w:lastColumn="0" w:oddVBand="0" w:evenVBand="0" w:oddHBand="0" w:evenHBand="0" w:firstRowFirstColumn="0" w:firstRowLastColumn="0" w:lastRowFirstColumn="0" w:lastRowLastColumn="0"/>
            <w:tcW w:w="625" w:type="pct"/>
            <w:shd w:val="clear" w:color="auto" w:fill="auto"/>
            <w:noWrap/>
          </w:tcPr>
          <w:p w14:paraId="48784F4C" w14:textId="549132DC" w:rsidR="0022196F" w:rsidRPr="00756A4C" w:rsidRDefault="0022196F" w:rsidP="001B50F5">
            <w:pPr>
              <w:pStyle w:val="Tabletext"/>
              <w:jc w:val="center"/>
            </w:pPr>
            <w:r w:rsidRPr="00756A4C">
              <w:t>24</w:t>
            </w:r>
          </w:p>
        </w:tc>
        <w:tc>
          <w:tcPr>
            <w:tcW w:w="875" w:type="pct"/>
            <w:shd w:val="clear" w:color="auto" w:fill="auto"/>
          </w:tcPr>
          <w:p w14:paraId="4A86E090" w14:textId="2DDC03AF" w:rsidR="0022196F" w:rsidRPr="00756A4C" w:rsidRDefault="0022196F" w:rsidP="001B50F5">
            <w:pPr>
              <w:pStyle w:val="Tabletext"/>
              <w:jc w:val="center"/>
              <w:cnfStyle w:val="000000000000" w:firstRow="0" w:lastRow="0" w:firstColumn="0" w:lastColumn="0" w:oddVBand="0" w:evenVBand="0" w:oddHBand="0" w:evenHBand="0" w:firstRowFirstColumn="0" w:firstRowLastColumn="0" w:lastRowFirstColumn="0" w:lastRowLastColumn="0"/>
            </w:pPr>
            <w:r w:rsidRPr="00756A4C">
              <w:t>2019-20</w:t>
            </w:r>
          </w:p>
        </w:tc>
        <w:tc>
          <w:tcPr>
            <w:tcW w:w="875" w:type="pct"/>
            <w:shd w:val="clear" w:color="auto" w:fill="auto"/>
          </w:tcPr>
          <w:p w14:paraId="3361D8DE" w14:textId="7063E9B5" w:rsidR="0022196F" w:rsidRPr="00756A4C" w:rsidRDefault="0022196F" w:rsidP="001B50F5">
            <w:pPr>
              <w:pStyle w:val="Tabletext"/>
              <w:jc w:val="center"/>
              <w:cnfStyle w:val="000000000000" w:firstRow="0" w:lastRow="0" w:firstColumn="0" w:lastColumn="0" w:oddVBand="0" w:evenVBand="0" w:oddHBand="0" w:evenHBand="0" w:firstRowFirstColumn="0" w:firstRowLastColumn="0" w:lastRowFirstColumn="0" w:lastRowLastColumn="0"/>
            </w:pPr>
            <w:r w:rsidRPr="00756A4C">
              <w:t>31 Jul 20</w:t>
            </w:r>
          </w:p>
        </w:tc>
        <w:tc>
          <w:tcPr>
            <w:tcW w:w="875" w:type="pct"/>
            <w:shd w:val="clear" w:color="auto" w:fill="auto"/>
            <w:noWrap/>
          </w:tcPr>
          <w:p w14:paraId="4BC98D59" w14:textId="414C7100" w:rsidR="0022196F" w:rsidRPr="00756A4C" w:rsidRDefault="0022196F" w:rsidP="001B50F5">
            <w:pPr>
              <w:pStyle w:val="Tabletext"/>
              <w:jc w:val="center"/>
              <w:cnfStyle w:val="000000000000" w:firstRow="0" w:lastRow="0" w:firstColumn="0" w:lastColumn="0" w:oddVBand="0" w:evenVBand="0" w:oddHBand="0" w:evenHBand="0" w:firstRowFirstColumn="0" w:firstRowLastColumn="0" w:lastRowFirstColumn="0" w:lastRowLastColumn="0"/>
            </w:pPr>
            <w:r w:rsidRPr="00756A4C">
              <w:t>1 Mar 21</w:t>
            </w:r>
          </w:p>
        </w:tc>
        <w:tc>
          <w:tcPr>
            <w:tcW w:w="875" w:type="pct"/>
            <w:shd w:val="clear" w:color="auto" w:fill="auto"/>
          </w:tcPr>
          <w:p w14:paraId="0E405ADD" w14:textId="2CA4A17B" w:rsidR="0022196F" w:rsidRPr="00756A4C" w:rsidRDefault="00DA6A13" w:rsidP="001B50F5">
            <w:pPr>
              <w:pStyle w:val="Tabletext"/>
              <w:jc w:val="center"/>
              <w:cnfStyle w:val="000000000000" w:firstRow="0" w:lastRow="0" w:firstColumn="0" w:lastColumn="0" w:oddVBand="0" w:evenVBand="0" w:oddHBand="0" w:evenHBand="0" w:firstRowFirstColumn="0" w:firstRowLastColumn="0" w:lastRowFirstColumn="0" w:lastRowLastColumn="0"/>
            </w:pPr>
            <w:r w:rsidRPr="00756A4C">
              <w:t>31 Mar</w:t>
            </w:r>
            <w:r w:rsidR="0022196F" w:rsidRPr="00756A4C">
              <w:t xml:space="preserve"> 21</w:t>
            </w:r>
          </w:p>
        </w:tc>
        <w:tc>
          <w:tcPr>
            <w:tcW w:w="876" w:type="pct"/>
            <w:shd w:val="clear" w:color="auto" w:fill="auto"/>
          </w:tcPr>
          <w:p w14:paraId="55EA875B" w14:textId="2361A5A8" w:rsidR="0022196F" w:rsidRPr="00756A4C" w:rsidRDefault="0022196F" w:rsidP="001B50F5">
            <w:pPr>
              <w:pStyle w:val="Tabletext"/>
              <w:jc w:val="center"/>
              <w:cnfStyle w:val="000000000000" w:firstRow="0" w:lastRow="0" w:firstColumn="0" w:lastColumn="0" w:oddVBand="0" w:evenVBand="0" w:oddHBand="0" w:evenHBand="0" w:firstRowFirstColumn="0" w:firstRowLastColumn="0" w:lastRowFirstColumn="0" w:lastRowLastColumn="0"/>
            </w:pPr>
            <w:r w:rsidRPr="00756A4C">
              <w:t>3</w:t>
            </w:r>
            <w:r w:rsidR="00B315E7" w:rsidRPr="00756A4C">
              <w:t>0 Apr</w:t>
            </w:r>
            <w:r w:rsidRPr="00756A4C">
              <w:t xml:space="preserve"> 21</w:t>
            </w:r>
          </w:p>
        </w:tc>
      </w:tr>
      <w:tr w:rsidR="007F4F9E" w:rsidRPr="00630A55" w14:paraId="2F771424" w14:textId="77777777" w:rsidTr="00467F5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25" w:type="pct"/>
            <w:shd w:val="clear" w:color="auto" w:fill="auto"/>
            <w:noWrap/>
          </w:tcPr>
          <w:p w14:paraId="38EDD2BB" w14:textId="6D7A1EAA" w:rsidR="007F4F9E" w:rsidRPr="00756A4C" w:rsidRDefault="007F4F9E" w:rsidP="001B50F5">
            <w:pPr>
              <w:pStyle w:val="Tabletext"/>
              <w:jc w:val="center"/>
            </w:pPr>
            <w:r w:rsidRPr="00756A4C">
              <w:t>2</w:t>
            </w:r>
            <w:r w:rsidR="00CB5A65" w:rsidRPr="00756A4C">
              <w:t>5</w:t>
            </w:r>
          </w:p>
        </w:tc>
        <w:tc>
          <w:tcPr>
            <w:tcW w:w="875" w:type="pct"/>
            <w:shd w:val="clear" w:color="auto" w:fill="auto"/>
          </w:tcPr>
          <w:p w14:paraId="16BA3025" w14:textId="24DD6037" w:rsidR="007F4F9E" w:rsidRPr="00756A4C" w:rsidRDefault="007F4F9E" w:rsidP="001B50F5">
            <w:pPr>
              <w:pStyle w:val="Tabletext"/>
              <w:jc w:val="center"/>
              <w:cnfStyle w:val="000000100000" w:firstRow="0" w:lastRow="0" w:firstColumn="0" w:lastColumn="0" w:oddVBand="0" w:evenVBand="0" w:oddHBand="1" w:evenHBand="0" w:firstRowFirstColumn="0" w:firstRowLastColumn="0" w:lastRowFirstColumn="0" w:lastRowLastColumn="0"/>
            </w:pPr>
            <w:r w:rsidRPr="00756A4C">
              <w:t>20</w:t>
            </w:r>
            <w:r w:rsidR="00B15257" w:rsidRPr="00756A4C">
              <w:t>20</w:t>
            </w:r>
            <w:r w:rsidRPr="00756A4C">
              <w:t>-2</w:t>
            </w:r>
            <w:r w:rsidR="00B15257" w:rsidRPr="00756A4C">
              <w:t>1</w:t>
            </w:r>
          </w:p>
        </w:tc>
        <w:tc>
          <w:tcPr>
            <w:tcW w:w="875" w:type="pct"/>
            <w:shd w:val="clear" w:color="auto" w:fill="auto"/>
          </w:tcPr>
          <w:p w14:paraId="7FD5B79B" w14:textId="7A121996" w:rsidR="007F4F9E" w:rsidRPr="00756A4C" w:rsidRDefault="007F4F9E" w:rsidP="001B50F5">
            <w:pPr>
              <w:pStyle w:val="Tabletext"/>
              <w:jc w:val="center"/>
              <w:cnfStyle w:val="000000100000" w:firstRow="0" w:lastRow="0" w:firstColumn="0" w:lastColumn="0" w:oddVBand="0" w:evenVBand="0" w:oddHBand="1" w:evenHBand="0" w:firstRowFirstColumn="0" w:firstRowLastColumn="0" w:lastRowFirstColumn="0" w:lastRowLastColumn="0"/>
            </w:pPr>
            <w:r w:rsidRPr="00756A4C">
              <w:t>3</w:t>
            </w:r>
            <w:r w:rsidR="00DA6A13" w:rsidRPr="00756A4C">
              <w:t>0</w:t>
            </w:r>
            <w:r w:rsidRPr="00756A4C">
              <w:t xml:space="preserve"> Jul 2</w:t>
            </w:r>
            <w:r w:rsidR="00DA6A13" w:rsidRPr="00756A4C">
              <w:t>1</w:t>
            </w:r>
          </w:p>
        </w:tc>
        <w:tc>
          <w:tcPr>
            <w:tcW w:w="875" w:type="pct"/>
            <w:shd w:val="clear" w:color="auto" w:fill="auto"/>
            <w:noWrap/>
          </w:tcPr>
          <w:p w14:paraId="44F1B00B" w14:textId="6E59CE5A" w:rsidR="007F4F9E" w:rsidRPr="00756A4C" w:rsidRDefault="00DA6A13" w:rsidP="001B50F5">
            <w:pPr>
              <w:pStyle w:val="Tabletext"/>
              <w:jc w:val="center"/>
              <w:cnfStyle w:val="000000100000" w:firstRow="0" w:lastRow="0" w:firstColumn="0" w:lastColumn="0" w:oddVBand="0" w:evenVBand="0" w:oddHBand="1" w:evenHBand="0" w:firstRowFirstColumn="0" w:firstRowLastColumn="0" w:lastRowFirstColumn="0" w:lastRowLastColumn="0"/>
            </w:pPr>
            <w:r w:rsidRPr="00756A4C">
              <w:t>28 Feb 22</w:t>
            </w:r>
          </w:p>
        </w:tc>
        <w:tc>
          <w:tcPr>
            <w:tcW w:w="875" w:type="pct"/>
            <w:shd w:val="clear" w:color="auto" w:fill="auto"/>
          </w:tcPr>
          <w:p w14:paraId="06FB5DDB" w14:textId="448F0102" w:rsidR="007F4F9E" w:rsidRPr="00756A4C" w:rsidRDefault="00DA6A13" w:rsidP="001B50F5">
            <w:pPr>
              <w:pStyle w:val="Tabletext"/>
              <w:jc w:val="center"/>
              <w:cnfStyle w:val="000000100000" w:firstRow="0" w:lastRow="0" w:firstColumn="0" w:lastColumn="0" w:oddVBand="0" w:evenVBand="0" w:oddHBand="1" w:evenHBand="0" w:firstRowFirstColumn="0" w:firstRowLastColumn="0" w:lastRowFirstColumn="0" w:lastRowLastColumn="0"/>
            </w:pPr>
            <w:r w:rsidRPr="00756A4C">
              <w:t>14 Mar</w:t>
            </w:r>
            <w:r w:rsidR="007F4F9E" w:rsidRPr="00756A4C">
              <w:t xml:space="preserve"> 2</w:t>
            </w:r>
            <w:r w:rsidRPr="00756A4C">
              <w:t>2</w:t>
            </w:r>
          </w:p>
        </w:tc>
        <w:tc>
          <w:tcPr>
            <w:tcW w:w="876" w:type="pct"/>
            <w:shd w:val="clear" w:color="auto" w:fill="auto"/>
          </w:tcPr>
          <w:p w14:paraId="744C5573" w14:textId="7D3DB3B7" w:rsidR="007F4F9E" w:rsidRPr="00756A4C" w:rsidRDefault="00DA6A13" w:rsidP="001B50F5">
            <w:pPr>
              <w:pStyle w:val="Tabletext"/>
              <w:jc w:val="center"/>
              <w:cnfStyle w:val="000000100000" w:firstRow="0" w:lastRow="0" w:firstColumn="0" w:lastColumn="0" w:oddVBand="0" w:evenVBand="0" w:oddHBand="1" w:evenHBand="0" w:firstRowFirstColumn="0" w:firstRowLastColumn="0" w:lastRowFirstColumn="0" w:lastRowLastColumn="0"/>
            </w:pPr>
            <w:r w:rsidRPr="00756A4C">
              <w:t>25 Mar 22</w:t>
            </w:r>
          </w:p>
        </w:tc>
      </w:tr>
    </w:tbl>
    <w:p w14:paraId="064C6A32" w14:textId="56A7AB18" w:rsidR="007F4F9E" w:rsidRPr="00630A55" w:rsidRDefault="007F4F9E" w:rsidP="007F4F9E">
      <w:pPr>
        <w:pStyle w:val="Source"/>
      </w:pPr>
      <w:r w:rsidRPr="00630A55">
        <w:t xml:space="preserve">Source: </w:t>
      </w:r>
      <w:r w:rsidR="00BE235C">
        <w:t>IHACPA</w:t>
      </w:r>
      <w:r w:rsidRPr="00630A55">
        <w:t>’s Three Year Data Plan 201</w:t>
      </w:r>
      <w:r w:rsidR="00D458E5" w:rsidRPr="00630A55">
        <w:t>9</w:t>
      </w:r>
      <w:r w:rsidRPr="00630A55">
        <w:t>-</w:t>
      </w:r>
      <w:r w:rsidR="00D458E5" w:rsidRPr="00630A55">
        <w:t>20</w:t>
      </w:r>
      <w:r w:rsidRPr="00630A55">
        <w:t xml:space="preserve"> to 202</w:t>
      </w:r>
      <w:r w:rsidR="00D458E5" w:rsidRPr="00630A55">
        <w:t>1</w:t>
      </w:r>
      <w:r w:rsidRPr="00630A55">
        <w:t>-2</w:t>
      </w:r>
      <w:r w:rsidR="00D458E5" w:rsidRPr="00630A55">
        <w:t>2</w:t>
      </w:r>
    </w:p>
    <w:p w14:paraId="1FFFD651" w14:textId="210A62AD" w:rsidR="00305ABB" w:rsidRPr="00630A55" w:rsidRDefault="00305ABB" w:rsidP="00593F15">
      <w:pPr>
        <w:pStyle w:val="BodyText1"/>
        <w:jc w:val="both"/>
      </w:pPr>
      <w:r w:rsidRPr="00630A55">
        <w:t>IH</w:t>
      </w:r>
      <w:r w:rsidR="002A24FC" w:rsidRPr="00630A55">
        <w:t>AC</w:t>
      </w:r>
      <w:r w:rsidRPr="00630A55">
        <w:t>PA oversees the</w:t>
      </w:r>
      <w:r w:rsidR="002A24FC" w:rsidRPr="00630A55">
        <w:t xml:space="preserve"> </w:t>
      </w:r>
      <w:r w:rsidR="008F737B">
        <w:t>entire</w:t>
      </w:r>
      <w:r w:rsidR="008F737B" w:rsidRPr="00630A55">
        <w:t xml:space="preserve"> </w:t>
      </w:r>
      <w:r w:rsidRPr="00630A55">
        <w:t xml:space="preserve">NHCDC </w:t>
      </w:r>
      <w:r w:rsidR="00FF4249" w:rsidRPr="00630A55">
        <w:t xml:space="preserve">process </w:t>
      </w:r>
      <w:r w:rsidRPr="00630A55">
        <w:t>with continuous involvement of jurisdictional and hospital costing staff as represented through the NHCDC Advisory Committee</w:t>
      </w:r>
      <w:r w:rsidR="00890EC0">
        <w:t xml:space="preserve"> (NAC)</w:t>
      </w:r>
      <w:r w:rsidRPr="00630A55">
        <w:t xml:space="preserve">. During the NHCDC study period, </w:t>
      </w:r>
      <w:r w:rsidR="00BE235C">
        <w:t>IHACPA</w:t>
      </w:r>
      <w:r w:rsidRPr="00630A55">
        <w:t xml:space="preserve"> staff hold internal meetings to discuss the progress of the NHCDC. </w:t>
      </w:r>
    </w:p>
    <w:p w14:paraId="6E9F2A30" w14:textId="57AFAB4E" w:rsidR="00827A0E" w:rsidRPr="00630A55" w:rsidRDefault="00BE235C" w:rsidP="00593F15">
      <w:pPr>
        <w:jc w:val="both"/>
      </w:pPr>
      <w:r>
        <w:t>IHACPA</w:t>
      </w:r>
      <w:r w:rsidR="00305ABB" w:rsidRPr="00630A55">
        <w:t xml:space="preserve">’s process can be separated into various phases, with several tasks performed during each phase. Throughout the NHCDC process, </w:t>
      </w:r>
      <w:r>
        <w:t>IHACPA</w:t>
      </w:r>
      <w:r w:rsidR="00305ABB" w:rsidRPr="00630A55">
        <w:t xml:space="preserve"> communicates with jurisdictions to keep them informed of the progress of their submission.</w:t>
      </w:r>
    </w:p>
    <w:p w14:paraId="43DDD6B7" w14:textId="368FBBEE" w:rsidR="00827A0E" w:rsidRPr="00630A55" w:rsidRDefault="00827A0E" w:rsidP="00593F15">
      <w:pPr>
        <w:pStyle w:val="BodyText1"/>
        <w:jc w:val="both"/>
      </w:pPr>
      <w:r w:rsidRPr="00630A55">
        <w:t xml:space="preserve">Each phase of the process described below applies to all data submitted by </w:t>
      </w:r>
      <w:r w:rsidR="008F737B">
        <w:t>j</w:t>
      </w:r>
      <w:r w:rsidRPr="00630A55">
        <w:t xml:space="preserve">urisdictions at either the </w:t>
      </w:r>
      <w:r w:rsidR="008F737B">
        <w:t>h</w:t>
      </w:r>
      <w:r w:rsidRPr="00630A55">
        <w:t xml:space="preserve">ospital, </w:t>
      </w:r>
      <w:r w:rsidR="008F737B">
        <w:t>n</w:t>
      </w:r>
      <w:r w:rsidRPr="00630A55">
        <w:t xml:space="preserve">etwork or </w:t>
      </w:r>
      <w:r w:rsidR="008F737B">
        <w:t>j</w:t>
      </w:r>
      <w:r w:rsidRPr="00630A55">
        <w:t>urisdictional level.</w:t>
      </w:r>
    </w:p>
    <w:p w14:paraId="5A64E6D2" w14:textId="77B1D105" w:rsidR="00827A0E" w:rsidRPr="00630A55" w:rsidRDefault="00647085" w:rsidP="00647085">
      <w:pPr>
        <w:pStyle w:val="Heading4"/>
      </w:pPr>
      <w:r w:rsidRPr="00630A55">
        <w:t>Data collection process</w:t>
      </w:r>
    </w:p>
    <w:p w14:paraId="24156D58" w14:textId="5F2B3B0B" w:rsidR="00827A0E" w:rsidRPr="00630A55" w:rsidRDefault="00CE4E66" w:rsidP="00593F15">
      <w:pPr>
        <w:jc w:val="both"/>
      </w:pPr>
      <w:r w:rsidRPr="00630A55">
        <w:t xml:space="preserve">For </w:t>
      </w:r>
      <w:r w:rsidR="00595A9F">
        <w:t>FY20/21</w:t>
      </w:r>
      <w:r w:rsidR="008F737B">
        <w:t>,</w:t>
      </w:r>
      <w:r w:rsidRPr="00630A55">
        <w:t xml:space="preserve"> the data portal was available from the </w:t>
      </w:r>
      <w:r w:rsidR="005F5707" w:rsidRPr="00630A55">
        <w:t>4</w:t>
      </w:r>
      <w:r w:rsidR="008F737B">
        <w:rPr>
          <w:vertAlign w:val="superscript"/>
        </w:rPr>
        <w:t> </w:t>
      </w:r>
      <w:r w:rsidR="005F5707" w:rsidRPr="00630A55">
        <w:t xml:space="preserve">January </w:t>
      </w:r>
      <w:r w:rsidR="008F737B">
        <w:t>20</w:t>
      </w:r>
      <w:r w:rsidR="005F5707" w:rsidRPr="00630A55">
        <w:t xml:space="preserve">22, allowing for multiple submissions and resubmissions </w:t>
      </w:r>
      <w:r w:rsidR="002F2CEC" w:rsidRPr="00630A55">
        <w:t>prior to the final submission date.</w:t>
      </w:r>
      <w:r w:rsidR="004E6C6A" w:rsidRPr="00630A55">
        <w:t xml:space="preserve"> Re</w:t>
      </w:r>
      <w:r w:rsidR="008F737B">
        <w:noBreakHyphen/>
      </w:r>
      <w:r w:rsidR="004E6C6A" w:rsidRPr="00630A55">
        <w:t xml:space="preserve">submissions occur </w:t>
      </w:r>
      <w:r w:rsidR="0005671A" w:rsidRPr="00630A55">
        <w:t>after the various cross-validation and linking check</w:t>
      </w:r>
      <w:r w:rsidR="00936775" w:rsidRPr="00630A55">
        <w:t xml:space="preserve"> outputs are validated by the jurisdictions</w:t>
      </w:r>
      <w:r w:rsidR="00B3025F" w:rsidRPr="00630A55">
        <w:t xml:space="preserve"> and any errors are rectified in the source data</w:t>
      </w:r>
      <w:r w:rsidR="00A1222E" w:rsidRPr="00630A55">
        <w:t>.</w:t>
      </w:r>
      <w:r w:rsidR="00B57C92" w:rsidRPr="00630A55">
        <w:t xml:space="preserve"> The validation checks are based on the </w:t>
      </w:r>
      <w:r w:rsidR="001A258F" w:rsidRPr="00630A55">
        <w:t xml:space="preserve">Data Request Specifications (DRS) </w:t>
      </w:r>
      <w:r w:rsidR="001D4ACD">
        <w:t>that</w:t>
      </w:r>
      <w:r w:rsidR="001A258F" w:rsidRPr="00630A55">
        <w:t xml:space="preserve"> are released in the prior year (</w:t>
      </w:r>
      <w:r w:rsidR="00201E3A" w:rsidRPr="00630A55">
        <w:t>25</w:t>
      </w:r>
      <w:r w:rsidR="00201E3A">
        <w:t> </w:t>
      </w:r>
      <w:r w:rsidR="001A258F" w:rsidRPr="00630A55">
        <w:t xml:space="preserve">July 2021 for </w:t>
      </w:r>
      <w:r w:rsidR="00595A9F">
        <w:t>FY20/21</w:t>
      </w:r>
      <w:r w:rsidR="001A258F" w:rsidRPr="00630A55">
        <w:t>)</w:t>
      </w:r>
      <w:r w:rsidR="0081461B" w:rsidRPr="00630A55">
        <w:t xml:space="preserve"> for the upcoming data collection period. The DRS is </w:t>
      </w:r>
      <w:r w:rsidR="00484480" w:rsidRPr="00630A55">
        <w:t>presented to the jurisdictions via the NAC for commentary before publishing, allowing approximately six months to prepare the data from specification to submission.</w:t>
      </w:r>
    </w:p>
    <w:p w14:paraId="49F0902A" w14:textId="2E64D2A7" w:rsidR="00647085" w:rsidRPr="00630A55" w:rsidRDefault="00D60ABB" w:rsidP="00593F15">
      <w:pPr>
        <w:jc w:val="both"/>
      </w:pPr>
      <w:r w:rsidRPr="00630A55">
        <w:t>Two files are submitted by the jurisdiction</w:t>
      </w:r>
      <w:r w:rsidR="009F73A7">
        <w:t>:</w:t>
      </w:r>
      <w:r w:rsidRPr="00630A55">
        <w:t xml:space="preserve"> the CostA</w:t>
      </w:r>
      <w:r w:rsidR="0037393B" w:rsidRPr="00630A55">
        <w:t xml:space="preserve"> (activity)</w:t>
      </w:r>
      <w:r w:rsidRPr="00630A55">
        <w:t xml:space="preserve"> </w:t>
      </w:r>
      <w:r w:rsidR="0037393B" w:rsidRPr="00630A55">
        <w:t>and CostC (cost)</w:t>
      </w:r>
      <w:r w:rsidR="00DD50E3">
        <w:t xml:space="preserve"> files</w:t>
      </w:r>
      <w:r w:rsidR="002E137C" w:rsidRPr="00630A55">
        <w:t>.</w:t>
      </w:r>
    </w:p>
    <w:p w14:paraId="5FA2FE0A" w14:textId="476C4FCD" w:rsidR="00647085" w:rsidRPr="00630A55" w:rsidRDefault="009B0217" w:rsidP="009B0217">
      <w:pPr>
        <w:pStyle w:val="Heading4"/>
      </w:pPr>
      <w:r w:rsidRPr="00630A55">
        <w:t>Transformation of costing data</w:t>
      </w:r>
    </w:p>
    <w:p w14:paraId="4F19CB00" w14:textId="4002A9AF" w:rsidR="00AE32FB" w:rsidRPr="00630A55" w:rsidRDefault="00AE32FB" w:rsidP="00593F15">
      <w:pPr>
        <w:jc w:val="both"/>
      </w:pPr>
      <w:r w:rsidRPr="00630A55">
        <w:t xml:space="preserve">Once jurisdictions confirm that their submitted data </w:t>
      </w:r>
      <w:r w:rsidR="00F73548">
        <w:t>is</w:t>
      </w:r>
      <w:r w:rsidRPr="00630A55">
        <w:t xml:space="preserve"> absent of critical errors and they </w:t>
      </w:r>
      <w:r w:rsidR="003B7D74">
        <w:t>are</w:t>
      </w:r>
      <w:r w:rsidRPr="00630A55">
        <w:t xml:space="preserve"> satisfied with the validation reports, the Extract, Transform and Load (ETL) process is conducted by </w:t>
      </w:r>
      <w:r w:rsidR="00BE235C">
        <w:t>IHACPA</w:t>
      </w:r>
      <w:r w:rsidRPr="00630A55">
        <w:t>’s Data Acquisition</w:t>
      </w:r>
      <w:r w:rsidR="00851DDA">
        <w:t xml:space="preserve"> (DA)</w:t>
      </w:r>
      <w:r w:rsidRPr="00630A55">
        <w:t xml:space="preserve"> </w:t>
      </w:r>
      <w:r w:rsidR="007138D9">
        <w:t>t</w:t>
      </w:r>
      <w:r w:rsidRPr="00630A55">
        <w:t>eam.</w:t>
      </w:r>
    </w:p>
    <w:p w14:paraId="49235ACA" w14:textId="57BA9D46" w:rsidR="003E65CF" w:rsidRDefault="00D723AF" w:rsidP="00593F15">
      <w:pPr>
        <w:jc w:val="both"/>
        <w:rPr>
          <w:highlight w:val="yellow"/>
        </w:rPr>
      </w:pPr>
      <w:r w:rsidRPr="00630A55">
        <w:t>The</w:t>
      </w:r>
      <w:r w:rsidR="00D22425" w:rsidRPr="00630A55">
        <w:t xml:space="preserve"> </w:t>
      </w:r>
      <w:r w:rsidRPr="00630A55">
        <w:t>ETL process</w:t>
      </w:r>
      <w:r w:rsidR="002E137C" w:rsidRPr="00630A55">
        <w:t xml:space="preserve"> </w:t>
      </w:r>
      <w:r w:rsidR="007E783A" w:rsidRPr="00630A55">
        <w:t xml:space="preserve">for </w:t>
      </w:r>
      <w:r w:rsidR="00595A9F">
        <w:t>FY20/21</w:t>
      </w:r>
      <w:r w:rsidR="007E783A" w:rsidRPr="00630A55">
        <w:t xml:space="preserve"> </w:t>
      </w:r>
      <w:r w:rsidR="002E137C" w:rsidRPr="00630A55">
        <w:t>was</w:t>
      </w:r>
      <w:r w:rsidRPr="00630A55">
        <w:t xml:space="preserve"> </w:t>
      </w:r>
      <w:r w:rsidR="002E137C" w:rsidRPr="00630A55">
        <w:t>similar to</w:t>
      </w:r>
      <w:r w:rsidRPr="00630A55">
        <w:t xml:space="preserve"> </w:t>
      </w:r>
      <w:r w:rsidR="00595A9F">
        <w:t>FY19/20</w:t>
      </w:r>
      <w:r w:rsidR="009F73A7">
        <w:t>. T</w:t>
      </w:r>
      <w:r w:rsidR="00B83EA9" w:rsidRPr="00630A55">
        <w:t xml:space="preserve">here were no </w:t>
      </w:r>
      <w:r w:rsidRPr="00630A55">
        <w:t>change</w:t>
      </w:r>
      <w:r w:rsidR="00B83EA9" w:rsidRPr="00630A55">
        <w:t xml:space="preserve">s to the steps required </w:t>
      </w:r>
      <w:r w:rsidRPr="00630A55">
        <w:t xml:space="preserve">or methodology to process data. </w:t>
      </w:r>
      <w:r w:rsidR="00B83EA9" w:rsidRPr="00630A55">
        <w:t>The f</w:t>
      </w:r>
      <w:r w:rsidRPr="00630A55">
        <w:t xml:space="preserve">irst step </w:t>
      </w:r>
      <w:r w:rsidR="00807DF2" w:rsidRPr="00630A55">
        <w:t>in the process is</w:t>
      </w:r>
      <w:r w:rsidRPr="00630A55">
        <w:t xml:space="preserve"> to link</w:t>
      </w:r>
      <w:r w:rsidR="00807DF2" w:rsidRPr="00630A55">
        <w:t xml:space="preserve"> </w:t>
      </w:r>
      <w:r w:rsidR="00A00B10">
        <w:t xml:space="preserve">and validate </w:t>
      </w:r>
      <w:r w:rsidR="00807DF2" w:rsidRPr="00630A55">
        <w:t>the</w:t>
      </w:r>
      <w:r w:rsidRPr="00630A55">
        <w:t xml:space="preserve"> CostA and CostC file</w:t>
      </w:r>
      <w:r w:rsidR="009F73A7">
        <w:t>s</w:t>
      </w:r>
      <w:r w:rsidR="00860666" w:rsidRPr="00630A55">
        <w:t xml:space="preserve"> directly </w:t>
      </w:r>
      <w:r w:rsidR="004D7EF0" w:rsidRPr="00630A55">
        <w:t xml:space="preserve">at the cost bucket level. The second step is to </w:t>
      </w:r>
      <w:r w:rsidRPr="00630A55">
        <w:t xml:space="preserve">link </w:t>
      </w:r>
      <w:r w:rsidR="004D7EF0" w:rsidRPr="00630A55">
        <w:t xml:space="preserve">the </w:t>
      </w:r>
      <w:r w:rsidRPr="00630A55">
        <w:t xml:space="preserve">CostA file </w:t>
      </w:r>
      <w:r w:rsidR="00CC6058" w:rsidRPr="00630A55">
        <w:t>a</w:t>
      </w:r>
      <w:r w:rsidRPr="00630A55">
        <w:t xml:space="preserve">ccording to </w:t>
      </w:r>
      <w:r w:rsidR="00CC6058" w:rsidRPr="00630A55">
        <w:t xml:space="preserve">the </w:t>
      </w:r>
      <w:r w:rsidRPr="00630A55">
        <w:t xml:space="preserve">ABF data source and </w:t>
      </w:r>
      <w:r w:rsidR="002C1AAD">
        <w:t>e</w:t>
      </w:r>
      <w:r w:rsidR="00CC6058" w:rsidRPr="00630A55">
        <w:t>pisode</w:t>
      </w:r>
      <w:r w:rsidRPr="00630A55">
        <w:t xml:space="preserve"> number</w:t>
      </w:r>
      <w:r w:rsidR="00CC6058" w:rsidRPr="00630A55">
        <w:t xml:space="preserve"> aligned with </w:t>
      </w:r>
      <w:r w:rsidRPr="00630A55">
        <w:t>establishment ID</w:t>
      </w:r>
      <w:r w:rsidR="002C1AAD">
        <w:t>s</w:t>
      </w:r>
      <w:r w:rsidR="005D24A4">
        <w:t xml:space="preserve"> and </w:t>
      </w:r>
      <w:r w:rsidRPr="00945DF4">
        <w:t>prepare the whole patient record</w:t>
      </w:r>
      <w:r w:rsidR="00BF26D9">
        <w:t>,</w:t>
      </w:r>
      <w:r w:rsidRPr="00945DF4">
        <w:t xml:space="preserve"> incl</w:t>
      </w:r>
      <w:r w:rsidR="005D24A4" w:rsidRPr="00945DF4">
        <w:t>uding</w:t>
      </w:r>
      <w:r w:rsidRPr="00945DF4">
        <w:t xml:space="preserve"> cost profiles at cost bucket level</w:t>
      </w:r>
      <w:r w:rsidR="005D24A4" w:rsidRPr="00945DF4">
        <w:t>.</w:t>
      </w:r>
      <w:r w:rsidRPr="00945DF4">
        <w:t xml:space="preserve"> </w:t>
      </w:r>
      <w:r w:rsidR="00884FD1">
        <w:t xml:space="preserve">After this </w:t>
      </w:r>
      <w:r w:rsidR="00CA2F70">
        <w:t>linking</w:t>
      </w:r>
      <w:r w:rsidR="00C818ED">
        <w:t>,</w:t>
      </w:r>
      <w:r w:rsidR="00CA2F70">
        <w:t xml:space="preserve"> </w:t>
      </w:r>
      <w:r w:rsidR="006C3371">
        <w:t xml:space="preserve">the team </w:t>
      </w:r>
      <w:r w:rsidR="001F7A0F">
        <w:t>investigate</w:t>
      </w:r>
      <w:r w:rsidR="006C3371">
        <w:t xml:space="preserve"> </w:t>
      </w:r>
      <w:r w:rsidR="004826C3">
        <w:t>the unqualified bab</w:t>
      </w:r>
      <w:r w:rsidR="00DA5891">
        <w:t>y</w:t>
      </w:r>
      <w:r w:rsidR="004826C3">
        <w:t xml:space="preserve"> cost</w:t>
      </w:r>
      <w:r w:rsidR="00DA5891">
        <w:t xml:space="preserve"> (UQB)</w:t>
      </w:r>
      <w:r w:rsidR="004826C3">
        <w:t xml:space="preserve"> allocation and </w:t>
      </w:r>
      <w:r w:rsidR="004826C3" w:rsidRPr="004826C3">
        <w:t xml:space="preserve">link all the UQB to their </w:t>
      </w:r>
      <w:r w:rsidR="004826C3" w:rsidRPr="004826C3">
        <w:lastRenderedPageBreak/>
        <w:t>mother</w:t>
      </w:r>
      <w:r w:rsidR="00A050F2">
        <w:t>,</w:t>
      </w:r>
      <w:r w:rsidR="004826C3" w:rsidRPr="004826C3">
        <w:t xml:space="preserve"> where the costs should belong</w:t>
      </w:r>
      <w:r w:rsidR="00BF26D9">
        <w:t>. I</w:t>
      </w:r>
      <w:r w:rsidR="004826C3" w:rsidRPr="004826C3">
        <w:t>f there are no linked UQBs</w:t>
      </w:r>
      <w:r w:rsidR="00BF26D9">
        <w:t>,</w:t>
      </w:r>
      <w:r w:rsidR="004826C3" w:rsidRPr="004826C3">
        <w:t xml:space="preserve"> </w:t>
      </w:r>
      <w:r w:rsidR="00A050F2">
        <w:t>these</w:t>
      </w:r>
      <w:r w:rsidR="004826C3">
        <w:t xml:space="preserve"> costs</w:t>
      </w:r>
      <w:r w:rsidR="00A050F2">
        <w:t xml:space="preserve"> are </w:t>
      </w:r>
      <w:r w:rsidR="004826C3" w:rsidRPr="004826C3">
        <w:t>remove</w:t>
      </w:r>
      <w:r w:rsidR="00A050F2">
        <w:t>d</w:t>
      </w:r>
      <w:r w:rsidR="004826C3" w:rsidRPr="004826C3">
        <w:t>.</w:t>
      </w:r>
      <w:r w:rsidR="00A050F2">
        <w:t xml:space="preserve"> </w:t>
      </w:r>
      <w:r w:rsidR="00572E5F" w:rsidRPr="00572E5F">
        <w:t xml:space="preserve">The UQB adjustment combines the costs of a UQB separation to a </w:t>
      </w:r>
      <w:r w:rsidR="00572E5F" w:rsidRPr="00442D8E">
        <w:t>mother</w:t>
      </w:r>
      <w:r w:rsidR="00572E5F" w:rsidRPr="00572E5F">
        <w:t xml:space="preserve"> separation. This is not an additional cost</w:t>
      </w:r>
      <w:r w:rsidR="00BF26D9">
        <w:t>,</w:t>
      </w:r>
      <w:r w:rsidR="00572E5F" w:rsidRPr="00572E5F">
        <w:t xml:space="preserve"> but a movement of costs between patients.</w:t>
      </w:r>
    </w:p>
    <w:p w14:paraId="002749D4" w14:textId="49AA10CB" w:rsidR="00647085" w:rsidRPr="00630A55" w:rsidRDefault="00142CFA" w:rsidP="00593F15">
      <w:pPr>
        <w:jc w:val="both"/>
      </w:pPr>
      <w:r w:rsidRPr="008E32B1">
        <w:t>All errors are</w:t>
      </w:r>
      <w:r w:rsidR="00D723AF" w:rsidRPr="008E32B1">
        <w:t xml:space="preserve"> normally fed back to </w:t>
      </w:r>
      <w:r w:rsidR="00A419EE">
        <w:t>jurisdictions</w:t>
      </w:r>
      <w:r w:rsidR="00D723AF" w:rsidRPr="008E32B1">
        <w:t xml:space="preserve"> </w:t>
      </w:r>
      <w:r w:rsidR="009B2502">
        <w:t xml:space="preserve">with a </w:t>
      </w:r>
      <w:r w:rsidR="00D723AF" w:rsidRPr="008E32B1">
        <w:t>recon</w:t>
      </w:r>
      <w:r w:rsidR="00864FF4" w:rsidRPr="008E32B1">
        <w:t>ciliation</w:t>
      </w:r>
      <w:r w:rsidR="00D723AF" w:rsidRPr="008E32B1">
        <w:t xml:space="preserve"> table</w:t>
      </w:r>
      <w:r w:rsidR="009B2502">
        <w:t xml:space="preserve"> </w:t>
      </w:r>
      <w:r w:rsidR="00297867">
        <w:t xml:space="preserve">to track movements </w:t>
      </w:r>
      <w:r w:rsidR="00864FF4" w:rsidRPr="008E32B1">
        <w:t xml:space="preserve">between CostA and CostC </w:t>
      </w:r>
      <w:r w:rsidR="007934F5" w:rsidRPr="008E32B1">
        <w:t>linking</w:t>
      </w:r>
      <w:r w:rsidR="0064093F">
        <w:t>,</w:t>
      </w:r>
      <w:r w:rsidR="008F42F2">
        <w:t xml:space="preserve"> </w:t>
      </w:r>
      <w:r w:rsidR="007934F5" w:rsidRPr="008E32B1">
        <w:t>in</w:t>
      </w:r>
      <w:r w:rsidR="008F42F2">
        <w:t xml:space="preserve"> </w:t>
      </w:r>
      <w:r w:rsidR="00D723AF" w:rsidRPr="008E32B1">
        <w:t>preparation of</w:t>
      </w:r>
      <w:r w:rsidR="00B22A8D">
        <w:t xml:space="preserve"> final</w:t>
      </w:r>
      <w:r w:rsidR="00D723AF" w:rsidRPr="008E32B1">
        <w:t xml:space="preserve"> data </w:t>
      </w:r>
      <w:r w:rsidR="0064093F">
        <w:t xml:space="preserve">tables </w:t>
      </w:r>
      <w:r w:rsidR="00D723AF" w:rsidRPr="008E32B1">
        <w:t xml:space="preserve">for QA. </w:t>
      </w:r>
      <w:r w:rsidR="00851DDA">
        <w:t xml:space="preserve">The DA team </w:t>
      </w:r>
      <w:r w:rsidR="007E3F01">
        <w:t xml:space="preserve">provides </w:t>
      </w:r>
      <w:r w:rsidR="00851DDA">
        <w:t>st</w:t>
      </w:r>
      <w:r w:rsidR="007E3F01">
        <w:t>r</w:t>
      </w:r>
      <w:r w:rsidR="00851DDA">
        <w:t xml:space="preserve">eam level jurisdictional </w:t>
      </w:r>
      <w:r w:rsidR="007E3F01">
        <w:t>data and v</w:t>
      </w:r>
      <w:r w:rsidR="0022767B" w:rsidRPr="008E32B1">
        <w:t>arious</w:t>
      </w:r>
      <w:r w:rsidR="00D723AF" w:rsidRPr="008E32B1">
        <w:t xml:space="preserve"> reports to </w:t>
      </w:r>
      <w:r w:rsidR="0022767B" w:rsidRPr="008E32B1">
        <w:t>the</w:t>
      </w:r>
      <w:r w:rsidR="00D723AF" w:rsidRPr="008E32B1">
        <w:t xml:space="preserve"> </w:t>
      </w:r>
      <w:r w:rsidR="007138D9">
        <w:t>C</w:t>
      </w:r>
      <w:r w:rsidR="00D723AF" w:rsidRPr="008E32B1">
        <w:t xml:space="preserve">osting and </w:t>
      </w:r>
      <w:r w:rsidR="007138D9">
        <w:t>A</w:t>
      </w:r>
      <w:r w:rsidR="00D723AF" w:rsidRPr="008E32B1">
        <w:t xml:space="preserve">nalytics team to </w:t>
      </w:r>
      <w:r w:rsidR="00BF26D9">
        <w:t>commence</w:t>
      </w:r>
      <w:r w:rsidR="00D723AF" w:rsidRPr="008E32B1">
        <w:t xml:space="preserve"> the QA process.</w:t>
      </w:r>
      <w:r w:rsidR="007E3F01">
        <w:t xml:space="preserve"> </w:t>
      </w:r>
      <w:r w:rsidR="00F15D4D" w:rsidRPr="008E32B1">
        <w:t>At this stage</w:t>
      </w:r>
      <w:r w:rsidR="00BF26D9">
        <w:t>,</w:t>
      </w:r>
      <w:r w:rsidR="00D723AF" w:rsidRPr="008E32B1">
        <w:t xml:space="preserve"> the mental health </w:t>
      </w:r>
      <w:r w:rsidR="002868D7" w:rsidRPr="008E32B1">
        <w:t>dat</w:t>
      </w:r>
      <w:r w:rsidR="00617921">
        <w:t>a</w:t>
      </w:r>
      <w:r w:rsidR="002868D7" w:rsidRPr="008E32B1">
        <w:t xml:space="preserve"> is also analysed</w:t>
      </w:r>
      <w:r w:rsidR="00230CBF" w:rsidRPr="008E32B1">
        <w:t xml:space="preserve"> </w:t>
      </w:r>
      <w:r w:rsidR="00405EC5" w:rsidRPr="008E32B1">
        <w:t xml:space="preserve">with </w:t>
      </w:r>
      <w:r w:rsidR="00D723AF" w:rsidRPr="008E32B1">
        <w:t>consolidat</w:t>
      </w:r>
      <w:r w:rsidR="00405EC5" w:rsidRPr="008E32B1">
        <w:t xml:space="preserve">ion of </w:t>
      </w:r>
      <w:r w:rsidR="00D723AF" w:rsidRPr="008E32B1">
        <w:t xml:space="preserve">episode and phase-level data </w:t>
      </w:r>
      <w:r w:rsidR="00A77923">
        <w:t>and finally</w:t>
      </w:r>
      <w:r w:rsidR="00942F2B">
        <w:t>,</w:t>
      </w:r>
      <w:r w:rsidR="00E1432F" w:rsidRPr="008E32B1">
        <w:t xml:space="preserve"> </w:t>
      </w:r>
      <w:r w:rsidR="00D723AF" w:rsidRPr="008E32B1">
        <w:t>group patients according to care type.</w:t>
      </w:r>
    </w:p>
    <w:p w14:paraId="70185A54" w14:textId="75894AFD" w:rsidR="00EC591D" w:rsidRPr="00630A55" w:rsidRDefault="00EC591D" w:rsidP="00EC591D">
      <w:pPr>
        <w:pStyle w:val="Heading4"/>
      </w:pPr>
      <w:r w:rsidRPr="00630A55">
        <w:t>Quality assurance reports</w:t>
      </w:r>
    </w:p>
    <w:p w14:paraId="6E1272EE" w14:textId="6F8480F8" w:rsidR="009B0217" w:rsidRPr="00630A55" w:rsidRDefault="002C0B44" w:rsidP="00593F15">
      <w:pPr>
        <w:jc w:val="both"/>
      </w:pPr>
      <w:r w:rsidRPr="002C0B44">
        <w:t xml:space="preserve">The first </w:t>
      </w:r>
      <w:r w:rsidR="007E3F01">
        <w:t xml:space="preserve">check performed by the </w:t>
      </w:r>
      <w:r w:rsidR="004E75C9">
        <w:t>a</w:t>
      </w:r>
      <w:r>
        <w:t>nalytics team</w:t>
      </w:r>
      <w:r w:rsidRPr="002C0B44">
        <w:t xml:space="preserve"> is </w:t>
      </w:r>
      <w:r>
        <w:t>to</w:t>
      </w:r>
      <w:r w:rsidRPr="002C0B44">
        <w:t xml:space="preserve"> </w:t>
      </w:r>
      <w:r w:rsidR="007E3F01">
        <w:t xml:space="preserve">define variables including current classification versions for each stream and checks to ensure </w:t>
      </w:r>
      <w:r w:rsidR="00A60925">
        <w:t xml:space="preserve">there are </w:t>
      </w:r>
      <w:r w:rsidR="007E3F01">
        <w:t>no duplicates in the data before c</w:t>
      </w:r>
      <w:r w:rsidRPr="002C0B44">
        <w:t>ombin</w:t>
      </w:r>
      <w:r w:rsidR="007E3F01">
        <w:t xml:space="preserve">ing all streams into a jurisdictional dataset at a stream and product level. </w:t>
      </w:r>
      <w:r>
        <w:t xml:space="preserve">The </w:t>
      </w:r>
      <w:r w:rsidRPr="002C0B44">
        <w:t xml:space="preserve">same process </w:t>
      </w:r>
      <w:r>
        <w:t xml:space="preserve">is run </w:t>
      </w:r>
      <w:r w:rsidRPr="002C0B44">
        <w:t xml:space="preserve">for </w:t>
      </w:r>
      <w:r w:rsidR="0079644A">
        <w:t>previous</w:t>
      </w:r>
      <w:r w:rsidRPr="002C0B44">
        <w:t xml:space="preserve"> years</w:t>
      </w:r>
      <w:r w:rsidR="00BF26D9">
        <w:t>’</w:t>
      </w:r>
      <w:r w:rsidRPr="002C0B44">
        <w:t xml:space="preserve"> data using the </w:t>
      </w:r>
      <w:r w:rsidR="007E3F01">
        <w:t xml:space="preserve">current year </w:t>
      </w:r>
      <w:r w:rsidRPr="002C0B44">
        <w:t>classification</w:t>
      </w:r>
      <w:r w:rsidR="0079644A">
        <w:t xml:space="preserve"> version</w:t>
      </w:r>
      <w:r w:rsidRPr="002C0B44">
        <w:t xml:space="preserve"> of the DRG </w:t>
      </w:r>
      <w:r>
        <w:t xml:space="preserve">to </w:t>
      </w:r>
      <w:r w:rsidRPr="002C0B44">
        <w:t>allow</w:t>
      </w:r>
      <w:r>
        <w:t xml:space="preserve"> for</w:t>
      </w:r>
      <w:r w:rsidRPr="002C0B44">
        <w:t xml:space="preserve"> </w:t>
      </w:r>
      <w:r w:rsidR="007E14E9" w:rsidRPr="002C0B44">
        <w:t>like-to-like</w:t>
      </w:r>
      <w:r w:rsidRPr="002C0B44">
        <w:t xml:space="preserve"> comparison.</w:t>
      </w:r>
    </w:p>
    <w:p w14:paraId="40AA397D" w14:textId="4052DDF9" w:rsidR="005A4590" w:rsidRPr="00630A55" w:rsidRDefault="002C0B44" w:rsidP="00593F15">
      <w:pPr>
        <w:jc w:val="both"/>
      </w:pPr>
      <w:r w:rsidRPr="002C0B44">
        <w:t xml:space="preserve">For Mental Health </w:t>
      </w:r>
      <w:r>
        <w:t>data</w:t>
      </w:r>
      <w:r w:rsidR="00BF26D9">
        <w:t>,</w:t>
      </w:r>
      <w:r>
        <w:t xml:space="preserve"> there are </w:t>
      </w:r>
      <w:r w:rsidRPr="002C0B44">
        <w:t>three types of files</w:t>
      </w:r>
      <w:r w:rsidR="007E3F01">
        <w:t xml:space="preserve">: </w:t>
      </w:r>
      <w:r w:rsidRPr="002C0B44">
        <w:t>admitted, episode and phase level</w:t>
      </w:r>
      <w:r w:rsidR="00B0180C">
        <w:t>.</w:t>
      </w:r>
      <w:r>
        <w:t xml:space="preserve"> </w:t>
      </w:r>
      <w:r w:rsidR="007E3F01">
        <w:t xml:space="preserve">Like the other streams, checks are performed to ensure no duplicates </w:t>
      </w:r>
      <w:r w:rsidR="00A60925">
        <w:t xml:space="preserve">exist </w:t>
      </w:r>
      <w:r w:rsidR="007E3F01">
        <w:t xml:space="preserve">within the three data sets. </w:t>
      </w:r>
      <w:r w:rsidR="008707C5">
        <w:t>I</w:t>
      </w:r>
      <w:r w:rsidRPr="002C0B44">
        <w:t xml:space="preserve">f </w:t>
      </w:r>
      <w:r w:rsidR="009F271C">
        <w:t xml:space="preserve">duplicates </w:t>
      </w:r>
      <w:r w:rsidR="00E10AE9">
        <w:t xml:space="preserve">are </w:t>
      </w:r>
      <w:r w:rsidR="009F271C">
        <w:t xml:space="preserve">found, jurisdictions </w:t>
      </w:r>
      <w:r w:rsidR="00D22093">
        <w:t>are requested</w:t>
      </w:r>
      <w:r w:rsidR="009F271C">
        <w:t xml:space="preserve"> to fix the errors and re-submit their data if required</w:t>
      </w:r>
      <w:r w:rsidR="00D22093">
        <w:t>. Any resubmitted</w:t>
      </w:r>
      <w:r w:rsidR="009F271C">
        <w:t xml:space="preserve"> data will </w:t>
      </w:r>
      <w:r w:rsidR="00D22093">
        <w:t xml:space="preserve">progress </w:t>
      </w:r>
      <w:r w:rsidR="009F271C">
        <w:t>again through validations, ETL process and QA report</w:t>
      </w:r>
      <w:r w:rsidR="00D22093">
        <w:t>ing as described</w:t>
      </w:r>
      <w:r w:rsidR="009F271C">
        <w:t>.</w:t>
      </w:r>
    </w:p>
    <w:p w14:paraId="1EFEC433" w14:textId="55EEBF90" w:rsidR="005A4590" w:rsidRPr="00630A55" w:rsidRDefault="00A5263D" w:rsidP="00593F15">
      <w:pPr>
        <w:jc w:val="both"/>
      </w:pPr>
      <w:r>
        <w:t xml:space="preserve">The next step is to </w:t>
      </w:r>
      <w:r w:rsidR="008707C5">
        <w:t>en</w:t>
      </w:r>
      <w:r w:rsidRPr="00A5263D">
        <w:t xml:space="preserve">sure the stream level files </w:t>
      </w:r>
      <w:r w:rsidR="007D419B">
        <w:t xml:space="preserve">were </w:t>
      </w:r>
      <w:r w:rsidRPr="00A5263D">
        <w:t>capture</w:t>
      </w:r>
      <w:r w:rsidR="007D419B">
        <w:t>d</w:t>
      </w:r>
      <w:r w:rsidRPr="00A5263D">
        <w:t xml:space="preserve"> accurately </w:t>
      </w:r>
      <w:r w:rsidR="007D419B">
        <w:t xml:space="preserve">from the source data while noting </w:t>
      </w:r>
      <w:r w:rsidRPr="00A5263D">
        <w:t>any exclusions</w:t>
      </w:r>
      <w:r w:rsidR="007D419B">
        <w:t>, for example the</w:t>
      </w:r>
      <w:r w:rsidRPr="00A5263D">
        <w:t xml:space="preserve"> removal of UQB records. </w:t>
      </w:r>
      <w:r w:rsidR="00E51A64">
        <w:t xml:space="preserve">Outlier </w:t>
      </w:r>
      <w:r w:rsidR="008707C5">
        <w:t>WIP</w:t>
      </w:r>
      <w:r w:rsidR="007D419B">
        <w:t xml:space="preserve"> </w:t>
      </w:r>
      <w:r w:rsidRPr="00A5263D">
        <w:t>episodes</w:t>
      </w:r>
      <w:r w:rsidR="007D419B">
        <w:t xml:space="preserve"> are also </w:t>
      </w:r>
      <w:r w:rsidR="007E14E9">
        <w:t>marked</w:t>
      </w:r>
      <w:r w:rsidRPr="00A5263D">
        <w:t xml:space="preserve"> and jurisdictions </w:t>
      </w:r>
      <w:r w:rsidR="00E51A64">
        <w:t xml:space="preserve">advised </w:t>
      </w:r>
      <w:r w:rsidR="00614E93">
        <w:t>wh</w:t>
      </w:r>
      <w:r w:rsidR="001366AA">
        <w:t>ich</w:t>
      </w:r>
      <w:r w:rsidR="00614E93">
        <w:t xml:space="preserve"> transactions are </w:t>
      </w:r>
      <w:r w:rsidRPr="00A5263D">
        <w:t>going to</w:t>
      </w:r>
      <w:r w:rsidR="00614E93">
        <w:t xml:space="preserve"> be</w:t>
      </w:r>
      <w:r w:rsidRPr="00A5263D">
        <w:t xml:space="preserve"> remove</w:t>
      </w:r>
      <w:r w:rsidR="00614E93">
        <w:t>d</w:t>
      </w:r>
      <w:r w:rsidRPr="00A5263D">
        <w:t xml:space="preserve"> going forward. </w:t>
      </w:r>
      <w:r w:rsidR="00D54FCD" w:rsidRPr="00D54FCD">
        <w:t>The</w:t>
      </w:r>
      <w:r w:rsidR="00A075E0">
        <w:t xml:space="preserve"> final QA</w:t>
      </w:r>
      <w:r w:rsidR="00D54FCD" w:rsidRPr="00D54FCD">
        <w:t xml:space="preserve"> workbook contains numerous tabs with tables and graphs (including in</w:t>
      </w:r>
      <w:r w:rsidR="00A81718">
        <w:t>-</w:t>
      </w:r>
      <w:r w:rsidR="00D54FCD" w:rsidRPr="00D54FCD">
        <w:t xml:space="preserve"> and out</w:t>
      </w:r>
      <w:r w:rsidR="00A81718">
        <w:t>-</w:t>
      </w:r>
      <w:r w:rsidR="00D54FCD" w:rsidRPr="00D54FCD">
        <w:t>of</w:t>
      </w:r>
      <w:r w:rsidR="00A81718">
        <w:t>-</w:t>
      </w:r>
      <w:r w:rsidR="00D54FCD" w:rsidRPr="00D54FCD">
        <w:t>scope</w:t>
      </w:r>
      <w:r w:rsidR="009F271C">
        <w:t xml:space="preserve"> records</w:t>
      </w:r>
      <w:r w:rsidR="00D54FCD" w:rsidRPr="00D54FCD">
        <w:t xml:space="preserve">) analysing </w:t>
      </w:r>
      <w:r w:rsidR="009F271C">
        <w:t xml:space="preserve">data for </w:t>
      </w:r>
      <w:r w:rsidR="00D54FCD" w:rsidRPr="00D54FCD">
        <w:t>current year verses previous years</w:t>
      </w:r>
      <w:r w:rsidR="008707C5">
        <w:t>,</w:t>
      </w:r>
      <w:r w:rsidR="00A075E0">
        <w:t xml:space="preserve"> </w:t>
      </w:r>
      <w:r w:rsidR="00512314">
        <w:t xml:space="preserve">with </w:t>
      </w:r>
      <w:r w:rsidR="008707C5">
        <w:t>y</w:t>
      </w:r>
      <w:r w:rsidR="00A075E0">
        <w:t>ear</w:t>
      </w:r>
      <w:r w:rsidR="00A81718">
        <w:t>-</w:t>
      </w:r>
      <w:r w:rsidR="00A075E0">
        <w:t>on</w:t>
      </w:r>
      <w:r w:rsidR="00A81718">
        <w:t>-</w:t>
      </w:r>
      <w:r w:rsidR="008707C5">
        <w:t>y</w:t>
      </w:r>
      <w:r w:rsidR="00A075E0">
        <w:t>ear grow</w:t>
      </w:r>
      <w:r w:rsidR="00A075E0" w:rsidRPr="00A5263D">
        <w:t xml:space="preserve">th </w:t>
      </w:r>
      <w:r w:rsidR="009F271C">
        <w:t>of</w:t>
      </w:r>
      <w:r w:rsidR="00A075E0" w:rsidRPr="00A5263D">
        <w:t xml:space="preserve"> more </w:t>
      </w:r>
      <w:r w:rsidR="007E14E9" w:rsidRPr="00A5263D">
        <w:t>than</w:t>
      </w:r>
      <w:r w:rsidR="00A075E0" w:rsidRPr="00A5263D">
        <w:t xml:space="preserve"> 25</w:t>
      </w:r>
      <w:r w:rsidR="009007DA">
        <w:t> per cent</w:t>
      </w:r>
      <w:r w:rsidR="009F271C">
        <w:t xml:space="preserve"> highlighted for jurisdictional review</w:t>
      </w:r>
      <w:r w:rsidR="00D54FCD" w:rsidRPr="00D54FCD">
        <w:t>. The tables are conditionally formatted to quickly highlight results that diverge from the accepted tolerances.</w:t>
      </w:r>
    </w:p>
    <w:p w14:paraId="637B5C92" w14:textId="294D2386" w:rsidR="00EC591D" w:rsidRPr="00630A55" w:rsidRDefault="00A61D9F" w:rsidP="00593F15">
      <w:pPr>
        <w:jc w:val="both"/>
      </w:pPr>
      <w:r w:rsidRPr="00A61D9F">
        <w:t>The</w:t>
      </w:r>
      <w:r w:rsidR="00B402FF">
        <w:t xml:space="preserve">se </w:t>
      </w:r>
      <w:r w:rsidRPr="00A61D9F">
        <w:t>reports</w:t>
      </w:r>
      <w:r w:rsidR="00B402FF">
        <w:t xml:space="preserve"> are </w:t>
      </w:r>
      <w:r w:rsidR="009F271C">
        <w:t xml:space="preserve">provided to jurisdictions within two weeks </w:t>
      </w:r>
      <w:r w:rsidR="00F33416">
        <w:t>of</w:t>
      </w:r>
      <w:r w:rsidRPr="00A61D9F">
        <w:t xml:space="preserve"> the</w:t>
      </w:r>
      <w:r w:rsidR="009F271C">
        <w:t>ir</w:t>
      </w:r>
      <w:r w:rsidRPr="00A61D9F">
        <w:t xml:space="preserve"> </w:t>
      </w:r>
      <w:r w:rsidR="00F33416">
        <w:t>completed</w:t>
      </w:r>
      <w:r w:rsidRPr="00A61D9F">
        <w:t xml:space="preserve"> submission</w:t>
      </w:r>
      <w:r w:rsidR="00F33416">
        <w:t>;</w:t>
      </w:r>
      <w:r w:rsidR="00B402FF">
        <w:t xml:space="preserve"> </w:t>
      </w:r>
      <w:r w:rsidR="00F33416">
        <w:t>h</w:t>
      </w:r>
      <w:r w:rsidR="00B402FF">
        <w:t>owever</w:t>
      </w:r>
      <w:r w:rsidR="008707C5">
        <w:t>,</w:t>
      </w:r>
      <w:r w:rsidR="00B402FF">
        <w:t xml:space="preserve"> </w:t>
      </w:r>
      <w:r w:rsidR="00446133">
        <w:t xml:space="preserve">in the event of data </w:t>
      </w:r>
      <w:r w:rsidR="00B402FF">
        <w:t>change</w:t>
      </w:r>
      <w:r w:rsidR="00446133">
        <w:t>s</w:t>
      </w:r>
      <w:r w:rsidR="00B402FF">
        <w:t xml:space="preserve"> </w:t>
      </w:r>
      <w:r w:rsidR="009F271C">
        <w:t>leading to</w:t>
      </w:r>
      <w:r w:rsidR="00B402FF">
        <w:t xml:space="preserve"> a resubmission</w:t>
      </w:r>
      <w:r w:rsidR="008707C5">
        <w:t>,</w:t>
      </w:r>
      <w:r w:rsidR="00B402FF">
        <w:t xml:space="preserve"> </w:t>
      </w:r>
      <w:r w:rsidR="002B1A7E">
        <w:t xml:space="preserve">the team </w:t>
      </w:r>
      <w:r w:rsidR="009F271C">
        <w:t>rerun</w:t>
      </w:r>
      <w:r w:rsidRPr="00A61D9F">
        <w:t xml:space="preserve"> those</w:t>
      </w:r>
      <w:r w:rsidR="009F271C">
        <w:t xml:space="preserve"> QA</w:t>
      </w:r>
      <w:r w:rsidRPr="00A61D9F">
        <w:t xml:space="preserve"> reports. </w:t>
      </w:r>
    </w:p>
    <w:p w14:paraId="78C9EC9E" w14:textId="77777777" w:rsidR="006A136D" w:rsidRPr="00630A55" w:rsidRDefault="006A136D" w:rsidP="006A136D">
      <w:pPr>
        <w:pStyle w:val="Heading4"/>
      </w:pPr>
      <w:r w:rsidRPr="00630A55">
        <w:t>Final submission and output</w:t>
      </w:r>
    </w:p>
    <w:p w14:paraId="24101F53" w14:textId="5B0570E4" w:rsidR="00B85AB4" w:rsidRPr="00630A55" w:rsidRDefault="00B85AB4" w:rsidP="00593F15">
      <w:pPr>
        <w:jc w:val="both"/>
      </w:pPr>
      <w:r w:rsidRPr="00630A55">
        <w:t xml:space="preserve">Final sign-off </w:t>
      </w:r>
      <w:r w:rsidR="00471839" w:rsidRPr="00630A55">
        <w:t xml:space="preserve">within IHACPA involves </w:t>
      </w:r>
      <w:r w:rsidR="004E41B3" w:rsidRPr="00630A55">
        <w:t>confirmation</w:t>
      </w:r>
      <w:r w:rsidR="00471839" w:rsidRPr="00630A55">
        <w:t xml:space="preserve"> from jurisdictional representatives </w:t>
      </w:r>
      <w:r w:rsidR="00ED36E9" w:rsidRPr="00630A55">
        <w:t xml:space="preserve">prior to the creation of the national </w:t>
      </w:r>
      <w:r w:rsidR="00363334" w:rsidRPr="00630A55">
        <w:t>database</w:t>
      </w:r>
      <w:r w:rsidR="00ED36E9" w:rsidRPr="00630A55">
        <w:t xml:space="preserve"> and cost weight tables. </w:t>
      </w:r>
      <w:r w:rsidR="00E13C27">
        <w:t xml:space="preserve">The </w:t>
      </w:r>
      <w:r w:rsidR="00713492">
        <w:t>IHACPA c</w:t>
      </w:r>
      <w:r w:rsidR="00E13C27">
        <w:t xml:space="preserve">osting team prepare </w:t>
      </w:r>
      <w:r w:rsidR="0067286C" w:rsidRPr="00630A55">
        <w:t>a minute to the E</w:t>
      </w:r>
      <w:r w:rsidR="00CF58AA">
        <w:t xml:space="preserve">xecutive </w:t>
      </w:r>
      <w:r w:rsidR="0067286C" w:rsidRPr="00630A55">
        <w:t>D</w:t>
      </w:r>
      <w:r w:rsidR="00CF58AA">
        <w:t xml:space="preserve">irector </w:t>
      </w:r>
      <w:r w:rsidR="00E13C27">
        <w:t xml:space="preserve">of Data and Infrastructure Branch </w:t>
      </w:r>
      <w:r w:rsidR="0067286C" w:rsidRPr="00630A55">
        <w:t>with a detailed QA checklist that reconciles back to the ETL</w:t>
      </w:r>
      <w:r w:rsidR="00F64B8B" w:rsidRPr="00630A55">
        <w:t xml:space="preserve"> reports for approval</w:t>
      </w:r>
      <w:r w:rsidR="00E13C27">
        <w:t xml:space="preserve">, this </w:t>
      </w:r>
      <w:r w:rsidR="00371B8D">
        <w:t>is</w:t>
      </w:r>
      <w:r w:rsidR="00E13C27">
        <w:t xml:space="preserve"> then signed off by the </w:t>
      </w:r>
      <w:r w:rsidR="00F64B8B" w:rsidRPr="00630A55">
        <w:t>IHACPA C</w:t>
      </w:r>
      <w:r w:rsidR="00AF02D6">
        <w:t xml:space="preserve">hief </w:t>
      </w:r>
      <w:r w:rsidR="00F64B8B" w:rsidRPr="00630A55">
        <w:t>E</w:t>
      </w:r>
      <w:r w:rsidR="00AF02D6">
        <w:t xml:space="preserve">xecutive </w:t>
      </w:r>
      <w:r w:rsidR="00F64B8B" w:rsidRPr="00630A55">
        <w:t>O</w:t>
      </w:r>
      <w:r w:rsidR="00AF02D6">
        <w:t>fficer</w:t>
      </w:r>
      <w:r w:rsidR="00E13C27">
        <w:t xml:space="preserve"> </w:t>
      </w:r>
      <w:r w:rsidR="00371B8D">
        <w:t xml:space="preserve">for </w:t>
      </w:r>
      <w:r w:rsidR="00E13C27">
        <w:t xml:space="preserve">release to jurisdictions. </w:t>
      </w:r>
    </w:p>
    <w:p w14:paraId="56F7B47B" w14:textId="77777777" w:rsidR="007702FD" w:rsidRPr="00A16B1D" w:rsidRDefault="007702FD" w:rsidP="00016192">
      <w:pPr>
        <w:pStyle w:val="Heading2"/>
      </w:pPr>
      <w:bookmarkStart w:id="85" w:name="_Toc128376733"/>
      <w:r w:rsidRPr="00A16B1D">
        <w:t>Improvements</w:t>
      </w:r>
      <w:bookmarkEnd w:id="85"/>
    </w:p>
    <w:p w14:paraId="29FC4147" w14:textId="597BDA1E" w:rsidR="00292074" w:rsidRPr="00630A55" w:rsidRDefault="00292074" w:rsidP="00292074">
      <w:pPr>
        <w:pStyle w:val="Heading4"/>
      </w:pPr>
      <w:r w:rsidRPr="00630A55">
        <w:t xml:space="preserve">Improvements since </w:t>
      </w:r>
      <w:r w:rsidR="00595A9F">
        <w:t>FY19/20</w:t>
      </w:r>
    </w:p>
    <w:p w14:paraId="4D60FAF0" w14:textId="584278E2" w:rsidR="00292074" w:rsidRPr="00630A55" w:rsidRDefault="007E75C8" w:rsidP="00593F15">
      <w:pPr>
        <w:pStyle w:val="BodyTextkeepwithnext"/>
      </w:pPr>
      <w:r>
        <w:t xml:space="preserve">Although there were no major changes to the </w:t>
      </w:r>
      <w:r w:rsidR="008578F4">
        <w:t>data submission process, t</w:t>
      </w:r>
      <w:r w:rsidR="00292074" w:rsidRPr="00630A55">
        <w:t xml:space="preserve">he following improvements for </w:t>
      </w:r>
      <w:r w:rsidR="00595A9F">
        <w:t>FY20/21</w:t>
      </w:r>
      <w:r w:rsidR="00292074" w:rsidRPr="00630A55">
        <w:t xml:space="preserve"> were identified:</w:t>
      </w:r>
    </w:p>
    <w:p w14:paraId="13234A16" w14:textId="59CE4AED" w:rsidR="003D105A" w:rsidRDefault="00E657FD" w:rsidP="00593F15">
      <w:pPr>
        <w:pStyle w:val="Bullet1stlevel"/>
        <w:jc w:val="both"/>
      </w:pPr>
      <w:r w:rsidRPr="00E657FD">
        <w:t xml:space="preserve">IHACPA released the National Benchmarking Portal, </w:t>
      </w:r>
      <w:r w:rsidR="001D4ACD">
        <w:t>that</w:t>
      </w:r>
      <w:r w:rsidRPr="00E657FD">
        <w:t xml:space="preserve"> contained costing data for the three rounds up to </w:t>
      </w:r>
      <w:r w:rsidR="00595A9F">
        <w:t>FY19/20</w:t>
      </w:r>
      <w:r w:rsidRPr="00E657FD">
        <w:t>.</w:t>
      </w:r>
    </w:p>
    <w:p w14:paraId="062EDF2C" w14:textId="2121A0A8" w:rsidR="00E750F8" w:rsidRDefault="00236576" w:rsidP="00593F15">
      <w:pPr>
        <w:pStyle w:val="Bullet1stlevel"/>
        <w:jc w:val="both"/>
      </w:pPr>
      <w:r>
        <w:lastRenderedPageBreak/>
        <w:t>The creation of new cost buckets</w:t>
      </w:r>
      <w:r w:rsidR="00CC3915">
        <w:t xml:space="preserve"> </w:t>
      </w:r>
      <w:r w:rsidR="0080440A">
        <w:t xml:space="preserve">associated with </w:t>
      </w:r>
      <w:r w:rsidR="00CC3915">
        <w:t>COVID-19 cost</w:t>
      </w:r>
      <w:r w:rsidR="0080440A">
        <w:t>s</w:t>
      </w:r>
      <w:r w:rsidR="00435F85">
        <w:t>;</w:t>
      </w:r>
      <w:r w:rsidR="006779D6">
        <w:t xml:space="preserve"> these costs were captured separately </w:t>
      </w:r>
      <w:r w:rsidR="00EF0EF7">
        <w:t xml:space="preserve">through the latest cost matrix </w:t>
      </w:r>
      <w:r w:rsidR="006779D6">
        <w:t xml:space="preserve">and needed to </w:t>
      </w:r>
      <w:r w:rsidR="004E33BB">
        <w:t xml:space="preserve">be </w:t>
      </w:r>
      <w:r w:rsidR="00CE0E3E">
        <w:t>incorporate</w:t>
      </w:r>
      <w:r w:rsidR="004E33BB">
        <w:t>d</w:t>
      </w:r>
      <w:r w:rsidR="00CE0E3E">
        <w:t xml:space="preserve"> </w:t>
      </w:r>
      <w:r w:rsidR="006779D6">
        <w:t>with the whole submission</w:t>
      </w:r>
      <w:r w:rsidR="00B63ED0">
        <w:t>.</w:t>
      </w:r>
    </w:p>
    <w:p w14:paraId="69011090" w14:textId="7D51FABA" w:rsidR="000200AF" w:rsidRDefault="00057762" w:rsidP="00593F15">
      <w:pPr>
        <w:pStyle w:val="Bullet1stlevel"/>
        <w:jc w:val="both"/>
      </w:pPr>
      <w:r>
        <w:t>Continued i</w:t>
      </w:r>
      <w:r w:rsidR="00DA3901">
        <w:t>mprovements in the QA reports</w:t>
      </w:r>
      <w:r w:rsidR="00C208B9">
        <w:t>,</w:t>
      </w:r>
      <w:r w:rsidR="00FF4004">
        <w:t xml:space="preserve"> </w:t>
      </w:r>
      <w:r w:rsidR="00365197">
        <w:t>such as</w:t>
      </w:r>
      <w:r w:rsidR="00D477C5">
        <w:t xml:space="preserve"> highlighting trends </w:t>
      </w:r>
      <w:r w:rsidR="009B3217">
        <w:t xml:space="preserve">with prior </w:t>
      </w:r>
      <w:r w:rsidR="00882B89">
        <w:t>year</w:t>
      </w:r>
      <w:r w:rsidR="00C208B9">
        <w:t>,</w:t>
      </w:r>
      <w:r w:rsidR="00937426">
        <w:t xml:space="preserve"> </w:t>
      </w:r>
      <w:r w:rsidR="006B4F41">
        <w:t xml:space="preserve">to allow </w:t>
      </w:r>
      <w:r w:rsidR="00865F17">
        <w:t>jurisdictions</w:t>
      </w:r>
      <w:r w:rsidR="00331609">
        <w:t xml:space="preserve"> to </w:t>
      </w:r>
      <w:r w:rsidR="00633215">
        <w:t>make changes during the submission process</w:t>
      </w:r>
      <w:r w:rsidR="005C4C43">
        <w:t xml:space="preserve"> if required.</w:t>
      </w:r>
    </w:p>
    <w:p w14:paraId="7AA39BF3" w14:textId="044736F8" w:rsidR="00566ABB" w:rsidRPr="00630A55" w:rsidRDefault="00566ABB" w:rsidP="00566ABB">
      <w:pPr>
        <w:pStyle w:val="Heading4"/>
      </w:pPr>
      <w:r w:rsidRPr="00630A55">
        <w:t xml:space="preserve">Future improvements in development for </w:t>
      </w:r>
      <w:r w:rsidR="00595A9F">
        <w:t>FY</w:t>
      </w:r>
      <w:r w:rsidR="004E33BB">
        <w:t>21</w:t>
      </w:r>
      <w:r w:rsidR="00595A9F">
        <w:t>/2</w:t>
      </w:r>
      <w:r w:rsidR="004E33BB">
        <w:t>2</w:t>
      </w:r>
      <w:r w:rsidRPr="00630A55">
        <w:t xml:space="preserve"> </w:t>
      </w:r>
    </w:p>
    <w:p w14:paraId="71A2C0AC" w14:textId="11A3526D" w:rsidR="00566ABB" w:rsidRPr="00630A55" w:rsidRDefault="00566ABB" w:rsidP="00593F15">
      <w:pPr>
        <w:pStyle w:val="BodyTextkeepwithnext"/>
      </w:pPr>
      <w:r w:rsidRPr="00630A55">
        <w:t xml:space="preserve">The following improvements for </w:t>
      </w:r>
      <w:r w:rsidR="00AC2316">
        <w:t>the FY21/22 IFR</w:t>
      </w:r>
      <w:r w:rsidR="0044137B" w:rsidRPr="00630A55">
        <w:t xml:space="preserve"> and beyond</w:t>
      </w:r>
      <w:r w:rsidRPr="00630A55">
        <w:t xml:space="preserve"> were identified:</w:t>
      </w:r>
    </w:p>
    <w:p w14:paraId="57968B3B" w14:textId="28875A15" w:rsidR="00E51629" w:rsidRDefault="00614B2D" w:rsidP="00593F15">
      <w:pPr>
        <w:pStyle w:val="Bullet1stlevel"/>
        <w:jc w:val="both"/>
      </w:pPr>
      <w:r>
        <w:t>T</w:t>
      </w:r>
      <w:r w:rsidR="00B34987">
        <w:t xml:space="preserve">he ETL process </w:t>
      </w:r>
      <w:r w:rsidR="003D2BC7">
        <w:t>will only collect the CostC file</w:t>
      </w:r>
      <w:r w:rsidR="003378E5">
        <w:t xml:space="preserve">, as </w:t>
      </w:r>
      <w:r w:rsidR="007C0E99">
        <w:t>CostA information is already collected from the activity data submission</w:t>
      </w:r>
      <w:r w:rsidR="00EA7A86">
        <w:t>. This simplifi</w:t>
      </w:r>
      <w:r w:rsidR="009A42FD">
        <w:t>cation</w:t>
      </w:r>
      <w:r w:rsidR="00EA7A86">
        <w:t xml:space="preserve"> will improve the runtime</w:t>
      </w:r>
      <w:r w:rsidR="00301CB1">
        <w:t xml:space="preserve"> </w:t>
      </w:r>
      <w:r w:rsidR="00915389">
        <w:t>and performance of running the ETL process</w:t>
      </w:r>
      <w:r w:rsidR="00C143C8">
        <w:t xml:space="preserve"> and will provide</w:t>
      </w:r>
      <w:r w:rsidR="000037AF">
        <w:t xml:space="preserve"> a simplified reconciliation report</w:t>
      </w:r>
      <w:r w:rsidR="00D273DC">
        <w:t>.</w:t>
      </w:r>
    </w:p>
    <w:p w14:paraId="15F2DF07" w14:textId="23417C98" w:rsidR="002A73D2" w:rsidRDefault="005C5577" w:rsidP="00593F15">
      <w:pPr>
        <w:pStyle w:val="Bullet1stlevel"/>
        <w:jc w:val="both"/>
      </w:pPr>
      <w:r>
        <w:t xml:space="preserve">IHACPA are still working </w:t>
      </w:r>
      <w:r w:rsidR="003D105A">
        <w:t xml:space="preserve">towards </w:t>
      </w:r>
      <w:r w:rsidR="00B64739">
        <w:t>automating QA reports that are available at the time of submission</w:t>
      </w:r>
      <w:r w:rsidR="00E12454">
        <w:t>, enabling</w:t>
      </w:r>
      <w:r w:rsidR="00D95ADF">
        <w:t xml:space="preserve"> jurisdictions </w:t>
      </w:r>
      <w:r w:rsidR="00E12454">
        <w:t xml:space="preserve">to </w:t>
      </w:r>
      <w:r w:rsidR="00D95ADF">
        <w:t xml:space="preserve">receive the validated QA report immediately to conduct </w:t>
      </w:r>
      <w:r w:rsidR="00802582">
        <w:t>reviews</w:t>
      </w:r>
      <w:r w:rsidR="00E12454">
        <w:t>.</w:t>
      </w:r>
      <w:r w:rsidR="00802582">
        <w:t xml:space="preserve"> </w:t>
      </w:r>
      <w:r w:rsidR="00E12454">
        <w:t>T</w:t>
      </w:r>
      <w:r w:rsidR="00802582">
        <w:t>his</w:t>
      </w:r>
      <w:r w:rsidR="00E12454">
        <w:t xml:space="preserve"> improvement</w:t>
      </w:r>
      <w:r w:rsidR="00802582">
        <w:t xml:space="preserve"> will speed up the whole submission process for both parties. While </w:t>
      </w:r>
      <w:r w:rsidR="00B64739">
        <w:t>this was close to being implemented for Rounds 25 and 26</w:t>
      </w:r>
      <w:r w:rsidR="00802582">
        <w:t xml:space="preserve">, </w:t>
      </w:r>
      <w:r w:rsidR="009C1ADB">
        <w:t xml:space="preserve">an efficient working data portal </w:t>
      </w:r>
      <w:r w:rsidR="00802582">
        <w:t xml:space="preserve">continues to be </w:t>
      </w:r>
      <w:r w:rsidR="009C1ADB">
        <w:t>a goal for IHACPA team.</w:t>
      </w:r>
    </w:p>
    <w:p w14:paraId="280A3464" w14:textId="77777777" w:rsidR="00E56F3B" w:rsidRPr="00630A55" w:rsidRDefault="00E56F3B" w:rsidP="00360CDD">
      <w:pPr>
        <w:pStyle w:val="BodyText"/>
      </w:pPr>
    </w:p>
    <w:p w14:paraId="3C2773D6" w14:textId="77777777" w:rsidR="002510CE" w:rsidRPr="00630A55" w:rsidRDefault="002510CE" w:rsidP="00360CDD">
      <w:pPr>
        <w:pStyle w:val="BodyText"/>
        <w:sectPr w:rsidR="002510CE" w:rsidRPr="00630A55" w:rsidSect="00146B60">
          <w:pgSz w:w="11906" w:h="16838"/>
          <w:pgMar w:top="1134" w:right="1418" w:bottom="1418" w:left="1418" w:header="709" w:footer="454" w:gutter="0"/>
          <w:cols w:space="708"/>
          <w:docGrid w:linePitch="360"/>
        </w:sectPr>
      </w:pPr>
    </w:p>
    <w:p w14:paraId="6C3E926F" w14:textId="288294A8" w:rsidR="000F23B5" w:rsidRPr="00630A55" w:rsidRDefault="008B1414" w:rsidP="004A36B0">
      <w:pPr>
        <w:pStyle w:val="Appendixheading"/>
      </w:pPr>
      <w:bookmarkStart w:id="86" w:name="_Toc128376734"/>
      <w:r w:rsidRPr="00630A55">
        <w:lastRenderedPageBreak/>
        <w:t xml:space="preserve">. </w:t>
      </w:r>
      <w:bookmarkStart w:id="87" w:name="glossary"/>
      <w:bookmarkEnd w:id="87"/>
      <w:r w:rsidR="000F23B5" w:rsidRPr="00630A55">
        <w:t>Acronym/Abbreviation</w:t>
      </w:r>
      <w:bookmarkEnd w:id="86"/>
    </w:p>
    <w:tbl>
      <w:tblPr>
        <w:tblStyle w:val="ListTable4-Accent11"/>
        <w:tblW w:w="680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5386"/>
      </w:tblGrid>
      <w:tr w:rsidR="00751D61" w:rsidRPr="00751D61" w14:paraId="7CEEE953" w14:textId="77777777" w:rsidTr="00F12D2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18" w:type="dxa"/>
            <w:shd w:val="clear" w:color="auto" w:fill="002060"/>
            <w:noWrap/>
            <w:hideMark/>
          </w:tcPr>
          <w:p w14:paraId="6BF96ECF" w14:textId="06819DE8" w:rsidR="00751D61" w:rsidRPr="00F12D23" w:rsidRDefault="00BD2D7A" w:rsidP="00751D61">
            <w:pPr>
              <w:spacing w:before="0" w:after="0"/>
              <w:rPr>
                <w:rFonts w:cs="Arial"/>
              </w:rPr>
            </w:pPr>
            <w:r w:rsidRPr="00F12D23">
              <w:rPr>
                <w:rFonts w:cs="Arial"/>
              </w:rPr>
              <w:t>Acronym</w:t>
            </w:r>
          </w:p>
        </w:tc>
        <w:tc>
          <w:tcPr>
            <w:tcW w:w="5386" w:type="dxa"/>
            <w:shd w:val="clear" w:color="auto" w:fill="002060"/>
            <w:noWrap/>
            <w:hideMark/>
          </w:tcPr>
          <w:p w14:paraId="5B1CDA48" w14:textId="7E5AE955" w:rsidR="00751D61" w:rsidRPr="00F12D23" w:rsidRDefault="00BD2D7A" w:rsidP="00751D61">
            <w:pPr>
              <w:spacing w:before="0" w:after="0"/>
              <w:cnfStyle w:val="100000000000" w:firstRow="1" w:lastRow="0" w:firstColumn="0" w:lastColumn="0" w:oddVBand="0" w:evenVBand="0" w:oddHBand="0" w:evenHBand="0" w:firstRowFirstColumn="0" w:firstRowLastColumn="0" w:lastRowFirstColumn="0" w:lastRowLastColumn="0"/>
              <w:rPr>
                <w:rFonts w:cs="Arial"/>
              </w:rPr>
            </w:pPr>
            <w:r w:rsidRPr="00F12D23">
              <w:rPr>
                <w:rFonts w:cs="Arial"/>
              </w:rPr>
              <w:t>Description</w:t>
            </w:r>
          </w:p>
        </w:tc>
      </w:tr>
      <w:tr w:rsidR="00BD2D7A" w:rsidRPr="00751D61" w14:paraId="04135109" w14:textId="77777777" w:rsidTr="00E4140A">
        <w:trPr>
          <w:trHeight w:val="288"/>
        </w:trPr>
        <w:tc>
          <w:tcPr>
            <w:cnfStyle w:val="001000000000" w:firstRow="0" w:lastRow="0" w:firstColumn="1" w:lastColumn="0" w:oddVBand="0" w:evenVBand="0" w:oddHBand="0" w:evenHBand="0" w:firstRowFirstColumn="0" w:firstRowLastColumn="0" w:lastRowFirstColumn="0" w:lastRowLastColumn="0"/>
            <w:tcW w:w="1418" w:type="dxa"/>
            <w:noWrap/>
          </w:tcPr>
          <w:p w14:paraId="17652545" w14:textId="50866FA2" w:rsidR="00BD2D7A" w:rsidRPr="00751D61" w:rsidRDefault="00BD2D7A" w:rsidP="00BD2D7A">
            <w:pPr>
              <w:spacing w:before="0" w:after="0"/>
              <w:rPr>
                <w:rFonts w:cs="Arial"/>
                <w:color w:val="000000"/>
              </w:rPr>
            </w:pPr>
            <w:r w:rsidRPr="00751D61">
              <w:rPr>
                <w:rFonts w:cs="Arial"/>
                <w:color w:val="000000"/>
              </w:rPr>
              <w:t>ABF</w:t>
            </w:r>
          </w:p>
        </w:tc>
        <w:tc>
          <w:tcPr>
            <w:tcW w:w="5386" w:type="dxa"/>
            <w:noWrap/>
          </w:tcPr>
          <w:p w14:paraId="1E537DF1" w14:textId="507583E0" w:rsidR="00BD2D7A" w:rsidRPr="00751D61" w:rsidRDefault="00BD2D7A" w:rsidP="00BD2D7A">
            <w:pPr>
              <w:spacing w:before="0" w:after="0"/>
              <w:cnfStyle w:val="000000000000" w:firstRow="0" w:lastRow="0" w:firstColumn="0" w:lastColumn="0" w:oddVBand="0" w:evenVBand="0" w:oddHBand="0" w:evenHBand="0" w:firstRowFirstColumn="0" w:firstRowLastColumn="0" w:lastRowFirstColumn="0" w:lastRowLastColumn="0"/>
              <w:rPr>
                <w:rFonts w:cs="Arial"/>
                <w:color w:val="000000"/>
              </w:rPr>
            </w:pPr>
            <w:r w:rsidRPr="00751D61">
              <w:rPr>
                <w:rFonts w:cs="Arial"/>
                <w:color w:val="000000"/>
              </w:rPr>
              <w:t xml:space="preserve">Activity Based Funding </w:t>
            </w:r>
          </w:p>
        </w:tc>
      </w:tr>
      <w:tr w:rsidR="00751D61" w:rsidRPr="00751D61" w14:paraId="061C75F9" w14:textId="77777777" w:rsidTr="00E4140A">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747A07F1" w14:textId="77777777" w:rsidR="00751D61" w:rsidRPr="00751D61" w:rsidRDefault="00751D61" w:rsidP="00751D61">
            <w:pPr>
              <w:spacing w:before="0" w:after="0"/>
              <w:rPr>
                <w:rFonts w:cs="Arial"/>
                <w:color w:val="000000"/>
              </w:rPr>
            </w:pPr>
            <w:r w:rsidRPr="00751D61">
              <w:rPr>
                <w:rFonts w:cs="Arial"/>
                <w:color w:val="000000"/>
              </w:rPr>
              <w:t>ACT</w:t>
            </w:r>
          </w:p>
        </w:tc>
        <w:tc>
          <w:tcPr>
            <w:tcW w:w="5386" w:type="dxa"/>
            <w:noWrap/>
            <w:hideMark/>
          </w:tcPr>
          <w:p w14:paraId="088F8CE2" w14:textId="77777777" w:rsidR="00751D61" w:rsidRPr="00751D61" w:rsidRDefault="00751D61" w:rsidP="00751D61">
            <w:pPr>
              <w:spacing w:before="0" w:after="0"/>
              <w:cnfStyle w:val="000000000000" w:firstRow="0" w:lastRow="0" w:firstColumn="0" w:lastColumn="0" w:oddVBand="0" w:evenVBand="0" w:oddHBand="0" w:evenHBand="0" w:firstRowFirstColumn="0" w:firstRowLastColumn="0" w:lastRowFirstColumn="0" w:lastRowLastColumn="0"/>
              <w:rPr>
                <w:rFonts w:cs="Arial"/>
                <w:color w:val="000000"/>
              </w:rPr>
            </w:pPr>
            <w:r w:rsidRPr="00751D61">
              <w:rPr>
                <w:rFonts w:cs="Arial"/>
                <w:color w:val="000000"/>
              </w:rPr>
              <w:t xml:space="preserve">Australian Capital Territory </w:t>
            </w:r>
          </w:p>
        </w:tc>
      </w:tr>
      <w:tr w:rsidR="00751D61" w:rsidRPr="00751D61" w14:paraId="5CB61633" w14:textId="77777777" w:rsidTr="00E4140A">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0CE689F5" w14:textId="77777777" w:rsidR="00751D61" w:rsidRPr="00751D61" w:rsidRDefault="00751D61" w:rsidP="00751D61">
            <w:pPr>
              <w:spacing w:before="0" w:after="0"/>
              <w:rPr>
                <w:rFonts w:cs="Arial"/>
                <w:color w:val="000000"/>
              </w:rPr>
            </w:pPr>
            <w:r w:rsidRPr="00751D61">
              <w:rPr>
                <w:rFonts w:cs="Arial"/>
                <w:color w:val="000000"/>
              </w:rPr>
              <w:t>ACTHD</w:t>
            </w:r>
          </w:p>
        </w:tc>
        <w:tc>
          <w:tcPr>
            <w:tcW w:w="5386" w:type="dxa"/>
            <w:noWrap/>
            <w:hideMark/>
          </w:tcPr>
          <w:p w14:paraId="03472DD6" w14:textId="77777777" w:rsidR="00751D61" w:rsidRPr="00751D61" w:rsidRDefault="00751D61" w:rsidP="00751D61">
            <w:pPr>
              <w:spacing w:before="0" w:after="0"/>
              <w:cnfStyle w:val="000000000000" w:firstRow="0" w:lastRow="0" w:firstColumn="0" w:lastColumn="0" w:oddVBand="0" w:evenVBand="0" w:oddHBand="0" w:evenHBand="0" w:firstRowFirstColumn="0" w:firstRowLastColumn="0" w:lastRowFirstColumn="0" w:lastRowLastColumn="0"/>
              <w:rPr>
                <w:rFonts w:cs="Arial"/>
                <w:color w:val="000000"/>
              </w:rPr>
            </w:pPr>
            <w:r w:rsidRPr="00751D61">
              <w:rPr>
                <w:rFonts w:cs="Arial"/>
                <w:color w:val="000000"/>
              </w:rPr>
              <w:t xml:space="preserve">ACT Health Directorate </w:t>
            </w:r>
          </w:p>
        </w:tc>
      </w:tr>
      <w:tr w:rsidR="00751D61" w:rsidRPr="00751D61" w14:paraId="180C854C" w14:textId="77777777" w:rsidTr="00E4140A">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507E89DB" w14:textId="77777777" w:rsidR="00751D61" w:rsidRPr="00751D61" w:rsidRDefault="00751D61" w:rsidP="00751D61">
            <w:pPr>
              <w:spacing w:before="0" w:after="0"/>
              <w:rPr>
                <w:rFonts w:cs="Arial"/>
                <w:color w:val="000000"/>
              </w:rPr>
            </w:pPr>
            <w:r w:rsidRPr="00751D61">
              <w:rPr>
                <w:rFonts w:cs="Arial"/>
                <w:color w:val="000000"/>
              </w:rPr>
              <w:t>AH</w:t>
            </w:r>
          </w:p>
        </w:tc>
        <w:tc>
          <w:tcPr>
            <w:tcW w:w="5386" w:type="dxa"/>
            <w:noWrap/>
            <w:hideMark/>
          </w:tcPr>
          <w:p w14:paraId="217B738C" w14:textId="77777777" w:rsidR="00751D61" w:rsidRPr="00751D61" w:rsidRDefault="00751D61" w:rsidP="00751D61">
            <w:pPr>
              <w:spacing w:before="0" w:after="0"/>
              <w:cnfStyle w:val="000000000000" w:firstRow="0" w:lastRow="0" w:firstColumn="0" w:lastColumn="0" w:oddVBand="0" w:evenVBand="0" w:oddHBand="0" w:evenHBand="0" w:firstRowFirstColumn="0" w:firstRowLastColumn="0" w:lastRowFirstColumn="0" w:lastRowLastColumn="0"/>
              <w:rPr>
                <w:rFonts w:cs="Arial"/>
                <w:color w:val="000000"/>
              </w:rPr>
            </w:pPr>
            <w:r w:rsidRPr="00751D61">
              <w:rPr>
                <w:rFonts w:cs="Arial"/>
                <w:color w:val="000000"/>
              </w:rPr>
              <w:t xml:space="preserve">Albany Hospital </w:t>
            </w:r>
          </w:p>
        </w:tc>
      </w:tr>
      <w:tr w:rsidR="00751D61" w:rsidRPr="00751D61" w14:paraId="06777179" w14:textId="77777777" w:rsidTr="00E4140A">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33627A5E" w14:textId="77777777" w:rsidR="00751D61" w:rsidRPr="00751D61" w:rsidRDefault="00751D61" w:rsidP="00751D61">
            <w:pPr>
              <w:spacing w:before="0" w:after="0"/>
              <w:rPr>
                <w:rFonts w:cs="Arial"/>
                <w:color w:val="000000"/>
              </w:rPr>
            </w:pPr>
            <w:r w:rsidRPr="00751D61">
              <w:rPr>
                <w:rFonts w:cs="Arial"/>
                <w:color w:val="000000"/>
              </w:rPr>
              <w:t>AHPCS</w:t>
            </w:r>
          </w:p>
        </w:tc>
        <w:tc>
          <w:tcPr>
            <w:tcW w:w="5386" w:type="dxa"/>
            <w:noWrap/>
            <w:hideMark/>
          </w:tcPr>
          <w:p w14:paraId="63FD461B" w14:textId="77777777" w:rsidR="00751D61" w:rsidRPr="00751D61" w:rsidRDefault="00751D61" w:rsidP="00751D61">
            <w:pPr>
              <w:spacing w:before="0" w:after="0"/>
              <w:cnfStyle w:val="000000000000" w:firstRow="0" w:lastRow="0" w:firstColumn="0" w:lastColumn="0" w:oddVBand="0" w:evenVBand="0" w:oddHBand="0" w:evenHBand="0" w:firstRowFirstColumn="0" w:firstRowLastColumn="0" w:lastRowFirstColumn="0" w:lastRowLastColumn="0"/>
              <w:rPr>
                <w:rFonts w:cs="Arial"/>
                <w:color w:val="000000"/>
              </w:rPr>
            </w:pPr>
            <w:r w:rsidRPr="00751D61">
              <w:rPr>
                <w:rFonts w:cs="Arial"/>
                <w:color w:val="000000"/>
              </w:rPr>
              <w:t xml:space="preserve">Australian Hospital Patient Costing Standards </w:t>
            </w:r>
          </w:p>
        </w:tc>
      </w:tr>
      <w:tr w:rsidR="00751D61" w:rsidRPr="00751D61" w14:paraId="0A523E8C" w14:textId="77777777" w:rsidTr="00E4140A">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F48E582" w14:textId="77777777" w:rsidR="00751D61" w:rsidRPr="00751D61" w:rsidRDefault="00751D61" w:rsidP="00751D61">
            <w:pPr>
              <w:spacing w:before="0" w:after="0"/>
              <w:rPr>
                <w:rFonts w:cs="Arial"/>
                <w:color w:val="000000"/>
              </w:rPr>
            </w:pPr>
            <w:r w:rsidRPr="00751D61">
              <w:rPr>
                <w:rFonts w:cs="Arial"/>
                <w:color w:val="000000"/>
              </w:rPr>
              <w:t>ASH</w:t>
            </w:r>
          </w:p>
        </w:tc>
        <w:tc>
          <w:tcPr>
            <w:tcW w:w="5386" w:type="dxa"/>
            <w:noWrap/>
            <w:hideMark/>
          </w:tcPr>
          <w:p w14:paraId="1A9968B2" w14:textId="77777777" w:rsidR="00751D61" w:rsidRPr="00751D61" w:rsidRDefault="00751D61" w:rsidP="00751D61">
            <w:pPr>
              <w:spacing w:before="0" w:after="0"/>
              <w:cnfStyle w:val="000000000000" w:firstRow="0" w:lastRow="0" w:firstColumn="0" w:lastColumn="0" w:oddVBand="0" w:evenVBand="0" w:oddHBand="0" w:evenHBand="0" w:firstRowFirstColumn="0" w:firstRowLastColumn="0" w:lastRowFirstColumn="0" w:lastRowLastColumn="0"/>
              <w:rPr>
                <w:rFonts w:cs="Arial"/>
                <w:color w:val="000000"/>
              </w:rPr>
            </w:pPr>
            <w:r w:rsidRPr="00751D61">
              <w:rPr>
                <w:rFonts w:cs="Arial"/>
                <w:color w:val="000000"/>
              </w:rPr>
              <w:t xml:space="preserve">Alice Springs Hospital </w:t>
            </w:r>
          </w:p>
        </w:tc>
      </w:tr>
      <w:tr w:rsidR="00751D61" w:rsidRPr="00751D61" w14:paraId="58F1D0EE" w14:textId="77777777" w:rsidTr="00E4140A">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10363816" w14:textId="77777777" w:rsidR="00751D61" w:rsidRPr="00751D61" w:rsidRDefault="00751D61" w:rsidP="00751D61">
            <w:pPr>
              <w:spacing w:before="0" w:after="0"/>
              <w:rPr>
                <w:rFonts w:cs="Arial"/>
                <w:color w:val="000000"/>
              </w:rPr>
            </w:pPr>
            <w:r w:rsidRPr="00751D61">
              <w:rPr>
                <w:rFonts w:cs="Arial"/>
                <w:color w:val="000000"/>
              </w:rPr>
              <w:t>BHS</w:t>
            </w:r>
          </w:p>
        </w:tc>
        <w:tc>
          <w:tcPr>
            <w:tcW w:w="5386" w:type="dxa"/>
            <w:noWrap/>
            <w:hideMark/>
          </w:tcPr>
          <w:p w14:paraId="0B125274" w14:textId="77777777" w:rsidR="00751D61" w:rsidRPr="00751D61" w:rsidRDefault="00751D61" w:rsidP="00751D61">
            <w:pPr>
              <w:spacing w:before="0" w:after="0"/>
              <w:cnfStyle w:val="000000000000" w:firstRow="0" w:lastRow="0" w:firstColumn="0" w:lastColumn="0" w:oddVBand="0" w:evenVBand="0" w:oddHBand="0" w:evenHBand="0" w:firstRowFirstColumn="0" w:firstRowLastColumn="0" w:lastRowFirstColumn="0" w:lastRowLastColumn="0"/>
              <w:rPr>
                <w:rFonts w:cs="Arial"/>
                <w:color w:val="000000"/>
              </w:rPr>
            </w:pPr>
            <w:r w:rsidRPr="00751D61">
              <w:rPr>
                <w:rFonts w:cs="Arial"/>
                <w:color w:val="000000"/>
              </w:rPr>
              <w:t xml:space="preserve">Ballarat Health Service </w:t>
            </w:r>
          </w:p>
        </w:tc>
      </w:tr>
      <w:tr w:rsidR="00751D61" w:rsidRPr="00751D61" w14:paraId="3A552067" w14:textId="77777777" w:rsidTr="00E4140A">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0E5F8C5F" w14:textId="77777777" w:rsidR="00751D61" w:rsidRPr="00751D61" w:rsidRDefault="00751D61" w:rsidP="00751D61">
            <w:pPr>
              <w:spacing w:before="0" w:after="0"/>
              <w:rPr>
                <w:rFonts w:cs="Arial"/>
                <w:color w:val="000000"/>
              </w:rPr>
            </w:pPr>
            <w:r w:rsidRPr="00751D61">
              <w:rPr>
                <w:rFonts w:cs="Arial"/>
                <w:color w:val="000000"/>
              </w:rPr>
              <w:t>CAHS</w:t>
            </w:r>
          </w:p>
        </w:tc>
        <w:tc>
          <w:tcPr>
            <w:tcW w:w="5386" w:type="dxa"/>
            <w:noWrap/>
            <w:hideMark/>
          </w:tcPr>
          <w:p w14:paraId="0298C89F" w14:textId="77777777" w:rsidR="00751D61" w:rsidRPr="00751D61" w:rsidRDefault="00751D61" w:rsidP="00751D61">
            <w:pPr>
              <w:spacing w:before="0" w:after="0"/>
              <w:cnfStyle w:val="000000000000" w:firstRow="0" w:lastRow="0" w:firstColumn="0" w:lastColumn="0" w:oddVBand="0" w:evenVBand="0" w:oddHBand="0" w:evenHBand="0" w:firstRowFirstColumn="0" w:firstRowLastColumn="0" w:lastRowFirstColumn="0" w:lastRowLastColumn="0"/>
              <w:rPr>
                <w:rFonts w:cs="Arial"/>
                <w:color w:val="000000"/>
              </w:rPr>
            </w:pPr>
            <w:r w:rsidRPr="00751D61">
              <w:rPr>
                <w:rFonts w:cs="Arial"/>
                <w:color w:val="000000"/>
              </w:rPr>
              <w:t xml:space="preserve">Central Australia Health Service </w:t>
            </w:r>
          </w:p>
        </w:tc>
      </w:tr>
      <w:tr w:rsidR="00751D61" w:rsidRPr="00751D61" w14:paraId="48724017" w14:textId="77777777" w:rsidTr="00E4140A">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6EC8E270" w14:textId="77777777" w:rsidR="00751D61" w:rsidRPr="00751D61" w:rsidRDefault="00751D61" w:rsidP="00751D61">
            <w:pPr>
              <w:spacing w:before="0" w:after="0"/>
              <w:rPr>
                <w:rFonts w:cs="Arial"/>
                <w:color w:val="000000"/>
              </w:rPr>
            </w:pPr>
            <w:r w:rsidRPr="00751D61">
              <w:rPr>
                <w:rFonts w:cs="Arial"/>
                <w:color w:val="000000"/>
              </w:rPr>
              <w:t>CAHS</w:t>
            </w:r>
          </w:p>
        </w:tc>
        <w:tc>
          <w:tcPr>
            <w:tcW w:w="5386" w:type="dxa"/>
            <w:noWrap/>
            <w:hideMark/>
          </w:tcPr>
          <w:p w14:paraId="2BA3DD6C" w14:textId="77777777" w:rsidR="00751D61" w:rsidRPr="00751D61" w:rsidRDefault="00751D61" w:rsidP="00751D61">
            <w:pPr>
              <w:spacing w:before="0" w:after="0"/>
              <w:cnfStyle w:val="000000000000" w:firstRow="0" w:lastRow="0" w:firstColumn="0" w:lastColumn="0" w:oddVBand="0" w:evenVBand="0" w:oddHBand="0" w:evenHBand="0" w:firstRowFirstColumn="0" w:firstRowLastColumn="0" w:lastRowFirstColumn="0" w:lastRowLastColumn="0"/>
              <w:rPr>
                <w:rFonts w:cs="Arial"/>
                <w:color w:val="000000"/>
              </w:rPr>
            </w:pPr>
            <w:r w:rsidRPr="00751D61">
              <w:rPr>
                <w:rFonts w:cs="Arial"/>
                <w:color w:val="000000"/>
              </w:rPr>
              <w:t xml:space="preserve">Child and Adolescent Health Service </w:t>
            </w:r>
          </w:p>
        </w:tc>
      </w:tr>
      <w:tr w:rsidR="00751D61" w:rsidRPr="00751D61" w14:paraId="02A57D50" w14:textId="77777777" w:rsidTr="00E4140A">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6211939C" w14:textId="77777777" w:rsidR="00751D61" w:rsidRPr="00751D61" w:rsidRDefault="00751D61" w:rsidP="00751D61">
            <w:pPr>
              <w:spacing w:before="0" w:after="0"/>
              <w:rPr>
                <w:rFonts w:cs="Arial"/>
                <w:color w:val="000000"/>
              </w:rPr>
            </w:pPr>
            <w:r w:rsidRPr="00751D61">
              <w:rPr>
                <w:rFonts w:cs="Arial"/>
                <w:color w:val="000000"/>
              </w:rPr>
              <w:t>CALHN</w:t>
            </w:r>
          </w:p>
        </w:tc>
        <w:tc>
          <w:tcPr>
            <w:tcW w:w="5386" w:type="dxa"/>
            <w:noWrap/>
            <w:hideMark/>
          </w:tcPr>
          <w:p w14:paraId="5758BF08" w14:textId="77777777" w:rsidR="00751D61" w:rsidRPr="00751D61" w:rsidRDefault="00751D61" w:rsidP="00751D61">
            <w:pPr>
              <w:spacing w:before="0" w:after="0"/>
              <w:cnfStyle w:val="000000000000" w:firstRow="0" w:lastRow="0" w:firstColumn="0" w:lastColumn="0" w:oddVBand="0" w:evenVBand="0" w:oddHBand="0" w:evenHBand="0" w:firstRowFirstColumn="0" w:firstRowLastColumn="0" w:lastRowFirstColumn="0" w:lastRowLastColumn="0"/>
              <w:rPr>
                <w:rFonts w:cs="Arial"/>
                <w:color w:val="000000"/>
              </w:rPr>
            </w:pPr>
            <w:r w:rsidRPr="00751D61">
              <w:rPr>
                <w:rFonts w:cs="Arial"/>
                <w:color w:val="000000"/>
              </w:rPr>
              <w:t xml:space="preserve">Central Adelaide Local Health Network </w:t>
            </w:r>
          </w:p>
        </w:tc>
      </w:tr>
      <w:tr w:rsidR="00751D61" w:rsidRPr="00751D61" w14:paraId="06176E0A" w14:textId="77777777" w:rsidTr="00E4140A">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1C50CA7" w14:textId="77777777" w:rsidR="00751D61" w:rsidRPr="00751D61" w:rsidRDefault="00751D61" w:rsidP="00751D61">
            <w:pPr>
              <w:spacing w:before="0" w:after="0"/>
              <w:rPr>
                <w:rFonts w:cs="Arial"/>
                <w:color w:val="000000"/>
              </w:rPr>
            </w:pPr>
            <w:r w:rsidRPr="00751D61">
              <w:rPr>
                <w:rFonts w:cs="Arial"/>
                <w:color w:val="000000"/>
              </w:rPr>
              <w:t>CFOs</w:t>
            </w:r>
          </w:p>
        </w:tc>
        <w:tc>
          <w:tcPr>
            <w:tcW w:w="5386" w:type="dxa"/>
            <w:noWrap/>
            <w:hideMark/>
          </w:tcPr>
          <w:p w14:paraId="1F832B0E" w14:textId="77777777" w:rsidR="00751D61" w:rsidRPr="00751D61" w:rsidRDefault="00751D61" w:rsidP="00751D61">
            <w:pPr>
              <w:spacing w:before="0" w:after="0"/>
              <w:cnfStyle w:val="000000000000" w:firstRow="0" w:lastRow="0" w:firstColumn="0" w:lastColumn="0" w:oddVBand="0" w:evenVBand="0" w:oddHBand="0" w:evenHBand="0" w:firstRowFirstColumn="0" w:firstRowLastColumn="0" w:lastRowFirstColumn="0" w:lastRowLastColumn="0"/>
              <w:rPr>
                <w:rFonts w:cs="Arial"/>
                <w:color w:val="000000"/>
              </w:rPr>
            </w:pPr>
            <w:r w:rsidRPr="00751D61">
              <w:rPr>
                <w:rFonts w:cs="Arial"/>
                <w:color w:val="000000"/>
              </w:rPr>
              <w:t xml:space="preserve">Chief Financial Officers </w:t>
            </w:r>
          </w:p>
        </w:tc>
      </w:tr>
      <w:tr w:rsidR="00751D61" w:rsidRPr="00751D61" w14:paraId="15312C1B" w14:textId="77777777" w:rsidTr="00E4140A">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BE520B7" w14:textId="77777777" w:rsidR="00751D61" w:rsidRPr="00751D61" w:rsidRDefault="00751D61" w:rsidP="00751D61">
            <w:pPr>
              <w:spacing w:before="0" w:after="0"/>
              <w:rPr>
                <w:rFonts w:cs="Arial"/>
                <w:color w:val="000000"/>
              </w:rPr>
            </w:pPr>
            <w:r w:rsidRPr="00751D61">
              <w:rPr>
                <w:rFonts w:cs="Arial"/>
                <w:color w:val="000000"/>
              </w:rPr>
              <w:t>CH</w:t>
            </w:r>
          </w:p>
        </w:tc>
        <w:tc>
          <w:tcPr>
            <w:tcW w:w="5386" w:type="dxa"/>
            <w:noWrap/>
            <w:hideMark/>
          </w:tcPr>
          <w:p w14:paraId="3024F754" w14:textId="77777777" w:rsidR="00751D61" w:rsidRPr="00751D61" w:rsidRDefault="00751D61" w:rsidP="00751D61">
            <w:pPr>
              <w:spacing w:before="0" w:after="0"/>
              <w:cnfStyle w:val="000000000000" w:firstRow="0" w:lastRow="0" w:firstColumn="0" w:lastColumn="0" w:oddVBand="0" w:evenVBand="0" w:oddHBand="0" w:evenHBand="0" w:firstRowFirstColumn="0" w:firstRowLastColumn="0" w:lastRowFirstColumn="0" w:lastRowLastColumn="0"/>
              <w:rPr>
                <w:rFonts w:cs="Arial"/>
                <w:color w:val="000000"/>
              </w:rPr>
            </w:pPr>
            <w:r w:rsidRPr="00751D61">
              <w:rPr>
                <w:rFonts w:cs="Arial"/>
                <w:color w:val="000000"/>
              </w:rPr>
              <w:t xml:space="preserve">Canberra Hospital </w:t>
            </w:r>
          </w:p>
        </w:tc>
      </w:tr>
      <w:tr w:rsidR="00751D61" w:rsidRPr="00751D61" w14:paraId="4AFE4E68" w14:textId="77777777" w:rsidTr="00E4140A">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1A75D271" w14:textId="77777777" w:rsidR="00751D61" w:rsidRPr="00751D61" w:rsidRDefault="00751D61" w:rsidP="00751D61">
            <w:pPr>
              <w:spacing w:before="0" w:after="0"/>
              <w:rPr>
                <w:rFonts w:cs="Arial"/>
                <w:color w:val="000000"/>
              </w:rPr>
            </w:pPr>
            <w:r w:rsidRPr="00751D61">
              <w:rPr>
                <w:rFonts w:cs="Arial"/>
                <w:color w:val="000000"/>
              </w:rPr>
              <w:t>CHS</w:t>
            </w:r>
          </w:p>
        </w:tc>
        <w:tc>
          <w:tcPr>
            <w:tcW w:w="5386" w:type="dxa"/>
            <w:noWrap/>
            <w:hideMark/>
          </w:tcPr>
          <w:p w14:paraId="3516E93B" w14:textId="77777777" w:rsidR="00751D61" w:rsidRPr="00751D61" w:rsidRDefault="00751D61" w:rsidP="00751D61">
            <w:pPr>
              <w:spacing w:before="0" w:after="0"/>
              <w:cnfStyle w:val="000000000000" w:firstRow="0" w:lastRow="0" w:firstColumn="0" w:lastColumn="0" w:oddVBand="0" w:evenVBand="0" w:oddHBand="0" w:evenHBand="0" w:firstRowFirstColumn="0" w:firstRowLastColumn="0" w:lastRowFirstColumn="0" w:lastRowLastColumn="0"/>
              <w:rPr>
                <w:rFonts w:cs="Arial"/>
                <w:color w:val="000000"/>
              </w:rPr>
            </w:pPr>
            <w:r w:rsidRPr="00751D61">
              <w:rPr>
                <w:rFonts w:cs="Arial"/>
                <w:color w:val="000000"/>
              </w:rPr>
              <w:t xml:space="preserve">Canberra Health Service </w:t>
            </w:r>
          </w:p>
        </w:tc>
      </w:tr>
      <w:tr w:rsidR="00751D61" w:rsidRPr="00751D61" w14:paraId="09F0B5AE" w14:textId="77777777" w:rsidTr="00E4140A">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1912BAAF" w14:textId="0BEFC7BB" w:rsidR="00751D61" w:rsidRPr="00751D61" w:rsidRDefault="00751D61" w:rsidP="00751D61">
            <w:pPr>
              <w:spacing w:before="0" w:after="0"/>
              <w:rPr>
                <w:rFonts w:cs="Arial"/>
                <w:color w:val="000000"/>
              </w:rPr>
            </w:pPr>
            <w:r w:rsidRPr="00751D61">
              <w:rPr>
                <w:rFonts w:cs="Arial"/>
                <w:color w:val="000000"/>
              </w:rPr>
              <w:t>CQH</w:t>
            </w:r>
            <w:r w:rsidR="00B45A7B">
              <w:rPr>
                <w:rFonts w:cs="Arial"/>
                <w:color w:val="000000"/>
              </w:rPr>
              <w:t>H</w:t>
            </w:r>
            <w:r w:rsidRPr="00751D61">
              <w:rPr>
                <w:rFonts w:cs="Arial"/>
                <w:color w:val="000000"/>
              </w:rPr>
              <w:t>S</w:t>
            </w:r>
          </w:p>
        </w:tc>
        <w:tc>
          <w:tcPr>
            <w:tcW w:w="5386" w:type="dxa"/>
            <w:noWrap/>
            <w:hideMark/>
          </w:tcPr>
          <w:p w14:paraId="7E908950" w14:textId="3334CED6" w:rsidR="00751D61" w:rsidRPr="00751D61" w:rsidRDefault="00751D61" w:rsidP="00751D61">
            <w:pPr>
              <w:spacing w:before="0" w:after="0"/>
              <w:cnfStyle w:val="000000000000" w:firstRow="0" w:lastRow="0" w:firstColumn="0" w:lastColumn="0" w:oddVBand="0" w:evenVBand="0" w:oddHBand="0" w:evenHBand="0" w:firstRowFirstColumn="0" w:firstRowLastColumn="0" w:lastRowFirstColumn="0" w:lastRowLastColumn="0"/>
              <w:rPr>
                <w:rFonts w:cs="Arial"/>
                <w:color w:val="000000"/>
              </w:rPr>
            </w:pPr>
            <w:r w:rsidRPr="00751D61">
              <w:rPr>
                <w:rFonts w:cs="Arial"/>
                <w:color w:val="000000"/>
              </w:rPr>
              <w:t>Central Queensland</w:t>
            </w:r>
            <w:r w:rsidR="00B45A7B">
              <w:rPr>
                <w:rFonts w:cs="Arial"/>
                <w:color w:val="000000"/>
              </w:rPr>
              <w:t xml:space="preserve"> Hospital and</w:t>
            </w:r>
            <w:r w:rsidRPr="00751D61">
              <w:rPr>
                <w:rFonts w:cs="Arial"/>
                <w:color w:val="000000"/>
              </w:rPr>
              <w:t xml:space="preserve"> Health Service </w:t>
            </w:r>
          </w:p>
        </w:tc>
      </w:tr>
      <w:tr w:rsidR="00A23F6B" w:rsidRPr="00751D61" w14:paraId="043D9AAF" w14:textId="77777777" w:rsidTr="00E4140A">
        <w:trPr>
          <w:trHeight w:val="288"/>
        </w:trPr>
        <w:tc>
          <w:tcPr>
            <w:cnfStyle w:val="001000000000" w:firstRow="0" w:lastRow="0" w:firstColumn="1" w:lastColumn="0" w:oddVBand="0" w:evenVBand="0" w:oddHBand="0" w:evenHBand="0" w:firstRowFirstColumn="0" w:firstRowLastColumn="0" w:lastRowFirstColumn="0" w:lastRowLastColumn="0"/>
            <w:tcW w:w="1418" w:type="dxa"/>
            <w:noWrap/>
          </w:tcPr>
          <w:p w14:paraId="2C22FCBA" w14:textId="71DBA523" w:rsidR="00A23F6B" w:rsidRPr="00751D61" w:rsidRDefault="00A23F6B" w:rsidP="00751D61">
            <w:pPr>
              <w:spacing w:before="0" w:after="0"/>
              <w:rPr>
                <w:rFonts w:cs="Arial"/>
                <w:color w:val="000000"/>
              </w:rPr>
            </w:pPr>
            <w:r>
              <w:rPr>
                <w:rFonts w:cs="Arial"/>
                <w:color w:val="000000"/>
              </w:rPr>
              <w:t>DH</w:t>
            </w:r>
          </w:p>
        </w:tc>
        <w:tc>
          <w:tcPr>
            <w:tcW w:w="5386" w:type="dxa"/>
            <w:noWrap/>
          </w:tcPr>
          <w:p w14:paraId="554647CE" w14:textId="1D764538" w:rsidR="00A23F6B" w:rsidRPr="00751D61" w:rsidRDefault="00A23F6B" w:rsidP="00751D61">
            <w:pPr>
              <w:spacing w:before="0" w:after="0"/>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Victorian Department of Health</w:t>
            </w:r>
          </w:p>
        </w:tc>
      </w:tr>
      <w:tr w:rsidR="00751D61" w:rsidRPr="00751D61" w14:paraId="31E3EEE8" w14:textId="77777777" w:rsidTr="00E4140A">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7276922D" w14:textId="77777777" w:rsidR="00751D61" w:rsidRPr="00751D61" w:rsidRDefault="00751D61" w:rsidP="00751D61">
            <w:pPr>
              <w:spacing w:before="0" w:after="0"/>
              <w:rPr>
                <w:rFonts w:cs="Arial"/>
                <w:color w:val="000000"/>
              </w:rPr>
            </w:pPr>
            <w:r w:rsidRPr="00751D61">
              <w:rPr>
                <w:rFonts w:cs="Arial"/>
                <w:color w:val="000000"/>
              </w:rPr>
              <w:t>DHW</w:t>
            </w:r>
          </w:p>
        </w:tc>
        <w:tc>
          <w:tcPr>
            <w:tcW w:w="5386" w:type="dxa"/>
            <w:noWrap/>
            <w:hideMark/>
          </w:tcPr>
          <w:p w14:paraId="49D2AA81" w14:textId="79591C22" w:rsidR="00751D61" w:rsidRPr="00751D61" w:rsidRDefault="00B45A7B" w:rsidP="00751D61">
            <w:pPr>
              <w:spacing w:before="0" w:after="0"/>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 xml:space="preserve">SA </w:t>
            </w:r>
            <w:r w:rsidR="00751D61" w:rsidRPr="00751D61">
              <w:rPr>
                <w:rFonts w:cs="Arial"/>
                <w:color w:val="000000"/>
              </w:rPr>
              <w:t xml:space="preserve">Department of Health and Wellbeing </w:t>
            </w:r>
          </w:p>
        </w:tc>
      </w:tr>
      <w:tr w:rsidR="00751D61" w:rsidRPr="00751D61" w14:paraId="68E20A3F" w14:textId="77777777" w:rsidTr="00E4140A">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1050FE2B" w14:textId="77777777" w:rsidR="00751D61" w:rsidRPr="00751D61" w:rsidRDefault="00751D61" w:rsidP="00751D61">
            <w:pPr>
              <w:spacing w:before="0" w:after="0"/>
              <w:rPr>
                <w:rFonts w:cs="Arial"/>
                <w:color w:val="000000"/>
              </w:rPr>
            </w:pPr>
            <w:r w:rsidRPr="00751D61">
              <w:rPr>
                <w:rFonts w:cs="Arial"/>
                <w:color w:val="000000"/>
              </w:rPr>
              <w:t>DOH</w:t>
            </w:r>
          </w:p>
        </w:tc>
        <w:tc>
          <w:tcPr>
            <w:tcW w:w="5386" w:type="dxa"/>
            <w:noWrap/>
            <w:hideMark/>
          </w:tcPr>
          <w:p w14:paraId="0E3380D4" w14:textId="77777777" w:rsidR="00751D61" w:rsidRPr="00751D61" w:rsidRDefault="00751D61" w:rsidP="00751D61">
            <w:pPr>
              <w:spacing w:before="0" w:after="0"/>
              <w:cnfStyle w:val="000000000000" w:firstRow="0" w:lastRow="0" w:firstColumn="0" w:lastColumn="0" w:oddVBand="0" w:evenVBand="0" w:oddHBand="0" w:evenHBand="0" w:firstRowFirstColumn="0" w:firstRowLastColumn="0" w:lastRowFirstColumn="0" w:lastRowLastColumn="0"/>
              <w:rPr>
                <w:rFonts w:cs="Arial"/>
                <w:color w:val="000000"/>
              </w:rPr>
            </w:pPr>
            <w:r w:rsidRPr="00751D61">
              <w:rPr>
                <w:rFonts w:cs="Arial"/>
                <w:color w:val="000000"/>
              </w:rPr>
              <w:t xml:space="preserve">Tasmanian Health Department </w:t>
            </w:r>
          </w:p>
        </w:tc>
      </w:tr>
      <w:tr w:rsidR="00751D61" w:rsidRPr="00751D61" w14:paraId="65BCFB0C" w14:textId="77777777" w:rsidTr="00E4140A">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6D724217" w14:textId="77777777" w:rsidR="00751D61" w:rsidRPr="00751D61" w:rsidRDefault="00751D61" w:rsidP="00751D61">
            <w:pPr>
              <w:spacing w:before="0" w:after="0"/>
              <w:rPr>
                <w:rFonts w:cs="Arial"/>
                <w:color w:val="000000"/>
              </w:rPr>
            </w:pPr>
            <w:r w:rsidRPr="00751D61">
              <w:rPr>
                <w:rFonts w:cs="Arial"/>
                <w:color w:val="000000"/>
              </w:rPr>
              <w:t>DQS</w:t>
            </w:r>
          </w:p>
        </w:tc>
        <w:tc>
          <w:tcPr>
            <w:tcW w:w="5386" w:type="dxa"/>
            <w:noWrap/>
            <w:hideMark/>
          </w:tcPr>
          <w:p w14:paraId="535E5A59" w14:textId="77777777" w:rsidR="00751D61" w:rsidRPr="00751D61" w:rsidRDefault="00751D61" w:rsidP="00751D61">
            <w:pPr>
              <w:spacing w:before="0" w:after="0"/>
              <w:cnfStyle w:val="000000000000" w:firstRow="0" w:lastRow="0" w:firstColumn="0" w:lastColumn="0" w:oddVBand="0" w:evenVBand="0" w:oddHBand="0" w:evenHBand="0" w:firstRowFirstColumn="0" w:firstRowLastColumn="0" w:lastRowFirstColumn="0" w:lastRowLastColumn="0"/>
              <w:rPr>
                <w:rFonts w:cs="Arial"/>
                <w:color w:val="000000"/>
              </w:rPr>
            </w:pPr>
            <w:r w:rsidRPr="00751D61">
              <w:rPr>
                <w:rFonts w:cs="Arial"/>
                <w:color w:val="000000"/>
                <w:lang w:val="en"/>
              </w:rPr>
              <w:t xml:space="preserve">Data Quality Statement </w:t>
            </w:r>
          </w:p>
        </w:tc>
      </w:tr>
      <w:tr w:rsidR="00751D61" w:rsidRPr="00751D61" w14:paraId="24CC09C8" w14:textId="77777777" w:rsidTr="00E4140A">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1DF7D8B9" w14:textId="77777777" w:rsidR="00751D61" w:rsidRPr="00751D61" w:rsidRDefault="00751D61" w:rsidP="00751D61">
            <w:pPr>
              <w:spacing w:before="0" w:after="0"/>
              <w:rPr>
                <w:rFonts w:cs="Arial"/>
                <w:color w:val="000000"/>
              </w:rPr>
            </w:pPr>
            <w:r w:rsidRPr="00751D61">
              <w:rPr>
                <w:rFonts w:cs="Arial"/>
                <w:color w:val="000000"/>
              </w:rPr>
              <w:t>DRGs</w:t>
            </w:r>
          </w:p>
        </w:tc>
        <w:tc>
          <w:tcPr>
            <w:tcW w:w="5386" w:type="dxa"/>
            <w:noWrap/>
            <w:hideMark/>
          </w:tcPr>
          <w:p w14:paraId="4841F11F" w14:textId="6D88A8FB" w:rsidR="00751D61" w:rsidRPr="00751D61" w:rsidRDefault="00A23F6B" w:rsidP="00751D61">
            <w:pPr>
              <w:spacing w:before="0" w:after="0"/>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lang w:val="en"/>
              </w:rPr>
              <w:t>D</w:t>
            </w:r>
            <w:r w:rsidR="00751D61" w:rsidRPr="00751D61">
              <w:rPr>
                <w:rFonts w:cs="Arial"/>
                <w:color w:val="000000"/>
                <w:lang w:val="en"/>
              </w:rPr>
              <w:t xml:space="preserve">iagnosis </w:t>
            </w:r>
            <w:r>
              <w:rPr>
                <w:rFonts w:cs="Arial"/>
                <w:color w:val="000000"/>
                <w:lang w:val="en"/>
              </w:rPr>
              <w:t>R</w:t>
            </w:r>
            <w:r w:rsidR="00751D61" w:rsidRPr="00751D61">
              <w:rPr>
                <w:rFonts w:cs="Arial"/>
                <w:color w:val="000000"/>
                <w:lang w:val="en"/>
              </w:rPr>
              <w:t xml:space="preserve">elated </w:t>
            </w:r>
            <w:r>
              <w:rPr>
                <w:rFonts w:cs="Arial"/>
                <w:color w:val="000000"/>
                <w:lang w:val="en"/>
              </w:rPr>
              <w:t>G</w:t>
            </w:r>
            <w:r w:rsidR="00751D61" w:rsidRPr="00751D61">
              <w:rPr>
                <w:rFonts w:cs="Arial"/>
                <w:color w:val="000000"/>
                <w:lang w:val="en"/>
              </w:rPr>
              <w:t xml:space="preserve">roups </w:t>
            </w:r>
          </w:p>
        </w:tc>
      </w:tr>
      <w:tr w:rsidR="00751D61" w:rsidRPr="00751D61" w14:paraId="42CE11D3" w14:textId="77777777" w:rsidTr="00E4140A">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29FF720" w14:textId="77777777" w:rsidR="00751D61" w:rsidRPr="00751D61" w:rsidRDefault="00751D61" w:rsidP="00751D61">
            <w:pPr>
              <w:spacing w:before="0" w:after="0"/>
              <w:rPr>
                <w:rFonts w:cs="Arial"/>
                <w:color w:val="000000"/>
              </w:rPr>
            </w:pPr>
            <w:r w:rsidRPr="00751D61">
              <w:rPr>
                <w:rFonts w:cs="Arial"/>
                <w:color w:val="000000"/>
              </w:rPr>
              <w:t>DRS</w:t>
            </w:r>
          </w:p>
        </w:tc>
        <w:tc>
          <w:tcPr>
            <w:tcW w:w="5386" w:type="dxa"/>
            <w:noWrap/>
            <w:hideMark/>
          </w:tcPr>
          <w:p w14:paraId="0DD86CAE" w14:textId="77777777" w:rsidR="00751D61" w:rsidRPr="00751D61" w:rsidRDefault="00751D61" w:rsidP="00751D61">
            <w:pPr>
              <w:spacing w:before="0" w:after="0"/>
              <w:cnfStyle w:val="000000000000" w:firstRow="0" w:lastRow="0" w:firstColumn="0" w:lastColumn="0" w:oddVBand="0" w:evenVBand="0" w:oddHBand="0" w:evenHBand="0" w:firstRowFirstColumn="0" w:firstRowLastColumn="0" w:lastRowFirstColumn="0" w:lastRowLastColumn="0"/>
              <w:rPr>
                <w:rFonts w:cs="Arial"/>
                <w:color w:val="000000"/>
              </w:rPr>
            </w:pPr>
            <w:r w:rsidRPr="00751D61">
              <w:rPr>
                <w:rFonts w:cs="Arial"/>
                <w:color w:val="000000"/>
              </w:rPr>
              <w:t xml:space="preserve">Data Request Specifications </w:t>
            </w:r>
          </w:p>
        </w:tc>
      </w:tr>
      <w:tr w:rsidR="00751D61" w:rsidRPr="00751D61" w14:paraId="27941213" w14:textId="77777777" w:rsidTr="00E4140A">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768E917C" w14:textId="77777777" w:rsidR="00751D61" w:rsidRPr="00751D61" w:rsidRDefault="00751D61" w:rsidP="00751D61">
            <w:pPr>
              <w:spacing w:before="0" w:after="0"/>
              <w:rPr>
                <w:rFonts w:cs="Arial"/>
                <w:color w:val="000000"/>
              </w:rPr>
            </w:pPr>
            <w:r w:rsidRPr="00751D61">
              <w:rPr>
                <w:rFonts w:cs="Arial"/>
                <w:color w:val="000000"/>
              </w:rPr>
              <w:t>DSS</w:t>
            </w:r>
          </w:p>
        </w:tc>
        <w:tc>
          <w:tcPr>
            <w:tcW w:w="5386" w:type="dxa"/>
            <w:noWrap/>
            <w:hideMark/>
          </w:tcPr>
          <w:p w14:paraId="567026F9" w14:textId="77777777" w:rsidR="00751D61" w:rsidRPr="00751D61" w:rsidRDefault="00751D61" w:rsidP="00751D61">
            <w:pPr>
              <w:spacing w:before="0" w:after="0"/>
              <w:cnfStyle w:val="000000000000" w:firstRow="0" w:lastRow="0" w:firstColumn="0" w:lastColumn="0" w:oddVBand="0" w:evenVBand="0" w:oddHBand="0" w:evenHBand="0" w:firstRowFirstColumn="0" w:firstRowLastColumn="0" w:lastRowFirstColumn="0" w:lastRowLastColumn="0"/>
              <w:rPr>
                <w:rFonts w:cs="Arial"/>
                <w:color w:val="000000"/>
              </w:rPr>
            </w:pPr>
            <w:r w:rsidRPr="00751D61">
              <w:rPr>
                <w:rFonts w:cs="Arial"/>
                <w:color w:val="000000"/>
              </w:rPr>
              <w:t xml:space="preserve">Decision Support System </w:t>
            </w:r>
          </w:p>
        </w:tc>
      </w:tr>
      <w:tr w:rsidR="00751D61" w:rsidRPr="00751D61" w14:paraId="5B3C3AE9" w14:textId="77777777" w:rsidTr="00E4140A">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768620CA" w14:textId="77777777" w:rsidR="00751D61" w:rsidRPr="00751D61" w:rsidRDefault="00751D61" w:rsidP="00751D61">
            <w:pPr>
              <w:spacing w:before="0" w:after="0"/>
              <w:rPr>
                <w:rFonts w:cs="Arial"/>
                <w:color w:val="000000"/>
              </w:rPr>
            </w:pPr>
            <w:r w:rsidRPr="00751D61">
              <w:rPr>
                <w:rFonts w:cs="Arial"/>
                <w:color w:val="000000"/>
              </w:rPr>
              <w:t>ED</w:t>
            </w:r>
          </w:p>
        </w:tc>
        <w:tc>
          <w:tcPr>
            <w:tcW w:w="5386" w:type="dxa"/>
            <w:noWrap/>
            <w:hideMark/>
          </w:tcPr>
          <w:p w14:paraId="12A4E6F0" w14:textId="7869C4A3" w:rsidR="00751D61" w:rsidRPr="00751D61" w:rsidRDefault="003A1FC9" w:rsidP="00751D61">
            <w:pPr>
              <w:spacing w:before="0" w:after="0"/>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E</w:t>
            </w:r>
            <w:r w:rsidR="00751D61" w:rsidRPr="00751D61">
              <w:rPr>
                <w:rFonts w:cs="Arial"/>
                <w:color w:val="000000"/>
              </w:rPr>
              <w:t xml:space="preserve">mergency department </w:t>
            </w:r>
          </w:p>
        </w:tc>
      </w:tr>
      <w:tr w:rsidR="00751D61" w:rsidRPr="00751D61" w14:paraId="39AE8D01" w14:textId="77777777" w:rsidTr="00E4140A">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30ACDF8D" w14:textId="77777777" w:rsidR="00751D61" w:rsidRPr="00751D61" w:rsidRDefault="00751D61" w:rsidP="00751D61">
            <w:pPr>
              <w:spacing w:before="0" w:after="0"/>
              <w:rPr>
                <w:rFonts w:cs="Arial"/>
                <w:color w:val="000000"/>
              </w:rPr>
            </w:pPr>
            <w:r w:rsidRPr="00751D61">
              <w:rPr>
                <w:rFonts w:cs="Arial"/>
                <w:color w:val="000000"/>
              </w:rPr>
              <w:t>EMHS</w:t>
            </w:r>
          </w:p>
        </w:tc>
        <w:tc>
          <w:tcPr>
            <w:tcW w:w="5386" w:type="dxa"/>
            <w:noWrap/>
            <w:hideMark/>
          </w:tcPr>
          <w:p w14:paraId="7308F511" w14:textId="77777777" w:rsidR="00751D61" w:rsidRPr="00751D61" w:rsidRDefault="00751D61" w:rsidP="00751D61">
            <w:pPr>
              <w:spacing w:before="0" w:after="0"/>
              <w:cnfStyle w:val="000000000000" w:firstRow="0" w:lastRow="0" w:firstColumn="0" w:lastColumn="0" w:oddVBand="0" w:evenVBand="0" w:oddHBand="0" w:evenHBand="0" w:firstRowFirstColumn="0" w:firstRowLastColumn="0" w:lastRowFirstColumn="0" w:lastRowLastColumn="0"/>
              <w:rPr>
                <w:rFonts w:cs="Arial"/>
                <w:color w:val="000000"/>
              </w:rPr>
            </w:pPr>
            <w:r w:rsidRPr="00751D61">
              <w:rPr>
                <w:rFonts w:cs="Arial"/>
                <w:color w:val="000000"/>
              </w:rPr>
              <w:t xml:space="preserve">East Metropolitan Health Services </w:t>
            </w:r>
          </w:p>
        </w:tc>
      </w:tr>
      <w:tr w:rsidR="00751D61" w:rsidRPr="00751D61" w14:paraId="340C096A" w14:textId="77777777" w:rsidTr="00E4140A">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786434B4" w14:textId="77777777" w:rsidR="00751D61" w:rsidRPr="00751D61" w:rsidRDefault="00751D61" w:rsidP="00751D61">
            <w:pPr>
              <w:spacing w:before="0" w:after="0"/>
              <w:rPr>
                <w:rFonts w:cs="Arial"/>
                <w:color w:val="000000"/>
              </w:rPr>
            </w:pPr>
            <w:r w:rsidRPr="00751D61">
              <w:rPr>
                <w:rFonts w:cs="Arial"/>
                <w:color w:val="000000"/>
              </w:rPr>
              <w:t>EMR</w:t>
            </w:r>
          </w:p>
        </w:tc>
        <w:tc>
          <w:tcPr>
            <w:tcW w:w="5386" w:type="dxa"/>
            <w:noWrap/>
            <w:hideMark/>
          </w:tcPr>
          <w:p w14:paraId="3746D953" w14:textId="77777777" w:rsidR="00751D61" w:rsidRPr="00751D61" w:rsidRDefault="00751D61" w:rsidP="00751D61">
            <w:pPr>
              <w:spacing w:before="0" w:after="0"/>
              <w:cnfStyle w:val="000000000000" w:firstRow="0" w:lastRow="0" w:firstColumn="0" w:lastColumn="0" w:oddVBand="0" w:evenVBand="0" w:oddHBand="0" w:evenHBand="0" w:firstRowFirstColumn="0" w:firstRowLastColumn="0" w:lastRowFirstColumn="0" w:lastRowLastColumn="0"/>
              <w:rPr>
                <w:rFonts w:cs="Arial"/>
                <w:color w:val="000000"/>
              </w:rPr>
            </w:pPr>
            <w:r w:rsidRPr="00751D61">
              <w:rPr>
                <w:rFonts w:cs="Arial"/>
                <w:color w:val="000000"/>
              </w:rPr>
              <w:t xml:space="preserve">Electronic Medical Record </w:t>
            </w:r>
          </w:p>
        </w:tc>
      </w:tr>
      <w:tr w:rsidR="00751D61" w:rsidRPr="00751D61" w14:paraId="10200C2B" w14:textId="77777777" w:rsidTr="00E4140A">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CD1ED31" w14:textId="77777777" w:rsidR="00751D61" w:rsidRPr="00751D61" w:rsidRDefault="00751D61" w:rsidP="00751D61">
            <w:pPr>
              <w:spacing w:before="0" w:after="0"/>
              <w:rPr>
                <w:rFonts w:cs="Arial"/>
                <w:color w:val="000000"/>
              </w:rPr>
            </w:pPr>
            <w:r w:rsidRPr="00751D61">
              <w:rPr>
                <w:rFonts w:cs="Arial"/>
                <w:color w:val="000000"/>
              </w:rPr>
              <w:t>ETL</w:t>
            </w:r>
          </w:p>
        </w:tc>
        <w:tc>
          <w:tcPr>
            <w:tcW w:w="5386" w:type="dxa"/>
            <w:noWrap/>
            <w:hideMark/>
          </w:tcPr>
          <w:p w14:paraId="2C8547CB" w14:textId="77777777" w:rsidR="00751D61" w:rsidRPr="00751D61" w:rsidRDefault="00751D61" w:rsidP="00751D61">
            <w:pPr>
              <w:spacing w:before="0" w:after="0"/>
              <w:cnfStyle w:val="000000000000" w:firstRow="0" w:lastRow="0" w:firstColumn="0" w:lastColumn="0" w:oddVBand="0" w:evenVBand="0" w:oddHBand="0" w:evenHBand="0" w:firstRowFirstColumn="0" w:firstRowLastColumn="0" w:lastRowFirstColumn="0" w:lastRowLastColumn="0"/>
              <w:rPr>
                <w:rFonts w:cs="Arial"/>
                <w:color w:val="000000"/>
              </w:rPr>
            </w:pPr>
            <w:r w:rsidRPr="00751D61">
              <w:rPr>
                <w:rFonts w:cs="Arial"/>
                <w:color w:val="000000"/>
              </w:rPr>
              <w:t xml:space="preserve">Extract, Transform and Load </w:t>
            </w:r>
          </w:p>
        </w:tc>
      </w:tr>
      <w:tr w:rsidR="00751D61" w:rsidRPr="00751D61" w14:paraId="24CE4292" w14:textId="77777777" w:rsidTr="00E4140A">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387F83CC" w14:textId="77777777" w:rsidR="00751D61" w:rsidRPr="00751D61" w:rsidRDefault="00751D61" w:rsidP="00751D61">
            <w:pPr>
              <w:spacing w:before="0" w:after="0"/>
              <w:rPr>
                <w:rFonts w:cs="Arial"/>
                <w:color w:val="000000"/>
              </w:rPr>
            </w:pPr>
            <w:r w:rsidRPr="00751D61">
              <w:rPr>
                <w:rFonts w:cs="Arial"/>
                <w:color w:val="000000"/>
              </w:rPr>
              <w:t>FUNLHN</w:t>
            </w:r>
          </w:p>
        </w:tc>
        <w:tc>
          <w:tcPr>
            <w:tcW w:w="5386" w:type="dxa"/>
            <w:noWrap/>
            <w:hideMark/>
          </w:tcPr>
          <w:p w14:paraId="0EEFE91A" w14:textId="707D97C0" w:rsidR="00751D61" w:rsidRPr="00751D61" w:rsidRDefault="00751D61" w:rsidP="00751D61">
            <w:pPr>
              <w:spacing w:before="0" w:after="0"/>
              <w:cnfStyle w:val="000000000000" w:firstRow="0" w:lastRow="0" w:firstColumn="0" w:lastColumn="0" w:oddVBand="0" w:evenVBand="0" w:oddHBand="0" w:evenHBand="0" w:firstRowFirstColumn="0" w:firstRowLastColumn="0" w:lastRowFirstColumn="0" w:lastRowLastColumn="0"/>
              <w:rPr>
                <w:rFonts w:cs="Arial"/>
                <w:color w:val="000000"/>
              </w:rPr>
            </w:pPr>
            <w:r w:rsidRPr="00751D61">
              <w:rPr>
                <w:rFonts w:cs="Arial"/>
                <w:color w:val="000000"/>
              </w:rPr>
              <w:t xml:space="preserve">Flinders and Upper North </w:t>
            </w:r>
            <w:r w:rsidR="00576CED">
              <w:rPr>
                <w:rFonts w:cs="Arial"/>
                <w:color w:val="000000"/>
              </w:rPr>
              <w:t>Local Health Network</w:t>
            </w:r>
          </w:p>
        </w:tc>
      </w:tr>
      <w:tr w:rsidR="00751D61" w:rsidRPr="00751D61" w14:paraId="14943DC9" w14:textId="77777777" w:rsidTr="00E4140A">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17DC9064" w14:textId="77777777" w:rsidR="00751D61" w:rsidRPr="00751D61" w:rsidRDefault="00751D61" w:rsidP="00751D61">
            <w:pPr>
              <w:spacing w:before="0" w:after="0"/>
              <w:rPr>
                <w:rFonts w:cs="Arial"/>
                <w:color w:val="000000"/>
              </w:rPr>
            </w:pPr>
            <w:r w:rsidRPr="00751D61">
              <w:rPr>
                <w:rFonts w:cs="Arial"/>
                <w:color w:val="000000"/>
              </w:rPr>
              <w:t>HFMA</w:t>
            </w:r>
          </w:p>
        </w:tc>
        <w:tc>
          <w:tcPr>
            <w:tcW w:w="5386" w:type="dxa"/>
            <w:noWrap/>
            <w:hideMark/>
          </w:tcPr>
          <w:p w14:paraId="039C0C65" w14:textId="77777777" w:rsidR="00751D61" w:rsidRPr="00751D61" w:rsidRDefault="00751D61" w:rsidP="00751D61">
            <w:pPr>
              <w:spacing w:before="0" w:after="0"/>
              <w:cnfStyle w:val="000000000000" w:firstRow="0" w:lastRow="0" w:firstColumn="0" w:lastColumn="0" w:oddVBand="0" w:evenVBand="0" w:oddHBand="0" w:evenHBand="0" w:firstRowFirstColumn="0" w:firstRowLastColumn="0" w:lastRowFirstColumn="0" w:lastRowLastColumn="0"/>
              <w:rPr>
                <w:rFonts w:cs="Arial"/>
                <w:color w:val="000000"/>
              </w:rPr>
            </w:pPr>
            <w:r w:rsidRPr="00751D61">
              <w:rPr>
                <w:rFonts w:cs="Arial"/>
                <w:color w:val="000000"/>
              </w:rPr>
              <w:t>Health Finance Management Association</w:t>
            </w:r>
          </w:p>
        </w:tc>
      </w:tr>
      <w:tr w:rsidR="00751D61" w:rsidRPr="00751D61" w14:paraId="60E95DDE" w14:textId="77777777" w:rsidTr="00E4140A">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1612F940" w14:textId="77777777" w:rsidR="00751D61" w:rsidRPr="00751D61" w:rsidRDefault="00751D61" w:rsidP="00751D61">
            <w:pPr>
              <w:spacing w:before="0" w:after="0"/>
              <w:rPr>
                <w:rFonts w:cs="Arial"/>
                <w:color w:val="000000"/>
              </w:rPr>
            </w:pPr>
            <w:r w:rsidRPr="00751D61">
              <w:rPr>
                <w:rFonts w:cs="Arial"/>
                <w:color w:val="000000"/>
              </w:rPr>
              <w:t>HHS</w:t>
            </w:r>
          </w:p>
        </w:tc>
        <w:tc>
          <w:tcPr>
            <w:tcW w:w="5386" w:type="dxa"/>
            <w:noWrap/>
            <w:hideMark/>
          </w:tcPr>
          <w:p w14:paraId="70F0CCB0" w14:textId="1B476D10" w:rsidR="00751D61" w:rsidRPr="00751D61" w:rsidRDefault="00576CED" w:rsidP="00751D61">
            <w:pPr>
              <w:spacing w:before="0" w:after="0"/>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H</w:t>
            </w:r>
            <w:r w:rsidR="00751D61" w:rsidRPr="00751D61">
              <w:rPr>
                <w:rFonts w:cs="Arial"/>
                <w:color w:val="000000"/>
              </w:rPr>
              <w:t xml:space="preserve">ospital and </w:t>
            </w:r>
            <w:r>
              <w:rPr>
                <w:rFonts w:cs="Arial"/>
                <w:color w:val="000000"/>
              </w:rPr>
              <w:t>H</w:t>
            </w:r>
            <w:r w:rsidR="00751D61" w:rsidRPr="00751D61">
              <w:rPr>
                <w:rFonts w:cs="Arial"/>
                <w:color w:val="000000"/>
              </w:rPr>
              <w:t xml:space="preserve">ealth </w:t>
            </w:r>
            <w:r>
              <w:rPr>
                <w:rFonts w:cs="Arial"/>
                <w:color w:val="000000"/>
              </w:rPr>
              <w:t>S</w:t>
            </w:r>
            <w:r w:rsidR="00751D61" w:rsidRPr="00751D61">
              <w:rPr>
                <w:rFonts w:cs="Arial"/>
                <w:color w:val="000000"/>
              </w:rPr>
              <w:t xml:space="preserve">ervices </w:t>
            </w:r>
          </w:p>
        </w:tc>
      </w:tr>
      <w:tr w:rsidR="00751D61" w:rsidRPr="00751D61" w14:paraId="5F3CA06D" w14:textId="77777777" w:rsidTr="00E4140A">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73C2F712" w14:textId="77777777" w:rsidR="00751D61" w:rsidRPr="00751D61" w:rsidRDefault="00751D61" w:rsidP="00751D61">
            <w:pPr>
              <w:spacing w:before="0" w:after="0"/>
              <w:rPr>
                <w:rFonts w:cs="Arial"/>
                <w:color w:val="000000"/>
              </w:rPr>
            </w:pPr>
            <w:r w:rsidRPr="00751D61">
              <w:rPr>
                <w:rFonts w:cs="Arial"/>
                <w:color w:val="000000"/>
              </w:rPr>
              <w:t>HSs</w:t>
            </w:r>
          </w:p>
        </w:tc>
        <w:tc>
          <w:tcPr>
            <w:tcW w:w="5386" w:type="dxa"/>
            <w:noWrap/>
            <w:hideMark/>
          </w:tcPr>
          <w:p w14:paraId="198D5D2F" w14:textId="7B089CEC" w:rsidR="00751D61" w:rsidRPr="00751D61" w:rsidRDefault="00576CED" w:rsidP="00751D61">
            <w:pPr>
              <w:spacing w:before="0" w:after="0"/>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H</w:t>
            </w:r>
            <w:r w:rsidR="00751D61" w:rsidRPr="00751D61">
              <w:rPr>
                <w:rFonts w:cs="Arial"/>
                <w:color w:val="000000"/>
              </w:rPr>
              <w:t xml:space="preserve">ealth </w:t>
            </w:r>
            <w:r>
              <w:rPr>
                <w:rFonts w:cs="Arial"/>
                <w:color w:val="000000"/>
              </w:rPr>
              <w:t>S</w:t>
            </w:r>
            <w:r w:rsidR="00751D61" w:rsidRPr="00751D61">
              <w:rPr>
                <w:rFonts w:cs="Arial"/>
                <w:color w:val="000000"/>
              </w:rPr>
              <w:t xml:space="preserve">ervices </w:t>
            </w:r>
          </w:p>
        </w:tc>
      </w:tr>
      <w:tr w:rsidR="00751D61" w:rsidRPr="00751D61" w14:paraId="18710CAD" w14:textId="77777777" w:rsidTr="00E4140A">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33E352F6" w14:textId="77777777" w:rsidR="00751D61" w:rsidRPr="00751D61" w:rsidRDefault="00751D61" w:rsidP="00751D61">
            <w:pPr>
              <w:spacing w:before="0" w:after="0"/>
              <w:rPr>
                <w:rFonts w:cs="Arial"/>
                <w:color w:val="000000"/>
              </w:rPr>
            </w:pPr>
            <w:r w:rsidRPr="00751D61">
              <w:rPr>
                <w:rFonts w:cs="Arial"/>
                <w:color w:val="000000"/>
              </w:rPr>
              <w:t>IFR</w:t>
            </w:r>
          </w:p>
        </w:tc>
        <w:tc>
          <w:tcPr>
            <w:tcW w:w="5386" w:type="dxa"/>
            <w:noWrap/>
            <w:hideMark/>
          </w:tcPr>
          <w:p w14:paraId="32F26748" w14:textId="77777777" w:rsidR="00751D61" w:rsidRPr="00751D61" w:rsidRDefault="00751D61" w:rsidP="00751D61">
            <w:pPr>
              <w:spacing w:before="0" w:after="0"/>
              <w:cnfStyle w:val="000000000000" w:firstRow="0" w:lastRow="0" w:firstColumn="0" w:lastColumn="0" w:oddVBand="0" w:evenVBand="0" w:oddHBand="0" w:evenHBand="0" w:firstRowFirstColumn="0" w:firstRowLastColumn="0" w:lastRowFirstColumn="0" w:lastRowLastColumn="0"/>
              <w:rPr>
                <w:rFonts w:cs="Arial"/>
                <w:color w:val="000000"/>
              </w:rPr>
            </w:pPr>
            <w:r w:rsidRPr="00751D61">
              <w:rPr>
                <w:rFonts w:cs="Arial"/>
                <w:color w:val="000000"/>
              </w:rPr>
              <w:t xml:space="preserve">Independent Financial Review </w:t>
            </w:r>
          </w:p>
        </w:tc>
      </w:tr>
      <w:tr w:rsidR="00751D61" w:rsidRPr="00751D61" w14:paraId="0E09084C" w14:textId="77777777" w:rsidTr="00E4140A">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4000251" w14:textId="77777777" w:rsidR="00751D61" w:rsidRPr="00751D61" w:rsidRDefault="00751D61" w:rsidP="00751D61">
            <w:pPr>
              <w:spacing w:before="0" w:after="0"/>
              <w:rPr>
                <w:rFonts w:cs="Arial"/>
                <w:color w:val="000000"/>
              </w:rPr>
            </w:pPr>
            <w:r w:rsidRPr="00751D61">
              <w:rPr>
                <w:rFonts w:cs="Arial"/>
                <w:color w:val="000000"/>
              </w:rPr>
              <w:t>IHACPA</w:t>
            </w:r>
          </w:p>
        </w:tc>
        <w:tc>
          <w:tcPr>
            <w:tcW w:w="5386" w:type="dxa"/>
            <w:noWrap/>
            <w:hideMark/>
          </w:tcPr>
          <w:p w14:paraId="4F65C37A" w14:textId="77777777" w:rsidR="00751D61" w:rsidRPr="00751D61" w:rsidRDefault="00751D61" w:rsidP="00751D61">
            <w:pPr>
              <w:spacing w:before="0" w:after="0"/>
              <w:cnfStyle w:val="000000000000" w:firstRow="0" w:lastRow="0" w:firstColumn="0" w:lastColumn="0" w:oddVBand="0" w:evenVBand="0" w:oddHBand="0" w:evenHBand="0" w:firstRowFirstColumn="0" w:firstRowLastColumn="0" w:lastRowFirstColumn="0" w:lastRowLastColumn="0"/>
              <w:rPr>
                <w:rFonts w:cs="Arial"/>
                <w:color w:val="000000"/>
              </w:rPr>
            </w:pPr>
            <w:r w:rsidRPr="00751D61">
              <w:rPr>
                <w:rFonts w:cs="Arial"/>
                <w:color w:val="000000"/>
              </w:rPr>
              <w:t xml:space="preserve">Independent Health and Aged Care Pricing Authority </w:t>
            </w:r>
          </w:p>
        </w:tc>
      </w:tr>
      <w:tr w:rsidR="00751D61" w:rsidRPr="00751D61" w14:paraId="02046A5D" w14:textId="77777777" w:rsidTr="00E4140A">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0B901172" w14:textId="77777777" w:rsidR="00751D61" w:rsidRPr="00751D61" w:rsidRDefault="00751D61" w:rsidP="00751D61">
            <w:pPr>
              <w:spacing w:before="0" w:after="0"/>
              <w:rPr>
                <w:rFonts w:cs="Arial"/>
                <w:color w:val="000000"/>
              </w:rPr>
            </w:pPr>
            <w:r w:rsidRPr="00751D61">
              <w:rPr>
                <w:rFonts w:cs="Arial"/>
                <w:color w:val="000000"/>
              </w:rPr>
              <w:t>KDU</w:t>
            </w:r>
          </w:p>
        </w:tc>
        <w:tc>
          <w:tcPr>
            <w:tcW w:w="5386" w:type="dxa"/>
            <w:noWrap/>
            <w:hideMark/>
          </w:tcPr>
          <w:p w14:paraId="30FA00FB" w14:textId="77777777" w:rsidR="00751D61" w:rsidRPr="00751D61" w:rsidRDefault="00751D61" w:rsidP="00751D61">
            <w:pPr>
              <w:spacing w:before="0" w:after="0"/>
              <w:cnfStyle w:val="000000000000" w:firstRow="0" w:lastRow="0" w:firstColumn="0" w:lastColumn="0" w:oddVBand="0" w:evenVBand="0" w:oddHBand="0" w:evenHBand="0" w:firstRowFirstColumn="0" w:firstRowLastColumn="0" w:lastRowFirstColumn="0" w:lastRowLastColumn="0"/>
              <w:rPr>
                <w:rFonts w:cs="Arial"/>
                <w:color w:val="000000"/>
              </w:rPr>
            </w:pPr>
            <w:r w:rsidRPr="00751D61">
              <w:rPr>
                <w:rFonts w:cs="Arial"/>
                <w:color w:val="000000"/>
              </w:rPr>
              <w:t xml:space="preserve">Kidney Dialysis Unit </w:t>
            </w:r>
          </w:p>
        </w:tc>
      </w:tr>
      <w:tr w:rsidR="00751D61" w:rsidRPr="00751D61" w14:paraId="11D16388" w14:textId="77777777" w:rsidTr="00E4140A">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7E7128B4" w14:textId="77777777" w:rsidR="00751D61" w:rsidRPr="00751D61" w:rsidRDefault="00751D61" w:rsidP="00751D61">
            <w:pPr>
              <w:spacing w:before="0" w:after="0"/>
              <w:rPr>
                <w:rFonts w:cs="Arial"/>
                <w:color w:val="000000"/>
              </w:rPr>
            </w:pPr>
            <w:r w:rsidRPr="00751D61">
              <w:rPr>
                <w:rFonts w:cs="Arial"/>
                <w:color w:val="000000"/>
              </w:rPr>
              <w:t>LHN</w:t>
            </w:r>
          </w:p>
        </w:tc>
        <w:tc>
          <w:tcPr>
            <w:tcW w:w="5386" w:type="dxa"/>
            <w:noWrap/>
            <w:hideMark/>
          </w:tcPr>
          <w:p w14:paraId="56338710" w14:textId="51B9C193" w:rsidR="00751D61" w:rsidRPr="00751D61" w:rsidRDefault="00576CED" w:rsidP="00751D61">
            <w:pPr>
              <w:spacing w:before="0" w:after="0"/>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Local Health Network</w:t>
            </w:r>
          </w:p>
        </w:tc>
      </w:tr>
      <w:tr w:rsidR="00751D61" w:rsidRPr="00751D61" w14:paraId="54332C2E" w14:textId="77777777" w:rsidTr="00E4140A">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8E40F68" w14:textId="77777777" w:rsidR="00751D61" w:rsidRPr="00751D61" w:rsidRDefault="00751D61" w:rsidP="00751D61">
            <w:pPr>
              <w:spacing w:before="0" w:after="0"/>
              <w:rPr>
                <w:rFonts w:cs="Arial"/>
                <w:color w:val="000000"/>
              </w:rPr>
            </w:pPr>
            <w:r w:rsidRPr="00751D61">
              <w:rPr>
                <w:rFonts w:cs="Arial"/>
                <w:color w:val="000000"/>
              </w:rPr>
              <w:t>LMH</w:t>
            </w:r>
          </w:p>
        </w:tc>
        <w:tc>
          <w:tcPr>
            <w:tcW w:w="5386" w:type="dxa"/>
            <w:noWrap/>
            <w:hideMark/>
          </w:tcPr>
          <w:p w14:paraId="502FC8B2" w14:textId="77777777" w:rsidR="00751D61" w:rsidRPr="00751D61" w:rsidRDefault="00751D61" w:rsidP="00751D61">
            <w:pPr>
              <w:spacing w:before="0" w:after="0"/>
              <w:cnfStyle w:val="000000000000" w:firstRow="0" w:lastRow="0" w:firstColumn="0" w:lastColumn="0" w:oddVBand="0" w:evenVBand="0" w:oddHBand="0" w:evenHBand="0" w:firstRowFirstColumn="0" w:firstRowLastColumn="0" w:lastRowFirstColumn="0" w:lastRowLastColumn="0"/>
              <w:rPr>
                <w:rFonts w:cs="Arial"/>
                <w:color w:val="000000"/>
              </w:rPr>
            </w:pPr>
            <w:r w:rsidRPr="00751D61">
              <w:rPr>
                <w:rFonts w:cs="Arial"/>
                <w:color w:val="000000"/>
              </w:rPr>
              <w:t xml:space="preserve">Lyell McEwin Hospital </w:t>
            </w:r>
          </w:p>
        </w:tc>
      </w:tr>
      <w:tr w:rsidR="00751D61" w:rsidRPr="00751D61" w14:paraId="719735D5" w14:textId="77777777" w:rsidTr="00E4140A">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A32C08B" w14:textId="77777777" w:rsidR="00751D61" w:rsidRPr="00751D61" w:rsidRDefault="00751D61" w:rsidP="00751D61">
            <w:pPr>
              <w:spacing w:before="0" w:after="0"/>
              <w:rPr>
                <w:rFonts w:cs="Arial"/>
                <w:color w:val="000000"/>
              </w:rPr>
            </w:pPr>
            <w:r w:rsidRPr="00751D61">
              <w:rPr>
                <w:rFonts w:cs="Arial"/>
                <w:color w:val="000000"/>
              </w:rPr>
              <w:t>LOS</w:t>
            </w:r>
          </w:p>
        </w:tc>
        <w:tc>
          <w:tcPr>
            <w:tcW w:w="5386" w:type="dxa"/>
            <w:noWrap/>
            <w:hideMark/>
          </w:tcPr>
          <w:p w14:paraId="18117A8D" w14:textId="1FFF9363" w:rsidR="00751D61" w:rsidRPr="00751D61" w:rsidRDefault="00576CED" w:rsidP="00751D61">
            <w:pPr>
              <w:spacing w:before="0" w:after="0"/>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Length of Stay</w:t>
            </w:r>
            <w:r w:rsidR="00751D61" w:rsidRPr="00751D61">
              <w:rPr>
                <w:rFonts w:cs="Arial"/>
                <w:color w:val="000000"/>
              </w:rPr>
              <w:t xml:space="preserve"> </w:t>
            </w:r>
          </w:p>
        </w:tc>
      </w:tr>
      <w:tr w:rsidR="00751D61" w:rsidRPr="00751D61" w14:paraId="081D1E0F" w14:textId="77777777" w:rsidTr="00E4140A">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50F91893" w14:textId="77777777" w:rsidR="00751D61" w:rsidRPr="00751D61" w:rsidRDefault="00751D61" w:rsidP="00751D61">
            <w:pPr>
              <w:spacing w:before="0" w:after="0"/>
              <w:rPr>
                <w:rFonts w:cs="Arial"/>
                <w:color w:val="000000"/>
              </w:rPr>
            </w:pPr>
            <w:r w:rsidRPr="00751D61">
              <w:rPr>
                <w:rFonts w:cs="Arial"/>
                <w:color w:val="000000"/>
              </w:rPr>
              <w:t>LRH</w:t>
            </w:r>
          </w:p>
        </w:tc>
        <w:tc>
          <w:tcPr>
            <w:tcW w:w="5386" w:type="dxa"/>
            <w:noWrap/>
            <w:hideMark/>
          </w:tcPr>
          <w:p w14:paraId="7F30A454" w14:textId="77777777" w:rsidR="00751D61" w:rsidRPr="00751D61" w:rsidRDefault="00751D61" w:rsidP="00751D61">
            <w:pPr>
              <w:spacing w:before="0" w:after="0"/>
              <w:cnfStyle w:val="000000000000" w:firstRow="0" w:lastRow="0" w:firstColumn="0" w:lastColumn="0" w:oddVBand="0" w:evenVBand="0" w:oddHBand="0" w:evenHBand="0" w:firstRowFirstColumn="0" w:firstRowLastColumn="0" w:lastRowFirstColumn="0" w:lastRowLastColumn="0"/>
              <w:rPr>
                <w:rFonts w:cs="Arial"/>
                <w:color w:val="000000"/>
              </w:rPr>
            </w:pPr>
            <w:r w:rsidRPr="00751D61">
              <w:rPr>
                <w:rFonts w:cs="Arial"/>
                <w:color w:val="000000"/>
              </w:rPr>
              <w:t xml:space="preserve">Latrobe Regional Hospital </w:t>
            </w:r>
          </w:p>
        </w:tc>
      </w:tr>
      <w:tr w:rsidR="00751D61" w:rsidRPr="00751D61" w14:paraId="4CF2B2B5" w14:textId="77777777" w:rsidTr="00E4140A">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6016DC85" w14:textId="77777777" w:rsidR="00751D61" w:rsidRPr="00751D61" w:rsidRDefault="00751D61" w:rsidP="00751D61">
            <w:pPr>
              <w:spacing w:before="0" w:after="0"/>
              <w:rPr>
                <w:rFonts w:cs="Arial"/>
                <w:color w:val="000000"/>
              </w:rPr>
            </w:pPr>
            <w:r w:rsidRPr="00751D61">
              <w:rPr>
                <w:rFonts w:cs="Arial"/>
                <w:color w:val="000000"/>
              </w:rPr>
              <w:t xml:space="preserve">MH </w:t>
            </w:r>
          </w:p>
        </w:tc>
        <w:tc>
          <w:tcPr>
            <w:tcW w:w="5386" w:type="dxa"/>
            <w:noWrap/>
            <w:hideMark/>
          </w:tcPr>
          <w:p w14:paraId="6816C78F" w14:textId="77777777" w:rsidR="00751D61" w:rsidRPr="00751D61" w:rsidRDefault="00751D61" w:rsidP="00751D61">
            <w:pPr>
              <w:spacing w:before="0" w:after="0"/>
              <w:cnfStyle w:val="000000000000" w:firstRow="0" w:lastRow="0" w:firstColumn="0" w:lastColumn="0" w:oddVBand="0" w:evenVBand="0" w:oddHBand="0" w:evenHBand="0" w:firstRowFirstColumn="0" w:firstRowLastColumn="0" w:lastRowFirstColumn="0" w:lastRowLastColumn="0"/>
              <w:rPr>
                <w:rFonts w:cs="Arial"/>
                <w:color w:val="000000"/>
              </w:rPr>
            </w:pPr>
            <w:r w:rsidRPr="00751D61">
              <w:rPr>
                <w:rFonts w:cs="Arial"/>
                <w:color w:val="000000"/>
              </w:rPr>
              <w:t xml:space="preserve">Modbury Hospital </w:t>
            </w:r>
          </w:p>
        </w:tc>
      </w:tr>
      <w:tr w:rsidR="00751D61" w:rsidRPr="00751D61" w14:paraId="4B135FEC" w14:textId="77777777" w:rsidTr="00E4140A">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15BEA9F7" w14:textId="4AE06B47" w:rsidR="00751D61" w:rsidRPr="00751D61" w:rsidRDefault="00751D61" w:rsidP="00751D61">
            <w:pPr>
              <w:spacing w:before="0" w:after="0"/>
              <w:rPr>
                <w:rFonts w:cs="Arial"/>
                <w:color w:val="000000"/>
              </w:rPr>
            </w:pPr>
            <w:r w:rsidRPr="00751D61">
              <w:rPr>
                <w:rFonts w:cs="Arial"/>
                <w:color w:val="000000"/>
              </w:rPr>
              <w:t>MH</w:t>
            </w:r>
            <w:r w:rsidR="003F2700">
              <w:rPr>
                <w:rFonts w:cs="Arial"/>
                <w:color w:val="000000"/>
              </w:rPr>
              <w:t>H</w:t>
            </w:r>
            <w:r w:rsidRPr="00751D61">
              <w:rPr>
                <w:rFonts w:cs="Arial"/>
                <w:color w:val="000000"/>
              </w:rPr>
              <w:t>S</w:t>
            </w:r>
          </w:p>
        </w:tc>
        <w:tc>
          <w:tcPr>
            <w:tcW w:w="5386" w:type="dxa"/>
            <w:noWrap/>
            <w:hideMark/>
          </w:tcPr>
          <w:p w14:paraId="4E8B24E6" w14:textId="77777777" w:rsidR="00751D61" w:rsidRPr="00751D61" w:rsidRDefault="00751D61" w:rsidP="00751D61">
            <w:pPr>
              <w:spacing w:before="0" w:after="0"/>
              <w:cnfStyle w:val="000000000000" w:firstRow="0" w:lastRow="0" w:firstColumn="0" w:lastColumn="0" w:oddVBand="0" w:evenVBand="0" w:oddHBand="0" w:evenHBand="0" w:firstRowFirstColumn="0" w:firstRowLastColumn="0" w:lastRowFirstColumn="0" w:lastRowLastColumn="0"/>
              <w:rPr>
                <w:rFonts w:cs="Arial"/>
                <w:color w:val="000000"/>
              </w:rPr>
            </w:pPr>
            <w:r w:rsidRPr="00751D61">
              <w:rPr>
                <w:rFonts w:cs="Arial"/>
                <w:color w:val="000000"/>
              </w:rPr>
              <w:t>Mackay Health Service</w:t>
            </w:r>
          </w:p>
        </w:tc>
      </w:tr>
      <w:tr w:rsidR="00751D61" w:rsidRPr="00751D61" w14:paraId="52413FC5" w14:textId="77777777" w:rsidTr="00E4140A">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153CECE" w14:textId="77777777" w:rsidR="00751D61" w:rsidRPr="00751D61" w:rsidRDefault="00751D61" w:rsidP="00751D61">
            <w:pPr>
              <w:spacing w:before="0" w:after="0"/>
              <w:rPr>
                <w:rFonts w:cs="Arial"/>
                <w:color w:val="000000"/>
              </w:rPr>
            </w:pPr>
            <w:r w:rsidRPr="00751D61">
              <w:rPr>
                <w:rFonts w:cs="Arial"/>
                <w:color w:val="000000"/>
              </w:rPr>
              <w:t xml:space="preserve">MS </w:t>
            </w:r>
          </w:p>
        </w:tc>
        <w:tc>
          <w:tcPr>
            <w:tcW w:w="5386" w:type="dxa"/>
            <w:noWrap/>
            <w:hideMark/>
          </w:tcPr>
          <w:p w14:paraId="47318828" w14:textId="46D9B2CF" w:rsidR="00751D61" w:rsidRPr="00751D61" w:rsidRDefault="00576CED" w:rsidP="00751D61">
            <w:pPr>
              <w:spacing w:before="0" w:after="0"/>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Medical Supplies</w:t>
            </w:r>
            <w:r w:rsidR="00751D61" w:rsidRPr="00751D61">
              <w:rPr>
                <w:rFonts w:cs="Arial"/>
                <w:color w:val="000000"/>
              </w:rPr>
              <w:t xml:space="preserve"> </w:t>
            </w:r>
          </w:p>
        </w:tc>
      </w:tr>
      <w:tr w:rsidR="00751D61" w:rsidRPr="00751D61" w14:paraId="53A833D5" w14:textId="77777777" w:rsidTr="00E4140A">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C384F38" w14:textId="7F27FEBC" w:rsidR="00751D61" w:rsidRPr="00751D61" w:rsidRDefault="00751D61" w:rsidP="00751D61">
            <w:pPr>
              <w:spacing w:before="0" w:after="0"/>
              <w:rPr>
                <w:rFonts w:cs="Arial"/>
                <w:color w:val="000000"/>
              </w:rPr>
            </w:pPr>
            <w:r w:rsidRPr="00751D61">
              <w:rPr>
                <w:rFonts w:cs="Arial"/>
                <w:color w:val="000000"/>
              </w:rPr>
              <w:t>MSH</w:t>
            </w:r>
            <w:r w:rsidR="00A02BCC">
              <w:rPr>
                <w:rFonts w:cs="Arial"/>
                <w:color w:val="000000"/>
              </w:rPr>
              <w:t>H</w:t>
            </w:r>
            <w:r w:rsidRPr="00751D61">
              <w:rPr>
                <w:rFonts w:cs="Arial"/>
                <w:color w:val="000000"/>
              </w:rPr>
              <w:t>S</w:t>
            </w:r>
          </w:p>
        </w:tc>
        <w:tc>
          <w:tcPr>
            <w:tcW w:w="5386" w:type="dxa"/>
            <w:noWrap/>
            <w:hideMark/>
          </w:tcPr>
          <w:p w14:paraId="0743EB58" w14:textId="6CEDACFB" w:rsidR="00751D61" w:rsidRPr="00751D61" w:rsidRDefault="00751D61" w:rsidP="00751D61">
            <w:pPr>
              <w:spacing w:before="0" w:after="0"/>
              <w:cnfStyle w:val="000000000000" w:firstRow="0" w:lastRow="0" w:firstColumn="0" w:lastColumn="0" w:oddVBand="0" w:evenVBand="0" w:oddHBand="0" w:evenHBand="0" w:firstRowFirstColumn="0" w:firstRowLastColumn="0" w:lastRowFirstColumn="0" w:lastRowLastColumn="0"/>
              <w:rPr>
                <w:rFonts w:cs="Arial"/>
                <w:color w:val="000000"/>
              </w:rPr>
            </w:pPr>
            <w:r w:rsidRPr="00751D61">
              <w:rPr>
                <w:rFonts w:cs="Arial"/>
                <w:color w:val="000000"/>
              </w:rPr>
              <w:t xml:space="preserve">Metro South </w:t>
            </w:r>
            <w:r w:rsidR="00576CED">
              <w:rPr>
                <w:rFonts w:cs="Arial"/>
                <w:color w:val="000000"/>
              </w:rPr>
              <w:t xml:space="preserve">Hospital and </w:t>
            </w:r>
            <w:r w:rsidRPr="00751D61">
              <w:rPr>
                <w:rFonts w:cs="Arial"/>
                <w:color w:val="000000"/>
              </w:rPr>
              <w:t xml:space="preserve">Health Service </w:t>
            </w:r>
          </w:p>
        </w:tc>
      </w:tr>
      <w:tr w:rsidR="00751D61" w:rsidRPr="00751D61" w14:paraId="05348071" w14:textId="77777777" w:rsidTr="00E4140A">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76D95A4D" w14:textId="77777777" w:rsidR="00751D61" w:rsidRPr="00751D61" w:rsidRDefault="00751D61" w:rsidP="00751D61">
            <w:pPr>
              <w:spacing w:before="0" w:after="0"/>
              <w:rPr>
                <w:rFonts w:cs="Arial"/>
                <w:color w:val="000000"/>
              </w:rPr>
            </w:pPr>
            <w:r w:rsidRPr="00751D61">
              <w:rPr>
                <w:rFonts w:cs="Arial"/>
                <w:color w:val="000000"/>
              </w:rPr>
              <w:lastRenderedPageBreak/>
              <w:t>NAC</w:t>
            </w:r>
          </w:p>
        </w:tc>
        <w:tc>
          <w:tcPr>
            <w:tcW w:w="5386" w:type="dxa"/>
            <w:noWrap/>
            <w:hideMark/>
          </w:tcPr>
          <w:p w14:paraId="0B6A39B5" w14:textId="77777777" w:rsidR="00751D61" w:rsidRPr="00751D61" w:rsidRDefault="00751D61" w:rsidP="00751D61">
            <w:pPr>
              <w:spacing w:before="0" w:after="0"/>
              <w:cnfStyle w:val="000000000000" w:firstRow="0" w:lastRow="0" w:firstColumn="0" w:lastColumn="0" w:oddVBand="0" w:evenVBand="0" w:oddHBand="0" w:evenHBand="0" w:firstRowFirstColumn="0" w:firstRowLastColumn="0" w:lastRowFirstColumn="0" w:lastRowLastColumn="0"/>
              <w:rPr>
                <w:rFonts w:cs="Arial"/>
                <w:color w:val="000000"/>
              </w:rPr>
            </w:pPr>
            <w:r w:rsidRPr="00751D61">
              <w:rPr>
                <w:rFonts w:cs="Arial"/>
                <w:color w:val="000000"/>
              </w:rPr>
              <w:t xml:space="preserve">NHCDC Advisory Committee </w:t>
            </w:r>
          </w:p>
        </w:tc>
      </w:tr>
      <w:tr w:rsidR="00751D61" w:rsidRPr="00751D61" w14:paraId="26DD3618" w14:textId="77777777" w:rsidTr="00E4140A">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7E8FC57D" w14:textId="77777777" w:rsidR="00751D61" w:rsidRPr="00751D61" w:rsidRDefault="00751D61" w:rsidP="00751D61">
            <w:pPr>
              <w:spacing w:before="0" w:after="0"/>
              <w:rPr>
                <w:rFonts w:cs="Arial"/>
                <w:color w:val="000000"/>
              </w:rPr>
            </w:pPr>
            <w:r w:rsidRPr="00751D61">
              <w:rPr>
                <w:rFonts w:cs="Arial"/>
                <w:color w:val="000000"/>
              </w:rPr>
              <w:t>NALHN</w:t>
            </w:r>
          </w:p>
        </w:tc>
        <w:tc>
          <w:tcPr>
            <w:tcW w:w="5386" w:type="dxa"/>
            <w:noWrap/>
            <w:hideMark/>
          </w:tcPr>
          <w:p w14:paraId="6C98395A" w14:textId="77777777" w:rsidR="00751D61" w:rsidRPr="00751D61" w:rsidRDefault="00751D61" w:rsidP="00751D61">
            <w:pPr>
              <w:spacing w:before="0" w:after="0"/>
              <w:cnfStyle w:val="000000000000" w:firstRow="0" w:lastRow="0" w:firstColumn="0" w:lastColumn="0" w:oddVBand="0" w:evenVBand="0" w:oddHBand="0" w:evenHBand="0" w:firstRowFirstColumn="0" w:firstRowLastColumn="0" w:lastRowFirstColumn="0" w:lastRowLastColumn="0"/>
              <w:rPr>
                <w:rFonts w:cs="Arial"/>
                <w:color w:val="000000"/>
              </w:rPr>
            </w:pPr>
            <w:r w:rsidRPr="00751D61">
              <w:rPr>
                <w:rFonts w:cs="Arial"/>
                <w:color w:val="000000"/>
              </w:rPr>
              <w:t xml:space="preserve">Northern Adelaide Local Health Network </w:t>
            </w:r>
          </w:p>
        </w:tc>
      </w:tr>
      <w:tr w:rsidR="00751D61" w:rsidRPr="00751D61" w14:paraId="7704DA56" w14:textId="77777777" w:rsidTr="00E4140A">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0F710F10" w14:textId="77777777" w:rsidR="00751D61" w:rsidRPr="00751D61" w:rsidRDefault="00751D61" w:rsidP="00751D61">
            <w:pPr>
              <w:spacing w:before="0" w:after="0"/>
              <w:rPr>
                <w:rFonts w:cs="Arial"/>
                <w:color w:val="000000"/>
              </w:rPr>
            </w:pPr>
            <w:r w:rsidRPr="00751D61">
              <w:rPr>
                <w:rFonts w:cs="Arial"/>
                <w:color w:val="000000"/>
              </w:rPr>
              <w:t>NEP</w:t>
            </w:r>
          </w:p>
        </w:tc>
        <w:tc>
          <w:tcPr>
            <w:tcW w:w="5386" w:type="dxa"/>
            <w:noWrap/>
            <w:hideMark/>
          </w:tcPr>
          <w:p w14:paraId="7F5B9234" w14:textId="77777777" w:rsidR="00751D61" w:rsidRPr="00751D61" w:rsidRDefault="00751D61" w:rsidP="00751D61">
            <w:pPr>
              <w:spacing w:before="0" w:after="0"/>
              <w:cnfStyle w:val="000000000000" w:firstRow="0" w:lastRow="0" w:firstColumn="0" w:lastColumn="0" w:oddVBand="0" w:evenVBand="0" w:oddHBand="0" w:evenHBand="0" w:firstRowFirstColumn="0" w:firstRowLastColumn="0" w:lastRowFirstColumn="0" w:lastRowLastColumn="0"/>
              <w:rPr>
                <w:rFonts w:cs="Arial"/>
                <w:color w:val="000000"/>
              </w:rPr>
            </w:pPr>
            <w:r w:rsidRPr="00751D61">
              <w:rPr>
                <w:rFonts w:cs="Arial"/>
                <w:color w:val="000000"/>
              </w:rPr>
              <w:t xml:space="preserve">National Efficient Price </w:t>
            </w:r>
          </w:p>
        </w:tc>
      </w:tr>
      <w:tr w:rsidR="00751D61" w:rsidRPr="00751D61" w14:paraId="07AF5D07" w14:textId="77777777" w:rsidTr="00E4140A">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1039026A" w14:textId="77777777" w:rsidR="00751D61" w:rsidRPr="00751D61" w:rsidRDefault="00751D61" w:rsidP="00751D61">
            <w:pPr>
              <w:spacing w:before="0" w:after="0"/>
              <w:rPr>
                <w:rFonts w:cs="Arial"/>
                <w:color w:val="000000"/>
              </w:rPr>
            </w:pPr>
            <w:r w:rsidRPr="00751D61">
              <w:rPr>
                <w:rFonts w:cs="Arial"/>
                <w:color w:val="000000"/>
              </w:rPr>
              <w:t>NHCDC</w:t>
            </w:r>
          </w:p>
        </w:tc>
        <w:tc>
          <w:tcPr>
            <w:tcW w:w="5386" w:type="dxa"/>
            <w:noWrap/>
            <w:hideMark/>
          </w:tcPr>
          <w:p w14:paraId="761E6902" w14:textId="77777777" w:rsidR="00751D61" w:rsidRPr="00751D61" w:rsidRDefault="00751D61" w:rsidP="00751D61">
            <w:pPr>
              <w:spacing w:before="0" w:after="0"/>
              <w:cnfStyle w:val="000000000000" w:firstRow="0" w:lastRow="0" w:firstColumn="0" w:lastColumn="0" w:oddVBand="0" w:evenVBand="0" w:oddHBand="0" w:evenHBand="0" w:firstRowFirstColumn="0" w:firstRowLastColumn="0" w:lastRowFirstColumn="0" w:lastRowLastColumn="0"/>
              <w:rPr>
                <w:rFonts w:cs="Arial"/>
                <w:color w:val="000000"/>
              </w:rPr>
            </w:pPr>
            <w:r w:rsidRPr="00751D61">
              <w:rPr>
                <w:rFonts w:cs="Arial"/>
                <w:color w:val="000000"/>
              </w:rPr>
              <w:t xml:space="preserve">National Hospital Cost Data Collection </w:t>
            </w:r>
          </w:p>
        </w:tc>
      </w:tr>
      <w:tr w:rsidR="00751D61" w:rsidRPr="00751D61" w14:paraId="049AFCD5" w14:textId="77777777" w:rsidTr="00E4140A">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6D908D36" w14:textId="77777777" w:rsidR="00751D61" w:rsidRPr="00751D61" w:rsidRDefault="00751D61" w:rsidP="00751D61">
            <w:pPr>
              <w:spacing w:before="0" w:after="0"/>
              <w:rPr>
                <w:rFonts w:cs="Arial"/>
                <w:color w:val="000000"/>
              </w:rPr>
            </w:pPr>
            <w:r w:rsidRPr="00751D61">
              <w:rPr>
                <w:rFonts w:cs="Arial"/>
                <w:color w:val="000000"/>
              </w:rPr>
              <w:t>NHRA</w:t>
            </w:r>
          </w:p>
        </w:tc>
        <w:tc>
          <w:tcPr>
            <w:tcW w:w="5386" w:type="dxa"/>
            <w:noWrap/>
            <w:hideMark/>
          </w:tcPr>
          <w:p w14:paraId="5D864F3F" w14:textId="77777777" w:rsidR="00751D61" w:rsidRPr="00751D61" w:rsidRDefault="00751D61" w:rsidP="00751D61">
            <w:pPr>
              <w:spacing w:before="0" w:after="0"/>
              <w:cnfStyle w:val="000000000000" w:firstRow="0" w:lastRow="0" w:firstColumn="0" w:lastColumn="0" w:oddVBand="0" w:evenVBand="0" w:oddHBand="0" w:evenHBand="0" w:firstRowFirstColumn="0" w:firstRowLastColumn="0" w:lastRowFirstColumn="0" w:lastRowLastColumn="0"/>
              <w:rPr>
                <w:rFonts w:cs="Arial"/>
                <w:color w:val="000000"/>
              </w:rPr>
            </w:pPr>
            <w:r w:rsidRPr="00751D61">
              <w:rPr>
                <w:rFonts w:cs="Arial"/>
                <w:color w:val="000000"/>
              </w:rPr>
              <w:t xml:space="preserve">National Health Reform Agreement </w:t>
            </w:r>
          </w:p>
        </w:tc>
      </w:tr>
      <w:tr w:rsidR="00751D61" w:rsidRPr="00751D61" w14:paraId="3427BDCD" w14:textId="77777777" w:rsidTr="00E4140A">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8E21BCB" w14:textId="77777777" w:rsidR="00751D61" w:rsidRPr="00751D61" w:rsidRDefault="00751D61" w:rsidP="00751D61">
            <w:pPr>
              <w:spacing w:before="0" w:after="0"/>
              <w:rPr>
                <w:rFonts w:cs="Arial"/>
                <w:color w:val="000000"/>
              </w:rPr>
            </w:pPr>
            <w:r w:rsidRPr="00751D61">
              <w:rPr>
                <w:rFonts w:cs="Arial"/>
                <w:color w:val="000000"/>
              </w:rPr>
              <w:t>NPCR</w:t>
            </w:r>
          </w:p>
        </w:tc>
        <w:tc>
          <w:tcPr>
            <w:tcW w:w="5386" w:type="dxa"/>
            <w:noWrap/>
            <w:hideMark/>
          </w:tcPr>
          <w:p w14:paraId="25511F3A" w14:textId="77777777" w:rsidR="00751D61" w:rsidRPr="00751D61" w:rsidRDefault="00751D61" w:rsidP="00751D61">
            <w:pPr>
              <w:spacing w:before="0" w:after="0"/>
              <w:cnfStyle w:val="000000000000" w:firstRow="0" w:lastRow="0" w:firstColumn="0" w:lastColumn="0" w:oddVBand="0" w:evenVBand="0" w:oddHBand="0" w:evenHBand="0" w:firstRowFirstColumn="0" w:firstRowLastColumn="0" w:lastRowFirstColumn="0" w:lastRowLastColumn="0"/>
              <w:rPr>
                <w:rFonts w:cs="Arial"/>
                <w:color w:val="000000"/>
              </w:rPr>
            </w:pPr>
            <w:r w:rsidRPr="00751D61">
              <w:rPr>
                <w:rFonts w:cs="Arial"/>
                <w:color w:val="000000"/>
              </w:rPr>
              <w:t>National Partnership on COVID-19 Response</w:t>
            </w:r>
          </w:p>
        </w:tc>
      </w:tr>
      <w:tr w:rsidR="00751D61" w:rsidRPr="00751D61" w14:paraId="51C5EDB5" w14:textId="77777777" w:rsidTr="00E4140A">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73A9311E" w14:textId="77777777" w:rsidR="00751D61" w:rsidRPr="00751D61" w:rsidRDefault="00751D61" w:rsidP="00751D61">
            <w:pPr>
              <w:spacing w:before="0" w:after="0"/>
              <w:rPr>
                <w:rFonts w:cs="Arial"/>
                <w:color w:val="000000"/>
              </w:rPr>
            </w:pPr>
            <w:r w:rsidRPr="00751D61">
              <w:rPr>
                <w:rFonts w:cs="Arial"/>
                <w:color w:val="000000"/>
              </w:rPr>
              <w:t>NSW</w:t>
            </w:r>
          </w:p>
        </w:tc>
        <w:tc>
          <w:tcPr>
            <w:tcW w:w="5386" w:type="dxa"/>
            <w:noWrap/>
            <w:hideMark/>
          </w:tcPr>
          <w:p w14:paraId="3CCE4F53" w14:textId="77777777" w:rsidR="00751D61" w:rsidRPr="00751D61" w:rsidRDefault="00751D61" w:rsidP="00751D61">
            <w:pPr>
              <w:spacing w:before="0" w:after="0"/>
              <w:cnfStyle w:val="000000000000" w:firstRow="0" w:lastRow="0" w:firstColumn="0" w:lastColumn="0" w:oddVBand="0" w:evenVBand="0" w:oddHBand="0" w:evenHBand="0" w:firstRowFirstColumn="0" w:firstRowLastColumn="0" w:lastRowFirstColumn="0" w:lastRowLastColumn="0"/>
              <w:rPr>
                <w:rFonts w:cs="Arial"/>
                <w:color w:val="000000"/>
              </w:rPr>
            </w:pPr>
            <w:r w:rsidRPr="00751D61">
              <w:rPr>
                <w:rFonts w:cs="Arial"/>
                <w:color w:val="000000"/>
              </w:rPr>
              <w:t xml:space="preserve">New South Wales </w:t>
            </w:r>
          </w:p>
        </w:tc>
      </w:tr>
      <w:tr w:rsidR="00751D61" w:rsidRPr="00751D61" w14:paraId="693BB332" w14:textId="77777777" w:rsidTr="00E4140A">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313D0854" w14:textId="77777777" w:rsidR="00751D61" w:rsidRPr="00751D61" w:rsidRDefault="00751D61" w:rsidP="00751D61">
            <w:pPr>
              <w:spacing w:before="0" w:after="0"/>
              <w:rPr>
                <w:rFonts w:cs="Arial"/>
                <w:color w:val="000000"/>
              </w:rPr>
            </w:pPr>
            <w:r w:rsidRPr="00751D61">
              <w:rPr>
                <w:rFonts w:cs="Arial"/>
                <w:color w:val="000000"/>
              </w:rPr>
              <w:t>NT</w:t>
            </w:r>
          </w:p>
        </w:tc>
        <w:tc>
          <w:tcPr>
            <w:tcW w:w="5386" w:type="dxa"/>
            <w:noWrap/>
            <w:hideMark/>
          </w:tcPr>
          <w:p w14:paraId="0D75549D" w14:textId="77777777" w:rsidR="00751D61" w:rsidRPr="00751D61" w:rsidRDefault="00751D61" w:rsidP="00751D61">
            <w:pPr>
              <w:spacing w:before="0" w:after="0"/>
              <w:cnfStyle w:val="000000000000" w:firstRow="0" w:lastRow="0" w:firstColumn="0" w:lastColumn="0" w:oddVBand="0" w:evenVBand="0" w:oddHBand="0" w:evenHBand="0" w:firstRowFirstColumn="0" w:firstRowLastColumn="0" w:lastRowFirstColumn="0" w:lastRowLastColumn="0"/>
              <w:rPr>
                <w:rFonts w:cs="Arial"/>
                <w:color w:val="000000"/>
              </w:rPr>
            </w:pPr>
            <w:r w:rsidRPr="00751D61">
              <w:rPr>
                <w:rFonts w:cs="Arial"/>
                <w:color w:val="000000"/>
              </w:rPr>
              <w:t xml:space="preserve">Northern Territory </w:t>
            </w:r>
          </w:p>
        </w:tc>
      </w:tr>
      <w:tr w:rsidR="00751D61" w:rsidRPr="00751D61" w14:paraId="4923FD8A" w14:textId="77777777" w:rsidTr="00E4140A">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32566CCB" w14:textId="77777777" w:rsidR="00751D61" w:rsidRPr="00751D61" w:rsidRDefault="00751D61" w:rsidP="00751D61">
            <w:pPr>
              <w:spacing w:before="0" w:after="0"/>
              <w:rPr>
                <w:rFonts w:cs="Arial"/>
                <w:color w:val="000000"/>
              </w:rPr>
            </w:pPr>
            <w:r w:rsidRPr="00751D61">
              <w:rPr>
                <w:rFonts w:cs="Arial"/>
                <w:color w:val="000000"/>
              </w:rPr>
              <w:t>ODBC</w:t>
            </w:r>
          </w:p>
        </w:tc>
        <w:tc>
          <w:tcPr>
            <w:tcW w:w="5386" w:type="dxa"/>
            <w:noWrap/>
            <w:hideMark/>
          </w:tcPr>
          <w:p w14:paraId="3898633D" w14:textId="77777777" w:rsidR="00751D61" w:rsidRPr="00751D61" w:rsidRDefault="00751D61" w:rsidP="00751D61">
            <w:pPr>
              <w:spacing w:before="0" w:after="0"/>
              <w:cnfStyle w:val="000000000000" w:firstRow="0" w:lastRow="0" w:firstColumn="0" w:lastColumn="0" w:oddVBand="0" w:evenVBand="0" w:oddHBand="0" w:evenHBand="0" w:firstRowFirstColumn="0" w:firstRowLastColumn="0" w:lastRowFirstColumn="0" w:lastRowLastColumn="0"/>
              <w:rPr>
                <w:rFonts w:cs="Arial"/>
                <w:color w:val="000000"/>
              </w:rPr>
            </w:pPr>
            <w:r w:rsidRPr="00751D61">
              <w:rPr>
                <w:rFonts w:cs="Arial"/>
                <w:color w:val="000000"/>
              </w:rPr>
              <w:t xml:space="preserve">Open Database Connectivity </w:t>
            </w:r>
          </w:p>
        </w:tc>
      </w:tr>
      <w:tr w:rsidR="00751D61" w:rsidRPr="00751D61" w14:paraId="4244BBB7" w14:textId="77777777" w:rsidTr="00E4140A">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04C283EF" w14:textId="77777777" w:rsidR="00751D61" w:rsidRPr="00751D61" w:rsidRDefault="00751D61" w:rsidP="00751D61">
            <w:pPr>
              <w:spacing w:before="0" w:after="0"/>
              <w:rPr>
                <w:rFonts w:cs="Arial"/>
                <w:color w:val="000000"/>
              </w:rPr>
            </w:pPr>
            <w:r w:rsidRPr="00751D61">
              <w:rPr>
                <w:rFonts w:cs="Arial"/>
                <w:color w:val="000000"/>
              </w:rPr>
              <w:t>PAH</w:t>
            </w:r>
          </w:p>
        </w:tc>
        <w:tc>
          <w:tcPr>
            <w:tcW w:w="5386" w:type="dxa"/>
            <w:noWrap/>
            <w:hideMark/>
          </w:tcPr>
          <w:p w14:paraId="354C1169" w14:textId="77777777" w:rsidR="00751D61" w:rsidRPr="00751D61" w:rsidRDefault="00751D61" w:rsidP="00751D61">
            <w:pPr>
              <w:spacing w:before="0" w:after="0"/>
              <w:cnfStyle w:val="000000000000" w:firstRow="0" w:lastRow="0" w:firstColumn="0" w:lastColumn="0" w:oddVBand="0" w:evenVBand="0" w:oddHBand="0" w:evenHBand="0" w:firstRowFirstColumn="0" w:firstRowLastColumn="0" w:lastRowFirstColumn="0" w:lastRowLastColumn="0"/>
              <w:rPr>
                <w:rFonts w:cs="Arial"/>
                <w:color w:val="000000"/>
              </w:rPr>
            </w:pPr>
            <w:r w:rsidRPr="00751D61">
              <w:rPr>
                <w:rFonts w:cs="Arial"/>
                <w:color w:val="000000"/>
              </w:rPr>
              <w:t xml:space="preserve">Port Augusta Hospital </w:t>
            </w:r>
          </w:p>
        </w:tc>
      </w:tr>
      <w:tr w:rsidR="00751D61" w:rsidRPr="00751D61" w14:paraId="7D0603DF" w14:textId="77777777" w:rsidTr="00E4140A">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5F7947A3" w14:textId="77777777" w:rsidR="00751D61" w:rsidRPr="00751D61" w:rsidRDefault="00751D61" w:rsidP="00751D61">
            <w:pPr>
              <w:spacing w:before="0" w:after="0"/>
              <w:rPr>
                <w:rFonts w:cs="Arial"/>
                <w:color w:val="000000"/>
              </w:rPr>
            </w:pPr>
            <w:r w:rsidRPr="00751D61">
              <w:rPr>
                <w:rFonts w:cs="Arial"/>
                <w:color w:val="000000"/>
              </w:rPr>
              <w:t>PAS</w:t>
            </w:r>
          </w:p>
        </w:tc>
        <w:tc>
          <w:tcPr>
            <w:tcW w:w="5386" w:type="dxa"/>
            <w:noWrap/>
            <w:hideMark/>
          </w:tcPr>
          <w:p w14:paraId="4ABE2E60" w14:textId="77777777" w:rsidR="00751D61" w:rsidRPr="00751D61" w:rsidRDefault="00751D61" w:rsidP="00751D61">
            <w:pPr>
              <w:spacing w:before="0" w:after="0"/>
              <w:cnfStyle w:val="000000000000" w:firstRow="0" w:lastRow="0" w:firstColumn="0" w:lastColumn="0" w:oddVBand="0" w:evenVBand="0" w:oddHBand="0" w:evenHBand="0" w:firstRowFirstColumn="0" w:firstRowLastColumn="0" w:lastRowFirstColumn="0" w:lastRowLastColumn="0"/>
              <w:rPr>
                <w:rFonts w:cs="Arial"/>
                <w:color w:val="000000"/>
              </w:rPr>
            </w:pPr>
            <w:r w:rsidRPr="00751D61">
              <w:rPr>
                <w:rFonts w:cs="Arial"/>
                <w:color w:val="000000"/>
              </w:rPr>
              <w:t xml:space="preserve">Patient Administration Systems </w:t>
            </w:r>
          </w:p>
        </w:tc>
      </w:tr>
      <w:tr w:rsidR="00751D61" w:rsidRPr="00751D61" w14:paraId="01058F8F" w14:textId="77777777" w:rsidTr="00E4140A">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6ACF6A89" w14:textId="77777777" w:rsidR="00751D61" w:rsidRPr="00751D61" w:rsidRDefault="00751D61" w:rsidP="00751D61">
            <w:pPr>
              <w:spacing w:before="0" w:after="0"/>
              <w:rPr>
                <w:rFonts w:cs="Arial"/>
                <w:color w:val="000000"/>
              </w:rPr>
            </w:pPr>
            <w:r w:rsidRPr="00751D61">
              <w:rPr>
                <w:rFonts w:cs="Arial"/>
                <w:color w:val="000000"/>
              </w:rPr>
              <w:t>PBS</w:t>
            </w:r>
          </w:p>
        </w:tc>
        <w:tc>
          <w:tcPr>
            <w:tcW w:w="5386" w:type="dxa"/>
            <w:noWrap/>
            <w:hideMark/>
          </w:tcPr>
          <w:p w14:paraId="3236F298" w14:textId="0EA03C2B" w:rsidR="00751D61" w:rsidRPr="00751D61" w:rsidRDefault="00751D61" w:rsidP="00751D61">
            <w:pPr>
              <w:spacing w:before="0" w:after="0"/>
              <w:cnfStyle w:val="000000000000" w:firstRow="0" w:lastRow="0" w:firstColumn="0" w:lastColumn="0" w:oddVBand="0" w:evenVBand="0" w:oddHBand="0" w:evenHBand="0" w:firstRowFirstColumn="0" w:firstRowLastColumn="0" w:lastRowFirstColumn="0" w:lastRowLastColumn="0"/>
              <w:rPr>
                <w:rFonts w:cs="Arial"/>
                <w:color w:val="000000"/>
              </w:rPr>
            </w:pPr>
            <w:r w:rsidRPr="00751D61">
              <w:rPr>
                <w:rFonts w:cs="Arial"/>
                <w:color w:val="000000"/>
              </w:rPr>
              <w:t>Pharma</w:t>
            </w:r>
            <w:r w:rsidR="003E0C6F">
              <w:rPr>
                <w:rFonts w:cs="Arial"/>
                <w:color w:val="000000"/>
              </w:rPr>
              <w:t>ceutical</w:t>
            </w:r>
            <w:r w:rsidRPr="00751D61">
              <w:rPr>
                <w:rFonts w:cs="Arial"/>
                <w:color w:val="000000"/>
              </w:rPr>
              <w:t xml:space="preserve"> Benefit</w:t>
            </w:r>
            <w:r w:rsidR="003E0C6F">
              <w:rPr>
                <w:rFonts w:cs="Arial"/>
                <w:color w:val="000000"/>
              </w:rPr>
              <w:t>s</w:t>
            </w:r>
            <w:r w:rsidRPr="00751D61">
              <w:rPr>
                <w:rFonts w:cs="Arial"/>
                <w:color w:val="000000"/>
              </w:rPr>
              <w:t xml:space="preserve"> Schedule </w:t>
            </w:r>
          </w:p>
        </w:tc>
      </w:tr>
      <w:tr w:rsidR="00751D61" w:rsidRPr="00751D61" w14:paraId="472C8286" w14:textId="77777777" w:rsidTr="00E4140A">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D61085C" w14:textId="77777777" w:rsidR="00751D61" w:rsidRPr="00751D61" w:rsidRDefault="00751D61" w:rsidP="00751D61">
            <w:pPr>
              <w:spacing w:before="0" w:after="0"/>
              <w:rPr>
                <w:rFonts w:cs="Arial"/>
                <w:color w:val="000000"/>
              </w:rPr>
            </w:pPr>
            <w:r w:rsidRPr="00751D61">
              <w:rPr>
                <w:rFonts w:cs="Arial"/>
                <w:color w:val="000000"/>
              </w:rPr>
              <w:t>PCH</w:t>
            </w:r>
          </w:p>
        </w:tc>
        <w:tc>
          <w:tcPr>
            <w:tcW w:w="5386" w:type="dxa"/>
            <w:noWrap/>
            <w:hideMark/>
          </w:tcPr>
          <w:p w14:paraId="1E8AA018" w14:textId="77777777" w:rsidR="00751D61" w:rsidRPr="00751D61" w:rsidRDefault="00751D61" w:rsidP="00751D61">
            <w:pPr>
              <w:spacing w:before="0" w:after="0"/>
              <w:cnfStyle w:val="000000000000" w:firstRow="0" w:lastRow="0" w:firstColumn="0" w:lastColumn="0" w:oddVBand="0" w:evenVBand="0" w:oddHBand="0" w:evenHBand="0" w:firstRowFirstColumn="0" w:firstRowLastColumn="0" w:lastRowFirstColumn="0" w:lastRowLastColumn="0"/>
              <w:rPr>
                <w:rFonts w:cs="Arial"/>
                <w:color w:val="000000"/>
              </w:rPr>
            </w:pPr>
            <w:r w:rsidRPr="00751D61">
              <w:rPr>
                <w:rFonts w:cs="Arial"/>
                <w:color w:val="000000"/>
              </w:rPr>
              <w:t xml:space="preserve">Perth Children's Hospital </w:t>
            </w:r>
          </w:p>
        </w:tc>
      </w:tr>
      <w:tr w:rsidR="00751D61" w:rsidRPr="00751D61" w14:paraId="4A9DC500" w14:textId="77777777" w:rsidTr="00E4140A">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1198254D" w14:textId="77777777" w:rsidR="00751D61" w:rsidRPr="00751D61" w:rsidRDefault="00751D61" w:rsidP="00751D61">
            <w:pPr>
              <w:spacing w:before="0" w:after="0"/>
              <w:rPr>
                <w:rFonts w:cs="Arial"/>
                <w:color w:val="000000"/>
              </w:rPr>
            </w:pPr>
            <w:r w:rsidRPr="00751D61">
              <w:rPr>
                <w:rFonts w:cs="Arial"/>
                <w:color w:val="000000"/>
              </w:rPr>
              <w:t>PHE</w:t>
            </w:r>
          </w:p>
        </w:tc>
        <w:tc>
          <w:tcPr>
            <w:tcW w:w="5386" w:type="dxa"/>
            <w:noWrap/>
            <w:hideMark/>
          </w:tcPr>
          <w:p w14:paraId="14DBAD8D" w14:textId="77777777" w:rsidR="00751D61" w:rsidRPr="00751D61" w:rsidRDefault="00751D61" w:rsidP="00751D61">
            <w:pPr>
              <w:spacing w:before="0" w:after="0"/>
              <w:cnfStyle w:val="000000000000" w:firstRow="0" w:lastRow="0" w:firstColumn="0" w:lastColumn="0" w:oddVBand="0" w:evenVBand="0" w:oddHBand="0" w:evenHBand="0" w:firstRowFirstColumn="0" w:firstRowLastColumn="0" w:lastRowFirstColumn="0" w:lastRowLastColumn="0"/>
              <w:rPr>
                <w:rFonts w:cs="Arial"/>
                <w:color w:val="000000"/>
              </w:rPr>
            </w:pPr>
            <w:r w:rsidRPr="00751D61">
              <w:rPr>
                <w:rFonts w:cs="Arial"/>
                <w:color w:val="000000"/>
              </w:rPr>
              <w:t xml:space="preserve">Public Hospital Establishment </w:t>
            </w:r>
          </w:p>
        </w:tc>
      </w:tr>
      <w:tr w:rsidR="00751D61" w:rsidRPr="00751D61" w14:paraId="0B33E729" w14:textId="77777777" w:rsidTr="00E4140A">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19B757B" w14:textId="77777777" w:rsidR="00751D61" w:rsidRPr="00751D61" w:rsidRDefault="00751D61" w:rsidP="00751D61">
            <w:pPr>
              <w:spacing w:before="0" w:after="0"/>
              <w:rPr>
                <w:rFonts w:cs="Arial"/>
                <w:color w:val="000000"/>
              </w:rPr>
            </w:pPr>
            <w:r w:rsidRPr="00751D61">
              <w:rPr>
                <w:rFonts w:cs="Arial"/>
                <w:color w:val="000000"/>
              </w:rPr>
              <w:t>PMCC</w:t>
            </w:r>
          </w:p>
        </w:tc>
        <w:tc>
          <w:tcPr>
            <w:tcW w:w="5386" w:type="dxa"/>
            <w:noWrap/>
            <w:hideMark/>
          </w:tcPr>
          <w:p w14:paraId="63F6B969" w14:textId="77777777" w:rsidR="00751D61" w:rsidRPr="00751D61" w:rsidRDefault="00751D61" w:rsidP="00751D61">
            <w:pPr>
              <w:spacing w:before="0" w:after="0"/>
              <w:cnfStyle w:val="000000000000" w:firstRow="0" w:lastRow="0" w:firstColumn="0" w:lastColumn="0" w:oddVBand="0" w:evenVBand="0" w:oddHBand="0" w:evenHBand="0" w:firstRowFirstColumn="0" w:firstRowLastColumn="0" w:lastRowFirstColumn="0" w:lastRowLastColumn="0"/>
              <w:rPr>
                <w:rFonts w:cs="Arial"/>
                <w:color w:val="000000"/>
              </w:rPr>
            </w:pPr>
            <w:r w:rsidRPr="00751D61">
              <w:rPr>
                <w:rFonts w:cs="Arial"/>
                <w:color w:val="000000"/>
              </w:rPr>
              <w:t xml:space="preserve">Peter McCallum Cancer Centre </w:t>
            </w:r>
          </w:p>
        </w:tc>
      </w:tr>
      <w:tr w:rsidR="00751D61" w:rsidRPr="00751D61" w14:paraId="7A8EDEC2" w14:textId="77777777" w:rsidTr="00E4140A">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6137C697" w14:textId="77777777" w:rsidR="00751D61" w:rsidRPr="00751D61" w:rsidRDefault="00751D61" w:rsidP="00751D61">
            <w:pPr>
              <w:spacing w:before="0" w:after="0"/>
              <w:rPr>
                <w:rFonts w:cs="Arial"/>
                <w:color w:val="000000"/>
              </w:rPr>
            </w:pPr>
            <w:r w:rsidRPr="00751D61">
              <w:rPr>
                <w:rFonts w:cs="Arial"/>
                <w:color w:val="000000"/>
              </w:rPr>
              <w:t>PPM</w:t>
            </w:r>
          </w:p>
        </w:tc>
        <w:tc>
          <w:tcPr>
            <w:tcW w:w="5386" w:type="dxa"/>
            <w:noWrap/>
            <w:hideMark/>
          </w:tcPr>
          <w:p w14:paraId="33CA7FA0" w14:textId="77777777" w:rsidR="00751D61" w:rsidRPr="00751D61" w:rsidRDefault="00751D61" w:rsidP="00751D61">
            <w:pPr>
              <w:spacing w:before="0" w:after="0"/>
              <w:cnfStyle w:val="000000000000" w:firstRow="0" w:lastRow="0" w:firstColumn="0" w:lastColumn="0" w:oddVBand="0" w:evenVBand="0" w:oddHBand="0" w:evenHBand="0" w:firstRowFirstColumn="0" w:firstRowLastColumn="0" w:lastRowFirstColumn="0" w:lastRowLastColumn="0"/>
              <w:rPr>
                <w:rFonts w:cs="Arial"/>
                <w:color w:val="000000"/>
              </w:rPr>
            </w:pPr>
            <w:r w:rsidRPr="00751D61">
              <w:rPr>
                <w:rFonts w:cs="Arial"/>
                <w:color w:val="000000"/>
              </w:rPr>
              <w:t xml:space="preserve">Power Performance Manager </w:t>
            </w:r>
          </w:p>
        </w:tc>
      </w:tr>
      <w:tr w:rsidR="00751D61" w:rsidRPr="00751D61" w14:paraId="2A373BD9" w14:textId="77777777" w:rsidTr="00E4140A">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81FFD0E" w14:textId="77777777" w:rsidR="00751D61" w:rsidRPr="00751D61" w:rsidRDefault="00751D61" w:rsidP="00751D61">
            <w:pPr>
              <w:spacing w:before="0" w:after="0"/>
              <w:rPr>
                <w:rFonts w:cs="Arial"/>
                <w:color w:val="000000"/>
              </w:rPr>
            </w:pPr>
            <w:r w:rsidRPr="00751D61">
              <w:rPr>
                <w:rFonts w:cs="Arial"/>
                <w:color w:val="000000"/>
              </w:rPr>
              <w:t>QA</w:t>
            </w:r>
          </w:p>
        </w:tc>
        <w:tc>
          <w:tcPr>
            <w:tcW w:w="5386" w:type="dxa"/>
            <w:noWrap/>
            <w:hideMark/>
          </w:tcPr>
          <w:p w14:paraId="0E3BE119" w14:textId="4BF3CE17" w:rsidR="00751D61" w:rsidRPr="00751D61" w:rsidRDefault="003E0C6F" w:rsidP="00751D61">
            <w:pPr>
              <w:spacing w:before="0" w:after="0"/>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Q</w:t>
            </w:r>
            <w:r w:rsidR="00751D61" w:rsidRPr="00751D61">
              <w:rPr>
                <w:rFonts w:cs="Arial"/>
                <w:color w:val="000000"/>
              </w:rPr>
              <w:t xml:space="preserve">uality </w:t>
            </w:r>
            <w:r>
              <w:rPr>
                <w:rFonts w:cs="Arial"/>
                <w:color w:val="000000"/>
              </w:rPr>
              <w:t>A</w:t>
            </w:r>
            <w:r w:rsidR="00751D61" w:rsidRPr="00751D61">
              <w:rPr>
                <w:rFonts w:cs="Arial"/>
                <w:color w:val="000000"/>
              </w:rPr>
              <w:t xml:space="preserve">ssurance </w:t>
            </w:r>
          </w:p>
        </w:tc>
      </w:tr>
      <w:tr w:rsidR="00751D61" w:rsidRPr="00751D61" w14:paraId="4A2942A6" w14:textId="77777777" w:rsidTr="00E4140A">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3FFBD6A" w14:textId="77777777" w:rsidR="00751D61" w:rsidRPr="00751D61" w:rsidRDefault="00751D61" w:rsidP="00751D61">
            <w:pPr>
              <w:spacing w:before="0" w:after="0"/>
              <w:rPr>
                <w:rFonts w:cs="Arial"/>
                <w:color w:val="000000"/>
              </w:rPr>
            </w:pPr>
            <w:r w:rsidRPr="00751D61">
              <w:rPr>
                <w:rFonts w:cs="Arial"/>
                <w:color w:val="000000"/>
              </w:rPr>
              <w:t>RHH</w:t>
            </w:r>
          </w:p>
        </w:tc>
        <w:tc>
          <w:tcPr>
            <w:tcW w:w="5386" w:type="dxa"/>
            <w:noWrap/>
            <w:hideMark/>
          </w:tcPr>
          <w:p w14:paraId="25124D39" w14:textId="77777777" w:rsidR="00751D61" w:rsidRPr="00751D61" w:rsidRDefault="00751D61" w:rsidP="00751D61">
            <w:pPr>
              <w:spacing w:before="0" w:after="0"/>
              <w:cnfStyle w:val="000000000000" w:firstRow="0" w:lastRow="0" w:firstColumn="0" w:lastColumn="0" w:oddVBand="0" w:evenVBand="0" w:oddHBand="0" w:evenHBand="0" w:firstRowFirstColumn="0" w:firstRowLastColumn="0" w:lastRowFirstColumn="0" w:lastRowLastColumn="0"/>
              <w:rPr>
                <w:rFonts w:cs="Arial"/>
                <w:color w:val="000000"/>
              </w:rPr>
            </w:pPr>
            <w:r w:rsidRPr="00751D61">
              <w:rPr>
                <w:rFonts w:cs="Arial"/>
                <w:color w:val="000000"/>
              </w:rPr>
              <w:t xml:space="preserve">Royal Hobart Hospital </w:t>
            </w:r>
          </w:p>
        </w:tc>
      </w:tr>
      <w:tr w:rsidR="00751D61" w:rsidRPr="00751D61" w14:paraId="2470F68B" w14:textId="77777777" w:rsidTr="00E4140A">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BEEA3F6" w14:textId="77777777" w:rsidR="00751D61" w:rsidRPr="00751D61" w:rsidRDefault="00751D61" w:rsidP="00751D61">
            <w:pPr>
              <w:spacing w:before="0" w:after="0"/>
              <w:rPr>
                <w:rFonts w:cs="Arial"/>
                <w:color w:val="000000"/>
              </w:rPr>
            </w:pPr>
            <w:r w:rsidRPr="00751D61">
              <w:rPr>
                <w:rFonts w:cs="Arial"/>
                <w:color w:val="000000"/>
              </w:rPr>
              <w:t>RMH</w:t>
            </w:r>
          </w:p>
        </w:tc>
        <w:tc>
          <w:tcPr>
            <w:tcW w:w="5386" w:type="dxa"/>
            <w:noWrap/>
            <w:hideMark/>
          </w:tcPr>
          <w:p w14:paraId="7D14DD0B" w14:textId="77777777" w:rsidR="00751D61" w:rsidRPr="00751D61" w:rsidRDefault="00751D61" w:rsidP="00751D61">
            <w:pPr>
              <w:spacing w:before="0" w:after="0"/>
              <w:cnfStyle w:val="000000000000" w:firstRow="0" w:lastRow="0" w:firstColumn="0" w:lastColumn="0" w:oddVBand="0" w:evenVBand="0" w:oddHBand="0" w:evenHBand="0" w:firstRowFirstColumn="0" w:firstRowLastColumn="0" w:lastRowFirstColumn="0" w:lastRowLastColumn="0"/>
              <w:rPr>
                <w:rFonts w:cs="Arial"/>
                <w:color w:val="000000"/>
              </w:rPr>
            </w:pPr>
            <w:r w:rsidRPr="00751D61">
              <w:rPr>
                <w:rFonts w:cs="Arial"/>
                <w:color w:val="000000"/>
              </w:rPr>
              <w:t xml:space="preserve">Royal Melbourne Hospital </w:t>
            </w:r>
          </w:p>
        </w:tc>
      </w:tr>
      <w:tr w:rsidR="00751D61" w:rsidRPr="00751D61" w14:paraId="03C7DD5D" w14:textId="77777777" w:rsidTr="00E4140A">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1CAEFC9A" w14:textId="77777777" w:rsidR="00751D61" w:rsidRPr="00751D61" w:rsidRDefault="00751D61" w:rsidP="00751D61">
            <w:pPr>
              <w:spacing w:before="0" w:after="0"/>
              <w:rPr>
                <w:rFonts w:cs="Arial"/>
                <w:color w:val="000000"/>
              </w:rPr>
            </w:pPr>
            <w:r w:rsidRPr="00751D61">
              <w:rPr>
                <w:rFonts w:cs="Arial"/>
                <w:color w:val="000000"/>
              </w:rPr>
              <w:t>RPH</w:t>
            </w:r>
          </w:p>
        </w:tc>
        <w:tc>
          <w:tcPr>
            <w:tcW w:w="5386" w:type="dxa"/>
            <w:noWrap/>
            <w:hideMark/>
          </w:tcPr>
          <w:p w14:paraId="001D6C14" w14:textId="77777777" w:rsidR="00751D61" w:rsidRPr="00751D61" w:rsidRDefault="00751D61" w:rsidP="00751D61">
            <w:pPr>
              <w:spacing w:before="0" w:after="0"/>
              <w:cnfStyle w:val="000000000000" w:firstRow="0" w:lastRow="0" w:firstColumn="0" w:lastColumn="0" w:oddVBand="0" w:evenVBand="0" w:oddHBand="0" w:evenHBand="0" w:firstRowFirstColumn="0" w:firstRowLastColumn="0" w:lastRowFirstColumn="0" w:lastRowLastColumn="0"/>
              <w:rPr>
                <w:rFonts w:cs="Arial"/>
                <w:color w:val="000000"/>
              </w:rPr>
            </w:pPr>
            <w:r w:rsidRPr="00751D61">
              <w:rPr>
                <w:rFonts w:cs="Arial"/>
                <w:color w:val="000000"/>
              </w:rPr>
              <w:t xml:space="preserve">Royal Perth Hospital </w:t>
            </w:r>
          </w:p>
        </w:tc>
      </w:tr>
      <w:tr w:rsidR="00751D61" w:rsidRPr="00751D61" w14:paraId="4F320375" w14:textId="77777777" w:rsidTr="00E4140A">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583DEB4" w14:textId="77777777" w:rsidR="00751D61" w:rsidRPr="00751D61" w:rsidRDefault="00751D61" w:rsidP="00751D61">
            <w:pPr>
              <w:spacing w:before="0" w:after="0"/>
              <w:rPr>
                <w:rFonts w:cs="Arial"/>
                <w:color w:val="000000"/>
              </w:rPr>
            </w:pPr>
            <w:r w:rsidRPr="00751D61">
              <w:rPr>
                <w:rFonts w:cs="Arial"/>
                <w:color w:val="000000"/>
              </w:rPr>
              <w:t>RSS</w:t>
            </w:r>
          </w:p>
        </w:tc>
        <w:tc>
          <w:tcPr>
            <w:tcW w:w="5386" w:type="dxa"/>
            <w:noWrap/>
            <w:hideMark/>
          </w:tcPr>
          <w:p w14:paraId="4F035DCB" w14:textId="77777777" w:rsidR="00751D61" w:rsidRPr="00751D61" w:rsidRDefault="00751D61" w:rsidP="00751D61">
            <w:pPr>
              <w:spacing w:before="0" w:after="0"/>
              <w:cnfStyle w:val="000000000000" w:firstRow="0" w:lastRow="0" w:firstColumn="0" w:lastColumn="0" w:oddVBand="0" w:evenVBand="0" w:oddHBand="0" w:evenHBand="0" w:firstRowFirstColumn="0" w:firstRowLastColumn="0" w:lastRowFirstColumn="0" w:lastRowLastColumn="0"/>
              <w:rPr>
                <w:rFonts w:cs="Arial"/>
                <w:color w:val="000000"/>
              </w:rPr>
            </w:pPr>
            <w:r w:rsidRPr="00751D61">
              <w:rPr>
                <w:rFonts w:cs="Arial"/>
                <w:color w:val="000000"/>
              </w:rPr>
              <w:t xml:space="preserve">Rural Support Services </w:t>
            </w:r>
          </w:p>
        </w:tc>
      </w:tr>
      <w:tr w:rsidR="00751D61" w:rsidRPr="00751D61" w14:paraId="188D635E" w14:textId="77777777" w:rsidTr="00E4140A">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CBB8568" w14:textId="77777777" w:rsidR="00751D61" w:rsidRPr="00751D61" w:rsidRDefault="00751D61" w:rsidP="00751D61">
            <w:pPr>
              <w:spacing w:before="0" w:after="0"/>
              <w:rPr>
                <w:rFonts w:cs="Arial"/>
                <w:color w:val="000000"/>
              </w:rPr>
            </w:pPr>
            <w:r w:rsidRPr="00751D61">
              <w:rPr>
                <w:rFonts w:cs="Arial"/>
                <w:color w:val="000000"/>
              </w:rPr>
              <w:t>SA</w:t>
            </w:r>
          </w:p>
        </w:tc>
        <w:tc>
          <w:tcPr>
            <w:tcW w:w="5386" w:type="dxa"/>
            <w:noWrap/>
            <w:hideMark/>
          </w:tcPr>
          <w:p w14:paraId="50F9C1D2" w14:textId="77777777" w:rsidR="00751D61" w:rsidRPr="00751D61" w:rsidRDefault="00751D61" w:rsidP="00751D61">
            <w:pPr>
              <w:spacing w:before="0" w:after="0"/>
              <w:cnfStyle w:val="000000000000" w:firstRow="0" w:lastRow="0" w:firstColumn="0" w:lastColumn="0" w:oddVBand="0" w:evenVBand="0" w:oddHBand="0" w:evenHBand="0" w:firstRowFirstColumn="0" w:firstRowLastColumn="0" w:lastRowFirstColumn="0" w:lastRowLastColumn="0"/>
              <w:rPr>
                <w:rFonts w:cs="Arial"/>
                <w:color w:val="000000"/>
              </w:rPr>
            </w:pPr>
            <w:r w:rsidRPr="00751D61">
              <w:rPr>
                <w:rFonts w:cs="Arial"/>
                <w:color w:val="000000"/>
              </w:rPr>
              <w:t xml:space="preserve">South Australia </w:t>
            </w:r>
          </w:p>
        </w:tc>
      </w:tr>
      <w:tr w:rsidR="00751D61" w:rsidRPr="00751D61" w14:paraId="6E27FF69" w14:textId="77777777" w:rsidTr="00E4140A">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0329CAF8" w14:textId="77777777" w:rsidR="00751D61" w:rsidRPr="00751D61" w:rsidRDefault="00751D61" w:rsidP="00751D61">
            <w:pPr>
              <w:spacing w:before="0" w:after="0"/>
              <w:rPr>
                <w:rFonts w:cs="Arial"/>
                <w:color w:val="000000"/>
              </w:rPr>
            </w:pPr>
            <w:r w:rsidRPr="00751D61">
              <w:rPr>
                <w:rFonts w:cs="Arial"/>
                <w:color w:val="000000"/>
              </w:rPr>
              <w:t>SPF</w:t>
            </w:r>
          </w:p>
        </w:tc>
        <w:tc>
          <w:tcPr>
            <w:tcW w:w="5386" w:type="dxa"/>
            <w:noWrap/>
            <w:hideMark/>
          </w:tcPr>
          <w:p w14:paraId="755C39F2" w14:textId="77777777" w:rsidR="00751D61" w:rsidRPr="00751D61" w:rsidRDefault="00751D61" w:rsidP="00751D61">
            <w:pPr>
              <w:spacing w:before="0" w:after="0"/>
              <w:cnfStyle w:val="000000000000" w:firstRow="0" w:lastRow="0" w:firstColumn="0" w:lastColumn="0" w:oddVBand="0" w:evenVBand="0" w:oddHBand="0" w:evenHBand="0" w:firstRowFirstColumn="0" w:firstRowLastColumn="0" w:lastRowFirstColumn="0" w:lastRowLastColumn="0"/>
              <w:rPr>
                <w:rFonts w:cs="Arial"/>
                <w:color w:val="000000"/>
              </w:rPr>
            </w:pPr>
            <w:r w:rsidRPr="00751D61">
              <w:rPr>
                <w:rFonts w:cs="Arial"/>
                <w:color w:val="000000"/>
              </w:rPr>
              <w:t xml:space="preserve">Special Purpose Fund </w:t>
            </w:r>
          </w:p>
        </w:tc>
      </w:tr>
      <w:tr w:rsidR="00751D61" w:rsidRPr="00751D61" w14:paraId="46CCB686" w14:textId="77777777" w:rsidTr="00E4140A">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0F7E51B7" w14:textId="77777777" w:rsidR="00751D61" w:rsidRPr="00751D61" w:rsidRDefault="00751D61" w:rsidP="00751D61">
            <w:pPr>
              <w:spacing w:before="0" w:after="0"/>
              <w:rPr>
                <w:rFonts w:cs="Arial"/>
                <w:color w:val="000000"/>
              </w:rPr>
            </w:pPr>
            <w:r w:rsidRPr="00751D61">
              <w:rPr>
                <w:rFonts w:cs="Arial"/>
                <w:color w:val="000000"/>
              </w:rPr>
              <w:t>SPR</w:t>
            </w:r>
          </w:p>
        </w:tc>
        <w:tc>
          <w:tcPr>
            <w:tcW w:w="5386" w:type="dxa"/>
            <w:noWrap/>
            <w:hideMark/>
          </w:tcPr>
          <w:p w14:paraId="7C11829D" w14:textId="77777777" w:rsidR="00751D61" w:rsidRPr="00751D61" w:rsidRDefault="00751D61" w:rsidP="00751D61">
            <w:pPr>
              <w:spacing w:before="0" w:after="0"/>
              <w:cnfStyle w:val="000000000000" w:firstRow="0" w:lastRow="0" w:firstColumn="0" w:lastColumn="0" w:oddVBand="0" w:evenVBand="0" w:oddHBand="0" w:evenHBand="0" w:firstRowFirstColumn="0" w:firstRowLastColumn="0" w:lastRowFirstColumn="0" w:lastRowLastColumn="0"/>
              <w:rPr>
                <w:rFonts w:cs="Arial"/>
                <w:color w:val="000000"/>
              </w:rPr>
            </w:pPr>
            <w:r w:rsidRPr="00751D61">
              <w:rPr>
                <w:rFonts w:cs="Arial"/>
                <w:color w:val="000000"/>
              </w:rPr>
              <w:t xml:space="preserve">System Performance Reporting tool </w:t>
            </w:r>
          </w:p>
        </w:tc>
      </w:tr>
      <w:tr w:rsidR="00751D61" w:rsidRPr="00751D61" w14:paraId="78CADCCB" w14:textId="77777777" w:rsidTr="00E4140A">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36830554" w14:textId="77777777" w:rsidR="00751D61" w:rsidRPr="00751D61" w:rsidRDefault="00751D61" w:rsidP="00751D61">
            <w:pPr>
              <w:spacing w:before="0" w:after="0"/>
              <w:rPr>
                <w:rFonts w:cs="Arial"/>
                <w:color w:val="000000"/>
              </w:rPr>
            </w:pPr>
            <w:r w:rsidRPr="00751D61">
              <w:rPr>
                <w:rFonts w:cs="Arial"/>
                <w:color w:val="000000"/>
              </w:rPr>
              <w:t>SQL</w:t>
            </w:r>
          </w:p>
        </w:tc>
        <w:tc>
          <w:tcPr>
            <w:tcW w:w="5386" w:type="dxa"/>
            <w:noWrap/>
            <w:hideMark/>
          </w:tcPr>
          <w:p w14:paraId="5B702867" w14:textId="77777777" w:rsidR="00751D61" w:rsidRPr="00751D61" w:rsidRDefault="00751D61" w:rsidP="00751D61">
            <w:pPr>
              <w:spacing w:before="0" w:after="0"/>
              <w:cnfStyle w:val="000000000000" w:firstRow="0" w:lastRow="0" w:firstColumn="0" w:lastColumn="0" w:oddVBand="0" w:evenVBand="0" w:oddHBand="0" w:evenHBand="0" w:firstRowFirstColumn="0" w:firstRowLastColumn="0" w:lastRowFirstColumn="0" w:lastRowLastColumn="0"/>
              <w:rPr>
                <w:rFonts w:cs="Arial"/>
                <w:color w:val="000000"/>
              </w:rPr>
            </w:pPr>
            <w:r w:rsidRPr="00751D61">
              <w:rPr>
                <w:rFonts w:cs="Arial"/>
                <w:color w:val="000000"/>
              </w:rPr>
              <w:t xml:space="preserve">Structured Query Language </w:t>
            </w:r>
          </w:p>
        </w:tc>
      </w:tr>
      <w:tr w:rsidR="00751D61" w:rsidRPr="00751D61" w14:paraId="32ED211E" w14:textId="77777777" w:rsidTr="00E4140A">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19854EBC" w14:textId="77777777" w:rsidR="00751D61" w:rsidRPr="00751D61" w:rsidRDefault="00751D61" w:rsidP="00751D61">
            <w:pPr>
              <w:spacing w:before="0" w:after="0"/>
              <w:rPr>
                <w:rFonts w:cs="Arial"/>
                <w:color w:val="000000"/>
              </w:rPr>
            </w:pPr>
            <w:r w:rsidRPr="00751D61">
              <w:rPr>
                <w:rFonts w:cs="Arial"/>
                <w:color w:val="000000"/>
              </w:rPr>
              <w:t>TEHS</w:t>
            </w:r>
          </w:p>
        </w:tc>
        <w:tc>
          <w:tcPr>
            <w:tcW w:w="5386" w:type="dxa"/>
            <w:noWrap/>
            <w:hideMark/>
          </w:tcPr>
          <w:p w14:paraId="2A2A46DC" w14:textId="77777777" w:rsidR="00751D61" w:rsidRPr="00751D61" w:rsidRDefault="00751D61" w:rsidP="00751D61">
            <w:pPr>
              <w:spacing w:before="0" w:after="0"/>
              <w:cnfStyle w:val="000000000000" w:firstRow="0" w:lastRow="0" w:firstColumn="0" w:lastColumn="0" w:oddVBand="0" w:evenVBand="0" w:oddHBand="0" w:evenHBand="0" w:firstRowFirstColumn="0" w:firstRowLastColumn="0" w:lastRowFirstColumn="0" w:lastRowLastColumn="0"/>
              <w:rPr>
                <w:rFonts w:cs="Arial"/>
                <w:color w:val="000000"/>
              </w:rPr>
            </w:pPr>
            <w:r w:rsidRPr="00751D61">
              <w:rPr>
                <w:rFonts w:cs="Arial"/>
                <w:color w:val="000000"/>
              </w:rPr>
              <w:t>Top End Health Service</w:t>
            </w:r>
          </w:p>
        </w:tc>
      </w:tr>
      <w:tr w:rsidR="00751D61" w:rsidRPr="00751D61" w14:paraId="1B6CAF7B" w14:textId="77777777" w:rsidTr="00E4140A">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E1C4268" w14:textId="77777777" w:rsidR="00751D61" w:rsidRPr="00751D61" w:rsidRDefault="00751D61" w:rsidP="00751D61">
            <w:pPr>
              <w:spacing w:before="0" w:after="0"/>
              <w:rPr>
                <w:rFonts w:cs="Arial"/>
                <w:color w:val="000000"/>
              </w:rPr>
            </w:pPr>
            <w:r w:rsidRPr="00751D61">
              <w:rPr>
                <w:rFonts w:cs="Arial"/>
                <w:color w:val="000000"/>
              </w:rPr>
              <w:t>THS</w:t>
            </w:r>
          </w:p>
        </w:tc>
        <w:tc>
          <w:tcPr>
            <w:tcW w:w="5386" w:type="dxa"/>
            <w:noWrap/>
            <w:hideMark/>
          </w:tcPr>
          <w:p w14:paraId="2D2C66B3" w14:textId="77777777" w:rsidR="00751D61" w:rsidRPr="00751D61" w:rsidRDefault="00751D61" w:rsidP="00751D61">
            <w:pPr>
              <w:spacing w:before="0" w:after="0"/>
              <w:cnfStyle w:val="000000000000" w:firstRow="0" w:lastRow="0" w:firstColumn="0" w:lastColumn="0" w:oddVBand="0" w:evenVBand="0" w:oddHBand="0" w:evenHBand="0" w:firstRowFirstColumn="0" w:firstRowLastColumn="0" w:lastRowFirstColumn="0" w:lastRowLastColumn="0"/>
              <w:rPr>
                <w:rFonts w:cs="Arial"/>
                <w:color w:val="000000"/>
              </w:rPr>
            </w:pPr>
            <w:r w:rsidRPr="00751D61">
              <w:rPr>
                <w:rFonts w:cs="Arial"/>
                <w:color w:val="000000"/>
              </w:rPr>
              <w:t>Tasmanian Health Service</w:t>
            </w:r>
          </w:p>
        </w:tc>
      </w:tr>
      <w:tr w:rsidR="00751D61" w:rsidRPr="00751D61" w14:paraId="48F4B31E" w14:textId="77777777" w:rsidTr="00E4140A">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3394BBFB" w14:textId="77777777" w:rsidR="00751D61" w:rsidRPr="00751D61" w:rsidRDefault="00751D61" w:rsidP="00751D61">
            <w:pPr>
              <w:spacing w:before="0" w:after="0"/>
              <w:rPr>
                <w:rFonts w:cs="Arial"/>
                <w:color w:val="000000"/>
              </w:rPr>
            </w:pPr>
            <w:r w:rsidRPr="00751D61">
              <w:rPr>
                <w:rFonts w:cs="Arial"/>
                <w:color w:val="000000"/>
              </w:rPr>
              <w:t>TTR</w:t>
            </w:r>
          </w:p>
        </w:tc>
        <w:tc>
          <w:tcPr>
            <w:tcW w:w="5386" w:type="dxa"/>
            <w:noWrap/>
            <w:hideMark/>
          </w:tcPr>
          <w:p w14:paraId="6BFC4BCC" w14:textId="77777777" w:rsidR="00751D61" w:rsidRPr="00751D61" w:rsidRDefault="00751D61" w:rsidP="00751D61">
            <w:pPr>
              <w:spacing w:before="0" w:after="0"/>
              <w:cnfStyle w:val="000000000000" w:firstRow="0" w:lastRow="0" w:firstColumn="0" w:lastColumn="0" w:oddVBand="0" w:evenVBand="0" w:oddHBand="0" w:evenHBand="0" w:firstRowFirstColumn="0" w:firstRowLastColumn="0" w:lastRowFirstColumn="0" w:lastRowLastColumn="0"/>
              <w:rPr>
                <w:rFonts w:cs="Arial"/>
                <w:color w:val="000000"/>
              </w:rPr>
            </w:pPr>
            <w:r w:rsidRPr="00751D61">
              <w:rPr>
                <w:rFonts w:cs="Arial"/>
                <w:color w:val="000000"/>
              </w:rPr>
              <w:t>Teaching, Training and Research</w:t>
            </w:r>
          </w:p>
        </w:tc>
      </w:tr>
      <w:tr w:rsidR="00751D61" w:rsidRPr="00751D61" w14:paraId="1A49909A" w14:textId="77777777" w:rsidTr="00E4140A">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6E884FDA" w14:textId="77777777" w:rsidR="00751D61" w:rsidRPr="00751D61" w:rsidRDefault="00751D61" w:rsidP="00751D61">
            <w:pPr>
              <w:spacing w:before="0" w:after="0"/>
              <w:rPr>
                <w:rFonts w:cs="Arial"/>
                <w:color w:val="000000"/>
              </w:rPr>
            </w:pPr>
            <w:r w:rsidRPr="00751D61">
              <w:rPr>
                <w:rFonts w:cs="Arial"/>
                <w:color w:val="000000"/>
              </w:rPr>
              <w:t>UQB</w:t>
            </w:r>
          </w:p>
        </w:tc>
        <w:tc>
          <w:tcPr>
            <w:tcW w:w="5386" w:type="dxa"/>
            <w:noWrap/>
            <w:hideMark/>
          </w:tcPr>
          <w:p w14:paraId="7E6C42BF" w14:textId="74834D3A" w:rsidR="00751D61" w:rsidRPr="00751D61" w:rsidRDefault="00F77596" w:rsidP="00751D61">
            <w:pPr>
              <w:spacing w:before="0" w:after="0"/>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Unqualified Baby</w:t>
            </w:r>
            <w:r w:rsidR="00751D61" w:rsidRPr="00751D61">
              <w:rPr>
                <w:rFonts w:cs="Arial"/>
                <w:color w:val="000000"/>
              </w:rPr>
              <w:t xml:space="preserve"> </w:t>
            </w:r>
          </w:p>
        </w:tc>
      </w:tr>
      <w:tr w:rsidR="00751D61" w:rsidRPr="00751D61" w14:paraId="6791051B" w14:textId="77777777" w:rsidTr="00E4140A">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133D1720" w14:textId="77777777" w:rsidR="00751D61" w:rsidRPr="00751D61" w:rsidRDefault="00751D61" w:rsidP="00751D61">
            <w:pPr>
              <w:spacing w:before="0" w:after="0"/>
              <w:rPr>
                <w:rFonts w:cs="Arial"/>
                <w:color w:val="000000"/>
              </w:rPr>
            </w:pPr>
            <w:r w:rsidRPr="00751D61">
              <w:rPr>
                <w:rFonts w:cs="Arial"/>
                <w:color w:val="000000"/>
              </w:rPr>
              <w:t>VCDC</w:t>
            </w:r>
          </w:p>
        </w:tc>
        <w:tc>
          <w:tcPr>
            <w:tcW w:w="5386" w:type="dxa"/>
            <w:noWrap/>
            <w:hideMark/>
          </w:tcPr>
          <w:p w14:paraId="29ACDC6D" w14:textId="77777777" w:rsidR="00751D61" w:rsidRPr="00751D61" w:rsidRDefault="00751D61" w:rsidP="00751D61">
            <w:pPr>
              <w:spacing w:before="0" w:after="0"/>
              <w:cnfStyle w:val="000000000000" w:firstRow="0" w:lastRow="0" w:firstColumn="0" w:lastColumn="0" w:oddVBand="0" w:evenVBand="0" w:oddHBand="0" w:evenHBand="0" w:firstRowFirstColumn="0" w:firstRowLastColumn="0" w:lastRowFirstColumn="0" w:lastRowLastColumn="0"/>
              <w:rPr>
                <w:rFonts w:cs="Arial"/>
                <w:color w:val="000000"/>
              </w:rPr>
            </w:pPr>
            <w:r w:rsidRPr="00751D61">
              <w:rPr>
                <w:rFonts w:cs="Arial"/>
                <w:color w:val="000000"/>
              </w:rPr>
              <w:t xml:space="preserve">Victorian Cost Data Collection </w:t>
            </w:r>
          </w:p>
        </w:tc>
      </w:tr>
      <w:tr w:rsidR="00751D61" w:rsidRPr="00751D61" w14:paraId="3FECE85D" w14:textId="77777777" w:rsidTr="00E4140A">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17DCFE6" w14:textId="77777777" w:rsidR="00751D61" w:rsidRPr="00751D61" w:rsidRDefault="00751D61" w:rsidP="00751D61">
            <w:pPr>
              <w:spacing w:before="0" w:after="0"/>
              <w:rPr>
                <w:rFonts w:cs="Arial"/>
                <w:color w:val="000000"/>
              </w:rPr>
            </w:pPr>
            <w:r w:rsidRPr="00751D61">
              <w:rPr>
                <w:rFonts w:cs="Arial"/>
                <w:color w:val="000000"/>
              </w:rPr>
              <w:t>WA</w:t>
            </w:r>
          </w:p>
        </w:tc>
        <w:tc>
          <w:tcPr>
            <w:tcW w:w="5386" w:type="dxa"/>
            <w:noWrap/>
            <w:hideMark/>
          </w:tcPr>
          <w:p w14:paraId="129D8466" w14:textId="77777777" w:rsidR="00751D61" w:rsidRPr="00751D61" w:rsidRDefault="00751D61" w:rsidP="00751D61">
            <w:pPr>
              <w:spacing w:before="0" w:after="0"/>
              <w:cnfStyle w:val="000000000000" w:firstRow="0" w:lastRow="0" w:firstColumn="0" w:lastColumn="0" w:oddVBand="0" w:evenVBand="0" w:oddHBand="0" w:evenHBand="0" w:firstRowFirstColumn="0" w:firstRowLastColumn="0" w:lastRowFirstColumn="0" w:lastRowLastColumn="0"/>
              <w:rPr>
                <w:rFonts w:cs="Arial"/>
                <w:color w:val="000000"/>
              </w:rPr>
            </w:pPr>
            <w:r w:rsidRPr="00751D61">
              <w:rPr>
                <w:rFonts w:cs="Arial"/>
                <w:color w:val="000000"/>
              </w:rPr>
              <w:t xml:space="preserve">Western Australia </w:t>
            </w:r>
          </w:p>
        </w:tc>
      </w:tr>
      <w:tr w:rsidR="00751D61" w:rsidRPr="00751D61" w14:paraId="6A520827" w14:textId="77777777" w:rsidTr="00E4140A">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7E9B112C" w14:textId="77777777" w:rsidR="00751D61" w:rsidRPr="00751D61" w:rsidRDefault="00751D61" w:rsidP="00751D61">
            <w:pPr>
              <w:spacing w:before="0" w:after="0"/>
              <w:rPr>
                <w:rFonts w:cs="Arial"/>
                <w:color w:val="000000"/>
              </w:rPr>
            </w:pPr>
            <w:r w:rsidRPr="00751D61">
              <w:rPr>
                <w:rFonts w:cs="Arial"/>
                <w:color w:val="000000"/>
              </w:rPr>
              <w:t>WA Health</w:t>
            </w:r>
          </w:p>
        </w:tc>
        <w:tc>
          <w:tcPr>
            <w:tcW w:w="5386" w:type="dxa"/>
            <w:noWrap/>
            <w:hideMark/>
          </w:tcPr>
          <w:p w14:paraId="1DEEB993" w14:textId="77777777" w:rsidR="00751D61" w:rsidRPr="00751D61" w:rsidRDefault="00751D61" w:rsidP="00751D61">
            <w:pPr>
              <w:spacing w:before="0" w:after="0"/>
              <w:cnfStyle w:val="000000000000" w:firstRow="0" w:lastRow="0" w:firstColumn="0" w:lastColumn="0" w:oddVBand="0" w:evenVBand="0" w:oddHBand="0" w:evenHBand="0" w:firstRowFirstColumn="0" w:firstRowLastColumn="0" w:lastRowFirstColumn="0" w:lastRowLastColumn="0"/>
              <w:rPr>
                <w:rFonts w:cs="Arial"/>
                <w:color w:val="000000"/>
              </w:rPr>
            </w:pPr>
            <w:r w:rsidRPr="00751D61">
              <w:rPr>
                <w:rFonts w:cs="Arial"/>
                <w:color w:val="000000"/>
              </w:rPr>
              <w:t xml:space="preserve">Western Australian Health Service </w:t>
            </w:r>
          </w:p>
        </w:tc>
      </w:tr>
      <w:tr w:rsidR="00751D61" w:rsidRPr="00751D61" w14:paraId="5C3734B1" w14:textId="77777777" w:rsidTr="00E4140A">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680FB282" w14:textId="77777777" w:rsidR="00751D61" w:rsidRPr="00751D61" w:rsidRDefault="00751D61" w:rsidP="00751D61">
            <w:pPr>
              <w:spacing w:before="0" w:after="0"/>
              <w:rPr>
                <w:rFonts w:cs="Arial"/>
                <w:color w:val="000000"/>
              </w:rPr>
            </w:pPr>
            <w:r w:rsidRPr="00751D61">
              <w:rPr>
                <w:rFonts w:cs="Arial"/>
                <w:color w:val="000000"/>
              </w:rPr>
              <w:t>WACHS</w:t>
            </w:r>
          </w:p>
        </w:tc>
        <w:tc>
          <w:tcPr>
            <w:tcW w:w="5386" w:type="dxa"/>
            <w:noWrap/>
            <w:hideMark/>
          </w:tcPr>
          <w:p w14:paraId="3D40061C" w14:textId="77777777" w:rsidR="00751D61" w:rsidRPr="00751D61" w:rsidRDefault="00751D61" w:rsidP="00751D61">
            <w:pPr>
              <w:spacing w:before="0" w:after="0"/>
              <w:cnfStyle w:val="000000000000" w:firstRow="0" w:lastRow="0" w:firstColumn="0" w:lastColumn="0" w:oddVBand="0" w:evenVBand="0" w:oddHBand="0" w:evenHBand="0" w:firstRowFirstColumn="0" w:firstRowLastColumn="0" w:lastRowFirstColumn="0" w:lastRowLastColumn="0"/>
              <w:rPr>
                <w:rFonts w:cs="Arial"/>
                <w:color w:val="000000"/>
              </w:rPr>
            </w:pPr>
            <w:r w:rsidRPr="00751D61">
              <w:rPr>
                <w:rFonts w:cs="Arial"/>
                <w:color w:val="000000"/>
              </w:rPr>
              <w:t xml:space="preserve">WA Country Health Service </w:t>
            </w:r>
          </w:p>
        </w:tc>
      </w:tr>
      <w:tr w:rsidR="00751D61" w:rsidRPr="00751D61" w14:paraId="52E27743" w14:textId="77777777" w:rsidTr="00E4140A">
        <w:trPr>
          <w:trHeight w:val="28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CED3FF1" w14:textId="77777777" w:rsidR="00751D61" w:rsidRPr="00751D61" w:rsidRDefault="00751D61" w:rsidP="00751D61">
            <w:pPr>
              <w:spacing w:before="0" w:after="0"/>
              <w:rPr>
                <w:rFonts w:cs="Arial"/>
                <w:color w:val="000000"/>
              </w:rPr>
            </w:pPr>
            <w:r w:rsidRPr="00751D61">
              <w:rPr>
                <w:rFonts w:cs="Arial"/>
                <w:color w:val="000000"/>
              </w:rPr>
              <w:t>WIP</w:t>
            </w:r>
          </w:p>
        </w:tc>
        <w:tc>
          <w:tcPr>
            <w:tcW w:w="5386" w:type="dxa"/>
            <w:noWrap/>
            <w:hideMark/>
          </w:tcPr>
          <w:p w14:paraId="44BAF1FE" w14:textId="77777777" w:rsidR="00751D61" w:rsidRPr="00751D61" w:rsidRDefault="00751D61" w:rsidP="00751D61">
            <w:pPr>
              <w:spacing w:before="0" w:after="0"/>
              <w:cnfStyle w:val="000000000000" w:firstRow="0" w:lastRow="0" w:firstColumn="0" w:lastColumn="0" w:oddVBand="0" w:evenVBand="0" w:oddHBand="0" w:evenHBand="0" w:firstRowFirstColumn="0" w:firstRowLastColumn="0" w:lastRowFirstColumn="0" w:lastRowLastColumn="0"/>
              <w:rPr>
                <w:rFonts w:cs="Arial"/>
                <w:color w:val="000000"/>
              </w:rPr>
            </w:pPr>
            <w:r w:rsidRPr="00751D61">
              <w:rPr>
                <w:rFonts w:cs="Arial"/>
                <w:color w:val="000000"/>
              </w:rPr>
              <w:t xml:space="preserve">Work in Progress </w:t>
            </w:r>
          </w:p>
        </w:tc>
      </w:tr>
    </w:tbl>
    <w:p w14:paraId="6AB7C3B9" w14:textId="77777777" w:rsidR="00214CEE" w:rsidRDefault="00214CEE" w:rsidP="00916EE0">
      <w:pPr>
        <w:pStyle w:val="backcoverdetails"/>
        <w:spacing w:after="720"/>
        <w:rPr>
          <w:rStyle w:val="White"/>
          <w:b/>
          <w:color w:val="00338D" w:themeColor="background2"/>
        </w:rPr>
      </w:pPr>
    </w:p>
    <w:p w14:paraId="5D32E91D" w14:textId="26DC8F5D" w:rsidR="00916EE0" w:rsidRPr="00AA34E3" w:rsidRDefault="00916EE0" w:rsidP="00916EE0">
      <w:pPr>
        <w:pStyle w:val="backcoverdetails"/>
        <w:spacing w:after="720"/>
        <w:rPr>
          <w:rStyle w:val="White"/>
          <w:b/>
          <w:color w:val="00338D" w:themeColor="background2"/>
        </w:rPr>
      </w:pPr>
      <w:r>
        <w:rPr>
          <w:rStyle w:val="White"/>
          <w:b/>
          <w:color w:val="00338D" w:themeColor="background2"/>
        </w:rPr>
        <w:t>KPMG</w:t>
      </w:r>
      <w:r w:rsidRPr="00AA34E3">
        <w:rPr>
          <w:rStyle w:val="White"/>
          <w:b/>
          <w:color w:val="00338D" w:themeColor="background2"/>
        </w:rPr>
        <w:t>.com.au</w:t>
      </w:r>
    </w:p>
    <w:p w14:paraId="0525E7A3" w14:textId="77777777" w:rsidR="00916EE0" w:rsidRPr="00AA34E3" w:rsidRDefault="00916EE0" w:rsidP="00916EE0">
      <w:pPr>
        <w:pStyle w:val="Footer"/>
        <w:spacing w:after="60"/>
        <w:jc w:val="left"/>
        <w:rPr>
          <w:rStyle w:val="White"/>
          <w:color w:val="808080" w:themeColor="background1" w:themeShade="80"/>
        </w:rPr>
      </w:pPr>
      <w:r w:rsidRPr="00AA34E3">
        <w:rPr>
          <w:rStyle w:val="White"/>
          <w:color w:val="808080" w:themeColor="background1" w:themeShade="80"/>
        </w:rPr>
        <w:t>The information contained in this document is of a general nature and is not intended to address the objectives, financial situation or needs of any particular individual or entity. It is provided for information purposes only and does not constitute, nor should it be regarded in any manner whatsoever, as advice and is not intended to influence a person in making a decision, including, if applicable, in relation to any financial product or an interest in a financial product. Although we endeavour to provide accurate and timely information, there can be no guarantee that such information is accurate as of the date it is received or that it will continue to be accurate in the future. No one should act on such information without appropriate professional advice after a thorough examination of the particular situation.</w:t>
      </w:r>
    </w:p>
    <w:p w14:paraId="348E4F57" w14:textId="578156E9" w:rsidR="00A3208B" w:rsidRPr="00A16B1D" w:rsidRDefault="00916EE0" w:rsidP="00214CEE">
      <w:pPr>
        <w:pStyle w:val="Footer"/>
        <w:spacing w:after="60"/>
        <w:jc w:val="left"/>
      </w:pPr>
      <w:r w:rsidRPr="00AA34E3">
        <w:rPr>
          <w:rStyle w:val="White"/>
          <w:color w:val="808080" w:themeColor="background1" w:themeShade="80"/>
        </w:rPr>
        <w:t>To the extent permissible by law, KPMG and its associated entities shall not be liable for any errors, omissions, defects or misrepresentations in the information or for any loss or damage suffered by persons who use or rely on such information (including for reasons of negligence, negligent misstatement or otherwise).</w:t>
      </w:r>
    </w:p>
    <w:sectPr w:rsidR="00A3208B" w:rsidRPr="00A16B1D" w:rsidSect="00D61AC3">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1274CF" w14:textId="77777777" w:rsidR="00FB3350" w:rsidRDefault="00FB3350" w:rsidP="004A3F32">
      <w:pPr>
        <w:spacing w:after="0"/>
      </w:pPr>
      <w:r>
        <w:separator/>
      </w:r>
    </w:p>
  </w:endnote>
  <w:endnote w:type="continuationSeparator" w:id="0">
    <w:p w14:paraId="44BE7BE8" w14:textId="77777777" w:rsidR="00FB3350" w:rsidRDefault="00FB3350" w:rsidP="004A3F32">
      <w:pPr>
        <w:spacing w:after="0"/>
      </w:pPr>
      <w:r>
        <w:continuationSeparator/>
      </w:r>
    </w:p>
  </w:endnote>
  <w:endnote w:type="continuationNotice" w:id="1">
    <w:p w14:paraId="6EC49230" w14:textId="77777777" w:rsidR="00FB3350" w:rsidRDefault="00FB335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9999999">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altName w:val="Calibri"/>
    <w:charset w:val="00"/>
    <w:family w:val="auto"/>
    <w:pitch w:val="variable"/>
    <w:sig w:usb0="8000002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Arial Bold">
    <w:panose1 w:val="020B0704020202020204"/>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KPMG Light">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3294717"/>
      <w:docPartObj>
        <w:docPartGallery w:val="Page Numbers (Bottom of Page)"/>
        <w:docPartUnique/>
      </w:docPartObj>
    </w:sdtPr>
    <w:sdtEndPr/>
    <w:sdtContent>
      <w:sdt>
        <w:sdtPr>
          <w:id w:val="-1503961974"/>
          <w:docPartObj>
            <w:docPartGallery w:val="Page Numbers (Bottom of Page)"/>
            <w:docPartUnique/>
          </w:docPartObj>
        </w:sdtPr>
        <w:sdtEndPr/>
        <w:sdtContent>
          <w:p w14:paraId="339CDB94" w14:textId="5568FB13" w:rsidR="005B2836" w:rsidRPr="00771555" w:rsidRDefault="005B2836" w:rsidP="00771555">
            <w:pPr>
              <w:pStyle w:val="Footer"/>
            </w:pPr>
            <w:r w:rsidRPr="00771555">
              <w:t xml:space="preserve">KPMG  |  </w:t>
            </w:r>
            <w:r w:rsidRPr="00771555">
              <w:fldChar w:fldCharType="begin"/>
            </w:r>
            <w:r w:rsidRPr="00771555">
              <w:instrText xml:space="preserve"> PAGE   \* MERGEFORMAT </w:instrText>
            </w:r>
            <w:r w:rsidRPr="00771555">
              <w:fldChar w:fldCharType="separate"/>
            </w:r>
            <w:r>
              <w:rPr>
                <w:noProof/>
              </w:rPr>
              <w:t>17</w:t>
            </w:r>
            <w:r w:rsidRPr="00771555">
              <w:fldChar w:fldCharType="end"/>
            </w:r>
          </w:p>
          <w:p w14:paraId="23A0811A" w14:textId="77777777" w:rsidR="005B2836" w:rsidRPr="00771555" w:rsidRDefault="00B7462B" w:rsidP="00771555">
            <w:pPr>
              <w:pStyle w:val="Footer"/>
            </w:pPr>
          </w:p>
        </w:sdtContent>
      </w:sdt>
    </w:sdtContent>
  </w:sdt>
  <w:p w14:paraId="5F858F18" w14:textId="375E6B0A" w:rsidR="005B2836" w:rsidRPr="00A3336B" w:rsidRDefault="005B2836" w:rsidP="00A3336B">
    <w:pPr>
      <w:pStyle w:val="copyright"/>
      <w:jc w:val="center"/>
      <w:rPr>
        <w:sz w:val="12"/>
        <w:szCs w:val="12"/>
      </w:rPr>
    </w:pPr>
    <w:r w:rsidRPr="00A3336B">
      <w:rPr>
        <w:sz w:val="12"/>
        <w:szCs w:val="12"/>
      </w:rPr>
      <w:t xml:space="preserve">©2022 KPMG, an Australian </w:t>
    </w:r>
    <w:r w:rsidR="00FE714C" w:rsidRPr="00A3336B">
      <w:rPr>
        <w:sz w:val="12"/>
        <w:szCs w:val="12"/>
      </w:rPr>
      <w:t>partnership,</w:t>
    </w:r>
    <w:r w:rsidRPr="00A3336B">
      <w:rPr>
        <w:sz w:val="12"/>
        <w:szCs w:val="12"/>
      </w:rPr>
      <w:t xml:space="preserve"> and a member firm of the KPMG global organisation of independent member firms affiliated with KPMG International Limited, a private English company limited by guarantee. All rights reserved.</w:t>
    </w:r>
  </w:p>
  <w:p w14:paraId="21CF84F4" w14:textId="77777777" w:rsidR="005B2836" w:rsidRPr="00A3336B" w:rsidRDefault="005B2836" w:rsidP="00A3336B">
    <w:pPr>
      <w:pStyle w:val="copyright"/>
      <w:jc w:val="center"/>
      <w:rPr>
        <w:sz w:val="12"/>
        <w:szCs w:val="12"/>
      </w:rPr>
    </w:pPr>
    <w:r w:rsidRPr="00A3336B">
      <w:rPr>
        <w:sz w:val="12"/>
        <w:szCs w:val="12"/>
      </w:rPr>
      <w:t>The KPMG name and logo are trademarks used under license by the independent member firms of the KPMG global organisation.</w:t>
    </w:r>
  </w:p>
  <w:p w14:paraId="312C5A6F" w14:textId="77777777" w:rsidR="005B2836" w:rsidRPr="00A3336B" w:rsidRDefault="005B2836" w:rsidP="00A3336B">
    <w:pPr>
      <w:pStyle w:val="copyright"/>
      <w:jc w:val="center"/>
      <w:rPr>
        <w:sz w:val="12"/>
        <w:szCs w:val="12"/>
      </w:rPr>
    </w:pPr>
    <w:r w:rsidRPr="00A3336B">
      <w:rPr>
        <w:sz w:val="12"/>
        <w:szCs w:val="12"/>
      </w:rPr>
      <w:t>Liability limited by a scheme approved under Professional Standards Legislation.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208EC5" w14:textId="77777777" w:rsidR="00FB3350" w:rsidRDefault="00FB3350" w:rsidP="008F21F4">
      <w:r>
        <w:separator/>
      </w:r>
    </w:p>
  </w:footnote>
  <w:footnote w:type="continuationSeparator" w:id="0">
    <w:p w14:paraId="3C6DA38A" w14:textId="77777777" w:rsidR="00FB3350" w:rsidRDefault="00FB3350" w:rsidP="004A3F32">
      <w:pPr>
        <w:spacing w:after="0"/>
      </w:pPr>
      <w:r>
        <w:continuationSeparator/>
      </w:r>
    </w:p>
  </w:footnote>
  <w:footnote w:type="continuationNotice" w:id="1">
    <w:p w14:paraId="704C2E55" w14:textId="77777777" w:rsidR="00FB3350" w:rsidRDefault="00FB3350">
      <w:pPr>
        <w:spacing w:after="0"/>
      </w:pPr>
    </w:p>
  </w:footnote>
  <w:footnote w:id="2">
    <w:p w14:paraId="7516C737" w14:textId="7D8FCAAF" w:rsidR="00F32A18" w:rsidRDefault="00F32A18">
      <w:pPr>
        <w:pStyle w:val="FootnoteText"/>
      </w:pPr>
      <w:r>
        <w:rPr>
          <w:rStyle w:val="FootnoteReference"/>
        </w:rPr>
        <w:footnoteRef/>
      </w:r>
      <w:r>
        <w:t xml:space="preserve"> IHACPA (2022), </w:t>
      </w:r>
      <w:r w:rsidRPr="00F32A18">
        <w:t>Australian Hospital Patient Costing Standards Version 4.1</w:t>
      </w:r>
      <w:r>
        <w:t xml:space="preserve">, </w:t>
      </w:r>
      <w:hyperlink r:id="rId1" w:history="1">
        <w:r w:rsidRPr="00E61A99">
          <w:rPr>
            <w:rStyle w:val="Hyperlink"/>
          </w:rPr>
          <w:t>https://www.ihacpa.gov.au/resources/australian-hospital-patient-costing-standards-version-41</w:t>
        </w:r>
      </w:hyperlink>
      <w:r>
        <w:t xml:space="preserve"> </w:t>
      </w:r>
    </w:p>
  </w:footnote>
  <w:footnote w:id="3">
    <w:p w14:paraId="2276C4B5" w14:textId="4D795149" w:rsidR="005B2836" w:rsidRDefault="005B2836" w:rsidP="008F21F4">
      <w:pPr>
        <w:pStyle w:val="FootnoteText"/>
      </w:pPr>
      <w:r>
        <w:rPr>
          <w:rStyle w:val="FootnoteReference"/>
        </w:rPr>
        <w:footnoteRef/>
      </w:r>
      <w:r>
        <w:t xml:space="preserve"> LHN refers to a health network, district, or service. LHN has been selected for simplicity through sections of the report but the correct network name for the respective jurisdiction is specified appropriately.</w:t>
      </w:r>
    </w:p>
  </w:footnote>
  <w:footnote w:id="4">
    <w:p w14:paraId="12CA4124" w14:textId="35432A63" w:rsidR="00257ED7" w:rsidRDefault="00257ED7">
      <w:pPr>
        <w:pStyle w:val="FootnoteText"/>
      </w:pPr>
      <w:r>
        <w:rPr>
          <w:rStyle w:val="FootnoteReference"/>
        </w:rPr>
        <w:footnoteRef/>
      </w:r>
      <w:r>
        <w:t xml:space="preserve"> </w:t>
      </w:r>
      <w:r w:rsidR="005E32D6">
        <w:t>R</w:t>
      </w:r>
      <w:r w:rsidRPr="00257ED7">
        <w:t>efers to Ballarat Health Services only, prior to new amalgamated Grampians Health from 1 November 2021</w:t>
      </w:r>
    </w:p>
  </w:footnote>
  <w:footnote w:id="5">
    <w:p w14:paraId="5427EADC" w14:textId="77777777" w:rsidR="005B2836" w:rsidRDefault="005B2836">
      <w:pPr>
        <w:pStyle w:val="FootnoteText"/>
      </w:pPr>
      <w:r>
        <w:rPr>
          <w:rStyle w:val="FootnoteReference"/>
        </w:rPr>
        <w:footnoteRef/>
      </w:r>
      <w:r>
        <w:t xml:space="preserve"> </w:t>
      </w:r>
      <w:r w:rsidRPr="0000772D">
        <w:t>https://www.ihacpa.gov.au/health-care/data/national-benchmarking-portal</w:t>
      </w:r>
    </w:p>
  </w:footnote>
  <w:footnote w:id="6">
    <w:p w14:paraId="13076F7D" w14:textId="344EF464" w:rsidR="005B2836" w:rsidRDefault="005B2836">
      <w:pPr>
        <w:pStyle w:val="FootnoteText"/>
      </w:pPr>
      <w:r>
        <w:rPr>
          <w:rStyle w:val="FootnoteReference"/>
        </w:rPr>
        <w:footnoteRef/>
      </w:r>
      <w:r>
        <w:t xml:space="preserve"> </w:t>
      </w:r>
      <w:r w:rsidRPr="00BF0C68">
        <w:t>https://www.wacountry.health.wa.gov.au/About-us/Overview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C6D54" w14:textId="3D8107AB" w:rsidR="005B2836" w:rsidRDefault="005B2836" w:rsidP="008C0951">
    <w:pPr>
      <w:pStyle w:val="Header"/>
    </w:pPr>
    <w:r>
      <w:t>Independent Financial Review of the National Hospital Cost Data Collection</w:t>
    </w:r>
  </w:p>
  <w:p w14:paraId="686D2CDC" w14:textId="0CB5D265" w:rsidR="00080072" w:rsidRDefault="00080072" w:rsidP="008C0951">
    <w:pPr>
      <w:pStyle w:val="Header"/>
    </w:pPr>
    <w:r>
      <w:t>Financial Year 2020-21</w:t>
    </w:r>
  </w:p>
  <w:p w14:paraId="64D20D97" w14:textId="0728BBFF" w:rsidR="005B2836" w:rsidRDefault="005B2836" w:rsidP="008C0951">
    <w:pPr>
      <w:pStyle w:val="Header"/>
    </w:pPr>
    <w:r>
      <w:t>Independent Health and Aged Care Pricing Authority</w:t>
    </w:r>
  </w:p>
  <w:p w14:paraId="226FFC41" w14:textId="4F38A45A" w:rsidR="005B2836" w:rsidRDefault="00C37C0D" w:rsidP="008C0951">
    <w:pPr>
      <w:pStyle w:val="Header"/>
    </w:pPr>
    <w:r>
      <w:t xml:space="preserve">March </w:t>
    </w:r>
    <w:r w:rsidR="00D7744B">
      <w:t>202</w:t>
    </w:r>
    <w:r w:rsidR="00FE714C">
      <w:t>3</w:t>
    </w:r>
  </w:p>
  <w:p w14:paraId="5B693406" w14:textId="77777777" w:rsidR="005B2836" w:rsidRDefault="005B2836" w:rsidP="008C0951">
    <w:pPr>
      <w:pStyle w:val="Header"/>
    </w:pPr>
  </w:p>
  <w:p w14:paraId="36A6E432" w14:textId="4001A54B" w:rsidR="005B2836" w:rsidRDefault="005B2836" w:rsidP="008C09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C348D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BF43A3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AC8D9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422F45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022975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AD8A86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F4AA5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1BA69AA"/>
    <w:lvl w:ilvl="0">
      <w:start w:val="1"/>
      <w:numFmt w:val="bullet"/>
      <w:pStyle w:val="ListBullet2"/>
      <w:lvlText w:val="-"/>
      <w:lvlJc w:val="left"/>
      <w:pPr>
        <w:tabs>
          <w:tab w:val="num" w:pos="680"/>
        </w:tabs>
        <w:ind w:left="680" w:hanging="340"/>
      </w:pPr>
      <w:rPr>
        <w:rFonts w:ascii="9999999" w:hAnsi="9999999" w:cs="Courier New" w:hint="default"/>
        <w:color w:val="00338D"/>
      </w:rPr>
    </w:lvl>
  </w:abstractNum>
  <w:abstractNum w:abstractNumId="8" w15:restartNumberingAfterBreak="0">
    <w:nsid w:val="FFFFFF88"/>
    <w:multiLevelType w:val="singleLevel"/>
    <w:tmpl w:val="7BD86C64"/>
    <w:lvl w:ilvl="0">
      <w:start w:val="1"/>
      <w:numFmt w:val="decimal"/>
      <w:lvlText w:val="%1."/>
      <w:lvlJc w:val="left"/>
      <w:pPr>
        <w:tabs>
          <w:tab w:val="num" w:pos="360"/>
        </w:tabs>
        <w:ind w:left="360" w:hanging="360"/>
      </w:pPr>
    </w:lvl>
  </w:abstractNum>
  <w:abstractNum w:abstractNumId="9" w15:restartNumberingAfterBreak="0">
    <w:nsid w:val="08EF7A11"/>
    <w:multiLevelType w:val="hybridMultilevel"/>
    <w:tmpl w:val="49F6EBF0"/>
    <w:name w:val="KIDS"/>
    <w:lvl w:ilvl="0" w:tplc="8232423A">
      <w:start w:val="1"/>
      <w:numFmt w:val="bullet"/>
      <w:pStyle w:val="ListBullet"/>
      <w:lvlText w:val="—"/>
      <w:lvlJc w:val="left"/>
      <w:pPr>
        <w:tabs>
          <w:tab w:val="num" w:pos="340"/>
        </w:tabs>
        <w:ind w:left="340" w:hanging="340"/>
      </w:pPr>
      <w:rPr>
        <w:rFonts w:ascii="Arial" w:hAnsi="Arial" w:cs="Arial"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97B5D62"/>
    <w:multiLevelType w:val="hybridMultilevel"/>
    <w:tmpl w:val="733651EC"/>
    <w:lvl w:ilvl="0" w:tplc="96EEA1FE">
      <w:start w:val="4"/>
      <w:numFmt w:val="decimal"/>
      <w:lvlText w:val="%1."/>
      <w:lvlJc w:val="left"/>
      <w:pPr>
        <w:ind w:left="360" w:hanging="360"/>
      </w:pPr>
      <w:rPr>
        <w:rFonts w:ascii="Arial" w:hAnsi="Arial" w:hint="default"/>
        <w:b w:val="0"/>
        <w:i w:val="0"/>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0A4D6793"/>
    <w:multiLevelType w:val="singleLevel"/>
    <w:tmpl w:val="683E8936"/>
    <w:lvl w:ilvl="0">
      <w:start w:val="1"/>
      <w:numFmt w:val="bullet"/>
      <w:pStyle w:val="Bullet1stlevel"/>
      <w:lvlText w:val=""/>
      <w:lvlJc w:val="left"/>
      <w:pPr>
        <w:tabs>
          <w:tab w:val="num" w:pos="340"/>
        </w:tabs>
        <w:ind w:left="340" w:hanging="340"/>
      </w:pPr>
      <w:rPr>
        <w:rFonts w:ascii="Symbol" w:hAnsi="Symbol" w:hint="default"/>
        <w:color w:val="auto"/>
        <w:sz w:val="22"/>
      </w:rPr>
    </w:lvl>
  </w:abstractNum>
  <w:abstractNum w:abstractNumId="12" w15:restartNumberingAfterBreak="0">
    <w:nsid w:val="0B736035"/>
    <w:multiLevelType w:val="hybridMultilevel"/>
    <w:tmpl w:val="4D5E933E"/>
    <w:lvl w:ilvl="0" w:tplc="D15656E4">
      <w:start w:val="1"/>
      <w:numFmt w:val="decimal"/>
      <w:lvlText w:val="%1."/>
      <w:lvlJc w:val="left"/>
      <w:pPr>
        <w:ind w:left="720" w:hanging="360"/>
      </w:pPr>
      <w:rPr>
        <w:rFonts w:ascii="Arial" w:hAnsi="Arial"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1AF2C2D"/>
    <w:multiLevelType w:val="singleLevel"/>
    <w:tmpl w:val="5B1475F2"/>
    <w:lvl w:ilvl="0">
      <w:start w:val="1"/>
      <w:numFmt w:val="bullet"/>
      <w:pStyle w:val="Bullet2ndlevel"/>
      <w:lvlText w:val="–"/>
      <w:lvlJc w:val="left"/>
      <w:pPr>
        <w:tabs>
          <w:tab w:val="num" w:pos="340"/>
        </w:tabs>
        <w:ind w:left="340" w:hanging="340"/>
      </w:pPr>
      <w:rPr>
        <w:rFonts w:ascii="Univers 45 Light" w:hAnsi="Univers 45 Light" w:hint="default"/>
        <w:color w:val="auto"/>
        <w:sz w:val="22"/>
      </w:rPr>
    </w:lvl>
  </w:abstractNum>
  <w:abstractNum w:abstractNumId="14" w15:restartNumberingAfterBreak="0">
    <w:nsid w:val="16464280"/>
    <w:multiLevelType w:val="hybridMultilevel"/>
    <w:tmpl w:val="B07E882E"/>
    <w:lvl w:ilvl="0" w:tplc="B2BA3D66">
      <w:start w:val="1"/>
      <w:numFmt w:val="bullet"/>
      <w:pStyle w:val="TableBullet1stlevel"/>
      <w:lvlText w:val=""/>
      <w:lvlJc w:val="left"/>
      <w:pPr>
        <w:ind w:left="720" w:hanging="360"/>
      </w:pPr>
      <w:rPr>
        <w:rFonts w:ascii="Symbol" w:hAnsi="Symbol"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7A01508"/>
    <w:multiLevelType w:val="multilevel"/>
    <w:tmpl w:val="F0A6A49A"/>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16" w15:restartNumberingAfterBreak="0">
    <w:nsid w:val="1AA84400"/>
    <w:multiLevelType w:val="singleLevel"/>
    <w:tmpl w:val="A60E1A88"/>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7" w15:restartNumberingAfterBreak="0">
    <w:nsid w:val="1DD76937"/>
    <w:multiLevelType w:val="singleLevel"/>
    <w:tmpl w:val="1A1CE8EC"/>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8" w15:restartNumberingAfterBreak="0">
    <w:nsid w:val="21E87FB7"/>
    <w:multiLevelType w:val="hybridMultilevel"/>
    <w:tmpl w:val="D6DEB5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2166480"/>
    <w:multiLevelType w:val="multilevel"/>
    <w:tmpl w:val="E852579A"/>
    <w:lvl w:ilvl="0">
      <w:start w:val="1"/>
      <w:numFmt w:val="upperLetter"/>
      <w:pStyle w:val="Appendixheading"/>
      <w:suff w:val="nothing"/>
      <w:lvlText w:val="Appendix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24BB5641"/>
    <w:multiLevelType w:val="hybridMultilevel"/>
    <w:tmpl w:val="C4B849F6"/>
    <w:lvl w:ilvl="0" w:tplc="DBE21C86">
      <w:numFmt w:val="bullet"/>
      <w:lvlText w:val="-"/>
      <w:lvlJc w:val="left"/>
      <w:pPr>
        <w:ind w:left="408" w:hanging="360"/>
      </w:pPr>
      <w:rPr>
        <w:rFonts w:ascii="Univers 45 Light" w:eastAsiaTheme="minorHAnsi" w:hAnsi="Univers 45 Light" w:cstheme="minorBidi" w:hint="default"/>
      </w:rPr>
    </w:lvl>
    <w:lvl w:ilvl="1" w:tplc="0C090003" w:tentative="1">
      <w:start w:val="1"/>
      <w:numFmt w:val="bullet"/>
      <w:lvlText w:val="o"/>
      <w:lvlJc w:val="left"/>
      <w:pPr>
        <w:ind w:left="1128" w:hanging="360"/>
      </w:pPr>
      <w:rPr>
        <w:rFonts w:ascii="Courier New" w:hAnsi="Courier New" w:cs="Courier New" w:hint="default"/>
      </w:rPr>
    </w:lvl>
    <w:lvl w:ilvl="2" w:tplc="0C090005" w:tentative="1">
      <w:start w:val="1"/>
      <w:numFmt w:val="bullet"/>
      <w:lvlText w:val=""/>
      <w:lvlJc w:val="left"/>
      <w:pPr>
        <w:ind w:left="1848" w:hanging="360"/>
      </w:pPr>
      <w:rPr>
        <w:rFonts w:ascii="Wingdings" w:hAnsi="Wingdings" w:hint="default"/>
      </w:rPr>
    </w:lvl>
    <w:lvl w:ilvl="3" w:tplc="0C090001" w:tentative="1">
      <w:start w:val="1"/>
      <w:numFmt w:val="bullet"/>
      <w:lvlText w:val=""/>
      <w:lvlJc w:val="left"/>
      <w:pPr>
        <w:ind w:left="2568" w:hanging="360"/>
      </w:pPr>
      <w:rPr>
        <w:rFonts w:ascii="Symbol" w:hAnsi="Symbol" w:hint="default"/>
      </w:rPr>
    </w:lvl>
    <w:lvl w:ilvl="4" w:tplc="0C090003" w:tentative="1">
      <w:start w:val="1"/>
      <w:numFmt w:val="bullet"/>
      <w:lvlText w:val="o"/>
      <w:lvlJc w:val="left"/>
      <w:pPr>
        <w:ind w:left="3288" w:hanging="360"/>
      </w:pPr>
      <w:rPr>
        <w:rFonts w:ascii="Courier New" w:hAnsi="Courier New" w:cs="Courier New" w:hint="default"/>
      </w:rPr>
    </w:lvl>
    <w:lvl w:ilvl="5" w:tplc="0C090005" w:tentative="1">
      <w:start w:val="1"/>
      <w:numFmt w:val="bullet"/>
      <w:lvlText w:val=""/>
      <w:lvlJc w:val="left"/>
      <w:pPr>
        <w:ind w:left="4008" w:hanging="360"/>
      </w:pPr>
      <w:rPr>
        <w:rFonts w:ascii="Wingdings" w:hAnsi="Wingdings" w:hint="default"/>
      </w:rPr>
    </w:lvl>
    <w:lvl w:ilvl="6" w:tplc="0C090001" w:tentative="1">
      <w:start w:val="1"/>
      <w:numFmt w:val="bullet"/>
      <w:lvlText w:val=""/>
      <w:lvlJc w:val="left"/>
      <w:pPr>
        <w:ind w:left="4728" w:hanging="360"/>
      </w:pPr>
      <w:rPr>
        <w:rFonts w:ascii="Symbol" w:hAnsi="Symbol" w:hint="default"/>
      </w:rPr>
    </w:lvl>
    <w:lvl w:ilvl="7" w:tplc="0C090003" w:tentative="1">
      <w:start w:val="1"/>
      <w:numFmt w:val="bullet"/>
      <w:lvlText w:val="o"/>
      <w:lvlJc w:val="left"/>
      <w:pPr>
        <w:ind w:left="5448" w:hanging="360"/>
      </w:pPr>
      <w:rPr>
        <w:rFonts w:ascii="Courier New" w:hAnsi="Courier New" w:cs="Courier New" w:hint="default"/>
      </w:rPr>
    </w:lvl>
    <w:lvl w:ilvl="8" w:tplc="0C090005" w:tentative="1">
      <w:start w:val="1"/>
      <w:numFmt w:val="bullet"/>
      <w:lvlText w:val=""/>
      <w:lvlJc w:val="left"/>
      <w:pPr>
        <w:ind w:left="6168" w:hanging="360"/>
      </w:pPr>
      <w:rPr>
        <w:rFonts w:ascii="Wingdings" w:hAnsi="Wingdings" w:hint="default"/>
      </w:rPr>
    </w:lvl>
  </w:abstractNum>
  <w:abstractNum w:abstractNumId="21" w15:restartNumberingAfterBreak="0">
    <w:nsid w:val="24F516DB"/>
    <w:multiLevelType w:val="hybridMultilevel"/>
    <w:tmpl w:val="DCE83E60"/>
    <w:lvl w:ilvl="0" w:tplc="6922B302">
      <w:start w:val="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B3A1B49"/>
    <w:multiLevelType w:val="singleLevel"/>
    <w:tmpl w:val="0C090001"/>
    <w:lvl w:ilvl="0">
      <w:start w:val="1"/>
      <w:numFmt w:val="bullet"/>
      <w:lvlText w:val=""/>
      <w:lvlJc w:val="left"/>
      <w:pPr>
        <w:ind w:left="720" w:hanging="360"/>
      </w:pPr>
      <w:rPr>
        <w:rFonts w:ascii="Symbol" w:hAnsi="Symbol" w:hint="default"/>
        <w:color w:val="auto"/>
        <w:sz w:val="24"/>
      </w:rPr>
    </w:lvl>
  </w:abstractNum>
  <w:abstractNum w:abstractNumId="23" w15:restartNumberingAfterBreak="0">
    <w:nsid w:val="2DF953FE"/>
    <w:multiLevelType w:val="singleLevel"/>
    <w:tmpl w:val="7DE41E44"/>
    <w:lvl w:ilvl="0">
      <w:start w:val="1"/>
      <w:numFmt w:val="bullet"/>
      <w:lvlText w:val=""/>
      <w:lvlJc w:val="left"/>
      <w:pPr>
        <w:ind w:left="720" w:hanging="360"/>
      </w:pPr>
      <w:rPr>
        <w:rFonts w:ascii="Symbol" w:hAnsi="Symbol" w:hint="default"/>
        <w:color w:val="auto"/>
        <w:sz w:val="22"/>
      </w:rPr>
    </w:lvl>
  </w:abstractNum>
  <w:abstractNum w:abstractNumId="24" w15:restartNumberingAfterBreak="0">
    <w:nsid w:val="2E1E6758"/>
    <w:multiLevelType w:val="hybridMultilevel"/>
    <w:tmpl w:val="B50AE8A0"/>
    <w:lvl w:ilvl="0" w:tplc="7DE41E44">
      <w:start w:val="1"/>
      <w:numFmt w:val="bullet"/>
      <w:lvlText w:val=""/>
      <w:lvlJc w:val="left"/>
      <w:pPr>
        <w:ind w:left="360" w:hanging="360"/>
      </w:pPr>
      <w:rPr>
        <w:rFonts w:ascii="Symbol" w:hAnsi="Symbol" w:hint="default"/>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2E9C5627"/>
    <w:multiLevelType w:val="hybridMultilevel"/>
    <w:tmpl w:val="C1D231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1D03DA2"/>
    <w:multiLevelType w:val="multilevel"/>
    <w:tmpl w:val="E5DA9592"/>
    <w:lvl w:ilvl="0">
      <w:start w:val="1"/>
      <w:numFmt w:val="decimal"/>
      <w:pStyle w:val="Numberbullet1stlevel"/>
      <w:lvlText w:val="%1)"/>
      <w:lvlJc w:val="left"/>
      <w:pPr>
        <w:tabs>
          <w:tab w:val="num" w:pos="340"/>
        </w:tabs>
        <w:ind w:left="340" w:hanging="340"/>
      </w:pPr>
      <w:rPr>
        <w:rFonts w:hint="default"/>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27" w15:restartNumberingAfterBreak="0">
    <w:nsid w:val="31E67275"/>
    <w:multiLevelType w:val="multilevel"/>
    <w:tmpl w:val="A40CEFB0"/>
    <w:lvl w:ilvl="0">
      <w:start w:val="1"/>
      <w:numFmt w:val="decimal"/>
      <w:lvlText w:val="%1"/>
      <w:lvlJc w:val="left"/>
      <w:pPr>
        <w:tabs>
          <w:tab w:val="num" w:pos="340"/>
        </w:tabs>
        <w:ind w:left="340" w:hanging="340"/>
      </w:pPr>
      <w:rPr>
        <w:rFonts w:ascii="Arial" w:hAnsi="Arial" w:cs="Arial" w:hint="default"/>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28" w15:restartNumberingAfterBreak="0">
    <w:nsid w:val="388B745F"/>
    <w:multiLevelType w:val="singleLevel"/>
    <w:tmpl w:val="0C090001"/>
    <w:lvl w:ilvl="0">
      <w:start w:val="1"/>
      <w:numFmt w:val="bullet"/>
      <w:lvlText w:val=""/>
      <w:lvlJc w:val="left"/>
      <w:pPr>
        <w:ind w:left="720" w:hanging="360"/>
      </w:pPr>
      <w:rPr>
        <w:rFonts w:ascii="Symbol" w:hAnsi="Symbol" w:hint="default"/>
        <w:color w:val="auto"/>
        <w:sz w:val="24"/>
      </w:rPr>
    </w:lvl>
  </w:abstractNum>
  <w:abstractNum w:abstractNumId="29" w15:restartNumberingAfterBreak="0">
    <w:nsid w:val="3AD534EB"/>
    <w:multiLevelType w:val="hybridMultilevel"/>
    <w:tmpl w:val="D11012F6"/>
    <w:lvl w:ilvl="0" w:tplc="582AD0F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BD34954"/>
    <w:multiLevelType w:val="hybridMultilevel"/>
    <w:tmpl w:val="FFFAAB60"/>
    <w:lvl w:ilvl="0" w:tplc="407AF796">
      <w:start w:val="1"/>
      <w:numFmt w:val="bullet"/>
      <w:pStyle w:val="CVbullet2"/>
      <w:lvlText w:val="–"/>
      <w:lvlJc w:val="left"/>
      <w:pPr>
        <w:ind w:left="360" w:hanging="360"/>
      </w:pPr>
      <w:rPr>
        <w:rFonts w:ascii="Univers 45 Light" w:hAnsi="Univers 45 Light" w:hint="default"/>
        <w:color w:val="auto"/>
        <w:sz w:val="22"/>
      </w:rPr>
    </w:lvl>
    <w:lvl w:ilvl="1" w:tplc="D0AE5E1C" w:tentative="1">
      <w:start w:val="1"/>
      <w:numFmt w:val="bullet"/>
      <w:lvlText w:val="o"/>
      <w:lvlJc w:val="left"/>
      <w:pPr>
        <w:ind w:left="1080" w:hanging="360"/>
      </w:pPr>
      <w:rPr>
        <w:rFonts w:ascii="Courier New" w:hAnsi="Courier New" w:cs="Courier New" w:hint="default"/>
      </w:rPr>
    </w:lvl>
    <w:lvl w:ilvl="2" w:tplc="E27AF854" w:tentative="1">
      <w:start w:val="1"/>
      <w:numFmt w:val="bullet"/>
      <w:lvlText w:val=""/>
      <w:lvlJc w:val="left"/>
      <w:pPr>
        <w:ind w:left="1800" w:hanging="360"/>
      </w:pPr>
      <w:rPr>
        <w:rFonts w:ascii="Wingdings" w:hAnsi="Wingdings" w:hint="default"/>
      </w:rPr>
    </w:lvl>
    <w:lvl w:ilvl="3" w:tplc="48902F80" w:tentative="1">
      <w:start w:val="1"/>
      <w:numFmt w:val="bullet"/>
      <w:lvlText w:val=""/>
      <w:lvlJc w:val="left"/>
      <w:pPr>
        <w:ind w:left="2520" w:hanging="360"/>
      </w:pPr>
      <w:rPr>
        <w:rFonts w:ascii="Symbol" w:hAnsi="Symbol" w:hint="default"/>
      </w:rPr>
    </w:lvl>
    <w:lvl w:ilvl="4" w:tplc="B756FD90" w:tentative="1">
      <w:start w:val="1"/>
      <w:numFmt w:val="bullet"/>
      <w:lvlText w:val="o"/>
      <w:lvlJc w:val="left"/>
      <w:pPr>
        <w:ind w:left="3240" w:hanging="360"/>
      </w:pPr>
      <w:rPr>
        <w:rFonts w:ascii="Courier New" w:hAnsi="Courier New" w:cs="Courier New" w:hint="default"/>
      </w:rPr>
    </w:lvl>
    <w:lvl w:ilvl="5" w:tplc="491656F2" w:tentative="1">
      <w:start w:val="1"/>
      <w:numFmt w:val="bullet"/>
      <w:lvlText w:val=""/>
      <w:lvlJc w:val="left"/>
      <w:pPr>
        <w:ind w:left="3960" w:hanging="360"/>
      </w:pPr>
      <w:rPr>
        <w:rFonts w:ascii="Wingdings" w:hAnsi="Wingdings" w:hint="default"/>
      </w:rPr>
    </w:lvl>
    <w:lvl w:ilvl="6" w:tplc="1D92E77E" w:tentative="1">
      <w:start w:val="1"/>
      <w:numFmt w:val="bullet"/>
      <w:lvlText w:val=""/>
      <w:lvlJc w:val="left"/>
      <w:pPr>
        <w:ind w:left="4680" w:hanging="360"/>
      </w:pPr>
      <w:rPr>
        <w:rFonts w:ascii="Symbol" w:hAnsi="Symbol" w:hint="default"/>
      </w:rPr>
    </w:lvl>
    <w:lvl w:ilvl="7" w:tplc="6FC6A044" w:tentative="1">
      <w:start w:val="1"/>
      <w:numFmt w:val="bullet"/>
      <w:lvlText w:val="o"/>
      <w:lvlJc w:val="left"/>
      <w:pPr>
        <w:ind w:left="5400" w:hanging="360"/>
      </w:pPr>
      <w:rPr>
        <w:rFonts w:ascii="Courier New" w:hAnsi="Courier New" w:cs="Courier New" w:hint="default"/>
      </w:rPr>
    </w:lvl>
    <w:lvl w:ilvl="8" w:tplc="CDE699DC" w:tentative="1">
      <w:start w:val="1"/>
      <w:numFmt w:val="bullet"/>
      <w:lvlText w:val=""/>
      <w:lvlJc w:val="left"/>
      <w:pPr>
        <w:ind w:left="6120" w:hanging="360"/>
      </w:pPr>
      <w:rPr>
        <w:rFonts w:ascii="Wingdings" w:hAnsi="Wingdings" w:hint="default"/>
      </w:rPr>
    </w:lvl>
  </w:abstractNum>
  <w:abstractNum w:abstractNumId="31" w15:restartNumberingAfterBreak="0">
    <w:nsid w:val="3C3C7A26"/>
    <w:multiLevelType w:val="singleLevel"/>
    <w:tmpl w:val="0C090005"/>
    <w:lvl w:ilvl="0">
      <w:start w:val="1"/>
      <w:numFmt w:val="bullet"/>
      <w:lvlText w:val=""/>
      <w:lvlJc w:val="left"/>
      <w:pPr>
        <w:ind w:left="360" w:hanging="360"/>
      </w:pPr>
      <w:rPr>
        <w:rFonts w:ascii="Wingdings" w:hAnsi="Wingdings" w:hint="default"/>
        <w:color w:val="auto"/>
        <w:sz w:val="24"/>
      </w:rPr>
    </w:lvl>
  </w:abstractNum>
  <w:abstractNum w:abstractNumId="32" w15:restartNumberingAfterBreak="0">
    <w:nsid w:val="3E272C77"/>
    <w:multiLevelType w:val="multilevel"/>
    <w:tmpl w:val="4D5E933E"/>
    <w:lvl w:ilvl="0">
      <w:start w:val="1"/>
      <w:numFmt w:val="decimal"/>
      <w:lvlText w:val="%1."/>
      <w:lvlJc w:val="left"/>
      <w:pPr>
        <w:ind w:left="720" w:hanging="360"/>
      </w:pPr>
      <w:rPr>
        <w:rFonts w:ascii="Arial" w:hAnsi="Arial" w:hint="default"/>
        <w:b w:val="0"/>
        <w:i w:val="0"/>
        <w:sz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15:restartNumberingAfterBreak="0">
    <w:nsid w:val="3F667A92"/>
    <w:multiLevelType w:val="hybridMultilevel"/>
    <w:tmpl w:val="0B8C756E"/>
    <w:lvl w:ilvl="0" w:tplc="E838571E">
      <w:start w:val="1"/>
      <w:numFmt w:val="bullet"/>
      <w:lvlText w:val=""/>
      <w:lvlJc w:val="left"/>
      <w:pPr>
        <w:ind w:left="360" w:hanging="360"/>
      </w:pPr>
      <w:rPr>
        <w:rFonts w:ascii="Symbol" w:hAnsi="Symbol" w:hint="default"/>
      </w:rPr>
    </w:lvl>
    <w:lvl w:ilvl="1" w:tplc="77126480" w:tentative="1">
      <w:start w:val="1"/>
      <w:numFmt w:val="bullet"/>
      <w:lvlText w:val="o"/>
      <w:lvlJc w:val="left"/>
      <w:pPr>
        <w:ind w:left="1080" w:hanging="360"/>
      </w:pPr>
      <w:rPr>
        <w:rFonts w:ascii="Courier New" w:hAnsi="Courier New" w:cs="Courier New" w:hint="default"/>
      </w:rPr>
    </w:lvl>
    <w:lvl w:ilvl="2" w:tplc="DB363C50" w:tentative="1">
      <w:start w:val="1"/>
      <w:numFmt w:val="bullet"/>
      <w:lvlText w:val=""/>
      <w:lvlJc w:val="left"/>
      <w:pPr>
        <w:ind w:left="1800" w:hanging="360"/>
      </w:pPr>
      <w:rPr>
        <w:rFonts w:ascii="Wingdings" w:hAnsi="Wingdings" w:hint="default"/>
      </w:rPr>
    </w:lvl>
    <w:lvl w:ilvl="3" w:tplc="4FF4BE26" w:tentative="1">
      <w:start w:val="1"/>
      <w:numFmt w:val="bullet"/>
      <w:lvlText w:val=""/>
      <w:lvlJc w:val="left"/>
      <w:pPr>
        <w:ind w:left="2520" w:hanging="360"/>
      </w:pPr>
      <w:rPr>
        <w:rFonts w:ascii="Symbol" w:hAnsi="Symbol" w:hint="default"/>
      </w:rPr>
    </w:lvl>
    <w:lvl w:ilvl="4" w:tplc="3EF25462" w:tentative="1">
      <w:start w:val="1"/>
      <w:numFmt w:val="bullet"/>
      <w:lvlText w:val="o"/>
      <w:lvlJc w:val="left"/>
      <w:pPr>
        <w:ind w:left="3240" w:hanging="360"/>
      </w:pPr>
      <w:rPr>
        <w:rFonts w:ascii="Courier New" w:hAnsi="Courier New" w:cs="Courier New" w:hint="default"/>
      </w:rPr>
    </w:lvl>
    <w:lvl w:ilvl="5" w:tplc="C6F2D0DE" w:tentative="1">
      <w:start w:val="1"/>
      <w:numFmt w:val="bullet"/>
      <w:lvlText w:val=""/>
      <w:lvlJc w:val="left"/>
      <w:pPr>
        <w:ind w:left="3960" w:hanging="360"/>
      </w:pPr>
      <w:rPr>
        <w:rFonts w:ascii="Wingdings" w:hAnsi="Wingdings" w:hint="default"/>
      </w:rPr>
    </w:lvl>
    <w:lvl w:ilvl="6" w:tplc="7DD2692C" w:tentative="1">
      <w:start w:val="1"/>
      <w:numFmt w:val="bullet"/>
      <w:lvlText w:val=""/>
      <w:lvlJc w:val="left"/>
      <w:pPr>
        <w:ind w:left="4680" w:hanging="360"/>
      </w:pPr>
      <w:rPr>
        <w:rFonts w:ascii="Symbol" w:hAnsi="Symbol" w:hint="default"/>
      </w:rPr>
    </w:lvl>
    <w:lvl w:ilvl="7" w:tplc="59BC0106" w:tentative="1">
      <w:start w:val="1"/>
      <w:numFmt w:val="bullet"/>
      <w:lvlText w:val="o"/>
      <w:lvlJc w:val="left"/>
      <w:pPr>
        <w:ind w:left="5400" w:hanging="360"/>
      </w:pPr>
      <w:rPr>
        <w:rFonts w:ascii="Courier New" w:hAnsi="Courier New" w:cs="Courier New" w:hint="default"/>
      </w:rPr>
    </w:lvl>
    <w:lvl w:ilvl="8" w:tplc="A7A02174" w:tentative="1">
      <w:start w:val="1"/>
      <w:numFmt w:val="bullet"/>
      <w:lvlText w:val=""/>
      <w:lvlJc w:val="left"/>
      <w:pPr>
        <w:ind w:left="6120" w:hanging="360"/>
      </w:pPr>
      <w:rPr>
        <w:rFonts w:ascii="Wingdings" w:hAnsi="Wingdings" w:hint="default"/>
      </w:rPr>
    </w:lvl>
  </w:abstractNum>
  <w:abstractNum w:abstractNumId="34" w15:restartNumberingAfterBreak="0">
    <w:nsid w:val="41047ED7"/>
    <w:multiLevelType w:val="multilevel"/>
    <w:tmpl w:val="F02C5632"/>
    <w:lvl w:ilvl="0">
      <w:start w:val="1"/>
      <w:numFmt w:val="decimal"/>
      <w:lvlText w:val="%1."/>
      <w:lvlJc w:val="left"/>
      <w:pPr>
        <w:tabs>
          <w:tab w:val="num" w:pos="340"/>
        </w:tabs>
        <w:ind w:left="340" w:hanging="340"/>
      </w:pPr>
      <w:rPr>
        <w:rFonts w:ascii="Arial" w:hAnsi="Arial" w:hint="default"/>
        <w:b w:val="0"/>
        <w:i w:val="0"/>
        <w:sz w:val="22"/>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35" w15:restartNumberingAfterBreak="0">
    <w:nsid w:val="41FC306E"/>
    <w:multiLevelType w:val="singleLevel"/>
    <w:tmpl w:val="7DE41E44"/>
    <w:lvl w:ilvl="0">
      <w:start w:val="1"/>
      <w:numFmt w:val="bullet"/>
      <w:lvlText w:val=""/>
      <w:lvlJc w:val="left"/>
      <w:pPr>
        <w:tabs>
          <w:tab w:val="num" w:pos="340"/>
        </w:tabs>
        <w:ind w:left="340" w:hanging="340"/>
      </w:pPr>
      <w:rPr>
        <w:rFonts w:ascii="Symbol" w:hAnsi="Symbol" w:hint="default"/>
        <w:color w:val="auto"/>
        <w:sz w:val="22"/>
      </w:rPr>
    </w:lvl>
  </w:abstractNum>
  <w:abstractNum w:abstractNumId="36" w15:restartNumberingAfterBreak="0">
    <w:nsid w:val="46CF4299"/>
    <w:multiLevelType w:val="singleLevel"/>
    <w:tmpl w:val="0C090001"/>
    <w:lvl w:ilvl="0">
      <w:start w:val="1"/>
      <w:numFmt w:val="bullet"/>
      <w:lvlText w:val=""/>
      <w:lvlJc w:val="left"/>
      <w:pPr>
        <w:ind w:left="720" w:hanging="360"/>
      </w:pPr>
      <w:rPr>
        <w:rFonts w:ascii="Symbol" w:hAnsi="Symbol" w:hint="default"/>
        <w:color w:val="auto"/>
        <w:sz w:val="24"/>
      </w:rPr>
    </w:lvl>
  </w:abstractNum>
  <w:abstractNum w:abstractNumId="37" w15:restartNumberingAfterBreak="0">
    <w:nsid w:val="489368F2"/>
    <w:multiLevelType w:val="hybridMultilevel"/>
    <w:tmpl w:val="A800B83E"/>
    <w:lvl w:ilvl="0" w:tplc="C87E0066">
      <w:start w:val="1"/>
      <w:numFmt w:val="bullet"/>
      <w:pStyle w:val="TableBullet2ndlevel"/>
      <w:lvlText w:val="–"/>
      <w:lvlJc w:val="left"/>
      <w:pPr>
        <w:ind w:left="1060" w:hanging="360"/>
      </w:pPr>
      <w:rPr>
        <w:rFonts w:ascii="Univers 45 Light" w:hAnsi="Univers 45 Light" w:hint="default"/>
        <w:color w:val="auto"/>
        <w:sz w:val="22"/>
      </w:rPr>
    </w:lvl>
    <w:lvl w:ilvl="1" w:tplc="9CC606F4" w:tentative="1">
      <w:start w:val="1"/>
      <w:numFmt w:val="bullet"/>
      <w:lvlText w:val="o"/>
      <w:lvlJc w:val="left"/>
      <w:pPr>
        <w:ind w:left="1780" w:hanging="360"/>
      </w:pPr>
      <w:rPr>
        <w:rFonts w:ascii="Courier New" w:hAnsi="Courier New" w:cs="Courier New" w:hint="default"/>
      </w:rPr>
    </w:lvl>
    <w:lvl w:ilvl="2" w:tplc="13003C64" w:tentative="1">
      <w:start w:val="1"/>
      <w:numFmt w:val="bullet"/>
      <w:lvlText w:val=""/>
      <w:lvlJc w:val="left"/>
      <w:pPr>
        <w:ind w:left="2500" w:hanging="360"/>
      </w:pPr>
      <w:rPr>
        <w:rFonts w:ascii="Wingdings" w:hAnsi="Wingdings" w:hint="default"/>
      </w:rPr>
    </w:lvl>
    <w:lvl w:ilvl="3" w:tplc="2EB09BE4" w:tentative="1">
      <w:start w:val="1"/>
      <w:numFmt w:val="bullet"/>
      <w:lvlText w:val=""/>
      <w:lvlJc w:val="left"/>
      <w:pPr>
        <w:ind w:left="3220" w:hanging="360"/>
      </w:pPr>
      <w:rPr>
        <w:rFonts w:ascii="Symbol" w:hAnsi="Symbol" w:hint="default"/>
      </w:rPr>
    </w:lvl>
    <w:lvl w:ilvl="4" w:tplc="2A2C2A28" w:tentative="1">
      <w:start w:val="1"/>
      <w:numFmt w:val="bullet"/>
      <w:lvlText w:val="o"/>
      <w:lvlJc w:val="left"/>
      <w:pPr>
        <w:ind w:left="3940" w:hanging="360"/>
      </w:pPr>
      <w:rPr>
        <w:rFonts w:ascii="Courier New" w:hAnsi="Courier New" w:cs="Courier New" w:hint="default"/>
      </w:rPr>
    </w:lvl>
    <w:lvl w:ilvl="5" w:tplc="939AF922" w:tentative="1">
      <w:start w:val="1"/>
      <w:numFmt w:val="bullet"/>
      <w:lvlText w:val=""/>
      <w:lvlJc w:val="left"/>
      <w:pPr>
        <w:ind w:left="4660" w:hanging="360"/>
      </w:pPr>
      <w:rPr>
        <w:rFonts w:ascii="Wingdings" w:hAnsi="Wingdings" w:hint="default"/>
      </w:rPr>
    </w:lvl>
    <w:lvl w:ilvl="6" w:tplc="49BE90CE" w:tentative="1">
      <w:start w:val="1"/>
      <w:numFmt w:val="bullet"/>
      <w:lvlText w:val=""/>
      <w:lvlJc w:val="left"/>
      <w:pPr>
        <w:ind w:left="5380" w:hanging="360"/>
      </w:pPr>
      <w:rPr>
        <w:rFonts w:ascii="Symbol" w:hAnsi="Symbol" w:hint="default"/>
      </w:rPr>
    </w:lvl>
    <w:lvl w:ilvl="7" w:tplc="A992F5D6" w:tentative="1">
      <w:start w:val="1"/>
      <w:numFmt w:val="bullet"/>
      <w:lvlText w:val="o"/>
      <w:lvlJc w:val="left"/>
      <w:pPr>
        <w:ind w:left="6100" w:hanging="360"/>
      </w:pPr>
      <w:rPr>
        <w:rFonts w:ascii="Courier New" w:hAnsi="Courier New" w:cs="Courier New" w:hint="default"/>
      </w:rPr>
    </w:lvl>
    <w:lvl w:ilvl="8" w:tplc="C5FC0E7E" w:tentative="1">
      <w:start w:val="1"/>
      <w:numFmt w:val="bullet"/>
      <w:lvlText w:val=""/>
      <w:lvlJc w:val="left"/>
      <w:pPr>
        <w:ind w:left="6820" w:hanging="360"/>
      </w:pPr>
      <w:rPr>
        <w:rFonts w:ascii="Wingdings" w:hAnsi="Wingdings" w:hint="default"/>
      </w:rPr>
    </w:lvl>
  </w:abstractNum>
  <w:abstractNum w:abstractNumId="38" w15:restartNumberingAfterBreak="0">
    <w:nsid w:val="4B75087A"/>
    <w:multiLevelType w:val="multilevel"/>
    <w:tmpl w:val="3EA216D0"/>
    <w:lvl w:ilvl="0">
      <w:start w:val="1"/>
      <w:numFmt w:val="decimal"/>
      <w:lvlText w:val="%1."/>
      <w:lvlJc w:val="left"/>
      <w:pPr>
        <w:tabs>
          <w:tab w:val="num" w:pos="340"/>
        </w:tabs>
        <w:ind w:left="340" w:hanging="340"/>
      </w:pPr>
      <w:rPr>
        <w:rFonts w:ascii="Arial" w:hAnsi="Arial" w:hint="default"/>
        <w:b w:val="0"/>
        <w:i w:val="0"/>
        <w:sz w:val="22"/>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39" w15:restartNumberingAfterBreak="0">
    <w:nsid w:val="4C830B73"/>
    <w:multiLevelType w:val="hybridMultilevel"/>
    <w:tmpl w:val="CA523A8E"/>
    <w:lvl w:ilvl="0" w:tplc="F36298FC">
      <w:start w:val="1"/>
      <w:numFmt w:val="lowerRoman"/>
      <w:pStyle w:val="Numberbullet2ndlevel"/>
      <w:lvlText w:val="%1)"/>
      <w:lvlJc w:val="left"/>
      <w:pPr>
        <w:ind w:left="717" w:hanging="360"/>
      </w:pPr>
      <w:rPr>
        <w:rFonts w:hint="default"/>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40" w15:restartNumberingAfterBreak="0">
    <w:nsid w:val="4C9949FD"/>
    <w:multiLevelType w:val="hybridMultilevel"/>
    <w:tmpl w:val="632289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553B7CC8"/>
    <w:multiLevelType w:val="singleLevel"/>
    <w:tmpl w:val="EB6E8138"/>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42" w15:restartNumberingAfterBreak="0">
    <w:nsid w:val="57651770"/>
    <w:multiLevelType w:val="singleLevel"/>
    <w:tmpl w:val="0C090001"/>
    <w:lvl w:ilvl="0">
      <w:start w:val="1"/>
      <w:numFmt w:val="bullet"/>
      <w:lvlText w:val=""/>
      <w:lvlJc w:val="left"/>
      <w:pPr>
        <w:ind w:left="720" w:hanging="360"/>
      </w:pPr>
      <w:rPr>
        <w:rFonts w:ascii="Symbol" w:hAnsi="Symbol" w:hint="default"/>
        <w:color w:val="auto"/>
        <w:sz w:val="24"/>
      </w:rPr>
    </w:lvl>
  </w:abstractNum>
  <w:abstractNum w:abstractNumId="43" w15:restartNumberingAfterBreak="0">
    <w:nsid w:val="599439BA"/>
    <w:multiLevelType w:val="hybridMultilevel"/>
    <w:tmpl w:val="9DD817C8"/>
    <w:lvl w:ilvl="0" w:tplc="9A1C9D6A">
      <w:start w:val="1"/>
      <w:numFmt w:val="bullet"/>
      <w:lvlText w:val="•"/>
      <w:lvlJc w:val="left"/>
      <w:pPr>
        <w:tabs>
          <w:tab w:val="num" w:pos="720"/>
        </w:tabs>
        <w:ind w:left="720" w:hanging="360"/>
      </w:pPr>
      <w:rPr>
        <w:rFonts w:ascii="Arial" w:hAnsi="Arial" w:hint="default"/>
      </w:rPr>
    </w:lvl>
    <w:lvl w:ilvl="1" w:tplc="758E3038" w:tentative="1">
      <w:start w:val="1"/>
      <w:numFmt w:val="bullet"/>
      <w:lvlText w:val="•"/>
      <w:lvlJc w:val="left"/>
      <w:pPr>
        <w:tabs>
          <w:tab w:val="num" w:pos="1440"/>
        </w:tabs>
        <w:ind w:left="1440" w:hanging="360"/>
      </w:pPr>
      <w:rPr>
        <w:rFonts w:ascii="Arial" w:hAnsi="Arial" w:hint="default"/>
      </w:rPr>
    </w:lvl>
    <w:lvl w:ilvl="2" w:tplc="51B4EEEC" w:tentative="1">
      <w:start w:val="1"/>
      <w:numFmt w:val="bullet"/>
      <w:lvlText w:val="•"/>
      <w:lvlJc w:val="left"/>
      <w:pPr>
        <w:tabs>
          <w:tab w:val="num" w:pos="2160"/>
        </w:tabs>
        <w:ind w:left="2160" w:hanging="360"/>
      </w:pPr>
      <w:rPr>
        <w:rFonts w:ascii="Arial" w:hAnsi="Arial" w:hint="default"/>
      </w:rPr>
    </w:lvl>
    <w:lvl w:ilvl="3" w:tplc="531E0B02" w:tentative="1">
      <w:start w:val="1"/>
      <w:numFmt w:val="bullet"/>
      <w:lvlText w:val="•"/>
      <w:lvlJc w:val="left"/>
      <w:pPr>
        <w:tabs>
          <w:tab w:val="num" w:pos="2880"/>
        </w:tabs>
        <w:ind w:left="2880" w:hanging="360"/>
      </w:pPr>
      <w:rPr>
        <w:rFonts w:ascii="Arial" w:hAnsi="Arial" w:hint="default"/>
      </w:rPr>
    </w:lvl>
    <w:lvl w:ilvl="4" w:tplc="A5DA0AF6" w:tentative="1">
      <w:start w:val="1"/>
      <w:numFmt w:val="bullet"/>
      <w:lvlText w:val="•"/>
      <w:lvlJc w:val="left"/>
      <w:pPr>
        <w:tabs>
          <w:tab w:val="num" w:pos="3600"/>
        </w:tabs>
        <w:ind w:left="3600" w:hanging="360"/>
      </w:pPr>
      <w:rPr>
        <w:rFonts w:ascii="Arial" w:hAnsi="Arial" w:hint="default"/>
      </w:rPr>
    </w:lvl>
    <w:lvl w:ilvl="5" w:tplc="E73A600C" w:tentative="1">
      <w:start w:val="1"/>
      <w:numFmt w:val="bullet"/>
      <w:lvlText w:val="•"/>
      <w:lvlJc w:val="left"/>
      <w:pPr>
        <w:tabs>
          <w:tab w:val="num" w:pos="4320"/>
        </w:tabs>
        <w:ind w:left="4320" w:hanging="360"/>
      </w:pPr>
      <w:rPr>
        <w:rFonts w:ascii="Arial" w:hAnsi="Arial" w:hint="default"/>
      </w:rPr>
    </w:lvl>
    <w:lvl w:ilvl="6" w:tplc="3D2623F0" w:tentative="1">
      <w:start w:val="1"/>
      <w:numFmt w:val="bullet"/>
      <w:lvlText w:val="•"/>
      <w:lvlJc w:val="left"/>
      <w:pPr>
        <w:tabs>
          <w:tab w:val="num" w:pos="5040"/>
        </w:tabs>
        <w:ind w:left="5040" w:hanging="360"/>
      </w:pPr>
      <w:rPr>
        <w:rFonts w:ascii="Arial" w:hAnsi="Arial" w:hint="default"/>
      </w:rPr>
    </w:lvl>
    <w:lvl w:ilvl="7" w:tplc="3738E9A6" w:tentative="1">
      <w:start w:val="1"/>
      <w:numFmt w:val="bullet"/>
      <w:lvlText w:val="•"/>
      <w:lvlJc w:val="left"/>
      <w:pPr>
        <w:tabs>
          <w:tab w:val="num" w:pos="5760"/>
        </w:tabs>
        <w:ind w:left="5760" w:hanging="360"/>
      </w:pPr>
      <w:rPr>
        <w:rFonts w:ascii="Arial" w:hAnsi="Arial" w:hint="default"/>
      </w:rPr>
    </w:lvl>
    <w:lvl w:ilvl="8" w:tplc="1D7A1AEC"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5A042708"/>
    <w:multiLevelType w:val="hybridMultilevel"/>
    <w:tmpl w:val="8604C002"/>
    <w:lvl w:ilvl="0" w:tplc="0C090001">
      <w:start w:val="1"/>
      <w:numFmt w:val="bullet"/>
      <w:pStyle w:val="CVbullet1"/>
      <w:lvlText w:val=""/>
      <w:lvlJc w:val="left"/>
      <w:pPr>
        <w:ind w:left="360" w:hanging="360"/>
      </w:pPr>
      <w:rPr>
        <w:rFonts w:ascii="Symbol" w:hAnsi="Symbol"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EA365BA"/>
    <w:multiLevelType w:val="hybridMultilevel"/>
    <w:tmpl w:val="F90AAF60"/>
    <w:lvl w:ilvl="0" w:tplc="4E407958">
      <w:start w:val="1"/>
      <w:numFmt w:val="bullet"/>
      <w:pStyle w:val="Bullet3rdlevel"/>
      <w:lvlText w:val="-"/>
      <w:lvlJc w:val="left"/>
      <w:pPr>
        <w:tabs>
          <w:tab w:val="num" w:pos="340"/>
        </w:tabs>
        <w:ind w:left="340" w:hanging="340"/>
      </w:pPr>
      <w:rPr>
        <w:rFonts w:ascii="Univers 45 Light" w:hAnsi="Univers 45 Light"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FD079B2"/>
    <w:multiLevelType w:val="multilevel"/>
    <w:tmpl w:val="94EA4A26"/>
    <w:lvl w:ilvl="0">
      <w:start w:val="1"/>
      <w:numFmt w:val="decimal"/>
      <w:lvlText w:val="%1"/>
      <w:lvlJc w:val="left"/>
      <w:pPr>
        <w:tabs>
          <w:tab w:val="num" w:pos="340"/>
        </w:tabs>
        <w:ind w:left="340" w:hanging="340"/>
      </w:pPr>
      <w:rPr>
        <w:rFonts w:ascii="Arial" w:hAnsi="Arial" w:cs="Arial"/>
      </w:rPr>
    </w:lvl>
    <w:lvl w:ilvl="1">
      <w:start w:val="1"/>
      <w:numFmt w:val="lowerRoman"/>
      <w:lvlText w:val="%2."/>
      <w:lvlJc w:val="right"/>
      <w:pPr>
        <w:tabs>
          <w:tab w:val="num" w:pos="680"/>
        </w:tabs>
        <w:ind w:left="680" w:hanging="340"/>
      </w:pPr>
      <w:rPr>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47" w15:restartNumberingAfterBreak="0">
    <w:nsid w:val="6C5249B7"/>
    <w:multiLevelType w:val="multilevel"/>
    <w:tmpl w:val="60201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EA865BC"/>
    <w:multiLevelType w:val="multilevel"/>
    <w:tmpl w:val="1BACFA1C"/>
    <w:lvl w:ilvl="0">
      <w:start w:val="1"/>
      <w:numFmt w:val="decimal"/>
      <w:lvlText w:val="%1."/>
      <w:lvlJc w:val="left"/>
      <w:pPr>
        <w:tabs>
          <w:tab w:val="num" w:pos="340"/>
        </w:tabs>
        <w:ind w:left="340" w:hanging="340"/>
      </w:pPr>
      <w:rPr>
        <w:rFonts w:ascii="Arial" w:hAnsi="Arial" w:hint="default"/>
        <w:b w:val="0"/>
        <w:i w:val="0"/>
        <w:sz w:val="22"/>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49" w15:restartNumberingAfterBreak="0">
    <w:nsid w:val="74413A3B"/>
    <w:multiLevelType w:val="hybridMultilevel"/>
    <w:tmpl w:val="7046CD2A"/>
    <w:lvl w:ilvl="0" w:tplc="B49A2712">
      <w:start w:val="1"/>
      <w:numFmt w:val="bullet"/>
      <w:lvlText w:val=""/>
      <w:lvlJc w:val="left"/>
      <w:pPr>
        <w:ind w:left="360" w:hanging="360"/>
      </w:pPr>
      <w:rPr>
        <w:rFonts w:ascii="Symbol" w:hAnsi="Symbol" w:hint="default"/>
      </w:rPr>
    </w:lvl>
    <w:lvl w:ilvl="1" w:tplc="25709B70" w:tentative="1">
      <w:start w:val="1"/>
      <w:numFmt w:val="bullet"/>
      <w:lvlText w:val="o"/>
      <w:lvlJc w:val="left"/>
      <w:pPr>
        <w:ind w:left="1080" w:hanging="360"/>
      </w:pPr>
      <w:rPr>
        <w:rFonts w:ascii="Courier New" w:hAnsi="Courier New" w:cs="Courier New" w:hint="default"/>
      </w:rPr>
    </w:lvl>
    <w:lvl w:ilvl="2" w:tplc="A8F8AF38" w:tentative="1">
      <w:start w:val="1"/>
      <w:numFmt w:val="bullet"/>
      <w:lvlText w:val=""/>
      <w:lvlJc w:val="left"/>
      <w:pPr>
        <w:ind w:left="1800" w:hanging="360"/>
      </w:pPr>
      <w:rPr>
        <w:rFonts w:ascii="Wingdings" w:hAnsi="Wingdings" w:hint="default"/>
      </w:rPr>
    </w:lvl>
    <w:lvl w:ilvl="3" w:tplc="7DE665A4" w:tentative="1">
      <w:start w:val="1"/>
      <w:numFmt w:val="bullet"/>
      <w:lvlText w:val=""/>
      <w:lvlJc w:val="left"/>
      <w:pPr>
        <w:ind w:left="2520" w:hanging="360"/>
      </w:pPr>
      <w:rPr>
        <w:rFonts w:ascii="Symbol" w:hAnsi="Symbol" w:hint="default"/>
      </w:rPr>
    </w:lvl>
    <w:lvl w:ilvl="4" w:tplc="9A3A2CD4" w:tentative="1">
      <w:start w:val="1"/>
      <w:numFmt w:val="bullet"/>
      <w:lvlText w:val="o"/>
      <w:lvlJc w:val="left"/>
      <w:pPr>
        <w:ind w:left="3240" w:hanging="360"/>
      </w:pPr>
      <w:rPr>
        <w:rFonts w:ascii="Courier New" w:hAnsi="Courier New" w:cs="Courier New" w:hint="default"/>
      </w:rPr>
    </w:lvl>
    <w:lvl w:ilvl="5" w:tplc="337A55C0" w:tentative="1">
      <w:start w:val="1"/>
      <w:numFmt w:val="bullet"/>
      <w:lvlText w:val=""/>
      <w:lvlJc w:val="left"/>
      <w:pPr>
        <w:ind w:left="3960" w:hanging="360"/>
      </w:pPr>
      <w:rPr>
        <w:rFonts w:ascii="Wingdings" w:hAnsi="Wingdings" w:hint="default"/>
      </w:rPr>
    </w:lvl>
    <w:lvl w:ilvl="6" w:tplc="3462ECFA" w:tentative="1">
      <w:start w:val="1"/>
      <w:numFmt w:val="bullet"/>
      <w:lvlText w:val=""/>
      <w:lvlJc w:val="left"/>
      <w:pPr>
        <w:ind w:left="4680" w:hanging="360"/>
      </w:pPr>
      <w:rPr>
        <w:rFonts w:ascii="Symbol" w:hAnsi="Symbol" w:hint="default"/>
      </w:rPr>
    </w:lvl>
    <w:lvl w:ilvl="7" w:tplc="FA1E0B8A" w:tentative="1">
      <w:start w:val="1"/>
      <w:numFmt w:val="bullet"/>
      <w:lvlText w:val="o"/>
      <w:lvlJc w:val="left"/>
      <w:pPr>
        <w:ind w:left="5400" w:hanging="360"/>
      </w:pPr>
      <w:rPr>
        <w:rFonts w:ascii="Courier New" w:hAnsi="Courier New" w:cs="Courier New" w:hint="default"/>
      </w:rPr>
    </w:lvl>
    <w:lvl w:ilvl="8" w:tplc="27008D74" w:tentative="1">
      <w:start w:val="1"/>
      <w:numFmt w:val="bullet"/>
      <w:lvlText w:val=""/>
      <w:lvlJc w:val="left"/>
      <w:pPr>
        <w:ind w:left="6120" w:hanging="360"/>
      </w:pPr>
      <w:rPr>
        <w:rFonts w:ascii="Wingdings" w:hAnsi="Wingdings" w:hint="default"/>
      </w:rPr>
    </w:lvl>
  </w:abstractNum>
  <w:abstractNum w:abstractNumId="50" w15:restartNumberingAfterBreak="0">
    <w:nsid w:val="771E13DB"/>
    <w:multiLevelType w:val="multilevel"/>
    <w:tmpl w:val="E9D2B43C"/>
    <w:lvl w:ilvl="0">
      <w:start w:val="1"/>
      <w:numFmt w:val="decimal"/>
      <w:pStyle w:val="Heading1"/>
      <w:lvlText w:val="%1"/>
      <w:lvlJc w:val="left"/>
      <w:pPr>
        <w:tabs>
          <w:tab w:val="num" w:pos="720"/>
        </w:tabs>
        <w:ind w:left="720" w:hanging="720"/>
      </w:pPr>
      <w:rPr>
        <w:rFonts w:hint="default"/>
      </w:rPr>
    </w:lvl>
    <w:lvl w:ilvl="1">
      <w:start w:val="1"/>
      <w:numFmt w:val="decimal"/>
      <w:pStyle w:val="Heading2"/>
      <w:isLgl/>
      <w:lvlText w:val="%1.%2"/>
      <w:lvlJc w:val="left"/>
      <w:pPr>
        <w:tabs>
          <w:tab w:val="num" w:pos="720"/>
        </w:tabs>
        <w:ind w:left="720" w:hanging="720"/>
      </w:pPr>
      <w:rPr>
        <w:rFonts w:ascii="Arial" w:hAnsi="Arial" w:cs="Arial" w:hint="default"/>
        <w:b/>
        <w:i w:val="0"/>
        <w:sz w:val="24"/>
      </w:rPr>
    </w:lvl>
    <w:lvl w:ilvl="2">
      <w:start w:val="1"/>
      <w:numFmt w:val="decimal"/>
      <w:pStyle w:val="Heading3"/>
      <w:isLgl/>
      <w:lvlText w:val="%1.%2.%3"/>
      <w:lvlJc w:val="left"/>
      <w:pPr>
        <w:tabs>
          <w:tab w:val="num" w:pos="720"/>
        </w:tabs>
        <w:ind w:left="720" w:hanging="720"/>
      </w:pPr>
      <w:rPr>
        <w:rFonts w:ascii="Arial" w:hAnsi="Arial" w:cs="Arial" w:hint="default"/>
        <w:b/>
        <w:bCs/>
        <w:color w:val="0091DA"/>
      </w:rPr>
    </w:lvl>
    <w:lvl w:ilvl="3">
      <w:start w:val="1"/>
      <w:numFmt w:val="none"/>
      <w:pStyle w:val="Heading4"/>
      <w:isLgl/>
      <w:suff w:val="nothing"/>
      <w:lvlText w:val=""/>
      <w:lvlJc w:val="left"/>
      <w:pPr>
        <w:ind w:left="0" w:firstLine="0"/>
      </w:pPr>
      <w:rPr>
        <w:rFonts w:hint="default"/>
      </w:rPr>
    </w:lvl>
    <w:lvl w:ilvl="4">
      <w:start w:val="1"/>
      <w:numFmt w:val="none"/>
      <w:pStyle w:val="Heading5"/>
      <w:isLgl/>
      <w:suff w:val="nothing"/>
      <w:lvlText w:val=""/>
      <w:lvlJc w:val="left"/>
      <w:pPr>
        <w:ind w:left="0" w:firstLine="0"/>
      </w:pPr>
      <w:rPr>
        <w:rFonts w:hint="default"/>
      </w:rPr>
    </w:lvl>
    <w:lvl w:ilvl="5">
      <w:start w:val="1"/>
      <w:numFmt w:val="none"/>
      <w:isLgl/>
      <w:suff w:val="nothing"/>
      <w:lvlText w:val=""/>
      <w:lvlJc w:val="left"/>
      <w:pPr>
        <w:ind w:left="0" w:firstLine="0"/>
      </w:pPr>
      <w:rPr>
        <w:rFonts w:hint="default"/>
      </w:rPr>
    </w:lvl>
    <w:lvl w:ilvl="6">
      <w:start w:val="1"/>
      <w:numFmt w:val="none"/>
      <w:pStyle w:val="Heading7"/>
      <w:isLgl/>
      <w:suff w:val="nothing"/>
      <w:lvlText w:val=""/>
      <w:lvlJc w:val="left"/>
      <w:pPr>
        <w:ind w:left="0" w:firstLine="0"/>
      </w:pPr>
      <w:rPr>
        <w:rFonts w:hint="default"/>
      </w:rPr>
    </w:lvl>
    <w:lvl w:ilvl="7">
      <w:start w:val="1"/>
      <w:numFmt w:val="none"/>
      <w:pStyle w:val="Heading8"/>
      <w:isLgl/>
      <w:suff w:val="nothing"/>
      <w:lvlText w:val=""/>
      <w:lvlJc w:val="left"/>
      <w:pPr>
        <w:ind w:left="0" w:firstLine="0"/>
      </w:pPr>
      <w:rPr>
        <w:rFonts w:hint="default"/>
      </w:rPr>
    </w:lvl>
    <w:lvl w:ilvl="8">
      <w:start w:val="1"/>
      <w:numFmt w:val="none"/>
      <w:pStyle w:val="Heading9"/>
      <w:isLgl/>
      <w:suff w:val="nothing"/>
      <w:lvlText w:val=""/>
      <w:lvlJc w:val="left"/>
      <w:pPr>
        <w:ind w:left="0" w:firstLine="0"/>
      </w:pPr>
      <w:rPr>
        <w:rFonts w:hint="default"/>
      </w:rPr>
    </w:lvl>
  </w:abstractNum>
  <w:abstractNum w:abstractNumId="51" w15:restartNumberingAfterBreak="0">
    <w:nsid w:val="777E5F97"/>
    <w:multiLevelType w:val="multilevel"/>
    <w:tmpl w:val="B196541E"/>
    <w:lvl w:ilvl="0">
      <w:start w:val="1"/>
      <w:numFmt w:val="upperLetter"/>
      <w:lvlText w:val="%1"/>
      <w:lvlJc w:val="left"/>
      <w:pPr>
        <w:tabs>
          <w:tab w:val="num" w:pos="964"/>
        </w:tabs>
        <w:ind w:left="964" w:hanging="964"/>
      </w:pPr>
    </w:lvl>
    <w:lvl w:ilvl="1">
      <w:start w:val="1"/>
      <w:numFmt w:val="decimal"/>
      <w:pStyle w:val="AppendixHeading2"/>
      <w:lvlText w:val="%1.%2"/>
      <w:lvlJc w:val="left"/>
      <w:pPr>
        <w:tabs>
          <w:tab w:val="num" w:pos="0"/>
        </w:tabs>
        <w:ind w:left="0" w:hanging="964"/>
      </w:pPr>
    </w:lvl>
    <w:lvl w:ilvl="2">
      <w:start w:val="1"/>
      <w:numFmt w:val="decimal"/>
      <w:pStyle w:val="AppendixHeading3"/>
      <w:lvlText w:val="%1.%2.%3"/>
      <w:lvlJc w:val="left"/>
      <w:pPr>
        <w:tabs>
          <w:tab w:val="num" w:pos="0"/>
        </w:tabs>
        <w:ind w:left="0" w:hanging="964"/>
      </w:pPr>
    </w:lvl>
    <w:lvl w:ilvl="3">
      <w:start w:val="1"/>
      <w:numFmt w:val="decimal"/>
      <w:pStyle w:val="AppendixHeading4"/>
      <w:lvlText w:val="%1.%2.%3.%4"/>
      <w:lvlJc w:val="left"/>
      <w:pPr>
        <w:tabs>
          <w:tab w:val="num" w:pos="0"/>
        </w:tabs>
        <w:ind w:left="0" w:hanging="964"/>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2" w15:restartNumberingAfterBreak="0">
    <w:nsid w:val="7AD7655B"/>
    <w:multiLevelType w:val="singleLevel"/>
    <w:tmpl w:val="0C090001"/>
    <w:lvl w:ilvl="0">
      <w:start w:val="1"/>
      <w:numFmt w:val="bullet"/>
      <w:lvlText w:val=""/>
      <w:lvlJc w:val="left"/>
      <w:pPr>
        <w:ind w:left="360" w:hanging="360"/>
      </w:pPr>
      <w:rPr>
        <w:rFonts w:ascii="Symbol" w:hAnsi="Symbol" w:hint="default"/>
        <w:color w:val="auto"/>
        <w:sz w:val="24"/>
      </w:rPr>
    </w:lvl>
  </w:abstractNum>
  <w:abstractNum w:abstractNumId="53" w15:restartNumberingAfterBreak="0">
    <w:nsid w:val="7B2C1F0E"/>
    <w:multiLevelType w:val="hybridMultilevel"/>
    <w:tmpl w:val="366411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1"/>
  </w:num>
  <w:num w:numId="2">
    <w:abstractNumId w:val="13"/>
  </w:num>
  <w:num w:numId="3">
    <w:abstractNumId w:val="45"/>
  </w:num>
  <w:num w:numId="4">
    <w:abstractNumId w:val="26"/>
  </w:num>
  <w:num w:numId="5">
    <w:abstractNumId w:val="39"/>
  </w:num>
  <w:num w:numId="6">
    <w:abstractNumId w:val="44"/>
  </w:num>
  <w:num w:numId="7">
    <w:abstractNumId w:val="30"/>
  </w:num>
  <w:num w:numId="8">
    <w:abstractNumId w:val="14"/>
  </w:num>
  <w:num w:numId="9">
    <w:abstractNumId w:val="37"/>
  </w:num>
  <w:num w:numId="10">
    <w:abstractNumId w:val="50"/>
  </w:num>
  <w:num w:numId="11">
    <w:abstractNumId w:val="7"/>
  </w:num>
  <w:num w:numId="12">
    <w:abstractNumId w:val="19"/>
  </w:num>
  <w:num w:numId="13">
    <w:abstractNumId w:val="51"/>
  </w:num>
  <w:num w:numId="14">
    <w:abstractNumId w:val="34"/>
  </w:num>
  <w:num w:numId="15">
    <w:abstractNumId w:val="38"/>
  </w:num>
  <w:num w:numId="16">
    <w:abstractNumId w:val="48"/>
  </w:num>
  <w:num w:numId="17">
    <w:abstractNumId w:val="40"/>
  </w:num>
  <w:num w:numId="18">
    <w:abstractNumId w:val="34"/>
    <w:lvlOverride w:ilvl="0">
      <w:lvl w:ilvl="0">
        <w:start w:val="1"/>
        <w:numFmt w:val="decimal"/>
        <w:lvlText w:val="%1."/>
        <w:lvlJc w:val="left"/>
        <w:pPr>
          <w:ind w:left="360" w:hanging="360"/>
        </w:pPr>
        <w:rPr>
          <w:rFonts w:ascii="Arial" w:hAnsi="Arial" w:hint="default"/>
          <w:b w:val="0"/>
          <w:i w:val="0"/>
          <w:sz w:val="22"/>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19">
    <w:abstractNumId w:val="12"/>
  </w:num>
  <w:num w:numId="20">
    <w:abstractNumId w:val="9"/>
  </w:num>
  <w:num w:numId="21">
    <w:abstractNumId w:val="24"/>
  </w:num>
  <w:num w:numId="22">
    <w:abstractNumId w:val="21"/>
  </w:num>
  <w:num w:numId="23">
    <w:abstractNumId w:val="41"/>
  </w:num>
  <w:num w:numId="24">
    <w:abstractNumId w:val="20"/>
  </w:num>
  <w:num w:numId="2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num>
  <w:num w:numId="27">
    <w:abstractNumId w:val="27"/>
  </w:num>
  <w:num w:numId="28">
    <w:abstractNumId w:val="46"/>
  </w:num>
  <w:num w:numId="29">
    <w:abstractNumId w:val="28"/>
  </w:num>
  <w:num w:numId="30">
    <w:abstractNumId w:val="33"/>
  </w:num>
  <w:num w:numId="31">
    <w:abstractNumId w:val="49"/>
  </w:num>
  <w:num w:numId="32">
    <w:abstractNumId w:val="52"/>
  </w:num>
  <w:num w:numId="33">
    <w:abstractNumId w:val="23"/>
  </w:num>
  <w:num w:numId="34">
    <w:abstractNumId w:val="36"/>
  </w:num>
  <w:num w:numId="35">
    <w:abstractNumId w:val="18"/>
  </w:num>
  <w:num w:numId="36">
    <w:abstractNumId w:val="22"/>
  </w:num>
  <w:num w:numId="37">
    <w:abstractNumId w:val="47"/>
  </w:num>
  <w:num w:numId="38">
    <w:abstractNumId w:val="43"/>
  </w:num>
  <w:num w:numId="39">
    <w:abstractNumId w:val="29"/>
  </w:num>
  <w:num w:numId="40">
    <w:abstractNumId w:val="31"/>
  </w:num>
  <w:num w:numId="41">
    <w:abstractNumId w:val="53"/>
  </w:num>
  <w:num w:numId="42">
    <w:abstractNumId w:val="42"/>
  </w:num>
  <w:num w:numId="43">
    <w:abstractNumId w:val="32"/>
  </w:num>
  <w:num w:numId="44">
    <w:abstractNumId w:val="50"/>
  </w:num>
  <w:num w:numId="45">
    <w:abstractNumId w:val="50"/>
  </w:num>
  <w:num w:numId="46">
    <w:abstractNumId w:val="50"/>
  </w:num>
  <w:num w:numId="47">
    <w:abstractNumId w:val="50"/>
  </w:num>
  <w:num w:numId="48">
    <w:abstractNumId w:val="15"/>
  </w:num>
  <w:num w:numId="49">
    <w:abstractNumId w:val="10"/>
  </w:num>
  <w:num w:numId="50">
    <w:abstractNumId w:val="25"/>
  </w:num>
  <w:num w:numId="51">
    <w:abstractNumId w:val="16"/>
  </w:num>
  <w:num w:numId="52">
    <w:abstractNumId w:val="17"/>
  </w:num>
  <w:num w:numId="53">
    <w:abstractNumId w:val="11"/>
  </w:num>
  <w:num w:numId="54">
    <w:abstractNumId w:val="6"/>
  </w:num>
  <w:num w:numId="55">
    <w:abstractNumId w:val="5"/>
  </w:num>
  <w:num w:numId="56">
    <w:abstractNumId w:val="4"/>
  </w:num>
  <w:num w:numId="57">
    <w:abstractNumId w:val="8"/>
  </w:num>
  <w:num w:numId="58">
    <w:abstractNumId w:val="3"/>
  </w:num>
  <w:num w:numId="59">
    <w:abstractNumId w:val="2"/>
  </w:num>
  <w:num w:numId="60">
    <w:abstractNumId w:val="1"/>
  </w:num>
  <w:num w:numId="61">
    <w:abstractNumId w:val="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raftWatermark" w:val="0"/>
  </w:docVars>
  <w:rsids>
    <w:rsidRoot w:val="004A65C9"/>
    <w:rsid w:val="000003F9"/>
    <w:rsid w:val="00000534"/>
    <w:rsid w:val="00000734"/>
    <w:rsid w:val="00000C04"/>
    <w:rsid w:val="00001329"/>
    <w:rsid w:val="00001584"/>
    <w:rsid w:val="00001CF9"/>
    <w:rsid w:val="00001F55"/>
    <w:rsid w:val="0000209F"/>
    <w:rsid w:val="000021E4"/>
    <w:rsid w:val="00002453"/>
    <w:rsid w:val="000025F6"/>
    <w:rsid w:val="000026D3"/>
    <w:rsid w:val="000027A7"/>
    <w:rsid w:val="00002C43"/>
    <w:rsid w:val="00002F6E"/>
    <w:rsid w:val="000032FC"/>
    <w:rsid w:val="000037AF"/>
    <w:rsid w:val="00004322"/>
    <w:rsid w:val="00004A96"/>
    <w:rsid w:val="00004AD9"/>
    <w:rsid w:val="0000544D"/>
    <w:rsid w:val="00005D24"/>
    <w:rsid w:val="00006261"/>
    <w:rsid w:val="00006589"/>
    <w:rsid w:val="000065FF"/>
    <w:rsid w:val="0000665C"/>
    <w:rsid w:val="000069D6"/>
    <w:rsid w:val="00006A8C"/>
    <w:rsid w:val="00006BE1"/>
    <w:rsid w:val="000074A1"/>
    <w:rsid w:val="00007688"/>
    <w:rsid w:val="0000772D"/>
    <w:rsid w:val="00007A32"/>
    <w:rsid w:val="00007E4C"/>
    <w:rsid w:val="0001007C"/>
    <w:rsid w:val="00010625"/>
    <w:rsid w:val="000106E3"/>
    <w:rsid w:val="00010C40"/>
    <w:rsid w:val="00011097"/>
    <w:rsid w:val="0001126D"/>
    <w:rsid w:val="00011638"/>
    <w:rsid w:val="00011A29"/>
    <w:rsid w:val="00011D20"/>
    <w:rsid w:val="0001211E"/>
    <w:rsid w:val="0001296C"/>
    <w:rsid w:val="000129D4"/>
    <w:rsid w:val="00012CBE"/>
    <w:rsid w:val="000131BA"/>
    <w:rsid w:val="000131F4"/>
    <w:rsid w:val="0001353D"/>
    <w:rsid w:val="00013843"/>
    <w:rsid w:val="00013C32"/>
    <w:rsid w:val="00013E22"/>
    <w:rsid w:val="00014316"/>
    <w:rsid w:val="000143AB"/>
    <w:rsid w:val="0001452E"/>
    <w:rsid w:val="0001454A"/>
    <w:rsid w:val="0001475A"/>
    <w:rsid w:val="00014C07"/>
    <w:rsid w:val="000152B4"/>
    <w:rsid w:val="0001549D"/>
    <w:rsid w:val="00015534"/>
    <w:rsid w:val="0001589F"/>
    <w:rsid w:val="00015DB1"/>
    <w:rsid w:val="00015E17"/>
    <w:rsid w:val="00016192"/>
    <w:rsid w:val="000163D1"/>
    <w:rsid w:val="00016513"/>
    <w:rsid w:val="00016743"/>
    <w:rsid w:val="00016A26"/>
    <w:rsid w:val="00016A79"/>
    <w:rsid w:val="00016D58"/>
    <w:rsid w:val="00016D6F"/>
    <w:rsid w:val="00017473"/>
    <w:rsid w:val="000175B2"/>
    <w:rsid w:val="000200AF"/>
    <w:rsid w:val="0002059E"/>
    <w:rsid w:val="000208C0"/>
    <w:rsid w:val="00020994"/>
    <w:rsid w:val="00020AA1"/>
    <w:rsid w:val="00020FAE"/>
    <w:rsid w:val="00021015"/>
    <w:rsid w:val="00021D19"/>
    <w:rsid w:val="00021D58"/>
    <w:rsid w:val="00021D91"/>
    <w:rsid w:val="00021FD0"/>
    <w:rsid w:val="0002263E"/>
    <w:rsid w:val="000227C4"/>
    <w:rsid w:val="00022874"/>
    <w:rsid w:val="00022D6E"/>
    <w:rsid w:val="0002301A"/>
    <w:rsid w:val="0002312C"/>
    <w:rsid w:val="0002314C"/>
    <w:rsid w:val="0002354B"/>
    <w:rsid w:val="000235D1"/>
    <w:rsid w:val="00023808"/>
    <w:rsid w:val="00023EA3"/>
    <w:rsid w:val="00023F0A"/>
    <w:rsid w:val="00024220"/>
    <w:rsid w:val="000242AC"/>
    <w:rsid w:val="0002452A"/>
    <w:rsid w:val="000248B9"/>
    <w:rsid w:val="00024D4E"/>
    <w:rsid w:val="00024D55"/>
    <w:rsid w:val="00025239"/>
    <w:rsid w:val="00025492"/>
    <w:rsid w:val="00025A69"/>
    <w:rsid w:val="00025B89"/>
    <w:rsid w:val="00025DE2"/>
    <w:rsid w:val="00026435"/>
    <w:rsid w:val="000269DB"/>
    <w:rsid w:val="00027233"/>
    <w:rsid w:val="00027391"/>
    <w:rsid w:val="00027464"/>
    <w:rsid w:val="000309CC"/>
    <w:rsid w:val="00031272"/>
    <w:rsid w:val="00031A6E"/>
    <w:rsid w:val="00031C68"/>
    <w:rsid w:val="00032300"/>
    <w:rsid w:val="000327B0"/>
    <w:rsid w:val="00032817"/>
    <w:rsid w:val="00032898"/>
    <w:rsid w:val="00032909"/>
    <w:rsid w:val="000329E0"/>
    <w:rsid w:val="00032E8C"/>
    <w:rsid w:val="00033020"/>
    <w:rsid w:val="00033087"/>
    <w:rsid w:val="000331CB"/>
    <w:rsid w:val="0003339E"/>
    <w:rsid w:val="000338F7"/>
    <w:rsid w:val="00033962"/>
    <w:rsid w:val="00033D6A"/>
    <w:rsid w:val="00033D95"/>
    <w:rsid w:val="00034071"/>
    <w:rsid w:val="00034517"/>
    <w:rsid w:val="00034720"/>
    <w:rsid w:val="000347A4"/>
    <w:rsid w:val="000349AD"/>
    <w:rsid w:val="000362E3"/>
    <w:rsid w:val="00037817"/>
    <w:rsid w:val="00037A9C"/>
    <w:rsid w:val="00037B63"/>
    <w:rsid w:val="00037EAA"/>
    <w:rsid w:val="000401F4"/>
    <w:rsid w:val="000408F2"/>
    <w:rsid w:val="00041640"/>
    <w:rsid w:val="0004219A"/>
    <w:rsid w:val="000428DB"/>
    <w:rsid w:val="00042FBE"/>
    <w:rsid w:val="00043417"/>
    <w:rsid w:val="0004361C"/>
    <w:rsid w:val="00043F1C"/>
    <w:rsid w:val="0004475B"/>
    <w:rsid w:val="0004478E"/>
    <w:rsid w:val="00045644"/>
    <w:rsid w:val="00045A37"/>
    <w:rsid w:val="00045C29"/>
    <w:rsid w:val="00045DD3"/>
    <w:rsid w:val="00045F02"/>
    <w:rsid w:val="000461BD"/>
    <w:rsid w:val="00046DA3"/>
    <w:rsid w:val="0004748F"/>
    <w:rsid w:val="00047667"/>
    <w:rsid w:val="00047CC8"/>
    <w:rsid w:val="00047D42"/>
    <w:rsid w:val="00050015"/>
    <w:rsid w:val="00050D3D"/>
    <w:rsid w:val="00050F7D"/>
    <w:rsid w:val="00050FC6"/>
    <w:rsid w:val="00051068"/>
    <w:rsid w:val="000515FC"/>
    <w:rsid w:val="0005163B"/>
    <w:rsid w:val="00051C13"/>
    <w:rsid w:val="00052D1E"/>
    <w:rsid w:val="00052E30"/>
    <w:rsid w:val="00053535"/>
    <w:rsid w:val="00053648"/>
    <w:rsid w:val="0005399B"/>
    <w:rsid w:val="00053A68"/>
    <w:rsid w:val="00053B31"/>
    <w:rsid w:val="0005409E"/>
    <w:rsid w:val="00054385"/>
    <w:rsid w:val="000547E4"/>
    <w:rsid w:val="00054EBA"/>
    <w:rsid w:val="000553B3"/>
    <w:rsid w:val="0005556E"/>
    <w:rsid w:val="00055ADF"/>
    <w:rsid w:val="0005611B"/>
    <w:rsid w:val="000562E4"/>
    <w:rsid w:val="000566A1"/>
    <w:rsid w:val="0005671A"/>
    <w:rsid w:val="00056F46"/>
    <w:rsid w:val="0005738B"/>
    <w:rsid w:val="00057566"/>
    <w:rsid w:val="00057762"/>
    <w:rsid w:val="0005786D"/>
    <w:rsid w:val="000578E5"/>
    <w:rsid w:val="000579C9"/>
    <w:rsid w:val="00057BC8"/>
    <w:rsid w:val="00057D3B"/>
    <w:rsid w:val="00060484"/>
    <w:rsid w:val="00060495"/>
    <w:rsid w:val="000605EF"/>
    <w:rsid w:val="00060BCE"/>
    <w:rsid w:val="00060C11"/>
    <w:rsid w:val="00060CBD"/>
    <w:rsid w:val="00060D3D"/>
    <w:rsid w:val="00060E79"/>
    <w:rsid w:val="0006135A"/>
    <w:rsid w:val="00061850"/>
    <w:rsid w:val="00062419"/>
    <w:rsid w:val="0006273D"/>
    <w:rsid w:val="00062CF7"/>
    <w:rsid w:val="00062CFA"/>
    <w:rsid w:val="000643B8"/>
    <w:rsid w:val="00064F29"/>
    <w:rsid w:val="00065552"/>
    <w:rsid w:val="00065737"/>
    <w:rsid w:val="0006594C"/>
    <w:rsid w:val="00065D90"/>
    <w:rsid w:val="00065F5F"/>
    <w:rsid w:val="000665ED"/>
    <w:rsid w:val="0006665C"/>
    <w:rsid w:val="000667A1"/>
    <w:rsid w:val="00066858"/>
    <w:rsid w:val="0006690C"/>
    <w:rsid w:val="00066F65"/>
    <w:rsid w:val="00067101"/>
    <w:rsid w:val="00070483"/>
    <w:rsid w:val="0007091A"/>
    <w:rsid w:val="00070B92"/>
    <w:rsid w:val="00070CB1"/>
    <w:rsid w:val="00070D33"/>
    <w:rsid w:val="00071405"/>
    <w:rsid w:val="0007164F"/>
    <w:rsid w:val="00071962"/>
    <w:rsid w:val="00071EA1"/>
    <w:rsid w:val="00071EF5"/>
    <w:rsid w:val="00072382"/>
    <w:rsid w:val="000723A5"/>
    <w:rsid w:val="000729D6"/>
    <w:rsid w:val="00072C13"/>
    <w:rsid w:val="00072CA9"/>
    <w:rsid w:val="00072D16"/>
    <w:rsid w:val="00072EA0"/>
    <w:rsid w:val="000730D7"/>
    <w:rsid w:val="000734E6"/>
    <w:rsid w:val="00073614"/>
    <w:rsid w:val="00074641"/>
    <w:rsid w:val="0007481C"/>
    <w:rsid w:val="00074E86"/>
    <w:rsid w:val="000755DD"/>
    <w:rsid w:val="00075641"/>
    <w:rsid w:val="00075A07"/>
    <w:rsid w:val="0007651C"/>
    <w:rsid w:val="000766C7"/>
    <w:rsid w:val="00076DDD"/>
    <w:rsid w:val="00077008"/>
    <w:rsid w:val="000772B5"/>
    <w:rsid w:val="0007768E"/>
    <w:rsid w:val="00077A6C"/>
    <w:rsid w:val="00077E92"/>
    <w:rsid w:val="00080072"/>
    <w:rsid w:val="00080569"/>
    <w:rsid w:val="000805B7"/>
    <w:rsid w:val="00080A79"/>
    <w:rsid w:val="00080FF3"/>
    <w:rsid w:val="0008106E"/>
    <w:rsid w:val="0008117E"/>
    <w:rsid w:val="0008151F"/>
    <w:rsid w:val="000816AA"/>
    <w:rsid w:val="00081A22"/>
    <w:rsid w:val="00081B17"/>
    <w:rsid w:val="00081C71"/>
    <w:rsid w:val="000821C7"/>
    <w:rsid w:val="0008221A"/>
    <w:rsid w:val="000825CA"/>
    <w:rsid w:val="000826F1"/>
    <w:rsid w:val="00082B78"/>
    <w:rsid w:val="000837B1"/>
    <w:rsid w:val="000840BF"/>
    <w:rsid w:val="0008453F"/>
    <w:rsid w:val="000845C6"/>
    <w:rsid w:val="00084C7E"/>
    <w:rsid w:val="00084F3B"/>
    <w:rsid w:val="0008500A"/>
    <w:rsid w:val="000850A7"/>
    <w:rsid w:val="000853FF"/>
    <w:rsid w:val="00085484"/>
    <w:rsid w:val="00085908"/>
    <w:rsid w:val="0008593F"/>
    <w:rsid w:val="00085947"/>
    <w:rsid w:val="00086254"/>
    <w:rsid w:val="00086888"/>
    <w:rsid w:val="00086BD2"/>
    <w:rsid w:val="00086CCB"/>
    <w:rsid w:val="00087603"/>
    <w:rsid w:val="0008798F"/>
    <w:rsid w:val="00090115"/>
    <w:rsid w:val="000905AE"/>
    <w:rsid w:val="0009069F"/>
    <w:rsid w:val="000906EF"/>
    <w:rsid w:val="0009089F"/>
    <w:rsid w:val="00090B36"/>
    <w:rsid w:val="0009139B"/>
    <w:rsid w:val="00091777"/>
    <w:rsid w:val="000919E2"/>
    <w:rsid w:val="00092438"/>
    <w:rsid w:val="00092524"/>
    <w:rsid w:val="00092A7E"/>
    <w:rsid w:val="00092F56"/>
    <w:rsid w:val="00093C66"/>
    <w:rsid w:val="00093C96"/>
    <w:rsid w:val="00093DC2"/>
    <w:rsid w:val="000940E7"/>
    <w:rsid w:val="000941EE"/>
    <w:rsid w:val="000944E3"/>
    <w:rsid w:val="00094910"/>
    <w:rsid w:val="00094FAB"/>
    <w:rsid w:val="00095675"/>
    <w:rsid w:val="00095847"/>
    <w:rsid w:val="0009615D"/>
    <w:rsid w:val="000963E6"/>
    <w:rsid w:val="0009699A"/>
    <w:rsid w:val="00097114"/>
    <w:rsid w:val="0009756E"/>
    <w:rsid w:val="000975B6"/>
    <w:rsid w:val="000978DB"/>
    <w:rsid w:val="000A0146"/>
    <w:rsid w:val="000A039E"/>
    <w:rsid w:val="000A08C2"/>
    <w:rsid w:val="000A0A7C"/>
    <w:rsid w:val="000A0FD0"/>
    <w:rsid w:val="000A0FE7"/>
    <w:rsid w:val="000A11A8"/>
    <w:rsid w:val="000A176D"/>
    <w:rsid w:val="000A1A93"/>
    <w:rsid w:val="000A1C20"/>
    <w:rsid w:val="000A2138"/>
    <w:rsid w:val="000A224D"/>
    <w:rsid w:val="000A252F"/>
    <w:rsid w:val="000A2805"/>
    <w:rsid w:val="000A3566"/>
    <w:rsid w:val="000A43AB"/>
    <w:rsid w:val="000A4712"/>
    <w:rsid w:val="000A480A"/>
    <w:rsid w:val="000A4EAD"/>
    <w:rsid w:val="000A526A"/>
    <w:rsid w:val="000A532A"/>
    <w:rsid w:val="000A54D7"/>
    <w:rsid w:val="000A5597"/>
    <w:rsid w:val="000A5F06"/>
    <w:rsid w:val="000A60CA"/>
    <w:rsid w:val="000A6184"/>
    <w:rsid w:val="000A627F"/>
    <w:rsid w:val="000A6452"/>
    <w:rsid w:val="000A6942"/>
    <w:rsid w:val="000A69AE"/>
    <w:rsid w:val="000A69FA"/>
    <w:rsid w:val="000A6A5B"/>
    <w:rsid w:val="000A6C67"/>
    <w:rsid w:val="000A6E3C"/>
    <w:rsid w:val="000A6F16"/>
    <w:rsid w:val="000A6FB9"/>
    <w:rsid w:val="000A7726"/>
    <w:rsid w:val="000B037D"/>
    <w:rsid w:val="000B0795"/>
    <w:rsid w:val="000B0B14"/>
    <w:rsid w:val="000B0C73"/>
    <w:rsid w:val="000B13FB"/>
    <w:rsid w:val="000B2445"/>
    <w:rsid w:val="000B2AB5"/>
    <w:rsid w:val="000B34C8"/>
    <w:rsid w:val="000B3807"/>
    <w:rsid w:val="000B3C64"/>
    <w:rsid w:val="000B40F3"/>
    <w:rsid w:val="000B4304"/>
    <w:rsid w:val="000B4A65"/>
    <w:rsid w:val="000B4E72"/>
    <w:rsid w:val="000B50A9"/>
    <w:rsid w:val="000B5D79"/>
    <w:rsid w:val="000B5F8B"/>
    <w:rsid w:val="000B62B1"/>
    <w:rsid w:val="000B66AC"/>
    <w:rsid w:val="000B70C9"/>
    <w:rsid w:val="000B7243"/>
    <w:rsid w:val="000B7BBE"/>
    <w:rsid w:val="000B7DC0"/>
    <w:rsid w:val="000B7DF5"/>
    <w:rsid w:val="000C035A"/>
    <w:rsid w:val="000C1022"/>
    <w:rsid w:val="000C1483"/>
    <w:rsid w:val="000C15CB"/>
    <w:rsid w:val="000C1F0F"/>
    <w:rsid w:val="000C1FA3"/>
    <w:rsid w:val="000C28E2"/>
    <w:rsid w:val="000C32C6"/>
    <w:rsid w:val="000C4206"/>
    <w:rsid w:val="000C4218"/>
    <w:rsid w:val="000C4ACC"/>
    <w:rsid w:val="000C4BB3"/>
    <w:rsid w:val="000C4BFD"/>
    <w:rsid w:val="000C4C9E"/>
    <w:rsid w:val="000C5AD1"/>
    <w:rsid w:val="000C5C0A"/>
    <w:rsid w:val="000C5C84"/>
    <w:rsid w:val="000C5F7B"/>
    <w:rsid w:val="000C69DF"/>
    <w:rsid w:val="000C6D78"/>
    <w:rsid w:val="000C7247"/>
    <w:rsid w:val="000C7485"/>
    <w:rsid w:val="000C74DF"/>
    <w:rsid w:val="000C77B9"/>
    <w:rsid w:val="000C7FD7"/>
    <w:rsid w:val="000D0241"/>
    <w:rsid w:val="000D0420"/>
    <w:rsid w:val="000D0CD5"/>
    <w:rsid w:val="000D1058"/>
    <w:rsid w:val="000D1C0B"/>
    <w:rsid w:val="000D1F83"/>
    <w:rsid w:val="000D1FD3"/>
    <w:rsid w:val="000D2126"/>
    <w:rsid w:val="000D2252"/>
    <w:rsid w:val="000D266D"/>
    <w:rsid w:val="000D31BE"/>
    <w:rsid w:val="000D3453"/>
    <w:rsid w:val="000D3597"/>
    <w:rsid w:val="000D3902"/>
    <w:rsid w:val="000D3D81"/>
    <w:rsid w:val="000D3D9A"/>
    <w:rsid w:val="000D3DD1"/>
    <w:rsid w:val="000D3EBA"/>
    <w:rsid w:val="000D4180"/>
    <w:rsid w:val="000D4722"/>
    <w:rsid w:val="000D5117"/>
    <w:rsid w:val="000D58A0"/>
    <w:rsid w:val="000D60E3"/>
    <w:rsid w:val="000D69BE"/>
    <w:rsid w:val="000D6E88"/>
    <w:rsid w:val="000D765B"/>
    <w:rsid w:val="000D7729"/>
    <w:rsid w:val="000D79C3"/>
    <w:rsid w:val="000E0BC2"/>
    <w:rsid w:val="000E149E"/>
    <w:rsid w:val="000E1585"/>
    <w:rsid w:val="000E1849"/>
    <w:rsid w:val="000E18DB"/>
    <w:rsid w:val="000E1A01"/>
    <w:rsid w:val="000E2063"/>
    <w:rsid w:val="000E2766"/>
    <w:rsid w:val="000E2AD8"/>
    <w:rsid w:val="000E3361"/>
    <w:rsid w:val="000E3EBC"/>
    <w:rsid w:val="000E4D18"/>
    <w:rsid w:val="000E5328"/>
    <w:rsid w:val="000E5345"/>
    <w:rsid w:val="000E561A"/>
    <w:rsid w:val="000E5645"/>
    <w:rsid w:val="000E5E12"/>
    <w:rsid w:val="000E5E4D"/>
    <w:rsid w:val="000E62A0"/>
    <w:rsid w:val="000E681B"/>
    <w:rsid w:val="000E6A63"/>
    <w:rsid w:val="000E6C7C"/>
    <w:rsid w:val="000E6F9F"/>
    <w:rsid w:val="000E741D"/>
    <w:rsid w:val="000F0270"/>
    <w:rsid w:val="000F05B7"/>
    <w:rsid w:val="000F0606"/>
    <w:rsid w:val="000F065D"/>
    <w:rsid w:val="000F07C8"/>
    <w:rsid w:val="000F0905"/>
    <w:rsid w:val="000F0995"/>
    <w:rsid w:val="000F0C7B"/>
    <w:rsid w:val="000F0CB0"/>
    <w:rsid w:val="000F1450"/>
    <w:rsid w:val="000F1DA7"/>
    <w:rsid w:val="000F1F07"/>
    <w:rsid w:val="000F23B5"/>
    <w:rsid w:val="000F2814"/>
    <w:rsid w:val="000F2CA6"/>
    <w:rsid w:val="000F2E78"/>
    <w:rsid w:val="000F2F6A"/>
    <w:rsid w:val="000F386D"/>
    <w:rsid w:val="000F422F"/>
    <w:rsid w:val="000F44C6"/>
    <w:rsid w:val="000F4544"/>
    <w:rsid w:val="000F4A24"/>
    <w:rsid w:val="000F4B1D"/>
    <w:rsid w:val="000F5090"/>
    <w:rsid w:val="000F54F1"/>
    <w:rsid w:val="000F5D5D"/>
    <w:rsid w:val="000F5F77"/>
    <w:rsid w:val="000F62E3"/>
    <w:rsid w:val="000F6794"/>
    <w:rsid w:val="000F693C"/>
    <w:rsid w:val="000F698A"/>
    <w:rsid w:val="000F7438"/>
    <w:rsid w:val="000F7537"/>
    <w:rsid w:val="000F75A9"/>
    <w:rsid w:val="0010037A"/>
    <w:rsid w:val="001005E0"/>
    <w:rsid w:val="0010085F"/>
    <w:rsid w:val="00100D0A"/>
    <w:rsid w:val="00100D0C"/>
    <w:rsid w:val="00100D76"/>
    <w:rsid w:val="00101092"/>
    <w:rsid w:val="00101902"/>
    <w:rsid w:val="00101F50"/>
    <w:rsid w:val="00103291"/>
    <w:rsid w:val="00103434"/>
    <w:rsid w:val="0010367A"/>
    <w:rsid w:val="00103DD0"/>
    <w:rsid w:val="0010414D"/>
    <w:rsid w:val="00104213"/>
    <w:rsid w:val="001046F5"/>
    <w:rsid w:val="00104718"/>
    <w:rsid w:val="00104A00"/>
    <w:rsid w:val="00104F05"/>
    <w:rsid w:val="0010533F"/>
    <w:rsid w:val="00105759"/>
    <w:rsid w:val="001063F8"/>
    <w:rsid w:val="001065A0"/>
    <w:rsid w:val="00106AA1"/>
    <w:rsid w:val="00106B5D"/>
    <w:rsid w:val="00106BFE"/>
    <w:rsid w:val="00106C9E"/>
    <w:rsid w:val="00106F0C"/>
    <w:rsid w:val="001075B4"/>
    <w:rsid w:val="00107764"/>
    <w:rsid w:val="00107DF5"/>
    <w:rsid w:val="001103EC"/>
    <w:rsid w:val="0011051C"/>
    <w:rsid w:val="001105EC"/>
    <w:rsid w:val="0011080C"/>
    <w:rsid w:val="00110C23"/>
    <w:rsid w:val="0011136D"/>
    <w:rsid w:val="001115E2"/>
    <w:rsid w:val="001118E4"/>
    <w:rsid w:val="00111BBF"/>
    <w:rsid w:val="0011220A"/>
    <w:rsid w:val="00112B37"/>
    <w:rsid w:val="00112BFA"/>
    <w:rsid w:val="00113088"/>
    <w:rsid w:val="001136C5"/>
    <w:rsid w:val="001136D9"/>
    <w:rsid w:val="001139A8"/>
    <w:rsid w:val="00113A9A"/>
    <w:rsid w:val="00113EE5"/>
    <w:rsid w:val="001146FE"/>
    <w:rsid w:val="00114716"/>
    <w:rsid w:val="0011485D"/>
    <w:rsid w:val="00115803"/>
    <w:rsid w:val="001159C6"/>
    <w:rsid w:val="00115AA4"/>
    <w:rsid w:val="001166BD"/>
    <w:rsid w:val="001171B9"/>
    <w:rsid w:val="00117602"/>
    <w:rsid w:val="001178B8"/>
    <w:rsid w:val="00117A53"/>
    <w:rsid w:val="00117E61"/>
    <w:rsid w:val="001206DD"/>
    <w:rsid w:val="00120982"/>
    <w:rsid w:val="00120B1F"/>
    <w:rsid w:val="00120C80"/>
    <w:rsid w:val="00120F29"/>
    <w:rsid w:val="001214C6"/>
    <w:rsid w:val="0012163D"/>
    <w:rsid w:val="001216EF"/>
    <w:rsid w:val="00121DAF"/>
    <w:rsid w:val="00121DC1"/>
    <w:rsid w:val="001223BF"/>
    <w:rsid w:val="00122634"/>
    <w:rsid w:val="001228DC"/>
    <w:rsid w:val="0012297D"/>
    <w:rsid w:val="00122B1C"/>
    <w:rsid w:val="00122F03"/>
    <w:rsid w:val="00122F9B"/>
    <w:rsid w:val="00123764"/>
    <w:rsid w:val="00124194"/>
    <w:rsid w:val="00124F0F"/>
    <w:rsid w:val="00125059"/>
    <w:rsid w:val="001251C0"/>
    <w:rsid w:val="001251D5"/>
    <w:rsid w:val="001253CD"/>
    <w:rsid w:val="00125690"/>
    <w:rsid w:val="00125BBC"/>
    <w:rsid w:val="0012607D"/>
    <w:rsid w:val="001264B9"/>
    <w:rsid w:val="00126D7F"/>
    <w:rsid w:val="001270A8"/>
    <w:rsid w:val="00127687"/>
    <w:rsid w:val="001278DD"/>
    <w:rsid w:val="00127908"/>
    <w:rsid w:val="001306FA"/>
    <w:rsid w:val="00130846"/>
    <w:rsid w:val="0013135D"/>
    <w:rsid w:val="001313BD"/>
    <w:rsid w:val="00131546"/>
    <w:rsid w:val="001319F6"/>
    <w:rsid w:val="00131C8F"/>
    <w:rsid w:val="0013207F"/>
    <w:rsid w:val="00132402"/>
    <w:rsid w:val="001328B2"/>
    <w:rsid w:val="00132CBC"/>
    <w:rsid w:val="00132D93"/>
    <w:rsid w:val="00133BCB"/>
    <w:rsid w:val="00134299"/>
    <w:rsid w:val="0013431B"/>
    <w:rsid w:val="00134551"/>
    <w:rsid w:val="00134789"/>
    <w:rsid w:val="00134807"/>
    <w:rsid w:val="00134853"/>
    <w:rsid w:val="00134C74"/>
    <w:rsid w:val="001351A1"/>
    <w:rsid w:val="001354DC"/>
    <w:rsid w:val="00135568"/>
    <w:rsid w:val="001356A8"/>
    <w:rsid w:val="00135742"/>
    <w:rsid w:val="00135F27"/>
    <w:rsid w:val="001366AA"/>
    <w:rsid w:val="00136734"/>
    <w:rsid w:val="00136970"/>
    <w:rsid w:val="00136CFD"/>
    <w:rsid w:val="00137263"/>
    <w:rsid w:val="001374CB"/>
    <w:rsid w:val="0013785F"/>
    <w:rsid w:val="00137B8A"/>
    <w:rsid w:val="00137DEF"/>
    <w:rsid w:val="00140834"/>
    <w:rsid w:val="00140C97"/>
    <w:rsid w:val="00141A63"/>
    <w:rsid w:val="00141B3E"/>
    <w:rsid w:val="0014225B"/>
    <w:rsid w:val="00142374"/>
    <w:rsid w:val="001427A3"/>
    <w:rsid w:val="00142942"/>
    <w:rsid w:val="00142CFA"/>
    <w:rsid w:val="00142F7F"/>
    <w:rsid w:val="00142FE0"/>
    <w:rsid w:val="0014333D"/>
    <w:rsid w:val="0014348E"/>
    <w:rsid w:val="00143532"/>
    <w:rsid w:val="001435D1"/>
    <w:rsid w:val="0014371E"/>
    <w:rsid w:val="00143A41"/>
    <w:rsid w:val="00143C3D"/>
    <w:rsid w:val="00143D79"/>
    <w:rsid w:val="001443E0"/>
    <w:rsid w:val="0014441A"/>
    <w:rsid w:val="00144860"/>
    <w:rsid w:val="00145641"/>
    <w:rsid w:val="00145709"/>
    <w:rsid w:val="00145736"/>
    <w:rsid w:val="0014587E"/>
    <w:rsid w:val="0014594F"/>
    <w:rsid w:val="00146160"/>
    <w:rsid w:val="0014639F"/>
    <w:rsid w:val="001466E1"/>
    <w:rsid w:val="00146B60"/>
    <w:rsid w:val="00146EC9"/>
    <w:rsid w:val="001477AA"/>
    <w:rsid w:val="00147EBC"/>
    <w:rsid w:val="00150205"/>
    <w:rsid w:val="00150908"/>
    <w:rsid w:val="00150956"/>
    <w:rsid w:val="001511F1"/>
    <w:rsid w:val="001512EF"/>
    <w:rsid w:val="00151741"/>
    <w:rsid w:val="0015186D"/>
    <w:rsid w:val="001521E7"/>
    <w:rsid w:val="001522B5"/>
    <w:rsid w:val="00152751"/>
    <w:rsid w:val="00152983"/>
    <w:rsid w:val="0015299A"/>
    <w:rsid w:val="00152F9A"/>
    <w:rsid w:val="0015343E"/>
    <w:rsid w:val="001541F5"/>
    <w:rsid w:val="00154283"/>
    <w:rsid w:val="00154381"/>
    <w:rsid w:val="00154555"/>
    <w:rsid w:val="00154738"/>
    <w:rsid w:val="00154EE4"/>
    <w:rsid w:val="00154F33"/>
    <w:rsid w:val="0015515F"/>
    <w:rsid w:val="001555C6"/>
    <w:rsid w:val="00155668"/>
    <w:rsid w:val="001559E5"/>
    <w:rsid w:val="00155E2A"/>
    <w:rsid w:val="001561C2"/>
    <w:rsid w:val="001568A7"/>
    <w:rsid w:val="00156C4A"/>
    <w:rsid w:val="00157016"/>
    <w:rsid w:val="0015702B"/>
    <w:rsid w:val="001572BC"/>
    <w:rsid w:val="0015737A"/>
    <w:rsid w:val="00157599"/>
    <w:rsid w:val="00157767"/>
    <w:rsid w:val="00157866"/>
    <w:rsid w:val="001579F6"/>
    <w:rsid w:val="00157FE8"/>
    <w:rsid w:val="00160210"/>
    <w:rsid w:val="001603A5"/>
    <w:rsid w:val="001603C6"/>
    <w:rsid w:val="00161257"/>
    <w:rsid w:val="00161693"/>
    <w:rsid w:val="00161803"/>
    <w:rsid w:val="0016184C"/>
    <w:rsid w:val="00161BA7"/>
    <w:rsid w:val="00162787"/>
    <w:rsid w:val="00162A84"/>
    <w:rsid w:val="00162AA4"/>
    <w:rsid w:val="00163258"/>
    <w:rsid w:val="00163A65"/>
    <w:rsid w:val="001644AD"/>
    <w:rsid w:val="001646A6"/>
    <w:rsid w:val="0016512C"/>
    <w:rsid w:val="00165181"/>
    <w:rsid w:val="001652F0"/>
    <w:rsid w:val="00165A7B"/>
    <w:rsid w:val="00165EFD"/>
    <w:rsid w:val="00166A93"/>
    <w:rsid w:val="00166ABC"/>
    <w:rsid w:val="00166F97"/>
    <w:rsid w:val="001677D9"/>
    <w:rsid w:val="00170303"/>
    <w:rsid w:val="00170353"/>
    <w:rsid w:val="001706D8"/>
    <w:rsid w:val="00170E27"/>
    <w:rsid w:val="0017104C"/>
    <w:rsid w:val="0017115F"/>
    <w:rsid w:val="001714D9"/>
    <w:rsid w:val="0017166E"/>
    <w:rsid w:val="00171679"/>
    <w:rsid w:val="0017291B"/>
    <w:rsid w:val="00172B21"/>
    <w:rsid w:val="0017320C"/>
    <w:rsid w:val="001732F8"/>
    <w:rsid w:val="00173345"/>
    <w:rsid w:val="001736E3"/>
    <w:rsid w:val="00173985"/>
    <w:rsid w:val="001740E2"/>
    <w:rsid w:val="0017433A"/>
    <w:rsid w:val="00174398"/>
    <w:rsid w:val="0017441D"/>
    <w:rsid w:val="001749B8"/>
    <w:rsid w:val="00175308"/>
    <w:rsid w:val="001755CC"/>
    <w:rsid w:val="00175B85"/>
    <w:rsid w:val="00175CEA"/>
    <w:rsid w:val="00175D7C"/>
    <w:rsid w:val="0017638E"/>
    <w:rsid w:val="001765B3"/>
    <w:rsid w:val="0017702B"/>
    <w:rsid w:val="00177540"/>
    <w:rsid w:val="00177BCE"/>
    <w:rsid w:val="0018005C"/>
    <w:rsid w:val="00180D8E"/>
    <w:rsid w:val="001814B9"/>
    <w:rsid w:val="001815C5"/>
    <w:rsid w:val="00181679"/>
    <w:rsid w:val="00181E2C"/>
    <w:rsid w:val="0018245C"/>
    <w:rsid w:val="0018249F"/>
    <w:rsid w:val="00182966"/>
    <w:rsid w:val="00182E66"/>
    <w:rsid w:val="00183E50"/>
    <w:rsid w:val="001840F8"/>
    <w:rsid w:val="001845FA"/>
    <w:rsid w:val="00184B2B"/>
    <w:rsid w:val="00184DD8"/>
    <w:rsid w:val="001854E2"/>
    <w:rsid w:val="0018573C"/>
    <w:rsid w:val="00185EA5"/>
    <w:rsid w:val="00186EC3"/>
    <w:rsid w:val="00186EC4"/>
    <w:rsid w:val="0018733A"/>
    <w:rsid w:val="00190012"/>
    <w:rsid w:val="00190198"/>
    <w:rsid w:val="00190A3A"/>
    <w:rsid w:val="00190E0D"/>
    <w:rsid w:val="00190FB7"/>
    <w:rsid w:val="001910A6"/>
    <w:rsid w:val="001913E0"/>
    <w:rsid w:val="001918F2"/>
    <w:rsid w:val="00191E15"/>
    <w:rsid w:val="00191FBB"/>
    <w:rsid w:val="00192607"/>
    <w:rsid w:val="0019293A"/>
    <w:rsid w:val="001931FD"/>
    <w:rsid w:val="0019324D"/>
    <w:rsid w:val="00193600"/>
    <w:rsid w:val="001937A3"/>
    <w:rsid w:val="001939CC"/>
    <w:rsid w:val="001939D7"/>
    <w:rsid w:val="001940F9"/>
    <w:rsid w:val="001941C6"/>
    <w:rsid w:val="00195149"/>
    <w:rsid w:val="001959EA"/>
    <w:rsid w:val="00195D75"/>
    <w:rsid w:val="00196323"/>
    <w:rsid w:val="001965C3"/>
    <w:rsid w:val="00196CE3"/>
    <w:rsid w:val="00196F0C"/>
    <w:rsid w:val="00197013"/>
    <w:rsid w:val="001972F8"/>
    <w:rsid w:val="00197596"/>
    <w:rsid w:val="0019765E"/>
    <w:rsid w:val="001979B8"/>
    <w:rsid w:val="00197A4A"/>
    <w:rsid w:val="00197CB5"/>
    <w:rsid w:val="00197FCE"/>
    <w:rsid w:val="001A0417"/>
    <w:rsid w:val="001A077B"/>
    <w:rsid w:val="001A08FF"/>
    <w:rsid w:val="001A0E4E"/>
    <w:rsid w:val="001A0F0A"/>
    <w:rsid w:val="001A1051"/>
    <w:rsid w:val="001A15E0"/>
    <w:rsid w:val="001A1606"/>
    <w:rsid w:val="001A1F68"/>
    <w:rsid w:val="001A258F"/>
    <w:rsid w:val="001A262E"/>
    <w:rsid w:val="001A273B"/>
    <w:rsid w:val="001A2890"/>
    <w:rsid w:val="001A2E17"/>
    <w:rsid w:val="001A2F68"/>
    <w:rsid w:val="001A36F9"/>
    <w:rsid w:val="001A37CF"/>
    <w:rsid w:val="001A3F23"/>
    <w:rsid w:val="001A3FB0"/>
    <w:rsid w:val="001A4305"/>
    <w:rsid w:val="001A472B"/>
    <w:rsid w:val="001A4D71"/>
    <w:rsid w:val="001A590E"/>
    <w:rsid w:val="001A5CBF"/>
    <w:rsid w:val="001A5CFC"/>
    <w:rsid w:val="001A6D44"/>
    <w:rsid w:val="001A6F93"/>
    <w:rsid w:val="001A6FA3"/>
    <w:rsid w:val="001A75ED"/>
    <w:rsid w:val="001A7E80"/>
    <w:rsid w:val="001A7FB0"/>
    <w:rsid w:val="001B006E"/>
    <w:rsid w:val="001B0E8A"/>
    <w:rsid w:val="001B1343"/>
    <w:rsid w:val="001B135C"/>
    <w:rsid w:val="001B1449"/>
    <w:rsid w:val="001B1587"/>
    <w:rsid w:val="001B15CA"/>
    <w:rsid w:val="001B1B97"/>
    <w:rsid w:val="001B26B5"/>
    <w:rsid w:val="001B2C23"/>
    <w:rsid w:val="001B3101"/>
    <w:rsid w:val="001B31D0"/>
    <w:rsid w:val="001B3457"/>
    <w:rsid w:val="001B3F54"/>
    <w:rsid w:val="001B404D"/>
    <w:rsid w:val="001B41A0"/>
    <w:rsid w:val="001B4351"/>
    <w:rsid w:val="001B4499"/>
    <w:rsid w:val="001B4728"/>
    <w:rsid w:val="001B47CE"/>
    <w:rsid w:val="001B4D26"/>
    <w:rsid w:val="001B4EE8"/>
    <w:rsid w:val="001B50F5"/>
    <w:rsid w:val="001B52E3"/>
    <w:rsid w:val="001B6100"/>
    <w:rsid w:val="001B6432"/>
    <w:rsid w:val="001B6582"/>
    <w:rsid w:val="001B6A19"/>
    <w:rsid w:val="001B6C65"/>
    <w:rsid w:val="001B7111"/>
    <w:rsid w:val="001B72FF"/>
    <w:rsid w:val="001B76FA"/>
    <w:rsid w:val="001C0011"/>
    <w:rsid w:val="001C001D"/>
    <w:rsid w:val="001C04DE"/>
    <w:rsid w:val="001C1077"/>
    <w:rsid w:val="001C1087"/>
    <w:rsid w:val="001C12CB"/>
    <w:rsid w:val="001C13E4"/>
    <w:rsid w:val="001C157C"/>
    <w:rsid w:val="001C1C5A"/>
    <w:rsid w:val="001C1E4C"/>
    <w:rsid w:val="001C1EFF"/>
    <w:rsid w:val="001C1F73"/>
    <w:rsid w:val="001C2171"/>
    <w:rsid w:val="001C24AC"/>
    <w:rsid w:val="001C2509"/>
    <w:rsid w:val="001C26F9"/>
    <w:rsid w:val="001C2CB2"/>
    <w:rsid w:val="001C4225"/>
    <w:rsid w:val="001C47C1"/>
    <w:rsid w:val="001C4A23"/>
    <w:rsid w:val="001C4E62"/>
    <w:rsid w:val="001C4FFD"/>
    <w:rsid w:val="001C5177"/>
    <w:rsid w:val="001C58E9"/>
    <w:rsid w:val="001C6491"/>
    <w:rsid w:val="001C6863"/>
    <w:rsid w:val="001C72AB"/>
    <w:rsid w:val="001C7577"/>
    <w:rsid w:val="001C75FE"/>
    <w:rsid w:val="001C76FF"/>
    <w:rsid w:val="001C789A"/>
    <w:rsid w:val="001C7E26"/>
    <w:rsid w:val="001D05DE"/>
    <w:rsid w:val="001D097D"/>
    <w:rsid w:val="001D0AF3"/>
    <w:rsid w:val="001D0DDD"/>
    <w:rsid w:val="001D0F6C"/>
    <w:rsid w:val="001D10E0"/>
    <w:rsid w:val="001D128E"/>
    <w:rsid w:val="001D1573"/>
    <w:rsid w:val="001D22C3"/>
    <w:rsid w:val="001D243C"/>
    <w:rsid w:val="001D2495"/>
    <w:rsid w:val="001D249C"/>
    <w:rsid w:val="001D38EE"/>
    <w:rsid w:val="001D3CF8"/>
    <w:rsid w:val="001D3F8A"/>
    <w:rsid w:val="001D4AB2"/>
    <w:rsid w:val="001D4ACD"/>
    <w:rsid w:val="001D4B60"/>
    <w:rsid w:val="001D4DB9"/>
    <w:rsid w:val="001D558E"/>
    <w:rsid w:val="001D5891"/>
    <w:rsid w:val="001D5EB6"/>
    <w:rsid w:val="001D5FDD"/>
    <w:rsid w:val="001D64DD"/>
    <w:rsid w:val="001D6A90"/>
    <w:rsid w:val="001D6B1B"/>
    <w:rsid w:val="001D6DD4"/>
    <w:rsid w:val="001D70A6"/>
    <w:rsid w:val="001D70C2"/>
    <w:rsid w:val="001D70D9"/>
    <w:rsid w:val="001D74C3"/>
    <w:rsid w:val="001D761D"/>
    <w:rsid w:val="001D76EF"/>
    <w:rsid w:val="001D7A53"/>
    <w:rsid w:val="001E0144"/>
    <w:rsid w:val="001E0851"/>
    <w:rsid w:val="001E0893"/>
    <w:rsid w:val="001E19FD"/>
    <w:rsid w:val="001E1D9A"/>
    <w:rsid w:val="001E1E41"/>
    <w:rsid w:val="001E1EA3"/>
    <w:rsid w:val="001E1EB5"/>
    <w:rsid w:val="001E1F79"/>
    <w:rsid w:val="001E20E3"/>
    <w:rsid w:val="001E26B8"/>
    <w:rsid w:val="001E2764"/>
    <w:rsid w:val="001E2CF5"/>
    <w:rsid w:val="001E2D60"/>
    <w:rsid w:val="001E2F6D"/>
    <w:rsid w:val="001E36B5"/>
    <w:rsid w:val="001E36CC"/>
    <w:rsid w:val="001E3BD0"/>
    <w:rsid w:val="001E46FD"/>
    <w:rsid w:val="001E49E6"/>
    <w:rsid w:val="001E4CAA"/>
    <w:rsid w:val="001E5BA0"/>
    <w:rsid w:val="001E5F90"/>
    <w:rsid w:val="001E60E0"/>
    <w:rsid w:val="001E6501"/>
    <w:rsid w:val="001E7321"/>
    <w:rsid w:val="001E735C"/>
    <w:rsid w:val="001E7504"/>
    <w:rsid w:val="001E7558"/>
    <w:rsid w:val="001E785F"/>
    <w:rsid w:val="001E7945"/>
    <w:rsid w:val="001E7971"/>
    <w:rsid w:val="001E7A7F"/>
    <w:rsid w:val="001E7C9F"/>
    <w:rsid w:val="001E7F35"/>
    <w:rsid w:val="001E7FC1"/>
    <w:rsid w:val="001E7FC7"/>
    <w:rsid w:val="001F07E0"/>
    <w:rsid w:val="001F0AA5"/>
    <w:rsid w:val="001F0C75"/>
    <w:rsid w:val="001F13FA"/>
    <w:rsid w:val="001F152E"/>
    <w:rsid w:val="001F254E"/>
    <w:rsid w:val="001F257F"/>
    <w:rsid w:val="001F2D17"/>
    <w:rsid w:val="001F305E"/>
    <w:rsid w:val="001F35FE"/>
    <w:rsid w:val="001F38B4"/>
    <w:rsid w:val="001F3C3F"/>
    <w:rsid w:val="001F4107"/>
    <w:rsid w:val="001F43AF"/>
    <w:rsid w:val="001F4ED3"/>
    <w:rsid w:val="001F52E6"/>
    <w:rsid w:val="001F5725"/>
    <w:rsid w:val="001F5D9A"/>
    <w:rsid w:val="001F6346"/>
    <w:rsid w:val="001F65BE"/>
    <w:rsid w:val="001F6AB4"/>
    <w:rsid w:val="001F6D1C"/>
    <w:rsid w:val="001F717F"/>
    <w:rsid w:val="001F78E9"/>
    <w:rsid w:val="001F7992"/>
    <w:rsid w:val="001F7A0F"/>
    <w:rsid w:val="00200245"/>
    <w:rsid w:val="0020066F"/>
    <w:rsid w:val="002008C8"/>
    <w:rsid w:val="00200E7E"/>
    <w:rsid w:val="00200F8E"/>
    <w:rsid w:val="0020114C"/>
    <w:rsid w:val="0020162F"/>
    <w:rsid w:val="00201CDD"/>
    <w:rsid w:val="00201E3A"/>
    <w:rsid w:val="00202246"/>
    <w:rsid w:val="00202921"/>
    <w:rsid w:val="00203097"/>
    <w:rsid w:val="00203185"/>
    <w:rsid w:val="00203275"/>
    <w:rsid w:val="00203808"/>
    <w:rsid w:val="00203B0A"/>
    <w:rsid w:val="00203E85"/>
    <w:rsid w:val="0020428C"/>
    <w:rsid w:val="002042BB"/>
    <w:rsid w:val="0020442A"/>
    <w:rsid w:val="00204B77"/>
    <w:rsid w:val="00204EF1"/>
    <w:rsid w:val="00205247"/>
    <w:rsid w:val="002054F8"/>
    <w:rsid w:val="00205541"/>
    <w:rsid w:val="00205A20"/>
    <w:rsid w:val="00205FB7"/>
    <w:rsid w:val="00206A08"/>
    <w:rsid w:val="00206D07"/>
    <w:rsid w:val="00207429"/>
    <w:rsid w:val="002075C4"/>
    <w:rsid w:val="002075CF"/>
    <w:rsid w:val="002078BB"/>
    <w:rsid w:val="00207ACA"/>
    <w:rsid w:val="00207C0B"/>
    <w:rsid w:val="00207E16"/>
    <w:rsid w:val="00207F52"/>
    <w:rsid w:val="002103E6"/>
    <w:rsid w:val="002106C1"/>
    <w:rsid w:val="0021091E"/>
    <w:rsid w:val="00211151"/>
    <w:rsid w:val="00211638"/>
    <w:rsid w:val="00211AE5"/>
    <w:rsid w:val="00211BB0"/>
    <w:rsid w:val="00211F3B"/>
    <w:rsid w:val="00212295"/>
    <w:rsid w:val="00212555"/>
    <w:rsid w:val="002127B4"/>
    <w:rsid w:val="0021296C"/>
    <w:rsid w:val="00212CFA"/>
    <w:rsid w:val="00212DE9"/>
    <w:rsid w:val="00213311"/>
    <w:rsid w:val="00213C6C"/>
    <w:rsid w:val="00214166"/>
    <w:rsid w:val="00214191"/>
    <w:rsid w:val="0021440F"/>
    <w:rsid w:val="002145DD"/>
    <w:rsid w:val="002147A0"/>
    <w:rsid w:val="00214A44"/>
    <w:rsid w:val="00214CEE"/>
    <w:rsid w:val="00214D8B"/>
    <w:rsid w:val="00214EF4"/>
    <w:rsid w:val="00215026"/>
    <w:rsid w:val="00215295"/>
    <w:rsid w:val="00215707"/>
    <w:rsid w:val="00215CFD"/>
    <w:rsid w:val="0021627B"/>
    <w:rsid w:val="00216417"/>
    <w:rsid w:val="002174D5"/>
    <w:rsid w:val="0021760D"/>
    <w:rsid w:val="00217A11"/>
    <w:rsid w:val="00217A53"/>
    <w:rsid w:val="0022028F"/>
    <w:rsid w:val="0022088D"/>
    <w:rsid w:val="00221034"/>
    <w:rsid w:val="0022109A"/>
    <w:rsid w:val="0022126F"/>
    <w:rsid w:val="0022141F"/>
    <w:rsid w:val="002216AB"/>
    <w:rsid w:val="0022196F"/>
    <w:rsid w:val="00221ED0"/>
    <w:rsid w:val="002223D7"/>
    <w:rsid w:val="00222434"/>
    <w:rsid w:val="00222527"/>
    <w:rsid w:val="002227D4"/>
    <w:rsid w:val="002229E7"/>
    <w:rsid w:val="00222ECB"/>
    <w:rsid w:val="00223430"/>
    <w:rsid w:val="00223AAB"/>
    <w:rsid w:val="00223F8A"/>
    <w:rsid w:val="00223FB2"/>
    <w:rsid w:val="00224615"/>
    <w:rsid w:val="00224B1B"/>
    <w:rsid w:val="00224CB1"/>
    <w:rsid w:val="00224CF9"/>
    <w:rsid w:val="00224D56"/>
    <w:rsid w:val="00224DA6"/>
    <w:rsid w:val="00224F4E"/>
    <w:rsid w:val="002251A9"/>
    <w:rsid w:val="00225758"/>
    <w:rsid w:val="00225C99"/>
    <w:rsid w:val="00225D9C"/>
    <w:rsid w:val="0022613D"/>
    <w:rsid w:val="00226ABB"/>
    <w:rsid w:val="00226B3D"/>
    <w:rsid w:val="00226D84"/>
    <w:rsid w:val="0022767B"/>
    <w:rsid w:val="002279A3"/>
    <w:rsid w:val="0023044B"/>
    <w:rsid w:val="00230CBF"/>
    <w:rsid w:val="00230E47"/>
    <w:rsid w:val="00230F2D"/>
    <w:rsid w:val="0023123F"/>
    <w:rsid w:val="0023131C"/>
    <w:rsid w:val="00231557"/>
    <w:rsid w:val="002315F6"/>
    <w:rsid w:val="00231788"/>
    <w:rsid w:val="002319FA"/>
    <w:rsid w:val="002321FF"/>
    <w:rsid w:val="00232634"/>
    <w:rsid w:val="00232D7A"/>
    <w:rsid w:val="00233575"/>
    <w:rsid w:val="0023366A"/>
    <w:rsid w:val="00233BB1"/>
    <w:rsid w:val="00234445"/>
    <w:rsid w:val="002344B5"/>
    <w:rsid w:val="00234A85"/>
    <w:rsid w:val="00234D42"/>
    <w:rsid w:val="00235910"/>
    <w:rsid w:val="0023598F"/>
    <w:rsid w:val="00235AA0"/>
    <w:rsid w:val="002360FF"/>
    <w:rsid w:val="0023616B"/>
    <w:rsid w:val="00236576"/>
    <w:rsid w:val="002366AC"/>
    <w:rsid w:val="00236A6F"/>
    <w:rsid w:val="00236C22"/>
    <w:rsid w:val="00237244"/>
    <w:rsid w:val="002372BE"/>
    <w:rsid w:val="002373A5"/>
    <w:rsid w:val="00237522"/>
    <w:rsid w:val="002375D7"/>
    <w:rsid w:val="00237676"/>
    <w:rsid w:val="00237B4C"/>
    <w:rsid w:val="00237B72"/>
    <w:rsid w:val="00240060"/>
    <w:rsid w:val="00240124"/>
    <w:rsid w:val="00240175"/>
    <w:rsid w:val="00240258"/>
    <w:rsid w:val="00240866"/>
    <w:rsid w:val="0024092B"/>
    <w:rsid w:val="0024104F"/>
    <w:rsid w:val="002410B8"/>
    <w:rsid w:val="00241218"/>
    <w:rsid w:val="00241541"/>
    <w:rsid w:val="00241D1F"/>
    <w:rsid w:val="00241DFC"/>
    <w:rsid w:val="00241FEA"/>
    <w:rsid w:val="002427ED"/>
    <w:rsid w:val="00242BFF"/>
    <w:rsid w:val="00242C1E"/>
    <w:rsid w:val="00242E61"/>
    <w:rsid w:val="002433B8"/>
    <w:rsid w:val="00243B35"/>
    <w:rsid w:val="00243EC5"/>
    <w:rsid w:val="00243F57"/>
    <w:rsid w:val="00244289"/>
    <w:rsid w:val="002444C1"/>
    <w:rsid w:val="00244507"/>
    <w:rsid w:val="00244848"/>
    <w:rsid w:val="00244876"/>
    <w:rsid w:val="00244B65"/>
    <w:rsid w:val="00244FC7"/>
    <w:rsid w:val="0024505E"/>
    <w:rsid w:val="002451A1"/>
    <w:rsid w:val="00245405"/>
    <w:rsid w:val="002458D1"/>
    <w:rsid w:val="00245B0E"/>
    <w:rsid w:val="00245CB0"/>
    <w:rsid w:val="00245CE1"/>
    <w:rsid w:val="002463A3"/>
    <w:rsid w:val="00246613"/>
    <w:rsid w:val="0024670E"/>
    <w:rsid w:val="00246764"/>
    <w:rsid w:val="0024699F"/>
    <w:rsid w:val="002469E7"/>
    <w:rsid w:val="002473E8"/>
    <w:rsid w:val="002474C2"/>
    <w:rsid w:val="002479C2"/>
    <w:rsid w:val="00247ACD"/>
    <w:rsid w:val="00247BFA"/>
    <w:rsid w:val="00247C4C"/>
    <w:rsid w:val="00250565"/>
    <w:rsid w:val="00250771"/>
    <w:rsid w:val="00250B94"/>
    <w:rsid w:val="00250C9F"/>
    <w:rsid w:val="002510BD"/>
    <w:rsid w:val="002510CE"/>
    <w:rsid w:val="00251972"/>
    <w:rsid w:val="00251F65"/>
    <w:rsid w:val="00251F8A"/>
    <w:rsid w:val="0025293C"/>
    <w:rsid w:val="00252E65"/>
    <w:rsid w:val="00253134"/>
    <w:rsid w:val="00253171"/>
    <w:rsid w:val="00253C27"/>
    <w:rsid w:val="00254813"/>
    <w:rsid w:val="00254CE1"/>
    <w:rsid w:val="002550ED"/>
    <w:rsid w:val="002553D6"/>
    <w:rsid w:val="002557A8"/>
    <w:rsid w:val="00256400"/>
    <w:rsid w:val="00256877"/>
    <w:rsid w:val="00256A6B"/>
    <w:rsid w:val="00256F94"/>
    <w:rsid w:val="002570DF"/>
    <w:rsid w:val="0025716B"/>
    <w:rsid w:val="0025728C"/>
    <w:rsid w:val="002574F8"/>
    <w:rsid w:val="00257A2C"/>
    <w:rsid w:val="00257BF3"/>
    <w:rsid w:val="00257E93"/>
    <w:rsid w:val="00257ED7"/>
    <w:rsid w:val="0026017A"/>
    <w:rsid w:val="00260F49"/>
    <w:rsid w:val="00260F4E"/>
    <w:rsid w:val="00261ACD"/>
    <w:rsid w:val="00261C35"/>
    <w:rsid w:val="002621B1"/>
    <w:rsid w:val="00262A92"/>
    <w:rsid w:val="00262BFD"/>
    <w:rsid w:val="00262D4B"/>
    <w:rsid w:val="00263343"/>
    <w:rsid w:val="002633CB"/>
    <w:rsid w:val="00263465"/>
    <w:rsid w:val="00263DE2"/>
    <w:rsid w:val="00263FB0"/>
    <w:rsid w:val="0026413A"/>
    <w:rsid w:val="002641DB"/>
    <w:rsid w:val="00264666"/>
    <w:rsid w:val="0026469F"/>
    <w:rsid w:val="002647EB"/>
    <w:rsid w:val="002648E1"/>
    <w:rsid w:val="00264C0E"/>
    <w:rsid w:val="0026560F"/>
    <w:rsid w:val="002659E1"/>
    <w:rsid w:val="00265D28"/>
    <w:rsid w:val="00265F57"/>
    <w:rsid w:val="00265FDD"/>
    <w:rsid w:val="00266397"/>
    <w:rsid w:val="002672CA"/>
    <w:rsid w:val="00267AEF"/>
    <w:rsid w:val="00267F60"/>
    <w:rsid w:val="00267FAF"/>
    <w:rsid w:val="0027001F"/>
    <w:rsid w:val="00270269"/>
    <w:rsid w:val="00270A93"/>
    <w:rsid w:val="00270CB4"/>
    <w:rsid w:val="00270EA7"/>
    <w:rsid w:val="00270ED5"/>
    <w:rsid w:val="0027149B"/>
    <w:rsid w:val="0027169E"/>
    <w:rsid w:val="00271D89"/>
    <w:rsid w:val="00271ED8"/>
    <w:rsid w:val="00272268"/>
    <w:rsid w:val="00272798"/>
    <w:rsid w:val="00272D26"/>
    <w:rsid w:val="002734C0"/>
    <w:rsid w:val="00273585"/>
    <w:rsid w:val="00273ADE"/>
    <w:rsid w:val="00273D0E"/>
    <w:rsid w:val="00273DF8"/>
    <w:rsid w:val="0027458E"/>
    <w:rsid w:val="00274903"/>
    <w:rsid w:val="0027545B"/>
    <w:rsid w:val="00275B13"/>
    <w:rsid w:val="00275EBE"/>
    <w:rsid w:val="0027619D"/>
    <w:rsid w:val="0027628E"/>
    <w:rsid w:val="00276334"/>
    <w:rsid w:val="00276353"/>
    <w:rsid w:val="0027696E"/>
    <w:rsid w:val="00276E98"/>
    <w:rsid w:val="00277093"/>
    <w:rsid w:val="00277378"/>
    <w:rsid w:val="00280255"/>
    <w:rsid w:val="002802D8"/>
    <w:rsid w:val="002808DC"/>
    <w:rsid w:val="00280B3A"/>
    <w:rsid w:val="00281BAF"/>
    <w:rsid w:val="00281EA9"/>
    <w:rsid w:val="002821C5"/>
    <w:rsid w:val="00282AA5"/>
    <w:rsid w:val="00282D73"/>
    <w:rsid w:val="00283097"/>
    <w:rsid w:val="0028323B"/>
    <w:rsid w:val="00283E55"/>
    <w:rsid w:val="0028416B"/>
    <w:rsid w:val="002843CA"/>
    <w:rsid w:val="002845F8"/>
    <w:rsid w:val="002849D2"/>
    <w:rsid w:val="00284EDA"/>
    <w:rsid w:val="002850C7"/>
    <w:rsid w:val="00285471"/>
    <w:rsid w:val="00285BC8"/>
    <w:rsid w:val="002865AB"/>
    <w:rsid w:val="00286646"/>
    <w:rsid w:val="00286742"/>
    <w:rsid w:val="002868D7"/>
    <w:rsid w:val="00286D93"/>
    <w:rsid w:val="00287239"/>
    <w:rsid w:val="002878B0"/>
    <w:rsid w:val="00287CE1"/>
    <w:rsid w:val="00287ED6"/>
    <w:rsid w:val="0029076E"/>
    <w:rsid w:val="00290C23"/>
    <w:rsid w:val="00290D43"/>
    <w:rsid w:val="00291948"/>
    <w:rsid w:val="00291967"/>
    <w:rsid w:val="00291BD7"/>
    <w:rsid w:val="00291DAB"/>
    <w:rsid w:val="00292074"/>
    <w:rsid w:val="0029218A"/>
    <w:rsid w:val="002931BE"/>
    <w:rsid w:val="002931CE"/>
    <w:rsid w:val="00293604"/>
    <w:rsid w:val="00293651"/>
    <w:rsid w:val="00293678"/>
    <w:rsid w:val="002936F8"/>
    <w:rsid w:val="00294039"/>
    <w:rsid w:val="0029404D"/>
    <w:rsid w:val="00294306"/>
    <w:rsid w:val="00294C76"/>
    <w:rsid w:val="00294F39"/>
    <w:rsid w:val="00295097"/>
    <w:rsid w:val="00295CF5"/>
    <w:rsid w:val="00295EE8"/>
    <w:rsid w:val="002962D4"/>
    <w:rsid w:val="002964F8"/>
    <w:rsid w:val="00296B51"/>
    <w:rsid w:val="0029708E"/>
    <w:rsid w:val="0029742A"/>
    <w:rsid w:val="002976B3"/>
    <w:rsid w:val="0029775C"/>
    <w:rsid w:val="00297867"/>
    <w:rsid w:val="00297B8D"/>
    <w:rsid w:val="00297D8F"/>
    <w:rsid w:val="00297F68"/>
    <w:rsid w:val="002A0659"/>
    <w:rsid w:val="002A0B25"/>
    <w:rsid w:val="002A0E3D"/>
    <w:rsid w:val="002A1123"/>
    <w:rsid w:val="002A17D8"/>
    <w:rsid w:val="002A18B7"/>
    <w:rsid w:val="002A1D95"/>
    <w:rsid w:val="002A24FC"/>
    <w:rsid w:val="002A25AF"/>
    <w:rsid w:val="002A299C"/>
    <w:rsid w:val="002A2B70"/>
    <w:rsid w:val="002A2D17"/>
    <w:rsid w:val="002A3038"/>
    <w:rsid w:val="002A3775"/>
    <w:rsid w:val="002A3B6D"/>
    <w:rsid w:val="002A3CE6"/>
    <w:rsid w:val="002A3E0B"/>
    <w:rsid w:val="002A3E8E"/>
    <w:rsid w:val="002A3F7D"/>
    <w:rsid w:val="002A4352"/>
    <w:rsid w:val="002A47FF"/>
    <w:rsid w:val="002A4F84"/>
    <w:rsid w:val="002A51A7"/>
    <w:rsid w:val="002A6749"/>
    <w:rsid w:val="002A6E04"/>
    <w:rsid w:val="002A6EBD"/>
    <w:rsid w:val="002A71C1"/>
    <w:rsid w:val="002A722A"/>
    <w:rsid w:val="002A73D2"/>
    <w:rsid w:val="002A74DD"/>
    <w:rsid w:val="002A7BBD"/>
    <w:rsid w:val="002A7D90"/>
    <w:rsid w:val="002B013E"/>
    <w:rsid w:val="002B03E3"/>
    <w:rsid w:val="002B0525"/>
    <w:rsid w:val="002B1A7E"/>
    <w:rsid w:val="002B1EE4"/>
    <w:rsid w:val="002B21F4"/>
    <w:rsid w:val="002B2634"/>
    <w:rsid w:val="002B2644"/>
    <w:rsid w:val="002B2D7B"/>
    <w:rsid w:val="002B2DB9"/>
    <w:rsid w:val="002B32AF"/>
    <w:rsid w:val="002B3DA5"/>
    <w:rsid w:val="002B4E86"/>
    <w:rsid w:val="002B511D"/>
    <w:rsid w:val="002B518A"/>
    <w:rsid w:val="002B534D"/>
    <w:rsid w:val="002B5F76"/>
    <w:rsid w:val="002B6156"/>
    <w:rsid w:val="002B6601"/>
    <w:rsid w:val="002B6866"/>
    <w:rsid w:val="002B6ABD"/>
    <w:rsid w:val="002B6BE3"/>
    <w:rsid w:val="002B733D"/>
    <w:rsid w:val="002B7EF6"/>
    <w:rsid w:val="002B7F75"/>
    <w:rsid w:val="002C01C2"/>
    <w:rsid w:val="002C0226"/>
    <w:rsid w:val="002C04CC"/>
    <w:rsid w:val="002C071D"/>
    <w:rsid w:val="002C0757"/>
    <w:rsid w:val="002C0A49"/>
    <w:rsid w:val="002C0A8E"/>
    <w:rsid w:val="002C0B44"/>
    <w:rsid w:val="002C0DB9"/>
    <w:rsid w:val="002C0F59"/>
    <w:rsid w:val="002C0FE3"/>
    <w:rsid w:val="002C1271"/>
    <w:rsid w:val="002C164F"/>
    <w:rsid w:val="002C1657"/>
    <w:rsid w:val="002C1AAD"/>
    <w:rsid w:val="002C1C34"/>
    <w:rsid w:val="002C1F39"/>
    <w:rsid w:val="002C20C7"/>
    <w:rsid w:val="002C20FB"/>
    <w:rsid w:val="002C2171"/>
    <w:rsid w:val="002C21F4"/>
    <w:rsid w:val="002C2469"/>
    <w:rsid w:val="002C246D"/>
    <w:rsid w:val="002C2523"/>
    <w:rsid w:val="002C282A"/>
    <w:rsid w:val="002C2C41"/>
    <w:rsid w:val="002C2F35"/>
    <w:rsid w:val="002C31C3"/>
    <w:rsid w:val="002C33EA"/>
    <w:rsid w:val="002C343A"/>
    <w:rsid w:val="002C3852"/>
    <w:rsid w:val="002C3941"/>
    <w:rsid w:val="002C3AB8"/>
    <w:rsid w:val="002C3D80"/>
    <w:rsid w:val="002C40D7"/>
    <w:rsid w:val="002C41DA"/>
    <w:rsid w:val="002C43B1"/>
    <w:rsid w:val="002C4803"/>
    <w:rsid w:val="002C5635"/>
    <w:rsid w:val="002C5EBA"/>
    <w:rsid w:val="002C6128"/>
    <w:rsid w:val="002C61FE"/>
    <w:rsid w:val="002C62A9"/>
    <w:rsid w:val="002C71CD"/>
    <w:rsid w:val="002C793F"/>
    <w:rsid w:val="002C7ECB"/>
    <w:rsid w:val="002D014E"/>
    <w:rsid w:val="002D03B9"/>
    <w:rsid w:val="002D0499"/>
    <w:rsid w:val="002D099E"/>
    <w:rsid w:val="002D0B7C"/>
    <w:rsid w:val="002D1316"/>
    <w:rsid w:val="002D1519"/>
    <w:rsid w:val="002D18B0"/>
    <w:rsid w:val="002D1F9A"/>
    <w:rsid w:val="002D20D3"/>
    <w:rsid w:val="002D2554"/>
    <w:rsid w:val="002D29F8"/>
    <w:rsid w:val="002D2F57"/>
    <w:rsid w:val="002D32B3"/>
    <w:rsid w:val="002D3D82"/>
    <w:rsid w:val="002D4202"/>
    <w:rsid w:val="002D4748"/>
    <w:rsid w:val="002D48F9"/>
    <w:rsid w:val="002D527A"/>
    <w:rsid w:val="002D5FA4"/>
    <w:rsid w:val="002D61D2"/>
    <w:rsid w:val="002D61E4"/>
    <w:rsid w:val="002D645C"/>
    <w:rsid w:val="002D6A60"/>
    <w:rsid w:val="002D6CAE"/>
    <w:rsid w:val="002D6DBC"/>
    <w:rsid w:val="002D6E10"/>
    <w:rsid w:val="002D700E"/>
    <w:rsid w:val="002D7563"/>
    <w:rsid w:val="002D77AE"/>
    <w:rsid w:val="002D7A74"/>
    <w:rsid w:val="002D7EA8"/>
    <w:rsid w:val="002E046B"/>
    <w:rsid w:val="002E0B2E"/>
    <w:rsid w:val="002E0D9D"/>
    <w:rsid w:val="002E0DFF"/>
    <w:rsid w:val="002E0EFC"/>
    <w:rsid w:val="002E0FB9"/>
    <w:rsid w:val="002E10E0"/>
    <w:rsid w:val="002E12FE"/>
    <w:rsid w:val="002E137C"/>
    <w:rsid w:val="002E16BE"/>
    <w:rsid w:val="002E1779"/>
    <w:rsid w:val="002E190E"/>
    <w:rsid w:val="002E3077"/>
    <w:rsid w:val="002E3A68"/>
    <w:rsid w:val="002E3E6E"/>
    <w:rsid w:val="002E460A"/>
    <w:rsid w:val="002E4731"/>
    <w:rsid w:val="002E49A5"/>
    <w:rsid w:val="002E516D"/>
    <w:rsid w:val="002E5833"/>
    <w:rsid w:val="002E6434"/>
    <w:rsid w:val="002E658F"/>
    <w:rsid w:val="002E66B7"/>
    <w:rsid w:val="002E687E"/>
    <w:rsid w:val="002E72F7"/>
    <w:rsid w:val="002E7D8E"/>
    <w:rsid w:val="002F0787"/>
    <w:rsid w:val="002F09B0"/>
    <w:rsid w:val="002F0CE6"/>
    <w:rsid w:val="002F0F00"/>
    <w:rsid w:val="002F10FD"/>
    <w:rsid w:val="002F1283"/>
    <w:rsid w:val="002F15B1"/>
    <w:rsid w:val="002F1DE4"/>
    <w:rsid w:val="002F20EE"/>
    <w:rsid w:val="002F2174"/>
    <w:rsid w:val="002F22F9"/>
    <w:rsid w:val="002F238D"/>
    <w:rsid w:val="002F2CEC"/>
    <w:rsid w:val="002F2F30"/>
    <w:rsid w:val="002F31D0"/>
    <w:rsid w:val="002F32C2"/>
    <w:rsid w:val="002F384F"/>
    <w:rsid w:val="002F393C"/>
    <w:rsid w:val="002F3E3C"/>
    <w:rsid w:val="002F3F22"/>
    <w:rsid w:val="002F40D6"/>
    <w:rsid w:val="002F440C"/>
    <w:rsid w:val="002F47C5"/>
    <w:rsid w:val="002F4B6B"/>
    <w:rsid w:val="002F4CE9"/>
    <w:rsid w:val="002F5156"/>
    <w:rsid w:val="002F5E80"/>
    <w:rsid w:val="002F5F64"/>
    <w:rsid w:val="002F6502"/>
    <w:rsid w:val="002F66C9"/>
    <w:rsid w:val="002F6CE1"/>
    <w:rsid w:val="002F7131"/>
    <w:rsid w:val="00300167"/>
    <w:rsid w:val="003002BF"/>
    <w:rsid w:val="003004E6"/>
    <w:rsid w:val="00300700"/>
    <w:rsid w:val="00300F19"/>
    <w:rsid w:val="00301CB1"/>
    <w:rsid w:val="00302088"/>
    <w:rsid w:val="003020DC"/>
    <w:rsid w:val="00302B79"/>
    <w:rsid w:val="00302C63"/>
    <w:rsid w:val="00302DD5"/>
    <w:rsid w:val="00303242"/>
    <w:rsid w:val="003033B0"/>
    <w:rsid w:val="003035CE"/>
    <w:rsid w:val="00303EBC"/>
    <w:rsid w:val="003043E8"/>
    <w:rsid w:val="003046E2"/>
    <w:rsid w:val="00304B09"/>
    <w:rsid w:val="003052B4"/>
    <w:rsid w:val="00305789"/>
    <w:rsid w:val="00305791"/>
    <w:rsid w:val="00305839"/>
    <w:rsid w:val="00305ABB"/>
    <w:rsid w:val="00306347"/>
    <w:rsid w:val="0030658E"/>
    <w:rsid w:val="00307C76"/>
    <w:rsid w:val="00307CF0"/>
    <w:rsid w:val="00307D82"/>
    <w:rsid w:val="00307EB7"/>
    <w:rsid w:val="00307F37"/>
    <w:rsid w:val="00307FDD"/>
    <w:rsid w:val="00310246"/>
    <w:rsid w:val="00310BD2"/>
    <w:rsid w:val="00310D79"/>
    <w:rsid w:val="003112E8"/>
    <w:rsid w:val="003114CD"/>
    <w:rsid w:val="00311ACB"/>
    <w:rsid w:val="0031247B"/>
    <w:rsid w:val="00312976"/>
    <w:rsid w:val="00313525"/>
    <w:rsid w:val="0031371F"/>
    <w:rsid w:val="0031397B"/>
    <w:rsid w:val="00313ED2"/>
    <w:rsid w:val="003143D2"/>
    <w:rsid w:val="00314ABC"/>
    <w:rsid w:val="00314F5A"/>
    <w:rsid w:val="003151DC"/>
    <w:rsid w:val="00315283"/>
    <w:rsid w:val="00315C99"/>
    <w:rsid w:val="003160A8"/>
    <w:rsid w:val="003166A7"/>
    <w:rsid w:val="00316823"/>
    <w:rsid w:val="003168A6"/>
    <w:rsid w:val="00316CBD"/>
    <w:rsid w:val="00316CD8"/>
    <w:rsid w:val="00317483"/>
    <w:rsid w:val="003176C2"/>
    <w:rsid w:val="003177A3"/>
    <w:rsid w:val="00317A47"/>
    <w:rsid w:val="00317EB4"/>
    <w:rsid w:val="0032029C"/>
    <w:rsid w:val="0032066A"/>
    <w:rsid w:val="00320D5E"/>
    <w:rsid w:val="00320E02"/>
    <w:rsid w:val="00320FC8"/>
    <w:rsid w:val="003210E9"/>
    <w:rsid w:val="00321588"/>
    <w:rsid w:val="00321A2A"/>
    <w:rsid w:val="00321E66"/>
    <w:rsid w:val="00321E6B"/>
    <w:rsid w:val="00321F66"/>
    <w:rsid w:val="0032206F"/>
    <w:rsid w:val="0032224B"/>
    <w:rsid w:val="00322BDF"/>
    <w:rsid w:val="00322E09"/>
    <w:rsid w:val="00322F4D"/>
    <w:rsid w:val="00323517"/>
    <w:rsid w:val="00323854"/>
    <w:rsid w:val="00324524"/>
    <w:rsid w:val="00324A72"/>
    <w:rsid w:val="00324AEB"/>
    <w:rsid w:val="00324C95"/>
    <w:rsid w:val="00324CC8"/>
    <w:rsid w:val="00324D5E"/>
    <w:rsid w:val="00324E5F"/>
    <w:rsid w:val="003257C9"/>
    <w:rsid w:val="00325EFA"/>
    <w:rsid w:val="00325F1A"/>
    <w:rsid w:val="00326042"/>
    <w:rsid w:val="0032629A"/>
    <w:rsid w:val="003268F3"/>
    <w:rsid w:val="00326B92"/>
    <w:rsid w:val="00326D44"/>
    <w:rsid w:val="003270BF"/>
    <w:rsid w:val="00327AF2"/>
    <w:rsid w:val="00330574"/>
    <w:rsid w:val="00330716"/>
    <w:rsid w:val="003307AC"/>
    <w:rsid w:val="003308E7"/>
    <w:rsid w:val="003309C1"/>
    <w:rsid w:val="00331263"/>
    <w:rsid w:val="003313E1"/>
    <w:rsid w:val="00331609"/>
    <w:rsid w:val="00331735"/>
    <w:rsid w:val="00331E6D"/>
    <w:rsid w:val="0033247C"/>
    <w:rsid w:val="00332981"/>
    <w:rsid w:val="00332A4A"/>
    <w:rsid w:val="00332B5B"/>
    <w:rsid w:val="00332B66"/>
    <w:rsid w:val="00332E04"/>
    <w:rsid w:val="003331E0"/>
    <w:rsid w:val="003338CC"/>
    <w:rsid w:val="00333CE6"/>
    <w:rsid w:val="00333E8F"/>
    <w:rsid w:val="00333FCE"/>
    <w:rsid w:val="00334273"/>
    <w:rsid w:val="003343A3"/>
    <w:rsid w:val="00334E40"/>
    <w:rsid w:val="00335099"/>
    <w:rsid w:val="00335115"/>
    <w:rsid w:val="00335515"/>
    <w:rsid w:val="00335906"/>
    <w:rsid w:val="00335C67"/>
    <w:rsid w:val="00335F45"/>
    <w:rsid w:val="00336E3B"/>
    <w:rsid w:val="00337219"/>
    <w:rsid w:val="003378E5"/>
    <w:rsid w:val="00337A04"/>
    <w:rsid w:val="00337BDC"/>
    <w:rsid w:val="00337DD7"/>
    <w:rsid w:val="00337FCD"/>
    <w:rsid w:val="0034063E"/>
    <w:rsid w:val="00340C63"/>
    <w:rsid w:val="0034196D"/>
    <w:rsid w:val="003425B3"/>
    <w:rsid w:val="003427D6"/>
    <w:rsid w:val="003429E0"/>
    <w:rsid w:val="00342A14"/>
    <w:rsid w:val="003436EB"/>
    <w:rsid w:val="003437FB"/>
    <w:rsid w:val="00343B4F"/>
    <w:rsid w:val="00344274"/>
    <w:rsid w:val="003442CC"/>
    <w:rsid w:val="00344541"/>
    <w:rsid w:val="003450B5"/>
    <w:rsid w:val="003451A0"/>
    <w:rsid w:val="00345EB8"/>
    <w:rsid w:val="00345F22"/>
    <w:rsid w:val="00346209"/>
    <w:rsid w:val="0034694F"/>
    <w:rsid w:val="00346A72"/>
    <w:rsid w:val="00346E18"/>
    <w:rsid w:val="003471A8"/>
    <w:rsid w:val="0034736B"/>
    <w:rsid w:val="003479CB"/>
    <w:rsid w:val="00347B01"/>
    <w:rsid w:val="003502DF"/>
    <w:rsid w:val="00350EA4"/>
    <w:rsid w:val="00350F51"/>
    <w:rsid w:val="00351098"/>
    <w:rsid w:val="00351232"/>
    <w:rsid w:val="00352037"/>
    <w:rsid w:val="0035226D"/>
    <w:rsid w:val="0035238D"/>
    <w:rsid w:val="00352433"/>
    <w:rsid w:val="0035259F"/>
    <w:rsid w:val="00352846"/>
    <w:rsid w:val="0035353B"/>
    <w:rsid w:val="003539E2"/>
    <w:rsid w:val="00353C27"/>
    <w:rsid w:val="00353D8C"/>
    <w:rsid w:val="00353ECE"/>
    <w:rsid w:val="0035433C"/>
    <w:rsid w:val="003548E8"/>
    <w:rsid w:val="003549A0"/>
    <w:rsid w:val="00354F41"/>
    <w:rsid w:val="00355228"/>
    <w:rsid w:val="00355699"/>
    <w:rsid w:val="00355759"/>
    <w:rsid w:val="00355DDF"/>
    <w:rsid w:val="0035644E"/>
    <w:rsid w:val="003567D4"/>
    <w:rsid w:val="00356809"/>
    <w:rsid w:val="00356BB9"/>
    <w:rsid w:val="00356E04"/>
    <w:rsid w:val="0035778D"/>
    <w:rsid w:val="0035781D"/>
    <w:rsid w:val="003578BD"/>
    <w:rsid w:val="003601FC"/>
    <w:rsid w:val="00360415"/>
    <w:rsid w:val="0036056C"/>
    <w:rsid w:val="00360775"/>
    <w:rsid w:val="00360A1B"/>
    <w:rsid w:val="00360C79"/>
    <w:rsid w:val="00360CDD"/>
    <w:rsid w:val="00360E09"/>
    <w:rsid w:val="00360F07"/>
    <w:rsid w:val="003610ED"/>
    <w:rsid w:val="00361703"/>
    <w:rsid w:val="00361B9E"/>
    <w:rsid w:val="003625CD"/>
    <w:rsid w:val="00362B0A"/>
    <w:rsid w:val="00362E07"/>
    <w:rsid w:val="00363334"/>
    <w:rsid w:val="0036342C"/>
    <w:rsid w:val="00363962"/>
    <w:rsid w:val="00363AB1"/>
    <w:rsid w:val="00364439"/>
    <w:rsid w:val="00364915"/>
    <w:rsid w:val="00364942"/>
    <w:rsid w:val="003649F9"/>
    <w:rsid w:val="00364F44"/>
    <w:rsid w:val="00365197"/>
    <w:rsid w:val="00365809"/>
    <w:rsid w:val="00365A02"/>
    <w:rsid w:val="00365D42"/>
    <w:rsid w:val="003665BE"/>
    <w:rsid w:val="0036682D"/>
    <w:rsid w:val="00367203"/>
    <w:rsid w:val="003672B3"/>
    <w:rsid w:val="003675B6"/>
    <w:rsid w:val="003677DE"/>
    <w:rsid w:val="003702D9"/>
    <w:rsid w:val="0037043F"/>
    <w:rsid w:val="00370EA1"/>
    <w:rsid w:val="00370FA0"/>
    <w:rsid w:val="003711A8"/>
    <w:rsid w:val="003713E4"/>
    <w:rsid w:val="003716E9"/>
    <w:rsid w:val="003717FF"/>
    <w:rsid w:val="00371B8D"/>
    <w:rsid w:val="00371DC3"/>
    <w:rsid w:val="00371E82"/>
    <w:rsid w:val="00371F3D"/>
    <w:rsid w:val="003721FF"/>
    <w:rsid w:val="00372542"/>
    <w:rsid w:val="00372573"/>
    <w:rsid w:val="00372BA9"/>
    <w:rsid w:val="00373031"/>
    <w:rsid w:val="00373326"/>
    <w:rsid w:val="0037393B"/>
    <w:rsid w:val="00373A83"/>
    <w:rsid w:val="00373B88"/>
    <w:rsid w:val="00373C8F"/>
    <w:rsid w:val="00373E5B"/>
    <w:rsid w:val="00373EF2"/>
    <w:rsid w:val="003743B0"/>
    <w:rsid w:val="003743CE"/>
    <w:rsid w:val="00374623"/>
    <w:rsid w:val="00374B33"/>
    <w:rsid w:val="00374C3F"/>
    <w:rsid w:val="00374E86"/>
    <w:rsid w:val="003750AD"/>
    <w:rsid w:val="003758E1"/>
    <w:rsid w:val="0037593A"/>
    <w:rsid w:val="00375B12"/>
    <w:rsid w:val="0037630E"/>
    <w:rsid w:val="00376341"/>
    <w:rsid w:val="003766DB"/>
    <w:rsid w:val="00376774"/>
    <w:rsid w:val="00376816"/>
    <w:rsid w:val="00376948"/>
    <w:rsid w:val="00376CC8"/>
    <w:rsid w:val="00376DB5"/>
    <w:rsid w:val="00376EFB"/>
    <w:rsid w:val="003772FC"/>
    <w:rsid w:val="00377540"/>
    <w:rsid w:val="00377623"/>
    <w:rsid w:val="003777E6"/>
    <w:rsid w:val="00377F8D"/>
    <w:rsid w:val="0038028C"/>
    <w:rsid w:val="00380BD0"/>
    <w:rsid w:val="00380C11"/>
    <w:rsid w:val="00380FB2"/>
    <w:rsid w:val="00381650"/>
    <w:rsid w:val="00381F2D"/>
    <w:rsid w:val="0038220C"/>
    <w:rsid w:val="00382AE3"/>
    <w:rsid w:val="00382D90"/>
    <w:rsid w:val="0038339E"/>
    <w:rsid w:val="00383611"/>
    <w:rsid w:val="003839F1"/>
    <w:rsid w:val="00383E7F"/>
    <w:rsid w:val="00384162"/>
    <w:rsid w:val="00384A51"/>
    <w:rsid w:val="0038503B"/>
    <w:rsid w:val="00385590"/>
    <w:rsid w:val="00385658"/>
    <w:rsid w:val="003858CF"/>
    <w:rsid w:val="00385D52"/>
    <w:rsid w:val="00385E27"/>
    <w:rsid w:val="003866FB"/>
    <w:rsid w:val="00386779"/>
    <w:rsid w:val="0038677B"/>
    <w:rsid w:val="0038686F"/>
    <w:rsid w:val="00386D8D"/>
    <w:rsid w:val="003871EB"/>
    <w:rsid w:val="003878CF"/>
    <w:rsid w:val="003902BB"/>
    <w:rsid w:val="003907E6"/>
    <w:rsid w:val="00390B49"/>
    <w:rsid w:val="003910CC"/>
    <w:rsid w:val="00391138"/>
    <w:rsid w:val="0039126B"/>
    <w:rsid w:val="00391541"/>
    <w:rsid w:val="00391B6D"/>
    <w:rsid w:val="00391D29"/>
    <w:rsid w:val="00392143"/>
    <w:rsid w:val="003923CC"/>
    <w:rsid w:val="00392913"/>
    <w:rsid w:val="00392915"/>
    <w:rsid w:val="00392DFD"/>
    <w:rsid w:val="003935A4"/>
    <w:rsid w:val="003938B3"/>
    <w:rsid w:val="00393BE5"/>
    <w:rsid w:val="00394282"/>
    <w:rsid w:val="00394771"/>
    <w:rsid w:val="00394C76"/>
    <w:rsid w:val="00394F32"/>
    <w:rsid w:val="00395928"/>
    <w:rsid w:val="00395A0C"/>
    <w:rsid w:val="00395C1A"/>
    <w:rsid w:val="003964E1"/>
    <w:rsid w:val="0039670D"/>
    <w:rsid w:val="00396989"/>
    <w:rsid w:val="00396B04"/>
    <w:rsid w:val="00397344"/>
    <w:rsid w:val="003976BC"/>
    <w:rsid w:val="0039782C"/>
    <w:rsid w:val="0039788E"/>
    <w:rsid w:val="0039796A"/>
    <w:rsid w:val="00397CFC"/>
    <w:rsid w:val="00397D0F"/>
    <w:rsid w:val="00397FF3"/>
    <w:rsid w:val="003A00E0"/>
    <w:rsid w:val="003A01B0"/>
    <w:rsid w:val="003A0384"/>
    <w:rsid w:val="003A05BC"/>
    <w:rsid w:val="003A0D88"/>
    <w:rsid w:val="003A0E86"/>
    <w:rsid w:val="003A1879"/>
    <w:rsid w:val="003A1AC4"/>
    <w:rsid w:val="003A1D3D"/>
    <w:rsid w:val="003A1FC9"/>
    <w:rsid w:val="003A22BB"/>
    <w:rsid w:val="003A2FBA"/>
    <w:rsid w:val="003A395C"/>
    <w:rsid w:val="003A3A8D"/>
    <w:rsid w:val="003A3ABD"/>
    <w:rsid w:val="003A4078"/>
    <w:rsid w:val="003A40F8"/>
    <w:rsid w:val="003A4393"/>
    <w:rsid w:val="003A4414"/>
    <w:rsid w:val="003A4826"/>
    <w:rsid w:val="003A5298"/>
    <w:rsid w:val="003A543B"/>
    <w:rsid w:val="003A5969"/>
    <w:rsid w:val="003A6151"/>
    <w:rsid w:val="003A6735"/>
    <w:rsid w:val="003A69D0"/>
    <w:rsid w:val="003A7322"/>
    <w:rsid w:val="003A73B8"/>
    <w:rsid w:val="003A768A"/>
    <w:rsid w:val="003A7B72"/>
    <w:rsid w:val="003A7B94"/>
    <w:rsid w:val="003A7C2B"/>
    <w:rsid w:val="003B00CA"/>
    <w:rsid w:val="003B0B7C"/>
    <w:rsid w:val="003B139A"/>
    <w:rsid w:val="003B201F"/>
    <w:rsid w:val="003B257C"/>
    <w:rsid w:val="003B295D"/>
    <w:rsid w:val="003B2BD2"/>
    <w:rsid w:val="003B2E73"/>
    <w:rsid w:val="003B2F65"/>
    <w:rsid w:val="003B43FC"/>
    <w:rsid w:val="003B4BE3"/>
    <w:rsid w:val="003B51F8"/>
    <w:rsid w:val="003B51FD"/>
    <w:rsid w:val="003B5539"/>
    <w:rsid w:val="003B5B2D"/>
    <w:rsid w:val="003B5B9E"/>
    <w:rsid w:val="003B5D96"/>
    <w:rsid w:val="003B632C"/>
    <w:rsid w:val="003B6523"/>
    <w:rsid w:val="003B6614"/>
    <w:rsid w:val="003B68F1"/>
    <w:rsid w:val="003B6B94"/>
    <w:rsid w:val="003B6CD2"/>
    <w:rsid w:val="003B744F"/>
    <w:rsid w:val="003B76A8"/>
    <w:rsid w:val="003B777D"/>
    <w:rsid w:val="003B77A5"/>
    <w:rsid w:val="003B7C71"/>
    <w:rsid w:val="003B7D74"/>
    <w:rsid w:val="003C010D"/>
    <w:rsid w:val="003C0449"/>
    <w:rsid w:val="003C0761"/>
    <w:rsid w:val="003C09A7"/>
    <w:rsid w:val="003C0BAF"/>
    <w:rsid w:val="003C0FE3"/>
    <w:rsid w:val="003C151D"/>
    <w:rsid w:val="003C18CA"/>
    <w:rsid w:val="003C1921"/>
    <w:rsid w:val="003C1976"/>
    <w:rsid w:val="003C1B83"/>
    <w:rsid w:val="003C1F3D"/>
    <w:rsid w:val="003C1F81"/>
    <w:rsid w:val="003C213F"/>
    <w:rsid w:val="003C2C70"/>
    <w:rsid w:val="003C31B9"/>
    <w:rsid w:val="003C3434"/>
    <w:rsid w:val="003C36DC"/>
    <w:rsid w:val="003C41A4"/>
    <w:rsid w:val="003C448A"/>
    <w:rsid w:val="003C4AB9"/>
    <w:rsid w:val="003C4CE9"/>
    <w:rsid w:val="003C4ED1"/>
    <w:rsid w:val="003C5832"/>
    <w:rsid w:val="003C59A0"/>
    <w:rsid w:val="003C59FB"/>
    <w:rsid w:val="003C62C7"/>
    <w:rsid w:val="003C662B"/>
    <w:rsid w:val="003C68BD"/>
    <w:rsid w:val="003C6D38"/>
    <w:rsid w:val="003C6FF1"/>
    <w:rsid w:val="003C79E2"/>
    <w:rsid w:val="003C7B2E"/>
    <w:rsid w:val="003C7F20"/>
    <w:rsid w:val="003D00E6"/>
    <w:rsid w:val="003D03C6"/>
    <w:rsid w:val="003D03D6"/>
    <w:rsid w:val="003D06E8"/>
    <w:rsid w:val="003D0850"/>
    <w:rsid w:val="003D0BA5"/>
    <w:rsid w:val="003D0E4A"/>
    <w:rsid w:val="003D105A"/>
    <w:rsid w:val="003D12CA"/>
    <w:rsid w:val="003D13B5"/>
    <w:rsid w:val="003D140B"/>
    <w:rsid w:val="003D1B22"/>
    <w:rsid w:val="003D2BC7"/>
    <w:rsid w:val="003D3539"/>
    <w:rsid w:val="003D3DC3"/>
    <w:rsid w:val="003D3F73"/>
    <w:rsid w:val="003D573C"/>
    <w:rsid w:val="003D5E47"/>
    <w:rsid w:val="003D5F03"/>
    <w:rsid w:val="003D646E"/>
    <w:rsid w:val="003D6C2D"/>
    <w:rsid w:val="003D6D0A"/>
    <w:rsid w:val="003D711F"/>
    <w:rsid w:val="003D759A"/>
    <w:rsid w:val="003D772A"/>
    <w:rsid w:val="003D7B7A"/>
    <w:rsid w:val="003D7E31"/>
    <w:rsid w:val="003D7F97"/>
    <w:rsid w:val="003E0097"/>
    <w:rsid w:val="003E0202"/>
    <w:rsid w:val="003E035E"/>
    <w:rsid w:val="003E05D2"/>
    <w:rsid w:val="003E06AD"/>
    <w:rsid w:val="003E0C6F"/>
    <w:rsid w:val="003E0EA6"/>
    <w:rsid w:val="003E13EC"/>
    <w:rsid w:val="003E201B"/>
    <w:rsid w:val="003E214E"/>
    <w:rsid w:val="003E251B"/>
    <w:rsid w:val="003E2746"/>
    <w:rsid w:val="003E3065"/>
    <w:rsid w:val="003E3232"/>
    <w:rsid w:val="003E33F2"/>
    <w:rsid w:val="003E3541"/>
    <w:rsid w:val="003E369A"/>
    <w:rsid w:val="003E37BD"/>
    <w:rsid w:val="003E38C9"/>
    <w:rsid w:val="003E3988"/>
    <w:rsid w:val="003E3B25"/>
    <w:rsid w:val="003E4094"/>
    <w:rsid w:val="003E4302"/>
    <w:rsid w:val="003E453F"/>
    <w:rsid w:val="003E49AB"/>
    <w:rsid w:val="003E4CF2"/>
    <w:rsid w:val="003E5647"/>
    <w:rsid w:val="003E63A0"/>
    <w:rsid w:val="003E6455"/>
    <w:rsid w:val="003E65CF"/>
    <w:rsid w:val="003E6715"/>
    <w:rsid w:val="003E71AC"/>
    <w:rsid w:val="003E71BE"/>
    <w:rsid w:val="003E7469"/>
    <w:rsid w:val="003E766E"/>
    <w:rsid w:val="003E793D"/>
    <w:rsid w:val="003E7BF2"/>
    <w:rsid w:val="003F023D"/>
    <w:rsid w:val="003F0EE4"/>
    <w:rsid w:val="003F114E"/>
    <w:rsid w:val="003F1ADE"/>
    <w:rsid w:val="003F1E25"/>
    <w:rsid w:val="003F2057"/>
    <w:rsid w:val="003F20E4"/>
    <w:rsid w:val="003F23C3"/>
    <w:rsid w:val="003F2700"/>
    <w:rsid w:val="003F2750"/>
    <w:rsid w:val="003F2920"/>
    <w:rsid w:val="003F2BBA"/>
    <w:rsid w:val="003F2F5C"/>
    <w:rsid w:val="003F320B"/>
    <w:rsid w:val="003F38DD"/>
    <w:rsid w:val="003F43C5"/>
    <w:rsid w:val="003F5408"/>
    <w:rsid w:val="003F58C7"/>
    <w:rsid w:val="003F6170"/>
    <w:rsid w:val="003F64EA"/>
    <w:rsid w:val="003F6A83"/>
    <w:rsid w:val="003F6C3A"/>
    <w:rsid w:val="003F72EF"/>
    <w:rsid w:val="003F737E"/>
    <w:rsid w:val="003F791A"/>
    <w:rsid w:val="003F7C78"/>
    <w:rsid w:val="003F7F38"/>
    <w:rsid w:val="004000E4"/>
    <w:rsid w:val="004002E2"/>
    <w:rsid w:val="004002FE"/>
    <w:rsid w:val="00400396"/>
    <w:rsid w:val="00401575"/>
    <w:rsid w:val="00401583"/>
    <w:rsid w:val="0040164E"/>
    <w:rsid w:val="0040183D"/>
    <w:rsid w:val="00401B7A"/>
    <w:rsid w:val="00401D02"/>
    <w:rsid w:val="00401D10"/>
    <w:rsid w:val="00403476"/>
    <w:rsid w:val="004037F5"/>
    <w:rsid w:val="00403C76"/>
    <w:rsid w:val="00404218"/>
    <w:rsid w:val="00404A26"/>
    <w:rsid w:val="00404ADD"/>
    <w:rsid w:val="00404F7B"/>
    <w:rsid w:val="00405261"/>
    <w:rsid w:val="00405D76"/>
    <w:rsid w:val="00405EAC"/>
    <w:rsid w:val="00405EC5"/>
    <w:rsid w:val="00406532"/>
    <w:rsid w:val="00406DCE"/>
    <w:rsid w:val="00407011"/>
    <w:rsid w:val="00407170"/>
    <w:rsid w:val="004073C9"/>
    <w:rsid w:val="0040756E"/>
    <w:rsid w:val="00407919"/>
    <w:rsid w:val="00407B0F"/>
    <w:rsid w:val="00407E98"/>
    <w:rsid w:val="004104E3"/>
    <w:rsid w:val="00410551"/>
    <w:rsid w:val="004106A4"/>
    <w:rsid w:val="004109F2"/>
    <w:rsid w:val="00410D4F"/>
    <w:rsid w:val="00410E54"/>
    <w:rsid w:val="00411348"/>
    <w:rsid w:val="00411C4D"/>
    <w:rsid w:val="0041201B"/>
    <w:rsid w:val="004121DA"/>
    <w:rsid w:val="00412235"/>
    <w:rsid w:val="00412729"/>
    <w:rsid w:val="004129D2"/>
    <w:rsid w:val="00412A15"/>
    <w:rsid w:val="00412ABC"/>
    <w:rsid w:val="00412ED6"/>
    <w:rsid w:val="00413189"/>
    <w:rsid w:val="00413440"/>
    <w:rsid w:val="00413856"/>
    <w:rsid w:val="004144CE"/>
    <w:rsid w:val="00414D7A"/>
    <w:rsid w:val="0041510C"/>
    <w:rsid w:val="004154E2"/>
    <w:rsid w:val="004159EC"/>
    <w:rsid w:val="004166A5"/>
    <w:rsid w:val="00417015"/>
    <w:rsid w:val="00417258"/>
    <w:rsid w:val="0041742A"/>
    <w:rsid w:val="0041766F"/>
    <w:rsid w:val="00417D9A"/>
    <w:rsid w:val="00420055"/>
    <w:rsid w:val="004206D9"/>
    <w:rsid w:val="00420A72"/>
    <w:rsid w:val="00420CE3"/>
    <w:rsid w:val="004211A5"/>
    <w:rsid w:val="00421268"/>
    <w:rsid w:val="004214B5"/>
    <w:rsid w:val="00421AF5"/>
    <w:rsid w:val="00421CD8"/>
    <w:rsid w:val="0042206B"/>
    <w:rsid w:val="0042361F"/>
    <w:rsid w:val="004239DF"/>
    <w:rsid w:val="004247C0"/>
    <w:rsid w:val="004256BF"/>
    <w:rsid w:val="00425AC7"/>
    <w:rsid w:val="00425AE8"/>
    <w:rsid w:val="00426331"/>
    <w:rsid w:val="004265D4"/>
    <w:rsid w:val="004268D1"/>
    <w:rsid w:val="00426D94"/>
    <w:rsid w:val="0042706A"/>
    <w:rsid w:val="00427680"/>
    <w:rsid w:val="00430789"/>
    <w:rsid w:val="00430911"/>
    <w:rsid w:val="00430D98"/>
    <w:rsid w:val="004317A5"/>
    <w:rsid w:val="00431A59"/>
    <w:rsid w:val="00431AE2"/>
    <w:rsid w:val="00431E92"/>
    <w:rsid w:val="00431F8D"/>
    <w:rsid w:val="0043204F"/>
    <w:rsid w:val="004321F6"/>
    <w:rsid w:val="0043226B"/>
    <w:rsid w:val="004324C0"/>
    <w:rsid w:val="00432865"/>
    <w:rsid w:val="00433143"/>
    <w:rsid w:val="00433243"/>
    <w:rsid w:val="004337A6"/>
    <w:rsid w:val="00433855"/>
    <w:rsid w:val="00434DB9"/>
    <w:rsid w:val="00435229"/>
    <w:rsid w:val="0043541E"/>
    <w:rsid w:val="00435F85"/>
    <w:rsid w:val="00436249"/>
    <w:rsid w:val="00436382"/>
    <w:rsid w:val="00436496"/>
    <w:rsid w:val="004364A1"/>
    <w:rsid w:val="00436940"/>
    <w:rsid w:val="00436C48"/>
    <w:rsid w:val="00436C97"/>
    <w:rsid w:val="00436D95"/>
    <w:rsid w:val="00436F73"/>
    <w:rsid w:val="004374A6"/>
    <w:rsid w:val="004375FE"/>
    <w:rsid w:val="004376E5"/>
    <w:rsid w:val="00437782"/>
    <w:rsid w:val="0043791B"/>
    <w:rsid w:val="0043798F"/>
    <w:rsid w:val="00437A80"/>
    <w:rsid w:val="00437AD1"/>
    <w:rsid w:val="00437CDA"/>
    <w:rsid w:val="00437CDF"/>
    <w:rsid w:val="004405D2"/>
    <w:rsid w:val="0044062F"/>
    <w:rsid w:val="004408CA"/>
    <w:rsid w:val="00440A1D"/>
    <w:rsid w:val="0044137B"/>
    <w:rsid w:val="004416BF"/>
    <w:rsid w:val="004418AC"/>
    <w:rsid w:val="00441B00"/>
    <w:rsid w:val="00441CA0"/>
    <w:rsid w:val="00442315"/>
    <w:rsid w:val="004425D9"/>
    <w:rsid w:val="00442AEC"/>
    <w:rsid w:val="00442D8E"/>
    <w:rsid w:val="00442E1E"/>
    <w:rsid w:val="00442FDF"/>
    <w:rsid w:val="004436E2"/>
    <w:rsid w:val="00443A53"/>
    <w:rsid w:val="00443CBE"/>
    <w:rsid w:val="004441E0"/>
    <w:rsid w:val="004442FB"/>
    <w:rsid w:val="00444382"/>
    <w:rsid w:val="004443A5"/>
    <w:rsid w:val="00444522"/>
    <w:rsid w:val="00444531"/>
    <w:rsid w:val="00444C57"/>
    <w:rsid w:val="00445BF8"/>
    <w:rsid w:val="00445C9F"/>
    <w:rsid w:val="00446133"/>
    <w:rsid w:val="00446463"/>
    <w:rsid w:val="0044668B"/>
    <w:rsid w:val="00446748"/>
    <w:rsid w:val="00446D73"/>
    <w:rsid w:val="00446DEC"/>
    <w:rsid w:val="00446E83"/>
    <w:rsid w:val="00447C5B"/>
    <w:rsid w:val="00447D2E"/>
    <w:rsid w:val="00447D5A"/>
    <w:rsid w:val="00447D82"/>
    <w:rsid w:val="004504F0"/>
    <w:rsid w:val="00450CF3"/>
    <w:rsid w:val="00451A13"/>
    <w:rsid w:val="00451D12"/>
    <w:rsid w:val="004521D0"/>
    <w:rsid w:val="00452206"/>
    <w:rsid w:val="004525AB"/>
    <w:rsid w:val="004527EB"/>
    <w:rsid w:val="00452CF9"/>
    <w:rsid w:val="00452F86"/>
    <w:rsid w:val="004530D5"/>
    <w:rsid w:val="0045336F"/>
    <w:rsid w:val="00453470"/>
    <w:rsid w:val="00453510"/>
    <w:rsid w:val="004537BE"/>
    <w:rsid w:val="00453894"/>
    <w:rsid w:val="00453A21"/>
    <w:rsid w:val="0045461F"/>
    <w:rsid w:val="00454BA9"/>
    <w:rsid w:val="004553A1"/>
    <w:rsid w:val="00455953"/>
    <w:rsid w:val="00455B15"/>
    <w:rsid w:val="00455EBC"/>
    <w:rsid w:val="00455FFC"/>
    <w:rsid w:val="004566BD"/>
    <w:rsid w:val="00456961"/>
    <w:rsid w:val="00456D72"/>
    <w:rsid w:val="00457081"/>
    <w:rsid w:val="004570DE"/>
    <w:rsid w:val="00457482"/>
    <w:rsid w:val="0045754A"/>
    <w:rsid w:val="00460173"/>
    <w:rsid w:val="004605FD"/>
    <w:rsid w:val="0046066B"/>
    <w:rsid w:val="00460E14"/>
    <w:rsid w:val="004611C2"/>
    <w:rsid w:val="00461451"/>
    <w:rsid w:val="00461612"/>
    <w:rsid w:val="004616C7"/>
    <w:rsid w:val="00461C6C"/>
    <w:rsid w:val="00462ACB"/>
    <w:rsid w:val="00463A25"/>
    <w:rsid w:val="00463FA7"/>
    <w:rsid w:val="004640BE"/>
    <w:rsid w:val="00464481"/>
    <w:rsid w:val="00464680"/>
    <w:rsid w:val="00464A43"/>
    <w:rsid w:val="00465565"/>
    <w:rsid w:val="004655D9"/>
    <w:rsid w:val="004656C4"/>
    <w:rsid w:val="00465B73"/>
    <w:rsid w:val="00465BA4"/>
    <w:rsid w:val="00465E38"/>
    <w:rsid w:val="00466437"/>
    <w:rsid w:val="004665C7"/>
    <w:rsid w:val="0046725E"/>
    <w:rsid w:val="00467261"/>
    <w:rsid w:val="00467AC8"/>
    <w:rsid w:val="00467BA9"/>
    <w:rsid w:val="00467F5A"/>
    <w:rsid w:val="004702CA"/>
    <w:rsid w:val="0047062E"/>
    <w:rsid w:val="00470F9A"/>
    <w:rsid w:val="004711AA"/>
    <w:rsid w:val="004714E6"/>
    <w:rsid w:val="004715FE"/>
    <w:rsid w:val="00471839"/>
    <w:rsid w:val="00471C3C"/>
    <w:rsid w:val="00471C60"/>
    <w:rsid w:val="00471FA3"/>
    <w:rsid w:val="00471FB7"/>
    <w:rsid w:val="00472166"/>
    <w:rsid w:val="00472381"/>
    <w:rsid w:val="00472C2D"/>
    <w:rsid w:val="00472E46"/>
    <w:rsid w:val="00473D66"/>
    <w:rsid w:val="00473EF6"/>
    <w:rsid w:val="00474569"/>
    <w:rsid w:val="00474BC1"/>
    <w:rsid w:val="00474E2D"/>
    <w:rsid w:val="0047525F"/>
    <w:rsid w:val="00475381"/>
    <w:rsid w:val="00475678"/>
    <w:rsid w:val="00475C37"/>
    <w:rsid w:val="00476049"/>
    <w:rsid w:val="0047610F"/>
    <w:rsid w:val="004763DE"/>
    <w:rsid w:val="00476468"/>
    <w:rsid w:val="004766B1"/>
    <w:rsid w:val="00476ED4"/>
    <w:rsid w:val="0047715A"/>
    <w:rsid w:val="00477203"/>
    <w:rsid w:val="004809B4"/>
    <w:rsid w:val="00481B30"/>
    <w:rsid w:val="00481DA4"/>
    <w:rsid w:val="00482163"/>
    <w:rsid w:val="004826C3"/>
    <w:rsid w:val="0048283F"/>
    <w:rsid w:val="00482B70"/>
    <w:rsid w:val="00482BCB"/>
    <w:rsid w:val="00482D04"/>
    <w:rsid w:val="0048310B"/>
    <w:rsid w:val="00483D7F"/>
    <w:rsid w:val="00484480"/>
    <w:rsid w:val="00484550"/>
    <w:rsid w:val="0048466C"/>
    <w:rsid w:val="00484EFE"/>
    <w:rsid w:val="004851AC"/>
    <w:rsid w:val="00485294"/>
    <w:rsid w:val="004856D7"/>
    <w:rsid w:val="00485D99"/>
    <w:rsid w:val="00486181"/>
    <w:rsid w:val="00486237"/>
    <w:rsid w:val="004863E4"/>
    <w:rsid w:val="0048644A"/>
    <w:rsid w:val="00486642"/>
    <w:rsid w:val="004867A9"/>
    <w:rsid w:val="00486860"/>
    <w:rsid w:val="004901ED"/>
    <w:rsid w:val="004904C7"/>
    <w:rsid w:val="004909E9"/>
    <w:rsid w:val="00490F33"/>
    <w:rsid w:val="004917B8"/>
    <w:rsid w:val="00491FD3"/>
    <w:rsid w:val="004920BF"/>
    <w:rsid w:val="00492131"/>
    <w:rsid w:val="00492371"/>
    <w:rsid w:val="00492655"/>
    <w:rsid w:val="00493049"/>
    <w:rsid w:val="004930DB"/>
    <w:rsid w:val="0049328B"/>
    <w:rsid w:val="0049375A"/>
    <w:rsid w:val="00494EEF"/>
    <w:rsid w:val="004964D2"/>
    <w:rsid w:val="004969E6"/>
    <w:rsid w:val="00496C79"/>
    <w:rsid w:val="00496CA4"/>
    <w:rsid w:val="004A0356"/>
    <w:rsid w:val="004A0426"/>
    <w:rsid w:val="004A0CB3"/>
    <w:rsid w:val="004A0EBA"/>
    <w:rsid w:val="004A1469"/>
    <w:rsid w:val="004A1D3F"/>
    <w:rsid w:val="004A1D4E"/>
    <w:rsid w:val="004A25C6"/>
    <w:rsid w:val="004A26CE"/>
    <w:rsid w:val="004A2737"/>
    <w:rsid w:val="004A29BA"/>
    <w:rsid w:val="004A32ED"/>
    <w:rsid w:val="004A36B0"/>
    <w:rsid w:val="004A3D76"/>
    <w:rsid w:val="004A3D7B"/>
    <w:rsid w:val="004A3F32"/>
    <w:rsid w:val="004A49DB"/>
    <w:rsid w:val="004A5069"/>
    <w:rsid w:val="004A5267"/>
    <w:rsid w:val="004A55F7"/>
    <w:rsid w:val="004A5C3A"/>
    <w:rsid w:val="004A5D41"/>
    <w:rsid w:val="004A60D8"/>
    <w:rsid w:val="004A65C9"/>
    <w:rsid w:val="004A6D52"/>
    <w:rsid w:val="004A6DA2"/>
    <w:rsid w:val="004A7120"/>
    <w:rsid w:val="004A75DD"/>
    <w:rsid w:val="004A7748"/>
    <w:rsid w:val="004B0053"/>
    <w:rsid w:val="004B0587"/>
    <w:rsid w:val="004B0E26"/>
    <w:rsid w:val="004B0F3A"/>
    <w:rsid w:val="004B1263"/>
    <w:rsid w:val="004B1B12"/>
    <w:rsid w:val="004B1E04"/>
    <w:rsid w:val="004B2334"/>
    <w:rsid w:val="004B259A"/>
    <w:rsid w:val="004B28D1"/>
    <w:rsid w:val="004B28F2"/>
    <w:rsid w:val="004B2C9D"/>
    <w:rsid w:val="004B306E"/>
    <w:rsid w:val="004B3765"/>
    <w:rsid w:val="004B3767"/>
    <w:rsid w:val="004B3990"/>
    <w:rsid w:val="004B3DBF"/>
    <w:rsid w:val="004B4312"/>
    <w:rsid w:val="004B4362"/>
    <w:rsid w:val="004B4DF5"/>
    <w:rsid w:val="004B53B4"/>
    <w:rsid w:val="004B5428"/>
    <w:rsid w:val="004B58A0"/>
    <w:rsid w:val="004B5F37"/>
    <w:rsid w:val="004B7868"/>
    <w:rsid w:val="004C0784"/>
    <w:rsid w:val="004C0E21"/>
    <w:rsid w:val="004C136B"/>
    <w:rsid w:val="004C1513"/>
    <w:rsid w:val="004C1768"/>
    <w:rsid w:val="004C1B58"/>
    <w:rsid w:val="004C25A1"/>
    <w:rsid w:val="004C26E6"/>
    <w:rsid w:val="004C31DE"/>
    <w:rsid w:val="004C40A4"/>
    <w:rsid w:val="004C416F"/>
    <w:rsid w:val="004C4686"/>
    <w:rsid w:val="004C48AD"/>
    <w:rsid w:val="004C4E0B"/>
    <w:rsid w:val="004C4E9C"/>
    <w:rsid w:val="004C51F3"/>
    <w:rsid w:val="004C55A9"/>
    <w:rsid w:val="004C58B0"/>
    <w:rsid w:val="004C5B8A"/>
    <w:rsid w:val="004C5D09"/>
    <w:rsid w:val="004C5D2D"/>
    <w:rsid w:val="004C6DFA"/>
    <w:rsid w:val="004C76C4"/>
    <w:rsid w:val="004C7CFB"/>
    <w:rsid w:val="004D0067"/>
    <w:rsid w:val="004D08F1"/>
    <w:rsid w:val="004D0CDF"/>
    <w:rsid w:val="004D1106"/>
    <w:rsid w:val="004D12CF"/>
    <w:rsid w:val="004D19E4"/>
    <w:rsid w:val="004D23D5"/>
    <w:rsid w:val="004D24D3"/>
    <w:rsid w:val="004D24DE"/>
    <w:rsid w:val="004D2A82"/>
    <w:rsid w:val="004D2BBA"/>
    <w:rsid w:val="004D2DA8"/>
    <w:rsid w:val="004D2E7A"/>
    <w:rsid w:val="004D30F4"/>
    <w:rsid w:val="004D387C"/>
    <w:rsid w:val="004D3BB4"/>
    <w:rsid w:val="004D41B5"/>
    <w:rsid w:val="004D42DE"/>
    <w:rsid w:val="004D461E"/>
    <w:rsid w:val="004D46EA"/>
    <w:rsid w:val="004D593B"/>
    <w:rsid w:val="004D5B72"/>
    <w:rsid w:val="004D6035"/>
    <w:rsid w:val="004D6D73"/>
    <w:rsid w:val="004D74A3"/>
    <w:rsid w:val="004D7914"/>
    <w:rsid w:val="004D7EF0"/>
    <w:rsid w:val="004E007C"/>
    <w:rsid w:val="004E01C0"/>
    <w:rsid w:val="004E0723"/>
    <w:rsid w:val="004E07B7"/>
    <w:rsid w:val="004E15C7"/>
    <w:rsid w:val="004E1E23"/>
    <w:rsid w:val="004E213B"/>
    <w:rsid w:val="004E2CAD"/>
    <w:rsid w:val="004E319E"/>
    <w:rsid w:val="004E33BB"/>
    <w:rsid w:val="004E3482"/>
    <w:rsid w:val="004E38C1"/>
    <w:rsid w:val="004E41B3"/>
    <w:rsid w:val="004E430E"/>
    <w:rsid w:val="004E545F"/>
    <w:rsid w:val="004E55EE"/>
    <w:rsid w:val="004E575D"/>
    <w:rsid w:val="004E580D"/>
    <w:rsid w:val="004E5ECA"/>
    <w:rsid w:val="004E612F"/>
    <w:rsid w:val="004E6246"/>
    <w:rsid w:val="004E645F"/>
    <w:rsid w:val="004E65FA"/>
    <w:rsid w:val="004E6669"/>
    <w:rsid w:val="004E6C6A"/>
    <w:rsid w:val="004E71BA"/>
    <w:rsid w:val="004E75C9"/>
    <w:rsid w:val="004E75CA"/>
    <w:rsid w:val="004E77E1"/>
    <w:rsid w:val="004E78B3"/>
    <w:rsid w:val="004E790C"/>
    <w:rsid w:val="004E7A64"/>
    <w:rsid w:val="004E7AF4"/>
    <w:rsid w:val="004E7B71"/>
    <w:rsid w:val="004E7CE4"/>
    <w:rsid w:val="004E7D57"/>
    <w:rsid w:val="004F00DF"/>
    <w:rsid w:val="004F0A72"/>
    <w:rsid w:val="004F0E94"/>
    <w:rsid w:val="004F1480"/>
    <w:rsid w:val="004F17DC"/>
    <w:rsid w:val="004F19B2"/>
    <w:rsid w:val="004F1B7C"/>
    <w:rsid w:val="004F2AC1"/>
    <w:rsid w:val="004F2DBA"/>
    <w:rsid w:val="004F2F3D"/>
    <w:rsid w:val="004F2FD1"/>
    <w:rsid w:val="004F31B3"/>
    <w:rsid w:val="004F33F6"/>
    <w:rsid w:val="004F361A"/>
    <w:rsid w:val="004F36D3"/>
    <w:rsid w:val="004F3717"/>
    <w:rsid w:val="004F3723"/>
    <w:rsid w:val="004F3A77"/>
    <w:rsid w:val="004F3CCA"/>
    <w:rsid w:val="004F3E4A"/>
    <w:rsid w:val="004F4187"/>
    <w:rsid w:val="004F42FA"/>
    <w:rsid w:val="004F4B16"/>
    <w:rsid w:val="004F62BF"/>
    <w:rsid w:val="004F6ACB"/>
    <w:rsid w:val="004F703D"/>
    <w:rsid w:val="004F72CB"/>
    <w:rsid w:val="004F7442"/>
    <w:rsid w:val="004F7A10"/>
    <w:rsid w:val="004F7C57"/>
    <w:rsid w:val="004F7EFD"/>
    <w:rsid w:val="004F7F9C"/>
    <w:rsid w:val="004F7FCD"/>
    <w:rsid w:val="0050028A"/>
    <w:rsid w:val="0050045D"/>
    <w:rsid w:val="00500A96"/>
    <w:rsid w:val="00500E59"/>
    <w:rsid w:val="00501244"/>
    <w:rsid w:val="005015EF"/>
    <w:rsid w:val="00501677"/>
    <w:rsid w:val="00501A87"/>
    <w:rsid w:val="00501B1D"/>
    <w:rsid w:val="00501BC7"/>
    <w:rsid w:val="0050217E"/>
    <w:rsid w:val="00502BC6"/>
    <w:rsid w:val="00503909"/>
    <w:rsid w:val="00503B14"/>
    <w:rsid w:val="00504396"/>
    <w:rsid w:val="00504996"/>
    <w:rsid w:val="00504C39"/>
    <w:rsid w:val="00504E1D"/>
    <w:rsid w:val="005056BE"/>
    <w:rsid w:val="005058FD"/>
    <w:rsid w:val="00505ACD"/>
    <w:rsid w:val="00505B25"/>
    <w:rsid w:val="00506309"/>
    <w:rsid w:val="00506DC3"/>
    <w:rsid w:val="0050736E"/>
    <w:rsid w:val="00507993"/>
    <w:rsid w:val="00510013"/>
    <w:rsid w:val="00510180"/>
    <w:rsid w:val="0051031B"/>
    <w:rsid w:val="005106CF"/>
    <w:rsid w:val="005109A1"/>
    <w:rsid w:val="00510D5F"/>
    <w:rsid w:val="00510EBC"/>
    <w:rsid w:val="005114F6"/>
    <w:rsid w:val="005122B2"/>
    <w:rsid w:val="00512314"/>
    <w:rsid w:val="00512AA2"/>
    <w:rsid w:val="00512C3D"/>
    <w:rsid w:val="00512DAB"/>
    <w:rsid w:val="00512E99"/>
    <w:rsid w:val="00512F55"/>
    <w:rsid w:val="00513217"/>
    <w:rsid w:val="00513278"/>
    <w:rsid w:val="00513681"/>
    <w:rsid w:val="005136EC"/>
    <w:rsid w:val="00513761"/>
    <w:rsid w:val="00513AAA"/>
    <w:rsid w:val="00513B50"/>
    <w:rsid w:val="00513C6F"/>
    <w:rsid w:val="00513DBD"/>
    <w:rsid w:val="00513F23"/>
    <w:rsid w:val="005140BF"/>
    <w:rsid w:val="00514243"/>
    <w:rsid w:val="005147D2"/>
    <w:rsid w:val="0051488B"/>
    <w:rsid w:val="005150AB"/>
    <w:rsid w:val="0051545E"/>
    <w:rsid w:val="00515CC4"/>
    <w:rsid w:val="00515F3A"/>
    <w:rsid w:val="00516041"/>
    <w:rsid w:val="00516410"/>
    <w:rsid w:val="0051692C"/>
    <w:rsid w:val="00516C46"/>
    <w:rsid w:val="00516D42"/>
    <w:rsid w:val="00516DA3"/>
    <w:rsid w:val="005178ED"/>
    <w:rsid w:val="005179E3"/>
    <w:rsid w:val="00517A5F"/>
    <w:rsid w:val="00517F15"/>
    <w:rsid w:val="005209A7"/>
    <w:rsid w:val="00520A4E"/>
    <w:rsid w:val="00520FDC"/>
    <w:rsid w:val="00521253"/>
    <w:rsid w:val="005212E4"/>
    <w:rsid w:val="005216B7"/>
    <w:rsid w:val="00521E06"/>
    <w:rsid w:val="005221C2"/>
    <w:rsid w:val="005223AE"/>
    <w:rsid w:val="005227BF"/>
    <w:rsid w:val="00522900"/>
    <w:rsid w:val="00522D05"/>
    <w:rsid w:val="00523307"/>
    <w:rsid w:val="005233C7"/>
    <w:rsid w:val="005234C9"/>
    <w:rsid w:val="0052388D"/>
    <w:rsid w:val="00523AC3"/>
    <w:rsid w:val="00523EC1"/>
    <w:rsid w:val="00524207"/>
    <w:rsid w:val="00524717"/>
    <w:rsid w:val="0052474B"/>
    <w:rsid w:val="005248B1"/>
    <w:rsid w:val="00524F81"/>
    <w:rsid w:val="00525260"/>
    <w:rsid w:val="00525302"/>
    <w:rsid w:val="00525740"/>
    <w:rsid w:val="00525973"/>
    <w:rsid w:val="00525C0D"/>
    <w:rsid w:val="00525D64"/>
    <w:rsid w:val="00525DA3"/>
    <w:rsid w:val="00525F88"/>
    <w:rsid w:val="00526029"/>
    <w:rsid w:val="00526D3E"/>
    <w:rsid w:val="00526DCA"/>
    <w:rsid w:val="00526FE9"/>
    <w:rsid w:val="00527521"/>
    <w:rsid w:val="00527828"/>
    <w:rsid w:val="0052790C"/>
    <w:rsid w:val="00527B43"/>
    <w:rsid w:val="00527C85"/>
    <w:rsid w:val="00527DBC"/>
    <w:rsid w:val="00530560"/>
    <w:rsid w:val="00530B1B"/>
    <w:rsid w:val="00530CBF"/>
    <w:rsid w:val="005313F6"/>
    <w:rsid w:val="00531A6E"/>
    <w:rsid w:val="00531FF6"/>
    <w:rsid w:val="0053206C"/>
    <w:rsid w:val="00532BFF"/>
    <w:rsid w:val="00532C62"/>
    <w:rsid w:val="00532F17"/>
    <w:rsid w:val="00533066"/>
    <w:rsid w:val="0053413F"/>
    <w:rsid w:val="0053442D"/>
    <w:rsid w:val="0053474F"/>
    <w:rsid w:val="00534ECF"/>
    <w:rsid w:val="00534F1C"/>
    <w:rsid w:val="00535083"/>
    <w:rsid w:val="00535087"/>
    <w:rsid w:val="00535288"/>
    <w:rsid w:val="00535520"/>
    <w:rsid w:val="005355A0"/>
    <w:rsid w:val="00535A02"/>
    <w:rsid w:val="00535A2B"/>
    <w:rsid w:val="00535C43"/>
    <w:rsid w:val="00536733"/>
    <w:rsid w:val="00536F2A"/>
    <w:rsid w:val="0053715D"/>
    <w:rsid w:val="00537681"/>
    <w:rsid w:val="005376F7"/>
    <w:rsid w:val="00537A49"/>
    <w:rsid w:val="00540213"/>
    <w:rsid w:val="00540913"/>
    <w:rsid w:val="00540CAE"/>
    <w:rsid w:val="00540E23"/>
    <w:rsid w:val="0054199A"/>
    <w:rsid w:val="00541B18"/>
    <w:rsid w:val="00541B23"/>
    <w:rsid w:val="00542812"/>
    <w:rsid w:val="0054295B"/>
    <w:rsid w:val="00542AB8"/>
    <w:rsid w:val="00542BF8"/>
    <w:rsid w:val="00542E08"/>
    <w:rsid w:val="00543EA1"/>
    <w:rsid w:val="005443F8"/>
    <w:rsid w:val="00545204"/>
    <w:rsid w:val="00545DEB"/>
    <w:rsid w:val="00545E86"/>
    <w:rsid w:val="00546D7D"/>
    <w:rsid w:val="005470CC"/>
    <w:rsid w:val="00547430"/>
    <w:rsid w:val="005479A0"/>
    <w:rsid w:val="00547BEA"/>
    <w:rsid w:val="00547F7B"/>
    <w:rsid w:val="00550510"/>
    <w:rsid w:val="005508A3"/>
    <w:rsid w:val="00550D50"/>
    <w:rsid w:val="005510E4"/>
    <w:rsid w:val="005514E4"/>
    <w:rsid w:val="00551583"/>
    <w:rsid w:val="00551E3C"/>
    <w:rsid w:val="00551FF2"/>
    <w:rsid w:val="0055239B"/>
    <w:rsid w:val="0055253B"/>
    <w:rsid w:val="00552D22"/>
    <w:rsid w:val="00553097"/>
    <w:rsid w:val="00553168"/>
    <w:rsid w:val="00553DD1"/>
    <w:rsid w:val="00553E84"/>
    <w:rsid w:val="0055465A"/>
    <w:rsid w:val="00554819"/>
    <w:rsid w:val="00554F35"/>
    <w:rsid w:val="00555AA2"/>
    <w:rsid w:val="00555D33"/>
    <w:rsid w:val="005565F7"/>
    <w:rsid w:val="00556894"/>
    <w:rsid w:val="00557288"/>
    <w:rsid w:val="005574F2"/>
    <w:rsid w:val="00557680"/>
    <w:rsid w:val="00557752"/>
    <w:rsid w:val="00557B7D"/>
    <w:rsid w:val="00557C23"/>
    <w:rsid w:val="00557D41"/>
    <w:rsid w:val="00557DC1"/>
    <w:rsid w:val="00557E88"/>
    <w:rsid w:val="0056033E"/>
    <w:rsid w:val="005605A1"/>
    <w:rsid w:val="00560C0C"/>
    <w:rsid w:val="00560F20"/>
    <w:rsid w:val="0056139A"/>
    <w:rsid w:val="005614E2"/>
    <w:rsid w:val="00561619"/>
    <w:rsid w:val="005624BF"/>
    <w:rsid w:val="0056284F"/>
    <w:rsid w:val="00562EA9"/>
    <w:rsid w:val="005632A9"/>
    <w:rsid w:val="005632D5"/>
    <w:rsid w:val="00563506"/>
    <w:rsid w:val="0056358C"/>
    <w:rsid w:val="00563A4D"/>
    <w:rsid w:val="00564059"/>
    <w:rsid w:val="0056442F"/>
    <w:rsid w:val="00564553"/>
    <w:rsid w:val="00564995"/>
    <w:rsid w:val="00564A37"/>
    <w:rsid w:val="00564BAE"/>
    <w:rsid w:val="00564E06"/>
    <w:rsid w:val="00565063"/>
    <w:rsid w:val="005650A4"/>
    <w:rsid w:val="0056516A"/>
    <w:rsid w:val="005654BF"/>
    <w:rsid w:val="00565AB6"/>
    <w:rsid w:val="00565B3D"/>
    <w:rsid w:val="0056602C"/>
    <w:rsid w:val="005661FA"/>
    <w:rsid w:val="00566ABB"/>
    <w:rsid w:val="00566CCB"/>
    <w:rsid w:val="00567681"/>
    <w:rsid w:val="00567A7A"/>
    <w:rsid w:val="00570231"/>
    <w:rsid w:val="00570269"/>
    <w:rsid w:val="005708C3"/>
    <w:rsid w:val="00570985"/>
    <w:rsid w:val="00570B25"/>
    <w:rsid w:val="00570C44"/>
    <w:rsid w:val="00570E5A"/>
    <w:rsid w:val="00570F00"/>
    <w:rsid w:val="00570F79"/>
    <w:rsid w:val="005710B6"/>
    <w:rsid w:val="0057113F"/>
    <w:rsid w:val="0057136E"/>
    <w:rsid w:val="00571876"/>
    <w:rsid w:val="00572374"/>
    <w:rsid w:val="0057289F"/>
    <w:rsid w:val="00572E5F"/>
    <w:rsid w:val="0057336F"/>
    <w:rsid w:val="005734F0"/>
    <w:rsid w:val="00573E25"/>
    <w:rsid w:val="00573F81"/>
    <w:rsid w:val="005740A6"/>
    <w:rsid w:val="00574291"/>
    <w:rsid w:val="00574684"/>
    <w:rsid w:val="0057506E"/>
    <w:rsid w:val="005750B9"/>
    <w:rsid w:val="005750FF"/>
    <w:rsid w:val="005754A7"/>
    <w:rsid w:val="00575CBD"/>
    <w:rsid w:val="00575FBE"/>
    <w:rsid w:val="00576409"/>
    <w:rsid w:val="00576BC3"/>
    <w:rsid w:val="00576C66"/>
    <w:rsid w:val="00576CED"/>
    <w:rsid w:val="00577005"/>
    <w:rsid w:val="00577015"/>
    <w:rsid w:val="005770E0"/>
    <w:rsid w:val="005774F0"/>
    <w:rsid w:val="005776D7"/>
    <w:rsid w:val="0057791C"/>
    <w:rsid w:val="00577A3D"/>
    <w:rsid w:val="00577D6E"/>
    <w:rsid w:val="00577F49"/>
    <w:rsid w:val="00580EFD"/>
    <w:rsid w:val="00581377"/>
    <w:rsid w:val="005813AA"/>
    <w:rsid w:val="00581920"/>
    <w:rsid w:val="00581A31"/>
    <w:rsid w:val="00581D44"/>
    <w:rsid w:val="005828B7"/>
    <w:rsid w:val="00582E07"/>
    <w:rsid w:val="005837F7"/>
    <w:rsid w:val="005842AF"/>
    <w:rsid w:val="00584403"/>
    <w:rsid w:val="005845BA"/>
    <w:rsid w:val="005845FC"/>
    <w:rsid w:val="00584AC2"/>
    <w:rsid w:val="00584B54"/>
    <w:rsid w:val="00584BB4"/>
    <w:rsid w:val="00584D24"/>
    <w:rsid w:val="00585031"/>
    <w:rsid w:val="005852F6"/>
    <w:rsid w:val="00585682"/>
    <w:rsid w:val="00585D9B"/>
    <w:rsid w:val="005865F9"/>
    <w:rsid w:val="005867DD"/>
    <w:rsid w:val="00586CEE"/>
    <w:rsid w:val="00586D0D"/>
    <w:rsid w:val="00586D16"/>
    <w:rsid w:val="005878B4"/>
    <w:rsid w:val="00587A55"/>
    <w:rsid w:val="00587B9B"/>
    <w:rsid w:val="005900B2"/>
    <w:rsid w:val="00590226"/>
    <w:rsid w:val="005909D0"/>
    <w:rsid w:val="00590B0F"/>
    <w:rsid w:val="0059186B"/>
    <w:rsid w:val="00591BC6"/>
    <w:rsid w:val="00591F91"/>
    <w:rsid w:val="00592281"/>
    <w:rsid w:val="0059269F"/>
    <w:rsid w:val="00592A66"/>
    <w:rsid w:val="0059314F"/>
    <w:rsid w:val="0059355D"/>
    <w:rsid w:val="00593A16"/>
    <w:rsid w:val="00593BBA"/>
    <w:rsid w:val="00593DFF"/>
    <w:rsid w:val="00593F15"/>
    <w:rsid w:val="00593FB5"/>
    <w:rsid w:val="005941AF"/>
    <w:rsid w:val="005949BC"/>
    <w:rsid w:val="00594AE7"/>
    <w:rsid w:val="00595058"/>
    <w:rsid w:val="00595807"/>
    <w:rsid w:val="00595A24"/>
    <w:rsid w:val="00595A9F"/>
    <w:rsid w:val="00595D8C"/>
    <w:rsid w:val="00595F36"/>
    <w:rsid w:val="005966FC"/>
    <w:rsid w:val="00596A17"/>
    <w:rsid w:val="00597892"/>
    <w:rsid w:val="00597E03"/>
    <w:rsid w:val="005A038D"/>
    <w:rsid w:val="005A08D2"/>
    <w:rsid w:val="005A0B63"/>
    <w:rsid w:val="005A14FC"/>
    <w:rsid w:val="005A18CC"/>
    <w:rsid w:val="005A19E0"/>
    <w:rsid w:val="005A20B6"/>
    <w:rsid w:val="005A233B"/>
    <w:rsid w:val="005A24C6"/>
    <w:rsid w:val="005A2901"/>
    <w:rsid w:val="005A3B77"/>
    <w:rsid w:val="005A3BE2"/>
    <w:rsid w:val="005A3DCA"/>
    <w:rsid w:val="005A4590"/>
    <w:rsid w:val="005A47D7"/>
    <w:rsid w:val="005A4812"/>
    <w:rsid w:val="005A49C5"/>
    <w:rsid w:val="005A4CA9"/>
    <w:rsid w:val="005A4F5E"/>
    <w:rsid w:val="005A50C4"/>
    <w:rsid w:val="005A52B1"/>
    <w:rsid w:val="005A59CF"/>
    <w:rsid w:val="005A5B99"/>
    <w:rsid w:val="005A5BB8"/>
    <w:rsid w:val="005A5F92"/>
    <w:rsid w:val="005A6FB2"/>
    <w:rsid w:val="005A7578"/>
    <w:rsid w:val="005A7D3A"/>
    <w:rsid w:val="005B01FA"/>
    <w:rsid w:val="005B035F"/>
    <w:rsid w:val="005B086B"/>
    <w:rsid w:val="005B087C"/>
    <w:rsid w:val="005B0DBA"/>
    <w:rsid w:val="005B0DF5"/>
    <w:rsid w:val="005B0E58"/>
    <w:rsid w:val="005B10F5"/>
    <w:rsid w:val="005B19A7"/>
    <w:rsid w:val="005B1C26"/>
    <w:rsid w:val="005B1EBD"/>
    <w:rsid w:val="005B21F1"/>
    <w:rsid w:val="005B2836"/>
    <w:rsid w:val="005B3740"/>
    <w:rsid w:val="005B39C3"/>
    <w:rsid w:val="005B3E35"/>
    <w:rsid w:val="005B3F78"/>
    <w:rsid w:val="005B41E4"/>
    <w:rsid w:val="005B4478"/>
    <w:rsid w:val="005B4C01"/>
    <w:rsid w:val="005B53D4"/>
    <w:rsid w:val="005B5486"/>
    <w:rsid w:val="005B54F6"/>
    <w:rsid w:val="005B58AC"/>
    <w:rsid w:val="005B6426"/>
    <w:rsid w:val="005B683F"/>
    <w:rsid w:val="005B7221"/>
    <w:rsid w:val="005B7484"/>
    <w:rsid w:val="005B7578"/>
    <w:rsid w:val="005B75C4"/>
    <w:rsid w:val="005B77BC"/>
    <w:rsid w:val="005C0305"/>
    <w:rsid w:val="005C0F08"/>
    <w:rsid w:val="005C119A"/>
    <w:rsid w:val="005C1214"/>
    <w:rsid w:val="005C137A"/>
    <w:rsid w:val="005C1620"/>
    <w:rsid w:val="005C1E76"/>
    <w:rsid w:val="005C1F64"/>
    <w:rsid w:val="005C23D8"/>
    <w:rsid w:val="005C2B50"/>
    <w:rsid w:val="005C2E7C"/>
    <w:rsid w:val="005C2FC9"/>
    <w:rsid w:val="005C3051"/>
    <w:rsid w:val="005C32DB"/>
    <w:rsid w:val="005C32ED"/>
    <w:rsid w:val="005C3303"/>
    <w:rsid w:val="005C3D83"/>
    <w:rsid w:val="005C3DB9"/>
    <w:rsid w:val="005C3E6D"/>
    <w:rsid w:val="005C3FE1"/>
    <w:rsid w:val="005C49DD"/>
    <w:rsid w:val="005C4C43"/>
    <w:rsid w:val="005C4C87"/>
    <w:rsid w:val="005C5577"/>
    <w:rsid w:val="005C57C9"/>
    <w:rsid w:val="005C5D38"/>
    <w:rsid w:val="005C64C5"/>
    <w:rsid w:val="005C65AB"/>
    <w:rsid w:val="005C671B"/>
    <w:rsid w:val="005C6786"/>
    <w:rsid w:val="005C74EA"/>
    <w:rsid w:val="005C759B"/>
    <w:rsid w:val="005C7789"/>
    <w:rsid w:val="005C7CA8"/>
    <w:rsid w:val="005D02E1"/>
    <w:rsid w:val="005D0586"/>
    <w:rsid w:val="005D07BB"/>
    <w:rsid w:val="005D0B08"/>
    <w:rsid w:val="005D12A0"/>
    <w:rsid w:val="005D137F"/>
    <w:rsid w:val="005D14D1"/>
    <w:rsid w:val="005D1611"/>
    <w:rsid w:val="005D1A95"/>
    <w:rsid w:val="005D1B6A"/>
    <w:rsid w:val="005D1FDD"/>
    <w:rsid w:val="005D24A4"/>
    <w:rsid w:val="005D26C6"/>
    <w:rsid w:val="005D28F6"/>
    <w:rsid w:val="005D3147"/>
    <w:rsid w:val="005D34B1"/>
    <w:rsid w:val="005D35F6"/>
    <w:rsid w:val="005D3A23"/>
    <w:rsid w:val="005D3E4C"/>
    <w:rsid w:val="005D49B2"/>
    <w:rsid w:val="005D49BE"/>
    <w:rsid w:val="005D4E1B"/>
    <w:rsid w:val="005D54D9"/>
    <w:rsid w:val="005D54DA"/>
    <w:rsid w:val="005D5D48"/>
    <w:rsid w:val="005D5FC5"/>
    <w:rsid w:val="005D6CA7"/>
    <w:rsid w:val="005D7AAA"/>
    <w:rsid w:val="005E00EF"/>
    <w:rsid w:val="005E0154"/>
    <w:rsid w:val="005E0255"/>
    <w:rsid w:val="005E026F"/>
    <w:rsid w:val="005E09C6"/>
    <w:rsid w:val="005E0B99"/>
    <w:rsid w:val="005E0DB2"/>
    <w:rsid w:val="005E10CC"/>
    <w:rsid w:val="005E151A"/>
    <w:rsid w:val="005E15C0"/>
    <w:rsid w:val="005E1B49"/>
    <w:rsid w:val="005E1DE9"/>
    <w:rsid w:val="005E1F14"/>
    <w:rsid w:val="005E208D"/>
    <w:rsid w:val="005E24BD"/>
    <w:rsid w:val="005E2555"/>
    <w:rsid w:val="005E2D09"/>
    <w:rsid w:val="005E2EAD"/>
    <w:rsid w:val="005E32D6"/>
    <w:rsid w:val="005E3BE1"/>
    <w:rsid w:val="005E3C79"/>
    <w:rsid w:val="005E4168"/>
    <w:rsid w:val="005E4B99"/>
    <w:rsid w:val="005E4C2D"/>
    <w:rsid w:val="005E4D6D"/>
    <w:rsid w:val="005E507B"/>
    <w:rsid w:val="005E5533"/>
    <w:rsid w:val="005E5D2D"/>
    <w:rsid w:val="005E6DF4"/>
    <w:rsid w:val="005E740A"/>
    <w:rsid w:val="005E75CE"/>
    <w:rsid w:val="005E7A54"/>
    <w:rsid w:val="005E7C91"/>
    <w:rsid w:val="005E7EFC"/>
    <w:rsid w:val="005F0616"/>
    <w:rsid w:val="005F0A76"/>
    <w:rsid w:val="005F0F13"/>
    <w:rsid w:val="005F18FF"/>
    <w:rsid w:val="005F1946"/>
    <w:rsid w:val="005F2048"/>
    <w:rsid w:val="005F2167"/>
    <w:rsid w:val="005F23A1"/>
    <w:rsid w:val="005F2637"/>
    <w:rsid w:val="005F29F4"/>
    <w:rsid w:val="005F2A51"/>
    <w:rsid w:val="005F2BE3"/>
    <w:rsid w:val="005F31EE"/>
    <w:rsid w:val="005F353C"/>
    <w:rsid w:val="005F3983"/>
    <w:rsid w:val="005F3B04"/>
    <w:rsid w:val="005F3BDA"/>
    <w:rsid w:val="005F3C5A"/>
    <w:rsid w:val="005F4187"/>
    <w:rsid w:val="005F4355"/>
    <w:rsid w:val="005F4A20"/>
    <w:rsid w:val="005F4C70"/>
    <w:rsid w:val="005F5151"/>
    <w:rsid w:val="005F54BF"/>
    <w:rsid w:val="005F5707"/>
    <w:rsid w:val="005F5EC8"/>
    <w:rsid w:val="005F6602"/>
    <w:rsid w:val="005F67EF"/>
    <w:rsid w:val="005F6E81"/>
    <w:rsid w:val="005F70A0"/>
    <w:rsid w:val="005F79B4"/>
    <w:rsid w:val="005F7EC0"/>
    <w:rsid w:val="005F7F47"/>
    <w:rsid w:val="00600056"/>
    <w:rsid w:val="00600339"/>
    <w:rsid w:val="00600541"/>
    <w:rsid w:val="006009C9"/>
    <w:rsid w:val="00600B86"/>
    <w:rsid w:val="00600C4E"/>
    <w:rsid w:val="00600DDC"/>
    <w:rsid w:val="00600E49"/>
    <w:rsid w:val="006012B6"/>
    <w:rsid w:val="00601413"/>
    <w:rsid w:val="006014F8"/>
    <w:rsid w:val="006017B5"/>
    <w:rsid w:val="006024F1"/>
    <w:rsid w:val="006025FB"/>
    <w:rsid w:val="00602ADA"/>
    <w:rsid w:val="00602B59"/>
    <w:rsid w:val="0060340B"/>
    <w:rsid w:val="0060352C"/>
    <w:rsid w:val="00603DB1"/>
    <w:rsid w:val="00604110"/>
    <w:rsid w:val="006041C7"/>
    <w:rsid w:val="006045FB"/>
    <w:rsid w:val="00604D05"/>
    <w:rsid w:val="006056E7"/>
    <w:rsid w:val="00605776"/>
    <w:rsid w:val="006059AE"/>
    <w:rsid w:val="00605A10"/>
    <w:rsid w:val="00606361"/>
    <w:rsid w:val="00606F8F"/>
    <w:rsid w:val="00606FEF"/>
    <w:rsid w:val="00607291"/>
    <w:rsid w:val="0060770A"/>
    <w:rsid w:val="00607B68"/>
    <w:rsid w:val="00607EBD"/>
    <w:rsid w:val="006104AD"/>
    <w:rsid w:val="00610C2A"/>
    <w:rsid w:val="0061141A"/>
    <w:rsid w:val="00611585"/>
    <w:rsid w:val="00611F68"/>
    <w:rsid w:val="00612023"/>
    <w:rsid w:val="0061221A"/>
    <w:rsid w:val="00612457"/>
    <w:rsid w:val="006128AC"/>
    <w:rsid w:val="0061290C"/>
    <w:rsid w:val="00612AD2"/>
    <w:rsid w:val="00612C8F"/>
    <w:rsid w:val="00612E96"/>
    <w:rsid w:val="00612FB2"/>
    <w:rsid w:val="006135B6"/>
    <w:rsid w:val="006137EE"/>
    <w:rsid w:val="0061397D"/>
    <w:rsid w:val="00613C0A"/>
    <w:rsid w:val="00613DB4"/>
    <w:rsid w:val="00613DD8"/>
    <w:rsid w:val="00614055"/>
    <w:rsid w:val="00614ACC"/>
    <w:rsid w:val="00614B2D"/>
    <w:rsid w:val="00614BEB"/>
    <w:rsid w:val="00614E93"/>
    <w:rsid w:val="00615002"/>
    <w:rsid w:val="00615388"/>
    <w:rsid w:val="0061570B"/>
    <w:rsid w:val="0061573B"/>
    <w:rsid w:val="0061645A"/>
    <w:rsid w:val="006165F2"/>
    <w:rsid w:val="0061694C"/>
    <w:rsid w:val="00617674"/>
    <w:rsid w:val="00617921"/>
    <w:rsid w:val="00617F9F"/>
    <w:rsid w:val="00620776"/>
    <w:rsid w:val="00620B92"/>
    <w:rsid w:val="00620C24"/>
    <w:rsid w:val="00620C3F"/>
    <w:rsid w:val="00620E5F"/>
    <w:rsid w:val="006211A6"/>
    <w:rsid w:val="00622229"/>
    <w:rsid w:val="00622272"/>
    <w:rsid w:val="00622CC6"/>
    <w:rsid w:val="00622F2B"/>
    <w:rsid w:val="006238DB"/>
    <w:rsid w:val="006238ED"/>
    <w:rsid w:val="00623D68"/>
    <w:rsid w:val="00623F86"/>
    <w:rsid w:val="0062424A"/>
    <w:rsid w:val="00625061"/>
    <w:rsid w:val="00625744"/>
    <w:rsid w:val="00626324"/>
    <w:rsid w:val="006265BE"/>
    <w:rsid w:val="006268BD"/>
    <w:rsid w:val="00626934"/>
    <w:rsid w:val="00626975"/>
    <w:rsid w:val="0062700F"/>
    <w:rsid w:val="00627E4E"/>
    <w:rsid w:val="006301F2"/>
    <w:rsid w:val="006309FE"/>
    <w:rsid w:val="00630A55"/>
    <w:rsid w:val="006310D9"/>
    <w:rsid w:val="00631222"/>
    <w:rsid w:val="00631241"/>
    <w:rsid w:val="0063189E"/>
    <w:rsid w:val="00631E59"/>
    <w:rsid w:val="0063207E"/>
    <w:rsid w:val="0063235D"/>
    <w:rsid w:val="006328A0"/>
    <w:rsid w:val="00632B0B"/>
    <w:rsid w:val="00632B47"/>
    <w:rsid w:val="00633215"/>
    <w:rsid w:val="006336E0"/>
    <w:rsid w:val="00633A33"/>
    <w:rsid w:val="00633AC9"/>
    <w:rsid w:val="00633D2D"/>
    <w:rsid w:val="00633F40"/>
    <w:rsid w:val="0063412B"/>
    <w:rsid w:val="006344E2"/>
    <w:rsid w:val="00634A9E"/>
    <w:rsid w:val="00634BEA"/>
    <w:rsid w:val="00634D25"/>
    <w:rsid w:val="006355E2"/>
    <w:rsid w:val="00635745"/>
    <w:rsid w:val="00635F02"/>
    <w:rsid w:val="006360C1"/>
    <w:rsid w:val="0063622C"/>
    <w:rsid w:val="006372A2"/>
    <w:rsid w:val="00637355"/>
    <w:rsid w:val="0063788F"/>
    <w:rsid w:val="00637972"/>
    <w:rsid w:val="00637A6B"/>
    <w:rsid w:val="00640124"/>
    <w:rsid w:val="00640241"/>
    <w:rsid w:val="00640432"/>
    <w:rsid w:val="0064061D"/>
    <w:rsid w:val="0064093F"/>
    <w:rsid w:val="00640A92"/>
    <w:rsid w:val="00641678"/>
    <w:rsid w:val="006416D6"/>
    <w:rsid w:val="00641B4A"/>
    <w:rsid w:val="00641D40"/>
    <w:rsid w:val="00642019"/>
    <w:rsid w:val="00642722"/>
    <w:rsid w:val="00642B50"/>
    <w:rsid w:val="00644BA9"/>
    <w:rsid w:val="00644EC4"/>
    <w:rsid w:val="006453BC"/>
    <w:rsid w:val="006457C2"/>
    <w:rsid w:val="00645ACC"/>
    <w:rsid w:val="00645B0D"/>
    <w:rsid w:val="00645D68"/>
    <w:rsid w:val="00645D8D"/>
    <w:rsid w:val="006460BD"/>
    <w:rsid w:val="00646318"/>
    <w:rsid w:val="006466F3"/>
    <w:rsid w:val="00646CAF"/>
    <w:rsid w:val="00647085"/>
    <w:rsid w:val="006470E8"/>
    <w:rsid w:val="00647256"/>
    <w:rsid w:val="0064736D"/>
    <w:rsid w:val="006474A9"/>
    <w:rsid w:val="0064751C"/>
    <w:rsid w:val="006479F8"/>
    <w:rsid w:val="00647DD8"/>
    <w:rsid w:val="00647E46"/>
    <w:rsid w:val="00650419"/>
    <w:rsid w:val="0065045D"/>
    <w:rsid w:val="006506D5"/>
    <w:rsid w:val="006507CD"/>
    <w:rsid w:val="006508FE"/>
    <w:rsid w:val="00651176"/>
    <w:rsid w:val="00651354"/>
    <w:rsid w:val="006516E0"/>
    <w:rsid w:val="00651AF6"/>
    <w:rsid w:val="00651E54"/>
    <w:rsid w:val="00651FBA"/>
    <w:rsid w:val="006521FA"/>
    <w:rsid w:val="0065440F"/>
    <w:rsid w:val="00654568"/>
    <w:rsid w:val="00654872"/>
    <w:rsid w:val="00654EAE"/>
    <w:rsid w:val="00655000"/>
    <w:rsid w:val="00655064"/>
    <w:rsid w:val="006556F6"/>
    <w:rsid w:val="00655B88"/>
    <w:rsid w:val="006566ED"/>
    <w:rsid w:val="00657196"/>
    <w:rsid w:val="00657688"/>
    <w:rsid w:val="00657A7A"/>
    <w:rsid w:val="00657BA2"/>
    <w:rsid w:val="00657D88"/>
    <w:rsid w:val="006601BC"/>
    <w:rsid w:val="00660228"/>
    <w:rsid w:val="00660817"/>
    <w:rsid w:val="00660D5D"/>
    <w:rsid w:val="00660DF8"/>
    <w:rsid w:val="0066135C"/>
    <w:rsid w:val="0066239E"/>
    <w:rsid w:val="0066294B"/>
    <w:rsid w:val="00663163"/>
    <w:rsid w:val="0066330B"/>
    <w:rsid w:val="006636CC"/>
    <w:rsid w:val="00663DD3"/>
    <w:rsid w:val="0066469C"/>
    <w:rsid w:val="006649D8"/>
    <w:rsid w:val="00664B31"/>
    <w:rsid w:val="00664CF0"/>
    <w:rsid w:val="00664FDB"/>
    <w:rsid w:val="00665506"/>
    <w:rsid w:val="00665850"/>
    <w:rsid w:val="00665BBA"/>
    <w:rsid w:val="00665CEF"/>
    <w:rsid w:val="00665EE1"/>
    <w:rsid w:val="0066686E"/>
    <w:rsid w:val="00666EA6"/>
    <w:rsid w:val="00667044"/>
    <w:rsid w:val="006670DA"/>
    <w:rsid w:val="006678CC"/>
    <w:rsid w:val="00670414"/>
    <w:rsid w:val="0067078D"/>
    <w:rsid w:val="0067084C"/>
    <w:rsid w:val="00670ADF"/>
    <w:rsid w:val="00670E0B"/>
    <w:rsid w:val="00670EC9"/>
    <w:rsid w:val="0067107E"/>
    <w:rsid w:val="00672241"/>
    <w:rsid w:val="0067242B"/>
    <w:rsid w:val="006726FB"/>
    <w:rsid w:val="006727A4"/>
    <w:rsid w:val="0067286C"/>
    <w:rsid w:val="0067296E"/>
    <w:rsid w:val="00672CA9"/>
    <w:rsid w:val="00673E31"/>
    <w:rsid w:val="00674140"/>
    <w:rsid w:val="0067445D"/>
    <w:rsid w:val="00674A47"/>
    <w:rsid w:val="00674A90"/>
    <w:rsid w:val="00674D0E"/>
    <w:rsid w:val="00674F0B"/>
    <w:rsid w:val="00675301"/>
    <w:rsid w:val="006753C0"/>
    <w:rsid w:val="006755BB"/>
    <w:rsid w:val="0067581A"/>
    <w:rsid w:val="00675D8A"/>
    <w:rsid w:val="006761EF"/>
    <w:rsid w:val="006764F1"/>
    <w:rsid w:val="006776BE"/>
    <w:rsid w:val="006779D6"/>
    <w:rsid w:val="00680510"/>
    <w:rsid w:val="006805ED"/>
    <w:rsid w:val="0068069E"/>
    <w:rsid w:val="006808E5"/>
    <w:rsid w:val="006808EC"/>
    <w:rsid w:val="0068106B"/>
    <w:rsid w:val="00682195"/>
    <w:rsid w:val="006829D0"/>
    <w:rsid w:val="006835D5"/>
    <w:rsid w:val="00683D95"/>
    <w:rsid w:val="0068402B"/>
    <w:rsid w:val="0068502A"/>
    <w:rsid w:val="00685763"/>
    <w:rsid w:val="00686098"/>
    <w:rsid w:val="00686953"/>
    <w:rsid w:val="00686FFE"/>
    <w:rsid w:val="006870E3"/>
    <w:rsid w:val="006873B7"/>
    <w:rsid w:val="00687583"/>
    <w:rsid w:val="00687685"/>
    <w:rsid w:val="00687865"/>
    <w:rsid w:val="00687AC1"/>
    <w:rsid w:val="00687B5B"/>
    <w:rsid w:val="0069015D"/>
    <w:rsid w:val="00690289"/>
    <w:rsid w:val="0069049C"/>
    <w:rsid w:val="006906EA"/>
    <w:rsid w:val="00690B72"/>
    <w:rsid w:val="00690E99"/>
    <w:rsid w:val="0069118A"/>
    <w:rsid w:val="00691400"/>
    <w:rsid w:val="0069289E"/>
    <w:rsid w:val="00692936"/>
    <w:rsid w:val="00693058"/>
    <w:rsid w:val="00693473"/>
    <w:rsid w:val="0069398D"/>
    <w:rsid w:val="00693F98"/>
    <w:rsid w:val="00694C7C"/>
    <w:rsid w:val="00694D31"/>
    <w:rsid w:val="00694DF4"/>
    <w:rsid w:val="00694FEC"/>
    <w:rsid w:val="006954FF"/>
    <w:rsid w:val="00696CCB"/>
    <w:rsid w:val="0069741F"/>
    <w:rsid w:val="00697832"/>
    <w:rsid w:val="00697973"/>
    <w:rsid w:val="00697AB4"/>
    <w:rsid w:val="00697B46"/>
    <w:rsid w:val="00697BEC"/>
    <w:rsid w:val="00697E23"/>
    <w:rsid w:val="006A079E"/>
    <w:rsid w:val="006A0AB4"/>
    <w:rsid w:val="006A1052"/>
    <w:rsid w:val="006A12B8"/>
    <w:rsid w:val="006A136D"/>
    <w:rsid w:val="006A17D5"/>
    <w:rsid w:val="006A1807"/>
    <w:rsid w:val="006A1EF7"/>
    <w:rsid w:val="006A24D9"/>
    <w:rsid w:val="006A2FD0"/>
    <w:rsid w:val="006A32AA"/>
    <w:rsid w:val="006A3322"/>
    <w:rsid w:val="006A3BC8"/>
    <w:rsid w:val="006A3D65"/>
    <w:rsid w:val="006A3FEA"/>
    <w:rsid w:val="006A4E7D"/>
    <w:rsid w:val="006A67F6"/>
    <w:rsid w:val="006A7001"/>
    <w:rsid w:val="006A710B"/>
    <w:rsid w:val="006A7A1D"/>
    <w:rsid w:val="006A7BAE"/>
    <w:rsid w:val="006B0C33"/>
    <w:rsid w:val="006B0D98"/>
    <w:rsid w:val="006B134D"/>
    <w:rsid w:val="006B149A"/>
    <w:rsid w:val="006B1566"/>
    <w:rsid w:val="006B1642"/>
    <w:rsid w:val="006B1724"/>
    <w:rsid w:val="006B184F"/>
    <w:rsid w:val="006B24C7"/>
    <w:rsid w:val="006B272B"/>
    <w:rsid w:val="006B28B4"/>
    <w:rsid w:val="006B2BAA"/>
    <w:rsid w:val="006B2E76"/>
    <w:rsid w:val="006B3152"/>
    <w:rsid w:val="006B32BD"/>
    <w:rsid w:val="006B34CA"/>
    <w:rsid w:val="006B3500"/>
    <w:rsid w:val="006B360A"/>
    <w:rsid w:val="006B40E3"/>
    <w:rsid w:val="006B4238"/>
    <w:rsid w:val="006B441A"/>
    <w:rsid w:val="006B445D"/>
    <w:rsid w:val="006B449B"/>
    <w:rsid w:val="006B47DF"/>
    <w:rsid w:val="006B4AAB"/>
    <w:rsid w:val="006B4E0D"/>
    <w:rsid w:val="006B4EAD"/>
    <w:rsid w:val="006B4F41"/>
    <w:rsid w:val="006B583E"/>
    <w:rsid w:val="006B5DF2"/>
    <w:rsid w:val="006B69E8"/>
    <w:rsid w:val="006B6DF6"/>
    <w:rsid w:val="006B734B"/>
    <w:rsid w:val="006B7956"/>
    <w:rsid w:val="006B7A75"/>
    <w:rsid w:val="006C0315"/>
    <w:rsid w:val="006C063D"/>
    <w:rsid w:val="006C0A8D"/>
    <w:rsid w:val="006C0D0A"/>
    <w:rsid w:val="006C0DB4"/>
    <w:rsid w:val="006C0EA6"/>
    <w:rsid w:val="006C102C"/>
    <w:rsid w:val="006C113F"/>
    <w:rsid w:val="006C172D"/>
    <w:rsid w:val="006C1849"/>
    <w:rsid w:val="006C1919"/>
    <w:rsid w:val="006C203C"/>
    <w:rsid w:val="006C2106"/>
    <w:rsid w:val="006C23AE"/>
    <w:rsid w:val="006C240E"/>
    <w:rsid w:val="006C2530"/>
    <w:rsid w:val="006C260C"/>
    <w:rsid w:val="006C2610"/>
    <w:rsid w:val="006C2F07"/>
    <w:rsid w:val="006C2F0E"/>
    <w:rsid w:val="006C323E"/>
    <w:rsid w:val="006C3333"/>
    <w:rsid w:val="006C3371"/>
    <w:rsid w:val="006C34DD"/>
    <w:rsid w:val="006C35A7"/>
    <w:rsid w:val="006C3814"/>
    <w:rsid w:val="006C46BD"/>
    <w:rsid w:val="006C4A17"/>
    <w:rsid w:val="006C4C5B"/>
    <w:rsid w:val="006C4CCB"/>
    <w:rsid w:val="006C4E6A"/>
    <w:rsid w:val="006C52DC"/>
    <w:rsid w:val="006C587B"/>
    <w:rsid w:val="006C67FE"/>
    <w:rsid w:val="006C6D04"/>
    <w:rsid w:val="006C6D5E"/>
    <w:rsid w:val="006C70FC"/>
    <w:rsid w:val="006C73D6"/>
    <w:rsid w:val="006C7411"/>
    <w:rsid w:val="006C7FB2"/>
    <w:rsid w:val="006D0314"/>
    <w:rsid w:val="006D0353"/>
    <w:rsid w:val="006D094B"/>
    <w:rsid w:val="006D13B6"/>
    <w:rsid w:val="006D19EA"/>
    <w:rsid w:val="006D1B13"/>
    <w:rsid w:val="006D275F"/>
    <w:rsid w:val="006D278C"/>
    <w:rsid w:val="006D2CC4"/>
    <w:rsid w:val="006D2ECD"/>
    <w:rsid w:val="006D3618"/>
    <w:rsid w:val="006D3F3E"/>
    <w:rsid w:val="006D4BAD"/>
    <w:rsid w:val="006D4E70"/>
    <w:rsid w:val="006D4F16"/>
    <w:rsid w:val="006D52A3"/>
    <w:rsid w:val="006D5668"/>
    <w:rsid w:val="006D57FD"/>
    <w:rsid w:val="006D5890"/>
    <w:rsid w:val="006D61E1"/>
    <w:rsid w:val="006D6A22"/>
    <w:rsid w:val="006D70BA"/>
    <w:rsid w:val="006D7D58"/>
    <w:rsid w:val="006D7E16"/>
    <w:rsid w:val="006E007C"/>
    <w:rsid w:val="006E00F1"/>
    <w:rsid w:val="006E01AC"/>
    <w:rsid w:val="006E0412"/>
    <w:rsid w:val="006E06A0"/>
    <w:rsid w:val="006E08B3"/>
    <w:rsid w:val="006E0A78"/>
    <w:rsid w:val="006E0BB5"/>
    <w:rsid w:val="006E1118"/>
    <w:rsid w:val="006E1F89"/>
    <w:rsid w:val="006E21F6"/>
    <w:rsid w:val="006E26AF"/>
    <w:rsid w:val="006E26B6"/>
    <w:rsid w:val="006E287A"/>
    <w:rsid w:val="006E2AAA"/>
    <w:rsid w:val="006E2C91"/>
    <w:rsid w:val="006E2D0E"/>
    <w:rsid w:val="006E307D"/>
    <w:rsid w:val="006E30F3"/>
    <w:rsid w:val="006E3106"/>
    <w:rsid w:val="006E32CB"/>
    <w:rsid w:val="006E3C4A"/>
    <w:rsid w:val="006E3CC9"/>
    <w:rsid w:val="006E3F9E"/>
    <w:rsid w:val="006E4481"/>
    <w:rsid w:val="006E4905"/>
    <w:rsid w:val="006E5469"/>
    <w:rsid w:val="006E5B6A"/>
    <w:rsid w:val="006E5FD7"/>
    <w:rsid w:val="006E63DB"/>
    <w:rsid w:val="006E6632"/>
    <w:rsid w:val="006E760B"/>
    <w:rsid w:val="006E7632"/>
    <w:rsid w:val="006E78AD"/>
    <w:rsid w:val="006E79D2"/>
    <w:rsid w:val="006E7AB9"/>
    <w:rsid w:val="006E7D66"/>
    <w:rsid w:val="006F0015"/>
    <w:rsid w:val="006F0050"/>
    <w:rsid w:val="006F014E"/>
    <w:rsid w:val="006F0B98"/>
    <w:rsid w:val="006F0D11"/>
    <w:rsid w:val="006F0E6A"/>
    <w:rsid w:val="006F12B8"/>
    <w:rsid w:val="006F1483"/>
    <w:rsid w:val="006F1873"/>
    <w:rsid w:val="006F1F29"/>
    <w:rsid w:val="006F2176"/>
    <w:rsid w:val="006F231C"/>
    <w:rsid w:val="006F2374"/>
    <w:rsid w:val="006F2486"/>
    <w:rsid w:val="006F34E5"/>
    <w:rsid w:val="006F37BA"/>
    <w:rsid w:val="006F3A19"/>
    <w:rsid w:val="006F4B2A"/>
    <w:rsid w:val="006F4D51"/>
    <w:rsid w:val="006F5129"/>
    <w:rsid w:val="006F56B2"/>
    <w:rsid w:val="006F5AB2"/>
    <w:rsid w:val="006F5F65"/>
    <w:rsid w:val="006F627C"/>
    <w:rsid w:val="006F6367"/>
    <w:rsid w:val="006F6683"/>
    <w:rsid w:val="006F69F4"/>
    <w:rsid w:val="006F6A16"/>
    <w:rsid w:val="006F6B32"/>
    <w:rsid w:val="006F6C9B"/>
    <w:rsid w:val="006F6D88"/>
    <w:rsid w:val="006F7667"/>
    <w:rsid w:val="006F788C"/>
    <w:rsid w:val="006F7B3C"/>
    <w:rsid w:val="0070001E"/>
    <w:rsid w:val="007001D1"/>
    <w:rsid w:val="00700590"/>
    <w:rsid w:val="00700ABD"/>
    <w:rsid w:val="00700E7E"/>
    <w:rsid w:val="00701877"/>
    <w:rsid w:val="00701D22"/>
    <w:rsid w:val="00701F07"/>
    <w:rsid w:val="00701F1E"/>
    <w:rsid w:val="007020E8"/>
    <w:rsid w:val="00702A15"/>
    <w:rsid w:val="00702FF1"/>
    <w:rsid w:val="007033B5"/>
    <w:rsid w:val="007035EE"/>
    <w:rsid w:val="00703B7F"/>
    <w:rsid w:val="0070460B"/>
    <w:rsid w:val="00704C34"/>
    <w:rsid w:val="007050B9"/>
    <w:rsid w:val="0070520A"/>
    <w:rsid w:val="00705632"/>
    <w:rsid w:val="007063FE"/>
    <w:rsid w:val="00706450"/>
    <w:rsid w:val="00706873"/>
    <w:rsid w:val="007068BC"/>
    <w:rsid w:val="00706B11"/>
    <w:rsid w:val="00706FC2"/>
    <w:rsid w:val="007072EE"/>
    <w:rsid w:val="007073D6"/>
    <w:rsid w:val="007074DC"/>
    <w:rsid w:val="007079C9"/>
    <w:rsid w:val="007100E2"/>
    <w:rsid w:val="007106A6"/>
    <w:rsid w:val="00710C4F"/>
    <w:rsid w:val="00710D0C"/>
    <w:rsid w:val="00711245"/>
    <w:rsid w:val="0071124E"/>
    <w:rsid w:val="0071185C"/>
    <w:rsid w:val="007118D0"/>
    <w:rsid w:val="00711AF0"/>
    <w:rsid w:val="00712376"/>
    <w:rsid w:val="00712608"/>
    <w:rsid w:val="007129D5"/>
    <w:rsid w:val="00712A62"/>
    <w:rsid w:val="00712D31"/>
    <w:rsid w:val="00712EDB"/>
    <w:rsid w:val="007131B5"/>
    <w:rsid w:val="00713492"/>
    <w:rsid w:val="0071366B"/>
    <w:rsid w:val="007137C3"/>
    <w:rsid w:val="007138D9"/>
    <w:rsid w:val="0071451F"/>
    <w:rsid w:val="0071452E"/>
    <w:rsid w:val="00714AEA"/>
    <w:rsid w:val="00714DD3"/>
    <w:rsid w:val="00714FD1"/>
    <w:rsid w:val="0071519F"/>
    <w:rsid w:val="0071548C"/>
    <w:rsid w:val="007156C0"/>
    <w:rsid w:val="007158EB"/>
    <w:rsid w:val="00715BB3"/>
    <w:rsid w:val="00715D6A"/>
    <w:rsid w:val="00715F02"/>
    <w:rsid w:val="007161F5"/>
    <w:rsid w:val="007170F9"/>
    <w:rsid w:val="00717340"/>
    <w:rsid w:val="0071775D"/>
    <w:rsid w:val="00717AF6"/>
    <w:rsid w:val="00717B8D"/>
    <w:rsid w:val="00720547"/>
    <w:rsid w:val="007206B1"/>
    <w:rsid w:val="00720CF3"/>
    <w:rsid w:val="007216A3"/>
    <w:rsid w:val="0072174A"/>
    <w:rsid w:val="00721BBB"/>
    <w:rsid w:val="00721DAB"/>
    <w:rsid w:val="00721FB2"/>
    <w:rsid w:val="00722129"/>
    <w:rsid w:val="007223C4"/>
    <w:rsid w:val="00722435"/>
    <w:rsid w:val="00723881"/>
    <w:rsid w:val="00723D3C"/>
    <w:rsid w:val="00723F2C"/>
    <w:rsid w:val="0072451C"/>
    <w:rsid w:val="00724871"/>
    <w:rsid w:val="00724CC4"/>
    <w:rsid w:val="00725461"/>
    <w:rsid w:val="00725472"/>
    <w:rsid w:val="00725763"/>
    <w:rsid w:val="007260A9"/>
    <w:rsid w:val="00726D3B"/>
    <w:rsid w:val="00726EE8"/>
    <w:rsid w:val="007271D9"/>
    <w:rsid w:val="0072753B"/>
    <w:rsid w:val="007276BD"/>
    <w:rsid w:val="00727C9C"/>
    <w:rsid w:val="00730218"/>
    <w:rsid w:val="007302B7"/>
    <w:rsid w:val="007302EB"/>
    <w:rsid w:val="00730AB8"/>
    <w:rsid w:val="00730DD7"/>
    <w:rsid w:val="007316D0"/>
    <w:rsid w:val="007316F5"/>
    <w:rsid w:val="007319BF"/>
    <w:rsid w:val="00732879"/>
    <w:rsid w:val="007328AD"/>
    <w:rsid w:val="00732DDA"/>
    <w:rsid w:val="0073363B"/>
    <w:rsid w:val="007338B9"/>
    <w:rsid w:val="00733B4B"/>
    <w:rsid w:val="00733D36"/>
    <w:rsid w:val="007340EF"/>
    <w:rsid w:val="0073417A"/>
    <w:rsid w:val="00734272"/>
    <w:rsid w:val="007342CD"/>
    <w:rsid w:val="007346A6"/>
    <w:rsid w:val="00734D5D"/>
    <w:rsid w:val="00734EF1"/>
    <w:rsid w:val="007356F2"/>
    <w:rsid w:val="00735941"/>
    <w:rsid w:val="007360B0"/>
    <w:rsid w:val="00736480"/>
    <w:rsid w:val="00736C17"/>
    <w:rsid w:val="00736CEA"/>
    <w:rsid w:val="00736F70"/>
    <w:rsid w:val="0073715A"/>
    <w:rsid w:val="007371B8"/>
    <w:rsid w:val="00737271"/>
    <w:rsid w:val="007372D2"/>
    <w:rsid w:val="007374C6"/>
    <w:rsid w:val="00737718"/>
    <w:rsid w:val="00737B79"/>
    <w:rsid w:val="00737D52"/>
    <w:rsid w:val="00740198"/>
    <w:rsid w:val="00740267"/>
    <w:rsid w:val="00740504"/>
    <w:rsid w:val="0074092D"/>
    <w:rsid w:val="00740A25"/>
    <w:rsid w:val="00740A2D"/>
    <w:rsid w:val="00741210"/>
    <w:rsid w:val="007414A4"/>
    <w:rsid w:val="00741663"/>
    <w:rsid w:val="00741987"/>
    <w:rsid w:val="00742449"/>
    <w:rsid w:val="007428DE"/>
    <w:rsid w:val="007429E1"/>
    <w:rsid w:val="00742E74"/>
    <w:rsid w:val="00742EF5"/>
    <w:rsid w:val="00743026"/>
    <w:rsid w:val="0074350C"/>
    <w:rsid w:val="0074361D"/>
    <w:rsid w:val="007436A4"/>
    <w:rsid w:val="00743B2C"/>
    <w:rsid w:val="00743E97"/>
    <w:rsid w:val="00744042"/>
    <w:rsid w:val="0074409D"/>
    <w:rsid w:val="00744298"/>
    <w:rsid w:val="00744541"/>
    <w:rsid w:val="007449DC"/>
    <w:rsid w:val="00745181"/>
    <w:rsid w:val="007455A8"/>
    <w:rsid w:val="00745BA3"/>
    <w:rsid w:val="00745DC4"/>
    <w:rsid w:val="00745DDF"/>
    <w:rsid w:val="007465D4"/>
    <w:rsid w:val="00746918"/>
    <w:rsid w:val="0074786F"/>
    <w:rsid w:val="00747AD2"/>
    <w:rsid w:val="00750021"/>
    <w:rsid w:val="00750048"/>
    <w:rsid w:val="0075038F"/>
    <w:rsid w:val="007508D8"/>
    <w:rsid w:val="00750FDD"/>
    <w:rsid w:val="0075146B"/>
    <w:rsid w:val="007515AF"/>
    <w:rsid w:val="00751D0C"/>
    <w:rsid w:val="00751D61"/>
    <w:rsid w:val="00752057"/>
    <w:rsid w:val="00752554"/>
    <w:rsid w:val="00752B2A"/>
    <w:rsid w:val="00752E0A"/>
    <w:rsid w:val="00752E8A"/>
    <w:rsid w:val="007533C0"/>
    <w:rsid w:val="00753636"/>
    <w:rsid w:val="007538C0"/>
    <w:rsid w:val="00753961"/>
    <w:rsid w:val="00753DC8"/>
    <w:rsid w:val="00753EA5"/>
    <w:rsid w:val="00753F0F"/>
    <w:rsid w:val="007541F1"/>
    <w:rsid w:val="007543FE"/>
    <w:rsid w:val="007546E6"/>
    <w:rsid w:val="0075495E"/>
    <w:rsid w:val="00754B2A"/>
    <w:rsid w:val="00754DA5"/>
    <w:rsid w:val="00754EB2"/>
    <w:rsid w:val="00754F2B"/>
    <w:rsid w:val="00754FDE"/>
    <w:rsid w:val="007551E2"/>
    <w:rsid w:val="00755221"/>
    <w:rsid w:val="00755733"/>
    <w:rsid w:val="007558AD"/>
    <w:rsid w:val="00755BE6"/>
    <w:rsid w:val="0075646E"/>
    <w:rsid w:val="00756A4C"/>
    <w:rsid w:val="007572F3"/>
    <w:rsid w:val="0075783D"/>
    <w:rsid w:val="007579A8"/>
    <w:rsid w:val="007601DB"/>
    <w:rsid w:val="0076040F"/>
    <w:rsid w:val="007606B5"/>
    <w:rsid w:val="007615CB"/>
    <w:rsid w:val="007617A7"/>
    <w:rsid w:val="00761A06"/>
    <w:rsid w:val="00761AB9"/>
    <w:rsid w:val="0076278F"/>
    <w:rsid w:val="007628A7"/>
    <w:rsid w:val="00762BF2"/>
    <w:rsid w:val="00762D50"/>
    <w:rsid w:val="0076339A"/>
    <w:rsid w:val="007634C5"/>
    <w:rsid w:val="00763506"/>
    <w:rsid w:val="007637AE"/>
    <w:rsid w:val="00763BE8"/>
    <w:rsid w:val="00763DE8"/>
    <w:rsid w:val="007644E0"/>
    <w:rsid w:val="0076459C"/>
    <w:rsid w:val="007647CC"/>
    <w:rsid w:val="00764C04"/>
    <w:rsid w:val="00764D8C"/>
    <w:rsid w:val="0076540F"/>
    <w:rsid w:val="007654D0"/>
    <w:rsid w:val="00765A4F"/>
    <w:rsid w:val="00765B18"/>
    <w:rsid w:val="00766650"/>
    <w:rsid w:val="00766D90"/>
    <w:rsid w:val="00766E3C"/>
    <w:rsid w:val="007673F7"/>
    <w:rsid w:val="00767516"/>
    <w:rsid w:val="00767925"/>
    <w:rsid w:val="00767B4A"/>
    <w:rsid w:val="00767D16"/>
    <w:rsid w:val="00767D2D"/>
    <w:rsid w:val="00767E1A"/>
    <w:rsid w:val="00767F9F"/>
    <w:rsid w:val="0077016A"/>
    <w:rsid w:val="007702FD"/>
    <w:rsid w:val="007707FC"/>
    <w:rsid w:val="007708BD"/>
    <w:rsid w:val="00770A03"/>
    <w:rsid w:val="00770FD6"/>
    <w:rsid w:val="00771146"/>
    <w:rsid w:val="00771555"/>
    <w:rsid w:val="00771697"/>
    <w:rsid w:val="007719DC"/>
    <w:rsid w:val="00771D52"/>
    <w:rsid w:val="00771F26"/>
    <w:rsid w:val="00772A73"/>
    <w:rsid w:val="00772E4B"/>
    <w:rsid w:val="00773119"/>
    <w:rsid w:val="00773263"/>
    <w:rsid w:val="007733C3"/>
    <w:rsid w:val="00773493"/>
    <w:rsid w:val="00773AFD"/>
    <w:rsid w:val="00773C1F"/>
    <w:rsid w:val="00773E64"/>
    <w:rsid w:val="00773EDB"/>
    <w:rsid w:val="00774493"/>
    <w:rsid w:val="0077469C"/>
    <w:rsid w:val="0077491D"/>
    <w:rsid w:val="0077543D"/>
    <w:rsid w:val="00775691"/>
    <w:rsid w:val="00775705"/>
    <w:rsid w:val="00775EE3"/>
    <w:rsid w:val="0077735F"/>
    <w:rsid w:val="00777386"/>
    <w:rsid w:val="00777E82"/>
    <w:rsid w:val="00777FCF"/>
    <w:rsid w:val="00780976"/>
    <w:rsid w:val="00780B8F"/>
    <w:rsid w:val="007810E1"/>
    <w:rsid w:val="00781DBC"/>
    <w:rsid w:val="0078210D"/>
    <w:rsid w:val="00782428"/>
    <w:rsid w:val="007830EE"/>
    <w:rsid w:val="0078319C"/>
    <w:rsid w:val="00783301"/>
    <w:rsid w:val="00783793"/>
    <w:rsid w:val="00783AF7"/>
    <w:rsid w:val="00783C23"/>
    <w:rsid w:val="00783DF7"/>
    <w:rsid w:val="007844D6"/>
    <w:rsid w:val="00784619"/>
    <w:rsid w:val="0078462D"/>
    <w:rsid w:val="00784862"/>
    <w:rsid w:val="00784DE5"/>
    <w:rsid w:val="00784F7D"/>
    <w:rsid w:val="00784F9F"/>
    <w:rsid w:val="00785392"/>
    <w:rsid w:val="007861A1"/>
    <w:rsid w:val="007863AF"/>
    <w:rsid w:val="00786AEA"/>
    <w:rsid w:val="00786B99"/>
    <w:rsid w:val="00786D73"/>
    <w:rsid w:val="0078738D"/>
    <w:rsid w:val="00787574"/>
    <w:rsid w:val="00790210"/>
    <w:rsid w:val="00790783"/>
    <w:rsid w:val="00790ABE"/>
    <w:rsid w:val="00790D38"/>
    <w:rsid w:val="0079171E"/>
    <w:rsid w:val="0079185C"/>
    <w:rsid w:val="00791A28"/>
    <w:rsid w:val="00791E0B"/>
    <w:rsid w:val="00792048"/>
    <w:rsid w:val="0079230A"/>
    <w:rsid w:val="0079234B"/>
    <w:rsid w:val="00792908"/>
    <w:rsid w:val="007929DC"/>
    <w:rsid w:val="00792D35"/>
    <w:rsid w:val="00792D9A"/>
    <w:rsid w:val="0079307D"/>
    <w:rsid w:val="007930D3"/>
    <w:rsid w:val="007934F5"/>
    <w:rsid w:val="00793554"/>
    <w:rsid w:val="007935BD"/>
    <w:rsid w:val="00793787"/>
    <w:rsid w:val="0079380C"/>
    <w:rsid w:val="00793DFB"/>
    <w:rsid w:val="0079424C"/>
    <w:rsid w:val="0079449D"/>
    <w:rsid w:val="0079450B"/>
    <w:rsid w:val="00794FB8"/>
    <w:rsid w:val="00795D77"/>
    <w:rsid w:val="00795D90"/>
    <w:rsid w:val="0079644A"/>
    <w:rsid w:val="00796C8B"/>
    <w:rsid w:val="00796FC7"/>
    <w:rsid w:val="00797100"/>
    <w:rsid w:val="007A13AC"/>
    <w:rsid w:val="007A1732"/>
    <w:rsid w:val="007A190C"/>
    <w:rsid w:val="007A19F5"/>
    <w:rsid w:val="007A201B"/>
    <w:rsid w:val="007A2107"/>
    <w:rsid w:val="007A23AA"/>
    <w:rsid w:val="007A26BC"/>
    <w:rsid w:val="007A2F9C"/>
    <w:rsid w:val="007A323E"/>
    <w:rsid w:val="007A336D"/>
    <w:rsid w:val="007A34BD"/>
    <w:rsid w:val="007A453A"/>
    <w:rsid w:val="007A4A59"/>
    <w:rsid w:val="007A5105"/>
    <w:rsid w:val="007A5518"/>
    <w:rsid w:val="007A5766"/>
    <w:rsid w:val="007A5B20"/>
    <w:rsid w:val="007A5CD0"/>
    <w:rsid w:val="007A6230"/>
    <w:rsid w:val="007A627D"/>
    <w:rsid w:val="007A7064"/>
    <w:rsid w:val="007A7844"/>
    <w:rsid w:val="007B00D0"/>
    <w:rsid w:val="007B01C3"/>
    <w:rsid w:val="007B025E"/>
    <w:rsid w:val="007B0330"/>
    <w:rsid w:val="007B0474"/>
    <w:rsid w:val="007B077C"/>
    <w:rsid w:val="007B0922"/>
    <w:rsid w:val="007B20EA"/>
    <w:rsid w:val="007B2565"/>
    <w:rsid w:val="007B2618"/>
    <w:rsid w:val="007B26B5"/>
    <w:rsid w:val="007B2B32"/>
    <w:rsid w:val="007B2BC0"/>
    <w:rsid w:val="007B31F1"/>
    <w:rsid w:val="007B3377"/>
    <w:rsid w:val="007B38BB"/>
    <w:rsid w:val="007B3E3F"/>
    <w:rsid w:val="007B3EDD"/>
    <w:rsid w:val="007B3F4B"/>
    <w:rsid w:val="007B4261"/>
    <w:rsid w:val="007B4310"/>
    <w:rsid w:val="007B4417"/>
    <w:rsid w:val="007B490D"/>
    <w:rsid w:val="007B4978"/>
    <w:rsid w:val="007B49D1"/>
    <w:rsid w:val="007B4A6D"/>
    <w:rsid w:val="007B4CD8"/>
    <w:rsid w:val="007B4F56"/>
    <w:rsid w:val="007B534A"/>
    <w:rsid w:val="007B53D3"/>
    <w:rsid w:val="007B53E7"/>
    <w:rsid w:val="007B594E"/>
    <w:rsid w:val="007B5A07"/>
    <w:rsid w:val="007B5EA9"/>
    <w:rsid w:val="007B62FC"/>
    <w:rsid w:val="007B66FC"/>
    <w:rsid w:val="007B6705"/>
    <w:rsid w:val="007B7196"/>
    <w:rsid w:val="007B7243"/>
    <w:rsid w:val="007B72C5"/>
    <w:rsid w:val="007B7616"/>
    <w:rsid w:val="007B7709"/>
    <w:rsid w:val="007B774D"/>
    <w:rsid w:val="007B7CB2"/>
    <w:rsid w:val="007B7EA0"/>
    <w:rsid w:val="007C0048"/>
    <w:rsid w:val="007C041E"/>
    <w:rsid w:val="007C0D90"/>
    <w:rsid w:val="007C0E84"/>
    <w:rsid w:val="007C0E99"/>
    <w:rsid w:val="007C0EDB"/>
    <w:rsid w:val="007C1189"/>
    <w:rsid w:val="007C1BDC"/>
    <w:rsid w:val="007C1D5D"/>
    <w:rsid w:val="007C2100"/>
    <w:rsid w:val="007C2408"/>
    <w:rsid w:val="007C2A3F"/>
    <w:rsid w:val="007C2EC8"/>
    <w:rsid w:val="007C314C"/>
    <w:rsid w:val="007C383B"/>
    <w:rsid w:val="007C38FA"/>
    <w:rsid w:val="007C3D37"/>
    <w:rsid w:val="007C4216"/>
    <w:rsid w:val="007C4417"/>
    <w:rsid w:val="007C4880"/>
    <w:rsid w:val="007C4B76"/>
    <w:rsid w:val="007C4D35"/>
    <w:rsid w:val="007C4DF7"/>
    <w:rsid w:val="007C53AA"/>
    <w:rsid w:val="007C57B7"/>
    <w:rsid w:val="007C6F08"/>
    <w:rsid w:val="007C7B25"/>
    <w:rsid w:val="007C7E9B"/>
    <w:rsid w:val="007D04D1"/>
    <w:rsid w:val="007D071B"/>
    <w:rsid w:val="007D0A1D"/>
    <w:rsid w:val="007D0D44"/>
    <w:rsid w:val="007D1081"/>
    <w:rsid w:val="007D11C0"/>
    <w:rsid w:val="007D17E8"/>
    <w:rsid w:val="007D1B47"/>
    <w:rsid w:val="007D1E6E"/>
    <w:rsid w:val="007D2291"/>
    <w:rsid w:val="007D242D"/>
    <w:rsid w:val="007D250A"/>
    <w:rsid w:val="007D2F47"/>
    <w:rsid w:val="007D30EA"/>
    <w:rsid w:val="007D30FB"/>
    <w:rsid w:val="007D32EB"/>
    <w:rsid w:val="007D3363"/>
    <w:rsid w:val="007D3B28"/>
    <w:rsid w:val="007D3BE3"/>
    <w:rsid w:val="007D3C82"/>
    <w:rsid w:val="007D419B"/>
    <w:rsid w:val="007D4B88"/>
    <w:rsid w:val="007D4FB6"/>
    <w:rsid w:val="007D5D25"/>
    <w:rsid w:val="007D64EA"/>
    <w:rsid w:val="007D660F"/>
    <w:rsid w:val="007D6716"/>
    <w:rsid w:val="007D6CAF"/>
    <w:rsid w:val="007D6D1A"/>
    <w:rsid w:val="007D6EF4"/>
    <w:rsid w:val="007D71C4"/>
    <w:rsid w:val="007D72C1"/>
    <w:rsid w:val="007D72EB"/>
    <w:rsid w:val="007D73CD"/>
    <w:rsid w:val="007D7E8F"/>
    <w:rsid w:val="007E0165"/>
    <w:rsid w:val="007E0279"/>
    <w:rsid w:val="007E0404"/>
    <w:rsid w:val="007E0C8C"/>
    <w:rsid w:val="007E14E9"/>
    <w:rsid w:val="007E1532"/>
    <w:rsid w:val="007E192D"/>
    <w:rsid w:val="007E1AC8"/>
    <w:rsid w:val="007E1B1E"/>
    <w:rsid w:val="007E1E44"/>
    <w:rsid w:val="007E1E9A"/>
    <w:rsid w:val="007E1FBD"/>
    <w:rsid w:val="007E2289"/>
    <w:rsid w:val="007E23D9"/>
    <w:rsid w:val="007E2599"/>
    <w:rsid w:val="007E2A75"/>
    <w:rsid w:val="007E2ACB"/>
    <w:rsid w:val="007E376A"/>
    <w:rsid w:val="007E3BBC"/>
    <w:rsid w:val="007E3C43"/>
    <w:rsid w:val="007E3F01"/>
    <w:rsid w:val="007E3F51"/>
    <w:rsid w:val="007E4071"/>
    <w:rsid w:val="007E4999"/>
    <w:rsid w:val="007E4E51"/>
    <w:rsid w:val="007E5018"/>
    <w:rsid w:val="007E517F"/>
    <w:rsid w:val="007E5A57"/>
    <w:rsid w:val="007E5AA5"/>
    <w:rsid w:val="007E5B83"/>
    <w:rsid w:val="007E5BE5"/>
    <w:rsid w:val="007E5C2B"/>
    <w:rsid w:val="007E64E9"/>
    <w:rsid w:val="007E6671"/>
    <w:rsid w:val="007E6C1B"/>
    <w:rsid w:val="007E7379"/>
    <w:rsid w:val="007E7445"/>
    <w:rsid w:val="007E75C8"/>
    <w:rsid w:val="007E7782"/>
    <w:rsid w:val="007E783A"/>
    <w:rsid w:val="007F0350"/>
    <w:rsid w:val="007F0DFF"/>
    <w:rsid w:val="007F100A"/>
    <w:rsid w:val="007F1228"/>
    <w:rsid w:val="007F1517"/>
    <w:rsid w:val="007F1873"/>
    <w:rsid w:val="007F1C06"/>
    <w:rsid w:val="007F2AAB"/>
    <w:rsid w:val="007F2EA7"/>
    <w:rsid w:val="007F3779"/>
    <w:rsid w:val="007F3DB2"/>
    <w:rsid w:val="007F3F94"/>
    <w:rsid w:val="007F423B"/>
    <w:rsid w:val="007F443D"/>
    <w:rsid w:val="007F4996"/>
    <w:rsid w:val="007F4AAA"/>
    <w:rsid w:val="007F4F2B"/>
    <w:rsid w:val="007F4F9E"/>
    <w:rsid w:val="007F516B"/>
    <w:rsid w:val="007F51A8"/>
    <w:rsid w:val="007F5204"/>
    <w:rsid w:val="007F5989"/>
    <w:rsid w:val="007F5ECF"/>
    <w:rsid w:val="007F6517"/>
    <w:rsid w:val="007F683D"/>
    <w:rsid w:val="007F6B8E"/>
    <w:rsid w:val="007F7286"/>
    <w:rsid w:val="007F729B"/>
    <w:rsid w:val="007F74A0"/>
    <w:rsid w:val="007F756E"/>
    <w:rsid w:val="007F76D5"/>
    <w:rsid w:val="007F7831"/>
    <w:rsid w:val="007F7B83"/>
    <w:rsid w:val="007F7E4A"/>
    <w:rsid w:val="008000D2"/>
    <w:rsid w:val="0080036F"/>
    <w:rsid w:val="0080074A"/>
    <w:rsid w:val="00800807"/>
    <w:rsid w:val="00800929"/>
    <w:rsid w:val="00800D93"/>
    <w:rsid w:val="00800EB0"/>
    <w:rsid w:val="008013C0"/>
    <w:rsid w:val="00801729"/>
    <w:rsid w:val="0080203F"/>
    <w:rsid w:val="00802582"/>
    <w:rsid w:val="008025B0"/>
    <w:rsid w:val="008029BB"/>
    <w:rsid w:val="0080333D"/>
    <w:rsid w:val="00804164"/>
    <w:rsid w:val="0080440A"/>
    <w:rsid w:val="008044DB"/>
    <w:rsid w:val="00804B3E"/>
    <w:rsid w:val="00804DE7"/>
    <w:rsid w:val="008055D6"/>
    <w:rsid w:val="008056B4"/>
    <w:rsid w:val="00805E21"/>
    <w:rsid w:val="008060C0"/>
    <w:rsid w:val="00806192"/>
    <w:rsid w:val="00806710"/>
    <w:rsid w:val="00806D52"/>
    <w:rsid w:val="00806ED2"/>
    <w:rsid w:val="00806F09"/>
    <w:rsid w:val="00806FD7"/>
    <w:rsid w:val="0080706A"/>
    <w:rsid w:val="0080706C"/>
    <w:rsid w:val="008076D1"/>
    <w:rsid w:val="00807B1B"/>
    <w:rsid w:val="00807BB3"/>
    <w:rsid w:val="00807DF2"/>
    <w:rsid w:val="00810096"/>
    <w:rsid w:val="00810269"/>
    <w:rsid w:val="0081075A"/>
    <w:rsid w:val="00810D50"/>
    <w:rsid w:val="0081140D"/>
    <w:rsid w:val="008124BD"/>
    <w:rsid w:val="00812A63"/>
    <w:rsid w:val="00812CC8"/>
    <w:rsid w:val="00812D6E"/>
    <w:rsid w:val="00813357"/>
    <w:rsid w:val="0081336B"/>
    <w:rsid w:val="00813695"/>
    <w:rsid w:val="00813ABE"/>
    <w:rsid w:val="00813EF2"/>
    <w:rsid w:val="00813FBA"/>
    <w:rsid w:val="0081461B"/>
    <w:rsid w:val="00814750"/>
    <w:rsid w:val="008147A6"/>
    <w:rsid w:val="00814AD0"/>
    <w:rsid w:val="00814AFF"/>
    <w:rsid w:val="00814E13"/>
    <w:rsid w:val="00814EDA"/>
    <w:rsid w:val="008154D3"/>
    <w:rsid w:val="008158C4"/>
    <w:rsid w:val="008159A1"/>
    <w:rsid w:val="00816745"/>
    <w:rsid w:val="0081757C"/>
    <w:rsid w:val="00817941"/>
    <w:rsid w:val="00817F32"/>
    <w:rsid w:val="00820055"/>
    <w:rsid w:val="008204CF"/>
    <w:rsid w:val="00820568"/>
    <w:rsid w:val="0082095F"/>
    <w:rsid w:val="00820A93"/>
    <w:rsid w:val="00820BBB"/>
    <w:rsid w:val="00820FFF"/>
    <w:rsid w:val="00821006"/>
    <w:rsid w:val="0082103E"/>
    <w:rsid w:val="008214A4"/>
    <w:rsid w:val="0082170F"/>
    <w:rsid w:val="00821A9A"/>
    <w:rsid w:val="00821FAB"/>
    <w:rsid w:val="0082201B"/>
    <w:rsid w:val="00822208"/>
    <w:rsid w:val="008225C3"/>
    <w:rsid w:val="00822EF2"/>
    <w:rsid w:val="008230CD"/>
    <w:rsid w:val="008230F5"/>
    <w:rsid w:val="008232A9"/>
    <w:rsid w:val="008236DC"/>
    <w:rsid w:val="008247FE"/>
    <w:rsid w:val="008249DF"/>
    <w:rsid w:val="00824B13"/>
    <w:rsid w:val="00824B3F"/>
    <w:rsid w:val="00824FDB"/>
    <w:rsid w:val="00825585"/>
    <w:rsid w:val="0082576B"/>
    <w:rsid w:val="00825EC3"/>
    <w:rsid w:val="00826051"/>
    <w:rsid w:val="00826506"/>
    <w:rsid w:val="00826D42"/>
    <w:rsid w:val="008270E8"/>
    <w:rsid w:val="00827A0E"/>
    <w:rsid w:val="00830699"/>
    <w:rsid w:val="0083079F"/>
    <w:rsid w:val="00830953"/>
    <w:rsid w:val="00830F8F"/>
    <w:rsid w:val="008310CD"/>
    <w:rsid w:val="00831879"/>
    <w:rsid w:val="008318AA"/>
    <w:rsid w:val="00831987"/>
    <w:rsid w:val="00831DC7"/>
    <w:rsid w:val="0083200E"/>
    <w:rsid w:val="0083230F"/>
    <w:rsid w:val="008330D5"/>
    <w:rsid w:val="00833228"/>
    <w:rsid w:val="008337B0"/>
    <w:rsid w:val="00833CFB"/>
    <w:rsid w:val="00833D33"/>
    <w:rsid w:val="00833E7D"/>
    <w:rsid w:val="00834505"/>
    <w:rsid w:val="00834903"/>
    <w:rsid w:val="0083499C"/>
    <w:rsid w:val="00835170"/>
    <w:rsid w:val="008357B0"/>
    <w:rsid w:val="008357E3"/>
    <w:rsid w:val="008358C0"/>
    <w:rsid w:val="00835E1E"/>
    <w:rsid w:val="00836025"/>
    <w:rsid w:val="00836274"/>
    <w:rsid w:val="00836725"/>
    <w:rsid w:val="008369A1"/>
    <w:rsid w:val="008374D4"/>
    <w:rsid w:val="008375E2"/>
    <w:rsid w:val="0083760C"/>
    <w:rsid w:val="00837665"/>
    <w:rsid w:val="008378E5"/>
    <w:rsid w:val="00837A63"/>
    <w:rsid w:val="00837DAB"/>
    <w:rsid w:val="00837FA7"/>
    <w:rsid w:val="0084008C"/>
    <w:rsid w:val="00840502"/>
    <w:rsid w:val="008413FD"/>
    <w:rsid w:val="0084141A"/>
    <w:rsid w:val="008420BF"/>
    <w:rsid w:val="00842164"/>
    <w:rsid w:val="00842223"/>
    <w:rsid w:val="00842956"/>
    <w:rsid w:val="00843355"/>
    <w:rsid w:val="008433B8"/>
    <w:rsid w:val="0084346B"/>
    <w:rsid w:val="008440C3"/>
    <w:rsid w:val="008446A4"/>
    <w:rsid w:val="008446F8"/>
    <w:rsid w:val="008447C0"/>
    <w:rsid w:val="0084491B"/>
    <w:rsid w:val="008457A2"/>
    <w:rsid w:val="00845C66"/>
    <w:rsid w:val="00845D0A"/>
    <w:rsid w:val="008462C1"/>
    <w:rsid w:val="00846443"/>
    <w:rsid w:val="00846A66"/>
    <w:rsid w:val="008471E7"/>
    <w:rsid w:val="00847340"/>
    <w:rsid w:val="00847428"/>
    <w:rsid w:val="00847518"/>
    <w:rsid w:val="00847C84"/>
    <w:rsid w:val="00847F12"/>
    <w:rsid w:val="0085006A"/>
    <w:rsid w:val="00850081"/>
    <w:rsid w:val="008500D6"/>
    <w:rsid w:val="0085179C"/>
    <w:rsid w:val="008519B3"/>
    <w:rsid w:val="00851B55"/>
    <w:rsid w:val="00851DDA"/>
    <w:rsid w:val="0085250C"/>
    <w:rsid w:val="00852532"/>
    <w:rsid w:val="008529FB"/>
    <w:rsid w:val="00852C25"/>
    <w:rsid w:val="00852D9F"/>
    <w:rsid w:val="00853CA0"/>
    <w:rsid w:val="00853E1F"/>
    <w:rsid w:val="008543A6"/>
    <w:rsid w:val="0085442F"/>
    <w:rsid w:val="0085473E"/>
    <w:rsid w:val="00854A3C"/>
    <w:rsid w:val="00854B68"/>
    <w:rsid w:val="00854CE9"/>
    <w:rsid w:val="00854D65"/>
    <w:rsid w:val="0085502E"/>
    <w:rsid w:val="0085520F"/>
    <w:rsid w:val="008553ED"/>
    <w:rsid w:val="00855494"/>
    <w:rsid w:val="0085561E"/>
    <w:rsid w:val="008557B9"/>
    <w:rsid w:val="00855DE4"/>
    <w:rsid w:val="0085621F"/>
    <w:rsid w:val="0085633B"/>
    <w:rsid w:val="00856427"/>
    <w:rsid w:val="008564EB"/>
    <w:rsid w:val="00856C31"/>
    <w:rsid w:val="00856C75"/>
    <w:rsid w:val="008577F8"/>
    <w:rsid w:val="008578F4"/>
    <w:rsid w:val="008605C1"/>
    <w:rsid w:val="00860666"/>
    <w:rsid w:val="00860794"/>
    <w:rsid w:val="0086091F"/>
    <w:rsid w:val="00860C34"/>
    <w:rsid w:val="00860F9D"/>
    <w:rsid w:val="00861133"/>
    <w:rsid w:val="0086138E"/>
    <w:rsid w:val="008614DE"/>
    <w:rsid w:val="0086160F"/>
    <w:rsid w:val="008617EF"/>
    <w:rsid w:val="00861CB0"/>
    <w:rsid w:val="00861FD3"/>
    <w:rsid w:val="00862630"/>
    <w:rsid w:val="00862CB7"/>
    <w:rsid w:val="00862D12"/>
    <w:rsid w:val="00863105"/>
    <w:rsid w:val="00863565"/>
    <w:rsid w:val="00863D01"/>
    <w:rsid w:val="00863F1F"/>
    <w:rsid w:val="0086429C"/>
    <w:rsid w:val="00864FF4"/>
    <w:rsid w:val="00865F17"/>
    <w:rsid w:val="00866249"/>
    <w:rsid w:val="0086633E"/>
    <w:rsid w:val="00866359"/>
    <w:rsid w:val="00866405"/>
    <w:rsid w:val="00866C79"/>
    <w:rsid w:val="00866F6C"/>
    <w:rsid w:val="008678A0"/>
    <w:rsid w:val="00867A22"/>
    <w:rsid w:val="00870068"/>
    <w:rsid w:val="0087011D"/>
    <w:rsid w:val="00870386"/>
    <w:rsid w:val="008707C5"/>
    <w:rsid w:val="00870A41"/>
    <w:rsid w:val="00870D83"/>
    <w:rsid w:val="008712DF"/>
    <w:rsid w:val="00871CB5"/>
    <w:rsid w:val="00871DB5"/>
    <w:rsid w:val="00871EFE"/>
    <w:rsid w:val="00871FBF"/>
    <w:rsid w:val="008720E1"/>
    <w:rsid w:val="008724FA"/>
    <w:rsid w:val="00872E40"/>
    <w:rsid w:val="00873037"/>
    <w:rsid w:val="008731CD"/>
    <w:rsid w:val="0087338F"/>
    <w:rsid w:val="00873F6B"/>
    <w:rsid w:val="0087430F"/>
    <w:rsid w:val="00874631"/>
    <w:rsid w:val="008749BF"/>
    <w:rsid w:val="00874A3C"/>
    <w:rsid w:val="00874B7E"/>
    <w:rsid w:val="00874F52"/>
    <w:rsid w:val="00874F82"/>
    <w:rsid w:val="00875C0D"/>
    <w:rsid w:val="00876149"/>
    <w:rsid w:val="00876248"/>
    <w:rsid w:val="00876749"/>
    <w:rsid w:val="008767CF"/>
    <w:rsid w:val="00876802"/>
    <w:rsid w:val="00876C5E"/>
    <w:rsid w:val="00876C8A"/>
    <w:rsid w:val="0087712D"/>
    <w:rsid w:val="008771BA"/>
    <w:rsid w:val="00877533"/>
    <w:rsid w:val="0087763A"/>
    <w:rsid w:val="008779E5"/>
    <w:rsid w:val="00877BAC"/>
    <w:rsid w:val="00880205"/>
    <w:rsid w:val="0088031A"/>
    <w:rsid w:val="008804E6"/>
    <w:rsid w:val="00880816"/>
    <w:rsid w:val="00881192"/>
    <w:rsid w:val="00881575"/>
    <w:rsid w:val="008817DB"/>
    <w:rsid w:val="00881A2A"/>
    <w:rsid w:val="00881A79"/>
    <w:rsid w:val="00881AAF"/>
    <w:rsid w:val="00881F0C"/>
    <w:rsid w:val="0088211C"/>
    <w:rsid w:val="008828CE"/>
    <w:rsid w:val="00882B89"/>
    <w:rsid w:val="008839BB"/>
    <w:rsid w:val="008843E2"/>
    <w:rsid w:val="00884511"/>
    <w:rsid w:val="00884608"/>
    <w:rsid w:val="00884BE1"/>
    <w:rsid w:val="00884FD1"/>
    <w:rsid w:val="00885292"/>
    <w:rsid w:val="0088542E"/>
    <w:rsid w:val="008854BE"/>
    <w:rsid w:val="0088573B"/>
    <w:rsid w:val="0088637D"/>
    <w:rsid w:val="00886553"/>
    <w:rsid w:val="0088732E"/>
    <w:rsid w:val="00887764"/>
    <w:rsid w:val="008877C1"/>
    <w:rsid w:val="00890571"/>
    <w:rsid w:val="008907DE"/>
    <w:rsid w:val="00890847"/>
    <w:rsid w:val="00890922"/>
    <w:rsid w:val="00890E5A"/>
    <w:rsid w:val="00890EC0"/>
    <w:rsid w:val="00890FD8"/>
    <w:rsid w:val="00891078"/>
    <w:rsid w:val="008916F8"/>
    <w:rsid w:val="008919E6"/>
    <w:rsid w:val="008922FC"/>
    <w:rsid w:val="008926EF"/>
    <w:rsid w:val="008928FE"/>
    <w:rsid w:val="00892AF1"/>
    <w:rsid w:val="0089359B"/>
    <w:rsid w:val="008935DC"/>
    <w:rsid w:val="00893D6E"/>
    <w:rsid w:val="008940F7"/>
    <w:rsid w:val="00894364"/>
    <w:rsid w:val="008949B5"/>
    <w:rsid w:val="00894D91"/>
    <w:rsid w:val="008955A0"/>
    <w:rsid w:val="008958D2"/>
    <w:rsid w:val="00895BD2"/>
    <w:rsid w:val="00895EA5"/>
    <w:rsid w:val="00895F86"/>
    <w:rsid w:val="008961F1"/>
    <w:rsid w:val="00896569"/>
    <w:rsid w:val="008970B0"/>
    <w:rsid w:val="00897206"/>
    <w:rsid w:val="00897A60"/>
    <w:rsid w:val="00897C36"/>
    <w:rsid w:val="00897C3E"/>
    <w:rsid w:val="00897CE9"/>
    <w:rsid w:val="00897D52"/>
    <w:rsid w:val="008A0136"/>
    <w:rsid w:val="008A0B3E"/>
    <w:rsid w:val="008A0CA1"/>
    <w:rsid w:val="008A0D8E"/>
    <w:rsid w:val="008A0DBB"/>
    <w:rsid w:val="008A12F8"/>
    <w:rsid w:val="008A172A"/>
    <w:rsid w:val="008A1C85"/>
    <w:rsid w:val="008A1CC8"/>
    <w:rsid w:val="008A249A"/>
    <w:rsid w:val="008A24DC"/>
    <w:rsid w:val="008A2748"/>
    <w:rsid w:val="008A2F06"/>
    <w:rsid w:val="008A2F86"/>
    <w:rsid w:val="008A316F"/>
    <w:rsid w:val="008A3193"/>
    <w:rsid w:val="008A33EE"/>
    <w:rsid w:val="008A34D5"/>
    <w:rsid w:val="008A35D8"/>
    <w:rsid w:val="008A375C"/>
    <w:rsid w:val="008A39A1"/>
    <w:rsid w:val="008A3F33"/>
    <w:rsid w:val="008A4275"/>
    <w:rsid w:val="008A4701"/>
    <w:rsid w:val="008A4B4E"/>
    <w:rsid w:val="008A540A"/>
    <w:rsid w:val="008A550E"/>
    <w:rsid w:val="008A5614"/>
    <w:rsid w:val="008A6045"/>
    <w:rsid w:val="008A61EB"/>
    <w:rsid w:val="008A648E"/>
    <w:rsid w:val="008A65F1"/>
    <w:rsid w:val="008A6727"/>
    <w:rsid w:val="008A6D9C"/>
    <w:rsid w:val="008A6F30"/>
    <w:rsid w:val="008A7062"/>
    <w:rsid w:val="008A7085"/>
    <w:rsid w:val="008A7594"/>
    <w:rsid w:val="008A75C3"/>
    <w:rsid w:val="008A765F"/>
    <w:rsid w:val="008A7B6E"/>
    <w:rsid w:val="008A7FD3"/>
    <w:rsid w:val="008B0276"/>
    <w:rsid w:val="008B0397"/>
    <w:rsid w:val="008B03EC"/>
    <w:rsid w:val="008B06B9"/>
    <w:rsid w:val="008B1160"/>
    <w:rsid w:val="008B1201"/>
    <w:rsid w:val="008B1414"/>
    <w:rsid w:val="008B1B1E"/>
    <w:rsid w:val="008B1F87"/>
    <w:rsid w:val="008B2126"/>
    <w:rsid w:val="008B230F"/>
    <w:rsid w:val="008B2983"/>
    <w:rsid w:val="008B2A4C"/>
    <w:rsid w:val="008B2F6F"/>
    <w:rsid w:val="008B3380"/>
    <w:rsid w:val="008B34FC"/>
    <w:rsid w:val="008B3FCD"/>
    <w:rsid w:val="008B4017"/>
    <w:rsid w:val="008B47C3"/>
    <w:rsid w:val="008B4C6C"/>
    <w:rsid w:val="008B4D11"/>
    <w:rsid w:val="008B4DE9"/>
    <w:rsid w:val="008B5193"/>
    <w:rsid w:val="008B5565"/>
    <w:rsid w:val="008B5E3D"/>
    <w:rsid w:val="008B64C3"/>
    <w:rsid w:val="008B6F54"/>
    <w:rsid w:val="008B7487"/>
    <w:rsid w:val="008B75BB"/>
    <w:rsid w:val="008B789B"/>
    <w:rsid w:val="008B7A48"/>
    <w:rsid w:val="008B7AAE"/>
    <w:rsid w:val="008B7D3B"/>
    <w:rsid w:val="008C039C"/>
    <w:rsid w:val="008C04F5"/>
    <w:rsid w:val="008C04FD"/>
    <w:rsid w:val="008C0951"/>
    <w:rsid w:val="008C0EF6"/>
    <w:rsid w:val="008C105B"/>
    <w:rsid w:val="008C120F"/>
    <w:rsid w:val="008C126B"/>
    <w:rsid w:val="008C1738"/>
    <w:rsid w:val="008C182A"/>
    <w:rsid w:val="008C1C24"/>
    <w:rsid w:val="008C22D7"/>
    <w:rsid w:val="008C264F"/>
    <w:rsid w:val="008C2A45"/>
    <w:rsid w:val="008C3034"/>
    <w:rsid w:val="008C30CD"/>
    <w:rsid w:val="008C3263"/>
    <w:rsid w:val="008C36D1"/>
    <w:rsid w:val="008C36E5"/>
    <w:rsid w:val="008C38A0"/>
    <w:rsid w:val="008C392B"/>
    <w:rsid w:val="008C39BD"/>
    <w:rsid w:val="008C3AF7"/>
    <w:rsid w:val="008C3D0D"/>
    <w:rsid w:val="008C3DA7"/>
    <w:rsid w:val="008C3F77"/>
    <w:rsid w:val="008C45B8"/>
    <w:rsid w:val="008C491E"/>
    <w:rsid w:val="008C4A01"/>
    <w:rsid w:val="008C4E17"/>
    <w:rsid w:val="008C55E0"/>
    <w:rsid w:val="008C58F3"/>
    <w:rsid w:val="008C5D3E"/>
    <w:rsid w:val="008C5E8C"/>
    <w:rsid w:val="008C6274"/>
    <w:rsid w:val="008C6D09"/>
    <w:rsid w:val="008C71BD"/>
    <w:rsid w:val="008C7536"/>
    <w:rsid w:val="008C7C63"/>
    <w:rsid w:val="008D07F7"/>
    <w:rsid w:val="008D0826"/>
    <w:rsid w:val="008D0D71"/>
    <w:rsid w:val="008D0E61"/>
    <w:rsid w:val="008D1100"/>
    <w:rsid w:val="008D1298"/>
    <w:rsid w:val="008D129B"/>
    <w:rsid w:val="008D134A"/>
    <w:rsid w:val="008D16CC"/>
    <w:rsid w:val="008D17BA"/>
    <w:rsid w:val="008D1C71"/>
    <w:rsid w:val="008D20E2"/>
    <w:rsid w:val="008D265C"/>
    <w:rsid w:val="008D2731"/>
    <w:rsid w:val="008D310E"/>
    <w:rsid w:val="008D377F"/>
    <w:rsid w:val="008D37AF"/>
    <w:rsid w:val="008D3876"/>
    <w:rsid w:val="008D3D3D"/>
    <w:rsid w:val="008D4076"/>
    <w:rsid w:val="008D4195"/>
    <w:rsid w:val="008D49ED"/>
    <w:rsid w:val="008D4AA5"/>
    <w:rsid w:val="008D5004"/>
    <w:rsid w:val="008D54D0"/>
    <w:rsid w:val="008D5991"/>
    <w:rsid w:val="008D5CB3"/>
    <w:rsid w:val="008D5F83"/>
    <w:rsid w:val="008D6231"/>
    <w:rsid w:val="008D6328"/>
    <w:rsid w:val="008D63B3"/>
    <w:rsid w:val="008D6443"/>
    <w:rsid w:val="008D664D"/>
    <w:rsid w:val="008D6A32"/>
    <w:rsid w:val="008D6FF7"/>
    <w:rsid w:val="008D77D2"/>
    <w:rsid w:val="008D7B18"/>
    <w:rsid w:val="008D7CF4"/>
    <w:rsid w:val="008D7FB8"/>
    <w:rsid w:val="008D7FC9"/>
    <w:rsid w:val="008D7FD5"/>
    <w:rsid w:val="008E00A2"/>
    <w:rsid w:val="008E012C"/>
    <w:rsid w:val="008E0508"/>
    <w:rsid w:val="008E0715"/>
    <w:rsid w:val="008E0978"/>
    <w:rsid w:val="008E0D39"/>
    <w:rsid w:val="008E0F0A"/>
    <w:rsid w:val="008E1112"/>
    <w:rsid w:val="008E14B1"/>
    <w:rsid w:val="008E17E9"/>
    <w:rsid w:val="008E2106"/>
    <w:rsid w:val="008E2B8B"/>
    <w:rsid w:val="008E2FEA"/>
    <w:rsid w:val="008E30BC"/>
    <w:rsid w:val="008E32B1"/>
    <w:rsid w:val="008E36BE"/>
    <w:rsid w:val="008E3B7B"/>
    <w:rsid w:val="008E3D69"/>
    <w:rsid w:val="008E3E14"/>
    <w:rsid w:val="008E4195"/>
    <w:rsid w:val="008E4B8D"/>
    <w:rsid w:val="008E4C59"/>
    <w:rsid w:val="008E4F04"/>
    <w:rsid w:val="008E5054"/>
    <w:rsid w:val="008E510A"/>
    <w:rsid w:val="008E560B"/>
    <w:rsid w:val="008E59CC"/>
    <w:rsid w:val="008E5A62"/>
    <w:rsid w:val="008E5F2D"/>
    <w:rsid w:val="008E68D6"/>
    <w:rsid w:val="008E6BAF"/>
    <w:rsid w:val="008E6CB8"/>
    <w:rsid w:val="008E70D9"/>
    <w:rsid w:val="008E791F"/>
    <w:rsid w:val="008E7937"/>
    <w:rsid w:val="008E7E09"/>
    <w:rsid w:val="008F002A"/>
    <w:rsid w:val="008F039F"/>
    <w:rsid w:val="008F041B"/>
    <w:rsid w:val="008F04DA"/>
    <w:rsid w:val="008F04DF"/>
    <w:rsid w:val="008F0DB1"/>
    <w:rsid w:val="008F1218"/>
    <w:rsid w:val="008F2044"/>
    <w:rsid w:val="008F218A"/>
    <w:rsid w:val="008F21D0"/>
    <w:rsid w:val="008F21F4"/>
    <w:rsid w:val="008F2390"/>
    <w:rsid w:val="008F315B"/>
    <w:rsid w:val="008F315F"/>
    <w:rsid w:val="008F3607"/>
    <w:rsid w:val="008F3950"/>
    <w:rsid w:val="008F3D8C"/>
    <w:rsid w:val="008F3EE1"/>
    <w:rsid w:val="008F4032"/>
    <w:rsid w:val="008F42F2"/>
    <w:rsid w:val="008F44A8"/>
    <w:rsid w:val="008F5357"/>
    <w:rsid w:val="008F537E"/>
    <w:rsid w:val="008F538E"/>
    <w:rsid w:val="008F567F"/>
    <w:rsid w:val="008F57CD"/>
    <w:rsid w:val="008F5978"/>
    <w:rsid w:val="008F5D70"/>
    <w:rsid w:val="008F5FBC"/>
    <w:rsid w:val="008F606F"/>
    <w:rsid w:val="008F6181"/>
    <w:rsid w:val="008F61DA"/>
    <w:rsid w:val="008F64F5"/>
    <w:rsid w:val="008F6647"/>
    <w:rsid w:val="008F6754"/>
    <w:rsid w:val="008F6843"/>
    <w:rsid w:val="008F6A15"/>
    <w:rsid w:val="008F6C9A"/>
    <w:rsid w:val="008F6DB6"/>
    <w:rsid w:val="008F6E21"/>
    <w:rsid w:val="008F737B"/>
    <w:rsid w:val="008F74B1"/>
    <w:rsid w:val="008F7C1A"/>
    <w:rsid w:val="008F7C36"/>
    <w:rsid w:val="008F7F0D"/>
    <w:rsid w:val="0090077B"/>
    <w:rsid w:val="009007DA"/>
    <w:rsid w:val="009017E1"/>
    <w:rsid w:val="00901D4C"/>
    <w:rsid w:val="00901FEA"/>
    <w:rsid w:val="00902025"/>
    <w:rsid w:val="009021D4"/>
    <w:rsid w:val="00902E1A"/>
    <w:rsid w:val="0090341E"/>
    <w:rsid w:val="00903423"/>
    <w:rsid w:val="00903799"/>
    <w:rsid w:val="00903F50"/>
    <w:rsid w:val="009050DF"/>
    <w:rsid w:val="0090559E"/>
    <w:rsid w:val="009058E0"/>
    <w:rsid w:val="009063FC"/>
    <w:rsid w:val="00906440"/>
    <w:rsid w:val="0090695E"/>
    <w:rsid w:val="00906B33"/>
    <w:rsid w:val="009079D5"/>
    <w:rsid w:val="00907C8D"/>
    <w:rsid w:val="00910786"/>
    <w:rsid w:val="00911B3E"/>
    <w:rsid w:val="00911E6B"/>
    <w:rsid w:val="00912096"/>
    <w:rsid w:val="0091352F"/>
    <w:rsid w:val="00913804"/>
    <w:rsid w:val="00913EF5"/>
    <w:rsid w:val="00914BD0"/>
    <w:rsid w:val="00915389"/>
    <w:rsid w:val="00915EE9"/>
    <w:rsid w:val="009160AE"/>
    <w:rsid w:val="009168F8"/>
    <w:rsid w:val="00916E54"/>
    <w:rsid w:val="00916EDE"/>
    <w:rsid w:val="00916EE0"/>
    <w:rsid w:val="00916F4F"/>
    <w:rsid w:val="00916FA1"/>
    <w:rsid w:val="009176AF"/>
    <w:rsid w:val="00917BE5"/>
    <w:rsid w:val="00917C8A"/>
    <w:rsid w:val="00920481"/>
    <w:rsid w:val="009204BB"/>
    <w:rsid w:val="00920E73"/>
    <w:rsid w:val="00921C76"/>
    <w:rsid w:val="00923284"/>
    <w:rsid w:val="00923FFC"/>
    <w:rsid w:val="009241C3"/>
    <w:rsid w:val="00924869"/>
    <w:rsid w:val="00924CB9"/>
    <w:rsid w:val="00924DC6"/>
    <w:rsid w:val="00924EC7"/>
    <w:rsid w:val="0092521F"/>
    <w:rsid w:val="00925431"/>
    <w:rsid w:val="009256D2"/>
    <w:rsid w:val="009257B5"/>
    <w:rsid w:val="00925FA2"/>
    <w:rsid w:val="00926020"/>
    <w:rsid w:val="00926C88"/>
    <w:rsid w:val="00926CD5"/>
    <w:rsid w:val="00927064"/>
    <w:rsid w:val="00927B69"/>
    <w:rsid w:val="00927DAE"/>
    <w:rsid w:val="00927DE4"/>
    <w:rsid w:val="00930052"/>
    <w:rsid w:val="00930362"/>
    <w:rsid w:val="00930482"/>
    <w:rsid w:val="0093050B"/>
    <w:rsid w:val="0093129B"/>
    <w:rsid w:val="00931D66"/>
    <w:rsid w:val="00932738"/>
    <w:rsid w:val="0093377A"/>
    <w:rsid w:val="00933E06"/>
    <w:rsid w:val="00934E39"/>
    <w:rsid w:val="009356E2"/>
    <w:rsid w:val="00935A4C"/>
    <w:rsid w:val="00936110"/>
    <w:rsid w:val="00936775"/>
    <w:rsid w:val="00936ED3"/>
    <w:rsid w:val="00937426"/>
    <w:rsid w:val="00937627"/>
    <w:rsid w:val="00937692"/>
    <w:rsid w:val="009376CD"/>
    <w:rsid w:val="0093779C"/>
    <w:rsid w:val="00940050"/>
    <w:rsid w:val="0094010C"/>
    <w:rsid w:val="0094035A"/>
    <w:rsid w:val="0094036A"/>
    <w:rsid w:val="00940726"/>
    <w:rsid w:val="00940C71"/>
    <w:rsid w:val="009410BA"/>
    <w:rsid w:val="0094139C"/>
    <w:rsid w:val="0094163C"/>
    <w:rsid w:val="0094201F"/>
    <w:rsid w:val="009422F2"/>
    <w:rsid w:val="00942844"/>
    <w:rsid w:val="00942901"/>
    <w:rsid w:val="00942ED9"/>
    <w:rsid w:val="00942F2B"/>
    <w:rsid w:val="0094321A"/>
    <w:rsid w:val="00943745"/>
    <w:rsid w:val="00943814"/>
    <w:rsid w:val="00943A3D"/>
    <w:rsid w:val="00943B8D"/>
    <w:rsid w:val="00943D20"/>
    <w:rsid w:val="00943EB0"/>
    <w:rsid w:val="00943FCB"/>
    <w:rsid w:val="0094409F"/>
    <w:rsid w:val="00944434"/>
    <w:rsid w:val="009446E8"/>
    <w:rsid w:val="00944A3C"/>
    <w:rsid w:val="00944BD5"/>
    <w:rsid w:val="00944E7B"/>
    <w:rsid w:val="00944FB8"/>
    <w:rsid w:val="0094546A"/>
    <w:rsid w:val="0094561F"/>
    <w:rsid w:val="0094570E"/>
    <w:rsid w:val="00945DF4"/>
    <w:rsid w:val="00946136"/>
    <w:rsid w:val="00946874"/>
    <w:rsid w:val="00946999"/>
    <w:rsid w:val="00946E8D"/>
    <w:rsid w:val="00947D62"/>
    <w:rsid w:val="00947EF5"/>
    <w:rsid w:val="009504C4"/>
    <w:rsid w:val="0095073B"/>
    <w:rsid w:val="00950DD9"/>
    <w:rsid w:val="009511F4"/>
    <w:rsid w:val="00951386"/>
    <w:rsid w:val="0095182B"/>
    <w:rsid w:val="00951C8F"/>
    <w:rsid w:val="00951F65"/>
    <w:rsid w:val="009520D1"/>
    <w:rsid w:val="009522F4"/>
    <w:rsid w:val="00952471"/>
    <w:rsid w:val="00952533"/>
    <w:rsid w:val="00952730"/>
    <w:rsid w:val="0095274F"/>
    <w:rsid w:val="009527C7"/>
    <w:rsid w:val="00952920"/>
    <w:rsid w:val="00952D0B"/>
    <w:rsid w:val="00953AD7"/>
    <w:rsid w:val="00953E3E"/>
    <w:rsid w:val="0095418A"/>
    <w:rsid w:val="009542B7"/>
    <w:rsid w:val="0095453D"/>
    <w:rsid w:val="009549CF"/>
    <w:rsid w:val="00954D02"/>
    <w:rsid w:val="00954D6A"/>
    <w:rsid w:val="00954E72"/>
    <w:rsid w:val="009552A0"/>
    <w:rsid w:val="0095536F"/>
    <w:rsid w:val="009568DC"/>
    <w:rsid w:val="009569C7"/>
    <w:rsid w:val="00956C57"/>
    <w:rsid w:val="00956CEB"/>
    <w:rsid w:val="0095793C"/>
    <w:rsid w:val="0096009C"/>
    <w:rsid w:val="009600BE"/>
    <w:rsid w:val="00960299"/>
    <w:rsid w:val="009606B7"/>
    <w:rsid w:val="00960837"/>
    <w:rsid w:val="00960DFA"/>
    <w:rsid w:val="00960EC9"/>
    <w:rsid w:val="00961693"/>
    <w:rsid w:val="00961738"/>
    <w:rsid w:val="009618AA"/>
    <w:rsid w:val="00961978"/>
    <w:rsid w:val="00961CFD"/>
    <w:rsid w:val="0096281D"/>
    <w:rsid w:val="00962F08"/>
    <w:rsid w:val="009633A2"/>
    <w:rsid w:val="009634FE"/>
    <w:rsid w:val="0096364A"/>
    <w:rsid w:val="0096373F"/>
    <w:rsid w:val="009638B9"/>
    <w:rsid w:val="00963BA7"/>
    <w:rsid w:val="00963D79"/>
    <w:rsid w:val="009645B3"/>
    <w:rsid w:val="0096522B"/>
    <w:rsid w:val="0096566B"/>
    <w:rsid w:val="0096581F"/>
    <w:rsid w:val="009658E5"/>
    <w:rsid w:val="00965E1C"/>
    <w:rsid w:val="00965F5F"/>
    <w:rsid w:val="00966134"/>
    <w:rsid w:val="00966155"/>
    <w:rsid w:val="009662DD"/>
    <w:rsid w:val="009673FC"/>
    <w:rsid w:val="00967670"/>
    <w:rsid w:val="009676E0"/>
    <w:rsid w:val="00967916"/>
    <w:rsid w:val="009706EE"/>
    <w:rsid w:val="009708A5"/>
    <w:rsid w:val="009714AC"/>
    <w:rsid w:val="009714FA"/>
    <w:rsid w:val="0097195A"/>
    <w:rsid w:val="00971970"/>
    <w:rsid w:val="009719E2"/>
    <w:rsid w:val="0097326C"/>
    <w:rsid w:val="00973701"/>
    <w:rsid w:val="00973C90"/>
    <w:rsid w:val="00973E92"/>
    <w:rsid w:val="00973EA1"/>
    <w:rsid w:val="00973EFC"/>
    <w:rsid w:val="009745D5"/>
    <w:rsid w:val="0097476F"/>
    <w:rsid w:val="009749E1"/>
    <w:rsid w:val="00974A9A"/>
    <w:rsid w:val="009751A0"/>
    <w:rsid w:val="0097535B"/>
    <w:rsid w:val="009756EC"/>
    <w:rsid w:val="009758CD"/>
    <w:rsid w:val="009759C6"/>
    <w:rsid w:val="00975C87"/>
    <w:rsid w:val="0097608C"/>
    <w:rsid w:val="00976479"/>
    <w:rsid w:val="00976ACD"/>
    <w:rsid w:val="00976CB6"/>
    <w:rsid w:val="00977E90"/>
    <w:rsid w:val="009802B0"/>
    <w:rsid w:val="0098030D"/>
    <w:rsid w:val="0098041D"/>
    <w:rsid w:val="009807EF"/>
    <w:rsid w:val="00980805"/>
    <w:rsid w:val="00980FF8"/>
    <w:rsid w:val="009813A4"/>
    <w:rsid w:val="00981733"/>
    <w:rsid w:val="00981C3D"/>
    <w:rsid w:val="00981C50"/>
    <w:rsid w:val="00981F12"/>
    <w:rsid w:val="009821EA"/>
    <w:rsid w:val="009821F8"/>
    <w:rsid w:val="00983032"/>
    <w:rsid w:val="009831FF"/>
    <w:rsid w:val="009837DE"/>
    <w:rsid w:val="00983E5F"/>
    <w:rsid w:val="00983E90"/>
    <w:rsid w:val="00983F6E"/>
    <w:rsid w:val="009841FD"/>
    <w:rsid w:val="0098460E"/>
    <w:rsid w:val="00984629"/>
    <w:rsid w:val="00984916"/>
    <w:rsid w:val="00984AB9"/>
    <w:rsid w:val="00984C2F"/>
    <w:rsid w:val="009853C3"/>
    <w:rsid w:val="00985766"/>
    <w:rsid w:val="00985F25"/>
    <w:rsid w:val="00986628"/>
    <w:rsid w:val="0098685E"/>
    <w:rsid w:val="00987344"/>
    <w:rsid w:val="009875F2"/>
    <w:rsid w:val="009876EC"/>
    <w:rsid w:val="009877B4"/>
    <w:rsid w:val="00987A1C"/>
    <w:rsid w:val="00987A8D"/>
    <w:rsid w:val="00987AFD"/>
    <w:rsid w:val="00987C50"/>
    <w:rsid w:val="00987CCD"/>
    <w:rsid w:val="009900DC"/>
    <w:rsid w:val="009901A1"/>
    <w:rsid w:val="009904CA"/>
    <w:rsid w:val="0099070E"/>
    <w:rsid w:val="00990D16"/>
    <w:rsid w:val="009911D1"/>
    <w:rsid w:val="009913C8"/>
    <w:rsid w:val="00991970"/>
    <w:rsid w:val="0099207B"/>
    <w:rsid w:val="00992256"/>
    <w:rsid w:val="009922AC"/>
    <w:rsid w:val="009924AA"/>
    <w:rsid w:val="00992A11"/>
    <w:rsid w:val="009931A2"/>
    <w:rsid w:val="009932E8"/>
    <w:rsid w:val="00993639"/>
    <w:rsid w:val="009936B2"/>
    <w:rsid w:val="009936E4"/>
    <w:rsid w:val="00993885"/>
    <w:rsid w:val="00993BA7"/>
    <w:rsid w:val="00993DD4"/>
    <w:rsid w:val="00993F35"/>
    <w:rsid w:val="0099476B"/>
    <w:rsid w:val="00994E28"/>
    <w:rsid w:val="009954DE"/>
    <w:rsid w:val="00995513"/>
    <w:rsid w:val="00995569"/>
    <w:rsid w:val="00995623"/>
    <w:rsid w:val="009959A6"/>
    <w:rsid w:val="00995DE8"/>
    <w:rsid w:val="00995E9D"/>
    <w:rsid w:val="0099616C"/>
    <w:rsid w:val="009962A7"/>
    <w:rsid w:val="009973AF"/>
    <w:rsid w:val="0099742C"/>
    <w:rsid w:val="00997762"/>
    <w:rsid w:val="009978B4"/>
    <w:rsid w:val="00997951"/>
    <w:rsid w:val="00997A3D"/>
    <w:rsid w:val="00997EA5"/>
    <w:rsid w:val="009A0683"/>
    <w:rsid w:val="009A0854"/>
    <w:rsid w:val="009A0D26"/>
    <w:rsid w:val="009A0DE4"/>
    <w:rsid w:val="009A1556"/>
    <w:rsid w:val="009A1EC1"/>
    <w:rsid w:val="009A2127"/>
    <w:rsid w:val="009A21D8"/>
    <w:rsid w:val="009A2327"/>
    <w:rsid w:val="009A24F7"/>
    <w:rsid w:val="009A2708"/>
    <w:rsid w:val="009A290E"/>
    <w:rsid w:val="009A30C0"/>
    <w:rsid w:val="009A37E4"/>
    <w:rsid w:val="009A38E1"/>
    <w:rsid w:val="009A3AA2"/>
    <w:rsid w:val="009A3B67"/>
    <w:rsid w:val="009A3C97"/>
    <w:rsid w:val="009A3EDE"/>
    <w:rsid w:val="009A4044"/>
    <w:rsid w:val="009A42FD"/>
    <w:rsid w:val="009A498B"/>
    <w:rsid w:val="009A49D1"/>
    <w:rsid w:val="009A4FC2"/>
    <w:rsid w:val="009A61F9"/>
    <w:rsid w:val="009A6A33"/>
    <w:rsid w:val="009A6AD2"/>
    <w:rsid w:val="009A6B0E"/>
    <w:rsid w:val="009A6B39"/>
    <w:rsid w:val="009A78A1"/>
    <w:rsid w:val="009A793A"/>
    <w:rsid w:val="009A79AC"/>
    <w:rsid w:val="009A7E47"/>
    <w:rsid w:val="009B0217"/>
    <w:rsid w:val="009B03F8"/>
    <w:rsid w:val="009B1A34"/>
    <w:rsid w:val="009B1D55"/>
    <w:rsid w:val="009B1E4A"/>
    <w:rsid w:val="009B1F5D"/>
    <w:rsid w:val="009B231E"/>
    <w:rsid w:val="009B2502"/>
    <w:rsid w:val="009B2834"/>
    <w:rsid w:val="009B2E4A"/>
    <w:rsid w:val="009B305E"/>
    <w:rsid w:val="009B30E0"/>
    <w:rsid w:val="009B3217"/>
    <w:rsid w:val="009B37B6"/>
    <w:rsid w:val="009B45B4"/>
    <w:rsid w:val="009B47A5"/>
    <w:rsid w:val="009B4807"/>
    <w:rsid w:val="009B482E"/>
    <w:rsid w:val="009B52C2"/>
    <w:rsid w:val="009B54B4"/>
    <w:rsid w:val="009B55B3"/>
    <w:rsid w:val="009B57A1"/>
    <w:rsid w:val="009B5D0F"/>
    <w:rsid w:val="009B5EE7"/>
    <w:rsid w:val="009B6B49"/>
    <w:rsid w:val="009B73D0"/>
    <w:rsid w:val="009B756E"/>
    <w:rsid w:val="009B75A7"/>
    <w:rsid w:val="009B782A"/>
    <w:rsid w:val="009B790A"/>
    <w:rsid w:val="009B7DBD"/>
    <w:rsid w:val="009B7F68"/>
    <w:rsid w:val="009C0706"/>
    <w:rsid w:val="009C0B76"/>
    <w:rsid w:val="009C1106"/>
    <w:rsid w:val="009C17A1"/>
    <w:rsid w:val="009C1ADB"/>
    <w:rsid w:val="009C2604"/>
    <w:rsid w:val="009C279A"/>
    <w:rsid w:val="009C30C3"/>
    <w:rsid w:val="009C3595"/>
    <w:rsid w:val="009C391F"/>
    <w:rsid w:val="009C41D0"/>
    <w:rsid w:val="009C4682"/>
    <w:rsid w:val="009C50A5"/>
    <w:rsid w:val="009C5143"/>
    <w:rsid w:val="009C5318"/>
    <w:rsid w:val="009C533A"/>
    <w:rsid w:val="009C55E6"/>
    <w:rsid w:val="009C57E5"/>
    <w:rsid w:val="009C59C4"/>
    <w:rsid w:val="009C5DEB"/>
    <w:rsid w:val="009C5EFA"/>
    <w:rsid w:val="009C6164"/>
    <w:rsid w:val="009C62BA"/>
    <w:rsid w:val="009C62D6"/>
    <w:rsid w:val="009C6371"/>
    <w:rsid w:val="009C6483"/>
    <w:rsid w:val="009C65EF"/>
    <w:rsid w:val="009C678E"/>
    <w:rsid w:val="009C6A33"/>
    <w:rsid w:val="009C6DDD"/>
    <w:rsid w:val="009C6F01"/>
    <w:rsid w:val="009C729E"/>
    <w:rsid w:val="009C74B2"/>
    <w:rsid w:val="009C7FDA"/>
    <w:rsid w:val="009D07AA"/>
    <w:rsid w:val="009D0ED5"/>
    <w:rsid w:val="009D13B8"/>
    <w:rsid w:val="009D1430"/>
    <w:rsid w:val="009D214F"/>
    <w:rsid w:val="009D23AB"/>
    <w:rsid w:val="009D25B1"/>
    <w:rsid w:val="009D29FA"/>
    <w:rsid w:val="009D2D69"/>
    <w:rsid w:val="009D2E05"/>
    <w:rsid w:val="009D3B7F"/>
    <w:rsid w:val="009D3DB0"/>
    <w:rsid w:val="009D3EE9"/>
    <w:rsid w:val="009D44D1"/>
    <w:rsid w:val="009D5055"/>
    <w:rsid w:val="009D5958"/>
    <w:rsid w:val="009D5C56"/>
    <w:rsid w:val="009D5DEA"/>
    <w:rsid w:val="009D6E1E"/>
    <w:rsid w:val="009D6FD3"/>
    <w:rsid w:val="009D711A"/>
    <w:rsid w:val="009D750A"/>
    <w:rsid w:val="009D776F"/>
    <w:rsid w:val="009D793E"/>
    <w:rsid w:val="009D7E11"/>
    <w:rsid w:val="009D7E1E"/>
    <w:rsid w:val="009D7E5A"/>
    <w:rsid w:val="009E02E7"/>
    <w:rsid w:val="009E060E"/>
    <w:rsid w:val="009E06FC"/>
    <w:rsid w:val="009E07A9"/>
    <w:rsid w:val="009E086F"/>
    <w:rsid w:val="009E0D2A"/>
    <w:rsid w:val="009E15F5"/>
    <w:rsid w:val="009E1625"/>
    <w:rsid w:val="009E1A44"/>
    <w:rsid w:val="009E204F"/>
    <w:rsid w:val="009E25D5"/>
    <w:rsid w:val="009E265F"/>
    <w:rsid w:val="009E2C64"/>
    <w:rsid w:val="009E2D5B"/>
    <w:rsid w:val="009E2F2B"/>
    <w:rsid w:val="009E3D9B"/>
    <w:rsid w:val="009E3F06"/>
    <w:rsid w:val="009E43B0"/>
    <w:rsid w:val="009E446E"/>
    <w:rsid w:val="009E4E19"/>
    <w:rsid w:val="009E5129"/>
    <w:rsid w:val="009E51AC"/>
    <w:rsid w:val="009E523C"/>
    <w:rsid w:val="009E55A7"/>
    <w:rsid w:val="009E570C"/>
    <w:rsid w:val="009E59FB"/>
    <w:rsid w:val="009E5BBA"/>
    <w:rsid w:val="009E5BF3"/>
    <w:rsid w:val="009E5D2B"/>
    <w:rsid w:val="009E668A"/>
    <w:rsid w:val="009E688A"/>
    <w:rsid w:val="009E6A97"/>
    <w:rsid w:val="009E71C0"/>
    <w:rsid w:val="009E7FC5"/>
    <w:rsid w:val="009E7FD4"/>
    <w:rsid w:val="009F0115"/>
    <w:rsid w:val="009F0962"/>
    <w:rsid w:val="009F1CE6"/>
    <w:rsid w:val="009F1CF3"/>
    <w:rsid w:val="009F1E76"/>
    <w:rsid w:val="009F1F9D"/>
    <w:rsid w:val="009F2000"/>
    <w:rsid w:val="009F23A2"/>
    <w:rsid w:val="009F271C"/>
    <w:rsid w:val="009F3311"/>
    <w:rsid w:val="009F377D"/>
    <w:rsid w:val="009F37BB"/>
    <w:rsid w:val="009F405E"/>
    <w:rsid w:val="009F42FC"/>
    <w:rsid w:val="009F4356"/>
    <w:rsid w:val="009F46C6"/>
    <w:rsid w:val="009F48C9"/>
    <w:rsid w:val="009F4DA3"/>
    <w:rsid w:val="009F4F38"/>
    <w:rsid w:val="009F4F7A"/>
    <w:rsid w:val="009F5010"/>
    <w:rsid w:val="009F6353"/>
    <w:rsid w:val="009F6627"/>
    <w:rsid w:val="009F6663"/>
    <w:rsid w:val="009F686F"/>
    <w:rsid w:val="009F6C2F"/>
    <w:rsid w:val="009F6D59"/>
    <w:rsid w:val="009F6DBC"/>
    <w:rsid w:val="009F711C"/>
    <w:rsid w:val="009F735C"/>
    <w:rsid w:val="009F73A7"/>
    <w:rsid w:val="009F73EC"/>
    <w:rsid w:val="009F7937"/>
    <w:rsid w:val="009F79A4"/>
    <w:rsid w:val="009F7A97"/>
    <w:rsid w:val="009F7D87"/>
    <w:rsid w:val="00A003B6"/>
    <w:rsid w:val="00A007DA"/>
    <w:rsid w:val="00A00B10"/>
    <w:rsid w:val="00A00CE9"/>
    <w:rsid w:val="00A00E49"/>
    <w:rsid w:val="00A00E66"/>
    <w:rsid w:val="00A0159B"/>
    <w:rsid w:val="00A018E6"/>
    <w:rsid w:val="00A01C5D"/>
    <w:rsid w:val="00A02194"/>
    <w:rsid w:val="00A02879"/>
    <w:rsid w:val="00A02BCC"/>
    <w:rsid w:val="00A02D78"/>
    <w:rsid w:val="00A0308F"/>
    <w:rsid w:val="00A03326"/>
    <w:rsid w:val="00A043D3"/>
    <w:rsid w:val="00A046CC"/>
    <w:rsid w:val="00A048E9"/>
    <w:rsid w:val="00A04C5E"/>
    <w:rsid w:val="00A050F2"/>
    <w:rsid w:val="00A052BA"/>
    <w:rsid w:val="00A05310"/>
    <w:rsid w:val="00A05FB6"/>
    <w:rsid w:val="00A05FCB"/>
    <w:rsid w:val="00A06441"/>
    <w:rsid w:val="00A06736"/>
    <w:rsid w:val="00A068E2"/>
    <w:rsid w:val="00A0698D"/>
    <w:rsid w:val="00A06B37"/>
    <w:rsid w:val="00A071CA"/>
    <w:rsid w:val="00A0739B"/>
    <w:rsid w:val="00A073D8"/>
    <w:rsid w:val="00A075E0"/>
    <w:rsid w:val="00A07732"/>
    <w:rsid w:val="00A07BDE"/>
    <w:rsid w:val="00A07CB3"/>
    <w:rsid w:val="00A102A7"/>
    <w:rsid w:val="00A10502"/>
    <w:rsid w:val="00A1156A"/>
    <w:rsid w:val="00A1162B"/>
    <w:rsid w:val="00A11DC4"/>
    <w:rsid w:val="00A1209B"/>
    <w:rsid w:val="00A1222E"/>
    <w:rsid w:val="00A1239B"/>
    <w:rsid w:val="00A1242A"/>
    <w:rsid w:val="00A12ACA"/>
    <w:rsid w:val="00A1303B"/>
    <w:rsid w:val="00A130DE"/>
    <w:rsid w:val="00A13569"/>
    <w:rsid w:val="00A13634"/>
    <w:rsid w:val="00A13D19"/>
    <w:rsid w:val="00A1441D"/>
    <w:rsid w:val="00A14CAE"/>
    <w:rsid w:val="00A1563F"/>
    <w:rsid w:val="00A1592C"/>
    <w:rsid w:val="00A15985"/>
    <w:rsid w:val="00A15CBA"/>
    <w:rsid w:val="00A15D19"/>
    <w:rsid w:val="00A15D9E"/>
    <w:rsid w:val="00A15DF8"/>
    <w:rsid w:val="00A15F6D"/>
    <w:rsid w:val="00A160B8"/>
    <w:rsid w:val="00A162ED"/>
    <w:rsid w:val="00A16451"/>
    <w:rsid w:val="00A16465"/>
    <w:rsid w:val="00A168B5"/>
    <w:rsid w:val="00A16B1D"/>
    <w:rsid w:val="00A1732A"/>
    <w:rsid w:val="00A174E3"/>
    <w:rsid w:val="00A17717"/>
    <w:rsid w:val="00A17815"/>
    <w:rsid w:val="00A17D2C"/>
    <w:rsid w:val="00A2010D"/>
    <w:rsid w:val="00A203D2"/>
    <w:rsid w:val="00A212B7"/>
    <w:rsid w:val="00A21BA1"/>
    <w:rsid w:val="00A21BA8"/>
    <w:rsid w:val="00A21F78"/>
    <w:rsid w:val="00A22218"/>
    <w:rsid w:val="00A2296C"/>
    <w:rsid w:val="00A22ADB"/>
    <w:rsid w:val="00A22B5E"/>
    <w:rsid w:val="00A2311E"/>
    <w:rsid w:val="00A233C1"/>
    <w:rsid w:val="00A23B47"/>
    <w:rsid w:val="00A23DA7"/>
    <w:rsid w:val="00A23F6B"/>
    <w:rsid w:val="00A244AA"/>
    <w:rsid w:val="00A2457D"/>
    <w:rsid w:val="00A2468C"/>
    <w:rsid w:val="00A246B2"/>
    <w:rsid w:val="00A24755"/>
    <w:rsid w:val="00A24807"/>
    <w:rsid w:val="00A249BA"/>
    <w:rsid w:val="00A24A15"/>
    <w:rsid w:val="00A24C12"/>
    <w:rsid w:val="00A24EB2"/>
    <w:rsid w:val="00A25AE3"/>
    <w:rsid w:val="00A25B85"/>
    <w:rsid w:val="00A25F89"/>
    <w:rsid w:val="00A266B6"/>
    <w:rsid w:val="00A26B6B"/>
    <w:rsid w:val="00A273D2"/>
    <w:rsid w:val="00A27460"/>
    <w:rsid w:val="00A279C5"/>
    <w:rsid w:val="00A27B3E"/>
    <w:rsid w:val="00A27C89"/>
    <w:rsid w:val="00A27EAF"/>
    <w:rsid w:val="00A27F09"/>
    <w:rsid w:val="00A27F2B"/>
    <w:rsid w:val="00A3032E"/>
    <w:rsid w:val="00A3094A"/>
    <w:rsid w:val="00A30A0E"/>
    <w:rsid w:val="00A3100E"/>
    <w:rsid w:val="00A31AD3"/>
    <w:rsid w:val="00A31B2F"/>
    <w:rsid w:val="00A31B38"/>
    <w:rsid w:val="00A31D34"/>
    <w:rsid w:val="00A3208B"/>
    <w:rsid w:val="00A3274B"/>
    <w:rsid w:val="00A3317E"/>
    <w:rsid w:val="00A332C5"/>
    <w:rsid w:val="00A3336B"/>
    <w:rsid w:val="00A3366A"/>
    <w:rsid w:val="00A33C0B"/>
    <w:rsid w:val="00A33C8B"/>
    <w:rsid w:val="00A340BD"/>
    <w:rsid w:val="00A3431D"/>
    <w:rsid w:val="00A34348"/>
    <w:rsid w:val="00A34689"/>
    <w:rsid w:val="00A34A90"/>
    <w:rsid w:val="00A34E59"/>
    <w:rsid w:val="00A34FC8"/>
    <w:rsid w:val="00A350F6"/>
    <w:rsid w:val="00A35195"/>
    <w:rsid w:val="00A36199"/>
    <w:rsid w:val="00A3680A"/>
    <w:rsid w:val="00A3681B"/>
    <w:rsid w:val="00A3681E"/>
    <w:rsid w:val="00A36EC3"/>
    <w:rsid w:val="00A36F7C"/>
    <w:rsid w:val="00A36F93"/>
    <w:rsid w:val="00A3735B"/>
    <w:rsid w:val="00A37739"/>
    <w:rsid w:val="00A3783B"/>
    <w:rsid w:val="00A37A05"/>
    <w:rsid w:val="00A40243"/>
    <w:rsid w:val="00A41048"/>
    <w:rsid w:val="00A416F4"/>
    <w:rsid w:val="00A417DF"/>
    <w:rsid w:val="00A419EE"/>
    <w:rsid w:val="00A41CBD"/>
    <w:rsid w:val="00A41CD1"/>
    <w:rsid w:val="00A41DDE"/>
    <w:rsid w:val="00A4206D"/>
    <w:rsid w:val="00A42E07"/>
    <w:rsid w:val="00A430FA"/>
    <w:rsid w:val="00A439E1"/>
    <w:rsid w:val="00A43AC3"/>
    <w:rsid w:val="00A446E2"/>
    <w:rsid w:val="00A44D0F"/>
    <w:rsid w:val="00A44FE1"/>
    <w:rsid w:val="00A45E3D"/>
    <w:rsid w:val="00A46688"/>
    <w:rsid w:val="00A4694D"/>
    <w:rsid w:val="00A46E0A"/>
    <w:rsid w:val="00A46E2E"/>
    <w:rsid w:val="00A46F5F"/>
    <w:rsid w:val="00A46F9D"/>
    <w:rsid w:val="00A4760E"/>
    <w:rsid w:val="00A505AE"/>
    <w:rsid w:val="00A506E6"/>
    <w:rsid w:val="00A51576"/>
    <w:rsid w:val="00A518AD"/>
    <w:rsid w:val="00A519D9"/>
    <w:rsid w:val="00A51C89"/>
    <w:rsid w:val="00A52320"/>
    <w:rsid w:val="00A5263D"/>
    <w:rsid w:val="00A52B19"/>
    <w:rsid w:val="00A52E4E"/>
    <w:rsid w:val="00A52F75"/>
    <w:rsid w:val="00A533DA"/>
    <w:rsid w:val="00A53552"/>
    <w:rsid w:val="00A53889"/>
    <w:rsid w:val="00A53AEA"/>
    <w:rsid w:val="00A53F22"/>
    <w:rsid w:val="00A54778"/>
    <w:rsid w:val="00A54955"/>
    <w:rsid w:val="00A54B3F"/>
    <w:rsid w:val="00A54D77"/>
    <w:rsid w:val="00A54E59"/>
    <w:rsid w:val="00A54F42"/>
    <w:rsid w:val="00A55A8F"/>
    <w:rsid w:val="00A55D63"/>
    <w:rsid w:val="00A55DFC"/>
    <w:rsid w:val="00A55F8F"/>
    <w:rsid w:val="00A56283"/>
    <w:rsid w:val="00A5651E"/>
    <w:rsid w:val="00A56772"/>
    <w:rsid w:val="00A567EE"/>
    <w:rsid w:val="00A568C3"/>
    <w:rsid w:val="00A56ED8"/>
    <w:rsid w:val="00A56EE6"/>
    <w:rsid w:val="00A572C9"/>
    <w:rsid w:val="00A576DB"/>
    <w:rsid w:val="00A577DD"/>
    <w:rsid w:val="00A57982"/>
    <w:rsid w:val="00A57B6F"/>
    <w:rsid w:val="00A57DDF"/>
    <w:rsid w:val="00A600DA"/>
    <w:rsid w:val="00A60273"/>
    <w:rsid w:val="00A60280"/>
    <w:rsid w:val="00A602F1"/>
    <w:rsid w:val="00A6032C"/>
    <w:rsid w:val="00A608E0"/>
    <w:rsid w:val="00A60925"/>
    <w:rsid w:val="00A60C6F"/>
    <w:rsid w:val="00A60E11"/>
    <w:rsid w:val="00A60F49"/>
    <w:rsid w:val="00A61005"/>
    <w:rsid w:val="00A610DB"/>
    <w:rsid w:val="00A6120D"/>
    <w:rsid w:val="00A61233"/>
    <w:rsid w:val="00A61587"/>
    <w:rsid w:val="00A61A76"/>
    <w:rsid w:val="00A61D9F"/>
    <w:rsid w:val="00A61E2F"/>
    <w:rsid w:val="00A620EF"/>
    <w:rsid w:val="00A622F1"/>
    <w:rsid w:val="00A623B3"/>
    <w:rsid w:val="00A6272D"/>
    <w:rsid w:val="00A62AEA"/>
    <w:rsid w:val="00A62B5B"/>
    <w:rsid w:val="00A62C6C"/>
    <w:rsid w:val="00A62D15"/>
    <w:rsid w:val="00A6370F"/>
    <w:rsid w:val="00A637EF"/>
    <w:rsid w:val="00A63A5A"/>
    <w:rsid w:val="00A63E58"/>
    <w:rsid w:val="00A640E4"/>
    <w:rsid w:val="00A6431B"/>
    <w:rsid w:val="00A64382"/>
    <w:rsid w:val="00A64543"/>
    <w:rsid w:val="00A6477B"/>
    <w:rsid w:val="00A64AE6"/>
    <w:rsid w:val="00A64FB4"/>
    <w:rsid w:val="00A65051"/>
    <w:rsid w:val="00A650F1"/>
    <w:rsid w:val="00A6523B"/>
    <w:rsid w:val="00A6558D"/>
    <w:rsid w:val="00A657FD"/>
    <w:rsid w:val="00A65C20"/>
    <w:rsid w:val="00A66035"/>
    <w:rsid w:val="00A66192"/>
    <w:rsid w:val="00A6637C"/>
    <w:rsid w:val="00A6644D"/>
    <w:rsid w:val="00A66672"/>
    <w:rsid w:val="00A668E4"/>
    <w:rsid w:val="00A669F1"/>
    <w:rsid w:val="00A669FD"/>
    <w:rsid w:val="00A66D14"/>
    <w:rsid w:val="00A66D75"/>
    <w:rsid w:val="00A67189"/>
    <w:rsid w:val="00A67C6B"/>
    <w:rsid w:val="00A70065"/>
    <w:rsid w:val="00A700CA"/>
    <w:rsid w:val="00A70613"/>
    <w:rsid w:val="00A709FD"/>
    <w:rsid w:val="00A70FC8"/>
    <w:rsid w:val="00A711EF"/>
    <w:rsid w:val="00A7137A"/>
    <w:rsid w:val="00A713AC"/>
    <w:rsid w:val="00A71938"/>
    <w:rsid w:val="00A71A8A"/>
    <w:rsid w:val="00A71CFF"/>
    <w:rsid w:val="00A71DA8"/>
    <w:rsid w:val="00A71DF5"/>
    <w:rsid w:val="00A72201"/>
    <w:rsid w:val="00A72CA3"/>
    <w:rsid w:val="00A733FA"/>
    <w:rsid w:val="00A73A5D"/>
    <w:rsid w:val="00A73FA6"/>
    <w:rsid w:val="00A73FB7"/>
    <w:rsid w:val="00A74063"/>
    <w:rsid w:val="00A7453D"/>
    <w:rsid w:val="00A7493E"/>
    <w:rsid w:val="00A749DD"/>
    <w:rsid w:val="00A74AD9"/>
    <w:rsid w:val="00A74B62"/>
    <w:rsid w:val="00A7502A"/>
    <w:rsid w:val="00A75207"/>
    <w:rsid w:val="00A75376"/>
    <w:rsid w:val="00A75452"/>
    <w:rsid w:val="00A758FB"/>
    <w:rsid w:val="00A758FF"/>
    <w:rsid w:val="00A75E66"/>
    <w:rsid w:val="00A75EBB"/>
    <w:rsid w:val="00A76AA8"/>
    <w:rsid w:val="00A76C0A"/>
    <w:rsid w:val="00A76F27"/>
    <w:rsid w:val="00A77089"/>
    <w:rsid w:val="00A775D3"/>
    <w:rsid w:val="00A7769A"/>
    <w:rsid w:val="00A7771B"/>
    <w:rsid w:val="00A77923"/>
    <w:rsid w:val="00A77EA3"/>
    <w:rsid w:val="00A77F23"/>
    <w:rsid w:val="00A800F6"/>
    <w:rsid w:val="00A80747"/>
    <w:rsid w:val="00A8087C"/>
    <w:rsid w:val="00A80EA4"/>
    <w:rsid w:val="00A80EBC"/>
    <w:rsid w:val="00A81718"/>
    <w:rsid w:val="00A81764"/>
    <w:rsid w:val="00A81D39"/>
    <w:rsid w:val="00A81D88"/>
    <w:rsid w:val="00A8252A"/>
    <w:rsid w:val="00A826B1"/>
    <w:rsid w:val="00A82CEC"/>
    <w:rsid w:val="00A8310C"/>
    <w:rsid w:val="00A83410"/>
    <w:rsid w:val="00A837F8"/>
    <w:rsid w:val="00A8446D"/>
    <w:rsid w:val="00A84B89"/>
    <w:rsid w:val="00A84C89"/>
    <w:rsid w:val="00A855EF"/>
    <w:rsid w:val="00A85D49"/>
    <w:rsid w:val="00A85EE6"/>
    <w:rsid w:val="00A86892"/>
    <w:rsid w:val="00A86C36"/>
    <w:rsid w:val="00A872A0"/>
    <w:rsid w:val="00A877A5"/>
    <w:rsid w:val="00A878E7"/>
    <w:rsid w:val="00A9002E"/>
    <w:rsid w:val="00A90A37"/>
    <w:rsid w:val="00A91143"/>
    <w:rsid w:val="00A91215"/>
    <w:rsid w:val="00A912F0"/>
    <w:rsid w:val="00A916BC"/>
    <w:rsid w:val="00A9199E"/>
    <w:rsid w:val="00A91B53"/>
    <w:rsid w:val="00A91CDF"/>
    <w:rsid w:val="00A91D54"/>
    <w:rsid w:val="00A91D71"/>
    <w:rsid w:val="00A91EE5"/>
    <w:rsid w:val="00A91F8B"/>
    <w:rsid w:val="00A92341"/>
    <w:rsid w:val="00A9240A"/>
    <w:rsid w:val="00A924B3"/>
    <w:rsid w:val="00A927BB"/>
    <w:rsid w:val="00A9389D"/>
    <w:rsid w:val="00A93AC1"/>
    <w:rsid w:val="00A93E40"/>
    <w:rsid w:val="00A9517D"/>
    <w:rsid w:val="00A95420"/>
    <w:rsid w:val="00A95846"/>
    <w:rsid w:val="00A95E28"/>
    <w:rsid w:val="00A96372"/>
    <w:rsid w:val="00A9648F"/>
    <w:rsid w:val="00A96524"/>
    <w:rsid w:val="00A96FDB"/>
    <w:rsid w:val="00A97597"/>
    <w:rsid w:val="00A979D1"/>
    <w:rsid w:val="00A97B74"/>
    <w:rsid w:val="00AA0085"/>
    <w:rsid w:val="00AA0191"/>
    <w:rsid w:val="00AA0283"/>
    <w:rsid w:val="00AA07A0"/>
    <w:rsid w:val="00AA0901"/>
    <w:rsid w:val="00AA0DCB"/>
    <w:rsid w:val="00AA0E0B"/>
    <w:rsid w:val="00AA16AE"/>
    <w:rsid w:val="00AA18AA"/>
    <w:rsid w:val="00AA1A89"/>
    <w:rsid w:val="00AA2641"/>
    <w:rsid w:val="00AA26C3"/>
    <w:rsid w:val="00AA29FC"/>
    <w:rsid w:val="00AA2E03"/>
    <w:rsid w:val="00AA3151"/>
    <w:rsid w:val="00AA34E3"/>
    <w:rsid w:val="00AA34FB"/>
    <w:rsid w:val="00AA3CED"/>
    <w:rsid w:val="00AA3D79"/>
    <w:rsid w:val="00AA3DBA"/>
    <w:rsid w:val="00AA40D2"/>
    <w:rsid w:val="00AA551D"/>
    <w:rsid w:val="00AA5870"/>
    <w:rsid w:val="00AA59A0"/>
    <w:rsid w:val="00AA5A7C"/>
    <w:rsid w:val="00AA602D"/>
    <w:rsid w:val="00AA6292"/>
    <w:rsid w:val="00AA6A02"/>
    <w:rsid w:val="00AB023F"/>
    <w:rsid w:val="00AB0619"/>
    <w:rsid w:val="00AB0E73"/>
    <w:rsid w:val="00AB1230"/>
    <w:rsid w:val="00AB1930"/>
    <w:rsid w:val="00AB1A0F"/>
    <w:rsid w:val="00AB1F80"/>
    <w:rsid w:val="00AB2320"/>
    <w:rsid w:val="00AB2D8F"/>
    <w:rsid w:val="00AB2E0D"/>
    <w:rsid w:val="00AB3366"/>
    <w:rsid w:val="00AB33AE"/>
    <w:rsid w:val="00AB35E5"/>
    <w:rsid w:val="00AB45B7"/>
    <w:rsid w:val="00AB4832"/>
    <w:rsid w:val="00AB4CD5"/>
    <w:rsid w:val="00AB562D"/>
    <w:rsid w:val="00AB5A6E"/>
    <w:rsid w:val="00AB5B89"/>
    <w:rsid w:val="00AB5E19"/>
    <w:rsid w:val="00AB6362"/>
    <w:rsid w:val="00AB66D2"/>
    <w:rsid w:val="00AB6D82"/>
    <w:rsid w:val="00AB700C"/>
    <w:rsid w:val="00AB76D0"/>
    <w:rsid w:val="00AB77E9"/>
    <w:rsid w:val="00AB7884"/>
    <w:rsid w:val="00AB7BD5"/>
    <w:rsid w:val="00AB7BFC"/>
    <w:rsid w:val="00AB7D71"/>
    <w:rsid w:val="00AB7DB0"/>
    <w:rsid w:val="00AC0263"/>
    <w:rsid w:val="00AC040E"/>
    <w:rsid w:val="00AC0B14"/>
    <w:rsid w:val="00AC0E97"/>
    <w:rsid w:val="00AC1000"/>
    <w:rsid w:val="00AC142A"/>
    <w:rsid w:val="00AC14DD"/>
    <w:rsid w:val="00AC16DE"/>
    <w:rsid w:val="00AC17DA"/>
    <w:rsid w:val="00AC1C73"/>
    <w:rsid w:val="00AC2174"/>
    <w:rsid w:val="00AC2316"/>
    <w:rsid w:val="00AC2631"/>
    <w:rsid w:val="00AC28EF"/>
    <w:rsid w:val="00AC2AA5"/>
    <w:rsid w:val="00AC34A0"/>
    <w:rsid w:val="00AC3822"/>
    <w:rsid w:val="00AC3A73"/>
    <w:rsid w:val="00AC41A7"/>
    <w:rsid w:val="00AC431B"/>
    <w:rsid w:val="00AC4861"/>
    <w:rsid w:val="00AC4A54"/>
    <w:rsid w:val="00AC52F8"/>
    <w:rsid w:val="00AC5609"/>
    <w:rsid w:val="00AC58F2"/>
    <w:rsid w:val="00AC5A4B"/>
    <w:rsid w:val="00AC5DE2"/>
    <w:rsid w:val="00AC6145"/>
    <w:rsid w:val="00AC6189"/>
    <w:rsid w:val="00AC6418"/>
    <w:rsid w:val="00AC650F"/>
    <w:rsid w:val="00AC672E"/>
    <w:rsid w:val="00AC681A"/>
    <w:rsid w:val="00AC68BE"/>
    <w:rsid w:val="00AC6A7F"/>
    <w:rsid w:val="00AC6F46"/>
    <w:rsid w:val="00AC70C9"/>
    <w:rsid w:val="00AC74AA"/>
    <w:rsid w:val="00AC76B4"/>
    <w:rsid w:val="00AC76E2"/>
    <w:rsid w:val="00AC7760"/>
    <w:rsid w:val="00AC7D1D"/>
    <w:rsid w:val="00AC7FC4"/>
    <w:rsid w:val="00AD0004"/>
    <w:rsid w:val="00AD0220"/>
    <w:rsid w:val="00AD04DB"/>
    <w:rsid w:val="00AD0861"/>
    <w:rsid w:val="00AD0C08"/>
    <w:rsid w:val="00AD0D80"/>
    <w:rsid w:val="00AD0E1F"/>
    <w:rsid w:val="00AD199A"/>
    <w:rsid w:val="00AD1A35"/>
    <w:rsid w:val="00AD1EE0"/>
    <w:rsid w:val="00AD1F71"/>
    <w:rsid w:val="00AD200A"/>
    <w:rsid w:val="00AD2439"/>
    <w:rsid w:val="00AD26D2"/>
    <w:rsid w:val="00AD27D9"/>
    <w:rsid w:val="00AD2874"/>
    <w:rsid w:val="00AD29B6"/>
    <w:rsid w:val="00AD2B8F"/>
    <w:rsid w:val="00AD35CC"/>
    <w:rsid w:val="00AD3D55"/>
    <w:rsid w:val="00AD4029"/>
    <w:rsid w:val="00AD5661"/>
    <w:rsid w:val="00AD5774"/>
    <w:rsid w:val="00AD5D6E"/>
    <w:rsid w:val="00AD5ECB"/>
    <w:rsid w:val="00AD608F"/>
    <w:rsid w:val="00AD6396"/>
    <w:rsid w:val="00AD6485"/>
    <w:rsid w:val="00AD69E6"/>
    <w:rsid w:val="00AD6A19"/>
    <w:rsid w:val="00AD6D36"/>
    <w:rsid w:val="00AD77D4"/>
    <w:rsid w:val="00AE0C7F"/>
    <w:rsid w:val="00AE1B35"/>
    <w:rsid w:val="00AE1CD2"/>
    <w:rsid w:val="00AE2153"/>
    <w:rsid w:val="00AE2396"/>
    <w:rsid w:val="00AE24DB"/>
    <w:rsid w:val="00AE272E"/>
    <w:rsid w:val="00AE2C23"/>
    <w:rsid w:val="00AE2F23"/>
    <w:rsid w:val="00AE2FBD"/>
    <w:rsid w:val="00AE32FB"/>
    <w:rsid w:val="00AE33B8"/>
    <w:rsid w:val="00AE34FF"/>
    <w:rsid w:val="00AE35C0"/>
    <w:rsid w:val="00AE372D"/>
    <w:rsid w:val="00AE398A"/>
    <w:rsid w:val="00AE3F62"/>
    <w:rsid w:val="00AE49A9"/>
    <w:rsid w:val="00AE4B92"/>
    <w:rsid w:val="00AE4C19"/>
    <w:rsid w:val="00AE4F55"/>
    <w:rsid w:val="00AE50F8"/>
    <w:rsid w:val="00AE537D"/>
    <w:rsid w:val="00AE58EF"/>
    <w:rsid w:val="00AE5E3D"/>
    <w:rsid w:val="00AE60E0"/>
    <w:rsid w:val="00AE62B3"/>
    <w:rsid w:val="00AE64B6"/>
    <w:rsid w:val="00AE6657"/>
    <w:rsid w:val="00AE668E"/>
    <w:rsid w:val="00AE6977"/>
    <w:rsid w:val="00AE7317"/>
    <w:rsid w:val="00AE7554"/>
    <w:rsid w:val="00AE7828"/>
    <w:rsid w:val="00AE7895"/>
    <w:rsid w:val="00AE78FF"/>
    <w:rsid w:val="00AE7C2F"/>
    <w:rsid w:val="00AE7FAA"/>
    <w:rsid w:val="00AF001F"/>
    <w:rsid w:val="00AF01CC"/>
    <w:rsid w:val="00AF02D6"/>
    <w:rsid w:val="00AF0406"/>
    <w:rsid w:val="00AF0AFC"/>
    <w:rsid w:val="00AF0EDC"/>
    <w:rsid w:val="00AF103E"/>
    <w:rsid w:val="00AF12B5"/>
    <w:rsid w:val="00AF1A2F"/>
    <w:rsid w:val="00AF1DEA"/>
    <w:rsid w:val="00AF1E25"/>
    <w:rsid w:val="00AF2109"/>
    <w:rsid w:val="00AF223F"/>
    <w:rsid w:val="00AF22CA"/>
    <w:rsid w:val="00AF2520"/>
    <w:rsid w:val="00AF2A3F"/>
    <w:rsid w:val="00AF2DD5"/>
    <w:rsid w:val="00AF2EF7"/>
    <w:rsid w:val="00AF32DC"/>
    <w:rsid w:val="00AF3F63"/>
    <w:rsid w:val="00AF422E"/>
    <w:rsid w:val="00AF4275"/>
    <w:rsid w:val="00AF445A"/>
    <w:rsid w:val="00AF4D2B"/>
    <w:rsid w:val="00AF529F"/>
    <w:rsid w:val="00AF5406"/>
    <w:rsid w:val="00AF5BD1"/>
    <w:rsid w:val="00AF5D67"/>
    <w:rsid w:val="00AF5DE7"/>
    <w:rsid w:val="00AF6349"/>
    <w:rsid w:val="00AF6673"/>
    <w:rsid w:val="00AF6A9A"/>
    <w:rsid w:val="00AF6B88"/>
    <w:rsid w:val="00AF7046"/>
    <w:rsid w:val="00AF721B"/>
    <w:rsid w:val="00AF741E"/>
    <w:rsid w:val="00AF772D"/>
    <w:rsid w:val="00B003DF"/>
    <w:rsid w:val="00B00CA4"/>
    <w:rsid w:val="00B00F7F"/>
    <w:rsid w:val="00B0104D"/>
    <w:rsid w:val="00B012AC"/>
    <w:rsid w:val="00B0180C"/>
    <w:rsid w:val="00B027A8"/>
    <w:rsid w:val="00B02BDE"/>
    <w:rsid w:val="00B032B3"/>
    <w:rsid w:val="00B0337F"/>
    <w:rsid w:val="00B03809"/>
    <w:rsid w:val="00B03946"/>
    <w:rsid w:val="00B03EC1"/>
    <w:rsid w:val="00B03ED7"/>
    <w:rsid w:val="00B0408C"/>
    <w:rsid w:val="00B046B5"/>
    <w:rsid w:val="00B04D11"/>
    <w:rsid w:val="00B04EBB"/>
    <w:rsid w:val="00B04F1B"/>
    <w:rsid w:val="00B051B4"/>
    <w:rsid w:val="00B05278"/>
    <w:rsid w:val="00B05297"/>
    <w:rsid w:val="00B05445"/>
    <w:rsid w:val="00B05501"/>
    <w:rsid w:val="00B05C59"/>
    <w:rsid w:val="00B05CCE"/>
    <w:rsid w:val="00B0690C"/>
    <w:rsid w:val="00B069C3"/>
    <w:rsid w:val="00B06BD6"/>
    <w:rsid w:val="00B06E47"/>
    <w:rsid w:val="00B06EEC"/>
    <w:rsid w:val="00B06FDD"/>
    <w:rsid w:val="00B071C5"/>
    <w:rsid w:val="00B072FF"/>
    <w:rsid w:val="00B0733C"/>
    <w:rsid w:val="00B076D0"/>
    <w:rsid w:val="00B078F5"/>
    <w:rsid w:val="00B07A61"/>
    <w:rsid w:val="00B07AD1"/>
    <w:rsid w:val="00B07E35"/>
    <w:rsid w:val="00B10A2E"/>
    <w:rsid w:val="00B114B6"/>
    <w:rsid w:val="00B11A36"/>
    <w:rsid w:val="00B11CFA"/>
    <w:rsid w:val="00B11EA0"/>
    <w:rsid w:val="00B123E8"/>
    <w:rsid w:val="00B1252A"/>
    <w:rsid w:val="00B12737"/>
    <w:rsid w:val="00B12B56"/>
    <w:rsid w:val="00B12BB5"/>
    <w:rsid w:val="00B132A7"/>
    <w:rsid w:val="00B13A02"/>
    <w:rsid w:val="00B13DA8"/>
    <w:rsid w:val="00B140FC"/>
    <w:rsid w:val="00B141BE"/>
    <w:rsid w:val="00B14390"/>
    <w:rsid w:val="00B14B00"/>
    <w:rsid w:val="00B150CD"/>
    <w:rsid w:val="00B15233"/>
    <w:rsid w:val="00B15257"/>
    <w:rsid w:val="00B15F06"/>
    <w:rsid w:val="00B16272"/>
    <w:rsid w:val="00B16346"/>
    <w:rsid w:val="00B16A29"/>
    <w:rsid w:val="00B16A4E"/>
    <w:rsid w:val="00B16D01"/>
    <w:rsid w:val="00B16E1A"/>
    <w:rsid w:val="00B16EDA"/>
    <w:rsid w:val="00B17001"/>
    <w:rsid w:val="00B17299"/>
    <w:rsid w:val="00B17491"/>
    <w:rsid w:val="00B174A5"/>
    <w:rsid w:val="00B176A5"/>
    <w:rsid w:val="00B17B75"/>
    <w:rsid w:val="00B201FC"/>
    <w:rsid w:val="00B20CDA"/>
    <w:rsid w:val="00B20E85"/>
    <w:rsid w:val="00B20EF1"/>
    <w:rsid w:val="00B21136"/>
    <w:rsid w:val="00B211E7"/>
    <w:rsid w:val="00B217CC"/>
    <w:rsid w:val="00B2191E"/>
    <w:rsid w:val="00B21BFF"/>
    <w:rsid w:val="00B21D9B"/>
    <w:rsid w:val="00B21DC4"/>
    <w:rsid w:val="00B22346"/>
    <w:rsid w:val="00B22A8D"/>
    <w:rsid w:val="00B22B53"/>
    <w:rsid w:val="00B22BD6"/>
    <w:rsid w:val="00B22F87"/>
    <w:rsid w:val="00B23420"/>
    <w:rsid w:val="00B2363C"/>
    <w:rsid w:val="00B243E5"/>
    <w:rsid w:val="00B2472F"/>
    <w:rsid w:val="00B24B0E"/>
    <w:rsid w:val="00B24BCD"/>
    <w:rsid w:val="00B24FF0"/>
    <w:rsid w:val="00B25069"/>
    <w:rsid w:val="00B2527C"/>
    <w:rsid w:val="00B25709"/>
    <w:rsid w:val="00B25EAC"/>
    <w:rsid w:val="00B26095"/>
    <w:rsid w:val="00B26A74"/>
    <w:rsid w:val="00B27757"/>
    <w:rsid w:val="00B27A4C"/>
    <w:rsid w:val="00B27C64"/>
    <w:rsid w:val="00B3025F"/>
    <w:rsid w:val="00B30E95"/>
    <w:rsid w:val="00B3102F"/>
    <w:rsid w:val="00B31072"/>
    <w:rsid w:val="00B314B5"/>
    <w:rsid w:val="00B315B5"/>
    <w:rsid w:val="00B315E7"/>
    <w:rsid w:val="00B31758"/>
    <w:rsid w:val="00B3183A"/>
    <w:rsid w:val="00B31D40"/>
    <w:rsid w:val="00B32006"/>
    <w:rsid w:val="00B32109"/>
    <w:rsid w:val="00B32410"/>
    <w:rsid w:val="00B32494"/>
    <w:rsid w:val="00B32882"/>
    <w:rsid w:val="00B32C26"/>
    <w:rsid w:val="00B32D18"/>
    <w:rsid w:val="00B33433"/>
    <w:rsid w:val="00B3357C"/>
    <w:rsid w:val="00B33B08"/>
    <w:rsid w:val="00B33DBE"/>
    <w:rsid w:val="00B33E36"/>
    <w:rsid w:val="00B34417"/>
    <w:rsid w:val="00B347A6"/>
    <w:rsid w:val="00B34987"/>
    <w:rsid w:val="00B349F5"/>
    <w:rsid w:val="00B34B0E"/>
    <w:rsid w:val="00B35063"/>
    <w:rsid w:val="00B350C9"/>
    <w:rsid w:val="00B351A2"/>
    <w:rsid w:val="00B3532D"/>
    <w:rsid w:val="00B353B8"/>
    <w:rsid w:val="00B355AA"/>
    <w:rsid w:val="00B359B4"/>
    <w:rsid w:val="00B35A7B"/>
    <w:rsid w:val="00B35F86"/>
    <w:rsid w:val="00B35FBE"/>
    <w:rsid w:val="00B364B4"/>
    <w:rsid w:val="00B3681E"/>
    <w:rsid w:val="00B36BAB"/>
    <w:rsid w:val="00B36C64"/>
    <w:rsid w:val="00B372A6"/>
    <w:rsid w:val="00B373F7"/>
    <w:rsid w:val="00B379F5"/>
    <w:rsid w:val="00B37D13"/>
    <w:rsid w:val="00B37FF9"/>
    <w:rsid w:val="00B4029D"/>
    <w:rsid w:val="00B402FF"/>
    <w:rsid w:val="00B40365"/>
    <w:rsid w:val="00B40446"/>
    <w:rsid w:val="00B405C0"/>
    <w:rsid w:val="00B4276F"/>
    <w:rsid w:val="00B42F6A"/>
    <w:rsid w:val="00B43944"/>
    <w:rsid w:val="00B439E5"/>
    <w:rsid w:val="00B43A8F"/>
    <w:rsid w:val="00B43B36"/>
    <w:rsid w:val="00B43B53"/>
    <w:rsid w:val="00B43B6B"/>
    <w:rsid w:val="00B43C95"/>
    <w:rsid w:val="00B43EDE"/>
    <w:rsid w:val="00B44692"/>
    <w:rsid w:val="00B44720"/>
    <w:rsid w:val="00B44727"/>
    <w:rsid w:val="00B4508B"/>
    <w:rsid w:val="00B45207"/>
    <w:rsid w:val="00B456DD"/>
    <w:rsid w:val="00B457D3"/>
    <w:rsid w:val="00B45A7B"/>
    <w:rsid w:val="00B46CBC"/>
    <w:rsid w:val="00B46F54"/>
    <w:rsid w:val="00B47694"/>
    <w:rsid w:val="00B5005C"/>
    <w:rsid w:val="00B50535"/>
    <w:rsid w:val="00B50D53"/>
    <w:rsid w:val="00B50E9A"/>
    <w:rsid w:val="00B51643"/>
    <w:rsid w:val="00B516A1"/>
    <w:rsid w:val="00B521F1"/>
    <w:rsid w:val="00B52868"/>
    <w:rsid w:val="00B52CC7"/>
    <w:rsid w:val="00B52FCF"/>
    <w:rsid w:val="00B5309F"/>
    <w:rsid w:val="00B5319E"/>
    <w:rsid w:val="00B533AC"/>
    <w:rsid w:val="00B53C42"/>
    <w:rsid w:val="00B549B6"/>
    <w:rsid w:val="00B54D50"/>
    <w:rsid w:val="00B54E4F"/>
    <w:rsid w:val="00B55566"/>
    <w:rsid w:val="00B55769"/>
    <w:rsid w:val="00B5585C"/>
    <w:rsid w:val="00B55892"/>
    <w:rsid w:val="00B55937"/>
    <w:rsid w:val="00B55C06"/>
    <w:rsid w:val="00B55C4D"/>
    <w:rsid w:val="00B56042"/>
    <w:rsid w:val="00B56475"/>
    <w:rsid w:val="00B567E4"/>
    <w:rsid w:val="00B56A6E"/>
    <w:rsid w:val="00B56AAA"/>
    <w:rsid w:val="00B56C3F"/>
    <w:rsid w:val="00B56E89"/>
    <w:rsid w:val="00B5702E"/>
    <w:rsid w:val="00B57217"/>
    <w:rsid w:val="00B5732A"/>
    <w:rsid w:val="00B574F5"/>
    <w:rsid w:val="00B57713"/>
    <w:rsid w:val="00B57C92"/>
    <w:rsid w:val="00B605A7"/>
    <w:rsid w:val="00B60812"/>
    <w:rsid w:val="00B6082E"/>
    <w:rsid w:val="00B60848"/>
    <w:rsid w:val="00B60F90"/>
    <w:rsid w:val="00B611D2"/>
    <w:rsid w:val="00B6125F"/>
    <w:rsid w:val="00B615D0"/>
    <w:rsid w:val="00B61821"/>
    <w:rsid w:val="00B61C54"/>
    <w:rsid w:val="00B61E52"/>
    <w:rsid w:val="00B6270C"/>
    <w:rsid w:val="00B62E1C"/>
    <w:rsid w:val="00B63114"/>
    <w:rsid w:val="00B63375"/>
    <w:rsid w:val="00B63879"/>
    <w:rsid w:val="00B63A1F"/>
    <w:rsid w:val="00B63B91"/>
    <w:rsid w:val="00B63ED0"/>
    <w:rsid w:val="00B64739"/>
    <w:rsid w:val="00B64858"/>
    <w:rsid w:val="00B64973"/>
    <w:rsid w:val="00B64C62"/>
    <w:rsid w:val="00B6520A"/>
    <w:rsid w:val="00B655B5"/>
    <w:rsid w:val="00B65CF4"/>
    <w:rsid w:val="00B65ECF"/>
    <w:rsid w:val="00B66142"/>
    <w:rsid w:val="00B66519"/>
    <w:rsid w:val="00B665D5"/>
    <w:rsid w:val="00B66756"/>
    <w:rsid w:val="00B67361"/>
    <w:rsid w:val="00B67BE2"/>
    <w:rsid w:val="00B70BD4"/>
    <w:rsid w:val="00B70BF9"/>
    <w:rsid w:val="00B71961"/>
    <w:rsid w:val="00B71D29"/>
    <w:rsid w:val="00B7217A"/>
    <w:rsid w:val="00B727C5"/>
    <w:rsid w:val="00B72C01"/>
    <w:rsid w:val="00B72F72"/>
    <w:rsid w:val="00B73758"/>
    <w:rsid w:val="00B737CE"/>
    <w:rsid w:val="00B74774"/>
    <w:rsid w:val="00B7525A"/>
    <w:rsid w:val="00B75765"/>
    <w:rsid w:val="00B75A23"/>
    <w:rsid w:val="00B75EAB"/>
    <w:rsid w:val="00B75F70"/>
    <w:rsid w:val="00B76140"/>
    <w:rsid w:val="00B7618C"/>
    <w:rsid w:val="00B76224"/>
    <w:rsid w:val="00B76237"/>
    <w:rsid w:val="00B76470"/>
    <w:rsid w:val="00B76FF8"/>
    <w:rsid w:val="00B7701D"/>
    <w:rsid w:val="00B771A3"/>
    <w:rsid w:val="00B77715"/>
    <w:rsid w:val="00B778C7"/>
    <w:rsid w:val="00B77D7D"/>
    <w:rsid w:val="00B80210"/>
    <w:rsid w:val="00B80ACB"/>
    <w:rsid w:val="00B80C0A"/>
    <w:rsid w:val="00B81068"/>
    <w:rsid w:val="00B8163E"/>
    <w:rsid w:val="00B81D2E"/>
    <w:rsid w:val="00B81E31"/>
    <w:rsid w:val="00B81F41"/>
    <w:rsid w:val="00B8227E"/>
    <w:rsid w:val="00B822C3"/>
    <w:rsid w:val="00B8268B"/>
    <w:rsid w:val="00B827F0"/>
    <w:rsid w:val="00B83265"/>
    <w:rsid w:val="00B83343"/>
    <w:rsid w:val="00B83628"/>
    <w:rsid w:val="00B83757"/>
    <w:rsid w:val="00B83EA9"/>
    <w:rsid w:val="00B8450C"/>
    <w:rsid w:val="00B84B05"/>
    <w:rsid w:val="00B84C94"/>
    <w:rsid w:val="00B84E64"/>
    <w:rsid w:val="00B850E7"/>
    <w:rsid w:val="00B85752"/>
    <w:rsid w:val="00B85AB4"/>
    <w:rsid w:val="00B86305"/>
    <w:rsid w:val="00B86338"/>
    <w:rsid w:val="00B8633D"/>
    <w:rsid w:val="00B86427"/>
    <w:rsid w:val="00B867BA"/>
    <w:rsid w:val="00B86836"/>
    <w:rsid w:val="00B86860"/>
    <w:rsid w:val="00B86C44"/>
    <w:rsid w:val="00B86D02"/>
    <w:rsid w:val="00B87342"/>
    <w:rsid w:val="00B90916"/>
    <w:rsid w:val="00B9154C"/>
    <w:rsid w:val="00B91798"/>
    <w:rsid w:val="00B91E47"/>
    <w:rsid w:val="00B92194"/>
    <w:rsid w:val="00B924FF"/>
    <w:rsid w:val="00B92506"/>
    <w:rsid w:val="00B92A59"/>
    <w:rsid w:val="00B92A6C"/>
    <w:rsid w:val="00B92DFB"/>
    <w:rsid w:val="00B92F25"/>
    <w:rsid w:val="00B93513"/>
    <w:rsid w:val="00B938CD"/>
    <w:rsid w:val="00B93B13"/>
    <w:rsid w:val="00B93CB4"/>
    <w:rsid w:val="00B93F63"/>
    <w:rsid w:val="00B9430D"/>
    <w:rsid w:val="00B9439E"/>
    <w:rsid w:val="00B954EF"/>
    <w:rsid w:val="00B95B70"/>
    <w:rsid w:val="00B95C0E"/>
    <w:rsid w:val="00B95C27"/>
    <w:rsid w:val="00B95CED"/>
    <w:rsid w:val="00B95D23"/>
    <w:rsid w:val="00B96004"/>
    <w:rsid w:val="00B965AB"/>
    <w:rsid w:val="00B96C64"/>
    <w:rsid w:val="00B97184"/>
    <w:rsid w:val="00B97476"/>
    <w:rsid w:val="00B97756"/>
    <w:rsid w:val="00B97842"/>
    <w:rsid w:val="00B97CD1"/>
    <w:rsid w:val="00B97D97"/>
    <w:rsid w:val="00BA0076"/>
    <w:rsid w:val="00BA0B8A"/>
    <w:rsid w:val="00BA0BA2"/>
    <w:rsid w:val="00BA0C1E"/>
    <w:rsid w:val="00BA10D4"/>
    <w:rsid w:val="00BA1D66"/>
    <w:rsid w:val="00BA2106"/>
    <w:rsid w:val="00BA2277"/>
    <w:rsid w:val="00BA2F41"/>
    <w:rsid w:val="00BA38C2"/>
    <w:rsid w:val="00BA3CD8"/>
    <w:rsid w:val="00BA4108"/>
    <w:rsid w:val="00BA4130"/>
    <w:rsid w:val="00BA4477"/>
    <w:rsid w:val="00BA460A"/>
    <w:rsid w:val="00BA46DD"/>
    <w:rsid w:val="00BA4FF6"/>
    <w:rsid w:val="00BA5021"/>
    <w:rsid w:val="00BA525A"/>
    <w:rsid w:val="00BA5DDF"/>
    <w:rsid w:val="00BA6D80"/>
    <w:rsid w:val="00BA6F53"/>
    <w:rsid w:val="00BA70E2"/>
    <w:rsid w:val="00BA7DAD"/>
    <w:rsid w:val="00BA7DE4"/>
    <w:rsid w:val="00BA7FAE"/>
    <w:rsid w:val="00BB0A33"/>
    <w:rsid w:val="00BB0BB2"/>
    <w:rsid w:val="00BB1088"/>
    <w:rsid w:val="00BB13D9"/>
    <w:rsid w:val="00BB1802"/>
    <w:rsid w:val="00BB1CBE"/>
    <w:rsid w:val="00BB1EF0"/>
    <w:rsid w:val="00BB290A"/>
    <w:rsid w:val="00BB3A91"/>
    <w:rsid w:val="00BB43F3"/>
    <w:rsid w:val="00BB4537"/>
    <w:rsid w:val="00BB4581"/>
    <w:rsid w:val="00BB4641"/>
    <w:rsid w:val="00BB46F7"/>
    <w:rsid w:val="00BB4782"/>
    <w:rsid w:val="00BB4A3F"/>
    <w:rsid w:val="00BB4A8E"/>
    <w:rsid w:val="00BB4CE3"/>
    <w:rsid w:val="00BB4D41"/>
    <w:rsid w:val="00BB5084"/>
    <w:rsid w:val="00BB5342"/>
    <w:rsid w:val="00BB53B4"/>
    <w:rsid w:val="00BB5498"/>
    <w:rsid w:val="00BB602A"/>
    <w:rsid w:val="00BB60A2"/>
    <w:rsid w:val="00BB67BF"/>
    <w:rsid w:val="00BB699E"/>
    <w:rsid w:val="00BB6D14"/>
    <w:rsid w:val="00BB7160"/>
    <w:rsid w:val="00BB716C"/>
    <w:rsid w:val="00BB7B49"/>
    <w:rsid w:val="00BB7BEB"/>
    <w:rsid w:val="00BB7CDD"/>
    <w:rsid w:val="00BC025A"/>
    <w:rsid w:val="00BC04E9"/>
    <w:rsid w:val="00BC0545"/>
    <w:rsid w:val="00BC07E3"/>
    <w:rsid w:val="00BC099E"/>
    <w:rsid w:val="00BC0D47"/>
    <w:rsid w:val="00BC0D4B"/>
    <w:rsid w:val="00BC0D55"/>
    <w:rsid w:val="00BC1156"/>
    <w:rsid w:val="00BC1BFE"/>
    <w:rsid w:val="00BC2168"/>
    <w:rsid w:val="00BC2317"/>
    <w:rsid w:val="00BC24D5"/>
    <w:rsid w:val="00BC2524"/>
    <w:rsid w:val="00BC294C"/>
    <w:rsid w:val="00BC319B"/>
    <w:rsid w:val="00BC34CA"/>
    <w:rsid w:val="00BC3EA6"/>
    <w:rsid w:val="00BC3F0A"/>
    <w:rsid w:val="00BC49A6"/>
    <w:rsid w:val="00BC4A9C"/>
    <w:rsid w:val="00BC4F5C"/>
    <w:rsid w:val="00BC52D2"/>
    <w:rsid w:val="00BC535D"/>
    <w:rsid w:val="00BC561B"/>
    <w:rsid w:val="00BC56E6"/>
    <w:rsid w:val="00BC59E8"/>
    <w:rsid w:val="00BC7414"/>
    <w:rsid w:val="00BD07F2"/>
    <w:rsid w:val="00BD09F9"/>
    <w:rsid w:val="00BD0AFA"/>
    <w:rsid w:val="00BD1B85"/>
    <w:rsid w:val="00BD2458"/>
    <w:rsid w:val="00BD263A"/>
    <w:rsid w:val="00BD2863"/>
    <w:rsid w:val="00BD29FF"/>
    <w:rsid w:val="00BD2A16"/>
    <w:rsid w:val="00BD2D7A"/>
    <w:rsid w:val="00BD3184"/>
    <w:rsid w:val="00BD36A9"/>
    <w:rsid w:val="00BD3EF6"/>
    <w:rsid w:val="00BD3FC1"/>
    <w:rsid w:val="00BD4538"/>
    <w:rsid w:val="00BD4818"/>
    <w:rsid w:val="00BD511E"/>
    <w:rsid w:val="00BD52CD"/>
    <w:rsid w:val="00BD52FA"/>
    <w:rsid w:val="00BD59C2"/>
    <w:rsid w:val="00BD6018"/>
    <w:rsid w:val="00BD67CC"/>
    <w:rsid w:val="00BD67E2"/>
    <w:rsid w:val="00BD6912"/>
    <w:rsid w:val="00BD7057"/>
    <w:rsid w:val="00BD745C"/>
    <w:rsid w:val="00BD781F"/>
    <w:rsid w:val="00BD7B0D"/>
    <w:rsid w:val="00BD7BA2"/>
    <w:rsid w:val="00BE1085"/>
    <w:rsid w:val="00BE1548"/>
    <w:rsid w:val="00BE159C"/>
    <w:rsid w:val="00BE1926"/>
    <w:rsid w:val="00BE19DC"/>
    <w:rsid w:val="00BE1A1F"/>
    <w:rsid w:val="00BE1A89"/>
    <w:rsid w:val="00BE1AD9"/>
    <w:rsid w:val="00BE2164"/>
    <w:rsid w:val="00BE235C"/>
    <w:rsid w:val="00BE2EAF"/>
    <w:rsid w:val="00BE2EDB"/>
    <w:rsid w:val="00BE33F7"/>
    <w:rsid w:val="00BE34C9"/>
    <w:rsid w:val="00BE3A6E"/>
    <w:rsid w:val="00BE3B58"/>
    <w:rsid w:val="00BE3C57"/>
    <w:rsid w:val="00BE5419"/>
    <w:rsid w:val="00BE544D"/>
    <w:rsid w:val="00BE5F88"/>
    <w:rsid w:val="00BE61D0"/>
    <w:rsid w:val="00BE62F1"/>
    <w:rsid w:val="00BE687C"/>
    <w:rsid w:val="00BE6D66"/>
    <w:rsid w:val="00BE6DFF"/>
    <w:rsid w:val="00BE78F6"/>
    <w:rsid w:val="00BE7CB6"/>
    <w:rsid w:val="00BE7F93"/>
    <w:rsid w:val="00BF0352"/>
    <w:rsid w:val="00BF05C6"/>
    <w:rsid w:val="00BF0745"/>
    <w:rsid w:val="00BF0A00"/>
    <w:rsid w:val="00BF0B82"/>
    <w:rsid w:val="00BF0C68"/>
    <w:rsid w:val="00BF16CE"/>
    <w:rsid w:val="00BF18BF"/>
    <w:rsid w:val="00BF1FB0"/>
    <w:rsid w:val="00BF26D9"/>
    <w:rsid w:val="00BF284E"/>
    <w:rsid w:val="00BF2CBD"/>
    <w:rsid w:val="00BF38BA"/>
    <w:rsid w:val="00BF3FBB"/>
    <w:rsid w:val="00BF4567"/>
    <w:rsid w:val="00BF45FC"/>
    <w:rsid w:val="00BF4902"/>
    <w:rsid w:val="00BF51BF"/>
    <w:rsid w:val="00BF58BC"/>
    <w:rsid w:val="00BF6501"/>
    <w:rsid w:val="00BF7BAA"/>
    <w:rsid w:val="00BF7D2E"/>
    <w:rsid w:val="00C00379"/>
    <w:rsid w:val="00C00CF3"/>
    <w:rsid w:val="00C00FF6"/>
    <w:rsid w:val="00C011AF"/>
    <w:rsid w:val="00C01277"/>
    <w:rsid w:val="00C01524"/>
    <w:rsid w:val="00C015F9"/>
    <w:rsid w:val="00C0170A"/>
    <w:rsid w:val="00C0171A"/>
    <w:rsid w:val="00C018B8"/>
    <w:rsid w:val="00C01ADD"/>
    <w:rsid w:val="00C01E04"/>
    <w:rsid w:val="00C01F05"/>
    <w:rsid w:val="00C027D7"/>
    <w:rsid w:val="00C029B8"/>
    <w:rsid w:val="00C02C66"/>
    <w:rsid w:val="00C02D7E"/>
    <w:rsid w:val="00C02FAF"/>
    <w:rsid w:val="00C02FC7"/>
    <w:rsid w:val="00C03D56"/>
    <w:rsid w:val="00C04252"/>
    <w:rsid w:val="00C04AE8"/>
    <w:rsid w:val="00C051B4"/>
    <w:rsid w:val="00C0574D"/>
    <w:rsid w:val="00C058F6"/>
    <w:rsid w:val="00C05B04"/>
    <w:rsid w:val="00C05BA5"/>
    <w:rsid w:val="00C05DB3"/>
    <w:rsid w:val="00C05F78"/>
    <w:rsid w:val="00C065B8"/>
    <w:rsid w:val="00C06B4D"/>
    <w:rsid w:val="00C06BD6"/>
    <w:rsid w:val="00C0712D"/>
    <w:rsid w:val="00C07FB4"/>
    <w:rsid w:val="00C07FFB"/>
    <w:rsid w:val="00C103CF"/>
    <w:rsid w:val="00C10729"/>
    <w:rsid w:val="00C10790"/>
    <w:rsid w:val="00C107E0"/>
    <w:rsid w:val="00C10AC9"/>
    <w:rsid w:val="00C11043"/>
    <w:rsid w:val="00C1114D"/>
    <w:rsid w:val="00C116EE"/>
    <w:rsid w:val="00C11934"/>
    <w:rsid w:val="00C11DDF"/>
    <w:rsid w:val="00C11E7E"/>
    <w:rsid w:val="00C1200B"/>
    <w:rsid w:val="00C1214C"/>
    <w:rsid w:val="00C122DE"/>
    <w:rsid w:val="00C12663"/>
    <w:rsid w:val="00C12797"/>
    <w:rsid w:val="00C128D9"/>
    <w:rsid w:val="00C12A50"/>
    <w:rsid w:val="00C133F6"/>
    <w:rsid w:val="00C13427"/>
    <w:rsid w:val="00C13715"/>
    <w:rsid w:val="00C13E9D"/>
    <w:rsid w:val="00C143C8"/>
    <w:rsid w:val="00C14484"/>
    <w:rsid w:val="00C15390"/>
    <w:rsid w:val="00C154CB"/>
    <w:rsid w:val="00C1586E"/>
    <w:rsid w:val="00C15A10"/>
    <w:rsid w:val="00C15C17"/>
    <w:rsid w:val="00C1653E"/>
    <w:rsid w:val="00C16655"/>
    <w:rsid w:val="00C16BC6"/>
    <w:rsid w:val="00C16E29"/>
    <w:rsid w:val="00C17020"/>
    <w:rsid w:val="00C17205"/>
    <w:rsid w:val="00C1730A"/>
    <w:rsid w:val="00C17565"/>
    <w:rsid w:val="00C17841"/>
    <w:rsid w:val="00C17934"/>
    <w:rsid w:val="00C179E1"/>
    <w:rsid w:val="00C17DF6"/>
    <w:rsid w:val="00C17FBD"/>
    <w:rsid w:val="00C20057"/>
    <w:rsid w:val="00C20442"/>
    <w:rsid w:val="00C208B9"/>
    <w:rsid w:val="00C21309"/>
    <w:rsid w:val="00C21689"/>
    <w:rsid w:val="00C21FCD"/>
    <w:rsid w:val="00C2215F"/>
    <w:rsid w:val="00C2279B"/>
    <w:rsid w:val="00C231D1"/>
    <w:rsid w:val="00C23862"/>
    <w:rsid w:val="00C23A59"/>
    <w:rsid w:val="00C23E75"/>
    <w:rsid w:val="00C241A6"/>
    <w:rsid w:val="00C2453C"/>
    <w:rsid w:val="00C24849"/>
    <w:rsid w:val="00C2493F"/>
    <w:rsid w:val="00C249C4"/>
    <w:rsid w:val="00C24A27"/>
    <w:rsid w:val="00C24A59"/>
    <w:rsid w:val="00C24B42"/>
    <w:rsid w:val="00C24BDE"/>
    <w:rsid w:val="00C24C4F"/>
    <w:rsid w:val="00C24DDD"/>
    <w:rsid w:val="00C2531A"/>
    <w:rsid w:val="00C254CB"/>
    <w:rsid w:val="00C254FF"/>
    <w:rsid w:val="00C258DF"/>
    <w:rsid w:val="00C25EB1"/>
    <w:rsid w:val="00C261B5"/>
    <w:rsid w:val="00C26500"/>
    <w:rsid w:val="00C26CB4"/>
    <w:rsid w:val="00C26FC6"/>
    <w:rsid w:val="00C2724E"/>
    <w:rsid w:val="00C27315"/>
    <w:rsid w:val="00C2785D"/>
    <w:rsid w:val="00C27925"/>
    <w:rsid w:val="00C27B79"/>
    <w:rsid w:val="00C27FE6"/>
    <w:rsid w:val="00C3013C"/>
    <w:rsid w:val="00C3094C"/>
    <w:rsid w:val="00C30967"/>
    <w:rsid w:val="00C30DA2"/>
    <w:rsid w:val="00C3144D"/>
    <w:rsid w:val="00C317F0"/>
    <w:rsid w:val="00C31A86"/>
    <w:rsid w:val="00C31ADF"/>
    <w:rsid w:val="00C3295C"/>
    <w:rsid w:val="00C32C24"/>
    <w:rsid w:val="00C32EF5"/>
    <w:rsid w:val="00C33007"/>
    <w:rsid w:val="00C33226"/>
    <w:rsid w:val="00C33421"/>
    <w:rsid w:val="00C335B4"/>
    <w:rsid w:val="00C3376C"/>
    <w:rsid w:val="00C337BD"/>
    <w:rsid w:val="00C3390C"/>
    <w:rsid w:val="00C3397E"/>
    <w:rsid w:val="00C33A5F"/>
    <w:rsid w:val="00C3428C"/>
    <w:rsid w:val="00C34C09"/>
    <w:rsid w:val="00C3545D"/>
    <w:rsid w:val="00C355A8"/>
    <w:rsid w:val="00C35795"/>
    <w:rsid w:val="00C357B8"/>
    <w:rsid w:val="00C35B7B"/>
    <w:rsid w:val="00C35ED3"/>
    <w:rsid w:val="00C360A5"/>
    <w:rsid w:val="00C3667C"/>
    <w:rsid w:val="00C376AC"/>
    <w:rsid w:val="00C378DC"/>
    <w:rsid w:val="00C37C0D"/>
    <w:rsid w:val="00C37DEA"/>
    <w:rsid w:val="00C37E11"/>
    <w:rsid w:val="00C37E93"/>
    <w:rsid w:val="00C40023"/>
    <w:rsid w:val="00C404AF"/>
    <w:rsid w:val="00C404EE"/>
    <w:rsid w:val="00C40A9B"/>
    <w:rsid w:val="00C40E8E"/>
    <w:rsid w:val="00C40EDE"/>
    <w:rsid w:val="00C4103E"/>
    <w:rsid w:val="00C4131D"/>
    <w:rsid w:val="00C417F7"/>
    <w:rsid w:val="00C41935"/>
    <w:rsid w:val="00C41CC6"/>
    <w:rsid w:val="00C41E00"/>
    <w:rsid w:val="00C41F5C"/>
    <w:rsid w:val="00C42526"/>
    <w:rsid w:val="00C428A6"/>
    <w:rsid w:val="00C429C1"/>
    <w:rsid w:val="00C42C3C"/>
    <w:rsid w:val="00C42ECD"/>
    <w:rsid w:val="00C43025"/>
    <w:rsid w:val="00C4348B"/>
    <w:rsid w:val="00C43507"/>
    <w:rsid w:val="00C436BC"/>
    <w:rsid w:val="00C43747"/>
    <w:rsid w:val="00C437AF"/>
    <w:rsid w:val="00C43843"/>
    <w:rsid w:val="00C43FB4"/>
    <w:rsid w:val="00C441D8"/>
    <w:rsid w:val="00C4463F"/>
    <w:rsid w:val="00C44958"/>
    <w:rsid w:val="00C44E26"/>
    <w:rsid w:val="00C4575F"/>
    <w:rsid w:val="00C45872"/>
    <w:rsid w:val="00C4592E"/>
    <w:rsid w:val="00C45AA6"/>
    <w:rsid w:val="00C45ACB"/>
    <w:rsid w:val="00C462DA"/>
    <w:rsid w:val="00C46557"/>
    <w:rsid w:val="00C474AF"/>
    <w:rsid w:val="00C47516"/>
    <w:rsid w:val="00C47905"/>
    <w:rsid w:val="00C47D6D"/>
    <w:rsid w:val="00C508B3"/>
    <w:rsid w:val="00C50A1C"/>
    <w:rsid w:val="00C51056"/>
    <w:rsid w:val="00C5118B"/>
    <w:rsid w:val="00C511F4"/>
    <w:rsid w:val="00C51234"/>
    <w:rsid w:val="00C512BC"/>
    <w:rsid w:val="00C52F10"/>
    <w:rsid w:val="00C53155"/>
    <w:rsid w:val="00C5323B"/>
    <w:rsid w:val="00C53795"/>
    <w:rsid w:val="00C54323"/>
    <w:rsid w:val="00C544B7"/>
    <w:rsid w:val="00C544C8"/>
    <w:rsid w:val="00C5464D"/>
    <w:rsid w:val="00C54BD4"/>
    <w:rsid w:val="00C5501B"/>
    <w:rsid w:val="00C556A3"/>
    <w:rsid w:val="00C55939"/>
    <w:rsid w:val="00C55C6A"/>
    <w:rsid w:val="00C56153"/>
    <w:rsid w:val="00C5671A"/>
    <w:rsid w:val="00C56910"/>
    <w:rsid w:val="00C57685"/>
    <w:rsid w:val="00C57DCF"/>
    <w:rsid w:val="00C60390"/>
    <w:rsid w:val="00C60D20"/>
    <w:rsid w:val="00C61066"/>
    <w:rsid w:val="00C61084"/>
    <w:rsid w:val="00C61377"/>
    <w:rsid w:val="00C6157F"/>
    <w:rsid w:val="00C62354"/>
    <w:rsid w:val="00C6255A"/>
    <w:rsid w:val="00C62871"/>
    <w:rsid w:val="00C62EF8"/>
    <w:rsid w:val="00C62F43"/>
    <w:rsid w:val="00C62FE5"/>
    <w:rsid w:val="00C6316A"/>
    <w:rsid w:val="00C636D2"/>
    <w:rsid w:val="00C63AFB"/>
    <w:rsid w:val="00C641B4"/>
    <w:rsid w:val="00C646FD"/>
    <w:rsid w:val="00C64B09"/>
    <w:rsid w:val="00C64C4F"/>
    <w:rsid w:val="00C65855"/>
    <w:rsid w:val="00C664F0"/>
    <w:rsid w:val="00C6680A"/>
    <w:rsid w:val="00C66840"/>
    <w:rsid w:val="00C67310"/>
    <w:rsid w:val="00C67A94"/>
    <w:rsid w:val="00C67C15"/>
    <w:rsid w:val="00C67EF2"/>
    <w:rsid w:val="00C71227"/>
    <w:rsid w:val="00C7155E"/>
    <w:rsid w:val="00C7184F"/>
    <w:rsid w:val="00C7212B"/>
    <w:rsid w:val="00C72AFC"/>
    <w:rsid w:val="00C7393A"/>
    <w:rsid w:val="00C73A83"/>
    <w:rsid w:val="00C73AE7"/>
    <w:rsid w:val="00C73DDE"/>
    <w:rsid w:val="00C745CF"/>
    <w:rsid w:val="00C74DDC"/>
    <w:rsid w:val="00C7527F"/>
    <w:rsid w:val="00C7538E"/>
    <w:rsid w:val="00C75787"/>
    <w:rsid w:val="00C758E0"/>
    <w:rsid w:val="00C759EA"/>
    <w:rsid w:val="00C75E65"/>
    <w:rsid w:val="00C76950"/>
    <w:rsid w:val="00C76C96"/>
    <w:rsid w:val="00C76CAE"/>
    <w:rsid w:val="00C76DAA"/>
    <w:rsid w:val="00C77041"/>
    <w:rsid w:val="00C771D5"/>
    <w:rsid w:val="00C772D0"/>
    <w:rsid w:val="00C803D2"/>
    <w:rsid w:val="00C80703"/>
    <w:rsid w:val="00C80AA7"/>
    <w:rsid w:val="00C80BA0"/>
    <w:rsid w:val="00C80E50"/>
    <w:rsid w:val="00C818ED"/>
    <w:rsid w:val="00C82675"/>
    <w:rsid w:val="00C82869"/>
    <w:rsid w:val="00C829A8"/>
    <w:rsid w:val="00C82C21"/>
    <w:rsid w:val="00C834B0"/>
    <w:rsid w:val="00C8396D"/>
    <w:rsid w:val="00C83C87"/>
    <w:rsid w:val="00C8406D"/>
    <w:rsid w:val="00C843A3"/>
    <w:rsid w:val="00C8454B"/>
    <w:rsid w:val="00C849BD"/>
    <w:rsid w:val="00C84DB0"/>
    <w:rsid w:val="00C84F7F"/>
    <w:rsid w:val="00C85152"/>
    <w:rsid w:val="00C85E2F"/>
    <w:rsid w:val="00C85E89"/>
    <w:rsid w:val="00C8626A"/>
    <w:rsid w:val="00C86396"/>
    <w:rsid w:val="00C86F6C"/>
    <w:rsid w:val="00C8709F"/>
    <w:rsid w:val="00C8769C"/>
    <w:rsid w:val="00C87824"/>
    <w:rsid w:val="00C8797F"/>
    <w:rsid w:val="00C87CBD"/>
    <w:rsid w:val="00C87E66"/>
    <w:rsid w:val="00C90134"/>
    <w:rsid w:val="00C90D6B"/>
    <w:rsid w:val="00C90F20"/>
    <w:rsid w:val="00C90FD7"/>
    <w:rsid w:val="00C90FD9"/>
    <w:rsid w:val="00C917DA"/>
    <w:rsid w:val="00C921FA"/>
    <w:rsid w:val="00C925A9"/>
    <w:rsid w:val="00C925F5"/>
    <w:rsid w:val="00C92D96"/>
    <w:rsid w:val="00C93371"/>
    <w:rsid w:val="00C93763"/>
    <w:rsid w:val="00C93A50"/>
    <w:rsid w:val="00C93AF4"/>
    <w:rsid w:val="00C94511"/>
    <w:rsid w:val="00C9483D"/>
    <w:rsid w:val="00C94918"/>
    <w:rsid w:val="00C94B5D"/>
    <w:rsid w:val="00C94BFF"/>
    <w:rsid w:val="00C9541C"/>
    <w:rsid w:val="00C9560A"/>
    <w:rsid w:val="00C95902"/>
    <w:rsid w:val="00C962A3"/>
    <w:rsid w:val="00C96409"/>
    <w:rsid w:val="00C964C6"/>
    <w:rsid w:val="00C9650C"/>
    <w:rsid w:val="00C96B38"/>
    <w:rsid w:val="00C97551"/>
    <w:rsid w:val="00CA0113"/>
    <w:rsid w:val="00CA06C0"/>
    <w:rsid w:val="00CA0775"/>
    <w:rsid w:val="00CA123E"/>
    <w:rsid w:val="00CA136C"/>
    <w:rsid w:val="00CA1923"/>
    <w:rsid w:val="00CA1980"/>
    <w:rsid w:val="00CA1C82"/>
    <w:rsid w:val="00CA2038"/>
    <w:rsid w:val="00CA204C"/>
    <w:rsid w:val="00CA252B"/>
    <w:rsid w:val="00CA2F70"/>
    <w:rsid w:val="00CA3444"/>
    <w:rsid w:val="00CA376C"/>
    <w:rsid w:val="00CA3BB9"/>
    <w:rsid w:val="00CA3DE7"/>
    <w:rsid w:val="00CA401D"/>
    <w:rsid w:val="00CA40D3"/>
    <w:rsid w:val="00CA4576"/>
    <w:rsid w:val="00CA4D20"/>
    <w:rsid w:val="00CA5C77"/>
    <w:rsid w:val="00CA6948"/>
    <w:rsid w:val="00CA6AC4"/>
    <w:rsid w:val="00CA6B9C"/>
    <w:rsid w:val="00CA6CB4"/>
    <w:rsid w:val="00CA6F0E"/>
    <w:rsid w:val="00CA6FBE"/>
    <w:rsid w:val="00CA73DC"/>
    <w:rsid w:val="00CA7725"/>
    <w:rsid w:val="00CA773E"/>
    <w:rsid w:val="00CA78F5"/>
    <w:rsid w:val="00CB0113"/>
    <w:rsid w:val="00CB01B9"/>
    <w:rsid w:val="00CB05BF"/>
    <w:rsid w:val="00CB060F"/>
    <w:rsid w:val="00CB1108"/>
    <w:rsid w:val="00CB11CA"/>
    <w:rsid w:val="00CB11F0"/>
    <w:rsid w:val="00CB1589"/>
    <w:rsid w:val="00CB171C"/>
    <w:rsid w:val="00CB1A59"/>
    <w:rsid w:val="00CB1C43"/>
    <w:rsid w:val="00CB246C"/>
    <w:rsid w:val="00CB2C86"/>
    <w:rsid w:val="00CB3092"/>
    <w:rsid w:val="00CB3720"/>
    <w:rsid w:val="00CB38BB"/>
    <w:rsid w:val="00CB3DCF"/>
    <w:rsid w:val="00CB3ED5"/>
    <w:rsid w:val="00CB420C"/>
    <w:rsid w:val="00CB4366"/>
    <w:rsid w:val="00CB48A6"/>
    <w:rsid w:val="00CB503B"/>
    <w:rsid w:val="00CB548F"/>
    <w:rsid w:val="00CB5741"/>
    <w:rsid w:val="00CB5A65"/>
    <w:rsid w:val="00CB5B69"/>
    <w:rsid w:val="00CB5C7D"/>
    <w:rsid w:val="00CB5DCB"/>
    <w:rsid w:val="00CB5F00"/>
    <w:rsid w:val="00CB5F59"/>
    <w:rsid w:val="00CB662F"/>
    <w:rsid w:val="00CB67A1"/>
    <w:rsid w:val="00CB686F"/>
    <w:rsid w:val="00CB70A1"/>
    <w:rsid w:val="00CB72CF"/>
    <w:rsid w:val="00CB757F"/>
    <w:rsid w:val="00CB7EFA"/>
    <w:rsid w:val="00CC0245"/>
    <w:rsid w:val="00CC03F3"/>
    <w:rsid w:val="00CC058E"/>
    <w:rsid w:val="00CC0616"/>
    <w:rsid w:val="00CC0806"/>
    <w:rsid w:val="00CC0BB9"/>
    <w:rsid w:val="00CC0ECC"/>
    <w:rsid w:val="00CC0FA2"/>
    <w:rsid w:val="00CC1274"/>
    <w:rsid w:val="00CC12BA"/>
    <w:rsid w:val="00CC13E8"/>
    <w:rsid w:val="00CC15CE"/>
    <w:rsid w:val="00CC17E6"/>
    <w:rsid w:val="00CC1F3B"/>
    <w:rsid w:val="00CC25D0"/>
    <w:rsid w:val="00CC303A"/>
    <w:rsid w:val="00CC3249"/>
    <w:rsid w:val="00CC36E0"/>
    <w:rsid w:val="00CC3909"/>
    <w:rsid w:val="00CC3915"/>
    <w:rsid w:val="00CC39DA"/>
    <w:rsid w:val="00CC4529"/>
    <w:rsid w:val="00CC4AF7"/>
    <w:rsid w:val="00CC4BD3"/>
    <w:rsid w:val="00CC5237"/>
    <w:rsid w:val="00CC52C1"/>
    <w:rsid w:val="00CC56B2"/>
    <w:rsid w:val="00CC6058"/>
    <w:rsid w:val="00CC621E"/>
    <w:rsid w:val="00CC64AB"/>
    <w:rsid w:val="00CC6669"/>
    <w:rsid w:val="00CC6ABB"/>
    <w:rsid w:val="00CC6B67"/>
    <w:rsid w:val="00CC76C4"/>
    <w:rsid w:val="00CC7A82"/>
    <w:rsid w:val="00CC7EF5"/>
    <w:rsid w:val="00CD04E5"/>
    <w:rsid w:val="00CD092F"/>
    <w:rsid w:val="00CD0ACB"/>
    <w:rsid w:val="00CD0C0D"/>
    <w:rsid w:val="00CD0D9E"/>
    <w:rsid w:val="00CD0EDC"/>
    <w:rsid w:val="00CD111F"/>
    <w:rsid w:val="00CD137A"/>
    <w:rsid w:val="00CD13C9"/>
    <w:rsid w:val="00CD183B"/>
    <w:rsid w:val="00CD196D"/>
    <w:rsid w:val="00CD1AB8"/>
    <w:rsid w:val="00CD1B0E"/>
    <w:rsid w:val="00CD1B53"/>
    <w:rsid w:val="00CD22F8"/>
    <w:rsid w:val="00CD25CE"/>
    <w:rsid w:val="00CD26E6"/>
    <w:rsid w:val="00CD27E3"/>
    <w:rsid w:val="00CD2CC4"/>
    <w:rsid w:val="00CD2DFF"/>
    <w:rsid w:val="00CD326E"/>
    <w:rsid w:val="00CD3499"/>
    <w:rsid w:val="00CD34EA"/>
    <w:rsid w:val="00CD3C5E"/>
    <w:rsid w:val="00CD3E95"/>
    <w:rsid w:val="00CD4135"/>
    <w:rsid w:val="00CD415D"/>
    <w:rsid w:val="00CD442F"/>
    <w:rsid w:val="00CD4849"/>
    <w:rsid w:val="00CD4EE6"/>
    <w:rsid w:val="00CD5176"/>
    <w:rsid w:val="00CD5186"/>
    <w:rsid w:val="00CD5219"/>
    <w:rsid w:val="00CD546A"/>
    <w:rsid w:val="00CD54F1"/>
    <w:rsid w:val="00CD557A"/>
    <w:rsid w:val="00CD57D9"/>
    <w:rsid w:val="00CD59AD"/>
    <w:rsid w:val="00CD5C71"/>
    <w:rsid w:val="00CD5D09"/>
    <w:rsid w:val="00CD6BE7"/>
    <w:rsid w:val="00CD6FAB"/>
    <w:rsid w:val="00CD7336"/>
    <w:rsid w:val="00CD7413"/>
    <w:rsid w:val="00CD775C"/>
    <w:rsid w:val="00CD7919"/>
    <w:rsid w:val="00CD7A2D"/>
    <w:rsid w:val="00CD7AFA"/>
    <w:rsid w:val="00CD7CAC"/>
    <w:rsid w:val="00CE00CF"/>
    <w:rsid w:val="00CE0326"/>
    <w:rsid w:val="00CE06DE"/>
    <w:rsid w:val="00CE07BF"/>
    <w:rsid w:val="00CE0E3E"/>
    <w:rsid w:val="00CE1302"/>
    <w:rsid w:val="00CE1CA7"/>
    <w:rsid w:val="00CE1E23"/>
    <w:rsid w:val="00CE1FE5"/>
    <w:rsid w:val="00CE2123"/>
    <w:rsid w:val="00CE2A80"/>
    <w:rsid w:val="00CE2C8B"/>
    <w:rsid w:val="00CE33AB"/>
    <w:rsid w:val="00CE3D1A"/>
    <w:rsid w:val="00CE4361"/>
    <w:rsid w:val="00CE49C7"/>
    <w:rsid w:val="00CE4AF0"/>
    <w:rsid w:val="00CE4E66"/>
    <w:rsid w:val="00CE568F"/>
    <w:rsid w:val="00CE5B43"/>
    <w:rsid w:val="00CE5C2A"/>
    <w:rsid w:val="00CE64D6"/>
    <w:rsid w:val="00CE67D3"/>
    <w:rsid w:val="00CE6933"/>
    <w:rsid w:val="00CE6AA2"/>
    <w:rsid w:val="00CE6AE3"/>
    <w:rsid w:val="00CE6CB4"/>
    <w:rsid w:val="00CE6DD0"/>
    <w:rsid w:val="00CE7E92"/>
    <w:rsid w:val="00CE7F9D"/>
    <w:rsid w:val="00CF02FE"/>
    <w:rsid w:val="00CF0423"/>
    <w:rsid w:val="00CF1850"/>
    <w:rsid w:val="00CF1A5D"/>
    <w:rsid w:val="00CF1D8E"/>
    <w:rsid w:val="00CF1E13"/>
    <w:rsid w:val="00CF1F52"/>
    <w:rsid w:val="00CF1FA8"/>
    <w:rsid w:val="00CF220A"/>
    <w:rsid w:val="00CF232D"/>
    <w:rsid w:val="00CF2640"/>
    <w:rsid w:val="00CF2F20"/>
    <w:rsid w:val="00CF3251"/>
    <w:rsid w:val="00CF3641"/>
    <w:rsid w:val="00CF373E"/>
    <w:rsid w:val="00CF3936"/>
    <w:rsid w:val="00CF3C1A"/>
    <w:rsid w:val="00CF3D9A"/>
    <w:rsid w:val="00CF40EC"/>
    <w:rsid w:val="00CF467C"/>
    <w:rsid w:val="00CF482F"/>
    <w:rsid w:val="00CF519B"/>
    <w:rsid w:val="00CF574C"/>
    <w:rsid w:val="00CF58AA"/>
    <w:rsid w:val="00CF5F9B"/>
    <w:rsid w:val="00CF639D"/>
    <w:rsid w:val="00CF66F0"/>
    <w:rsid w:val="00CF6DB9"/>
    <w:rsid w:val="00CF71D4"/>
    <w:rsid w:val="00CF7918"/>
    <w:rsid w:val="00CF7F46"/>
    <w:rsid w:val="00D004E2"/>
    <w:rsid w:val="00D00DF2"/>
    <w:rsid w:val="00D00F4C"/>
    <w:rsid w:val="00D02619"/>
    <w:rsid w:val="00D0275E"/>
    <w:rsid w:val="00D027C4"/>
    <w:rsid w:val="00D027D2"/>
    <w:rsid w:val="00D03480"/>
    <w:rsid w:val="00D03819"/>
    <w:rsid w:val="00D040DD"/>
    <w:rsid w:val="00D045A9"/>
    <w:rsid w:val="00D046A2"/>
    <w:rsid w:val="00D04803"/>
    <w:rsid w:val="00D0487D"/>
    <w:rsid w:val="00D04C4C"/>
    <w:rsid w:val="00D04EFE"/>
    <w:rsid w:val="00D050AF"/>
    <w:rsid w:val="00D051D1"/>
    <w:rsid w:val="00D05258"/>
    <w:rsid w:val="00D06F73"/>
    <w:rsid w:val="00D0737E"/>
    <w:rsid w:val="00D10450"/>
    <w:rsid w:val="00D12270"/>
    <w:rsid w:val="00D125C4"/>
    <w:rsid w:val="00D12EDF"/>
    <w:rsid w:val="00D131E5"/>
    <w:rsid w:val="00D13876"/>
    <w:rsid w:val="00D1394D"/>
    <w:rsid w:val="00D145BD"/>
    <w:rsid w:val="00D14C01"/>
    <w:rsid w:val="00D14FC2"/>
    <w:rsid w:val="00D151D1"/>
    <w:rsid w:val="00D15430"/>
    <w:rsid w:val="00D158BE"/>
    <w:rsid w:val="00D15E25"/>
    <w:rsid w:val="00D15ECF"/>
    <w:rsid w:val="00D1602C"/>
    <w:rsid w:val="00D160E0"/>
    <w:rsid w:val="00D160FA"/>
    <w:rsid w:val="00D165A3"/>
    <w:rsid w:val="00D166BB"/>
    <w:rsid w:val="00D167E9"/>
    <w:rsid w:val="00D16B3E"/>
    <w:rsid w:val="00D16C9F"/>
    <w:rsid w:val="00D16D0C"/>
    <w:rsid w:val="00D16FE7"/>
    <w:rsid w:val="00D176B9"/>
    <w:rsid w:val="00D1777A"/>
    <w:rsid w:val="00D2053A"/>
    <w:rsid w:val="00D20D39"/>
    <w:rsid w:val="00D20EDD"/>
    <w:rsid w:val="00D20FA5"/>
    <w:rsid w:val="00D2158A"/>
    <w:rsid w:val="00D21A18"/>
    <w:rsid w:val="00D22093"/>
    <w:rsid w:val="00D22377"/>
    <w:rsid w:val="00D22425"/>
    <w:rsid w:val="00D229B5"/>
    <w:rsid w:val="00D22F44"/>
    <w:rsid w:val="00D23498"/>
    <w:rsid w:val="00D234CA"/>
    <w:rsid w:val="00D24761"/>
    <w:rsid w:val="00D252AA"/>
    <w:rsid w:val="00D252E2"/>
    <w:rsid w:val="00D254BD"/>
    <w:rsid w:val="00D2554C"/>
    <w:rsid w:val="00D2583B"/>
    <w:rsid w:val="00D25C9E"/>
    <w:rsid w:val="00D25DD1"/>
    <w:rsid w:val="00D2677B"/>
    <w:rsid w:val="00D26AEA"/>
    <w:rsid w:val="00D27039"/>
    <w:rsid w:val="00D270D0"/>
    <w:rsid w:val="00D2727A"/>
    <w:rsid w:val="00D273DC"/>
    <w:rsid w:val="00D275A4"/>
    <w:rsid w:val="00D27768"/>
    <w:rsid w:val="00D27816"/>
    <w:rsid w:val="00D27AFB"/>
    <w:rsid w:val="00D3008E"/>
    <w:rsid w:val="00D30156"/>
    <w:rsid w:val="00D30901"/>
    <w:rsid w:val="00D30E1B"/>
    <w:rsid w:val="00D30F2A"/>
    <w:rsid w:val="00D3141A"/>
    <w:rsid w:val="00D314B9"/>
    <w:rsid w:val="00D318A4"/>
    <w:rsid w:val="00D31E7E"/>
    <w:rsid w:val="00D320FE"/>
    <w:rsid w:val="00D32389"/>
    <w:rsid w:val="00D32CAB"/>
    <w:rsid w:val="00D335A8"/>
    <w:rsid w:val="00D3392D"/>
    <w:rsid w:val="00D33D84"/>
    <w:rsid w:val="00D34222"/>
    <w:rsid w:val="00D347D7"/>
    <w:rsid w:val="00D34A6D"/>
    <w:rsid w:val="00D35313"/>
    <w:rsid w:val="00D356E7"/>
    <w:rsid w:val="00D35B6B"/>
    <w:rsid w:val="00D35BDC"/>
    <w:rsid w:val="00D35CD8"/>
    <w:rsid w:val="00D35E9D"/>
    <w:rsid w:val="00D36278"/>
    <w:rsid w:val="00D365F4"/>
    <w:rsid w:val="00D36839"/>
    <w:rsid w:val="00D36F6E"/>
    <w:rsid w:val="00D370C9"/>
    <w:rsid w:val="00D37274"/>
    <w:rsid w:val="00D372D6"/>
    <w:rsid w:val="00D37301"/>
    <w:rsid w:val="00D37456"/>
    <w:rsid w:val="00D377DC"/>
    <w:rsid w:val="00D37BE2"/>
    <w:rsid w:val="00D37DA0"/>
    <w:rsid w:val="00D407C7"/>
    <w:rsid w:val="00D408CD"/>
    <w:rsid w:val="00D40945"/>
    <w:rsid w:val="00D40989"/>
    <w:rsid w:val="00D40F08"/>
    <w:rsid w:val="00D41688"/>
    <w:rsid w:val="00D422EC"/>
    <w:rsid w:val="00D42680"/>
    <w:rsid w:val="00D426AD"/>
    <w:rsid w:val="00D427F5"/>
    <w:rsid w:val="00D42923"/>
    <w:rsid w:val="00D4293A"/>
    <w:rsid w:val="00D42FA6"/>
    <w:rsid w:val="00D4305E"/>
    <w:rsid w:val="00D43272"/>
    <w:rsid w:val="00D43289"/>
    <w:rsid w:val="00D43DB1"/>
    <w:rsid w:val="00D441D6"/>
    <w:rsid w:val="00D44D96"/>
    <w:rsid w:val="00D458E5"/>
    <w:rsid w:val="00D45B3C"/>
    <w:rsid w:val="00D45CCE"/>
    <w:rsid w:val="00D45E75"/>
    <w:rsid w:val="00D46CBE"/>
    <w:rsid w:val="00D46DE9"/>
    <w:rsid w:val="00D46EE1"/>
    <w:rsid w:val="00D46F16"/>
    <w:rsid w:val="00D477C5"/>
    <w:rsid w:val="00D47F85"/>
    <w:rsid w:val="00D50551"/>
    <w:rsid w:val="00D50702"/>
    <w:rsid w:val="00D50AAF"/>
    <w:rsid w:val="00D50DD9"/>
    <w:rsid w:val="00D51023"/>
    <w:rsid w:val="00D51A6C"/>
    <w:rsid w:val="00D51C24"/>
    <w:rsid w:val="00D51CDB"/>
    <w:rsid w:val="00D51D8A"/>
    <w:rsid w:val="00D521E1"/>
    <w:rsid w:val="00D5273F"/>
    <w:rsid w:val="00D5288F"/>
    <w:rsid w:val="00D52B11"/>
    <w:rsid w:val="00D52CF9"/>
    <w:rsid w:val="00D53630"/>
    <w:rsid w:val="00D54268"/>
    <w:rsid w:val="00D544B1"/>
    <w:rsid w:val="00D54AAB"/>
    <w:rsid w:val="00D54D74"/>
    <w:rsid w:val="00D54FCD"/>
    <w:rsid w:val="00D55697"/>
    <w:rsid w:val="00D55E0E"/>
    <w:rsid w:val="00D5614A"/>
    <w:rsid w:val="00D5676F"/>
    <w:rsid w:val="00D57E58"/>
    <w:rsid w:val="00D6005B"/>
    <w:rsid w:val="00D600B1"/>
    <w:rsid w:val="00D6018C"/>
    <w:rsid w:val="00D60468"/>
    <w:rsid w:val="00D60ABB"/>
    <w:rsid w:val="00D60BC7"/>
    <w:rsid w:val="00D60CA5"/>
    <w:rsid w:val="00D6102E"/>
    <w:rsid w:val="00D610CF"/>
    <w:rsid w:val="00D610E2"/>
    <w:rsid w:val="00D61216"/>
    <w:rsid w:val="00D613BD"/>
    <w:rsid w:val="00D61AC3"/>
    <w:rsid w:val="00D61E5F"/>
    <w:rsid w:val="00D62170"/>
    <w:rsid w:val="00D636FD"/>
    <w:rsid w:val="00D63C9B"/>
    <w:rsid w:val="00D63CCD"/>
    <w:rsid w:val="00D63CF3"/>
    <w:rsid w:val="00D64037"/>
    <w:rsid w:val="00D64117"/>
    <w:rsid w:val="00D649AF"/>
    <w:rsid w:val="00D64C31"/>
    <w:rsid w:val="00D64CB1"/>
    <w:rsid w:val="00D65119"/>
    <w:rsid w:val="00D65215"/>
    <w:rsid w:val="00D653AC"/>
    <w:rsid w:val="00D65882"/>
    <w:rsid w:val="00D65B8E"/>
    <w:rsid w:val="00D66128"/>
    <w:rsid w:val="00D663E3"/>
    <w:rsid w:val="00D66700"/>
    <w:rsid w:val="00D6674B"/>
    <w:rsid w:val="00D66E37"/>
    <w:rsid w:val="00D67075"/>
    <w:rsid w:val="00D67280"/>
    <w:rsid w:val="00D675D2"/>
    <w:rsid w:val="00D675D3"/>
    <w:rsid w:val="00D679B9"/>
    <w:rsid w:val="00D67C96"/>
    <w:rsid w:val="00D67DD0"/>
    <w:rsid w:val="00D7029A"/>
    <w:rsid w:val="00D70709"/>
    <w:rsid w:val="00D7093D"/>
    <w:rsid w:val="00D70DCE"/>
    <w:rsid w:val="00D70F38"/>
    <w:rsid w:val="00D710BA"/>
    <w:rsid w:val="00D711D3"/>
    <w:rsid w:val="00D7135C"/>
    <w:rsid w:val="00D7158B"/>
    <w:rsid w:val="00D72185"/>
    <w:rsid w:val="00D723AF"/>
    <w:rsid w:val="00D725FA"/>
    <w:rsid w:val="00D72672"/>
    <w:rsid w:val="00D7281E"/>
    <w:rsid w:val="00D72EC9"/>
    <w:rsid w:val="00D72F14"/>
    <w:rsid w:val="00D73142"/>
    <w:rsid w:val="00D73313"/>
    <w:rsid w:val="00D73587"/>
    <w:rsid w:val="00D73F34"/>
    <w:rsid w:val="00D740C9"/>
    <w:rsid w:val="00D74212"/>
    <w:rsid w:val="00D743D1"/>
    <w:rsid w:val="00D74471"/>
    <w:rsid w:val="00D75638"/>
    <w:rsid w:val="00D75D13"/>
    <w:rsid w:val="00D75EDA"/>
    <w:rsid w:val="00D76750"/>
    <w:rsid w:val="00D768B5"/>
    <w:rsid w:val="00D76B4E"/>
    <w:rsid w:val="00D76D85"/>
    <w:rsid w:val="00D76D97"/>
    <w:rsid w:val="00D76F14"/>
    <w:rsid w:val="00D77276"/>
    <w:rsid w:val="00D7744B"/>
    <w:rsid w:val="00D77AE3"/>
    <w:rsid w:val="00D77BB5"/>
    <w:rsid w:val="00D8021A"/>
    <w:rsid w:val="00D8047A"/>
    <w:rsid w:val="00D8074E"/>
    <w:rsid w:val="00D80FB9"/>
    <w:rsid w:val="00D810E0"/>
    <w:rsid w:val="00D8158D"/>
    <w:rsid w:val="00D817C2"/>
    <w:rsid w:val="00D81BAB"/>
    <w:rsid w:val="00D81C35"/>
    <w:rsid w:val="00D81CD1"/>
    <w:rsid w:val="00D81E98"/>
    <w:rsid w:val="00D81F74"/>
    <w:rsid w:val="00D82037"/>
    <w:rsid w:val="00D82159"/>
    <w:rsid w:val="00D82BE3"/>
    <w:rsid w:val="00D82C1C"/>
    <w:rsid w:val="00D82C61"/>
    <w:rsid w:val="00D82E62"/>
    <w:rsid w:val="00D83CF3"/>
    <w:rsid w:val="00D83D23"/>
    <w:rsid w:val="00D83F27"/>
    <w:rsid w:val="00D84CE8"/>
    <w:rsid w:val="00D8502A"/>
    <w:rsid w:val="00D852EC"/>
    <w:rsid w:val="00D856AF"/>
    <w:rsid w:val="00D857EE"/>
    <w:rsid w:val="00D859A1"/>
    <w:rsid w:val="00D859B4"/>
    <w:rsid w:val="00D8611B"/>
    <w:rsid w:val="00D86CFF"/>
    <w:rsid w:val="00D87587"/>
    <w:rsid w:val="00D87797"/>
    <w:rsid w:val="00D878D0"/>
    <w:rsid w:val="00D87A6F"/>
    <w:rsid w:val="00D87C52"/>
    <w:rsid w:val="00D87D61"/>
    <w:rsid w:val="00D9032C"/>
    <w:rsid w:val="00D9038D"/>
    <w:rsid w:val="00D90B95"/>
    <w:rsid w:val="00D90C48"/>
    <w:rsid w:val="00D91004"/>
    <w:rsid w:val="00D9190C"/>
    <w:rsid w:val="00D91CB1"/>
    <w:rsid w:val="00D927CF"/>
    <w:rsid w:val="00D932BD"/>
    <w:rsid w:val="00D934A8"/>
    <w:rsid w:val="00D93A2F"/>
    <w:rsid w:val="00D93D1E"/>
    <w:rsid w:val="00D93E21"/>
    <w:rsid w:val="00D93F13"/>
    <w:rsid w:val="00D9400E"/>
    <w:rsid w:val="00D94313"/>
    <w:rsid w:val="00D9449D"/>
    <w:rsid w:val="00D947D4"/>
    <w:rsid w:val="00D94A0C"/>
    <w:rsid w:val="00D954E4"/>
    <w:rsid w:val="00D95757"/>
    <w:rsid w:val="00D95ADF"/>
    <w:rsid w:val="00D95B8C"/>
    <w:rsid w:val="00D95C56"/>
    <w:rsid w:val="00D95C78"/>
    <w:rsid w:val="00D95E04"/>
    <w:rsid w:val="00D95EB7"/>
    <w:rsid w:val="00D95F70"/>
    <w:rsid w:val="00D96188"/>
    <w:rsid w:val="00D9659F"/>
    <w:rsid w:val="00D968BA"/>
    <w:rsid w:val="00D97203"/>
    <w:rsid w:val="00D9757A"/>
    <w:rsid w:val="00D97EE2"/>
    <w:rsid w:val="00DA0A8C"/>
    <w:rsid w:val="00DA0AD8"/>
    <w:rsid w:val="00DA16A3"/>
    <w:rsid w:val="00DA1C7B"/>
    <w:rsid w:val="00DA1D04"/>
    <w:rsid w:val="00DA2F75"/>
    <w:rsid w:val="00DA2FC4"/>
    <w:rsid w:val="00DA3901"/>
    <w:rsid w:val="00DA3EE2"/>
    <w:rsid w:val="00DA3F90"/>
    <w:rsid w:val="00DA404E"/>
    <w:rsid w:val="00DA4C9B"/>
    <w:rsid w:val="00DA5891"/>
    <w:rsid w:val="00DA5B34"/>
    <w:rsid w:val="00DA6187"/>
    <w:rsid w:val="00DA6582"/>
    <w:rsid w:val="00DA6A13"/>
    <w:rsid w:val="00DA6B5F"/>
    <w:rsid w:val="00DA71DC"/>
    <w:rsid w:val="00DA761B"/>
    <w:rsid w:val="00DA7759"/>
    <w:rsid w:val="00DA797C"/>
    <w:rsid w:val="00DA7B06"/>
    <w:rsid w:val="00DB0618"/>
    <w:rsid w:val="00DB0966"/>
    <w:rsid w:val="00DB1505"/>
    <w:rsid w:val="00DB1543"/>
    <w:rsid w:val="00DB1E4E"/>
    <w:rsid w:val="00DB214F"/>
    <w:rsid w:val="00DB2390"/>
    <w:rsid w:val="00DB2499"/>
    <w:rsid w:val="00DB254E"/>
    <w:rsid w:val="00DB2F08"/>
    <w:rsid w:val="00DB3999"/>
    <w:rsid w:val="00DB3A93"/>
    <w:rsid w:val="00DB3D17"/>
    <w:rsid w:val="00DB407C"/>
    <w:rsid w:val="00DB4282"/>
    <w:rsid w:val="00DB42D1"/>
    <w:rsid w:val="00DB438F"/>
    <w:rsid w:val="00DB43F0"/>
    <w:rsid w:val="00DB47A5"/>
    <w:rsid w:val="00DB485C"/>
    <w:rsid w:val="00DB4E63"/>
    <w:rsid w:val="00DB5412"/>
    <w:rsid w:val="00DB56CA"/>
    <w:rsid w:val="00DB5815"/>
    <w:rsid w:val="00DB5819"/>
    <w:rsid w:val="00DB585D"/>
    <w:rsid w:val="00DB59A0"/>
    <w:rsid w:val="00DB59EE"/>
    <w:rsid w:val="00DB60D9"/>
    <w:rsid w:val="00DB63BE"/>
    <w:rsid w:val="00DB7309"/>
    <w:rsid w:val="00DB74D5"/>
    <w:rsid w:val="00DB7B1E"/>
    <w:rsid w:val="00DB7D19"/>
    <w:rsid w:val="00DC093F"/>
    <w:rsid w:val="00DC0B86"/>
    <w:rsid w:val="00DC0CCE"/>
    <w:rsid w:val="00DC1C9E"/>
    <w:rsid w:val="00DC2A9B"/>
    <w:rsid w:val="00DC2D3E"/>
    <w:rsid w:val="00DC2EB8"/>
    <w:rsid w:val="00DC31BB"/>
    <w:rsid w:val="00DC31D8"/>
    <w:rsid w:val="00DC3264"/>
    <w:rsid w:val="00DC341D"/>
    <w:rsid w:val="00DC397A"/>
    <w:rsid w:val="00DC3988"/>
    <w:rsid w:val="00DC39A4"/>
    <w:rsid w:val="00DC3B4E"/>
    <w:rsid w:val="00DC3D63"/>
    <w:rsid w:val="00DC40FF"/>
    <w:rsid w:val="00DC44F6"/>
    <w:rsid w:val="00DC4EC6"/>
    <w:rsid w:val="00DC516D"/>
    <w:rsid w:val="00DC5407"/>
    <w:rsid w:val="00DC5853"/>
    <w:rsid w:val="00DC5AFB"/>
    <w:rsid w:val="00DC62A5"/>
    <w:rsid w:val="00DC75CB"/>
    <w:rsid w:val="00DC7A39"/>
    <w:rsid w:val="00DC7B52"/>
    <w:rsid w:val="00DC7F8A"/>
    <w:rsid w:val="00DC7FE1"/>
    <w:rsid w:val="00DD0001"/>
    <w:rsid w:val="00DD0534"/>
    <w:rsid w:val="00DD0B79"/>
    <w:rsid w:val="00DD0E88"/>
    <w:rsid w:val="00DD1DFB"/>
    <w:rsid w:val="00DD2B87"/>
    <w:rsid w:val="00DD2F61"/>
    <w:rsid w:val="00DD33E2"/>
    <w:rsid w:val="00DD3673"/>
    <w:rsid w:val="00DD3DB5"/>
    <w:rsid w:val="00DD4007"/>
    <w:rsid w:val="00DD42CA"/>
    <w:rsid w:val="00DD4537"/>
    <w:rsid w:val="00DD47C0"/>
    <w:rsid w:val="00DD4ACF"/>
    <w:rsid w:val="00DD4B6C"/>
    <w:rsid w:val="00DD4CC9"/>
    <w:rsid w:val="00DD4FC7"/>
    <w:rsid w:val="00DD50E3"/>
    <w:rsid w:val="00DD51E5"/>
    <w:rsid w:val="00DD52F9"/>
    <w:rsid w:val="00DD550E"/>
    <w:rsid w:val="00DD55C3"/>
    <w:rsid w:val="00DD5EF2"/>
    <w:rsid w:val="00DD607E"/>
    <w:rsid w:val="00DD6136"/>
    <w:rsid w:val="00DD66D4"/>
    <w:rsid w:val="00DD6725"/>
    <w:rsid w:val="00DD6C3C"/>
    <w:rsid w:val="00DD6E17"/>
    <w:rsid w:val="00DD727A"/>
    <w:rsid w:val="00DD72A8"/>
    <w:rsid w:val="00DD7847"/>
    <w:rsid w:val="00DD7AE7"/>
    <w:rsid w:val="00DD7B1D"/>
    <w:rsid w:val="00DD7C50"/>
    <w:rsid w:val="00DD7E3D"/>
    <w:rsid w:val="00DE0141"/>
    <w:rsid w:val="00DE03DD"/>
    <w:rsid w:val="00DE0A79"/>
    <w:rsid w:val="00DE0C16"/>
    <w:rsid w:val="00DE105C"/>
    <w:rsid w:val="00DE13EA"/>
    <w:rsid w:val="00DE1668"/>
    <w:rsid w:val="00DE174E"/>
    <w:rsid w:val="00DE178D"/>
    <w:rsid w:val="00DE1A6B"/>
    <w:rsid w:val="00DE24D7"/>
    <w:rsid w:val="00DE2AE3"/>
    <w:rsid w:val="00DE2B74"/>
    <w:rsid w:val="00DE2C48"/>
    <w:rsid w:val="00DE2F3E"/>
    <w:rsid w:val="00DE3C60"/>
    <w:rsid w:val="00DE3E3C"/>
    <w:rsid w:val="00DE446D"/>
    <w:rsid w:val="00DE4E3E"/>
    <w:rsid w:val="00DE51F6"/>
    <w:rsid w:val="00DE5555"/>
    <w:rsid w:val="00DE5759"/>
    <w:rsid w:val="00DE5943"/>
    <w:rsid w:val="00DE5B68"/>
    <w:rsid w:val="00DE63B0"/>
    <w:rsid w:val="00DE6C7B"/>
    <w:rsid w:val="00DE7225"/>
    <w:rsid w:val="00DE7472"/>
    <w:rsid w:val="00DE759B"/>
    <w:rsid w:val="00DE7929"/>
    <w:rsid w:val="00DE7B04"/>
    <w:rsid w:val="00DE7E9D"/>
    <w:rsid w:val="00DE7EEE"/>
    <w:rsid w:val="00DE7FF7"/>
    <w:rsid w:val="00DF010F"/>
    <w:rsid w:val="00DF0247"/>
    <w:rsid w:val="00DF041E"/>
    <w:rsid w:val="00DF0721"/>
    <w:rsid w:val="00DF08CF"/>
    <w:rsid w:val="00DF0F86"/>
    <w:rsid w:val="00DF17BC"/>
    <w:rsid w:val="00DF1957"/>
    <w:rsid w:val="00DF195E"/>
    <w:rsid w:val="00DF2526"/>
    <w:rsid w:val="00DF2DC9"/>
    <w:rsid w:val="00DF3003"/>
    <w:rsid w:val="00DF3087"/>
    <w:rsid w:val="00DF355D"/>
    <w:rsid w:val="00DF36B5"/>
    <w:rsid w:val="00DF38E1"/>
    <w:rsid w:val="00DF3B18"/>
    <w:rsid w:val="00DF3CCA"/>
    <w:rsid w:val="00DF462A"/>
    <w:rsid w:val="00DF46DA"/>
    <w:rsid w:val="00DF4718"/>
    <w:rsid w:val="00DF477A"/>
    <w:rsid w:val="00DF4783"/>
    <w:rsid w:val="00DF4805"/>
    <w:rsid w:val="00DF566D"/>
    <w:rsid w:val="00DF57D9"/>
    <w:rsid w:val="00DF60A0"/>
    <w:rsid w:val="00DF6573"/>
    <w:rsid w:val="00DF713A"/>
    <w:rsid w:val="00DF73C1"/>
    <w:rsid w:val="00DF766D"/>
    <w:rsid w:val="00DF7739"/>
    <w:rsid w:val="00DF7C9E"/>
    <w:rsid w:val="00DF7CF4"/>
    <w:rsid w:val="00E000BF"/>
    <w:rsid w:val="00E002AC"/>
    <w:rsid w:val="00E00CF6"/>
    <w:rsid w:val="00E00FD9"/>
    <w:rsid w:val="00E010B8"/>
    <w:rsid w:val="00E012CB"/>
    <w:rsid w:val="00E017A6"/>
    <w:rsid w:val="00E01AFD"/>
    <w:rsid w:val="00E024F8"/>
    <w:rsid w:val="00E0262D"/>
    <w:rsid w:val="00E02FD7"/>
    <w:rsid w:val="00E032F1"/>
    <w:rsid w:val="00E03343"/>
    <w:rsid w:val="00E0343C"/>
    <w:rsid w:val="00E03822"/>
    <w:rsid w:val="00E03E92"/>
    <w:rsid w:val="00E04271"/>
    <w:rsid w:val="00E04650"/>
    <w:rsid w:val="00E046E6"/>
    <w:rsid w:val="00E04A94"/>
    <w:rsid w:val="00E04C3E"/>
    <w:rsid w:val="00E04CB6"/>
    <w:rsid w:val="00E04E2C"/>
    <w:rsid w:val="00E051F8"/>
    <w:rsid w:val="00E0543D"/>
    <w:rsid w:val="00E061E7"/>
    <w:rsid w:val="00E06816"/>
    <w:rsid w:val="00E068B7"/>
    <w:rsid w:val="00E06C9D"/>
    <w:rsid w:val="00E06E3C"/>
    <w:rsid w:val="00E07848"/>
    <w:rsid w:val="00E07D0A"/>
    <w:rsid w:val="00E07DDC"/>
    <w:rsid w:val="00E104A7"/>
    <w:rsid w:val="00E105E6"/>
    <w:rsid w:val="00E108A1"/>
    <w:rsid w:val="00E10AE9"/>
    <w:rsid w:val="00E110BB"/>
    <w:rsid w:val="00E11158"/>
    <w:rsid w:val="00E111CC"/>
    <w:rsid w:val="00E1164E"/>
    <w:rsid w:val="00E11D3B"/>
    <w:rsid w:val="00E12454"/>
    <w:rsid w:val="00E12846"/>
    <w:rsid w:val="00E13249"/>
    <w:rsid w:val="00E139A7"/>
    <w:rsid w:val="00E13C27"/>
    <w:rsid w:val="00E1432F"/>
    <w:rsid w:val="00E14879"/>
    <w:rsid w:val="00E148C4"/>
    <w:rsid w:val="00E14C63"/>
    <w:rsid w:val="00E14E2D"/>
    <w:rsid w:val="00E1508E"/>
    <w:rsid w:val="00E16376"/>
    <w:rsid w:val="00E16940"/>
    <w:rsid w:val="00E16E38"/>
    <w:rsid w:val="00E1715B"/>
    <w:rsid w:val="00E171A8"/>
    <w:rsid w:val="00E1735E"/>
    <w:rsid w:val="00E17814"/>
    <w:rsid w:val="00E178D8"/>
    <w:rsid w:val="00E17C74"/>
    <w:rsid w:val="00E17DB4"/>
    <w:rsid w:val="00E17E6B"/>
    <w:rsid w:val="00E20083"/>
    <w:rsid w:val="00E2042F"/>
    <w:rsid w:val="00E20D1E"/>
    <w:rsid w:val="00E20F3E"/>
    <w:rsid w:val="00E2105E"/>
    <w:rsid w:val="00E213CA"/>
    <w:rsid w:val="00E214F8"/>
    <w:rsid w:val="00E21EC6"/>
    <w:rsid w:val="00E22153"/>
    <w:rsid w:val="00E22179"/>
    <w:rsid w:val="00E221DE"/>
    <w:rsid w:val="00E2271C"/>
    <w:rsid w:val="00E22B2A"/>
    <w:rsid w:val="00E236F2"/>
    <w:rsid w:val="00E237A7"/>
    <w:rsid w:val="00E23BF6"/>
    <w:rsid w:val="00E24C13"/>
    <w:rsid w:val="00E25825"/>
    <w:rsid w:val="00E25B98"/>
    <w:rsid w:val="00E2606C"/>
    <w:rsid w:val="00E26075"/>
    <w:rsid w:val="00E264BF"/>
    <w:rsid w:val="00E26810"/>
    <w:rsid w:val="00E26CDF"/>
    <w:rsid w:val="00E26E30"/>
    <w:rsid w:val="00E27771"/>
    <w:rsid w:val="00E27A96"/>
    <w:rsid w:val="00E27AB4"/>
    <w:rsid w:val="00E27EAC"/>
    <w:rsid w:val="00E27ECA"/>
    <w:rsid w:val="00E27F17"/>
    <w:rsid w:val="00E30163"/>
    <w:rsid w:val="00E301DB"/>
    <w:rsid w:val="00E30681"/>
    <w:rsid w:val="00E3132E"/>
    <w:rsid w:val="00E313DC"/>
    <w:rsid w:val="00E314AA"/>
    <w:rsid w:val="00E315CF"/>
    <w:rsid w:val="00E31FD7"/>
    <w:rsid w:val="00E32062"/>
    <w:rsid w:val="00E330DD"/>
    <w:rsid w:val="00E33207"/>
    <w:rsid w:val="00E3328C"/>
    <w:rsid w:val="00E3334D"/>
    <w:rsid w:val="00E335D0"/>
    <w:rsid w:val="00E33A44"/>
    <w:rsid w:val="00E33A75"/>
    <w:rsid w:val="00E33A8D"/>
    <w:rsid w:val="00E33BDC"/>
    <w:rsid w:val="00E33E5D"/>
    <w:rsid w:val="00E34086"/>
    <w:rsid w:val="00E3417E"/>
    <w:rsid w:val="00E342CC"/>
    <w:rsid w:val="00E35150"/>
    <w:rsid w:val="00E35318"/>
    <w:rsid w:val="00E356FC"/>
    <w:rsid w:val="00E35A4B"/>
    <w:rsid w:val="00E35BC8"/>
    <w:rsid w:val="00E35BF5"/>
    <w:rsid w:val="00E35DAC"/>
    <w:rsid w:val="00E35F0C"/>
    <w:rsid w:val="00E3669D"/>
    <w:rsid w:val="00E36BAE"/>
    <w:rsid w:val="00E37478"/>
    <w:rsid w:val="00E37554"/>
    <w:rsid w:val="00E4056A"/>
    <w:rsid w:val="00E40710"/>
    <w:rsid w:val="00E4075B"/>
    <w:rsid w:val="00E40979"/>
    <w:rsid w:val="00E40F3E"/>
    <w:rsid w:val="00E4140A"/>
    <w:rsid w:val="00E41856"/>
    <w:rsid w:val="00E41F19"/>
    <w:rsid w:val="00E424EC"/>
    <w:rsid w:val="00E426A9"/>
    <w:rsid w:val="00E426E4"/>
    <w:rsid w:val="00E42A71"/>
    <w:rsid w:val="00E42F97"/>
    <w:rsid w:val="00E433BA"/>
    <w:rsid w:val="00E43ABD"/>
    <w:rsid w:val="00E44025"/>
    <w:rsid w:val="00E44355"/>
    <w:rsid w:val="00E44618"/>
    <w:rsid w:val="00E44838"/>
    <w:rsid w:val="00E4551E"/>
    <w:rsid w:val="00E45752"/>
    <w:rsid w:val="00E459DD"/>
    <w:rsid w:val="00E4608A"/>
    <w:rsid w:val="00E460D8"/>
    <w:rsid w:val="00E466CD"/>
    <w:rsid w:val="00E46AFA"/>
    <w:rsid w:val="00E46BB8"/>
    <w:rsid w:val="00E46C01"/>
    <w:rsid w:val="00E4739F"/>
    <w:rsid w:val="00E47DFB"/>
    <w:rsid w:val="00E47EFA"/>
    <w:rsid w:val="00E50311"/>
    <w:rsid w:val="00E5033C"/>
    <w:rsid w:val="00E503EE"/>
    <w:rsid w:val="00E5041E"/>
    <w:rsid w:val="00E50B33"/>
    <w:rsid w:val="00E50E63"/>
    <w:rsid w:val="00E514B2"/>
    <w:rsid w:val="00E51629"/>
    <w:rsid w:val="00E51A64"/>
    <w:rsid w:val="00E51E2A"/>
    <w:rsid w:val="00E521BB"/>
    <w:rsid w:val="00E52535"/>
    <w:rsid w:val="00E531C3"/>
    <w:rsid w:val="00E531F9"/>
    <w:rsid w:val="00E53611"/>
    <w:rsid w:val="00E5365D"/>
    <w:rsid w:val="00E53702"/>
    <w:rsid w:val="00E5397E"/>
    <w:rsid w:val="00E53FDA"/>
    <w:rsid w:val="00E541CA"/>
    <w:rsid w:val="00E54B4C"/>
    <w:rsid w:val="00E55BCC"/>
    <w:rsid w:val="00E56642"/>
    <w:rsid w:val="00E56704"/>
    <w:rsid w:val="00E56CF2"/>
    <w:rsid w:val="00E56F3B"/>
    <w:rsid w:val="00E570D7"/>
    <w:rsid w:val="00E57195"/>
    <w:rsid w:val="00E572E2"/>
    <w:rsid w:val="00E57BA5"/>
    <w:rsid w:val="00E57F3F"/>
    <w:rsid w:val="00E605A4"/>
    <w:rsid w:val="00E60869"/>
    <w:rsid w:val="00E60A73"/>
    <w:rsid w:val="00E60BA5"/>
    <w:rsid w:val="00E60DF2"/>
    <w:rsid w:val="00E614FA"/>
    <w:rsid w:val="00E61BB7"/>
    <w:rsid w:val="00E6264F"/>
    <w:rsid w:val="00E6275E"/>
    <w:rsid w:val="00E628D9"/>
    <w:rsid w:val="00E62F8B"/>
    <w:rsid w:val="00E630D8"/>
    <w:rsid w:val="00E64005"/>
    <w:rsid w:val="00E6441C"/>
    <w:rsid w:val="00E646AA"/>
    <w:rsid w:val="00E6471A"/>
    <w:rsid w:val="00E64860"/>
    <w:rsid w:val="00E64D4D"/>
    <w:rsid w:val="00E64DC3"/>
    <w:rsid w:val="00E650ED"/>
    <w:rsid w:val="00E657FD"/>
    <w:rsid w:val="00E65B39"/>
    <w:rsid w:val="00E65DC6"/>
    <w:rsid w:val="00E662D4"/>
    <w:rsid w:val="00E663EC"/>
    <w:rsid w:val="00E66E43"/>
    <w:rsid w:val="00E70601"/>
    <w:rsid w:val="00E707E5"/>
    <w:rsid w:val="00E71151"/>
    <w:rsid w:val="00E7136A"/>
    <w:rsid w:val="00E71B00"/>
    <w:rsid w:val="00E71B6E"/>
    <w:rsid w:val="00E71C93"/>
    <w:rsid w:val="00E71D1E"/>
    <w:rsid w:val="00E71E61"/>
    <w:rsid w:val="00E71FEB"/>
    <w:rsid w:val="00E72427"/>
    <w:rsid w:val="00E728BC"/>
    <w:rsid w:val="00E729C2"/>
    <w:rsid w:val="00E731C8"/>
    <w:rsid w:val="00E7348E"/>
    <w:rsid w:val="00E73976"/>
    <w:rsid w:val="00E73CF1"/>
    <w:rsid w:val="00E740C4"/>
    <w:rsid w:val="00E7450B"/>
    <w:rsid w:val="00E74AD7"/>
    <w:rsid w:val="00E7502C"/>
    <w:rsid w:val="00E750F8"/>
    <w:rsid w:val="00E7591F"/>
    <w:rsid w:val="00E75C79"/>
    <w:rsid w:val="00E75F63"/>
    <w:rsid w:val="00E7604F"/>
    <w:rsid w:val="00E766EC"/>
    <w:rsid w:val="00E766F6"/>
    <w:rsid w:val="00E769B1"/>
    <w:rsid w:val="00E77745"/>
    <w:rsid w:val="00E77899"/>
    <w:rsid w:val="00E77E2E"/>
    <w:rsid w:val="00E80317"/>
    <w:rsid w:val="00E803FD"/>
    <w:rsid w:val="00E8117E"/>
    <w:rsid w:val="00E815A1"/>
    <w:rsid w:val="00E81A44"/>
    <w:rsid w:val="00E820C7"/>
    <w:rsid w:val="00E826C9"/>
    <w:rsid w:val="00E82A1F"/>
    <w:rsid w:val="00E82AA6"/>
    <w:rsid w:val="00E830D0"/>
    <w:rsid w:val="00E835BA"/>
    <w:rsid w:val="00E83A86"/>
    <w:rsid w:val="00E83C00"/>
    <w:rsid w:val="00E83F39"/>
    <w:rsid w:val="00E83F5C"/>
    <w:rsid w:val="00E84559"/>
    <w:rsid w:val="00E84FB8"/>
    <w:rsid w:val="00E852C3"/>
    <w:rsid w:val="00E85645"/>
    <w:rsid w:val="00E857EA"/>
    <w:rsid w:val="00E859DB"/>
    <w:rsid w:val="00E870C2"/>
    <w:rsid w:val="00E871B4"/>
    <w:rsid w:val="00E87414"/>
    <w:rsid w:val="00E87470"/>
    <w:rsid w:val="00E87B79"/>
    <w:rsid w:val="00E87BC8"/>
    <w:rsid w:val="00E87D65"/>
    <w:rsid w:val="00E9022E"/>
    <w:rsid w:val="00E904BA"/>
    <w:rsid w:val="00E90507"/>
    <w:rsid w:val="00E905C3"/>
    <w:rsid w:val="00E908D7"/>
    <w:rsid w:val="00E911E5"/>
    <w:rsid w:val="00E918E4"/>
    <w:rsid w:val="00E91989"/>
    <w:rsid w:val="00E91A0E"/>
    <w:rsid w:val="00E91D0B"/>
    <w:rsid w:val="00E91DC2"/>
    <w:rsid w:val="00E9246D"/>
    <w:rsid w:val="00E92580"/>
    <w:rsid w:val="00E92590"/>
    <w:rsid w:val="00E92C99"/>
    <w:rsid w:val="00E92E08"/>
    <w:rsid w:val="00E938AD"/>
    <w:rsid w:val="00E93B46"/>
    <w:rsid w:val="00E93E7A"/>
    <w:rsid w:val="00E94D33"/>
    <w:rsid w:val="00E95042"/>
    <w:rsid w:val="00E95462"/>
    <w:rsid w:val="00E95CF1"/>
    <w:rsid w:val="00E961C4"/>
    <w:rsid w:val="00E964E1"/>
    <w:rsid w:val="00E96C8A"/>
    <w:rsid w:val="00E96FD7"/>
    <w:rsid w:val="00E96FE9"/>
    <w:rsid w:val="00E97223"/>
    <w:rsid w:val="00E976C6"/>
    <w:rsid w:val="00E9782E"/>
    <w:rsid w:val="00E979B3"/>
    <w:rsid w:val="00E97C76"/>
    <w:rsid w:val="00E97EE7"/>
    <w:rsid w:val="00EA014B"/>
    <w:rsid w:val="00EA01EB"/>
    <w:rsid w:val="00EA03F1"/>
    <w:rsid w:val="00EA105A"/>
    <w:rsid w:val="00EA157C"/>
    <w:rsid w:val="00EA18B8"/>
    <w:rsid w:val="00EA1A29"/>
    <w:rsid w:val="00EA1AE3"/>
    <w:rsid w:val="00EA1B07"/>
    <w:rsid w:val="00EA21F0"/>
    <w:rsid w:val="00EA2817"/>
    <w:rsid w:val="00EA28D2"/>
    <w:rsid w:val="00EA291F"/>
    <w:rsid w:val="00EA29B1"/>
    <w:rsid w:val="00EA2BE7"/>
    <w:rsid w:val="00EA31AD"/>
    <w:rsid w:val="00EA36D1"/>
    <w:rsid w:val="00EA3726"/>
    <w:rsid w:val="00EA3F4A"/>
    <w:rsid w:val="00EA3F9E"/>
    <w:rsid w:val="00EA4022"/>
    <w:rsid w:val="00EA481D"/>
    <w:rsid w:val="00EA4AF2"/>
    <w:rsid w:val="00EA4B10"/>
    <w:rsid w:val="00EA53A8"/>
    <w:rsid w:val="00EA562D"/>
    <w:rsid w:val="00EA59AD"/>
    <w:rsid w:val="00EA59DB"/>
    <w:rsid w:val="00EA5DA4"/>
    <w:rsid w:val="00EA5E52"/>
    <w:rsid w:val="00EA5ED4"/>
    <w:rsid w:val="00EA63F4"/>
    <w:rsid w:val="00EA6446"/>
    <w:rsid w:val="00EA6583"/>
    <w:rsid w:val="00EA68E2"/>
    <w:rsid w:val="00EA775C"/>
    <w:rsid w:val="00EA7A86"/>
    <w:rsid w:val="00EA7C0A"/>
    <w:rsid w:val="00EA7E14"/>
    <w:rsid w:val="00EA7E48"/>
    <w:rsid w:val="00EB0022"/>
    <w:rsid w:val="00EB0541"/>
    <w:rsid w:val="00EB0815"/>
    <w:rsid w:val="00EB0D7F"/>
    <w:rsid w:val="00EB15BC"/>
    <w:rsid w:val="00EB16C0"/>
    <w:rsid w:val="00EB1D41"/>
    <w:rsid w:val="00EB2401"/>
    <w:rsid w:val="00EB2A18"/>
    <w:rsid w:val="00EB2E1B"/>
    <w:rsid w:val="00EB2F98"/>
    <w:rsid w:val="00EB3026"/>
    <w:rsid w:val="00EB32A0"/>
    <w:rsid w:val="00EB34F3"/>
    <w:rsid w:val="00EB3BDD"/>
    <w:rsid w:val="00EB4562"/>
    <w:rsid w:val="00EB4BDE"/>
    <w:rsid w:val="00EB4E90"/>
    <w:rsid w:val="00EB519F"/>
    <w:rsid w:val="00EB51CD"/>
    <w:rsid w:val="00EB56A9"/>
    <w:rsid w:val="00EB5FF3"/>
    <w:rsid w:val="00EB630D"/>
    <w:rsid w:val="00EB6434"/>
    <w:rsid w:val="00EB679F"/>
    <w:rsid w:val="00EB69CE"/>
    <w:rsid w:val="00EB6FA0"/>
    <w:rsid w:val="00EB732A"/>
    <w:rsid w:val="00EB7880"/>
    <w:rsid w:val="00EC07EA"/>
    <w:rsid w:val="00EC0EFB"/>
    <w:rsid w:val="00EC1337"/>
    <w:rsid w:val="00EC15F1"/>
    <w:rsid w:val="00EC15FA"/>
    <w:rsid w:val="00EC1F6F"/>
    <w:rsid w:val="00EC27B7"/>
    <w:rsid w:val="00EC31FB"/>
    <w:rsid w:val="00EC3258"/>
    <w:rsid w:val="00EC39A8"/>
    <w:rsid w:val="00EC46A9"/>
    <w:rsid w:val="00EC4712"/>
    <w:rsid w:val="00EC4776"/>
    <w:rsid w:val="00EC5162"/>
    <w:rsid w:val="00EC5407"/>
    <w:rsid w:val="00EC5828"/>
    <w:rsid w:val="00EC591D"/>
    <w:rsid w:val="00EC5C21"/>
    <w:rsid w:val="00EC5E21"/>
    <w:rsid w:val="00EC67D9"/>
    <w:rsid w:val="00EC6D67"/>
    <w:rsid w:val="00EC70E5"/>
    <w:rsid w:val="00EC715F"/>
    <w:rsid w:val="00EC775F"/>
    <w:rsid w:val="00EC7831"/>
    <w:rsid w:val="00ED01F6"/>
    <w:rsid w:val="00ED0395"/>
    <w:rsid w:val="00ED0708"/>
    <w:rsid w:val="00ED0926"/>
    <w:rsid w:val="00ED0B4B"/>
    <w:rsid w:val="00ED0E5D"/>
    <w:rsid w:val="00ED0F11"/>
    <w:rsid w:val="00ED1582"/>
    <w:rsid w:val="00ED1B81"/>
    <w:rsid w:val="00ED23D3"/>
    <w:rsid w:val="00ED25E8"/>
    <w:rsid w:val="00ED2837"/>
    <w:rsid w:val="00ED29F6"/>
    <w:rsid w:val="00ED2BB3"/>
    <w:rsid w:val="00ED2D8C"/>
    <w:rsid w:val="00ED2FEE"/>
    <w:rsid w:val="00ED3321"/>
    <w:rsid w:val="00ED36E9"/>
    <w:rsid w:val="00ED3781"/>
    <w:rsid w:val="00ED44B8"/>
    <w:rsid w:val="00ED45F0"/>
    <w:rsid w:val="00ED47D4"/>
    <w:rsid w:val="00ED4F44"/>
    <w:rsid w:val="00ED53F6"/>
    <w:rsid w:val="00ED57F2"/>
    <w:rsid w:val="00ED590F"/>
    <w:rsid w:val="00ED5B68"/>
    <w:rsid w:val="00ED5D63"/>
    <w:rsid w:val="00ED5FD1"/>
    <w:rsid w:val="00ED6462"/>
    <w:rsid w:val="00ED650D"/>
    <w:rsid w:val="00ED6540"/>
    <w:rsid w:val="00ED70D3"/>
    <w:rsid w:val="00ED71EF"/>
    <w:rsid w:val="00ED7218"/>
    <w:rsid w:val="00ED745F"/>
    <w:rsid w:val="00ED790E"/>
    <w:rsid w:val="00ED7B49"/>
    <w:rsid w:val="00ED7DDB"/>
    <w:rsid w:val="00ED7F8D"/>
    <w:rsid w:val="00EE0026"/>
    <w:rsid w:val="00EE02B2"/>
    <w:rsid w:val="00EE0569"/>
    <w:rsid w:val="00EE0DC2"/>
    <w:rsid w:val="00EE15BD"/>
    <w:rsid w:val="00EE18FD"/>
    <w:rsid w:val="00EE1BFA"/>
    <w:rsid w:val="00EE24B5"/>
    <w:rsid w:val="00EE2FFD"/>
    <w:rsid w:val="00EE306D"/>
    <w:rsid w:val="00EE3643"/>
    <w:rsid w:val="00EE36CA"/>
    <w:rsid w:val="00EE3897"/>
    <w:rsid w:val="00EE3948"/>
    <w:rsid w:val="00EE3A20"/>
    <w:rsid w:val="00EE4347"/>
    <w:rsid w:val="00EE4941"/>
    <w:rsid w:val="00EE4A61"/>
    <w:rsid w:val="00EE4BF8"/>
    <w:rsid w:val="00EE56C7"/>
    <w:rsid w:val="00EE5752"/>
    <w:rsid w:val="00EE5958"/>
    <w:rsid w:val="00EE5C90"/>
    <w:rsid w:val="00EE5E74"/>
    <w:rsid w:val="00EE5F74"/>
    <w:rsid w:val="00EE638E"/>
    <w:rsid w:val="00EE6C8F"/>
    <w:rsid w:val="00EE6C99"/>
    <w:rsid w:val="00EE6F4F"/>
    <w:rsid w:val="00EE7026"/>
    <w:rsid w:val="00EE718B"/>
    <w:rsid w:val="00EE73DB"/>
    <w:rsid w:val="00EF0150"/>
    <w:rsid w:val="00EF0383"/>
    <w:rsid w:val="00EF03D2"/>
    <w:rsid w:val="00EF07E6"/>
    <w:rsid w:val="00EF099C"/>
    <w:rsid w:val="00EF0EF7"/>
    <w:rsid w:val="00EF0F5B"/>
    <w:rsid w:val="00EF123A"/>
    <w:rsid w:val="00EF14E7"/>
    <w:rsid w:val="00EF1AC3"/>
    <w:rsid w:val="00EF1EC6"/>
    <w:rsid w:val="00EF27B3"/>
    <w:rsid w:val="00EF2967"/>
    <w:rsid w:val="00EF2A19"/>
    <w:rsid w:val="00EF2CC1"/>
    <w:rsid w:val="00EF3475"/>
    <w:rsid w:val="00EF3DFF"/>
    <w:rsid w:val="00EF4516"/>
    <w:rsid w:val="00EF4611"/>
    <w:rsid w:val="00EF4DCC"/>
    <w:rsid w:val="00EF53E6"/>
    <w:rsid w:val="00EF55A6"/>
    <w:rsid w:val="00EF56CB"/>
    <w:rsid w:val="00EF5C26"/>
    <w:rsid w:val="00EF655D"/>
    <w:rsid w:val="00EF6801"/>
    <w:rsid w:val="00EF69BA"/>
    <w:rsid w:val="00EF6C0D"/>
    <w:rsid w:val="00EF6E5A"/>
    <w:rsid w:val="00EF6F0C"/>
    <w:rsid w:val="00EF7059"/>
    <w:rsid w:val="00EF706D"/>
    <w:rsid w:val="00EF72BD"/>
    <w:rsid w:val="00EF76D8"/>
    <w:rsid w:val="00EF783A"/>
    <w:rsid w:val="00EF7AFD"/>
    <w:rsid w:val="00EF7B37"/>
    <w:rsid w:val="00EF7DC3"/>
    <w:rsid w:val="00EF7DC4"/>
    <w:rsid w:val="00EF7DFB"/>
    <w:rsid w:val="00F002C6"/>
    <w:rsid w:val="00F002CD"/>
    <w:rsid w:val="00F0064C"/>
    <w:rsid w:val="00F00774"/>
    <w:rsid w:val="00F0078A"/>
    <w:rsid w:val="00F00A62"/>
    <w:rsid w:val="00F00AFD"/>
    <w:rsid w:val="00F01411"/>
    <w:rsid w:val="00F018CB"/>
    <w:rsid w:val="00F01923"/>
    <w:rsid w:val="00F01FD7"/>
    <w:rsid w:val="00F024DC"/>
    <w:rsid w:val="00F02773"/>
    <w:rsid w:val="00F02BF6"/>
    <w:rsid w:val="00F02D9B"/>
    <w:rsid w:val="00F02FF3"/>
    <w:rsid w:val="00F033F4"/>
    <w:rsid w:val="00F039F7"/>
    <w:rsid w:val="00F03A27"/>
    <w:rsid w:val="00F040D2"/>
    <w:rsid w:val="00F04491"/>
    <w:rsid w:val="00F046ED"/>
    <w:rsid w:val="00F047E1"/>
    <w:rsid w:val="00F049F5"/>
    <w:rsid w:val="00F054C0"/>
    <w:rsid w:val="00F0568F"/>
    <w:rsid w:val="00F05FCD"/>
    <w:rsid w:val="00F06699"/>
    <w:rsid w:val="00F06931"/>
    <w:rsid w:val="00F06F82"/>
    <w:rsid w:val="00F0705A"/>
    <w:rsid w:val="00F074DE"/>
    <w:rsid w:val="00F07686"/>
    <w:rsid w:val="00F07696"/>
    <w:rsid w:val="00F0773E"/>
    <w:rsid w:val="00F07F41"/>
    <w:rsid w:val="00F1045D"/>
    <w:rsid w:val="00F1085D"/>
    <w:rsid w:val="00F109E3"/>
    <w:rsid w:val="00F11D15"/>
    <w:rsid w:val="00F12705"/>
    <w:rsid w:val="00F12D23"/>
    <w:rsid w:val="00F12FE0"/>
    <w:rsid w:val="00F13493"/>
    <w:rsid w:val="00F13698"/>
    <w:rsid w:val="00F13DEB"/>
    <w:rsid w:val="00F14157"/>
    <w:rsid w:val="00F1494C"/>
    <w:rsid w:val="00F14C9A"/>
    <w:rsid w:val="00F1596F"/>
    <w:rsid w:val="00F15A15"/>
    <w:rsid w:val="00F15D4D"/>
    <w:rsid w:val="00F16169"/>
    <w:rsid w:val="00F1630E"/>
    <w:rsid w:val="00F16573"/>
    <w:rsid w:val="00F16767"/>
    <w:rsid w:val="00F169D1"/>
    <w:rsid w:val="00F16B45"/>
    <w:rsid w:val="00F17306"/>
    <w:rsid w:val="00F175C8"/>
    <w:rsid w:val="00F17683"/>
    <w:rsid w:val="00F176B9"/>
    <w:rsid w:val="00F176CD"/>
    <w:rsid w:val="00F1793D"/>
    <w:rsid w:val="00F2044D"/>
    <w:rsid w:val="00F207D7"/>
    <w:rsid w:val="00F20840"/>
    <w:rsid w:val="00F20AE8"/>
    <w:rsid w:val="00F20D52"/>
    <w:rsid w:val="00F213A1"/>
    <w:rsid w:val="00F213FB"/>
    <w:rsid w:val="00F21AA2"/>
    <w:rsid w:val="00F221E8"/>
    <w:rsid w:val="00F221F9"/>
    <w:rsid w:val="00F22C5A"/>
    <w:rsid w:val="00F22DCB"/>
    <w:rsid w:val="00F23944"/>
    <w:rsid w:val="00F23A84"/>
    <w:rsid w:val="00F23F0A"/>
    <w:rsid w:val="00F24BD6"/>
    <w:rsid w:val="00F24C6C"/>
    <w:rsid w:val="00F253AE"/>
    <w:rsid w:val="00F2558D"/>
    <w:rsid w:val="00F25837"/>
    <w:rsid w:val="00F259F6"/>
    <w:rsid w:val="00F26738"/>
    <w:rsid w:val="00F268AE"/>
    <w:rsid w:val="00F27205"/>
    <w:rsid w:val="00F27B18"/>
    <w:rsid w:val="00F27C41"/>
    <w:rsid w:val="00F27FCD"/>
    <w:rsid w:val="00F27FF2"/>
    <w:rsid w:val="00F3028C"/>
    <w:rsid w:val="00F304F0"/>
    <w:rsid w:val="00F3050E"/>
    <w:rsid w:val="00F308B8"/>
    <w:rsid w:val="00F30C25"/>
    <w:rsid w:val="00F30D29"/>
    <w:rsid w:val="00F30F7A"/>
    <w:rsid w:val="00F31050"/>
    <w:rsid w:val="00F31211"/>
    <w:rsid w:val="00F312D1"/>
    <w:rsid w:val="00F3185F"/>
    <w:rsid w:val="00F31ABB"/>
    <w:rsid w:val="00F31E9F"/>
    <w:rsid w:val="00F32A18"/>
    <w:rsid w:val="00F32E04"/>
    <w:rsid w:val="00F32E56"/>
    <w:rsid w:val="00F32F83"/>
    <w:rsid w:val="00F33271"/>
    <w:rsid w:val="00F33366"/>
    <w:rsid w:val="00F33416"/>
    <w:rsid w:val="00F334B5"/>
    <w:rsid w:val="00F3351A"/>
    <w:rsid w:val="00F33B7E"/>
    <w:rsid w:val="00F33E92"/>
    <w:rsid w:val="00F33F4E"/>
    <w:rsid w:val="00F34DE3"/>
    <w:rsid w:val="00F35C92"/>
    <w:rsid w:val="00F36017"/>
    <w:rsid w:val="00F36227"/>
    <w:rsid w:val="00F364FA"/>
    <w:rsid w:val="00F37136"/>
    <w:rsid w:val="00F377B9"/>
    <w:rsid w:val="00F37C02"/>
    <w:rsid w:val="00F37D4B"/>
    <w:rsid w:val="00F37E79"/>
    <w:rsid w:val="00F37FBE"/>
    <w:rsid w:val="00F401B3"/>
    <w:rsid w:val="00F401BB"/>
    <w:rsid w:val="00F40341"/>
    <w:rsid w:val="00F40A25"/>
    <w:rsid w:val="00F40BC8"/>
    <w:rsid w:val="00F410E2"/>
    <w:rsid w:val="00F41461"/>
    <w:rsid w:val="00F416AD"/>
    <w:rsid w:val="00F41910"/>
    <w:rsid w:val="00F41BEE"/>
    <w:rsid w:val="00F41C20"/>
    <w:rsid w:val="00F42720"/>
    <w:rsid w:val="00F42FD1"/>
    <w:rsid w:val="00F43CA7"/>
    <w:rsid w:val="00F43D67"/>
    <w:rsid w:val="00F44209"/>
    <w:rsid w:val="00F448D9"/>
    <w:rsid w:val="00F450D3"/>
    <w:rsid w:val="00F451BB"/>
    <w:rsid w:val="00F4537B"/>
    <w:rsid w:val="00F455AD"/>
    <w:rsid w:val="00F45C65"/>
    <w:rsid w:val="00F45C80"/>
    <w:rsid w:val="00F45C83"/>
    <w:rsid w:val="00F45DB9"/>
    <w:rsid w:val="00F45E12"/>
    <w:rsid w:val="00F45EDB"/>
    <w:rsid w:val="00F463EA"/>
    <w:rsid w:val="00F46432"/>
    <w:rsid w:val="00F4684B"/>
    <w:rsid w:val="00F47117"/>
    <w:rsid w:val="00F472A9"/>
    <w:rsid w:val="00F472C4"/>
    <w:rsid w:val="00F475A4"/>
    <w:rsid w:val="00F475EC"/>
    <w:rsid w:val="00F4775F"/>
    <w:rsid w:val="00F50270"/>
    <w:rsid w:val="00F50B77"/>
    <w:rsid w:val="00F50F89"/>
    <w:rsid w:val="00F51020"/>
    <w:rsid w:val="00F51301"/>
    <w:rsid w:val="00F514F8"/>
    <w:rsid w:val="00F51A43"/>
    <w:rsid w:val="00F51B07"/>
    <w:rsid w:val="00F51B14"/>
    <w:rsid w:val="00F51F2D"/>
    <w:rsid w:val="00F5234C"/>
    <w:rsid w:val="00F5284D"/>
    <w:rsid w:val="00F52D6F"/>
    <w:rsid w:val="00F52E84"/>
    <w:rsid w:val="00F53228"/>
    <w:rsid w:val="00F53298"/>
    <w:rsid w:val="00F532F5"/>
    <w:rsid w:val="00F5341D"/>
    <w:rsid w:val="00F5371D"/>
    <w:rsid w:val="00F53F14"/>
    <w:rsid w:val="00F54EE6"/>
    <w:rsid w:val="00F55045"/>
    <w:rsid w:val="00F55774"/>
    <w:rsid w:val="00F55B31"/>
    <w:rsid w:val="00F56D77"/>
    <w:rsid w:val="00F56DA9"/>
    <w:rsid w:val="00F57066"/>
    <w:rsid w:val="00F57426"/>
    <w:rsid w:val="00F575D3"/>
    <w:rsid w:val="00F57D19"/>
    <w:rsid w:val="00F57ED1"/>
    <w:rsid w:val="00F60160"/>
    <w:rsid w:val="00F60A39"/>
    <w:rsid w:val="00F611B9"/>
    <w:rsid w:val="00F611EA"/>
    <w:rsid w:val="00F616A5"/>
    <w:rsid w:val="00F61BF0"/>
    <w:rsid w:val="00F61FCA"/>
    <w:rsid w:val="00F62BED"/>
    <w:rsid w:val="00F62C4C"/>
    <w:rsid w:val="00F63458"/>
    <w:rsid w:val="00F63BE1"/>
    <w:rsid w:val="00F6496B"/>
    <w:rsid w:val="00F649C2"/>
    <w:rsid w:val="00F64A26"/>
    <w:rsid w:val="00F64B8B"/>
    <w:rsid w:val="00F64CFD"/>
    <w:rsid w:val="00F64D9A"/>
    <w:rsid w:val="00F6502D"/>
    <w:rsid w:val="00F65199"/>
    <w:rsid w:val="00F6528F"/>
    <w:rsid w:val="00F656DD"/>
    <w:rsid w:val="00F65B69"/>
    <w:rsid w:val="00F65F00"/>
    <w:rsid w:val="00F66603"/>
    <w:rsid w:val="00F6670E"/>
    <w:rsid w:val="00F66CD5"/>
    <w:rsid w:val="00F66F90"/>
    <w:rsid w:val="00F6709E"/>
    <w:rsid w:val="00F6728E"/>
    <w:rsid w:val="00F673AC"/>
    <w:rsid w:val="00F678EC"/>
    <w:rsid w:val="00F678F0"/>
    <w:rsid w:val="00F67AC7"/>
    <w:rsid w:val="00F67AEB"/>
    <w:rsid w:val="00F67C26"/>
    <w:rsid w:val="00F70134"/>
    <w:rsid w:val="00F70B16"/>
    <w:rsid w:val="00F7176F"/>
    <w:rsid w:val="00F7189B"/>
    <w:rsid w:val="00F71921"/>
    <w:rsid w:val="00F7193E"/>
    <w:rsid w:val="00F71C0B"/>
    <w:rsid w:val="00F71D87"/>
    <w:rsid w:val="00F72030"/>
    <w:rsid w:val="00F72927"/>
    <w:rsid w:val="00F72D7F"/>
    <w:rsid w:val="00F731EE"/>
    <w:rsid w:val="00F73332"/>
    <w:rsid w:val="00F73548"/>
    <w:rsid w:val="00F735B1"/>
    <w:rsid w:val="00F73E5B"/>
    <w:rsid w:val="00F73FF0"/>
    <w:rsid w:val="00F741AA"/>
    <w:rsid w:val="00F7455F"/>
    <w:rsid w:val="00F745CF"/>
    <w:rsid w:val="00F746F6"/>
    <w:rsid w:val="00F74B0B"/>
    <w:rsid w:val="00F74D59"/>
    <w:rsid w:val="00F74D7E"/>
    <w:rsid w:val="00F75070"/>
    <w:rsid w:val="00F7532B"/>
    <w:rsid w:val="00F75535"/>
    <w:rsid w:val="00F75891"/>
    <w:rsid w:val="00F759AA"/>
    <w:rsid w:val="00F759AD"/>
    <w:rsid w:val="00F75CDA"/>
    <w:rsid w:val="00F7618E"/>
    <w:rsid w:val="00F76521"/>
    <w:rsid w:val="00F766F4"/>
    <w:rsid w:val="00F76A25"/>
    <w:rsid w:val="00F76D7A"/>
    <w:rsid w:val="00F77596"/>
    <w:rsid w:val="00F77B3B"/>
    <w:rsid w:val="00F77BBB"/>
    <w:rsid w:val="00F8004B"/>
    <w:rsid w:val="00F80289"/>
    <w:rsid w:val="00F80391"/>
    <w:rsid w:val="00F804A2"/>
    <w:rsid w:val="00F804BF"/>
    <w:rsid w:val="00F807B8"/>
    <w:rsid w:val="00F812F2"/>
    <w:rsid w:val="00F816BA"/>
    <w:rsid w:val="00F818ED"/>
    <w:rsid w:val="00F8199F"/>
    <w:rsid w:val="00F8251F"/>
    <w:rsid w:val="00F82794"/>
    <w:rsid w:val="00F83363"/>
    <w:rsid w:val="00F836A8"/>
    <w:rsid w:val="00F8388C"/>
    <w:rsid w:val="00F838B2"/>
    <w:rsid w:val="00F83BA2"/>
    <w:rsid w:val="00F83CF3"/>
    <w:rsid w:val="00F843CC"/>
    <w:rsid w:val="00F84638"/>
    <w:rsid w:val="00F84724"/>
    <w:rsid w:val="00F84CCC"/>
    <w:rsid w:val="00F84D63"/>
    <w:rsid w:val="00F84DFE"/>
    <w:rsid w:val="00F85332"/>
    <w:rsid w:val="00F85404"/>
    <w:rsid w:val="00F85545"/>
    <w:rsid w:val="00F858A0"/>
    <w:rsid w:val="00F85A0E"/>
    <w:rsid w:val="00F860C1"/>
    <w:rsid w:val="00F86541"/>
    <w:rsid w:val="00F867C3"/>
    <w:rsid w:val="00F868EE"/>
    <w:rsid w:val="00F86D01"/>
    <w:rsid w:val="00F86D62"/>
    <w:rsid w:val="00F87070"/>
    <w:rsid w:val="00F873BD"/>
    <w:rsid w:val="00F8756B"/>
    <w:rsid w:val="00F876B0"/>
    <w:rsid w:val="00F876DE"/>
    <w:rsid w:val="00F87803"/>
    <w:rsid w:val="00F87836"/>
    <w:rsid w:val="00F87B6D"/>
    <w:rsid w:val="00F87B73"/>
    <w:rsid w:val="00F87B7A"/>
    <w:rsid w:val="00F87F67"/>
    <w:rsid w:val="00F87FA2"/>
    <w:rsid w:val="00F9007E"/>
    <w:rsid w:val="00F904DD"/>
    <w:rsid w:val="00F904E7"/>
    <w:rsid w:val="00F91E5E"/>
    <w:rsid w:val="00F91F8B"/>
    <w:rsid w:val="00F92A34"/>
    <w:rsid w:val="00F92E4B"/>
    <w:rsid w:val="00F93A10"/>
    <w:rsid w:val="00F93A1C"/>
    <w:rsid w:val="00F94152"/>
    <w:rsid w:val="00F944F5"/>
    <w:rsid w:val="00F94646"/>
    <w:rsid w:val="00F94728"/>
    <w:rsid w:val="00F94A9A"/>
    <w:rsid w:val="00F94BF1"/>
    <w:rsid w:val="00F94D0C"/>
    <w:rsid w:val="00F9514E"/>
    <w:rsid w:val="00F9519E"/>
    <w:rsid w:val="00F95411"/>
    <w:rsid w:val="00F9567C"/>
    <w:rsid w:val="00F9579A"/>
    <w:rsid w:val="00F957C3"/>
    <w:rsid w:val="00F961F0"/>
    <w:rsid w:val="00F96266"/>
    <w:rsid w:val="00F9696E"/>
    <w:rsid w:val="00F969BA"/>
    <w:rsid w:val="00F96B30"/>
    <w:rsid w:val="00F96D6E"/>
    <w:rsid w:val="00F96DF3"/>
    <w:rsid w:val="00F97501"/>
    <w:rsid w:val="00FA05A6"/>
    <w:rsid w:val="00FA11C0"/>
    <w:rsid w:val="00FA1246"/>
    <w:rsid w:val="00FA12C1"/>
    <w:rsid w:val="00FA1821"/>
    <w:rsid w:val="00FA2260"/>
    <w:rsid w:val="00FA2602"/>
    <w:rsid w:val="00FA2750"/>
    <w:rsid w:val="00FA2A28"/>
    <w:rsid w:val="00FA323F"/>
    <w:rsid w:val="00FA3C44"/>
    <w:rsid w:val="00FA3CEC"/>
    <w:rsid w:val="00FA445D"/>
    <w:rsid w:val="00FA4678"/>
    <w:rsid w:val="00FA47B1"/>
    <w:rsid w:val="00FA4D56"/>
    <w:rsid w:val="00FA4F8D"/>
    <w:rsid w:val="00FA51E6"/>
    <w:rsid w:val="00FA5390"/>
    <w:rsid w:val="00FA59A8"/>
    <w:rsid w:val="00FA5C77"/>
    <w:rsid w:val="00FA6470"/>
    <w:rsid w:val="00FA64BC"/>
    <w:rsid w:val="00FA751B"/>
    <w:rsid w:val="00FA7693"/>
    <w:rsid w:val="00FB0458"/>
    <w:rsid w:val="00FB0636"/>
    <w:rsid w:val="00FB0D5D"/>
    <w:rsid w:val="00FB0EB3"/>
    <w:rsid w:val="00FB0EFF"/>
    <w:rsid w:val="00FB1406"/>
    <w:rsid w:val="00FB1861"/>
    <w:rsid w:val="00FB1E06"/>
    <w:rsid w:val="00FB1FBE"/>
    <w:rsid w:val="00FB2276"/>
    <w:rsid w:val="00FB2A96"/>
    <w:rsid w:val="00FB2EE8"/>
    <w:rsid w:val="00FB3168"/>
    <w:rsid w:val="00FB3350"/>
    <w:rsid w:val="00FB3E8C"/>
    <w:rsid w:val="00FB4265"/>
    <w:rsid w:val="00FB43D4"/>
    <w:rsid w:val="00FB446D"/>
    <w:rsid w:val="00FB4F71"/>
    <w:rsid w:val="00FB5205"/>
    <w:rsid w:val="00FB5423"/>
    <w:rsid w:val="00FB61B4"/>
    <w:rsid w:val="00FB6A31"/>
    <w:rsid w:val="00FB6A97"/>
    <w:rsid w:val="00FB6EEC"/>
    <w:rsid w:val="00FB6F0B"/>
    <w:rsid w:val="00FB7091"/>
    <w:rsid w:val="00FB7CB1"/>
    <w:rsid w:val="00FC012D"/>
    <w:rsid w:val="00FC07F5"/>
    <w:rsid w:val="00FC1320"/>
    <w:rsid w:val="00FC18F5"/>
    <w:rsid w:val="00FC1D9B"/>
    <w:rsid w:val="00FC1DBC"/>
    <w:rsid w:val="00FC1DC6"/>
    <w:rsid w:val="00FC1F73"/>
    <w:rsid w:val="00FC2451"/>
    <w:rsid w:val="00FC2A75"/>
    <w:rsid w:val="00FC3219"/>
    <w:rsid w:val="00FC3502"/>
    <w:rsid w:val="00FC3D75"/>
    <w:rsid w:val="00FC3E53"/>
    <w:rsid w:val="00FC3F10"/>
    <w:rsid w:val="00FC41A7"/>
    <w:rsid w:val="00FC41DE"/>
    <w:rsid w:val="00FC4251"/>
    <w:rsid w:val="00FC43AC"/>
    <w:rsid w:val="00FC43F3"/>
    <w:rsid w:val="00FC48C5"/>
    <w:rsid w:val="00FC4928"/>
    <w:rsid w:val="00FC4B5A"/>
    <w:rsid w:val="00FC4B6D"/>
    <w:rsid w:val="00FC4F09"/>
    <w:rsid w:val="00FC57E8"/>
    <w:rsid w:val="00FC5883"/>
    <w:rsid w:val="00FC5BC2"/>
    <w:rsid w:val="00FC6CA3"/>
    <w:rsid w:val="00FC7397"/>
    <w:rsid w:val="00FC7695"/>
    <w:rsid w:val="00FC7ADA"/>
    <w:rsid w:val="00FD0E03"/>
    <w:rsid w:val="00FD0FD4"/>
    <w:rsid w:val="00FD1150"/>
    <w:rsid w:val="00FD1A77"/>
    <w:rsid w:val="00FD1D04"/>
    <w:rsid w:val="00FD208F"/>
    <w:rsid w:val="00FD2116"/>
    <w:rsid w:val="00FD213E"/>
    <w:rsid w:val="00FD2F8A"/>
    <w:rsid w:val="00FD3BEE"/>
    <w:rsid w:val="00FD3FD4"/>
    <w:rsid w:val="00FD419C"/>
    <w:rsid w:val="00FD42AE"/>
    <w:rsid w:val="00FD486C"/>
    <w:rsid w:val="00FD496D"/>
    <w:rsid w:val="00FD49A5"/>
    <w:rsid w:val="00FD4A7C"/>
    <w:rsid w:val="00FD58E6"/>
    <w:rsid w:val="00FD5F5A"/>
    <w:rsid w:val="00FD5F69"/>
    <w:rsid w:val="00FD603A"/>
    <w:rsid w:val="00FD63B7"/>
    <w:rsid w:val="00FD6912"/>
    <w:rsid w:val="00FD6A0D"/>
    <w:rsid w:val="00FD6B79"/>
    <w:rsid w:val="00FD7276"/>
    <w:rsid w:val="00FD76F8"/>
    <w:rsid w:val="00FD7878"/>
    <w:rsid w:val="00FD7B84"/>
    <w:rsid w:val="00FD7CCB"/>
    <w:rsid w:val="00FD7D76"/>
    <w:rsid w:val="00FE00BF"/>
    <w:rsid w:val="00FE01C6"/>
    <w:rsid w:val="00FE02A4"/>
    <w:rsid w:val="00FE1025"/>
    <w:rsid w:val="00FE16D0"/>
    <w:rsid w:val="00FE1DB1"/>
    <w:rsid w:val="00FE1EEA"/>
    <w:rsid w:val="00FE1FE4"/>
    <w:rsid w:val="00FE20B9"/>
    <w:rsid w:val="00FE21F4"/>
    <w:rsid w:val="00FE2FF6"/>
    <w:rsid w:val="00FE3031"/>
    <w:rsid w:val="00FE404B"/>
    <w:rsid w:val="00FE4536"/>
    <w:rsid w:val="00FE518D"/>
    <w:rsid w:val="00FE5525"/>
    <w:rsid w:val="00FE5761"/>
    <w:rsid w:val="00FE5862"/>
    <w:rsid w:val="00FE5936"/>
    <w:rsid w:val="00FE5AFC"/>
    <w:rsid w:val="00FE613F"/>
    <w:rsid w:val="00FE6885"/>
    <w:rsid w:val="00FE6E59"/>
    <w:rsid w:val="00FE6F74"/>
    <w:rsid w:val="00FE714C"/>
    <w:rsid w:val="00FE73B6"/>
    <w:rsid w:val="00FE748A"/>
    <w:rsid w:val="00FF03DC"/>
    <w:rsid w:val="00FF0F76"/>
    <w:rsid w:val="00FF1011"/>
    <w:rsid w:val="00FF10F1"/>
    <w:rsid w:val="00FF1BE6"/>
    <w:rsid w:val="00FF1C5B"/>
    <w:rsid w:val="00FF1D74"/>
    <w:rsid w:val="00FF2657"/>
    <w:rsid w:val="00FF2AA6"/>
    <w:rsid w:val="00FF2BC1"/>
    <w:rsid w:val="00FF2D9A"/>
    <w:rsid w:val="00FF2F13"/>
    <w:rsid w:val="00FF39B5"/>
    <w:rsid w:val="00FF4004"/>
    <w:rsid w:val="00FF4249"/>
    <w:rsid w:val="00FF4DF4"/>
    <w:rsid w:val="00FF518C"/>
    <w:rsid w:val="00FF5237"/>
    <w:rsid w:val="00FF55E7"/>
    <w:rsid w:val="00FF5E1C"/>
    <w:rsid w:val="00FF63CE"/>
    <w:rsid w:val="00FF63F6"/>
    <w:rsid w:val="00FF6468"/>
    <w:rsid w:val="00FF6A41"/>
    <w:rsid w:val="00FF6A43"/>
    <w:rsid w:val="00FF6FE2"/>
    <w:rsid w:val="00FF7373"/>
    <w:rsid w:val="00FF769F"/>
    <w:rsid w:val="00FF7BF7"/>
    <w:rsid w:val="00FF7E83"/>
    <w:rsid w:val="03690CC7"/>
    <w:rsid w:val="066E62E3"/>
    <w:rsid w:val="07F4CA88"/>
    <w:rsid w:val="080A3344"/>
    <w:rsid w:val="10C5401D"/>
    <w:rsid w:val="141217C5"/>
    <w:rsid w:val="15971E00"/>
    <w:rsid w:val="197B6CF8"/>
    <w:rsid w:val="1A0B81F4"/>
    <w:rsid w:val="1B42BAF1"/>
    <w:rsid w:val="1BAB3131"/>
    <w:rsid w:val="1E79BA92"/>
    <w:rsid w:val="1F3BBFDB"/>
    <w:rsid w:val="20811C6C"/>
    <w:rsid w:val="24169A2E"/>
    <w:rsid w:val="262A4838"/>
    <w:rsid w:val="2B5CE0C3"/>
    <w:rsid w:val="32626BF9"/>
    <w:rsid w:val="32E59003"/>
    <w:rsid w:val="3662F20A"/>
    <w:rsid w:val="38657450"/>
    <w:rsid w:val="398A2193"/>
    <w:rsid w:val="3BCD40F5"/>
    <w:rsid w:val="404A7BD2"/>
    <w:rsid w:val="479BE450"/>
    <w:rsid w:val="4B8D2466"/>
    <w:rsid w:val="4BEE513A"/>
    <w:rsid w:val="4CE6C05F"/>
    <w:rsid w:val="50902077"/>
    <w:rsid w:val="5472152B"/>
    <w:rsid w:val="56CFB2CF"/>
    <w:rsid w:val="5ADAEDAB"/>
    <w:rsid w:val="5B18D9E6"/>
    <w:rsid w:val="5D0C9E69"/>
    <w:rsid w:val="5D4AB6A2"/>
    <w:rsid w:val="6CC79E6A"/>
    <w:rsid w:val="6D52ED0E"/>
    <w:rsid w:val="6DCEBA56"/>
    <w:rsid w:val="72AC0871"/>
    <w:rsid w:val="735864A4"/>
    <w:rsid w:val="7371BE25"/>
    <w:rsid w:val="77B97188"/>
    <w:rsid w:val="7A80DD5A"/>
    <w:rsid w:val="7CF8BA96"/>
    <w:rsid w:val="7FA758B6"/>
    <w:rsid w:val="7FEB4C3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6FFBF6"/>
  <w15:chartTrackingRefBased/>
  <w15:docId w15:val="{4D099228-D9AD-422C-9432-7B18C479D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locked="1" w:semiHidden="1" w:unhideWhenUsed="1"/>
    <w:lsdException w:name="Body Text Indent" w:locked="1"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locked="1" w:semiHidden="1"/>
    <w:lsdException w:name="Body Text First Indent 2" w:locked="1" w:semiHidden="1"/>
    <w:lsdException w:name="Note Heading" w:semiHidden="1" w:unhideWhenUsed="1"/>
    <w:lsdException w:name="Body Text 2" w:locked="1" w:semiHidden="1"/>
    <w:lsdException w:name="Body Text 3" w:locked="1" w:semiHidden="1"/>
    <w:lsdException w:name="Body Text Indent 2" w:locked="1" w:semiHidden="1"/>
    <w:lsdException w:name="Body Text Indent 3" w:locked="1" w:semiHidden="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2F20"/>
    <w:pPr>
      <w:spacing w:before="120" w:after="120" w:line="240" w:lineRule="auto"/>
    </w:pPr>
    <w:rPr>
      <w:rFonts w:ascii="Arial" w:hAnsi="Arial"/>
    </w:rPr>
  </w:style>
  <w:style w:type="paragraph" w:styleId="Heading1">
    <w:name w:val="heading 1"/>
    <w:next w:val="BodyText"/>
    <w:link w:val="Heading1Char"/>
    <w:uiPriority w:val="9"/>
    <w:qFormat/>
    <w:rsid w:val="006F0E6A"/>
    <w:pPr>
      <w:keepNext/>
      <w:keepLines/>
      <w:pageBreakBefore/>
      <w:numPr>
        <w:numId w:val="10"/>
      </w:numPr>
      <w:spacing w:before="240" w:after="240" w:line="240" w:lineRule="auto"/>
      <w:outlineLvl w:val="0"/>
    </w:pPr>
    <w:rPr>
      <w:rFonts w:ascii="Arial Bold" w:eastAsiaTheme="majorEastAsia" w:hAnsi="Arial Bold" w:cstheme="majorBidi"/>
      <w:b/>
      <w:color w:val="00338D"/>
      <w:sz w:val="28"/>
      <w:szCs w:val="32"/>
    </w:rPr>
  </w:style>
  <w:style w:type="paragraph" w:styleId="Heading2">
    <w:name w:val="heading 2"/>
    <w:basedOn w:val="Normal"/>
    <w:next w:val="Normal"/>
    <w:link w:val="Heading2Char"/>
    <w:uiPriority w:val="9"/>
    <w:unhideWhenUsed/>
    <w:qFormat/>
    <w:rsid w:val="004D3BB4"/>
    <w:pPr>
      <w:keepNext/>
      <w:keepLines/>
      <w:numPr>
        <w:ilvl w:val="1"/>
        <w:numId w:val="10"/>
      </w:numPr>
      <w:spacing w:before="240" w:after="240"/>
      <w:outlineLvl w:val="1"/>
    </w:pPr>
    <w:rPr>
      <w:rFonts w:ascii="Arial Bold" w:eastAsiaTheme="majorEastAsia" w:hAnsi="Arial Bold" w:cstheme="majorBidi"/>
      <w:b/>
      <w:color w:val="00338D"/>
      <w:sz w:val="24"/>
      <w:szCs w:val="26"/>
    </w:rPr>
  </w:style>
  <w:style w:type="paragraph" w:styleId="Heading3">
    <w:name w:val="heading 3"/>
    <w:basedOn w:val="Normal"/>
    <w:next w:val="Normal"/>
    <w:link w:val="Heading3Char"/>
    <w:uiPriority w:val="9"/>
    <w:unhideWhenUsed/>
    <w:qFormat/>
    <w:rsid w:val="0061570B"/>
    <w:pPr>
      <w:keepNext/>
      <w:keepLines/>
      <w:numPr>
        <w:ilvl w:val="2"/>
        <w:numId w:val="10"/>
      </w:numPr>
      <w:spacing w:before="240" w:after="0"/>
      <w:outlineLvl w:val="2"/>
    </w:pPr>
    <w:rPr>
      <w:rFonts w:ascii="Arial Bold" w:eastAsiaTheme="majorEastAsia" w:hAnsi="Arial Bold" w:cstheme="majorBidi"/>
      <w:b/>
      <w:i/>
      <w:color w:val="0091DA" w:themeColor="accent2"/>
      <w:sz w:val="24"/>
      <w:szCs w:val="24"/>
    </w:rPr>
  </w:style>
  <w:style w:type="paragraph" w:styleId="Heading4">
    <w:name w:val="heading 4"/>
    <w:basedOn w:val="Normal"/>
    <w:next w:val="Normal"/>
    <w:link w:val="Heading4Char"/>
    <w:uiPriority w:val="9"/>
    <w:unhideWhenUsed/>
    <w:qFormat/>
    <w:rsid w:val="00F94152"/>
    <w:pPr>
      <w:keepNext/>
      <w:keepLines/>
      <w:numPr>
        <w:ilvl w:val="3"/>
        <w:numId w:val="10"/>
      </w:numPr>
      <w:spacing w:before="240" w:after="0"/>
      <w:outlineLvl w:val="3"/>
    </w:pPr>
    <w:rPr>
      <w:rFonts w:eastAsiaTheme="majorEastAsia" w:cstheme="majorBidi"/>
      <w:b/>
      <w:iCs/>
      <w:color w:val="00338D" w:themeColor="background2"/>
      <w:sz w:val="24"/>
    </w:rPr>
  </w:style>
  <w:style w:type="paragraph" w:styleId="Heading5">
    <w:name w:val="heading 5"/>
    <w:basedOn w:val="BodyText1"/>
    <w:next w:val="Normal"/>
    <w:link w:val="Heading5Char"/>
    <w:uiPriority w:val="9"/>
    <w:unhideWhenUsed/>
    <w:qFormat/>
    <w:rsid w:val="00655B88"/>
    <w:pPr>
      <w:keepNext/>
      <w:numPr>
        <w:ilvl w:val="4"/>
        <w:numId w:val="10"/>
      </w:numPr>
      <w:spacing w:before="240"/>
      <w:outlineLvl w:val="4"/>
    </w:pPr>
    <w:rPr>
      <w:rFonts w:ascii="Arial Bold" w:hAnsi="Arial Bold"/>
      <w:b/>
    </w:rPr>
  </w:style>
  <w:style w:type="paragraph" w:styleId="Heading6">
    <w:name w:val="heading 6"/>
    <w:basedOn w:val="Heading4"/>
    <w:next w:val="Normal"/>
    <w:link w:val="Heading6Char"/>
    <w:uiPriority w:val="9"/>
    <w:unhideWhenUsed/>
    <w:qFormat/>
    <w:rsid w:val="00B55C06"/>
    <w:pPr>
      <w:spacing w:before="40" w:after="40"/>
      <w:outlineLvl w:val="5"/>
    </w:pPr>
    <w:rPr>
      <w:rFonts w:ascii="Arial Bold" w:hAnsi="Arial Bold"/>
      <w:sz w:val="22"/>
      <w:szCs w:val="20"/>
      <w:lang w:eastAsia="en-AU"/>
    </w:rPr>
  </w:style>
  <w:style w:type="paragraph" w:styleId="Heading7">
    <w:name w:val="heading 7"/>
    <w:basedOn w:val="Normal"/>
    <w:next w:val="Normal"/>
    <w:link w:val="Heading7Char"/>
    <w:uiPriority w:val="9"/>
    <w:semiHidden/>
    <w:unhideWhenUsed/>
    <w:qFormat/>
    <w:rsid w:val="004D3BB4"/>
    <w:pPr>
      <w:keepNext/>
      <w:keepLines/>
      <w:numPr>
        <w:ilvl w:val="6"/>
        <w:numId w:val="10"/>
      </w:numPr>
      <w:spacing w:before="40" w:after="0"/>
      <w:outlineLvl w:val="6"/>
    </w:pPr>
    <w:rPr>
      <w:rFonts w:asciiTheme="majorHAnsi" w:eastAsiaTheme="majorEastAsia" w:hAnsiTheme="majorHAnsi" w:cstheme="majorBidi"/>
      <w:i/>
      <w:iCs/>
      <w:color w:val="002E5B" w:themeColor="accent1" w:themeShade="7F"/>
    </w:rPr>
  </w:style>
  <w:style w:type="paragraph" w:styleId="Heading8">
    <w:name w:val="heading 8"/>
    <w:basedOn w:val="Normal"/>
    <w:next w:val="Normal"/>
    <w:link w:val="Heading8Char"/>
    <w:uiPriority w:val="9"/>
    <w:semiHidden/>
    <w:unhideWhenUsed/>
    <w:qFormat/>
    <w:rsid w:val="004D3BB4"/>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D3BB4"/>
    <w:pPr>
      <w:keepNext/>
      <w:keepLines/>
      <w:numPr>
        <w:ilvl w:val="8"/>
        <w:numId w:val="1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itle172">
    <w:name w:val="Cover title 1_72"/>
    <w:qFormat/>
    <w:rsid w:val="00DD4007"/>
    <w:pPr>
      <w:spacing w:before="240" w:after="240" w:line="240" w:lineRule="auto"/>
    </w:pPr>
    <w:rPr>
      <w:rFonts w:ascii="Arial" w:hAnsi="Arial"/>
      <w:noProof/>
      <w:color w:val="FFFFFF" w:themeColor="background1"/>
      <w:sz w:val="96"/>
      <w:szCs w:val="222"/>
      <w:lang w:eastAsia="en-AU"/>
    </w:rPr>
  </w:style>
  <w:style w:type="paragraph" w:customStyle="1" w:styleId="Covertitle216ptB">
    <w:name w:val="Cover title 2_16pt_B"/>
    <w:qFormat/>
    <w:rsid w:val="0061570B"/>
    <w:pPr>
      <w:spacing w:after="0" w:line="360" w:lineRule="exact"/>
    </w:pPr>
    <w:rPr>
      <w:rFonts w:ascii="Arial Bold" w:hAnsi="Arial Bold"/>
      <w:b/>
      <w:color w:val="FFFFFF" w:themeColor="background1"/>
      <w:sz w:val="32"/>
    </w:rPr>
  </w:style>
  <w:style w:type="paragraph" w:customStyle="1" w:styleId="Covertitle316ptNB">
    <w:name w:val="Cover title 3_16pt_NB"/>
    <w:qFormat/>
    <w:rsid w:val="0061570B"/>
    <w:pPr>
      <w:spacing w:after="0" w:line="360" w:lineRule="exact"/>
    </w:pPr>
    <w:rPr>
      <w:rFonts w:ascii="Arial" w:hAnsi="Arial"/>
      <w:color w:val="FFFFFF" w:themeColor="background1"/>
      <w:sz w:val="28"/>
    </w:rPr>
  </w:style>
  <w:style w:type="paragraph" w:customStyle="1" w:styleId="Covertitle410pt">
    <w:name w:val="Cover title 4_10pt"/>
    <w:qFormat/>
    <w:rsid w:val="0061570B"/>
    <w:pPr>
      <w:spacing w:after="0" w:line="240" w:lineRule="exact"/>
    </w:pPr>
    <w:rPr>
      <w:rFonts w:ascii="Arial" w:hAnsi="Arial"/>
      <w:color w:val="FFFFFF" w:themeColor="background1"/>
      <w:sz w:val="20"/>
    </w:rPr>
  </w:style>
  <w:style w:type="table" w:styleId="TableGrid">
    <w:name w:val="Table Grid"/>
    <w:basedOn w:val="TableNormal"/>
    <w:uiPriority w:val="39"/>
    <w:rsid w:val="008857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qFormat/>
    <w:rsid w:val="00FC7397"/>
    <w:pPr>
      <w:spacing w:before="40" w:after="40" w:line="240" w:lineRule="auto"/>
    </w:pPr>
    <w:rPr>
      <w:rFonts w:ascii="Arial Bold" w:hAnsi="Arial Bold"/>
      <w:b/>
      <w:color w:val="FFFFFF" w:themeColor="background1"/>
      <w:sz w:val="20"/>
    </w:rPr>
  </w:style>
  <w:style w:type="paragraph" w:customStyle="1" w:styleId="Tabletext">
    <w:name w:val="Table text"/>
    <w:qFormat/>
    <w:rsid w:val="00E71E61"/>
    <w:pPr>
      <w:spacing w:before="40" w:after="40" w:line="240" w:lineRule="auto"/>
    </w:pPr>
    <w:rPr>
      <w:rFonts w:ascii="Arial" w:hAnsi="Arial"/>
      <w:sz w:val="20"/>
    </w:rPr>
  </w:style>
  <w:style w:type="character" w:customStyle="1" w:styleId="Heading1Char">
    <w:name w:val="Heading 1 Char"/>
    <w:basedOn w:val="DefaultParagraphFont"/>
    <w:link w:val="Heading1"/>
    <w:uiPriority w:val="9"/>
    <w:rsid w:val="006F0E6A"/>
    <w:rPr>
      <w:rFonts w:ascii="Arial Bold" w:eastAsiaTheme="majorEastAsia" w:hAnsi="Arial Bold" w:cstheme="majorBidi"/>
      <w:b/>
      <w:color w:val="00338D"/>
      <w:sz w:val="28"/>
      <w:szCs w:val="32"/>
    </w:rPr>
  </w:style>
  <w:style w:type="paragraph" w:customStyle="1" w:styleId="BodyText1">
    <w:name w:val="Body Text1"/>
    <w:qFormat/>
    <w:rsid w:val="004D3BB4"/>
    <w:pPr>
      <w:spacing w:before="120" w:after="120" w:line="240" w:lineRule="auto"/>
    </w:pPr>
    <w:rPr>
      <w:rFonts w:ascii="Arial" w:hAnsi="Arial"/>
    </w:rPr>
  </w:style>
  <w:style w:type="paragraph" w:styleId="BodyText">
    <w:name w:val="Body Text"/>
    <w:basedOn w:val="Normal"/>
    <w:link w:val="BodyTextChar"/>
    <w:uiPriority w:val="99"/>
    <w:semiHidden/>
    <w:locked/>
    <w:rsid w:val="00CF2F20"/>
    <w:pPr>
      <w:jc w:val="both"/>
    </w:pPr>
  </w:style>
  <w:style w:type="character" w:customStyle="1" w:styleId="BodyTextChar">
    <w:name w:val="Body Text Char"/>
    <w:basedOn w:val="DefaultParagraphFont"/>
    <w:link w:val="BodyText"/>
    <w:uiPriority w:val="99"/>
    <w:semiHidden/>
    <w:rsid w:val="00CF2F20"/>
    <w:rPr>
      <w:rFonts w:ascii="Arial" w:hAnsi="Arial"/>
    </w:rPr>
  </w:style>
  <w:style w:type="paragraph" w:customStyle="1" w:styleId="Heading1Noshow">
    <w:name w:val="Heading 1_No show"/>
    <w:qFormat/>
    <w:rsid w:val="0061570B"/>
    <w:pPr>
      <w:keepNext/>
      <w:spacing w:before="240" w:after="240" w:line="240" w:lineRule="auto"/>
    </w:pPr>
    <w:rPr>
      <w:rFonts w:ascii="Arial Bold" w:eastAsiaTheme="majorEastAsia" w:hAnsi="Arial Bold" w:cstheme="majorBidi"/>
      <w:b/>
      <w:color w:val="00338D"/>
      <w:sz w:val="28"/>
      <w:szCs w:val="32"/>
    </w:rPr>
  </w:style>
  <w:style w:type="character" w:customStyle="1" w:styleId="Heading2Char">
    <w:name w:val="Heading 2 Char"/>
    <w:basedOn w:val="DefaultParagraphFont"/>
    <w:link w:val="Heading2"/>
    <w:uiPriority w:val="9"/>
    <w:rsid w:val="004D3BB4"/>
    <w:rPr>
      <w:rFonts w:ascii="Arial Bold" w:eastAsiaTheme="majorEastAsia" w:hAnsi="Arial Bold" w:cstheme="majorBidi"/>
      <w:b/>
      <w:color w:val="00338D"/>
      <w:sz w:val="24"/>
      <w:szCs w:val="26"/>
    </w:rPr>
  </w:style>
  <w:style w:type="paragraph" w:styleId="TOC1">
    <w:name w:val="toc 1"/>
    <w:basedOn w:val="Normal"/>
    <w:next w:val="Normal"/>
    <w:autoRedefine/>
    <w:uiPriority w:val="39"/>
    <w:unhideWhenUsed/>
    <w:rsid w:val="00435229"/>
    <w:pPr>
      <w:tabs>
        <w:tab w:val="left" w:pos="425"/>
        <w:tab w:val="right" w:leader="dot" w:pos="8505"/>
      </w:tabs>
      <w:ind w:left="425" w:hanging="425"/>
    </w:pPr>
    <w:rPr>
      <w:noProof/>
    </w:rPr>
  </w:style>
  <w:style w:type="character" w:customStyle="1" w:styleId="Heading3Char">
    <w:name w:val="Heading 3 Char"/>
    <w:basedOn w:val="DefaultParagraphFont"/>
    <w:link w:val="Heading3"/>
    <w:uiPriority w:val="9"/>
    <w:rsid w:val="0061570B"/>
    <w:rPr>
      <w:rFonts w:ascii="Arial Bold" w:eastAsiaTheme="majorEastAsia" w:hAnsi="Arial Bold" w:cstheme="majorBidi"/>
      <w:b/>
      <w:i/>
      <w:color w:val="0091DA" w:themeColor="accent2"/>
      <w:sz w:val="24"/>
      <w:szCs w:val="24"/>
    </w:rPr>
  </w:style>
  <w:style w:type="character" w:styleId="Hyperlink">
    <w:name w:val="Hyperlink"/>
    <w:basedOn w:val="DefaultParagraphFont"/>
    <w:uiPriority w:val="99"/>
    <w:unhideWhenUsed/>
    <w:rsid w:val="00DD4007"/>
    <w:rPr>
      <w:rFonts w:ascii="Arial" w:hAnsi="Arial"/>
      <w:color w:val="auto"/>
      <w:u w:val="single"/>
    </w:rPr>
  </w:style>
  <w:style w:type="paragraph" w:styleId="Header">
    <w:name w:val="header"/>
    <w:basedOn w:val="Normal"/>
    <w:link w:val="HeaderChar"/>
    <w:uiPriority w:val="99"/>
    <w:unhideWhenUsed/>
    <w:rsid w:val="008C0951"/>
    <w:pPr>
      <w:tabs>
        <w:tab w:val="center" w:pos="4513"/>
        <w:tab w:val="right" w:pos="9026"/>
      </w:tabs>
      <w:spacing w:before="0" w:after="0"/>
      <w:jc w:val="right"/>
    </w:pPr>
    <w:rPr>
      <w:i/>
      <w:sz w:val="16"/>
    </w:rPr>
  </w:style>
  <w:style w:type="character" w:customStyle="1" w:styleId="HeaderChar">
    <w:name w:val="Header Char"/>
    <w:basedOn w:val="DefaultParagraphFont"/>
    <w:link w:val="Header"/>
    <w:uiPriority w:val="99"/>
    <w:rsid w:val="008C0951"/>
    <w:rPr>
      <w:rFonts w:ascii="Arial" w:hAnsi="Arial"/>
      <w:i/>
      <w:sz w:val="16"/>
    </w:rPr>
  </w:style>
  <w:style w:type="paragraph" w:styleId="Footer">
    <w:name w:val="footer"/>
    <w:basedOn w:val="Normal"/>
    <w:link w:val="FooterChar"/>
    <w:uiPriority w:val="99"/>
    <w:unhideWhenUsed/>
    <w:rsid w:val="007E1AC8"/>
    <w:pPr>
      <w:tabs>
        <w:tab w:val="center" w:pos="4513"/>
        <w:tab w:val="right" w:pos="9026"/>
      </w:tabs>
      <w:spacing w:after="0"/>
      <w:jc w:val="center"/>
    </w:pPr>
    <w:rPr>
      <w:color w:val="808080" w:themeColor="background1" w:themeShade="80"/>
      <w:sz w:val="12"/>
    </w:rPr>
  </w:style>
  <w:style w:type="character" w:customStyle="1" w:styleId="FooterChar">
    <w:name w:val="Footer Char"/>
    <w:basedOn w:val="DefaultParagraphFont"/>
    <w:link w:val="Footer"/>
    <w:uiPriority w:val="99"/>
    <w:rsid w:val="007E23D9"/>
    <w:rPr>
      <w:rFonts w:ascii="Arial" w:hAnsi="Arial"/>
      <w:color w:val="808080" w:themeColor="background1" w:themeShade="80"/>
      <w:sz w:val="12"/>
    </w:rPr>
  </w:style>
  <w:style w:type="paragraph" w:customStyle="1" w:styleId="CVname">
    <w:name w:val="CV name"/>
    <w:qFormat/>
    <w:rsid w:val="008B1B1E"/>
    <w:pPr>
      <w:spacing w:after="80" w:line="240" w:lineRule="auto"/>
    </w:pPr>
    <w:rPr>
      <w:rFonts w:ascii="Univers 45 Light" w:hAnsi="Univers 45 Light"/>
      <w:color w:val="00338D"/>
      <w:sz w:val="28"/>
    </w:rPr>
  </w:style>
  <w:style w:type="paragraph" w:customStyle="1" w:styleId="CVtitle">
    <w:name w:val="CV title"/>
    <w:qFormat/>
    <w:rsid w:val="00F32E04"/>
    <w:pPr>
      <w:spacing w:line="240" w:lineRule="auto"/>
    </w:pPr>
    <w:rPr>
      <w:rFonts w:ascii="Univers 45 Light" w:hAnsi="Univers 45 Light"/>
      <w:color w:val="00338D" w:themeColor="background2"/>
      <w:sz w:val="24"/>
    </w:rPr>
  </w:style>
  <w:style w:type="paragraph" w:customStyle="1" w:styleId="CVdetail">
    <w:name w:val="CV detail"/>
    <w:qFormat/>
    <w:rsid w:val="008B1B1E"/>
    <w:pPr>
      <w:spacing w:before="120" w:after="0" w:line="240" w:lineRule="auto"/>
    </w:pPr>
    <w:rPr>
      <w:rFonts w:ascii="Univers 45 Light" w:hAnsi="Univers 45 Light"/>
      <w:color w:val="00338D"/>
      <w:sz w:val="20"/>
    </w:rPr>
  </w:style>
  <w:style w:type="paragraph" w:customStyle="1" w:styleId="CVheader">
    <w:name w:val="CV header"/>
    <w:qFormat/>
    <w:rsid w:val="004D0067"/>
    <w:pPr>
      <w:spacing w:before="240" w:after="120" w:line="240" w:lineRule="auto"/>
    </w:pPr>
    <w:rPr>
      <w:rFonts w:ascii="Univers 45 Light" w:hAnsi="Univers 45 Light"/>
      <w:b/>
      <w:color w:val="00338D"/>
      <w:sz w:val="20"/>
    </w:rPr>
  </w:style>
  <w:style w:type="paragraph" w:customStyle="1" w:styleId="CVtext">
    <w:name w:val="CV text"/>
    <w:qFormat/>
    <w:rsid w:val="0024699F"/>
    <w:pPr>
      <w:spacing w:before="120" w:after="120" w:line="280" w:lineRule="exact"/>
    </w:pPr>
    <w:rPr>
      <w:rFonts w:ascii="Univers 45 Light" w:hAnsi="Univers 45 Light"/>
      <w:sz w:val="20"/>
    </w:rPr>
  </w:style>
  <w:style w:type="character" w:customStyle="1" w:styleId="Heading4Char">
    <w:name w:val="Heading 4 Char"/>
    <w:basedOn w:val="DefaultParagraphFont"/>
    <w:link w:val="Heading4"/>
    <w:uiPriority w:val="9"/>
    <w:rsid w:val="00A41CBD"/>
    <w:rPr>
      <w:rFonts w:ascii="Arial" w:eastAsiaTheme="majorEastAsia" w:hAnsi="Arial" w:cstheme="majorBidi"/>
      <w:b/>
      <w:iCs/>
      <w:color w:val="00338D" w:themeColor="background2"/>
      <w:sz w:val="24"/>
    </w:rPr>
  </w:style>
  <w:style w:type="character" w:customStyle="1" w:styleId="Heading5Char">
    <w:name w:val="Heading 5 Char"/>
    <w:basedOn w:val="DefaultParagraphFont"/>
    <w:link w:val="Heading5"/>
    <w:uiPriority w:val="9"/>
    <w:rsid w:val="00D51D8A"/>
    <w:rPr>
      <w:rFonts w:ascii="Arial Bold" w:hAnsi="Arial Bold"/>
      <w:b/>
    </w:rPr>
  </w:style>
  <w:style w:type="character" w:customStyle="1" w:styleId="Heading6Char">
    <w:name w:val="Heading 6 Char"/>
    <w:basedOn w:val="DefaultParagraphFont"/>
    <w:link w:val="Heading6"/>
    <w:uiPriority w:val="9"/>
    <w:rsid w:val="00B55C06"/>
    <w:rPr>
      <w:rFonts w:ascii="Arial Bold" w:eastAsiaTheme="majorEastAsia" w:hAnsi="Arial Bold" w:cstheme="majorBidi"/>
      <w:b/>
      <w:iCs/>
      <w:color w:val="00338D" w:themeColor="background2"/>
      <w:szCs w:val="20"/>
      <w:lang w:eastAsia="en-AU"/>
    </w:rPr>
  </w:style>
  <w:style w:type="paragraph" w:customStyle="1" w:styleId="Bullet1stlevel">
    <w:name w:val="Bullet 1st level"/>
    <w:basedOn w:val="BodyText1"/>
    <w:qFormat/>
    <w:rsid w:val="00985F25"/>
    <w:pPr>
      <w:numPr>
        <w:numId w:val="1"/>
      </w:numPr>
    </w:pPr>
  </w:style>
  <w:style w:type="paragraph" w:customStyle="1" w:styleId="Bullet2ndlevel">
    <w:name w:val="Bullet 2nd level"/>
    <w:basedOn w:val="BodyText1"/>
    <w:qFormat/>
    <w:rsid w:val="00642722"/>
    <w:pPr>
      <w:numPr>
        <w:numId w:val="2"/>
      </w:numPr>
      <w:tabs>
        <w:tab w:val="clear" w:pos="340"/>
      </w:tabs>
      <w:spacing w:after="60"/>
      <w:ind w:left="624" w:hanging="284"/>
    </w:pPr>
  </w:style>
  <w:style w:type="paragraph" w:customStyle="1" w:styleId="Bullet3rdlevel">
    <w:name w:val="Bullet 3rd level"/>
    <w:basedOn w:val="BodyText1"/>
    <w:qFormat/>
    <w:rsid w:val="00642722"/>
    <w:pPr>
      <w:numPr>
        <w:numId w:val="3"/>
      </w:numPr>
      <w:tabs>
        <w:tab w:val="clear" w:pos="340"/>
        <w:tab w:val="num" w:pos="993"/>
      </w:tabs>
      <w:spacing w:before="40"/>
      <w:ind w:left="908" w:hanging="284"/>
    </w:pPr>
  </w:style>
  <w:style w:type="paragraph" w:customStyle="1" w:styleId="Numberbullet1stlevel">
    <w:name w:val="Number bullet 1st level"/>
    <w:basedOn w:val="BodyText1"/>
    <w:qFormat/>
    <w:rsid w:val="007316D0"/>
    <w:pPr>
      <w:numPr>
        <w:numId w:val="4"/>
      </w:numPr>
    </w:pPr>
  </w:style>
  <w:style w:type="paragraph" w:customStyle="1" w:styleId="Numberbullet2ndlevel">
    <w:name w:val="Number bullet 2nd level"/>
    <w:basedOn w:val="BodyText1"/>
    <w:qFormat/>
    <w:rsid w:val="00C556A3"/>
    <w:pPr>
      <w:numPr>
        <w:numId w:val="5"/>
      </w:numPr>
      <w:ind w:left="680" w:hanging="340"/>
    </w:pPr>
  </w:style>
  <w:style w:type="paragraph" w:customStyle="1" w:styleId="CVbullet1">
    <w:name w:val="CV bullet 1"/>
    <w:basedOn w:val="BodyText1"/>
    <w:qFormat/>
    <w:rsid w:val="00F32E04"/>
    <w:pPr>
      <w:numPr>
        <w:numId w:val="6"/>
      </w:numPr>
      <w:ind w:left="340" w:hanging="340"/>
    </w:pPr>
  </w:style>
  <w:style w:type="paragraph" w:customStyle="1" w:styleId="CVbullet2">
    <w:name w:val="CV bullet 2"/>
    <w:basedOn w:val="BodyText1"/>
    <w:qFormat/>
    <w:rsid w:val="002360FF"/>
    <w:pPr>
      <w:numPr>
        <w:numId w:val="7"/>
      </w:numPr>
      <w:spacing w:before="40"/>
      <w:ind w:left="714" w:hanging="357"/>
    </w:pPr>
  </w:style>
  <w:style w:type="paragraph" w:customStyle="1" w:styleId="Heading2option2">
    <w:name w:val="Heading 2_option 2"/>
    <w:basedOn w:val="Heading2"/>
    <w:qFormat/>
    <w:rsid w:val="0071185C"/>
    <w:pPr>
      <w:spacing w:before="0" w:after="360"/>
    </w:pPr>
  </w:style>
  <w:style w:type="paragraph" w:customStyle="1" w:styleId="Heading1Option2">
    <w:name w:val="Heading 1_Option 2"/>
    <w:basedOn w:val="Heading1"/>
    <w:qFormat/>
    <w:rsid w:val="00863105"/>
    <w:pPr>
      <w:spacing w:after="360"/>
    </w:pPr>
  </w:style>
  <w:style w:type="character" w:customStyle="1" w:styleId="White">
    <w:name w:val="White"/>
    <w:basedOn w:val="DefaultParagraphFont"/>
    <w:uiPriority w:val="1"/>
    <w:qFormat/>
    <w:rsid w:val="002D014E"/>
    <w:rPr>
      <w:color w:val="FFFFFF" w:themeColor="background1"/>
    </w:rPr>
  </w:style>
  <w:style w:type="paragraph" w:styleId="Quote">
    <w:name w:val="Quote"/>
    <w:basedOn w:val="Normal"/>
    <w:next w:val="Normal"/>
    <w:link w:val="QuoteChar"/>
    <w:uiPriority w:val="29"/>
    <w:qFormat/>
    <w:rsid w:val="00821FAB"/>
    <w:pPr>
      <w:spacing w:after="360" w:line="520" w:lineRule="exact"/>
    </w:pPr>
    <w:rPr>
      <w:rFonts w:ascii="KPMG Light" w:hAnsi="KPMG Light"/>
      <w:iCs/>
      <w:color w:val="005EB8" w:themeColor="accent1"/>
      <w:sz w:val="44"/>
    </w:rPr>
  </w:style>
  <w:style w:type="character" w:customStyle="1" w:styleId="QuoteChar">
    <w:name w:val="Quote Char"/>
    <w:basedOn w:val="DefaultParagraphFont"/>
    <w:link w:val="Quote"/>
    <w:uiPriority w:val="29"/>
    <w:rsid w:val="00821FAB"/>
    <w:rPr>
      <w:rFonts w:ascii="KPMG Light" w:hAnsi="KPMG Light"/>
      <w:iCs/>
      <w:color w:val="005EB8" w:themeColor="accent1"/>
      <w:sz w:val="44"/>
    </w:rPr>
  </w:style>
  <w:style w:type="paragraph" w:customStyle="1" w:styleId="Introduction">
    <w:name w:val="Introduction"/>
    <w:basedOn w:val="Quote"/>
    <w:qFormat/>
    <w:rsid w:val="00F455AD"/>
  </w:style>
  <w:style w:type="paragraph" w:customStyle="1" w:styleId="Letterhead">
    <w:name w:val="Letterhead"/>
    <w:rsid w:val="00826506"/>
    <w:pPr>
      <w:spacing w:after="0" w:line="160" w:lineRule="atLeast"/>
    </w:pPr>
    <w:rPr>
      <w:rFonts w:eastAsia="Batang" w:cs="Arial"/>
      <w:sz w:val="12"/>
      <w:szCs w:val="12"/>
      <w:lang w:val="en-GB" w:eastAsia="ko-KR"/>
    </w:rPr>
  </w:style>
  <w:style w:type="paragraph" w:customStyle="1" w:styleId="Letterheadaddress">
    <w:name w:val="Letterhead address"/>
    <w:basedOn w:val="BodyText1"/>
    <w:qFormat/>
    <w:rsid w:val="00DE7225"/>
    <w:pPr>
      <w:spacing w:before="20" w:after="20"/>
      <w:ind w:left="142"/>
    </w:pPr>
  </w:style>
  <w:style w:type="paragraph" w:customStyle="1" w:styleId="Contactus">
    <w:name w:val="Contact us"/>
    <w:basedOn w:val="BodyText1"/>
    <w:qFormat/>
    <w:rsid w:val="006C6D5E"/>
    <w:pPr>
      <w:spacing w:after="480"/>
    </w:pPr>
    <w:rPr>
      <w:b/>
      <w:color w:val="00338D" w:themeColor="background2"/>
      <w:sz w:val="42"/>
    </w:rPr>
  </w:style>
  <w:style w:type="paragraph" w:customStyle="1" w:styleId="backcoverdetails">
    <w:name w:val="back cover details"/>
    <w:basedOn w:val="BodyText1"/>
    <w:qFormat/>
    <w:rsid w:val="00A506E6"/>
    <w:pPr>
      <w:spacing w:before="0" w:after="0"/>
    </w:pPr>
  </w:style>
  <w:style w:type="paragraph" w:styleId="IntenseQuote">
    <w:name w:val="Intense Quote"/>
    <w:basedOn w:val="Normal"/>
    <w:next w:val="Normal"/>
    <w:link w:val="IntenseQuoteChar"/>
    <w:uiPriority w:val="30"/>
    <w:qFormat/>
    <w:rsid w:val="00BA4108"/>
    <w:pPr>
      <w:pBdr>
        <w:top w:val="single" w:sz="4" w:space="10" w:color="005EB8" w:themeColor="accent1"/>
        <w:bottom w:val="single" w:sz="4" w:space="10" w:color="005EB8" w:themeColor="accent1"/>
      </w:pBdr>
      <w:spacing w:before="360" w:after="360"/>
    </w:pPr>
    <w:rPr>
      <w:rFonts w:ascii="Univers 45 Light" w:hAnsi="Univers 45 Light"/>
      <w:i/>
      <w:iCs/>
      <w:color w:val="005EB8" w:themeColor="accent1"/>
    </w:rPr>
  </w:style>
  <w:style w:type="character" w:customStyle="1" w:styleId="IntenseQuoteChar">
    <w:name w:val="Intense Quote Char"/>
    <w:basedOn w:val="DefaultParagraphFont"/>
    <w:link w:val="IntenseQuote"/>
    <w:uiPriority w:val="30"/>
    <w:rsid w:val="00BA4108"/>
    <w:rPr>
      <w:rFonts w:ascii="Univers 45 Light" w:hAnsi="Univers 45 Light"/>
      <w:i/>
      <w:iCs/>
      <w:color w:val="005EB8" w:themeColor="accent1"/>
    </w:rPr>
  </w:style>
  <w:style w:type="character" w:styleId="SubtleReference">
    <w:name w:val="Subtle Reference"/>
    <w:basedOn w:val="DefaultParagraphFont"/>
    <w:uiPriority w:val="31"/>
    <w:qFormat/>
    <w:rsid w:val="00BA4108"/>
    <w:rPr>
      <w:rFonts w:ascii="KPMG Light" w:hAnsi="KPMG Light"/>
      <w:smallCaps/>
      <w:color w:val="5A5A5A" w:themeColor="text1" w:themeTint="A5"/>
      <w:sz w:val="44"/>
    </w:rPr>
  </w:style>
  <w:style w:type="character" w:styleId="IntenseReference">
    <w:name w:val="Intense Reference"/>
    <w:basedOn w:val="DefaultParagraphFont"/>
    <w:uiPriority w:val="32"/>
    <w:qFormat/>
    <w:rsid w:val="00BA4108"/>
    <w:rPr>
      <w:rFonts w:ascii="KPMG Light" w:hAnsi="KPMG Light"/>
      <w:b/>
      <w:bCs/>
      <w:smallCaps/>
      <w:color w:val="005EB8" w:themeColor="accent1"/>
      <w:spacing w:val="5"/>
      <w:sz w:val="44"/>
    </w:rPr>
  </w:style>
  <w:style w:type="character" w:styleId="Strong">
    <w:name w:val="Strong"/>
    <w:basedOn w:val="DefaultParagraphFont"/>
    <w:uiPriority w:val="22"/>
    <w:qFormat/>
    <w:rsid w:val="00DE7225"/>
    <w:rPr>
      <w:b/>
      <w:bCs/>
    </w:rPr>
  </w:style>
  <w:style w:type="paragraph" w:styleId="BalloonText">
    <w:name w:val="Balloon Text"/>
    <w:basedOn w:val="Normal"/>
    <w:link w:val="BalloonTextChar"/>
    <w:uiPriority w:val="99"/>
    <w:semiHidden/>
    <w:unhideWhenUsed/>
    <w:rsid w:val="006C6D5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6D5E"/>
    <w:rPr>
      <w:rFonts w:ascii="Segoe UI" w:hAnsi="Segoe UI" w:cs="Segoe UI"/>
      <w:sz w:val="18"/>
      <w:szCs w:val="18"/>
    </w:rPr>
  </w:style>
  <w:style w:type="paragraph" w:customStyle="1" w:styleId="IntroText">
    <w:name w:val="Intro Text"/>
    <w:basedOn w:val="Normal"/>
    <w:qFormat/>
    <w:rsid w:val="00037B63"/>
    <w:pPr>
      <w:spacing w:line="380" w:lineRule="exact"/>
    </w:pPr>
    <w:rPr>
      <w:rFonts w:ascii="Univers 45 Light" w:hAnsi="Univers 45 Light" w:cstheme="majorBidi"/>
      <w:color w:val="0091DA" w:themeColor="accent2"/>
      <w:sz w:val="32"/>
      <w:szCs w:val="26"/>
    </w:rPr>
  </w:style>
  <w:style w:type="paragraph" w:customStyle="1" w:styleId="Classification">
    <w:name w:val="Classification"/>
    <w:basedOn w:val="Footer"/>
    <w:qFormat/>
    <w:rsid w:val="008F5357"/>
    <w:pPr>
      <w:spacing w:before="60"/>
      <w:jc w:val="left"/>
    </w:pPr>
  </w:style>
  <w:style w:type="paragraph" w:customStyle="1" w:styleId="TableBullet1stlevel">
    <w:name w:val="Table Bullet 1st level"/>
    <w:basedOn w:val="Tabletext"/>
    <w:qFormat/>
    <w:rsid w:val="00C556A3"/>
    <w:pPr>
      <w:numPr>
        <w:numId w:val="8"/>
      </w:numPr>
      <w:ind w:left="340" w:hanging="340"/>
    </w:pPr>
  </w:style>
  <w:style w:type="paragraph" w:customStyle="1" w:styleId="TableBullet2ndlevel">
    <w:name w:val="Table Bullet 2nd level"/>
    <w:basedOn w:val="TableBullet1stlevel"/>
    <w:qFormat/>
    <w:rsid w:val="00A52320"/>
    <w:pPr>
      <w:numPr>
        <w:numId w:val="9"/>
      </w:numPr>
      <w:ind w:left="680" w:hanging="340"/>
    </w:pPr>
  </w:style>
  <w:style w:type="paragraph" w:styleId="ListParagraph">
    <w:name w:val="List Paragraph"/>
    <w:aliases w:val="Bullet Level 1"/>
    <w:basedOn w:val="Normal"/>
    <w:link w:val="ListParagraphChar"/>
    <w:uiPriority w:val="34"/>
    <w:qFormat/>
    <w:rsid w:val="00B56C3F"/>
    <w:pPr>
      <w:ind w:left="720"/>
      <w:contextualSpacing/>
    </w:pPr>
  </w:style>
  <w:style w:type="character" w:styleId="CommentReference">
    <w:name w:val="annotation reference"/>
    <w:basedOn w:val="DefaultParagraphFont"/>
    <w:uiPriority w:val="99"/>
    <w:semiHidden/>
    <w:unhideWhenUsed/>
    <w:rsid w:val="005A20B6"/>
    <w:rPr>
      <w:sz w:val="16"/>
      <w:szCs w:val="16"/>
    </w:rPr>
  </w:style>
  <w:style w:type="paragraph" w:styleId="CommentText">
    <w:name w:val="annotation text"/>
    <w:basedOn w:val="Normal"/>
    <w:link w:val="CommentTextChar"/>
    <w:unhideWhenUsed/>
    <w:rsid w:val="005A20B6"/>
    <w:rPr>
      <w:sz w:val="20"/>
      <w:szCs w:val="20"/>
    </w:rPr>
  </w:style>
  <w:style w:type="character" w:customStyle="1" w:styleId="CommentTextChar">
    <w:name w:val="Comment Text Char"/>
    <w:basedOn w:val="DefaultParagraphFont"/>
    <w:link w:val="CommentText"/>
    <w:rsid w:val="005A20B6"/>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A20B6"/>
    <w:rPr>
      <w:b/>
      <w:bCs/>
    </w:rPr>
  </w:style>
  <w:style w:type="character" w:customStyle="1" w:styleId="CommentSubjectChar">
    <w:name w:val="Comment Subject Char"/>
    <w:basedOn w:val="CommentTextChar"/>
    <w:link w:val="CommentSubject"/>
    <w:uiPriority w:val="99"/>
    <w:semiHidden/>
    <w:rsid w:val="005A20B6"/>
    <w:rPr>
      <w:rFonts w:ascii="Arial" w:hAnsi="Arial"/>
      <w:b/>
      <w:bCs/>
      <w:sz w:val="20"/>
      <w:szCs w:val="20"/>
    </w:rPr>
  </w:style>
  <w:style w:type="paragraph" w:styleId="NormalWeb">
    <w:name w:val="Normal (Web)"/>
    <w:basedOn w:val="Normal"/>
    <w:uiPriority w:val="99"/>
    <w:unhideWhenUsed/>
    <w:rsid w:val="008E510A"/>
    <w:pPr>
      <w:spacing w:before="100" w:beforeAutospacing="1" w:after="100" w:afterAutospacing="1"/>
    </w:pPr>
    <w:rPr>
      <w:rFonts w:ascii="Times New Roman" w:eastAsia="Times New Roman" w:hAnsi="Times New Roman" w:cs="Times New Roman"/>
      <w:sz w:val="24"/>
      <w:szCs w:val="24"/>
      <w:lang w:eastAsia="en-AU"/>
    </w:rPr>
  </w:style>
  <w:style w:type="paragraph" w:styleId="Caption">
    <w:name w:val="caption"/>
    <w:basedOn w:val="Normal"/>
    <w:next w:val="Normal"/>
    <w:link w:val="CaptionChar"/>
    <w:uiPriority w:val="35"/>
    <w:unhideWhenUsed/>
    <w:qFormat/>
    <w:rsid w:val="0013207F"/>
    <w:pPr>
      <w:keepNext/>
    </w:pPr>
    <w:rPr>
      <w:iCs/>
      <w:sz w:val="20"/>
      <w:szCs w:val="16"/>
    </w:rPr>
  </w:style>
  <w:style w:type="character" w:customStyle="1" w:styleId="ListBulletChar">
    <w:name w:val="List Bullet Char"/>
    <w:aliases w:val="l Char,list no space after Char,(NECG) List Bullet Char,*List Bullet Char,lb Char,l1 Char,List Bullet 1 Char,List Bullet Char2 Char,List Bullet Char1 Char Char,List Bullet Char Char Char1 Char,List Bullet Char Char1 Char,l11 Char"/>
    <w:basedOn w:val="DefaultParagraphFont"/>
    <w:link w:val="ListBullet"/>
    <w:locked/>
    <w:rsid w:val="004D3BB4"/>
    <w:rPr>
      <w:rFonts w:ascii="Arial" w:hAnsi="Arial" w:cs="Calibri"/>
      <w:color w:val="000000"/>
    </w:rPr>
  </w:style>
  <w:style w:type="paragraph" w:styleId="ListBullet">
    <w:name w:val="List Bullet"/>
    <w:aliases w:val="l,list no space after,(NECG) List Bullet,*List Bullet,lb,l1,List Bullet 1,List Bullet Char2,List Bullet Char1 Char,List Bullet Char Char Char1,List Bullet Char Char1,List Bullet Char2 Char Char,List Bullet Char Char Char Char,l11,UL"/>
    <w:basedOn w:val="BodyText"/>
    <w:link w:val="ListBulletChar"/>
    <w:unhideWhenUsed/>
    <w:qFormat/>
    <w:rsid w:val="004D3BB4"/>
    <w:pPr>
      <w:numPr>
        <w:numId w:val="20"/>
      </w:numPr>
    </w:pPr>
    <w:rPr>
      <w:rFonts w:cs="Calibri"/>
      <w:color w:val="000000"/>
    </w:rPr>
  </w:style>
  <w:style w:type="character" w:customStyle="1" w:styleId="CaptionChar">
    <w:name w:val="Caption Char"/>
    <w:link w:val="Caption"/>
    <w:uiPriority w:val="35"/>
    <w:locked/>
    <w:rsid w:val="00AF2DD5"/>
    <w:rPr>
      <w:rFonts w:ascii="Arial" w:hAnsi="Arial"/>
      <w:iCs/>
      <w:sz w:val="20"/>
      <w:szCs w:val="16"/>
    </w:rPr>
  </w:style>
  <w:style w:type="table" w:customStyle="1" w:styleId="ListTable4-Accent11">
    <w:name w:val="List Table 4 - Accent 11"/>
    <w:basedOn w:val="TableNormal"/>
    <w:uiPriority w:val="49"/>
    <w:rsid w:val="004553A1"/>
    <w:pPr>
      <w:spacing w:after="0" w:line="240" w:lineRule="auto"/>
    </w:pPr>
    <w:rPr>
      <w:rFonts w:ascii="Times New Roman" w:eastAsia="Times New Roman" w:hAnsi="Times New Roman" w:cs="Times New Roman"/>
      <w:sz w:val="20"/>
      <w:szCs w:val="20"/>
      <w:lang w:eastAsia="en-AU"/>
    </w:rPr>
    <w:tblPr>
      <w:tblStyleRowBandSize w:val="1"/>
      <w:tblStyleColBandSize w:val="1"/>
      <w:tblInd w:w="0" w:type="nil"/>
      <w:tblBorders>
        <w:top w:val="single" w:sz="4" w:space="0" w:color="3B9FFF" w:themeColor="accent1" w:themeTint="99"/>
        <w:left w:val="single" w:sz="4" w:space="0" w:color="3B9FFF" w:themeColor="accent1" w:themeTint="99"/>
        <w:bottom w:val="single" w:sz="4" w:space="0" w:color="3B9FFF" w:themeColor="accent1" w:themeTint="99"/>
        <w:right w:val="single" w:sz="4" w:space="0" w:color="3B9FFF" w:themeColor="accent1" w:themeTint="99"/>
        <w:insideH w:val="single" w:sz="4" w:space="0" w:color="3B9FFF" w:themeColor="accent1" w:themeTint="99"/>
      </w:tblBorders>
    </w:tblPr>
    <w:tblStylePr w:type="firstRow">
      <w:rPr>
        <w:b/>
        <w:bCs/>
        <w:color w:val="FFFFFF" w:themeColor="background1"/>
      </w:rPr>
      <w:tblPr/>
      <w:tcPr>
        <w:tcBorders>
          <w:top w:val="single" w:sz="4" w:space="0" w:color="005EB8" w:themeColor="accent1"/>
          <w:left w:val="single" w:sz="4" w:space="0" w:color="005EB8" w:themeColor="accent1"/>
          <w:bottom w:val="single" w:sz="4" w:space="0" w:color="005EB8" w:themeColor="accent1"/>
          <w:right w:val="single" w:sz="4" w:space="0" w:color="005EB8" w:themeColor="accent1"/>
          <w:insideH w:val="nil"/>
        </w:tcBorders>
        <w:shd w:val="clear" w:color="auto" w:fill="005EB8" w:themeFill="accent1"/>
      </w:tcPr>
    </w:tblStylePr>
    <w:tblStylePr w:type="lastRow">
      <w:rPr>
        <w:b/>
        <w:bCs/>
      </w:rPr>
      <w:tblPr/>
      <w:tcPr>
        <w:tcBorders>
          <w:top w:val="double" w:sz="4" w:space="0" w:color="3B9FFF" w:themeColor="accent1" w:themeTint="99"/>
        </w:tcBorders>
      </w:tcPr>
    </w:tblStylePr>
    <w:tblStylePr w:type="firstCol">
      <w:rPr>
        <w:b/>
        <w:bCs/>
      </w:rPr>
    </w:tblStylePr>
    <w:tblStylePr w:type="lastCol">
      <w:rPr>
        <w:b/>
        <w:bCs/>
      </w:rPr>
    </w:tblStylePr>
    <w:tblStylePr w:type="band1Vert">
      <w:tblPr/>
      <w:tcPr>
        <w:shd w:val="clear" w:color="auto" w:fill="BDDEFF" w:themeFill="accent1" w:themeFillTint="33"/>
      </w:tcPr>
    </w:tblStylePr>
  </w:style>
  <w:style w:type="table" w:customStyle="1" w:styleId="GridTable4-Accent11">
    <w:name w:val="Grid Table 4 - Accent 11"/>
    <w:basedOn w:val="TableNormal"/>
    <w:uiPriority w:val="49"/>
    <w:rsid w:val="002D3D82"/>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3B9FFF" w:themeColor="accent1" w:themeTint="99"/>
        <w:left w:val="single" w:sz="4" w:space="0" w:color="3B9FFF" w:themeColor="accent1" w:themeTint="99"/>
        <w:bottom w:val="single" w:sz="4" w:space="0" w:color="3B9FFF" w:themeColor="accent1" w:themeTint="99"/>
        <w:right w:val="single" w:sz="4" w:space="0" w:color="3B9FFF" w:themeColor="accent1" w:themeTint="99"/>
        <w:insideH w:val="single" w:sz="4" w:space="0" w:color="3B9FFF" w:themeColor="accent1" w:themeTint="99"/>
        <w:insideV w:val="single" w:sz="4" w:space="0" w:color="3B9FFF" w:themeColor="accent1" w:themeTint="99"/>
      </w:tblBorders>
    </w:tblPr>
    <w:tblStylePr w:type="firstRow">
      <w:rPr>
        <w:b/>
        <w:bCs/>
        <w:color w:val="FFFFFF" w:themeColor="background1"/>
      </w:rPr>
      <w:tblPr/>
      <w:tcPr>
        <w:tcBorders>
          <w:top w:val="single" w:sz="4" w:space="0" w:color="005EB8" w:themeColor="accent1"/>
          <w:left w:val="single" w:sz="4" w:space="0" w:color="005EB8" w:themeColor="accent1"/>
          <w:bottom w:val="single" w:sz="4" w:space="0" w:color="005EB8" w:themeColor="accent1"/>
          <w:right w:val="single" w:sz="4" w:space="0" w:color="005EB8" w:themeColor="accent1"/>
          <w:insideH w:val="nil"/>
          <w:insideV w:val="nil"/>
        </w:tcBorders>
        <w:shd w:val="clear" w:color="auto" w:fill="005EB8" w:themeFill="accent1"/>
      </w:tcPr>
    </w:tblStylePr>
    <w:tblStylePr w:type="lastRow">
      <w:rPr>
        <w:b/>
        <w:bCs/>
      </w:rPr>
      <w:tblPr/>
      <w:tcPr>
        <w:tcBorders>
          <w:top w:val="double" w:sz="4" w:space="0" w:color="005EB8" w:themeColor="accent1"/>
        </w:tcBorders>
      </w:tcPr>
    </w:tblStylePr>
    <w:tblStylePr w:type="firstCol">
      <w:rPr>
        <w:b/>
        <w:bCs/>
      </w:rPr>
    </w:tblStylePr>
    <w:tblStylePr w:type="lastCol">
      <w:rPr>
        <w:b/>
        <w:bCs/>
      </w:rPr>
    </w:tblStylePr>
    <w:tblStylePr w:type="band1Vert">
      <w:tblPr/>
      <w:tcPr>
        <w:shd w:val="clear" w:color="auto" w:fill="BDDEFF" w:themeFill="accent1" w:themeFillTint="33"/>
      </w:tcPr>
    </w:tblStylePr>
    <w:tblStylePr w:type="band1Horz">
      <w:tblPr/>
      <w:tcPr>
        <w:shd w:val="clear" w:color="auto" w:fill="BDDEFF" w:themeFill="accent1" w:themeFillTint="33"/>
      </w:tcPr>
    </w:tblStylePr>
  </w:style>
  <w:style w:type="paragraph" w:styleId="FootnoteText">
    <w:name w:val="footnote text"/>
    <w:basedOn w:val="Normal"/>
    <w:link w:val="FootnoteTextChar"/>
    <w:uiPriority w:val="99"/>
    <w:rsid w:val="003E4CF2"/>
    <w:pPr>
      <w:spacing w:after="0" w:line="260" w:lineRule="atLeast"/>
    </w:pPr>
    <w:rPr>
      <w:rFonts w:eastAsia="Times New Roman" w:cs="Times New Roman"/>
      <w:sz w:val="18"/>
      <w:szCs w:val="20"/>
    </w:rPr>
  </w:style>
  <w:style w:type="character" w:customStyle="1" w:styleId="FootnoteTextChar">
    <w:name w:val="Footnote Text Char"/>
    <w:basedOn w:val="DefaultParagraphFont"/>
    <w:link w:val="FootnoteText"/>
    <w:uiPriority w:val="99"/>
    <w:rsid w:val="00771F26"/>
    <w:rPr>
      <w:rFonts w:ascii="Arial" w:eastAsia="Times New Roman" w:hAnsi="Arial" w:cs="Times New Roman"/>
      <w:sz w:val="18"/>
      <w:szCs w:val="20"/>
    </w:rPr>
  </w:style>
  <w:style w:type="character" w:styleId="FootnoteReference">
    <w:name w:val="footnote reference"/>
    <w:basedOn w:val="DefaultParagraphFont"/>
    <w:uiPriority w:val="99"/>
    <w:unhideWhenUsed/>
    <w:rsid w:val="00771F26"/>
    <w:rPr>
      <w:vertAlign w:val="superscript"/>
    </w:rPr>
  </w:style>
  <w:style w:type="character" w:customStyle="1" w:styleId="ListParagraphChar">
    <w:name w:val="List Paragraph Char"/>
    <w:aliases w:val="Bullet Level 1 Char"/>
    <w:basedOn w:val="DefaultParagraphFont"/>
    <w:link w:val="ListParagraph"/>
    <w:uiPriority w:val="34"/>
    <w:rsid w:val="007702FD"/>
  </w:style>
  <w:style w:type="character" w:customStyle="1" w:styleId="UnresolvedMention1">
    <w:name w:val="Unresolved Mention1"/>
    <w:basedOn w:val="DefaultParagraphFont"/>
    <w:uiPriority w:val="99"/>
    <w:unhideWhenUsed/>
    <w:rsid w:val="003F2750"/>
    <w:rPr>
      <w:color w:val="605E5C"/>
      <w:shd w:val="clear" w:color="auto" w:fill="E1DFDD"/>
    </w:rPr>
  </w:style>
  <w:style w:type="character" w:customStyle="1" w:styleId="Mention1">
    <w:name w:val="Mention1"/>
    <w:basedOn w:val="DefaultParagraphFont"/>
    <w:uiPriority w:val="99"/>
    <w:unhideWhenUsed/>
    <w:rsid w:val="003F2750"/>
    <w:rPr>
      <w:color w:val="2B579A"/>
      <w:shd w:val="clear" w:color="auto" w:fill="E1DFDD"/>
    </w:rPr>
  </w:style>
  <w:style w:type="table" w:customStyle="1" w:styleId="LightList-Accent11">
    <w:name w:val="Light List - Accent 11"/>
    <w:basedOn w:val="TableNormal"/>
    <w:uiPriority w:val="61"/>
    <w:rsid w:val="0008798F"/>
    <w:pPr>
      <w:spacing w:after="0" w:line="240" w:lineRule="auto"/>
    </w:pPr>
    <w:rPr>
      <w:rFonts w:ascii="Times New Roman" w:eastAsia="Times New Roman" w:hAnsi="Times New Roman" w:cs="Times New Roman"/>
      <w:sz w:val="20"/>
      <w:szCs w:val="20"/>
      <w:lang w:eastAsia="ja-JP"/>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ListBullet2">
    <w:name w:val="List Bullet 2"/>
    <w:basedOn w:val="BodyText"/>
    <w:qFormat/>
    <w:rsid w:val="004D3BB4"/>
    <w:pPr>
      <w:numPr>
        <w:numId w:val="11"/>
      </w:numPr>
    </w:pPr>
    <w:rPr>
      <w:rFonts w:eastAsia="Times New Roman" w:cs="Times New Roman"/>
      <w:color w:val="000000"/>
      <w:lang w:eastAsia="en-AU"/>
    </w:rPr>
  </w:style>
  <w:style w:type="paragraph" w:customStyle="1" w:styleId="HeadingLevel1NoNumber">
    <w:name w:val="HeadingLevel1NoNumber"/>
    <w:basedOn w:val="Heading1Noshow"/>
    <w:next w:val="BodyText"/>
    <w:rsid w:val="00831DC7"/>
    <w:pPr>
      <w:pageBreakBefore/>
    </w:pPr>
  </w:style>
  <w:style w:type="paragraph" w:styleId="BodyTextIndent">
    <w:name w:val="Body Text Indent"/>
    <w:basedOn w:val="Normal"/>
    <w:link w:val="BodyTextIndentChar"/>
    <w:uiPriority w:val="99"/>
    <w:semiHidden/>
    <w:locked/>
    <w:rsid w:val="004D3BB4"/>
    <w:pPr>
      <w:ind w:left="357"/>
    </w:pPr>
  </w:style>
  <w:style w:type="character" w:customStyle="1" w:styleId="BodyTextIndentChar">
    <w:name w:val="Body Text Indent Char"/>
    <w:basedOn w:val="DefaultParagraphFont"/>
    <w:link w:val="BodyTextIndent"/>
    <w:uiPriority w:val="99"/>
    <w:semiHidden/>
    <w:rsid w:val="004D3BB4"/>
    <w:rPr>
      <w:rFonts w:ascii="Arial" w:hAnsi="Arial"/>
    </w:rPr>
  </w:style>
  <w:style w:type="character" w:customStyle="1" w:styleId="Heading7Char">
    <w:name w:val="Heading 7 Char"/>
    <w:basedOn w:val="DefaultParagraphFont"/>
    <w:link w:val="Heading7"/>
    <w:uiPriority w:val="9"/>
    <w:semiHidden/>
    <w:rsid w:val="004D3BB4"/>
    <w:rPr>
      <w:rFonts w:asciiTheme="majorHAnsi" w:eastAsiaTheme="majorEastAsia" w:hAnsiTheme="majorHAnsi" w:cstheme="majorBidi"/>
      <w:i/>
      <w:iCs/>
      <w:color w:val="002E5B" w:themeColor="accent1" w:themeShade="7F"/>
    </w:rPr>
  </w:style>
  <w:style w:type="character" w:customStyle="1" w:styleId="Heading8Char">
    <w:name w:val="Heading 8 Char"/>
    <w:basedOn w:val="DefaultParagraphFont"/>
    <w:link w:val="Heading8"/>
    <w:uiPriority w:val="9"/>
    <w:semiHidden/>
    <w:rsid w:val="004D3BB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D3BB4"/>
    <w:rPr>
      <w:rFonts w:asciiTheme="majorHAnsi" w:eastAsiaTheme="majorEastAsia" w:hAnsiTheme="majorHAnsi" w:cstheme="majorBidi"/>
      <w:i/>
      <w:iCs/>
      <w:color w:val="272727" w:themeColor="text1" w:themeTint="D8"/>
      <w:sz w:val="21"/>
      <w:szCs w:val="21"/>
    </w:rPr>
  </w:style>
  <w:style w:type="paragraph" w:customStyle="1" w:styleId="BodyTextkeepwithnext">
    <w:name w:val="BodyTextkeepwithnext"/>
    <w:basedOn w:val="BodyText1"/>
    <w:qFormat/>
    <w:rsid w:val="00AA0085"/>
    <w:pPr>
      <w:keepNext/>
      <w:jc w:val="both"/>
    </w:pPr>
    <w:rPr>
      <w:szCs w:val="24"/>
    </w:rPr>
  </w:style>
  <w:style w:type="paragraph" w:customStyle="1" w:styleId="HeadingLevel2NoNumber">
    <w:name w:val="HeadingLevel2NoNumber"/>
    <w:basedOn w:val="Heading2"/>
    <w:next w:val="BodyText"/>
    <w:qFormat/>
    <w:rsid w:val="00DD4007"/>
    <w:pPr>
      <w:numPr>
        <w:ilvl w:val="0"/>
        <w:numId w:val="0"/>
      </w:numPr>
    </w:pPr>
    <w:rPr>
      <w:color w:val="0091DA" w:themeColor="accent2"/>
      <w:szCs w:val="24"/>
    </w:rPr>
  </w:style>
  <w:style w:type="paragraph" w:customStyle="1" w:styleId="HeadingLevel3NoNumber">
    <w:name w:val="HeadingLevel3NoNumber"/>
    <w:basedOn w:val="Heading3"/>
    <w:next w:val="BodyText1"/>
    <w:qFormat/>
    <w:rsid w:val="0061570B"/>
    <w:pPr>
      <w:numPr>
        <w:ilvl w:val="0"/>
        <w:numId w:val="0"/>
      </w:numPr>
    </w:pPr>
  </w:style>
  <w:style w:type="paragraph" w:styleId="Revision">
    <w:name w:val="Revision"/>
    <w:hidden/>
    <w:uiPriority w:val="99"/>
    <w:semiHidden/>
    <w:rsid w:val="00AD4029"/>
    <w:pPr>
      <w:spacing w:after="0" w:line="240" w:lineRule="auto"/>
    </w:pPr>
    <w:rPr>
      <w:rFonts w:ascii="Arial" w:hAnsi="Arial"/>
    </w:rPr>
  </w:style>
  <w:style w:type="paragraph" w:customStyle="1" w:styleId="Source">
    <w:name w:val="Source"/>
    <w:basedOn w:val="Normal"/>
    <w:qFormat/>
    <w:rsid w:val="005F2048"/>
    <w:rPr>
      <w:bCs/>
      <w:i/>
      <w:sz w:val="16"/>
      <w:szCs w:val="16"/>
    </w:rPr>
  </w:style>
  <w:style w:type="paragraph" w:customStyle="1" w:styleId="copyright">
    <w:name w:val="copyright"/>
    <w:basedOn w:val="Normal"/>
    <w:qFormat/>
    <w:rsid w:val="00771555"/>
    <w:pPr>
      <w:spacing w:before="0" w:after="0"/>
    </w:pPr>
    <w:rPr>
      <w:rFonts w:eastAsia="Calibri" w:cs="Arial"/>
      <w:color w:val="808080" w:themeColor="background1" w:themeShade="80"/>
      <w:sz w:val="16"/>
      <w:szCs w:val="16"/>
    </w:rPr>
  </w:style>
  <w:style w:type="paragraph" w:styleId="TOC2">
    <w:name w:val="toc 2"/>
    <w:basedOn w:val="Normal"/>
    <w:next w:val="Normal"/>
    <w:autoRedefine/>
    <w:uiPriority w:val="39"/>
    <w:unhideWhenUsed/>
    <w:rsid w:val="00435229"/>
    <w:pPr>
      <w:tabs>
        <w:tab w:val="left" w:pos="993"/>
        <w:tab w:val="right" w:leader="dot" w:pos="8505"/>
      </w:tabs>
      <w:ind w:left="992" w:hanging="567"/>
    </w:pPr>
    <w:rPr>
      <w:noProof/>
    </w:rPr>
  </w:style>
  <w:style w:type="paragraph" w:customStyle="1" w:styleId="Appendixheading">
    <w:name w:val="Appendix heading"/>
    <w:next w:val="Normal"/>
    <w:uiPriority w:val="2"/>
    <w:qFormat/>
    <w:rsid w:val="003C36DC"/>
    <w:pPr>
      <w:keepNext/>
      <w:keepLines/>
      <w:pageBreakBefore/>
      <w:numPr>
        <w:numId w:val="12"/>
      </w:numPr>
      <w:spacing w:before="240" w:after="120" w:line="640" w:lineRule="exact"/>
    </w:pPr>
    <w:rPr>
      <w:rFonts w:ascii="Arial Bold" w:eastAsia="Times New Roman" w:hAnsi="Arial Bold" w:cs="Times New Roman"/>
      <w:b/>
      <w:color w:val="00338D"/>
      <w:sz w:val="28"/>
      <w:szCs w:val="18"/>
    </w:rPr>
  </w:style>
  <w:style w:type="paragraph" w:customStyle="1" w:styleId="AppendixHeading2">
    <w:name w:val="Appendix Heading 2"/>
    <w:basedOn w:val="Heading2"/>
    <w:next w:val="BodyText"/>
    <w:rsid w:val="003C36DC"/>
    <w:pPr>
      <w:keepLines w:val="0"/>
      <w:numPr>
        <w:numId w:val="13"/>
      </w:numPr>
      <w:tabs>
        <w:tab w:val="clear" w:pos="0"/>
        <w:tab w:val="left" w:pos="964"/>
      </w:tabs>
      <w:spacing w:after="120"/>
      <w:ind w:left="964"/>
      <w:jc w:val="both"/>
      <w:outlineLvl w:val="9"/>
    </w:pPr>
    <w:rPr>
      <w:rFonts w:eastAsia="Times New Roman" w:cs="Times New Roman"/>
      <w:szCs w:val="20"/>
    </w:rPr>
  </w:style>
  <w:style w:type="paragraph" w:customStyle="1" w:styleId="AppendixHeading3">
    <w:name w:val="Appendix Heading 3"/>
    <w:basedOn w:val="Heading3"/>
    <w:next w:val="BodyText"/>
    <w:rsid w:val="003C36DC"/>
    <w:pPr>
      <w:keepLines w:val="0"/>
      <w:numPr>
        <w:numId w:val="13"/>
      </w:numPr>
      <w:tabs>
        <w:tab w:val="left" w:pos="357"/>
      </w:tabs>
      <w:spacing w:after="120"/>
      <w:ind w:left="964"/>
      <w:jc w:val="both"/>
      <w:outlineLvl w:val="9"/>
    </w:pPr>
    <w:rPr>
      <w:rFonts w:eastAsia="Times New Roman" w:cs="Times New Roman"/>
      <w:i w:val="0"/>
      <w:color w:val="00338D"/>
      <w:sz w:val="22"/>
      <w:szCs w:val="20"/>
    </w:rPr>
  </w:style>
  <w:style w:type="paragraph" w:customStyle="1" w:styleId="AppendixHeading4">
    <w:name w:val="Appendix Heading 4"/>
    <w:basedOn w:val="Heading4"/>
    <w:next w:val="BodyText"/>
    <w:rsid w:val="003C36DC"/>
    <w:pPr>
      <w:keepLines w:val="0"/>
      <w:numPr>
        <w:numId w:val="13"/>
      </w:numPr>
      <w:tabs>
        <w:tab w:val="clear" w:pos="0"/>
        <w:tab w:val="left" w:pos="964"/>
      </w:tabs>
      <w:spacing w:after="120"/>
      <w:ind w:left="964"/>
      <w:jc w:val="both"/>
      <w:outlineLvl w:val="9"/>
    </w:pPr>
    <w:rPr>
      <w:rFonts w:eastAsia="Times New Roman" w:cs="Times New Roman"/>
      <w:iCs w:val="0"/>
      <w:color w:val="0063A6"/>
      <w:sz w:val="20"/>
      <w:szCs w:val="20"/>
    </w:rPr>
  </w:style>
  <w:style w:type="paragraph" w:customStyle="1" w:styleId="TabletextCentred">
    <w:name w:val="TabletextCentred"/>
    <w:basedOn w:val="BodyText1"/>
    <w:qFormat/>
    <w:rsid w:val="00FC7397"/>
    <w:pPr>
      <w:jc w:val="center"/>
    </w:pPr>
    <w:rPr>
      <w:sz w:val="18"/>
      <w:szCs w:val="18"/>
    </w:rPr>
  </w:style>
  <w:style w:type="paragraph" w:customStyle="1" w:styleId="TableTextNumber">
    <w:name w:val="TableTextNumber"/>
    <w:basedOn w:val="BodyText1"/>
    <w:qFormat/>
    <w:rsid w:val="00E71E61"/>
    <w:pPr>
      <w:tabs>
        <w:tab w:val="decimal" w:pos="1548"/>
      </w:tabs>
      <w:spacing w:before="40" w:after="40"/>
    </w:pPr>
    <w:rPr>
      <w:sz w:val="20"/>
      <w:szCs w:val="18"/>
      <w:lang w:eastAsia="en-AU"/>
    </w:rPr>
  </w:style>
  <w:style w:type="paragraph" w:customStyle="1" w:styleId="TableHeadingcentred">
    <w:name w:val="TableHeadingcentred"/>
    <w:basedOn w:val="Tableheading"/>
    <w:qFormat/>
    <w:rsid w:val="00FC7397"/>
    <w:pPr>
      <w:jc w:val="center"/>
    </w:pPr>
  </w:style>
  <w:style w:type="character" w:customStyle="1" w:styleId="UnresolvedMention2">
    <w:name w:val="Unresolved Mention2"/>
    <w:basedOn w:val="DefaultParagraphFont"/>
    <w:uiPriority w:val="99"/>
    <w:unhideWhenUsed/>
    <w:rsid w:val="00326D44"/>
    <w:rPr>
      <w:color w:val="605E5C"/>
      <w:shd w:val="clear" w:color="auto" w:fill="E1DFDD"/>
    </w:rPr>
  </w:style>
  <w:style w:type="character" w:customStyle="1" w:styleId="Mention2">
    <w:name w:val="Mention2"/>
    <w:basedOn w:val="DefaultParagraphFont"/>
    <w:uiPriority w:val="99"/>
    <w:unhideWhenUsed/>
    <w:rsid w:val="00326D44"/>
    <w:rPr>
      <w:color w:val="2B579A"/>
      <w:shd w:val="clear" w:color="auto" w:fill="E1DFDD"/>
    </w:rPr>
  </w:style>
  <w:style w:type="paragraph" w:styleId="BodyText2">
    <w:name w:val="Body Text 2"/>
    <w:basedOn w:val="BodyText"/>
    <w:link w:val="BodyText2Char"/>
    <w:uiPriority w:val="99"/>
    <w:semiHidden/>
    <w:locked/>
    <w:rsid w:val="0029076E"/>
  </w:style>
  <w:style w:type="character" w:customStyle="1" w:styleId="BodyText2Char">
    <w:name w:val="Body Text 2 Char"/>
    <w:basedOn w:val="DefaultParagraphFont"/>
    <w:link w:val="BodyText2"/>
    <w:uiPriority w:val="99"/>
    <w:semiHidden/>
    <w:rsid w:val="0029076E"/>
    <w:rPr>
      <w:rFonts w:ascii="Arial" w:hAnsi="Arial"/>
    </w:rPr>
  </w:style>
  <w:style w:type="paragraph" w:styleId="BodyTextIndent2">
    <w:name w:val="Body Text Indent 2"/>
    <w:basedOn w:val="Bullet1stlevel"/>
    <w:link w:val="BodyTextIndent2Char"/>
    <w:uiPriority w:val="99"/>
    <w:semiHidden/>
    <w:locked/>
    <w:rsid w:val="0029076E"/>
    <w:pPr>
      <w:numPr>
        <w:numId w:val="0"/>
      </w:numPr>
      <w:ind w:left="714"/>
    </w:pPr>
  </w:style>
  <w:style w:type="character" w:customStyle="1" w:styleId="BodyTextIndent2Char">
    <w:name w:val="Body Text Indent 2 Char"/>
    <w:basedOn w:val="DefaultParagraphFont"/>
    <w:link w:val="BodyTextIndent2"/>
    <w:uiPriority w:val="99"/>
    <w:semiHidden/>
    <w:rsid w:val="0029076E"/>
    <w:rPr>
      <w:rFonts w:ascii="Arial" w:hAnsi="Arial"/>
    </w:rPr>
  </w:style>
  <w:style w:type="paragraph" w:customStyle="1" w:styleId="NumberedPara">
    <w:name w:val="NumberedPara"/>
    <w:basedOn w:val="BodyText1"/>
    <w:qFormat/>
    <w:rsid w:val="00BE7F93"/>
    <w:pPr>
      <w:ind w:left="714" w:hanging="357"/>
    </w:pPr>
  </w:style>
  <w:style w:type="character" w:styleId="UnresolvedMention">
    <w:name w:val="Unresolved Mention"/>
    <w:basedOn w:val="DefaultParagraphFont"/>
    <w:uiPriority w:val="99"/>
    <w:unhideWhenUsed/>
    <w:rsid w:val="00891078"/>
    <w:rPr>
      <w:color w:val="605E5C"/>
      <w:shd w:val="clear" w:color="auto" w:fill="E1DFDD"/>
    </w:rPr>
  </w:style>
  <w:style w:type="character" w:styleId="Mention">
    <w:name w:val="Mention"/>
    <w:basedOn w:val="DefaultParagraphFont"/>
    <w:uiPriority w:val="99"/>
    <w:unhideWhenUsed/>
    <w:rsid w:val="005470CC"/>
    <w:rPr>
      <w:color w:val="2B579A"/>
      <w:shd w:val="clear" w:color="auto" w:fill="E1DFDD"/>
    </w:rPr>
  </w:style>
  <w:style w:type="paragraph" w:customStyle="1" w:styleId="paragraph">
    <w:name w:val="paragraph"/>
    <w:basedOn w:val="Normal"/>
    <w:rsid w:val="00F77B3B"/>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8F21F4"/>
    <w:rPr>
      <w:rFonts w:ascii="Arial" w:hAnsi="Arial"/>
      <w:b w:val="0"/>
      <w:i w:val="0"/>
      <w:sz w:val="22"/>
    </w:rPr>
  </w:style>
  <w:style w:type="character" w:customStyle="1" w:styleId="eop">
    <w:name w:val="eop"/>
    <w:basedOn w:val="DefaultParagraphFont"/>
    <w:rsid w:val="00F77B3B"/>
  </w:style>
  <w:style w:type="paragraph" w:styleId="BodyText3">
    <w:name w:val="Body Text 3"/>
    <w:basedOn w:val="Normal"/>
    <w:link w:val="BodyText3Char"/>
    <w:uiPriority w:val="99"/>
    <w:semiHidden/>
    <w:locked/>
    <w:rsid w:val="00EB0022"/>
    <w:rPr>
      <w:sz w:val="16"/>
      <w:szCs w:val="16"/>
    </w:rPr>
  </w:style>
  <w:style w:type="character" w:customStyle="1" w:styleId="BodyText3Char">
    <w:name w:val="Body Text 3 Char"/>
    <w:basedOn w:val="DefaultParagraphFont"/>
    <w:link w:val="BodyText3"/>
    <w:uiPriority w:val="99"/>
    <w:semiHidden/>
    <w:rsid w:val="00EB0022"/>
    <w:rPr>
      <w:rFonts w:ascii="Arial" w:hAnsi="Arial"/>
      <w:sz w:val="16"/>
      <w:szCs w:val="16"/>
    </w:rPr>
  </w:style>
  <w:style w:type="paragraph" w:customStyle="1" w:styleId="TableNumberdectab">
    <w:name w:val="TableNumberdectab"/>
    <w:basedOn w:val="Normal"/>
    <w:qFormat/>
    <w:rsid w:val="00EB0022"/>
    <w:pPr>
      <w:tabs>
        <w:tab w:val="decimal" w:pos="933"/>
      </w:tabs>
      <w:spacing w:before="40" w:after="40"/>
    </w:pPr>
    <w:rPr>
      <w:sz w:val="20"/>
    </w:rPr>
  </w:style>
  <w:style w:type="paragraph" w:styleId="TOC3">
    <w:name w:val="toc 3"/>
    <w:basedOn w:val="Normal"/>
    <w:next w:val="Normal"/>
    <w:autoRedefine/>
    <w:uiPriority w:val="39"/>
    <w:unhideWhenUsed/>
    <w:rsid w:val="00EB0022"/>
    <w:pPr>
      <w:tabs>
        <w:tab w:val="left" w:pos="1843"/>
        <w:tab w:val="right" w:leader="dot" w:pos="9060"/>
      </w:tabs>
      <w:spacing w:after="100"/>
      <w:ind w:left="1843" w:hanging="850"/>
    </w:pPr>
    <w:rPr>
      <w:noProof/>
    </w:rPr>
  </w:style>
  <w:style w:type="character" w:styleId="FollowedHyperlink">
    <w:name w:val="FollowedHyperlink"/>
    <w:basedOn w:val="DefaultParagraphFont"/>
    <w:uiPriority w:val="99"/>
    <w:semiHidden/>
    <w:unhideWhenUsed/>
    <w:rsid w:val="00EB0022"/>
    <w:rPr>
      <w:color w:val="6D2077" w:themeColor="followedHyperlink"/>
      <w:u w:val="single"/>
    </w:rPr>
  </w:style>
  <w:style w:type="paragraph" w:customStyle="1" w:styleId="TableText8Font">
    <w:name w:val="TableText8Font"/>
    <w:basedOn w:val="Tabletext"/>
    <w:qFormat/>
    <w:rsid w:val="00EB0022"/>
    <w:rPr>
      <w:sz w:val="16"/>
      <w:szCs w:val="16"/>
      <w:lang w:eastAsia="en-AU"/>
    </w:rPr>
  </w:style>
  <w:style w:type="paragraph" w:customStyle="1" w:styleId="TableText8FontRightAlign">
    <w:name w:val="TableText8FontRightAlign"/>
    <w:basedOn w:val="TableText8Font"/>
    <w:qFormat/>
    <w:rsid w:val="00EB0022"/>
    <w:pPr>
      <w:jc w:val="right"/>
    </w:pPr>
  </w:style>
  <w:style w:type="paragraph" w:customStyle="1" w:styleId="Bullet1stLevelkeepwithnext">
    <w:name w:val="Bullet 1st Levelkeepwithnext"/>
    <w:basedOn w:val="Bullet1stlevel"/>
    <w:qFormat/>
    <w:rsid w:val="00B77715"/>
    <w:pPr>
      <w:keepNext/>
      <w:jc w:val="both"/>
    </w:pPr>
  </w:style>
  <w:style w:type="paragraph" w:customStyle="1" w:styleId="TabletextJustified">
    <w:name w:val="Table textJustified"/>
    <w:basedOn w:val="Tabletext"/>
    <w:qFormat/>
    <w:rsid w:val="00A77EA3"/>
    <w:pPr>
      <w:jc w:val="both"/>
    </w:pPr>
    <w:rPr>
      <w:rFonts w:eastAsia="Times New Roman" w:cs="Times New Roman"/>
      <w:szCs w:val="20"/>
      <w:lang w:eastAsia="en-AU"/>
    </w:rPr>
  </w:style>
  <w:style w:type="paragraph" w:styleId="TableofFigures">
    <w:name w:val="table of figures"/>
    <w:basedOn w:val="Normal"/>
    <w:next w:val="Normal"/>
    <w:uiPriority w:val="99"/>
    <w:unhideWhenUsed/>
    <w:rsid w:val="009D711A"/>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215787">
      <w:bodyDiv w:val="1"/>
      <w:marLeft w:val="0"/>
      <w:marRight w:val="0"/>
      <w:marTop w:val="0"/>
      <w:marBottom w:val="0"/>
      <w:divBdr>
        <w:top w:val="none" w:sz="0" w:space="0" w:color="auto"/>
        <w:left w:val="none" w:sz="0" w:space="0" w:color="auto"/>
        <w:bottom w:val="none" w:sz="0" w:space="0" w:color="auto"/>
        <w:right w:val="none" w:sz="0" w:space="0" w:color="auto"/>
      </w:divBdr>
    </w:div>
    <w:div w:id="142082537">
      <w:bodyDiv w:val="1"/>
      <w:marLeft w:val="0"/>
      <w:marRight w:val="0"/>
      <w:marTop w:val="0"/>
      <w:marBottom w:val="0"/>
      <w:divBdr>
        <w:top w:val="none" w:sz="0" w:space="0" w:color="auto"/>
        <w:left w:val="none" w:sz="0" w:space="0" w:color="auto"/>
        <w:bottom w:val="none" w:sz="0" w:space="0" w:color="auto"/>
        <w:right w:val="none" w:sz="0" w:space="0" w:color="auto"/>
      </w:divBdr>
    </w:div>
    <w:div w:id="176771369">
      <w:bodyDiv w:val="1"/>
      <w:marLeft w:val="0"/>
      <w:marRight w:val="0"/>
      <w:marTop w:val="0"/>
      <w:marBottom w:val="0"/>
      <w:divBdr>
        <w:top w:val="none" w:sz="0" w:space="0" w:color="auto"/>
        <w:left w:val="none" w:sz="0" w:space="0" w:color="auto"/>
        <w:bottom w:val="none" w:sz="0" w:space="0" w:color="auto"/>
        <w:right w:val="none" w:sz="0" w:space="0" w:color="auto"/>
      </w:divBdr>
    </w:div>
    <w:div w:id="248732101">
      <w:bodyDiv w:val="1"/>
      <w:marLeft w:val="0"/>
      <w:marRight w:val="0"/>
      <w:marTop w:val="0"/>
      <w:marBottom w:val="0"/>
      <w:divBdr>
        <w:top w:val="none" w:sz="0" w:space="0" w:color="auto"/>
        <w:left w:val="none" w:sz="0" w:space="0" w:color="auto"/>
        <w:bottom w:val="none" w:sz="0" w:space="0" w:color="auto"/>
        <w:right w:val="none" w:sz="0" w:space="0" w:color="auto"/>
      </w:divBdr>
    </w:div>
    <w:div w:id="261884449">
      <w:bodyDiv w:val="1"/>
      <w:marLeft w:val="0"/>
      <w:marRight w:val="0"/>
      <w:marTop w:val="0"/>
      <w:marBottom w:val="0"/>
      <w:divBdr>
        <w:top w:val="none" w:sz="0" w:space="0" w:color="auto"/>
        <w:left w:val="none" w:sz="0" w:space="0" w:color="auto"/>
        <w:bottom w:val="none" w:sz="0" w:space="0" w:color="auto"/>
        <w:right w:val="none" w:sz="0" w:space="0" w:color="auto"/>
      </w:divBdr>
    </w:div>
    <w:div w:id="375741932">
      <w:bodyDiv w:val="1"/>
      <w:marLeft w:val="0"/>
      <w:marRight w:val="0"/>
      <w:marTop w:val="0"/>
      <w:marBottom w:val="0"/>
      <w:divBdr>
        <w:top w:val="none" w:sz="0" w:space="0" w:color="auto"/>
        <w:left w:val="none" w:sz="0" w:space="0" w:color="auto"/>
        <w:bottom w:val="none" w:sz="0" w:space="0" w:color="auto"/>
        <w:right w:val="none" w:sz="0" w:space="0" w:color="auto"/>
      </w:divBdr>
      <w:divsChild>
        <w:div w:id="393553960">
          <w:marLeft w:val="0"/>
          <w:marRight w:val="0"/>
          <w:marTop w:val="0"/>
          <w:marBottom w:val="0"/>
          <w:divBdr>
            <w:top w:val="none" w:sz="0" w:space="0" w:color="auto"/>
            <w:left w:val="none" w:sz="0" w:space="0" w:color="auto"/>
            <w:bottom w:val="none" w:sz="0" w:space="0" w:color="auto"/>
            <w:right w:val="none" w:sz="0" w:space="0" w:color="auto"/>
          </w:divBdr>
        </w:div>
      </w:divsChild>
    </w:div>
    <w:div w:id="513306184">
      <w:bodyDiv w:val="1"/>
      <w:marLeft w:val="0"/>
      <w:marRight w:val="0"/>
      <w:marTop w:val="0"/>
      <w:marBottom w:val="0"/>
      <w:divBdr>
        <w:top w:val="none" w:sz="0" w:space="0" w:color="auto"/>
        <w:left w:val="none" w:sz="0" w:space="0" w:color="auto"/>
        <w:bottom w:val="none" w:sz="0" w:space="0" w:color="auto"/>
        <w:right w:val="none" w:sz="0" w:space="0" w:color="auto"/>
      </w:divBdr>
    </w:div>
    <w:div w:id="587690043">
      <w:bodyDiv w:val="1"/>
      <w:marLeft w:val="0"/>
      <w:marRight w:val="0"/>
      <w:marTop w:val="0"/>
      <w:marBottom w:val="0"/>
      <w:divBdr>
        <w:top w:val="none" w:sz="0" w:space="0" w:color="auto"/>
        <w:left w:val="none" w:sz="0" w:space="0" w:color="auto"/>
        <w:bottom w:val="none" w:sz="0" w:space="0" w:color="auto"/>
        <w:right w:val="none" w:sz="0" w:space="0" w:color="auto"/>
      </w:divBdr>
    </w:div>
    <w:div w:id="599802999">
      <w:bodyDiv w:val="1"/>
      <w:marLeft w:val="0"/>
      <w:marRight w:val="0"/>
      <w:marTop w:val="0"/>
      <w:marBottom w:val="0"/>
      <w:divBdr>
        <w:top w:val="none" w:sz="0" w:space="0" w:color="auto"/>
        <w:left w:val="none" w:sz="0" w:space="0" w:color="auto"/>
        <w:bottom w:val="none" w:sz="0" w:space="0" w:color="auto"/>
        <w:right w:val="none" w:sz="0" w:space="0" w:color="auto"/>
      </w:divBdr>
    </w:div>
    <w:div w:id="616908583">
      <w:bodyDiv w:val="1"/>
      <w:marLeft w:val="0"/>
      <w:marRight w:val="0"/>
      <w:marTop w:val="0"/>
      <w:marBottom w:val="0"/>
      <w:divBdr>
        <w:top w:val="none" w:sz="0" w:space="0" w:color="auto"/>
        <w:left w:val="none" w:sz="0" w:space="0" w:color="auto"/>
        <w:bottom w:val="none" w:sz="0" w:space="0" w:color="auto"/>
        <w:right w:val="none" w:sz="0" w:space="0" w:color="auto"/>
      </w:divBdr>
    </w:div>
    <w:div w:id="630399634">
      <w:bodyDiv w:val="1"/>
      <w:marLeft w:val="0"/>
      <w:marRight w:val="0"/>
      <w:marTop w:val="0"/>
      <w:marBottom w:val="0"/>
      <w:divBdr>
        <w:top w:val="none" w:sz="0" w:space="0" w:color="auto"/>
        <w:left w:val="none" w:sz="0" w:space="0" w:color="auto"/>
        <w:bottom w:val="none" w:sz="0" w:space="0" w:color="auto"/>
        <w:right w:val="none" w:sz="0" w:space="0" w:color="auto"/>
      </w:divBdr>
    </w:div>
    <w:div w:id="681933756">
      <w:bodyDiv w:val="1"/>
      <w:marLeft w:val="0"/>
      <w:marRight w:val="0"/>
      <w:marTop w:val="0"/>
      <w:marBottom w:val="0"/>
      <w:divBdr>
        <w:top w:val="none" w:sz="0" w:space="0" w:color="auto"/>
        <w:left w:val="none" w:sz="0" w:space="0" w:color="auto"/>
        <w:bottom w:val="none" w:sz="0" w:space="0" w:color="auto"/>
        <w:right w:val="none" w:sz="0" w:space="0" w:color="auto"/>
      </w:divBdr>
    </w:div>
    <w:div w:id="685713718">
      <w:bodyDiv w:val="1"/>
      <w:marLeft w:val="0"/>
      <w:marRight w:val="0"/>
      <w:marTop w:val="0"/>
      <w:marBottom w:val="0"/>
      <w:divBdr>
        <w:top w:val="none" w:sz="0" w:space="0" w:color="auto"/>
        <w:left w:val="none" w:sz="0" w:space="0" w:color="auto"/>
        <w:bottom w:val="none" w:sz="0" w:space="0" w:color="auto"/>
        <w:right w:val="none" w:sz="0" w:space="0" w:color="auto"/>
      </w:divBdr>
    </w:div>
    <w:div w:id="697202559">
      <w:bodyDiv w:val="1"/>
      <w:marLeft w:val="0"/>
      <w:marRight w:val="0"/>
      <w:marTop w:val="0"/>
      <w:marBottom w:val="0"/>
      <w:divBdr>
        <w:top w:val="none" w:sz="0" w:space="0" w:color="auto"/>
        <w:left w:val="none" w:sz="0" w:space="0" w:color="auto"/>
        <w:bottom w:val="none" w:sz="0" w:space="0" w:color="auto"/>
        <w:right w:val="none" w:sz="0" w:space="0" w:color="auto"/>
      </w:divBdr>
    </w:div>
    <w:div w:id="719942849">
      <w:bodyDiv w:val="1"/>
      <w:marLeft w:val="0"/>
      <w:marRight w:val="0"/>
      <w:marTop w:val="0"/>
      <w:marBottom w:val="0"/>
      <w:divBdr>
        <w:top w:val="none" w:sz="0" w:space="0" w:color="auto"/>
        <w:left w:val="none" w:sz="0" w:space="0" w:color="auto"/>
        <w:bottom w:val="none" w:sz="0" w:space="0" w:color="auto"/>
        <w:right w:val="none" w:sz="0" w:space="0" w:color="auto"/>
      </w:divBdr>
    </w:div>
    <w:div w:id="767382825">
      <w:bodyDiv w:val="1"/>
      <w:marLeft w:val="0"/>
      <w:marRight w:val="0"/>
      <w:marTop w:val="0"/>
      <w:marBottom w:val="0"/>
      <w:divBdr>
        <w:top w:val="none" w:sz="0" w:space="0" w:color="auto"/>
        <w:left w:val="none" w:sz="0" w:space="0" w:color="auto"/>
        <w:bottom w:val="none" w:sz="0" w:space="0" w:color="auto"/>
        <w:right w:val="none" w:sz="0" w:space="0" w:color="auto"/>
      </w:divBdr>
    </w:div>
    <w:div w:id="781151021">
      <w:bodyDiv w:val="1"/>
      <w:marLeft w:val="0"/>
      <w:marRight w:val="0"/>
      <w:marTop w:val="0"/>
      <w:marBottom w:val="0"/>
      <w:divBdr>
        <w:top w:val="none" w:sz="0" w:space="0" w:color="auto"/>
        <w:left w:val="none" w:sz="0" w:space="0" w:color="auto"/>
        <w:bottom w:val="none" w:sz="0" w:space="0" w:color="auto"/>
        <w:right w:val="none" w:sz="0" w:space="0" w:color="auto"/>
      </w:divBdr>
    </w:div>
    <w:div w:id="790901995">
      <w:bodyDiv w:val="1"/>
      <w:marLeft w:val="0"/>
      <w:marRight w:val="0"/>
      <w:marTop w:val="0"/>
      <w:marBottom w:val="0"/>
      <w:divBdr>
        <w:top w:val="none" w:sz="0" w:space="0" w:color="auto"/>
        <w:left w:val="none" w:sz="0" w:space="0" w:color="auto"/>
        <w:bottom w:val="none" w:sz="0" w:space="0" w:color="auto"/>
        <w:right w:val="none" w:sz="0" w:space="0" w:color="auto"/>
      </w:divBdr>
      <w:divsChild>
        <w:div w:id="1362437037">
          <w:marLeft w:val="0"/>
          <w:marRight w:val="0"/>
          <w:marTop w:val="0"/>
          <w:marBottom w:val="0"/>
          <w:divBdr>
            <w:top w:val="none" w:sz="0" w:space="0" w:color="auto"/>
            <w:left w:val="none" w:sz="0" w:space="0" w:color="auto"/>
            <w:bottom w:val="none" w:sz="0" w:space="0" w:color="auto"/>
            <w:right w:val="none" w:sz="0" w:space="0" w:color="auto"/>
          </w:divBdr>
        </w:div>
        <w:div w:id="1536847633">
          <w:marLeft w:val="0"/>
          <w:marRight w:val="0"/>
          <w:marTop w:val="0"/>
          <w:marBottom w:val="0"/>
          <w:divBdr>
            <w:top w:val="none" w:sz="0" w:space="0" w:color="auto"/>
            <w:left w:val="none" w:sz="0" w:space="0" w:color="auto"/>
            <w:bottom w:val="none" w:sz="0" w:space="0" w:color="auto"/>
            <w:right w:val="none" w:sz="0" w:space="0" w:color="auto"/>
          </w:divBdr>
          <w:divsChild>
            <w:div w:id="563181876">
              <w:marLeft w:val="0"/>
              <w:marRight w:val="0"/>
              <w:marTop w:val="0"/>
              <w:marBottom w:val="0"/>
              <w:divBdr>
                <w:top w:val="none" w:sz="0" w:space="0" w:color="auto"/>
                <w:left w:val="none" w:sz="0" w:space="0" w:color="auto"/>
                <w:bottom w:val="none" w:sz="0" w:space="0" w:color="auto"/>
                <w:right w:val="none" w:sz="0" w:space="0" w:color="auto"/>
              </w:divBdr>
              <w:divsChild>
                <w:div w:id="1473399087">
                  <w:marLeft w:val="4275"/>
                  <w:marRight w:val="0"/>
                  <w:marTop w:val="225"/>
                  <w:marBottom w:val="75"/>
                  <w:divBdr>
                    <w:top w:val="none" w:sz="0" w:space="0" w:color="auto"/>
                    <w:left w:val="none" w:sz="0" w:space="0" w:color="auto"/>
                    <w:bottom w:val="none" w:sz="0" w:space="0" w:color="auto"/>
                    <w:right w:val="none" w:sz="0" w:space="0" w:color="auto"/>
                  </w:divBdr>
                </w:div>
              </w:divsChild>
            </w:div>
          </w:divsChild>
        </w:div>
        <w:div w:id="2116828399">
          <w:marLeft w:val="0"/>
          <w:marRight w:val="0"/>
          <w:marTop w:val="0"/>
          <w:marBottom w:val="0"/>
          <w:divBdr>
            <w:top w:val="none" w:sz="0" w:space="0" w:color="auto"/>
            <w:left w:val="none" w:sz="0" w:space="0" w:color="auto"/>
            <w:bottom w:val="none" w:sz="0" w:space="0" w:color="auto"/>
            <w:right w:val="none" w:sz="0" w:space="0" w:color="auto"/>
          </w:divBdr>
          <w:divsChild>
            <w:div w:id="1959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647">
      <w:bodyDiv w:val="1"/>
      <w:marLeft w:val="0"/>
      <w:marRight w:val="0"/>
      <w:marTop w:val="0"/>
      <w:marBottom w:val="0"/>
      <w:divBdr>
        <w:top w:val="none" w:sz="0" w:space="0" w:color="auto"/>
        <w:left w:val="none" w:sz="0" w:space="0" w:color="auto"/>
        <w:bottom w:val="none" w:sz="0" w:space="0" w:color="auto"/>
        <w:right w:val="none" w:sz="0" w:space="0" w:color="auto"/>
      </w:divBdr>
    </w:div>
    <w:div w:id="856045280">
      <w:bodyDiv w:val="1"/>
      <w:marLeft w:val="0"/>
      <w:marRight w:val="0"/>
      <w:marTop w:val="0"/>
      <w:marBottom w:val="0"/>
      <w:divBdr>
        <w:top w:val="none" w:sz="0" w:space="0" w:color="auto"/>
        <w:left w:val="none" w:sz="0" w:space="0" w:color="auto"/>
        <w:bottom w:val="none" w:sz="0" w:space="0" w:color="auto"/>
        <w:right w:val="none" w:sz="0" w:space="0" w:color="auto"/>
      </w:divBdr>
    </w:div>
    <w:div w:id="867763355">
      <w:bodyDiv w:val="1"/>
      <w:marLeft w:val="0"/>
      <w:marRight w:val="0"/>
      <w:marTop w:val="0"/>
      <w:marBottom w:val="0"/>
      <w:divBdr>
        <w:top w:val="none" w:sz="0" w:space="0" w:color="auto"/>
        <w:left w:val="none" w:sz="0" w:space="0" w:color="auto"/>
        <w:bottom w:val="none" w:sz="0" w:space="0" w:color="auto"/>
        <w:right w:val="none" w:sz="0" w:space="0" w:color="auto"/>
      </w:divBdr>
    </w:div>
    <w:div w:id="944196969">
      <w:bodyDiv w:val="1"/>
      <w:marLeft w:val="0"/>
      <w:marRight w:val="0"/>
      <w:marTop w:val="0"/>
      <w:marBottom w:val="0"/>
      <w:divBdr>
        <w:top w:val="none" w:sz="0" w:space="0" w:color="auto"/>
        <w:left w:val="none" w:sz="0" w:space="0" w:color="auto"/>
        <w:bottom w:val="none" w:sz="0" w:space="0" w:color="auto"/>
        <w:right w:val="none" w:sz="0" w:space="0" w:color="auto"/>
      </w:divBdr>
    </w:div>
    <w:div w:id="972757873">
      <w:bodyDiv w:val="1"/>
      <w:marLeft w:val="0"/>
      <w:marRight w:val="0"/>
      <w:marTop w:val="0"/>
      <w:marBottom w:val="0"/>
      <w:divBdr>
        <w:top w:val="none" w:sz="0" w:space="0" w:color="auto"/>
        <w:left w:val="none" w:sz="0" w:space="0" w:color="auto"/>
        <w:bottom w:val="none" w:sz="0" w:space="0" w:color="auto"/>
        <w:right w:val="none" w:sz="0" w:space="0" w:color="auto"/>
      </w:divBdr>
    </w:div>
    <w:div w:id="978649955">
      <w:bodyDiv w:val="1"/>
      <w:marLeft w:val="0"/>
      <w:marRight w:val="0"/>
      <w:marTop w:val="0"/>
      <w:marBottom w:val="0"/>
      <w:divBdr>
        <w:top w:val="none" w:sz="0" w:space="0" w:color="auto"/>
        <w:left w:val="none" w:sz="0" w:space="0" w:color="auto"/>
        <w:bottom w:val="none" w:sz="0" w:space="0" w:color="auto"/>
        <w:right w:val="none" w:sz="0" w:space="0" w:color="auto"/>
      </w:divBdr>
      <w:divsChild>
        <w:div w:id="364211299">
          <w:marLeft w:val="0"/>
          <w:marRight w:val="0"/>
          <w:marTop w:val="0"/>
          <w:marBottom w:val="0"/>
          <w:divBdr>
            <w:top w:val="none" w:sz="0" w:space="0" w:color="auto"/>
            <w:left w:val="none" w:sz="0" w:space="0" w:color="auto"/>
            <w:bottom w:val="none" w:sz="0" w:space="0" w:color="auto"/>
            <w:right w:val="none" w:sz="0" w:space="0" w:color="auto"/>
          </w:divBdr>
          <w:divsChild>
            <w:div w:id="697245835">
              <w:marLeft w:val="0"/>
              <w:marRight w:val="0"/>
              <w:marTop w:val="0"/>
              <w:marBottom w:val="0"/>
              <w:divBdr>
                <w:top w:val="none" w:sz="0" w:space="0" w:color="auto"/>
                <w:left w:val="none" w:sz="0" w:space="0" w:color="auto"/>
                <w:bottom w:val="none" w:sz="0" w:space="0" w:color="auto"/>
                <w:right w:val="none" w:sz="0" w:space="0" w:color="auto"/>
              </w:divBdr>
            </w:div>
          </w:divsChild>
        </w:div>
        <w:div w:id="1276601858">
          <w:marLeft w:val="0"/>
          <w:marRight w:val="0"/>
          <w:marTop w:val="0"/>
          <w:marBottom w:val="0"/>
          <w:divBdr>
            <w:top w:val="none" w:sz="0" w:space="0" w:color="auto"/>
            <w:left w:val="none" w:sz="0" w:space="0" w:color="auto"/>
            <w:bottom w:val="none" w:sz="0" w:space="0" w:color="auto"/>
            <w:right w:val="none" w:sz="0" w:space="0" w:color="auto"/>
          </w:divBdr>
          <w:divsChild>
            <w:div w:id="1792359860">
              <w:marLeft w:val="0"/>
              <w:marRight w:val="0"/>
              <w:marTop w:val="0"/>
              <w:marBottom w:val="0"/>
              <w:divBdr>
                <w:top w:val="none" w:sz="0" w:space="0" w:color="auto"/>
                <w:left w:val="none" w:sz="0" w:space="0" w:color="auto"/>
                <w:bottom w:val="none" w:sz="0" w:space="0" w:color="auto"/>
                <w:right w:val="none" w:sz="0" w:space="0" w:color="auto"/>
              </w:divBdr>
              <w:divsChild>
                <w:div w:id="1060902499">
                  <w:marLeft w:val="4275"/>
                  <w:marRight w:val="0"/>
                  <w:marTop w:val="225"/>
                  <w:marBottom w:val="75"/>
                  <w:divBdr>
                    <w:top w:val="none" w:sz="0" w:space="0" w:color="auto"/>
                    <w:left w:val="none" w:sz="0" w:space="0" w:color="auto"/>
                    <w:bottom w:val="none" w:sz="0" w:space="0" w:color="auto"/>
                    <w:right w:val="none" w:sz="0" w:space="0" w:color="auto"/>
                  </w:divBdr>
                </w:div>
              </w:divsChild>
            </w:div>
          </w:divsChild>
        </w:div>
        <w:div w:id="1367949778">
          <w:marLeft w:val="0"/>
          <w:marRight w:val="0"/>
          <w:marTop w:val="0"/>
          <w:marBottom w:val="0"/>
          <w:divBdr>
            <w:top w:val="none" w:sz="0" w:space="0" w:color="auto"/>
            <w:left w:val="none" w:sz="0" w:space="0" w:color="auto"/>
            <w:bottom w:val="none" w:sz="0" w:space="0" w:color="auto"/>
            <w:right w:val="none" w:sz="0" w:space="0" w:color="auto"/>
          </w:divBdr>
        </w:div>
      </w:divsChild>
    </w:div>
    <w:div w:id="1134639536">
      <w:bodyDiv w:val="1"/>
      <w:marLeft w:val="0"/>
      <w:marRight w:val="0"/>
      <w:marTop w:val="0"/>
      <w:marBottom w:val="0"/>
      <w:divBdr>
        <w:top w:val="none" w:sz="0" w:space="0" w:color="auto"/>
        <w:left w:val="none" w:sz="0" w:space="0" w:color="auto"/>
        <w:bottom w:val="none" w:sz="0" w:space="0" w:color="auto"/>
        <w:right w:val="none" w:sz="0" w:space="0" w:color="auto"/>
      </w:divBdr>
    </w:div>
    <w:div w:id="1155147288">
      <w:bodyDiv w:val="1"/>
      <w:marLeft w:val="0"/>
      <w:marRight w:val="0"/>
      <w:marTop w:val="0"/>
      <w:marBottom w:val="0"/>
      <w:divBdr>
        <w:top w:val="none" w:sz="0" w:space="0" w:color="auto"/>
        <w:left w:val="none" w:sz="0" w:space="0" w:color="auto"/>
        <w:bottom w:val="none" w:sz="0" w:space="0" w:color="auto"/>
        <w:right w:val="none" w:sz="0" w:space="0" w:color="auto"/>
      </w:divBdr>
    </w:div>
    <w:div w:id="1169828464">
      <w:bodyDiv w:val="1"/>
      <w:marLeft w:val="0"/>
      <w:marRight w:val="0"/>
      <w:marTop w:val="0"/>
      <w:marBottom w:val="0"/>
      <w:divBdr>
        <w:top w:val="none" w:sz="0" w:space="0" w:color="auto"/>
        <w:left w:val="none" w:sz="0" w:space="0" w:color="auto"/>
        <w:bottom w:val="none" w:sz="0" w:space="0" w:color="auto"/>
        <w:right w:val="none" w:sz="0" w:space="0" w:color="auto"/>
      </w:divBdr>
      <w:divsChild>
        <w:div w:id="1065369519">
          <w:marLeft w:val="0"/>
          <w:marRight w:val="0"/>
          <w:marTop w:val="0"/>
          <w:marBottom w:val="0"/>
          <w:divBdr>
            <w:top w:val="none" w:sz="0" w:space="0" w:color="auto"/>
            <w:left w:val="none" w:sz="0" w:space="0" w:color="auto"/>
            <w:bottom w:val="none" w:sz="0" w:space="0" w:color="auto"/>
            <w:right w:val="none" w:sz="0" w:space="0" w:color="auto"/>
          </w:divBdr>
        </w:div>
        <w:div w:id="1469200838">
          <w:marLeft w:val="0"/>
          <w:marRight w:val="0"/>
          <w:marTop w:val="0"/>
          <w:marBottom w:val="0"/>
          <w:divBdr>
            <w:top w:val="none" w:sz="0" w:space="0" w:color="auto"/>
            <w:left w:val="none" w:sz="0" w:space="0" w:color="auto"/>
            <w:bottom w:val="none" w:sz="0" w:space="0" w:color="auto"/>
            <w:right w:val="none" w:sz="0" w:space="0" w:color="auto"/>
          </w:divBdr>
        </w:div>
      </w:divsChild>
    </w:div>
    <w:div w:id="1269125035">
      <w:bodyDiv w:val="1"/>
      <w:marLeft w:val="0"/>
      <w:marRight w:val="0"/>
      <w:marTop w:val="0"/>
      <w:marBottom w:val="0"/>
      <w:divBdr>
        <w:top w:val="none" w:sz="0" w:space="0" w:color="auto"/>
        <w:left w:val="none" w:sz="0" w:space="0" w:color="auto"/>
        <w:bottom w:val="none" w:sz="0" w:space="0" w:color="auto"/>
        <w:right w:val="none" w:sz="0" w:space="0" w:color="auto"/>
      </w:divBdr>
    </w:div>
    <w:div w:id="1281182312">
      <w:bodyDiv w:val="1"/>
      <w:marLeft w:val="0"/>
      <w:marRight w:val="0"/>
      <w:marTop w:val="0"/>
      <w:marBottom w:val="0"/>
      <w:divBdr>
        <w:top w:val="none" w:sz="0" w:space="0" w:color="auto"/>
        <w:left w:val="none" w:sz="0" w:space="0" w:color="auto"/>
        <w:bottom w:val="none" w:sz="0" w:space="0" w:color="auto"/>
        <w:right w:val="none" w:sz="0" w:space="0" w:color="auto"/>
      </w:divBdr>
    </w:div>
    <w:div w:id="1313022763">
      <w:bodyDiv w:val="1"/>
      <w:marLeft w:val="0"/>
      <w:marRight w:val="0"/>
      <w:marTop w:val="0"/>
      <w:marBottom w:val="0"/>
      <w:divBdr>
        <w:top w:val="none" w:sz="0" w:space="0" w:color="auto"/>
        <w:left w:val="none" w:sz="0" w:space="0" w:color="auto"/>
        <w:bottom w:val="none" w:sz="0" w:space="0" w:color="auto"/>
        <w:right w:val="none" w:sz="0" w:space="0" w:color="auto"/>
      </w:divBdr>
    </w:div>
    <w:div w:id="1320037782">
      <w:bodyDiv w:val="1"/>
      <w:marLeft w:val="0"/>
      <w:marRight w:val="0"/>
      <w:marTop w:val="0"/>
      <w:marBottom w:val="0"/>
      <w:divBdr>
        <w:top w:val="none" w:sz="0" w:space="0" w:color="auto"/>
        <w:left w:val="none" w:sz="0" w:space="0" w:color="auto"/>
        <w:bottom w:val="none" w:sz="0" w:space="0" w:color="auto"/>
        <w:right w:val="none" w:sz="0" w:space="0" w:color="auto"/>
      </w:divBdr>
    </w:div>
    <w:div w:id="1372682039">
      <w:bodyDiv w:val="1"/>
      <w:marLeft w:val="0"/>
      <w:marRight w:val="0"/>
      <w:marTop w:val="0"/>
      <w:marBottom w:val="0"/>
      <w:divBdr>
        <w:top w:val="none" w:sz="0" w:space="0" w:color="auto"/>
        <w:left w:val="none" w:sz="0" w:space="0" w:color="auto"/>
        <w:bottom w:val="none" w:sz="0" w:space="0" w:color="auto"/>
        <w:right w:val="none" w:sz="0" w:space="0" w:color="auto"/>
      </w:divBdr>
    </w:div>
    <w:div w:id="1380398374">
      <w:bodyDiv w:val="1"/>
      <w:marLeft w:val="0"/>
      <w:marRight w:val="0"/>
      <w:marTop w:val="0"/>
      <w:marBottom w:val="0"/>
      <w:divBdr>
        <w:top w:val="none" w:sz="0" w:space="0" w:color="auto"/>
        <w:left w:val="none" w:sz="0" w:space="0" w:color="auto"/>
        <w:bottom w:val="none" w:sz="0" w:space="0" w:color="auto"/>
        <w:right w:val="none" w:sz="0" w:space="0" w:color="auto"/>
      </w:divBdr>
    </w:div>
    <w:div w:id="1406148125">
      <w:bodyDiv w:val="1"/>
      <w:marLeft w:val="0"/>
      <w:marRight w:val="0"/>
      <w:marTop w:val="0"/>
      <w:marBottom w:val="0"/>
      <w:divBdr>
        <w:top w:val="none" w:sz="0" w:space="0" w:color="auto"/>
        <w:left w:val="none" w:sz="0" w:space="0" w:color="auto"/>
        <w:bottom w:val="none" w:sz="0" w:space="0" w:color="auto"/>
        <w:right w:val="none" w:sz="0" w:space="0" w:color="auto"/>
      </w:divBdr>
    </w:div>
    <w:div w:id="1477992864">
      <w:bodyDiv w:val="1"/>
      <w:marLeft w:val="0"/>
      <w:marRight w:val="0"/>
      <w:marTop w:val="0"/>
      <w:marBottom w:val="0"/>
      <w:divBdr>
        <w:top w:val="none" w:sz="0" w:space="0" w:color="auto"/>
        <w:left w:val="none" w:sz="0" w:space="0" w:color="auto"/>
        <w:bottom w:val="none" w:sz="0" w:space="0" w:color="auto"/>
        <w:right w:val="none" w:sz="0" w:space="0" w:color="auto"/>
      </w:divBdr>
    </w:div>
    <w:div w:id="1482696170">
      <w:bodyDiv w:val="1"/>
      <w:marLeft w:val="0"/>
      <w:marRight w:val="0"/>
      <w:marTop w:val="0"/>
      <w:marBottom w:val="0"/>
      <w:divBdr>
        <w:top w:val="none" w:sz="0" w:space="0" w:color="auto"/>
        <w:left w:val="none" w:sz="0" w:space="0" w:color="auto"/>
        <w:bottom w:val="none" w:sz="0" w:space="0" w:color="auto"/>
        <w:right w:val="none" w:sz="0" w:space="0" w:color="auto"/>
      </w:divBdr>
    </w:div>
    <w:div w:id="1529224249">
      <w:bodyDiv w:val="1"/>
      <w:marLeft w:val="0"/>
      <w:marRight w:val="0"/>
      <w:marTop w:val="0"/>
      <w:marBottom w:val="0"/>
      <w:divBdr>
        <w:top w:val="none" w:sz="0" w:space="0" w:color="auto"/>
        <w:left w:val="none" w:sz="0" w:space="0" w:color="auto"/>
        <w:bottom w:val="none" w:sz="0" w:space="0" w:color="auto"/>
        <w:right w:val="none" w:sz="0" w:space="0" w:color="auto"/>
      </w:divBdr>
    </w:div>
    <w:div w:id="1530609037">
      <w:bodyDiv w:val="1"/>
      <w:marLeft w:val="0"/>
      <w:marRight w:val="0"/>
      <w:marTop w:val="0"/>
      <w:marBottom w:val="0"/>
      <w:divBdr>
        <w:top w:val="none" w:sz="0" w:space="0" w:color="auto"/>
        <w:left w:val="none" w:sz="0" w:space="0" w:color="auto"/>
        <w:bottom w:val="none" w:sz="0" w:space="0" w:color="auto"/>
        <w:right w:val="none" w:sz="0" w:space="0" w:color="auto"/>
      </w:divBdr>
    </w:div>
    <w:div w:id="1670477331">
      <w:bodyDiv w:val="1"/>
      <w:marLeft w:val="0"/>
      <w:marRight w:val="0"/>
      <w:marTop w:val="0"/>
      <w:marBottom w:val="0"/>
      <w:divBdr>
        <w:top w:val="none" w:sz="0" w:space="0" w:color="auto"/>
        <w:left w:val="none" w:sz="0" w:space="0" w:color="auto"/>
        <w:bottom w:val="none" w:sz="0" w:space="0" w:color="auto"/>
        <w:right w:val="none" w:sz="0" w:space="0" w:color="auto"/>
      </w:divBdr>
    </w:div>
    <w:div w:id="1704285064">
      <w:bodyDiv w:val="1"/>
      <w:marLeft w:val="0"/>
      <w:marRight w:val="0"/>
      <w:marTop w:val="0"/>
      <w:marBottom w:val="0"/>
      <w:divBdr>
        <w:top w:val="none" w:sz="0" w:space="0" w:color="auto"/>
        <w:left w:val="none" w:sz="0" w:space="0" w:color="auto"/>
        <w:bottom w:val="none" w:sz="0" w:space="0" w:color="auto"/>
        <w:right w:val="none" w:sz="0" w:space="0" w:color="auto"/>
      </w:divBdr>
    </w:div>
    <w:div w:id="1745180863">
      <w:bodyDiv w:val="1"/>
      <w:marLeft w:val="0"/>
      <w:marRight w:val="0"/>
      <w:marTop w:val="0"/>
      <w:marBottom w:val="0"/>
      <w:divBdr>
        <w:top w:val="none" w:sz="0" w:space="0" w:color="auto"/>
        <w:left w:val="none" w:sz="0" w:space="0" w:color="auto"/>
        <w:bottom w:val="none" w:sz="0" w:space="0" w:color="auto"/>
        <w:right w:val="none" w:sz="0" w:space="0" w:color="auto"/>
      </w:divBdr>
    </w:div>
    <w:div w:id="1756824671">
      <w:bodyDiv w:val="1"/>
      <w:marLeft w:val="0"/>
      <w:marRight w:val="0"/>
      <w:marTop w:val="0"/>
      <w:marBottom w:val="0"/>
      <w:divBdr>
        <w:top w:val="none" w:sz="0" w:space="0" w:color="auto"/>
        <w:left w:val="none" w:sz="0" w:space="0" w:color="auto"/>
        <w:bottom w:val="none" w:sz="0" w:space="0" w:color="auto"/>
        <w:right w:val="none" w:sz="0" w:space="0" w:color="auto"/>
      </w:divBdr>
    </w:div>
    <w:div w:id="1795951188">
      <w:bodyDiv w:val="1"/>
      <w:marLeft w:val="0"/>
      <w:marRight w:val="0"/>
      <w:marTop w:val="0"/>
      <w:marBottom w:val="0"/>
      <w:divBdr>
        <w:top w:val="none" w:sz="0" w:space="0" w:color="auto"/>
        <w:left w:val="none" w:sz="0" w:space="0" w:color="auto"/>
        <w:bottom w:val="none" w:sz="0" w:space="0" w:color="auto"/>
        <w:right w:val="none" w:sz="0" w:space="0" w:color="auto"/>
      </w:divBdr>
    </w:div>
    <w:div w:id="1798061773">
      <w:bodyDiv w:val="1"/>
      <w:marLeft w:val="0"/>
      <w:marRight w:val="0"/>
      <w:marTop w:val="0"/>
      <w:marBottom w:val="0"/>
      <w:divBdr>
        <w:top w:val="none" w:sz="0" w:space="0" w:color="auto"/>
        <w:left w:val="none" w:sz="0" w:space="0" w:color="auto"/>
        <w:bottom w:val="none" w:sz="0" w:space="0" w:color="auto"/>
        <w:right w:val="none" w:sz="0" w:space="0" w:color="auto"/>
      </w:divBdr>
    </w:div>
    <w:div w:id="1830516226">
      <w:bodyDiv w:val="1"/>
      <w:marLeft w:val="0"/>
      <w:marRight w:val="0"/>
      <w:marTop w:val="0"/>
      <w:marBottom w:val="0"/>
      <w:divBdr>
        <w:top w:val="none" w:sz="0" w:space="0" w:color="auto"/>
        <w:left w:val="none" w:sz="0" w:space="0" w:color="auto"/>
        <w:bottom w:val="none" w:sz="0" w:space="0" w:color="auto"/>
        <w:right w:val="none" w:sz="0" w:space="0" w:color="auto"/>
      </w:divBdr>
    </w:div>
    <w:div w:id="1998533442">
      <w:bodyDiv w:val="1"/>
      <w:marLeft w:val="0"/>
      <w:marRight w:val="0"/>
      <w:marTop w:val="0"/>
      <w:marBottom w:val="0"/>
      <w:divBdr>
        <w:top w:val="none" w:sz="0" w:space="0" w:color="auto"/>
        <w:left w:val="none" w:sz="0" w:space="0" w:color="auto"/>
        <w:bottom w:val="none" w:sz="0" w:space="0" w:color="auto"/>
        <w:right w:val="none" w:sz="0" w:space="0" w:color="auto"/>
      </w:divBdr>
    </w:div>
    <w:div w:id="2001617247">
      <w:bodyDiv w:val="1"/>
      <w:marLeft w:val="0"/>
      <w:marRight w:val="0"/>
      <w:marTop w:val="0"/>
      <w:marBottom w:val="0"/>
      <w:divBdr>
        <w:top w:val="none" w:sz="0" w:space="0" w:color="auto"/>
        <w:left w:val="none" w:sz="0" w:space="0" w:color="auto"/>
        <w:bottom w:val="none" w:sz="0" w:space="0" w:color="auto"/>
        <w:right w:val="none" w:sz="0" w:space="0" w:color="auto"/>
      </w:divBdr>
    </w:div>
    <w:div w:id="2063825958">
      <w:bodyDiv w:val="1"/>
      <w:marLeft w:val="0"/>
      <w:marRight w:val="0"/>
      <w:marTop w:val="0"/>
      <w:marBottom w:val="0"/>
      <w:divBdr>
        <w:top w:val="none" w:sz="0" w:space="0" w:color="auto"/>
        <w:left w:val="none" w:sz="0" w:space="0" w:color="auto"/>
        <w:bottom w:val="none" w:sz="0" w:space="0" w:color="auto"/>
        <w:right w:val="none" w:sz="0" w:space="0" w:color="auto"/>
      </w:divBdr>
    </w:div>
    <w:div w:id="2072607844">
      <w:bodyDiv w:val="1"/>
      <w:marLeft w:val="0"/>
      <w:marRight w:val="0"/>
      <w:marTop w:val="0"/>
      <w:marBottom w:val="0"/>
      <w:divBdr>
        <w:top w:val="none" w:sz="0" w:space="0" w:color="auto"/>
        <w:left w:val="none" w:sz="0" w:space="0" w:color="auto"/>
        <w:bottom w:val="none" w:sz="0" w:space="0" w:color="auto"/>
        <w:right w:val="none" w:sz="0" w:space="0" w:color="auto"/>
      </w:divBdr>
    </w:div>
    <w:div w:id="2143765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chart" Target="charts/chart6.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chart" Target="charts/chart5.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chart" Target="charts/chart4.xml"/><Relationship Id="rId5" Type="http://schemas.openxmlformats.org/officeDocument/2006/relationships/numbering" Target="numbering.xml"/><Relationship Id="rId15" Type="http://schemas.openxmlformats.org/officeDocument/2006/relationships/chart" Target="charts/chart2.xml"/><Relationship Id="rId23" Type="http://schemas.openxmlformats.org/officeDocument/2006/relationships/chart" Target="charts/chart3.xml"/><Relationship Id="rId28" Type="http://schemas.openxmlformats.org/officeDocument/2006/relationships/chart" Target="charts/chart7.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image" Target="media/image8.png"/><Relationship Id="rId27" Type="http://schemas.openxmlformats.org/officeDocument/2006/relationships/image" Target="media/image9.pn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ihacpa.gov.au/resources/australian-hospital-patient-costing-standards-version-4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haskarmallesh\Desktop\2458\Provided\KPMG%20Brand\Word%20templates\kpmg-portrait-report-word-template-full-cover-option-1.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oleObject" Target="file:///C:\Users\sdix\OneDrive%20-%20KPMG\Documents\Haemo%20and%20Chemo%20Stats%20-%20IHACP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oleObject" Target="file:///C:\Users\sdix\OneDrive%20-%20KPMG\Documents\Haemo%20and%20Chemo%20Stats%20-%20IHACP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kpmgaust-my.sharepoint.com/personal/sdix_kpmg_com_au/Documents/Documents/Haemo%20and%20Chemo%20Stats%20-%20IHACPA.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731232602077131"/>
          <c:y val="3.5383992302145353E-2"/>
          <c:w val="0.76292393171629691"/>
          <c:h val="0.63306951954009427"/>
        </c:manualLayout>
      </c:layout>
      <c:barChart>
        <c:barDir val="col"/>
        <c:grouping val="clustered"/>
        <c:varyColors val="0"/>
        <c:ser>
          <c:idx val="1"/>
          <c:order val="1"/>
          <c:tx>
            <c:strRef>
              <c:f>HAEMO!$Q$5</c:f>
              <c:strCache>
                <c:ptCount val="1"/>
                <c:pt idx="0">
                  <c:v>Activity</c:v>
                </c:pt>
              </c:strCache>
            </c:strRef>
          </c:tx>
          <c:spPr>
            <a:solidFill>
              <a:srgbClr val="00338D"/>
            </a:solidFill>
            <a:ln>
              <a:noFill/>
            </a:ln>
            <a:effectLst/>
          </c:spPr>
          <c:invertIfNegative val="0"/>
          <c:cat>
            <c:multiLvlStrRef>
              <c:f>HAEMO!$L$6:$M$19</c:f>
              <c:multiLvlStrCache>
                <c:ptCount val="14"/>
                <c:lvl>
                  <c:pt idx="0">
                    <c:v>CH</c:v>
                  </c:pt>
                  <c:pt idx="1">
                    <c:v>ASH</c:v>
                  </c:pt>
                  <c:pt idx="2">
                    <c:v>PAH</c:v>
                  </c:pt>
                  <c:pt idx="3">
                    <c:v>LMH</c:v>
                  </c:pt>
                  <c:pt idx="4">
                    <c:v>RHH</c:v>
                  </c:pt>
                  <c:pt idx="5">
                    <c:v>CQHHS</c:v>
                  </c:pt>
                  <c:pt idx="6">
                    <c:v>MHS</c:v>
                  </c:pt>
                  <c:pt idx="7">
                    <c:v>MSHS</c:v>
                  </c:pt>
                  <c:pt idx="8">
                    <c:v>LRH</c:v>
                  </c:pt>
                  <c:pt idx="9">
                    <c:v>BHS</c:v>
                  </c:pt>
                  <c:pt idx="10">
                    <c:v>RMH</c:v>
                  </c:pt>
                  <c:pt idx="11">
                    <c:v>RPH</c:v>
                  </c:pt>
                  <c:pt idx="12">
                    <c:v>PCH</c:v>
                  </c:pt>
                  <c:pt idx="13">
                    <c:v>AH</c:v>
                  </c:pt>
                </c:lvl>
                <c:lvl>
                  <c:pt idx="0">
                    <c:v>ACT</c:v>
                  </c:pt>
                  <c:pt idx="1">
                    <c:v>NT</c:v>
                  </c:pt>
                  <c:pt idx="2">
                    <c:v>SA</c:v>
                  </c:pt>
                  <c:pt idx="3">
                    <c:v>SA</c:v>
                  </c:pt>
                  <c:pt idx="4">
                    <c:v>TAS</c:v>
                  </c:pt>
                  <c:pt idx="5">
                    <c:v>QLD</c:v>
                  </c:pt>
                  <c:pt idx="6">
                    <c:v>QLD</c:v>
                  </c:pt>
                  <c:pt idx="7">
                    <c:v>QLD</c:v>
                  </c:pt>
                  <c:pt idx="8">
                    <c:v>VIC</c:v>
                  </c:pt>
                  <c:pt idx="9">
                    <c:v>VIC</c:v>
                  </c:pt>
                  <c:pt idx="10">
                    <c:v>VIC</c:v>
                  </c:pt>
                  <c:pt idx="11">
                    <c:v>WA</c:v>
                  </c:pt>
                  <c:pt idx="12">
                    <c:v>WA</c:v>
                  </c:pt>
                  <c:pt idx="13">
                    <c:v>WA</c:v>
                  </c:pt>
                </c:lvl>
              </c:multiLvlStrCache>
            </c:multiLvlStrRef>
          </c:cat>
          <c:val>
            <c:numRef>
              <c:f>HAEMO!$Q$6:$Q$19</c:f>
              <c:numCache>
                <c:formatCode>#,##0</c:formatCode>
                <c:ptCount val="14"/>
                <c:pt idx="0">
                  <c:v>21396</c:v>
                </c:pt>
                <c:pt idx="1">
                  <c:v>35464</c:v>
                </c:pt>
                <c:pt idx="2">
                  <c:v>5093</c:v>
                </c:pt>
                <c:pt idx="3">
                  <c:v>7438</c:v>
                </c:pt>
                <c:pt idx="4">
                  <c:v>11414</c:v>
                </c:pt>
                <c:pt idx="5">
                  <c:v>13033</c:v>
                </c:pt>
                <c:pt idx="6">
                  <c:v>9875</c:v>
                </c:pt>
                <c:pt idx="7">
                  <c:v>40373</c:v>
                </c:pt>
                <c:pt idx="8">
                  <c:v>6546</c:v>
                </c:pt>
                <c:pt idx="9">
                  <c:v>8342</c:v>
                </c:pt>
                <c:pt idx="10">
                  <c:v>24450</c:v>
                </c:pt>
                <c:pt idx="11">
                  <c:v>32385</c:v>
                </c:pt>
                <c:pt idx="12" formatCode="General">
                  <c:v>327</c:v>
                </c:pt>
                <c:pt idx="13">
                  <c:v>2401</c:v>
                </c:pt>
              </c:numCache>
            </c:numRef>
          </c:val>
          <c:extLst>
            <c:ext xmlns:c16="http://schemas.microsoft.com/office/drawing/2014/chart" uri="{C3380CC4-5D6E-409C-BE32-E72D297353CC}">
              <c16:uniqueId val="{00000000-0764-4C32-B0D9-5B64F8AB2898}"/>
            </c:ext>
          </c:extLst>
        </c:ser>
        <c:dLbls>
          <c:showLegendKey val="0"/>
          <c:showVal val="0"/>
          <c:showCatName val="0"/>
          <c:showSerName val="0"/>
          <c:showPercent val="0"/>
          <c:showBubbleSize val="0"/>
        </c:dLbls>
        <c:gapWidth val="24"/>
        <c:axId val="727545344"/>
        <c:axId val="727552832"/>
      </c:barChart>
      <c:lineChart>
        <c:grouping val="standard"/>
        <c:varyColors val="0"/>
        <c:ser>
          <c:idx val="0"/>
          <c:order val="0"/>
          <c:tx>
            <c:strRef>
              <c:f>HAEMO!$P$5</c:f>
              <c:strCache>
                <c:ptCount val="1"/>
                <c:pt idx="0">
                  <c:v>Average cost</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multiLvlStrRef>
              <c:f>HAEMO!$L$6:$M$19</c:f>
              <c:multiLvlStrCache>
                <c:ptCount val="14"/>
                <c:lvl>
                  <c:pt idx="0">
                    <c:v>CH</c:v>
                  </c:pt>
                  <c:pt idx="1">
                    <c:v>ASH</c:v>
                  </c:pt>
                  <c:pt idx="2">
                    <c:v>PAH</c:v>
                  </c:pt>
                  <c:pt idx="3">
                    <c:v>LMH</c:v>
                  </c:pt>
                  <c:pt idx="4">
                    <c:v>RHH</c:v>
                  </c:pt>
                  <c:pt idx="5">
                    <c:v>CQHHS</c:v>
                  </c:pt>
                  <c:pt idx="6">
                    <c:v>MHS</c:v>
                  </c:pt>
                  <c:pt idx="7">
                    <c:v>MSHS</c:v>
                  </c:pt>
                  <c:pt idx="8">
                    <c:v>LRH</c:v>
                  </c:pt>
                  <c:pt idx="9">
                    <c:v>BHS</c:v>
                  </c:pt>
                  <c:pt idx="10">
                    <c:v>RMH</c:v>
                  </c:pt>
                  <c:pt idx="11">
                    <c:v>RPH</c:v>
                  </c:pt>
                  <c:pt idx="12">
                    <c:v>PCH</c:v>
                  </c:pt>
                  <c:pt idx="13">
                    <c:v>AH</c:v>
                  </c:pt>
                </c:lvl>
                <c:lvl>
                  <c:pt idx="0">
                    <c:v>ACT</c:v>
                  </c:pt>
                  <c:pt idx="1">
                    <c:v>NT</c:v>
                  </c:pt>
                  <c:pt idx="2">
                    <c:v>SA</c:v>
                  </c:pt>
                  <c:pt idx="3">
                    <c:v>SA</c:v>
                  </c:pt>
                  <c:pt idx="4">
                    <c:v>TAS</c:v>
                  </c:pt>
                  <c:pt idx="5">
                    <c:v>QLD</c:v>
                  </c:pt>
                  <c:pt idx="6">
                    <c:v>QLD</c:v>
                  </c:pt>
                  <c:pt idx="7">
                    <c:v>QLD</c:v>
                  </c:pt>
                  <c:pt idx="8">
                    <c:v>VIC</c:v>
                  </c:pt>
                  <c:pt idx="9">
                    <c:v>VIC</c:v>
                  </c:pt>
                  <c:pt idx="10">
                    <c:v>VIC</c:v>
                  </c:pt>
                  <c:pt idx="11">
                    <c:v>WA</c:v>
                  </c:pt>
                  <c:pt idx="12">
                    <c:v>WA</c:v>
                  </c:pt>
                  <c:pt idx="13">
                    <c:v>WA</c:v>
                  </c:pt>
                </c:lvl>
              </c:multiLvlStrCache>
            </c:multiLvlStrRef>
          </c:cat>
          <c:val>
            <c:numRef>
              <c:f>HAEMO!$P$6:$P$19</c:f>
              <c:numCache>
                <c:formatCode>"$"#,##0_);[Red]\("$"#,##0\)</c:formatCode>
                <c:ptCount val="14"/>
                <c:pt idx="0">
                  <c:v>481</c:v>
                </c:pt>
                <c:pt idx="1">
                  <c:v>684</c:v>
                </c:pt>
                <c:pt idx="2">
                  <c:v>638</c:v>
                </c:pt>
                <c:pt idx="3">
                  <c:v>519</c:v>
                </c:pt>
                <c:pt idx="4">
                  <c:v>900</c:v>
                </c:pt>
                <c:pt idx="5">
                  <c:v>725</c:v>
                </c:pt>
                <c:pt idx="6">
                  <c:v>762</c:v>
                </c:pt>
                <c:pt idx="7">
                  <c:v>681</c:v>
                </c:pt>
                <c:pt idx="8">
                  <c:v>465</c:v>
                </c:pt>
                <c:pt idx="9">
                  <c:v>686</c:v>
                </c:pt>
                <c:pt idx="10">
                  <c:v>529</c:v>
                </c:pt>
                <c:pt idx="11">
                  <c:v>627</c:v>
                </c:pt>
                <c:pt idx="12">
                  <c:v>1911</c:v>
                </c:pt>
                <c:pt idx="13">
                  <c:v>720</c:v>
                </c:pt>
              </c:numCache>
            </c:numRef>
          </c:val>
          <c:smooth val="0"/>
          <c:extLst>
            <c:ext xmlns:c16="http://schemas.microsoft.com/office/drawing/2014/chart" uri="{C3380CC4-5D6E-409C-BE32-E72D297353CC}">
              <c16:uniqueId val="{00000001-0764-4C32-B0D9-5B64F8AB2898}"/>
            </c:ext>
          </c:extLst>
        </c:ser>
        <c:dLbls>
          <c:showLegendKey val="0"/>
          <c:showVal val="0"/>
          <c:showCatName val="0"/>
          <c:showSerName val="0"/>
          <c:showPercent val="0"/>
          <c:showBubbleSize val="0"/>
        </c:dLbls>
        <c:marker val="1"/>
        <c:smooth val="0"/>
        <c:axId val="746627120"/>
        <c:axId val="746631696"/>
      </c:lineChart>
      <c:catAx>
        <c:axId val="727545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27552832"/>
        <c:crosses val="autoZero"/>
        <c:auto val="1"/>
        <c:lblAlgn val="ctr"/>
        <c:lblOffset val="100"/>
        <c:noMultiLvlLbl val="0"/>
      </c:catAx>
      <c:valAx>
        <c:axId val="7275528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Activity (volume)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27545344"/>
        <c:crosses val="autoZero"/>
        <c:crossBetween val="between"/>
      </c:valAx>
      <c:valAx>
        <c:axId val="746631696"/>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Average cost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quot;$&quot;#,##0_);[Red]\(&quot;$&quot;#,##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46627120"/>
        <c:crosses val="max"/>
        <c:crossBetween val="between"/>
      </c:valAx>
      <c:catAx>
        <c:axId val="746627120"/>
        <c:scaling>
          <c:orientation val="minMax"/>
        </c:scaling>
        <c:delete val="1"/>
        <c:axPos val="b"/>
        <c:numFmt formatCode="General" sourceLinked="1"/>
        <c:majorTickMark val="out"/>
        <c:minorTickMark val="none"/>
        <c:tickLblPos val="nextTo"/>
        <c:crossAx val="74663169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HAEMO!$U$5</c:f>
              <c:strCache>
                <c:ptCount val="1"/>
                <c:pt idx="0">
                  <c:v>Activity</c:v>
                </c:pt>
              </c:strCache>
            </c:strRef>
          </c:tx>
          <c:spPr>
            <a:solidFill>
              <a:srgbClr val="00338D"/>
            </a:solidFill>
            <a:ln>
              <a:noFill/>
            </a:ln>
            <a:effectLst/>
          </c:spPr>
          <c:invertIfNegative val="0"/>
          <c:cat>
            <c:multiLvlStrRef>
              <c:f>HAEMO!$L$6:$M$19</c:f>
              <c:multiLvlStrCache>
                <c:ptCount val="14"/>
                <c:lvl>
                  <c:pt idx="0">
                    <c:v>CH</c:v>
                  </c:pt>
                  <c:pt idx="1">
                    <c:v>ASH</c:v>
                  </c:pt>
                  <c:pt idx="2">
                    <c:v>PAH</c:v>
                  </c:pt>
                  <c:pt idx="3">
                    <c:v>LMH</c:v>
                  </c:pt>
                  <c:pt idx="4">
                    <c:v>RHH</c:v>
                  </c:pt>
                  <c:pt idx="5">
                    <c:v>CQHHS</c:v>
                  </c:pt>
                  <c:pt idx="6">
                    <c:v>MHS</c:v>
                  </c:pt>
                  <c:pt idx="7">
                    <c:v>MSHS</c:v>
                  </c:pt>
                  <c:pt idx="8">
                    <c:v>LRH</c:v>
                  </c:pt>
                  <c:pt idx="9">
                    <c:v>BHS</c:v>
                  </c:pt>
                  <c:pt idx="10">
                    <c:v>RMH</c:v>
                  </c:pt>
                  <c:pt idx="11">
                    <c:v>RPH</c:v>
                  </c:pt>
                  <c:pt idx="12">
                    <c:v>PCH</c:v>
                  </c:pt>
                  <c:pt idx="13">
                    <c:v>AH</c:v>
                  </c:pt>
                </c:lvl>
                <c:lvl>
                  <c:pt idx="0">
                    <c:v>ACT</c:v>
                  </c:pt>
                  <c:pt idx="1">
                    <c:v>NT</c:v>
                  </c:pt>
                  <c:pt idx="2">
                    <c:v>SA</c:v>
                  </c:pt>
                  <c:pt idx="3">
                    <c:v>SA</c:v>
                  </c:pt>
                  <c:pt idx="4">
                    <c:v>TAS</c:v>
                  </c:pt>
                  <c:pt idx="5">
                    <c:v>QLD</c:v>
                  </c:pt>
                  <c:pt idx="6">
                    <c:v>QLD</c:v>
                  </c:pt>
                  <c:pt idx="7">
                    <c:v>QLD</c:v>
                  </c:pt>
                  <c:pt idx="8">
                    <c:v>VIC</c:v>
                  </c:pt>
                  <c:pt idx="9">
                    <c:v>VIC</c:v>
                  </c:pt>
                  <c:pt idx="10">
                    <c:v>VIC</c:v>
                  </c:pt>
                  <c:pt idx="11">
                    <c:v>WA</c:v>
                  </c:pt>
                  <c:pt idx="12">
                    <c:v>WA</c:v>
                  </c:pt>
                  <c:pt idx="13">
                    <c:v>WA</c:v>
                  </c:pt>
                </c:lvl>
              </c:multiLvlStrCache>
            </c:multiLvlStrRef>
          </c:cat>
          <c:val>
            <c:numRef>
              <c:f>HAEMO!$U$6:$U$19</c:f>
              <c:numCache>
                <c:formatCode>General</c:formatCode>
                <c:ptCount val="14"/>
                <c:pt idx="0">
                  <c:v>169</c:v>
                </c:pt>
                <c:pt idx="1">
                  <c:v>588</c:v>
                </c:pt>
                <c:pt idx="2">
                  <c:v>303</c:v>
                </c:pt>
                <c:pt idx="3" formatCode="#,##0">
                  <c:v>8878</c:v>
                </c:pt>
                <c:pt idx="4" formatCode="#,##0">
                  <c:v>2888</c:v>
                </c:pt>
                <c:pt idx="5" formatCode="#,##0">
                  <c:v>3847</c:v>
                </c:pt>
                <c:pt idx="6" formatCode="#,##0">
                  <c:v>3517</c:v>
                </c:pt>
                <c:pt idx="7" formatCode="#,##0">
                  <c:v>17900</c:v>
                </c:pt>
                <c:pt idx="8" formatCode="#,##0">
                  <c:v>3633</c:v>
                </c:pt>
                <c:pt idx="9" formatCode="#,##0">
                  <c:v>3877</c:v>
                </c:pt>
                <c:pt idx="10">
                  <c:v>391</c:v>
                </c:pt>
                <c:pt idx="11" formatCode="#,##0">
                  <c:v>3710</c:v>
                </c:pt>
                <c:pt idx="12" formatCode="#,##0">
                  <c:v>1576</c:v>
                </c:pt>
                <c:pt idx="13" formatCode="#,##0">
                  <c:v>1825</c:v>
                </c:pt>
              </c:numCache>
            </c:numRef>
          </c:val>
          <c:extLst>
            <c:ext xmlns:c16="http://schemas.microsoft.com/office/drawing/2014/chart" uri="{C3380CC4-5D6E-409C-BE32-E72D297353CC}">
              <c16:uniqueId val="{00000000-1EB6-4B7A-8D6F-4A70ACBC04A7}"/>
            </c:ext>
          </c:extLst>
        </c:ser>
        <c:dLbls>
          <c:showLegendKey val="0"/>
          <c:showVal val="0"/>
          <c:showCatName val="0"/>
          <c:showSerName val="0"/>
          <c:showPercent val="0"/>
          <c:showBubbleSize val="0"/>
        </c:dLbls>
        <c:gapWidth val="24"/>
        <c:axId val="875187040"/>
        <c:axId val="880316096"/>
      </c:barChart>
      <c:lineChart>
        <c:grouping val="standard"/>
        <c:varyColors val="0"/>
        <c:ser>
          <c:idx val="0"/>
          <c:order val="0"/>
          <c:tx>
            <c:strRef>
              <c:f>HAEMO!$T$5</c:f>
              <c:strCache>
                <c:ptCount val="1"/>
                <c:pt idx="0">
                  <c:v>Average cost</c:v>
                </c:pt>
              </c:strCache>
            </c:strRef>
          </c:tx>
          <c:spPr>
            <a:ln w="28575" cap="rnd">
              <a:solidFill>
                <a:schemeClr val="accent4"/>
              </a:solidFill>
              <a:round/>
            </a:ln>
            <a:effectLst/>
          </c:spPr>
          <c:marker>
            <c:symbol val="circle"/>
            <c:size val="5"/>
            <c:spPr>
              <a:solidFill>
                <a:schemeClr val="accent4"/>
              </a:solidFill>
              <a:ln w="9525">
                <a:noFill/>
              </a:ln>
              <a:effectLst/>
            </c:spPr>
          </c:marker>
          <c:cat>
            <c:multiLvlStrRef>
              <c:f>HAEMO!$L$6:$M$19</c:f>
              <c:multiLvlStrCache>
                <c:ptCount val="14"/>
                <c:lvl>
                  <c:pt idx="0">
                    <c:v>CH</c:v>
                  </c:pt>
                  <c:pt idx="1">
                    <c:v>ASH</c:v>
                  </c:pt>
                  <c:pt idx="2">
                    <c:v>PAH</c:v>
                  </c:pt>
                  <c:pt idx="3">
                    <c:v>LMH</c:v>
                  </c:pt>
                  <c:pt idx="4">
                    <c:v>RHH</c:v>
                  </c:pt>
                  <c:pt idx="5">
                    <c:v>CQHHS</c:v>
                  </c:pt>
                  <c:pt idx="6">
                    <c:v>MHS</c:v>
                  </c:pt>
                  <c:pt idx="7">
                    <c:v>MSHS</c:v>
                  </c:pt>
                  <c:pt idx="8">
                    <c:v>LRH</c:v>
                  </c:pt>
                  <c:pt idx="9">
                    <c:v>BHS</c:v>
                  </c:pt>
                  <c:pt idx="10">
                    <c:v>RMH</c:v>
                  </c:pt>
                  <c:pt idx="11">
                    <c:v>RPH</c:v>
                  </c:pt>
                  <c:pt idx="12">
                    <c:v>PCH</c:v>
                  </c:pt>
                  <c:pt idx="13">
                    <c:v>AH</c:v>
                  </c:pt>
                </c:lvl>
                <c:lvl>
                  <c:pt idx="0">
                    <c:v>ACT</c:v>
                  </c:pt>
                  <c:pt idx="1">
                    <c:v>NT</c:v>
                  </c:pt>
                  <c:pt idx="2">
                    <c:v>SA</c:v>
                  </c:pt>
                  <c:pt idx="3">
                    <c:v>SA</c:v>
                  </c:pt>
                  <c:pt idx="4">
                    <c:v>TAS</c:v>
                  </c:pt>
                  <c:pt idx="5">
                    <c:v>QLD</c:v>
                  </c:pt>
                  <c:pt idx="6">
                    <c:v>QLD</c:v>
                  </c:pt>
                  <c:pt idx="7">
                    <c:v>QLD</c:v>
                  </c:pt>
                  <c:pt idx="8">
                    <c:v>VIC</c:v>
                  </c:pt>
                  <c:pt idx="9">
                    <c:v>VIC</c:v>
                  </c:pt>
                  <c:pt idx="10">
                    <c:v>VIC</c:v>
                  </c:pt>
                  <c:pt idx="11">
                    <c:v>WA</c:v>
                  </c:pt>
                  <c:pt idx="12">
                    <c:v>WA</c:v>
                  </c:pt>
                  <c:pt idx="13">
                    <c:v>WA</c:v>
                  </c:pt>
                </c:lvl>
              </c:multiLvlStrCache>
            </c:multiLvlStrRef>
          </c:cat>
          <c:val>
            <c:numRef>
              <c:f>HAEMO!$T$6:$T$19</c:f>
              <c:numCache>
                <c:formatCode>"$"#,##0_);[Red]\("$"#,##0\)</c:formatCode>
                <c:ptCount val="14"/>
                <c:pt idx="0">
                  <c:v>372</c:v>
                </c:pt>
                <c:pt idx="1">
                  <c:v>3344</c:v>
                </c:pt>
                <c:pt idx="2">
                  <c:v>4173</c:v>
                </c:pt>
                <c:pt idx="3">
                  <c:v>1033</c:v>
                </c:pt>
                <c:pt idx="4">
                  <c:v>2819</c:v>
                </c:pt>
                <c:pt idx="5">
                  <c:v>1976</c:v>
                </c:pt>
                <c:pt idx="6">
                  <c:v>1131</c:v>
                </c:pt>
                <c:pt idx="7">
                  <c:v>2731</c:v>
                </c:pt>
                <c:pt idx="8">
                  <c:v>3123</c:v>
                </c:pt>
                <c:pt idx="9">
                  <c:v>3257</c:v>
                </c:pt>
                <c:pt idx="10">
                  <c:v>1231</c:v>
                </c:pt>
                <c:pt idx="11">
                  <c:v>2566</c:v>
                </c:pt>
                <c:pt idx="12">
                  <c:v>2153</c:v>
                </c:pt>
                <c:pt idx="13">
                  <c:v>4243</c:v>
                </c:pt>
              </c:numCache>
            </c:numRef>
          </c:val>
          <c:smooth val="0"/>
          <c:extLst>
            <c:ext xmlns:c16="http://schemas.microsoft.com/office/drawing/2014/chart" uri="{C3380CC4-5D6E-409C-BE32-E72D297353CC}">
              <c16:uniqueId val="{00000001-1EB6-4B7A-8D6F-4A70ACBC04A7}"/>
            </c:ext>
          </c:extLst>
        </c:ser>
        <c:dLbls>
          <c:showLegendKey val="0"/>
          <c:showVal val="0"/>
          <c:showCatName val="0"/>
          <c:showSerName val="0"/>
          <c:showPercent val="0"/>
          <c:showBubbleSize val="0"/>
        </c:dLbls>
        <c:marker val="1"/>
        <c:smooth val="0"/>
        <c:axId val="834229392"/>
        <c:axId val="834231888"/>
      </c:lineChart>
      <c:catAx>
        <c:axId val="875187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80316096"/>
        <c:crosses val="autoZero"/>
        <c:auto val="1"/>
        <c:lblAlgn val="ctr"/>
        <c:lblOffset val="100"/>
        <c:noMultiLvlLbl val="0"/>
      </c:catAx>
      <c:valAx>
        <c:axId val="8803160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Activity (volume)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75187040"/>
        <c:crosses val="autoZero"/>
        <c:crossBetween val="between"/>
      </c:valAx>
      <c:valAx>
        <c:axId val="834231888"/>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Average cost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quot;$&quot;#,##0_);[Red]\(&quot;$&quot;#,##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34229392"/>
        <c:crosses val="max"/>
        <c:crossBetween val="between"/>
      </c:valAx>
      <c:catAx>
        <c:axId val="834229392"/>
        <c:scaling>
          <c:orientation val="minMax"/>
        </c:scaling>
        <c:delete val="1"/>
        <c:axPos val="b"/>
        <c:numFmt formatCode="General" sourceLinked="1"/>
        <c:majorTickMark val="out"/>
        <c:minorTickMark val="none"/>
        <c:tickLblPos val="nextTo"/>
        <c:crossAx val="83423188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731232602077131"/>
          <c:y val="3.5383992302145353E-2"/>
          <c:w val="0.76292393171629691"/>
          <c:h val="0.63306951954009427"/>
        </c:manualLayout>
      </c:layout>
      <c:barChart>
        <c:barDir val="col"/>
        <c:grouping val="clustered"/>
        <c:varyColors val="0"/>
        <c:ser>
          <c:idx val="1"/>
          <c:order val="1"/>
          <c:tx>
            <c:strRef>
              <c:f>HAEMO!$Q$5</c:f>
              <c:strCache>
                <c:ptCount val="1"/>
                <c:pt idx="0">
                  <c:v>Activity</c:v>
                </c:pt>
              </c:strCache>
            </c:strRef>
          </c:tx>
          <c:spPr>
            <a:solidFill>
              <a:srgbClr val="00338D"/>
            </a:solidFill>
            <a:ln>
              <a:noFill/>
            </a:ln>
            <a:effectLst/>
          </c:spPr>
          <c:invertIfNegative val="0"/>
          <c:cat>
            <c:multiLvlStrRef>
              <c:f>HAEMO!$L$6:$M$19</c:f>
              <c:multiLvlStrCache>
                <c:ptCount val="14"/>
                <c:lvl>
                  <c:pt idx="0">
                    <c:v>CH</c:v>
                  </c:pt>
                  <c:pt idx="1">
                    <c:v>ASH</c:v>
                  </c:pt>
                  <c:pt idx="2">
                    <c:v>PAH</c:v>
                  </c:pt>
                  <c:pt idx="3">
                    <c:v>LMH</c:v>
                  </c:pt>
                  <c:pt idx="4">
                    <c:v>RHH</c:v>
                  </c:pt>
                  <c:pt idx="5">
                    <c:v>CQHHS</c:v>
                  </c:pt>
                  <c:pt idx="6">
                    <c:v>MHS</c:v>
                  </c:pt>
                  <c:pt idx="7">
                    <c:v>MSHS</c:v>
                  </c:pt>
                  <c:pt idx="8">
                    <c:v>LRH</c:v>
                  </c:pt>
                  <c:pt idx="9">
                    <c:v>BHS</c:v>
                  </c:pt>
                  <c:pt idx="10">
                    <c:v>RMH</c:v>
                  </c:pt>
                  <c:pt idx="11">
                    <c:v>RPH</c:v>
                  </c:pt>
                  <c:pt idx="12">
                    <c:v>PCH</c:v>
                  </c:pt>
                  <c:pt idx="13">
                    <c:v>AH</c:v>
                  </c:pt>
                </c:lvl>
                <c:lvl>
                  <c:pt idx="0">
                    <c:v>ACT</c:v>
                  </c:pt>
                  <c:pt idx="1">
                    <c:v>NT</c:v>
                  </c:pt>
                  <c:pt idx="2">
                    <c:v>SA</c:v>
                  </c:pt>
                  <c:pt idx="3">
                    <c:v>SA</c:v>
                  </c:pt>
                  <c:pt idx="4">
                    <c:v>TAS</c:v>
                  </c:pt>
                  <c:pt idx="5">
                    <c:v>QLD</c:v>
                  </c:pt>
                  <c:pt idx="6">
                    <c:v>QLD</c:v>
                  </c:pt>
                  <c:pt idx="7">
                    <c:v>QLD</c:v>
                  </c:pt>
                  <c:pt idx="8">
                    <c:v>VIC</c:v>
                  </c:pt>
                  <c:pt idx="9">
                    <c:v>VIC</c:v>
                  </c:pt>
                  <c:pt idx="10">
                    <c:v>VIC</c:v>
                  </c:pt>
                  <c:pt idx="11">
                    <c:v>WA</c:v>
                  </c:pt>
                  <c:pt idx="12">
                    <c:v>WA</c:v>
                  </c:pt>
                  <c:pt idx="13">
                    <c:v>WA</c:v>
                  </c:pt>
                </c:lvl>
              </c:multiLvlStrCache>
            </c:multiLvlStrRef>
          </c:cat>
          <c:val>
            <c:numRef>
              <c:f>HAEMO!$Q$6:$Q$19</c:f>
              <c:numCache>
                <c:formatCode>#,##0</c:formatCode>
                <c:ptCount val="14"/>
                <c:pt idx="0">
                  <c:v>21396</c:v>
                </c:pt>
                <c:pt idx="1">
                  <c:v>35464</c:v>
                </c:pt>
                <c:pt idx="2">
                  <c:v>5093</c:v>
                </c:pt>
                <c:pt idx="3">
                  <c:v>7438</c:v>
                </c:pt>
                <c:pt idx="4">
                  <c:v>11414</c:v>
                </c:pt>
                <c:pt idx="5">
                  <c:v>13033</c:v>
                </c:pt>
                <c:pt idx="6">
                  <c:v>9875</c:v>
                </c:pt>
                <c:pt idx="7">
                  <c:v>40373</c:v>
                </c:pt>
                <c:pt idx="8">
                  <c:v>6546</c:v>
                </c:pt>
                <c:pt idx="9">
                  <c:v>8342</c:v>
                </c:pt>
                <c:pt idx="10">
                  <c:v>24450</c:v>
                </c:pt>
                <c:pt idx="11">
                  <c:v>32385</c:v>
                </c:pt>
                <c:pt idx="12" formatCode="General">
                  <c:v>327</c:v>
                </c:pt>
                <c:pt idx="13">
                  <c:v>2401</c:v>
                </c:pt>
              </c:numCache>
            </c:numRef>
          </c:val>
          <c:extLst>
            <c:ext xmlns:c16="http://schemas.microsoft.com/office/drawing/2014/chart" uri="{C3380CC4-5D6E-409C-BE32-E72D297353CC}">
              <c16:uniqueId val="{00000000-D31A-4485-924A-6D47DBB11E68}"/>
            </c:ext>
          </c:extLst>
        </c:ser>
        <c:dLbls>
          <c:showLegendKey val="0"/>
          <c:showVal val="0"/>
          <c:showCatName val="0"/>
          <c:showSerName val="0"/>
          <c:showPercent val="0"/>
          <c:showBubbleSize val="0"/>
        </c:dLbls>
        <c:gapWidth val="24"/>
        <c:axId val="727545344"/>
        <c:axId val="727552832"/>
      </c:barChart>
      <c:lineChart>
        <c:grouping val="standard"/>
        <c:varyColors val="0"/>
        <c:ser>
          <c:idx val="0"/>
          <c:order val="0"/>
          <c:tx>
            <c:strRef>
              <c:f>HAEMO!$P$5</c:f>
              <c:strCache>
                <c:ptCount val="1"/>
                <c:pt idx="0">
                  <c:v>Average cost</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multiLvlStrRef>
              <c:f>HAEMO!$L$6:$M$19</c:f>
              <c:multiLvlStrCache>
                <c:ptCount val="14"/>
                <c:lvl>
                  <c:pt idx="0">
                    <c:v>CH</c:v>
                  </c:pt>
                  <c:pt idx="1">
                    <c:v>ASH</c:v>
                  </c:pt>
                  <c:pt idx="2">
                    <c:v>PAH</c:v>
                  </c:pt>
                  <c:pt idx="3">
                    <c:v>LMH</c:v>
                  </c:pt>
                  <c:pt idx="4">
                    <c:v>RHH</c:v>
                  </c:pt>
                  <c:pt idx="5">
                    <c:v>CQHHS</c:v>
                  </c:pt>
                  <c:pt idx="6">
                    <c:v>MHS</c:v>
                  </c:pt>
                  <c:pt idx="7">
                    <c:v>MSHS</c:v>
                  </c:pt>
                  <c:pt idx="8">
                    <c:v>LRH</c:v>
                  </c:pt>
                  <c:pt idx="9">
                    <c:v>BHS</c:v>
                  </c:pt>
                  <c:pt idx="10">
                    <c:v>RMH</c:v>
                  </c:pt>
                  <c:pt idx="11">
                    <c:v>RPH</c:v>
                  </c:pt>
                  <c:pt idx="12">
                    <c:v>PCH</c:v>
                  </c:pt>
                  <c:pt idx="13">
                    <c:v>AH</c:v>
                  </c:pt>
                </c:lvl>
                <c:lvl>
                  <c:pt idx="0">
                    <c:v>ACT</c:v>
                  </c:pt>
                  <c:pt idx="1">
                    <c:v>NT</c:v>
                  </c:pt>
                  <c:pt idx="2">
                    <c:v>SA</c:v>
                  </c:pt>
                  <c:pt idx="3">
                    <c:v>SA</c:v>
                  </c:pt>
                  <c:pt idx="4">
                    <c:v>TAS</c:v>
                  </c:pt>
                  <c:pt idx="5">
                    <c:v>QLD</c:v>
                  </c:pt>
                  <c:pt idx="6">
                    <c:v>QLD</c:v>
                  </c:pt>
                  <c:pt idx="7">
                    <c:v>QLD</c:v>
                  </c:pt>
                  <c:pt idx="8">
                    <c:v>VIC</c:v>
                  </c:pt>
                  <c:pt idx="9">
                    <c:v>VIC</c:v>
                  </c:pt>
                  <c:pt idx="10">
                    <c:v>VIC</c:v>
                  </c:pt>
                  <c:pt idx="11">
                    <c:v>WA</c:v>
                  </c:pt>
                  <c:pt idx="12">
                    <c:v>WA</c:v>
                  </c:pt>
                  <c:pt idx="13">
                    <c:v>WA</c:v>
                  </c:pt>
                </c:lvl>
              </c:multiLvlStrCache>
            </c:multiLvlStrRef>
          </c:cat>
          <c:val>
            <c:numRef>
              <c:f>HAEMO!$P$6:$P$19</c:f>
              <c:numCache>
                <c:formatCode>"$"#,##0_);[Red]\("$"#,##0\)</c:formatCode>
                <c:ptCount val="14"/>
                <c:pt idx="0">
                  <c:v>481</c:v>
                </c:pt>
                <c:pt idx="1">
                  <c:v>684</c:v>
                </c:pt>
                <c:pt idx="2">
                  <c:v>638</c:v>
                </c:pt>
                <c:pt idx="3">
                  <c:v>519</c:v>
                </c:pt>
                <c:pt idx="4">
                  <c:v>900</c:v>
                </c:pt>
                <c:pt idx="5">
                  <c:v>725</c:v>
                </c:pt>
                <c:pt idx="6">
                  <c:v>762</c:v>
                </c:pt>
                <c:pt idx="7">
                  <c:v>681</c:v>
                </c:pt>
                <c:pt idx="8">
                  <c:v>465</c:v>
                </c:pt>
                <c:pt idx="9">
                  <c:v>686</c:v>
                </c:pt>
                <c:pt idx="10">
                  <c:v>529</c:v>
                </c:pt>
                <c:pt idx="11">
                  <c:v>627</c:v>
                </c:pt>
                <c:pt idx="12">
                  <c:v>1911</c:v>
                </c:pt>
                <c:pt idx="13">
                  <c:v>720</c:v>
                </c:pt>
              </c:numCache>
            </c:numRef>
          </c:val>
          <c:smooth val="0"/>
          <c:extLst>
            <c:ext xmlns:c16="http://schemas.microsoft.com/office/drawing/2014/chart" uri="{C3380CC4-5D6E-409C-BE32-E72D297353CC}">
              <c16:uniqueId val="{00000001-D31A-4485-924A-6D47DBB11E68}"/>
            </c:ext>
          </c:extLst>
        </c:ser>
        <c:dLbls>
          <c:showLegendKey val="0"/>
          <c:showVal val="0"/>
          <c:showCatName val="0"/>
          <c:showSerName val="0"/>
          <c:showPercent val="0"/>
          <c:showBubbleSize val="0"/>
        </c:dLbls>
        <c:marker val="1"/>
        <c:smooth val="0"/>
        <c:axId val="746627120"/>
        <c:axId val="746631696"/>
      </c:lineChart>
      <c:catAx>
        <c:axId val="727545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27552832"/>
        <c:crosses val="autoZero"/>
        <c:auto val="1"/>
        <c:lblAlgn val="ctr"/>
        <c:lblOffset val="100"/>
        <c:noMultiLvlLbl val="0"/>
      </c:catAx>
      <c:valAx>
        <c:axId val="7275528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Activity (volume)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27545344"/>
        <c:crosses val="autoZero"/>
        <c:crossBetween val="between"/>
      </c:valAx>
      <c:valAx>
        <c:axId val="746631696"/>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Average cost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quot;$&quot;#,##0_);[Red]\(&quot;$&quot;#,##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46627120"/>
        <c:crosses val="max"/>
        <c:crossBetween val="between"/>
      </c:valAx>
      <c:catAx>
        <c:axId val="746627120"/>
        <c:scaling>
          <c:orientation val="minMax"/>
        </c:scaling>
        <c:delete val="1"/>
        <c:axPos val="b"/>
        <c:numFmt formatCode="General" sourceLinked="1"/>
        <c:majorTickMark val="out"/>
        <c:minorTickMark val="none"/>
        <c:tickLblPos val="nextTo"/>
        <c:crossAx val="74663169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Haemo!$A$22</c:f>
              <c:strCache>
                <c:ptCount val="1"/>
                <c:pt idx="0">
                  <c:v>Direct costs</c:v>
                </c:pt>
              </c:strCache>
            </c:strRef>
          </c:tx>
          <c:spPr>
            <a:solidFill>
              <a:srgbClr val="00338D"/>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Haemo!$B$20:$O$21</c:f>
              <c:multiLvlStrCache>
                <c:ptCount val="14"/>
                <c:lvl>
                  <c:pt idx="0">
                    <c:v>CH</c:v>
                  </c:pt>
                  <c:pt idx="1">
                    <c:v>ASH</c:v>
                  </c:pt>
                  <c:pt idx="2">
                    <c:v>PAH</c:v>
                  </c:pt>
                  <c:pt idx="3">
                    <c:v>LMH</c:v>
                  </c:pt>
                  <c:pt idx="4">
                    <c:v>RHH</c:v>
                  </c:pt>
                  <c:pt idx="5">
                    <c:v>CQHS</c:v>
                  </c:pt>
                  <c:pt idx="6">
                    <c:v>MHS</c:v>
                  </c:pt>
                  <c:pt idx="7">
                    <c:v>MSHS</c:v>
                  </c:pt>
                  <c:pt idx="8">
                    <c:v>LRH</c:v>
                  </c:pt>
                  <c:pt idx="9">
                    <c:v>BHS</c:v>
                  </c:pt>
                  <c:pt idx="10">
                    <c:v>RMH</c:v>
                  </c:pt>
                  <c:pt idx="11">
                    <c:v>RPH</c:v>
                  </c:pt>
                  <c:pt idx="12">
                    <c:v>PCH</c:v>
                  </c:pt>
                  <c:pt idx="13">
                    <c:v>AH</c:v>
                  </c:pt>
                </c:lvl>
                <c:lvl>
                  <c:pt idx="0">
                    <c:v>ACT</c:v>
                  </c:pt>
                  <c:pt idx="1">
                    <c:v>NT</c:v>
                  </c:pt>
                  <c:pt idx="2">
                    <c:v>SA</c:v>
                  </c:pt>
                  <c:pt idx="3">
                    <c:v>SA</c:v>
                  </c:pt>
                  <c:pt idx="4">
                    <c:v>TAS</c:v>
                  </c:pt>
                  <c:pt idx="5">
                    <c:v>QLD</c:v>
                  </c:pt>
                  <c:pt idx="6">
                    <c:v>QLD</c:v>
                  </c:pt>
                  <c:pt idx="7">
                    <c:v>QLD</c:v>
                  </c:pt>
                  <c:pt idx="8">
                    <c:v>VIC</c:v>
                  </c:pt>
                  <c:pt idx="9">
                    <c:v>VIC</c:v>
                  </c:pt>
                  <c:pt idx="10">
                    <c:v>VIC</c:v>
                  </c:pt>
                  <c:pt idx="11">
                    <c:v>WA</c:v>
                  </c:pt>
                  <c:pt idx="12">
                    <c:v>WA</c:v>
                  </c:pt>
                  <c:pt idx="13">
                    <c:v>WA</c:v>
                  </c:pt>
                </c:lvl>
              </c:multiLvlStrCache>
            </c:multiLvlStrRef>
          </c:cat>
          <c:val>
            <c:numRef>
              <c:f>Haemo!$B$22:$O$22</c:f>
              <c:numCache>
                <c:formatCode>0%</c:formatCode>
                <c:ptCount val="14"/>
                <c:pt idx="0">
                  <c:v>0.95669154219197128</c:v>
                </c:pt>
                <c:pt idx="1">
                  <c:v>0.78251716535848626</c:v>
                </c:pt>
                <c:pt idx="2">
                  <c:v>0.55367716187836358</c:v>
                </c:pt>
                <c:pt idx="3">
                  <c:v>0.74199008981830472</c:v>
                </c:pt>
                <c:pt idx="4">
                  <c:v>0.71359999719672784</c:v>
                </c:pt>
                <c:pt idx="5">
                  <c:v>0.84843508411862567</c:v>
                </c:pt>
                <c:pt idx="6">
                  <c:v>0.84718979189856769</c:v>
                </c:pt>
                <c:pt idx="7">
                  <c:v>0.81707144098941031</c:v>
                </c:pt>
                <c:pt idx="8">
                  <c:v>0.84119411132192734</c:v>
                </c:pt>
                <c:pt idx="9">
                  <c:v>0.87274414108372034</c:v>
                </c:pt>
                <c:pt idx="10">
                  <c:v>0.87316402655823899</c:v>
                </c:pt>
                <c:pt idx="11">
                  <c:v>0.83891248109855499</c:v>
                </c:pt>
                <c:pt idx="12">
                  <c:v>0.61669518506009668</c:v>
                </c:pt>
                <c:pt idx="13">
                  <c:v>0.70062586141978755</c:v>
                </c:pt>
              </c:numCache>
            </c:numRef>
          </c:val>
          <c:extLst>
            <c:ext xmlns:c16="http://schemas.microsoft.com/office/drawing/2014/chart" uri="{C3380CC4-5D6E-409C-BE32-E72D297353CC}">
              <c16:uniqueId val="{00000000-BF8B-4CCB-A9B5-951D9B5DF6D8}"/>
            </c:ext>
          </c:extLst>
        </c:ser>
        <c:ser>
          <c:idx val="1"/>
          <c:order val="1"/>
          <c:tx>
            <c:strRef>
              <c:f>Haemo!$A$23</c:f>
              <c:strCache>
                <c:ptCount val="1"/>
                <c:pt idx="0">
                  <c:v>Indirect costs</c:v>
                </c:pt>
              </c:strCache>
            </c:strRef>
          </c:tx>
          <c:spPr>
            <a:solidFill>
              <a:srgbClr val="00A3A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Haemo!$B$20:$O$21</c:f>
              <c:multiLvlStrCache>
                <c:ptCount val="14"/>
                <c:lvl>
                  <c:pt idx="0">
                    <c:v>CH</c:v>
                  </c:pt>
                  <c:pt idx="1">
                    <c:v>ASH</c:v>
                  </c:pt>
                  <c:pt idx="2">
                    <c:v>PAH</c:v>
                  </c:pt>
                  <c:pt idx="3">
                    <c:v>LMH</c:v>
                  </c:pt>
                  <c:pt idx="4">
                    <c:v>RHH</c:v>
                  </c:pt>
                  <c:pt idx="5">
                    <c:v>CQHS</c:v>
                  </c:pt>
                  <c:pt idx="6">
                    <c:v>MHS</c:v>
                  </c:pt>
                  <c:pt idx="7">
                    <c:v>MSHS</c:v>
                  </c:pt>
                  <c:pt idx="8">
                    <c:v>LRH</c:v>
                  </c:pt>
                  <c:pt idx="9">
                    <c:v>BHS</c:v>
                  </c:pt>
                  <c:pt idx="10">
                    <c:v>RMH</c:v>
                  </c:pt>
                  <c:pt idx="11">
                    <c:v>RPH</c:v>
                  </c:pt>
                  <c:pt idx="12">
                    <c:v>PCH</c:v>
                  </c:pt>
                  <c:pt idx="13">
                    <c:v>AH</c:v>
                  </c:pt>
                </c:lvl>
                <c:lvl>
                  <c:pt idx="0">
                    <c:v>ACT</c:v>
                  </c:pt>
                  <c:pt idx="1">
                    <c:v>NT</c:v>
                  </c:pt>
                  <c:pt idx="2">
                    <c:v>SA</c:v>
                  </c:pt>
                  <c:pt idx="3">
                    <c:v>SA</c:v>
                  </c:pt>
                  <c:pt idx="4">
                    <c:v>TAS</c:v>
                  </c:pt>
                  <c:pt idx="5">
                    <c:v>QLD</c:v>
                  </c:pt>
                  <c:pt idx="6">
                    <c:v>QLD</c:v>
                  </c:pt>
                  <c:pt idx="7">
                    <c:v>QLD</c:v>
                  </c:pt>
                  <c:pt idx="8">
                    <c:v>VIC</c:v>
                  </c:pt>
                  <c:pt idx="9">
                    <c:v>VIC</c:v>
                  </c:pt>
                  <c:pt idx="10">
                    <c:v>VIC</c:v>
                  </c:pt>
                  <c:pt idx="11">
                    <c:v>WA</c:v>
                  </c:pt>
                  <c:pt idx="12">
                    <c:v>WA</c:v>
                  </c:pt>
                  <c:pt idx="13">
                    <c:v>WA</c:v>
                  </c:pt>
                </c:lvl>
              </c:multiLvlStrCache>
            </c:multiLvlStrRef>
          </c:cat>
          <c:val>
            <c:numRef>
              <c:f>Haemo!$B$23:$O$23</c:f>
              <c:numCache>
                <c:formatCode>0%</c:formatCode>
                <c:ptCount val="14"/>
                <c:pt idx="0">
                  <c:v>4.3308457808028764E-2</c:v>
                </c:pt>
                <c:pt idx="1">
                  <c:v>0.21748283464151377</c:v>
                </c:pt>
                <c:pt idx="2">
                  <c:v>0.44632283812163642</c:v>
                </c:pt>
                <c:pt idx="3">
                  <c:v>0.25800991018169528</c:v>
                </c:pt>
                <c:pt idx="4">
                  <c:v>0.28640000280327221</c:v>
                </c:pt>
                <c:pt idx="5">
                  <c:v>0.15156502167433225</c:v>
                </c:pt>
                <c:pt idx="6">
                  <c:v>0.15281020810143234</c:v>
                </c:pt>
                <c:pt idx="7">
                  <c:v>0.18292855901058969</c:v>
                </c:pt>
                <c:pt idx="8">
                  <c:v>0.15880588867807266</c:v>
                </c:pt>
                <c:pt idx="9">
                  <c:v>0.12725585891627969</c:v>
                </c:pt>
                <c:pt idx="10">
                  <c:v>0.12683597344176104</c:v>
                </c:pt>
                <c:pt idx="11">
                  <c:v>0.16108751890144501</c:v>
                </c:pt>
                <c:pt idx="12">
                  <c:v>0.38330481493990332</c:v>
                </c:pt>
                <c:pt idx="13">
                  <c:v>0.29937413858021245</c:v>
                </c:pt>
              </c:numCache>
            </c:numRef>
          </c:val>
          <c:extLst>
            <c:ext xmlns:c16="http://schemas.microsoft.com/office/drawing/2014/chart" uri="{C3380CC4-5D6E-409C-BE32-E72D297353CC}">
              <c16:uniqueId val="{00000001-BF8B-4CCB-A9B5-951D9B5DF6D8}"/>
            </c:ext>
          </c:extLst>
        </c:ser>
        <c:dLbls>
          <c:dLblPos val="ctr"/>
          <c:showLegendKey val="0"/>
          <c:showVal val="1"/>
          <c:showCatName val="0"/>
          <c:showSerName val="0"/>
          <c:showPercent val="0"/>
          <c:showBubbleSize val="0"/>
        </c:dLbls>
        <c:gapWidth val="24"/>
        <c:overlap val="100"/>
        <c:axId val="1944360160"/>
        <c:axId val="1944373472"/>
      </c:barChart>
      <c:catAx>
        <c:axId val="1944360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44373472"/>
        <c:crosses val="autoZero"/>
        <c:auto val="1"/>
        <c:lblAlgn val="ctr"/>
        <c:lblOffset val="100"/>
        <c:noMultiLvlLbl val="0"/>
      </c:catAx>
      <c:valAx>
        <c:axId val="19443734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44360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HAEMO!$U$5</c:f>
              <c:strCache>
                <c:ptCount val="1"/>
                <c:pt idx="0">
                  <c:v>Activity</c:v>
                </c:pt>
              </c:strCache>
            </c:strRef>
          </c:tx>
          <c:spPr>
            <a:solidFill>
              <a:srgbClr val="00338D"/>
            </a:solidFill>
            <a:ln>
              <a:noFill/>
            </a:ln>
            <a:effectLst/>
          </c:spPr>
          <c:invertIfNegative val="0"/>
          <c:cat>
            <c:multiLvlStrRef>
              <c:f>HAEMO!$L$6:$M$19</c:f>
              <c:multiLvlStrCache>
                <c:ptCount val="14"/>
                <c:lvl>
                  <c:pt idx="0">
                    <c:v>CH</c:v>
                  </c:pt>
                  <c:pt idx="1">
                    <c:v>ASH</c:v>
                  </c:pt>
                  <c:pt idx="2">
                    <c:v>PAH</c:v>
                  </c:pt>
                  <c:pt idx="3">
                    <c:v>LMH</c:v>
                  </c:pt>
                  <c:pt idx="4">
                    <c:v>RHH</c:v>
                  </c:pt>
                  <c:pt idx="5">
                    <c:v>CQHHS</c:v>
                  </c:pt>
                  <c:pt idx="6">
                    <c:v>MHS</c:v>
                  </c:pt>
                  <c:pt idx="7">
                    <c:v>MSHS</c:v>
                  </c:pt>
                  <c:pt idx="8">
                    <c:v>LRH</c:v>
                  </c:pt>
                  <c:pt idx="9">
                    <c:v>BHS</c:v>
                  </c:pt>
                  <c:pt idx="10">
                    <c:v>RMH</c:v>
                  </c:pt>
                  <c:pt idx="11">
                    <c:v>RPH</c:v>
                  </c:pt>
                  <c:pt idx="12">
                    <c:v>PCH</c:v>
                  </c:pt>
                  <c:pt idx="13">
                    <c:v>AH</c:v>
                  </c:pt>
                </c:lvl>
                <c:lvl>
                  <c:pt idx="0">
                    <c:v>ACT</c:v>
                  </c:pt>
                  <c:pt idx="1">
                    <c:v>NT</c:v>
                  </c:pt>
                  <c:pt idx="2">
                    <c:v>SA</c:v>
                  </c:pt>
                  <c:pt idx="3">
                    <c:v>SA</c:v>
                  </c:pt>
                  <c:pt idx="4">
                    <c:v>TAS</c:v>
                  </c:pt>
                  <c:pt idx="5">
                    <c:v>QLD</c:v>
                  </c:pt>
                  <c:pt idx="6">
                    <c:v>QLD</c:v>
                  </c:pt>
                  <c:pt idx="7">
                    <c:v>QLD</c:v>
                  </c:pt>
                  <c:pt idx="8">
                    <c:v>VIC</c:v>
                  </c:pt>
                  <c:pt idx="9">
                    <c:v>VIC</c:v>
                  </c:pt>
                  <c:pt idx="10">
                    <c:v>VIC</c:v>
                  </c:pt>
                  <c:pt idx="11">
                    <c:v>WA</c:v>
                  </c:pt>
                  <c:pt idx="12">
                    <c:v>WA</c:v>
                  </c:pt>
                  <c:pt idx="13">
                    <c:v>WA</c:v>
                  </c:pt>
                </c:lvl>
              </c:multiLvlStrCache>
            </c:multiLvlStrRef>
          </c:cat>
          <c:val>
            <c:numRef>
              <c:f>HAEMO!$U$6:$U$19</c:f>
              <c:numCache>
                <c:formatCode>General</c:formatCode>
                <c:ptCount val="14"/>
                <c:pt idx="0">
                  <c:v>169</c:v>
                </c:pt>
                <c:pt idx="1">
                  <c:v>588</c:v>
                </c:pt>
                <c:pt idx="2">
                  <c:v>303</c:v>
                </c:pt>
                <c:pt idx="3" formatCode="#,##0">
                  <c:v>8878</c:v>
                </c:pt>
                <c:pt idx="4" formatCode="#,##0">
                  <c:v>2888</c:v>
                </c:pt>
                <c:pt idx="5" formatCode="#,##0">
                  <c:v>3847</c:v>
                </c:pt>
                <c:pt idx="6" formatCode="#,##0">
                  <c:v>3517</c:v>
                </c:pt>
                <c:pt idx="7" formatCode="#,##0">
                  <c:v>17900</c:v>
                </c:pt>
                <c:pt idx="8" formatCode="#,##0">
                  <c:v>3633</c:v>
                </c:pt>
                <c:pt idx="9" formatCode="#,##0">
                  <c:v>3877</c:v>
                </c:pt>
                <c:pt idx="10">
                  <c:v>391</c:v>
                </c:pt>
                <c:pt idx="11" formatCode="#,##0">
                  <c:v>3710</c:v>
                </c:pt>
                <c:pt idx="12" formatCode="#,##0">
                  <c:v>1576</c:v>
                </c:pt>
                <c:pt idx="13" formatCode="#,##0">
                  <c:v>1825</c:v>
                </c:pt>
              </c:numCache>
            </c:numRef>
          </c:val>
          <c:extLst>
            <c:ext xmlns:c16="http://schemas.microsoft.com/office/drawing/2014/chart" uri="{C3380CC4-5D6E-409C-BE32-E72D297353CC}">
              <c16:uniqueId val="{00000000-E107-4B98-8BAA-65F284EF7076}"/>
            </c:ext>
          </c:extLst>
        </c:ser>
        <c:dLbls>
          <c:showLegendKey val="0"/>
          <c:showVal val="0"/>
          <c:showCatName val="0"/>
          <c:showSerName val="0"/>
          <c:showPercent val="0"/>
          <c:showBubbleSize val="0"/>
        </c:dLbls>
        <c:gapWidth val="24"/>
        <c:axId val="875187040"/>
        <c:axId val="880316096"/>
      </c:barChart>
      <c:lineChart>
        <c:grouping val="standard"/>
        <c:varyColors val="0"/>
        <c:ser>
          <c:idx val="0"/>
          <c:order val="0"/>
          <c:tx>
            <c:strRef>
              <c:f>HAEMO!$T$5</c:f>
              <c:strCache>
                <c:ptCount val="1"/>
                <c:pt idx="0">
                  <c:v>Average cost</c:v>
                </c:pt>
              </c:strCache>
            </c:strRef>
          </c:tx>
          <c:spPr>
            <a:ln w="28575" cap="rnd">
              <a:solidFill>
                <a:schemeClr val="accent4"/>
              </a:solidFill>
              <a:round/>
            </a:ln>
            <a:effectLst/>
          </c:spPr>
          <c:marker>
            <c:symbol val="circle"/>
            <c:size val="5"/>
            <c:spPr>
              <a:solidFill>
                <a:schemeClr val="accent4"/>
              </a:solidFill>
              <a:ln w="9525">
                <a:noFill/>
              </a:ln>
              <a:effectLst/>
            </c:spPr>
          </c:marker>
          <c:cat>
            <c:multiLvlStrRef>
              <c:f>HAEMO!$L$6:$M$19</c:f>
              <c:multiLvlStrCache>
                <c:ptCount val="14"/>
                <c:lvl>
                  <c:pt idx="0">
                    <c:v>CH</c:v>
                  </c:pt>
                  <c:pt idx="1">
                    <c:v>ASH</c:v>
                  </c:pt>
                  <c:pt idx="2">
                    <c:v>PAH</c:v>
                  </c:pt>
                  <c:pt idx="3">
                    <c:v>LMH</c:v>
                  </c:pt>
                  <c:pt idx="4">
                    <c:v>RHH</c:v>
                  </c:pt>
                  <c:pt idx="5">
                    <c:v>CQHHS</c:v>
                  </c:pt>
                  <c:pt idx="6">
                    <c:v>MHS</c:v>
                  </c:pt>
                  <c:pt idx="7">
                    <c:v>MSHS</c:v>
                  </c:pt>
                  <c:pt idx="8">
                    <c:v>LRH</c:v>
                  </c:pt>
                  <c:pt idx="9">
                    <c:v>BHS</c:v>
                  </c:pt>
                  <c:pt idx="10">
                    <c:v>RMH</c:v>
                  </c:pt>
                  <c:pt idx="11">
                    <c:v>RPH</c:v>
                  </c:pt>
                  <c:pt idx="12">
                    <c:v>PCH</c:v>
                  </c:pt>
                  <c:pt idx="13">
                    <c:v>AH</c:v>
                  </c:pt>
                </c:lvl>
                <c:lvl>
                  <c:pt idx="0">
                    <c:v>ACT</c:v>
                  </c:pt>
                  <c:pt idx="1">
                    <c:v>NT</c:v>
                  </c:pt>
                  <c:pt idx="2">
                    <c:v>SA</c:v>
                  </c:pt>
                  <c:pt idx="3">
                    <c:v>SA</c:v>
                  </c:pt>
                  <c:pt idx="4">
                    <c:v>TAS</c:v>
                  </c:pt>
                  <c:pt idx="5">
                    <c:v>QLD</c:v>
                  </c:pt>
                  <c:pt idx="6">
                    <c:v>QLD</c:v>
                  </c:pt>
                  <c:pt idx="7">
                    <c:v>QLD</c:v>
                  </c:pt>
                  <c:pt idx="8">
                    <c:v>VIC</c:v>
                  </c:pt>
                  <c:pt idx="9">
                    <c:v>VIC</c:v>
                  </c:pt>
                  <c:pt idx="10">
                    <c:v>VIC</c:v>
                  </c:pt>
                  <c:pt idx="11">
                    <c:v>WA</c:v>
                  </c:pt>
                  <c:pt idx="12">
                    <c:v>WA</c:v>
                  </c:pt>
                  <c:pt idx="13">
                    <c:v>WA</c:v>
                  </c:pt>
                </c:lvl>
              </c:multiLvlStrCache>
            </c:multiLvlStrRef>
          </c:cat>
          <c:val>
            <c:numRef>
              <c:f>HAEMO!$T$6:$T$19</c:f>
              <c:numCache>
                <c:formatCode>"$"#,##0_);[Red]\("$"#,##0\)</c:formatCode>
                <c:ptCount val="14"/>
                <c:pt idx="0">
                  <c:v>372</c:v>
                </c:pt>
                <c:pt idx="1">
                  <c:v>3344</c:v>
                </c:pt>
                <c:pt idx="2">
                  <c:v>4173</c:v>
                </c:pt>
                <c:pt idx="3">
                  <c:v>1033</c:v>
                </c:pt>
                <c:pt idx="4">
                  <c:v>2819</c:v>
                </c:pt>
                <c:pt idx="5">
                  <c:v>1976</c:v>
                </c:pt>
                <c:pt idx="6">
                  <c:v>1131</c:v>
                </c:pt>
                <c:pt idx="7">
                  <c:v>2731</c:v>
                </c:pt>
                <c:pt idx="8">
                  <c:v>3123</c:v>
                </c:pt>
                <c:pt idx="9">
                  <c:v>3257</c:v>
                </c:pt>
                <c:pt idx="10">
                  <c:v>1231</c:v>
                </c:pt>
                <c:pt idx="11">
                  <c:v>2566</c:v>
                </c:pt>
                <c:pt idx="12">
                  <c:v>2153</c:v>
                </c:pt>
                <c:pt idx="13">
                  <c:v>4243</c:v>
                </c:pt>
              </c:numCache>
            </c:numRef>
          </c:val>
          <c:smooth val="0"/>
          <c:extLst>
            <c:ext xmlns:c16="http://schemas.microsoft.com/office/drawing/2014/chart" uri="{C3380CC4-5D6E-409C-BE32-E72D297353CC}">
              <c16:uniqueId val="{00000001-E107-4B98-8BAA-65F284EF7076}"/>
            </c:ext>
          </c:extLst>
        </c:ser>
        <c:dLbls>
          <c:showLegendKey val="0"/>
          <c:showVal val="0"/>
          <c:showCatName val="0"/>
          <c:showSerName val="0"/>
          <c:showPercent val="0"/>
          <c:showBubbleSize val="0"/>
        </c:dLbls>
        <c:marker val="1"/>
        <c:smooth val="0"/>
        <c:axId val="834229392"/>
        <c:axId val="834231888"/>
      </c:lineChart>
      <c:catAx>
        <c:axId val="875187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80316096"/>
        <c:crosses val="autoZero"/>
        <c:auto val="1"/>
        <c:lblAlgn val="ctr"/>
        <c:lblOffset val="100"/>
        <c:noMultiLvlLbl val="0"/>
      </c:catAx>
      <c:valAx>
        <c:axId val="8803160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Activity (volume)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75187040"/>
        <c:crosses val="autoZero"/>
        <c:crossBetween val="between"/>
      </c:valAx>
      <c:valAx>
        <c:axId val="834231888"/>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Average cost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quot;$&quot;#,##0_);[Red]\(&quot;$&quot;#,##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34229392"/>
        <c:crosses val="max"/>
        <c:crossBetween val="between"/>
      </c:valAx>
      <c:catAx>
        <c:axId val="834229392"/>
        <c:scaling>
          <c:orientation val="minMax"/>
        </c:scaling>
        <c:delete val="1"/>
        <c:axPos val="b"/>
        <c:numFmt formatCode="General" sourceLinked="1"/>
        <c:majorTickMark val="out"/>
        <c:minorTickMark val="none"/>
        <c:tickLblPos val="nextTo"/>
        <c:crossAx val="83423188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Chemo!$A$18</c:f>
              <c:strCache>
                <c:ptCount val="1"/>
                <c:pt idx="0">
                  <c:v>Direct costs</c:v>
                </c:pt>
              </c:strCache>
            </c:strRef>
          </c:tx>
          <c:spPr>
            <a:solidFill>
              <a:srgbClr val="00338D"/>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Chemo!$B$15:$AC$17</c:f>
              <c:multiLvlStrCache>
                <c:ptCount val="14"/>
                <c:lvl>
                  <c:pt idx="0">
                    <c:v>CH</c:v>
                  </c:pt>
                  <c:pt idx="1">
                    <c:v>ASH</c:v>
                  </c:pt>
                  <c:pt idx="2">
                    <c:v>PAHS</c:v>
                  </c:pt>
                  <c:pt idx="3">
                    <c:v>LMH</c:v>
                  </c:pt>
                  <c:pt idx="4">
                    <c:v>RHH</c:v>
                  </c:pt>
                  <c:pt idx="5">
                    <c:v>CQHS</c:v>
                  </c:pt>
                  <c:pt idx="6">
                    <c:v>MHS</c:v>
                  </c:pt>
                  <c:pt idx="7">
                    <c:v>MSH</c:v>
                  </c:pt>
                  <c:pt idx="8">
                    <c:v>LRH</c:v>
                  </c:pt>
                  <c:pt idx="9">
                    <c:v>BHS</c:v>
                  </c:pt>
                  <c:pt idx="10">
                    <c:v>RMH</c:v>
                  </c:pt>
                  <c:pt idx="11">
                    <c:v>RPH</c:v>
                  </c:pt>
                  <c:pt idx="12">
                    <c:v>PCH</c:v>
                  </c:pt>
                  <c:pt idx="13">
                    <c:v>AH</c:v>
                  </c:pt>
                </c:lvl>
                <c:lvl>
                  <c:pt idx="0">
                    <c:v>ACT</c:v>
                  </c:pt>
                  <c:pt idx="1">
                    <c:v>NT</c:v>
                  </c:pt>
                  <c:pt idx="2">
                    <c:v>SA</c:v>
                  </c:pt>
                  <c:pt idx="3">
                    <c:v>SA</c:v>
                  </c:pt>
                  <c:pt idx="4">
                    <c:v>TAS</c:v>
                  </c:pt>
                  <c:pt idx="5">
                    <c:v>QLD</c:v>
                  </c:pt>
                  <c:pt idx="6">
                    <c:v>QLD</c:v>
                  </c:pt>
                  <c:pt idx="7">
                    <c:v>QLD</c:v>
                  </c:pt>
                  <c:pt idx="8">
                    <c:v>VIC</c:v>
                  </c:pt>
                  <c:pt idx="9">
                    <c:v>VIC</c:v>
                  </c:pt>
                  <c:pt idx="10">
                    <c:v>VIC</c:v>
                  </c:pt>
                  <c:pt idx="11">
                    <c:v>WA</c:v>
                  </c:pt>
                  <c:pt idx="12">
                    <c:v>WA</c:v>
                  </c:pt>
                  <c:pt idx="13">
                    <c:v>WA</c:v>
                  </c:pt>
                </c:lvl>
              </c:multiLvlStrCache>
            </c:multiLvlStrRef>
          </c:cat>
          <c:val>
            <c:numRef>
              <c:f>Chemo!$B$18:$AC$18</c:f>
              <c:numCache>
                <c:formatCode>0%</c:formatCode>
                <c:ptCount val="14"/>
                <c:pt idx="0">
                  <c:v>0.91965237875435724</c:v>
                </c:pt>
                <c:pt idx="1">
                  <c:v>0.87027375057151091</c:v>
                </c:pt>
                <c:pt idx="2">
                  <c:v>0.84598916694280502</c:v>
                </c:pt>
                <c:pt idx="3">
                  <c:v>0.90216269425204032</c:v>
                </c:pt>
                <c:pt idx="4">
                  <c:v>0.87367910586818531</c:v>
                </c:pt>
                <c:pt idx="5">
                  <c:v>0.83043966964760785</c:v>
                </c:pt>
                <c:pt idx="6">
                  <c:v>0.89652319129613589</c:v>
                </c:pt>
                <c:pt idx="7">
                  <c:v>0.76538952178632214</c:v>
                </c:pt>
                <c:pt idx="8">
                  <c:v>0.92994679541376357</c:v>
                </c:pt>
                <c:pt idx="9">
                  <c:v>0.87741331193323269</c:v>
                </c:pt>
                <c:pt idx="10">
                  <c:v>0.9287982603530387</c:v>
                </c:pt>
                <c:pt idx="11">
                  <c:v>0.7988023028612844</c:v>
                </c:pt>
                <c:pt idx="12">
                  <c:v>0.63495291029661249</c:v>
                </c:pt>
                <c:pt idx="13">
                  <c:v>0.83163585430050191</c:v>
                </c:pt>
              </c:numCache>
            </c:numRef>
          </c:val>
          <c:extLst>
            <c:ext xmlns:c16="http://schemas.microsoft.com/office/drawing/2014/chart" uri="{C3380CC4-5D6E-409C-BE32-E72D297353CC}">
              <c16:uniqueId val="{00000000-7D3D-40D7-AEA7-87E3523F03B6}"/>
            </c:ext>
          </c:extLst>
        </c:ser>
        <c:ser>
          <c:idx val="1"/>
          <c:order val="1"/>
          <c:tx>
            <c:strRef>
              <c:f>Chemo!$A$19</c:f>
              <c:strCache>
                <c:ptCount val="1"/>
                <c:pt idx="0">
                  <c:v>Indirect costs</c:v>
                </c:pt>
              </c:strCache>
            </c:strRef>
          </c:tx>
          <c:spPr>
            <a:solidFill>
              <a:srgbClr val="00A3A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Chemo!$B$15:$AC$17</c:f>
              <c:multiLvlStrCache>
                <c:ptCount val="14"/>
                <c:lvl>
                  <c:pt idx="0">
                    <c:v>CH</c:v>
                  </c:pt>
                  <c:pt idx="1">
                    <c:v>ASH</c:v>
                  </c:pt>
                  <c:pt idx="2">
                    <c:v>PAHS</c:v>
                  </c:pt>
                  <c:pt idx="3">
                    <c:v>LMH</c:v>
                  </c:pt>
                  <c:pt idx="4">
                    <c:v>RHH</c:v>
                  </c:pt>
                  <c:pt idx="5">
                    <c:v>CQHS</c:v>
                  </c:pt>
                  <c:pt idx="6">
                    <c:v>MHS</c:v>
                  </c:pt>
                  <c:pt idx="7">
                    <c:v>MSH</c:v>
                  </c:pt>
                  <c:pt idx="8">
                    <c:v>LRH</c:v>
                  </c:pt>
                  <c:pt idx="9">
                    <c:v>BHS</c:v>
                  </c:pt>
                  <c:pt idx="10">
                    <c:v>RMH</c:v>
                  </c:pt>
                  <c:pt idx="11">
                    <c:v>RPH</c:v>
                  </c:pt>
                  <c:pt idx="12">
                    <c:v>PCH</c:v>
                  </c:pt>
                  <c:pt idx="13">
                    <c:v>AH</c:v>
                  </c:pt>
                </c:lvl>
                <c:lvl>
                  <c:pt idx="0">
                    <c:v>ACT</c:v>
                  </c:pt>
                  <c:pt idx="1">
                    <c:v>NT</c:v>
                  </c:pt>
                  <c:pt idx="2">
                    <c:v>SA</c:v>
                  </c:pt>
                  <c:pt idx="3">
                    <c:v>SA</c:v>
                  </c:pt>
                  <c:pt idx="4">
                    <c:v>TAS</c:v>
                  </c:pt>
                  <c:pt idx="5">
                    <c:v>QLD</c:v>
                  </c:pt>
                  <c:pt idx="6">
                    <c:v>QLD</c:v>
                  </c:pt>
                  <c:pt idx="7">
                    <c:v>QLD</c:v>
                  </c:pt>
                  <c:pt idx="8">
                    <c:v>VIC</c:v>
                  </c:pt>
                  <c:pt idx="9">
                    <c:v>VIC</c:v>
                  </c:pt>
                  <c:pt idx="10">
                    <c:v>VIC</c:v>
                  </c:pt>
                  <c:pt idx="11">
                    <c:v>WA</c:v>
                  </c:pt>
                  <c:pt idx="12">
                    <c:v>WA</c:v>
                  </c:pt>
                  <c:pt idx="13">
                    <c:v>WA</c:v>
                  </c:pt>
                </c:lvl>
              </c:multiLvlStrCache>
            </c:multiLvlStrRef>
          </c:cat>
          <c:val>
            <c:numRef>
              <c:f>Chemo!$B$19:$AC$19</c:f>
              <c:numCache>
                <c:formatCode>0%</c:formatCode>
                <c:ptCount val="14"/>
                <c:pt idx="0">
                  <c:v>8.0347621245642792E-2</c:v>
                </c:pt>
                <c:pt idx="1">
                  <c:v>0.12972624942848904</c:v>
                </c:pt>
                <c:pt idx="2">
                  <c:v>0.15401083305719504</c:v>
                </c:pt>
                <c:pt idx="3">
                  <c:v>9.7837305747959707E-2</c:v>
                </c:pt>
                <c:pt idx="4">
                  <c:v>0.12632077129936223</c:v>
                </c:pt>
                <c:pt idx="5">
                  <c:v>0.1695603303523921</c:v>
                </c:pt>
                <c:pt idx="6">
                  <c:v>0.10347680870386405</c:v>
                </c:pt>
                <c:pt idx="7">
                  <c:v>0.23461047821367781</c:v>
                </c:pt>
                <c:pt idx="8">
                  <c:v>7.0053204586236387E-2</c:v>
                </c:pt>
                <c:pt idx="9">
                  <c:v>0.1225866880667673</c:v>
                </c:pt>
                <c:pt idx="10">
                  <c:v>7.1201739646961332E-2</c:v>
                </c:pt>
                <c:pt idx="11">
                  <c:v>0.20119769713871555</c:v>
                </c:pt>
                <c:pt idx="12">
                  <c:v>0.36504708970338745</c:v>
                </c:pt>
                <c:pt idx="13">
                  <c:v>0.16836414569949812</c:v>
                </c:pt>
              </c:numCache>
            </c:numRef>
          </c:val>
          <c:extLst>
            <c:ext xmlns:c16="http://schemas.microsoft.com/office/drawing/2014/chart" uri="{C3380CC4-5D6E-409C-BE32-E72D297353CC}">
              <c16:uniqueId val="{00000001-7D3D-40D7-AEA7-87E3523F03B6}"/>
            </c:ext>
          </c:extLst>
        </c:ser>
        <c:dLbls>
          <c:showLegendKey val="0"/>
          <c:showVal val="0"/>
          <c:showCatName val="0"/>
          <c:showSerName val="0"/>
          <c:showPercent val="0"/>
          <c:showBubbleSize val="0"/>
        </c:dLbls>
        <c:gapWidth val="24"/>
        <c:overlap val="100"/>
        <c:axId val="2117189312"/>
        <c:axId val="2117191392"/>
      </c:barChart>
      <c:catAx>
        <c:axId val="2117189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117191392"/>
        <c:crosses val="autoZero"/>
        <c:auto val="1"/>
        <c:lblAlgn val="ctr"/>
        <c:lblOffset val="100"/>
        <c:noMultiLvlLbl val="0"/>
      </c:catAx>
      <c:valAx>
        <c:axId val="21171913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117189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lgn="just">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Other!$Q$4</c:f>
              <c:strCache>
                <c:ptCount val="1"/>
                <c:pt idx="0">
                  <c:v>Costs</c:v>
                </c:pt>
              </c:strCache>
            </c:strRef>
          </c:tx>
          <c:spPr>
            <a:solidFill>
              <a:srgbClr val="00338D"/>
            </a:solidFill>
            <a:ln>
              <a:noFill/>
            </a:ln>
            <a:effectLst/>
          </c:spPr>
          <c:invertIfNegative val="0"/>
          <c:cat>
            <c:multiLvlStrRef>
              <c:f>Other!$R$1:$AE$2</c:f>
              <c:multiLvlStrCache>
                <c:ptCount val="14"/>
                <c:lvl>
                  <c:pt idx="0">
                    <c:v>CH</c:v>
                  </c:pt>
                  <c:pt idx="1">
                    <c:v>ASH</c:v>
                  </c:pt>
                  <c:pt idx="2">
                    <c:v>CQHS</c:v>
                  </c:pt>
                  <c:pt idx="3">
                    <c:v>MHS</c:v>
                  </c:pt>
                  <c:pt idx="4">
                    <c:v>MSHS</c:v>
                  </c:pt>
                  <c:pt idx="5">
                    <c:v>PAH</c:v>
                  </c:pt>
                  <c:pt idx="6">
                    <c:v>LMH</c:v>
                  </c:pt>
                  <c:pt idx="7">
                    <c:v>RHH</c:v>
                  </c:pt>
                  <c:pt idx="8">
                    <c:v>LRH</c:v>
                  </c:pt>
                  <c:pt idx="9">
                    <c:v>BHS</c:v>
                  </c:pt>
                  <c:pt idx="10">
                    <c:v>RMH</c:v>
                  </c:pt>
                  <c:pt idx="11">
                    <c:v>RPH</c:v>
                  </c:pt>
                  <c:pt idx="12">
                    <c:v>PCH</c:v>
                  </c:pt>
                  <c:pt idx="13">
                    <c:v>AH</c:v>
                  </c:pt>
                </c:lvl>
                <c:lvl>
                  <c:pt idx="0">
                    <c:v>ACT</c:v>
                  </c:pt>
                  <c:pt idx="1">
                    <c:v>NT</c:v>
                  </c:pt>
                  <c:pt idx="2">
                    <c:v>QLD</c:v>
                  </c:pt>
                  <c:pt idx="3">
                    <c:v>QLD</c:v>
                  </c:pt>
                  <c:pt idx="4">
                    <c:v>QLD</c:v>
                  </c:pt>
                  <c:pt idx="5">
                    <c:v>SA</c:v>
                  </c:pt>
                  <c:pt idx="6">
                    <c:v>SA</c:v>
                  </c:pt>
                  <c:pt idx="7">
                    <c:v>TAS</c:v>
                  </c:pt>
                  <c:pt idx="8">
                    <c:v>VIC</c:v>
                  </c:pt>
                  <c:pt idx="9">
                    <c:v>VIC</c:v>
                  </c:pt>
                  <c:pt idx="10">
                    <c:v>VIC</c:v>
                  </c:pt>
                  <c:pt idx="11">
                    <c:v>WA</c:v>
                  </c:pt>
                  <c:pt idx="12">
                    <c:v>WA</c:v>
                  </c:pt>
                  <c:pt idx="13">
                    <c:v>WA</c:v>
                  </c:pt>
                </c:lvl>
              </c:multiLvlStrCache>
            </c:multiLvlStrRef>
          </c:cat>
          <c:val>
            <c:numRef>
              <c:f>Other!$R$4:$AE$4</c:f>
              <c:numCache>
                <c:formatCode>"$"#,##0_);[Red]\("$"#,##0\)</c:formatCode>
                <c:ptCount val="14"/>
                <c:pt idx="0">
                  <c:v>1012357619</c:v>
                </c:pt>
                <c:pt idx="1">
                  <c:v>303405127</c:v>
                </c:pt>
                <c:pt idx="2">
                  <c:v>531808203</c:v>
                </c:pt>
                <c:pt idx="3">
                  <c:v>430352429</c:v>
                </c:pt>
                <c:pt idx="4">
                  <c:v>2184228374</c:v>
                </c:pt>
                <c:pt idx="5">
                  <c:v>49134381</c:v>
                </c:pt>
                <c:pt idx="6">
                  <c:v>592620719</c:v>
                </c:pt>
                <c:pt idx="7">
                  <c:v>704845282</c:v>
                </c:pt>
                <c:pt idx="8">
                  <c:v>237221209</c:v>
                </c:pt>
                <c:pt idx="9">
                  <c:v>365415672</c:v>
                </c:pt>
                <c:pt idx="10">
                  <c:v>939080430</c:v>
                </c:pt>
                <c:pt idx="11">
                  <c:v>751935746</c:v>
                </c:pt>
                <c:pt idx="12">
                  <c:v>480809745</c:v>
                </c:pt>
                <c:pt idx="13">
                  <c:v>139780015</c:v>
                </c:pt>
              </c:numCache>
            </c:numRef>
          </c:val>
          <c:extLst>
            <c:ext xmlns:c16="http://schemas.microsoft.com/office/drawing/2014/chart" uri="{C3380CC4-5D6E-409C-BE32-E72D297353CC}">
              <c16:uniqueId val="{00000000-6E8D-432C-ADFD-D41A8756F6D9}"/>
            </c:ext>
          </c:extLst>
        </c:ser>
        <c:dLbls>
          <c:showLegendKey val="0"/>
          <c:showVal val="0"/>
          <c:showCatName val="0"/>
          <c:showSerName val="0"/>
          <c:showPercent val="0"/>
          <c:showBubbleSize val="0"/>
        </c:dLbls>
        <c:gapWidth val="24"/>
        <c:axId val="1853108528"/>
        <c:axId val="1853109360"/>
      </c:barChart>
      <c:lineChart>
        <c:grouping val="stacked"/>
        <c:varyColors val="0"/>
        <c:ser>
          <c:idx val="0"/>
          <c:order val="0"/>
          <c:tx>
            <c:strRef>
              <c:f>Other!$Q$3</c:f>
              <c:strCache>
                <c:ptCount val="1"/>
                <c:pt idx="0">
                  <c:v>Activity</c:v>
                </c:pt>
              </c:strCache>
            </c:strRef>
          </c:tx>
          <c:spPr>
            <a:ln w="28575" cap="rnd">
              <a:solidFill>
                <a:srgbClr val="EAAA00"/>
              </a:solidFill>
              <a:round/>
            </a:ln>
            <a:effectLst/>
          </c:spPr>
          <c:marker>
            <c:symbol val="circle"/>
            <c:size val="5"/>
            <c:spPr>
              <a:solidFill>
                <a:srgbClr val="EAAA00"/>
              </a:solidFill>
              <a:ln w="9525">
                <a:solidFill>
                  <a:srgbClr val="EAAA00"/>
                </a:solidFill>
              </a:ln>
              <a:effectLst/>
            </c:spPr>
          </c:marker>
          <c:cat>
            <c:multiLvlStrRef>
              <c:f>Other!$R$1:$AE$2</c:f>
              <c:multiLvlStrCache>
                <c:ptCount val="14"/>
                <c:lvl>
                  <c:pt idx="0">
                    <c:v>CH</c:v>
                  </c:pt>
                  <c:pt idx="1">
                    <c:v>ASH</c:v>
                  </c:pt>
                  <c:pt idx="2">
                    <c:v>CQHS</c:v>
                  </c:pt>
                  <c:pt idx="3">
                    <c:v>MHS</c:v>
                  </c:pt>
                  <c:pt idx="4">
                    <c:v>MSHS</c:v>
                  </c:pt>
                  <c:pt idx="5">
                    <c:v>PAH</c:v>
                  </c:pt>
                  <c:pt idx="6">
                    <c:v>LMH</c:v>
                  </c:pt>
                  <c:pt idx="7">
                    <c:v>RHH</c:v>
                  </c:pt>
                  <c:pt idx="8">
                    <c:v>LRH</c:v>
                  </c:pt>
                  <c:pt idx="9">
                    <c:v>BHS</c:v>
                  </c:pt>
                  <c:pt idx="10">
                    <c:v>RMH</c:v>
                  </c:pt>
                  <c:pt idx="11">
                    <c:v>RPH</c:v>
                  </c:pt>
                  <c:pt idx="12">
                    <c:v>PCH</c:v>
                  </c:pt>
                  <c:pt idx="13">
                    <c:v>AH</c:v>
                  </c:pt>
                </c:lvl>
                <c:lvl>
                  <c:pt idx="0">
                    <c:v>ACT</c:v>
                  </c:pt>
                  <c:pt idx="1">
                    <c:v>NT</c:v>
                  </c:pt>
                  <c:pt idx="2">
                    <c:v>QLD</c:v>
                  </c:pt>
                  <c:pt idx="3">
                    <c:v>QLD</c:v>
                  </c:pt>
                  <c:pt idx="4">
                    <c:v>QLD</c:v>
                  </c:pt>
                  <c:pt idx="5">
                    <c:v>SA</c:v>
                  </c:pt>
                  <c:pt idx="6">
                    <c:v>SA</c:v>
                  </c:pt>
                  <c:pt idx="7">
                    <c:v>TAS</c:v>
                  </c:pt>
                  <c:pt idx="8">
                    <c:v>VIC</c:v>
                  </c:pt>
                  <c:pt idx="9">
                    <c:v>VIC</c:v>
                  </c:pt>
                  <c:pt idx="10">
                    <c:v>VIC</c:v>
                  </c:pt>
                  <c:pt idx="11">
                    <c:v>WA</c:v>
                  </c:pt>
                  <c:pt idx="12">
                    <c:v>WA</c:v>
                  </c:pt>
                  <c:pt idx="13">
                    <c:v>WA</c:v>
                  </c:pt>
                </c:lvl>
              </c:multiLvlStrCache>
            </c:multiLvlStrRef>
          </c:cat>
          <c:val>
            <c:numRef>
              <c:f>Other!$R$3:$AE$3</c:f>
              <c:numCache>
                <c:formatCode>#,##0</c:formatCode>
                <c:ptCount val="14"/>
                <c:pt idx="0">
                  <c:v>1409125</c:v>
                </c:pt>
                <c:pt idx="1">
                  <c:v>180090</c:v>
                </c:pt>
                <c:pt idx="2">
                  <c:v>558734</c:v>
                </c:pt>
                <c:pt idx="3">
                  <c:v>431299</c:v>
                </c:pt>
                <c:pt idx="4">
                  <c:v>1851281</c:v>
                </c:pt>
                <c:pt idx="5">
                  <c:v>54172</c:v>
                </c:pt>
                <c:pt idx="6">
                  <c:v>455879</c:v>
                </c:pt>
                <c:pt idx="7">
                  <c:v>413800</c:v>
                </c:pt>
                <c:pt idx="8">
                  <c:v>169286</c:v>
                </c:pt>
                <c:pt idx="9">
                  <c:v>281621</c:v>
                </c:pt>
                <c:pt idx="10">
                  <c:v>526392</c:v>
                </c:pt>
                <c:pt idx="11">
                  <c:v>475202</c:v>
                </c:pt>
                <c:pt idx="12">
                  <c:v>326651</c:v>
                </c:pt>
                <c:pt idx="13">
                  <c:v>122316</c:v>
                </c:pt>
              </c:numCache>
            </c:numRef>
          </c:val>
          <c:smooth val="0"/>
          <c:extLst>
            <c:ext xmlns:c16="http://schemas.microsoft.com/office/drawing/2014/chart" uri="{C3380CC4-5D6E-409C-BE32-E72D297353CC}">
              <c16:uniqueId val="{00000001-6E8D-432C-ADFD-D41A8756F6D9}"/>
            </c:ext>
          </c:extLst>
        </c:ser>
        <c:dLbls>
          <c:showLegendKey val="0"/>
          <c:showVal val="0"/>
          <c:showCatName val="0"/>
          <c:showSerName val="0"/>
          <c:showPercent val="0"/>
          <c:showBubbleSize val="0"/>
        </c:dLbls>
        <c:marker val="1"/>
        <c:smooth val="0"/>
        <c:axId val="1990712640"/>
        <c:axId val="1853110192"/>
      </c:lineChart>
      <c:catAx>
        <c:axId val="185310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853109360"/>
        <c:crosses val="autoZero"/>
        <c:auto val="1"/>
        <c:lblAlgn val="ctr"/>
        <c:lblOffset val="100"/>
        <c:noMultiLvlLbl val="0"/>
      </c:catAx>
      <c:valAx>
        <c:axId val="18531093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Costs ($M)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853108528"/>
        <c:crosses val="autoZero"/>
        <c:crossBetween val="between"/>
        <c:dispUnits>
          <c:builtInUnit val="millions"/>
        </c:dispUnits>
      </c:valAx>
      <c:valAx>
        <c:axId val="1853110192"/>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Activity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90712640"/>
        <c:crosses val="max"/>
        <c:crossBetween val="between"/>
      </c:valAx>
      <c:catAx>
        <c:axId val="1990712640"/>
        <c:scaling>
          <c:orientation val="minMax"/>
        </c:scaling>
        <c:delete val="1"/>
        <c:axPos val="b"/>
        <c:numFmt formatCode="General" sourceLinked="1"/>
        <c:majorTickMark val="out"/>
        <c:minorTickMark val="none"/>
        <c:tickLblPos val="nextTo"/>
        <c:crossAx val="185311019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44546A"/>
      </a:dk2>
      <a:lt2>
        <a:srgbClr val="00338D"/>
      </a:lt2>
      <a:accent1>
        <a:srgbClr val="005EB8"/>
      </a:accent1>
      <a:accent2>
        <a:srgbClr val="0091DA"/>
      </a:accent2>
      <a:accent3>
        <a:srgbClr val="483698"/>
      </a:accent3>
      <a:accent4>
        <a:srgbClr val="470A68"/>
      </a:accent4>
      <a:accent5>
        <a:srgbClr val="6D2077"/>
      </a:accent5>
      <a:accent6>
        <a:srgbClr val="00A3A1"/>
      </a:accent6>
      <a:hlink>
        <a:srgbClr val="470A68"/>
      </a:hlink>
      <a:folHlink>
        <a:srgbClr val="6D2077"/>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b00263bd-c65c-49a8-823d-c2052a32ad18">
      <UserInfo>
        <DisplayName>Newell, Dion</DisplayName>
        <AccountId>17</AccountId>
        <AccountType/>
      </UserInfo>
      <UserInfo>
        <DisplayName>Wright, Matt</DisplayName>
        <AccountId>18</AccountId>
        <AccountType/>
      </UserInfo>
      <UserInfo>
        <DisplayName>Dix, Stacey</DisplayName>
        <AccountId>54</AccountId>
        <AccountType/>
      </UserInfo>
      <UserInfo>
        <DisplayName>Collins, Kathy S</DisplayName>
        <AccountId>20</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3FFC813516D0D4EADE79C6121785FB0" ma:contentTypeVersion="12" ma:contentTypeDescription="Create a new document." ma:contentTypeScope="" ma:versionID="4e4f6fb57efd7d4b0c8dc13d8cd896af">
  <xsd:schema xmlns:xsd="http://www.w3.org/2001/XMLSchema" xmlns:xs="http://www.w3.org/2001/XMLSchema" xmlns:p="http://schemas.microsoft.com/office/2006/metadata/properties" xmlns:ns2="7d4c5f1c-0b13-4c81-ac75-44f6e11fa4a7" xmlns:ns3="b00263bd-c65c-49a8-823d-c2052a32ad18" targetNamespace="http://schemas.microsoft.com/office/2006/metadata/properties" ma:root="true" ma:fieldsID="3810f84cc15578bad725a03f386b2496" ns2:_="" ns3:_="">
    <xsd:import namespace="7d4c5f1c-0b13-4c81-ac75-44f6e11fa4a7"/>
    <xsd:import namespace="b00263bd-c65c-49a8-823d-c2052a32ad1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4c5f1c-0b13-4c81-ac75-44f6e11fa4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0263bd-c65c-49a8-823d-c2052a32ad1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1DF7BE1-E901-4ACD-8673-6F82D49D990D}">
  <ds:schemaRefs>
    <ds:schemaRef ds:uri="http://schemas.microsoft.com/sharepoint/v3/contenttype/forms"/>
  </ds:schemaRefs>
</ds:datastoreItem>
</file>

<file path=customXml/itemProps2.xml><?xml version="1.0" encoding="utf-8"?>
<ds:datastoreItem xmlns:ds="http://schemas.openxmlformats.org/officeDocument/2006/customXml" ds:itemID="{828C63BD-A83B-4BB5-AB51-17DB5896F67E}">
  <ds:schemaRefs>
    <ds:schemaRef ds:uri="http://schemas.openxmlformats.org/officeDocument/2006/bibliography"/>
  </ds:schemaRefs>
</ds:datastoreItem>
</file>

<file path=customXml/itemProps3.xml><?xml version="1.0" encoding="utf-8"?>
<ds:datastoreItem xmlns:ds="http://schemas.openxmlformats.org/officeDocument/2006/customXml" ds:itemID="{6EEBDCA2-9ACE-4365-A5F6-EABE11FE9C80}">
  <ds:schemaRefs>
    <ds:schemaRef ds:uri="http://schemas.microsoft.com/office/2006/metadata/properties"/>
    <ds:schemaRef ds:uri="http://schemas.microsoft.com/office/infopath/2007/PartnerControls"/>
    <ds:schemaRef ds:uri="b00263bd-c65c-49a8-823d-c2052a32ad18"/>
  </ds:schemaRefs>
</ds:datastoreItem>
</file>

<file path=customXml/itemProps4.xml><?xml version="1.0" encoding="utf-8"?>
<ds:datastoreItem xmlns:ds="http://schemas.openxmlformats.org/officeDocument/2006/customXml" ds:itemID="{1373ED81-AFD4-44AD-9B2E-A7199EBF6F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4c5f1c-0b13-4c81-ac75-44f6e11fa4a7"/>
    <ds:schemaRef ds:uri="b00263bd-c65c-49a8-823d-c2052a32ad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kpmg-portrait-report-word-template-full-cover-option-1.dotx</Template>
  <TotalTime>1181</TotalTime>
  <Pages>105</Pages>
  <Words>34718</Words>
  <Characters>197896</Characters>
  <Application>Microsoft Office Word</Application>
  <DocSecurity>0</DocSecurity>
  <Lines>1649</Lines>
  <Paragraphs>464</Paragraphs>
  <ScaleCrop>false</ScaleCrop>
  <HeadingPairs>
    <vt:vector size="2" baseType="variant">
      <vt:variant>
        <vt:lpstr>Title</vt:lpstr>
      </vt:variant>
      <vt:variant>
        <vt:i4>1</vt:i4>
      </vt:variant>
    </vt:vector>
  </HeadingPairs>
  <TitlesOfParts>
    <vt:vector size="1" baseType="lpstr">
      <vt:lpstr>KPMG Portrait Report Word Template Full Cover Option 1</vt:lpstr>
    </vt:vector>
  </TitlesOfParts>
  <Company>KPMG</Company>
  <LinksUpToDate>false</LinksUpToDate>
  <CharactersWithSpaces>232150</CharactersWithSpaces>
  <SharedDoc>false</SharedDoc>
  <HLinks>
    <vt:vector size="210" baseType="variant">
      <vt:variant>
        <vt:i4>458796</vt:i4>
      </vt:variant>
      <vt:variant>
        <vt:i4>183</vt:i4>
      </vt:variant>
      <vt:variant>
        <vt:i4>0</vt:i4>
      </vt:variant>
      <vt:variant>
        <vt:i4>5</vt:i4>
      </vt:variant>
      <vt:variant>
        <vt:lpwstr/>
      </vt:variant>
      <vt:variant>
        <vt:lpwstr>_Findings_and_Recommendations</vt:lpwstr>
      </vt:variant>
      <vt:variant>
        <vt:i4>1638462</vt:i4>
      </vt:variant>
      <vt:variant>
        <vt:i4>140</vt:i4>
      </vt:variant>
      <vt:variant>
        <vt:i4>0</vt:i4>
      </vt:variant>
      <vt:variant>
        <vt:i4>5</vt:i4>
      </vt:variant>
      <vt:variant>
        <vt:lpwstr/>
      </vt:variant>
      <vt:variant>
        <vt:lpwstr>_Toc119937510</vt:lpwstr>
      </vt:variant>
      <vt:variant>
        <vt:i4>1572926</vt:i4>
      </vt:variant>
      <vt:variant>
        <vt:i4>134</vt:i4>
      </vt:variant>
      <vt:variant>
        <vt:i4>0</vt:i4>
      </vt:variant>
      <vt:variant>
        <vt:i4>5</vt:i4>
      </vt:variant>
      <vt:variant>
        <vt:lpwstr/>
      </vt:variant>
      <vt:variant>
        <vt:lpwstr>_Toc119937509</vt:lpwstr>
      </vt:variant>
      <vt:variant>
        <vt:i4>1572926</vt:i4>
      </vt:variant>
      <vt:variant>
        <vt:i4>128</vt:i4>
      </vt:variant>
      <vt:variant>
        <vt:i4>0</vt:i4>
      </vt:variant>
      <vt:variant>
        <vt:i4>5</vt:i4>
      </vt:variant>
      <vt:variant>
        <vt:lpwstr/>
      </vt:variant>
      <vt:variant>
        <vt:lpwstr>_Toc119937508</vt:lpwstr>
      </vt:variant>
      <vt:variant>
        <vt:i4>1572926</vt:i4>
      </vt:variant>
      <vt:variant>
        <vt:i4>122</vt:i4>
      </vt:variant>
      <vt:variant>
        <vt:i4>0</vt:i4>
      </vt:variant>
      <vt:variant>
        <vt:i4>5</vt:i4>
      </vt:variant>
      <vt:variant>
        <vt:lpwstr/>
      </vt:variant>
      <vt:variant>
        <vt:lpwstr>_Toc119937507</vt:lpwstr>
      </vt:variant>
      <vt:variant>
        <vt:i4>1572926</vt:i4>
      </vt:variant>
      <vt:variant>
        <vt:i4>116</vt:i4>
      </vt:variant>
      <vt:variant>
        <vt:i4>0</vt:i4>
      </vt:variant>
      <vt:variant>
        <vt:i4>5</vt:i4>
      </vt:variant>
      <vt:variant>
        <vt:lpwstr/>
      </vt:variant>
      <vt:variant>
        <vt:lpwstr>_Toc119937506</vt:lpwstr>
      </vt:variant>
      <vt:variant>
        <vt:i4>1572926</vt:i4>
      </vt:variant>
      <vt:variant>
        <vt:i4>110</vt:i4>
      </vt:variant>
      <vt:variant>
        <vt:i4>0</vt:i4>
      </vt:variant>
      <vt:variant>
        <vt:i4>5</vt:i4>
      </vt:variant>
      <vt:variant>
        <vt:lpwstr/>
      </vt:variant>
      <vt:variant>
        <vt:lpwstr>_Toc119937505</vt:lpwstr>
      </vt:variant>
      <vt:variant>
        <vt:i4>1572926</vt:i4>
      </vt:variant>
      <vt:variant>
        <vt:i4>104</vt:i4>
      </vt:variant>
      <vt:variant>
        <vt:i4>0</vt:i4>
      </vt:variant>
      <vt:variant>
        <vt:i4>5</vt:i4>
      </vt:variant>
      <vt:variant>
        <vt:lpwstr/>
      </vt:variant>
      <vt:variant>
        <vt:lpwstr>_Toc119937504</vt:lpwstr>
      </vt:variant>
      <vt:variant>
        <vt:i4>1572926</vt:i4>
      </vt:variant>
      <vt:variant>
        <vt:i4>98</vt:i4>
      </vt:variant>
      <vt:variant>
        <vt:i4>0</vt:i4>
      </vt:variant>
      <vt:variant>
        <vt:i4>5</vt:i4>
      </vt:variant>
      <vt:variant>
        <vt:lpwstr/>
      </vt:variant>
      <vt:variant>
        <vt:lpwstr>_Toc119937503</vt:lpwstr>
      </vt:variant>
      <vt:variant>
        <vt:i4>1572926</vt:i4>
      </vt:variant>
      <vt:variant>
        <vt:i4>92</vt:i4>
      </vt:variant>
      <vt:variant>
        <vt:i4>0</vt:i4>
      </vt:variant>
      <vt:variant>
        <vt:i4>5</vt:i4>
      </vt:variant>
      <vt:variant>
        <vt:lpwstr/>
      </vt:variant>
      <vt:variant>
        <vt:lpwstr>_Toc119937502</vt:lpwstr>
      </vt:variant>
      <vt:variant>
        <vt:i4>1572926</vt:i4>
      </vt:variant>
      <vt:variant>
        <vt:i4>86</vt:i4>
      </vt:variant>
      <vt:variant>
        <vt:i4>0</vt:i4>
      </vt:variant>
      <vt:variant>
        <vt:i4>5</vt:i4>
      </vt:variant>
      <vt:variant>
        <vt:lpwstr/>
      </vt:variant>
      <vt:variant>
        <vt:lpwstr>_Toc119937501</vt:lpwstr>
      </vt:variant>
      <vt:variant>
        <vt:i4>1572926</vt:i4>
      </vt:variant>
      <vt:variant>
        <vt:i4>80</vt:i4>
      </vt:variant>
      <vt:variant>
        <vt:i4>0</vt:i4>
      </vt:variant>
      <vt:variant>
        <vt:i4>5</vt:i4>
      </vt:variant>
      <vt:variant>
        <vt:lpwstr/>
      </vt:variant>
      <vt:variant>
        <vt:lpwstr>_Toc119937500</vt:lpwstr>
      </vt:variant>
      <vt:variant>
        <vt:i4>1114175</vt:i4>
      </vt:variant>
      <vt:variant>
        <vt:i4>74</vt:i4>
      </vt:variant>
      <vt:variant>
        <vt:i4>0</vt:i4>
      </vt:variant>
      <vt:variant>
        <vt:i4>5</vt:i4>
      </vt:variant>
      <vt:variant>
        <vt:lpwstr/>
      </vt:variant>
      <vt:variant>
        <vt:lpwstr>_Toc119937499</vt:lpwstr>
      </vt:variant>
      <vt:variant>
        <vt:i4>1114175</vt:i4>
      </vt:variant>
      <vt:variant>
        <vt:i4>68</vt:i4>
      </vt:variant>
      <vt:variant>
        <vt:i4>0</vt:i4>
      </vt:variant>
      <vt:variant>
        <vt:i4>5</vt:i4>
      </vt:variant>
      <vt:variant>
        <vt:lpwstr/>
      </vt:variant>
      <vt:variant>
        <vt:lpwstr>_Toc119937498</vt:lpwstr>
      </vt:variant>
      <vt:variant>
        <vt:i4>1114175</vt:i4>
      </vt:variant>
      <vt:variant>
        <vt:i4>62</vt:i4>
      </vt:variant>
      <vt:variant>
        <vt:i4>0</vt:i4>
      </vt:variant>
      <vt:variant>
        <vt:i4>5</vt:i4>
      </vt:variant>
      <vt:variant>
        <vt:lpwstr/>
      </vt:variant>
      <vt:variant>
        <vt:lpwstr>_Toc119937497</vt:lpwstr>
      </vt:variant>
      <vt:variant>
        <vt:i4>1114175</vt:i4>
      </vt:variant>
      <vt:variant>
        <vt:i4>56</vt:i4>
      </vt:variant>
      <vt:variant>
        <vt:i4>0</vt:i4>
      </vt:variant>
      <vt:variant>
        <vt:i4>5</vt:i4>
      </vt:variant>
      <vt:variant>
        <vt:lpwstr/>
      </vt:variant>
      <vt:variant>
        <vt:lpwstr>_Toc119937496</vt:lpwstr>
      </vt:variant>
      <vt:variant>
        <vt:i4>1114175</vt:i4>
      </vt:variant>
      <vt:variant>
        <vt:i4>50</vt:i4>
      </vt:variant>
      <vt:variant>
        <vt:i4>0</vt:i4>
      </vt:variant>
      <vt:variant>
        <vt:i4>5</vt:i4>
      </vt:variant>
      <vt:variant>
        <vt:lpwstr/>
      </vt:variant>
      <vt:variant>
        <vt:lpwstr>_Toc119937495</vt:lpwstr>
      </vt:variant>
      <vt:variant>
        <vt:i4>1114175</vt:i4>
      </vt:variant>
      <vt:variant>
        <vt:i4>44</vt:i4>
      </vt:variant>
      <vt:variant>
        <vt:i4>0</vt:i4>
      </vt:variant>
      <vt:variant>
        <vt:i4>5</vt:i4>
      </vt:variant>
      <vt:variant>
        <vt:lpwstr/>
      </vt:variant>
      <vt:variant>
        <vt:lpwstr>_Toc119937494</vt:lpwstr>
      </vt:variant>
      <vt:variant>
        <vt:i4>1114175</vt:i4>
      </vt:variant>
      <vt:variant>
        <vt:i4>38</vt:i4>
      </vt:variant>
      <vt:variant>
        <vt:i4>0</vt:i4>
      </vt:variant>
      <vt:variant>
        <vt:i4>5</vt:i4>
      </vt:variant>
      <vt:variant>
        <vt:lpwstr/>
      </vt:variant>
      <vt:variant>
        <vt:lpwstr>_Toc119937493</vt:lpwstr>
      </vt:variant>
      <vt:variant>
        <vt:i4>1114175</vt:i4>
      </vt:variant>
      <vt:variant>
        <vt:i4>32</vt:i4>
      </vt:variant>
      <vt:variant>
        <vt:i4>0</vt:i4>
      </vt:variant>
      <vt:variant>
        <vt:i4>5</vt:i4>
      </vt:variant>
      <vt:variant>
        <vt:lpwstr/>
      </vt:variant>
      <vt:variant>
        <vt:lpwstr>_Toc119937492</vt:lpwstr>
      </vt:variant>
      <vt:variant>
        <vt:i4>1114175</vt:i4>
      </vt:variant>
      <vt:variant>
        <vt:i4>26</vt:i4>
      </vt:variant>
      <vt:variant>
        <vt:i4>0</vt:i4>
      </vt:variant>
      <vt:variant>
        <vt:i4>5</vt:i4>
      </vt:variant>
      <vt:variant>
        <vt:lpwstr/>
      </vt:variant>
      <vt:variant>
        <vt:lpwstr>_Toc119937491</vt:lpwstr>
      </vt:variant>
      <vt:variant>
        <vt:i4>1114175</vt:i4>
      </vt:variant>
      <vt:variant>
        <vt:i4>20</vt:i4>
      </vt:variant>
      <vt:variant>
        <vt:i4>0</vt:i4>
      </vt:variant>
      <vt:variant>
        <vt:i4>5</vt:i4>
      </vt:variant>
      <vt:variant>
        <vt:lpwstr/>
      </vt:variant>
      <vt:variant>
        <vt:lpwstr>_Toc119937490</vt:lpwstr>
      </vt:variant>
      <vt:variant>
        <vt:i4>1048639</vt:i4>
      </vt:variant>
      <vt:variant>
        <vt:i4>14</vt:i4>
      </vt:variant>
      <vt:variant>
        <vt:i4>0</vt:i4>
      </vt:variant>
      <vt:variant>
        <vt:i4>5</vt:i4>
      </vt:variant>
      <vt:variant>
        <vt:lpwstr/>
      </vt:variant>
      <vt:variant>
        <vt:lpwstr>_Toc119937489</vt:lpwstr>
      </vt:variant>
      <vt:variant>
        <vt:i4>1048639</vt:i4>
      </vt:variant>
      <vt:variant>
        <vt:i4>8</vt:i4>
      </vt:variant>
      <vt:variant>
        <vt:i4>0</vt:i4>
      </vt:variant>
      <vt:variant>
        <vt:i4>5</vt:i4>
      </vt:variant>
      <vt:variant>
        <vt:lpwstr/>
      </vt:variant>
      <vt:variant>
        <vt:lpwstr>_Toc119937488</vt:lpwstr>
      </vt:variant>
      <vt:variant>
        <vt:i4>1048639</vt:i4>
      </vt:variant>
      <vt:variant>
        <vt:i4>2</vt:i4>
      </vt:variant>
      <vt:variant>
        <vt:i4>0</vt:i4>
      </vt:variant>
      <vt:variant>
        <vt:i4>5</vt:i4>
      </vt:variant>
      <vt:variant>
        <vt:lpwstr/>
      </vt:variant>
      <vt:variant>
        <vt:lpwstr>_Toc119937487</vt:lpwstr>
      </vt:variant>
      <vt:variant>
        <vt:i4>5374026</vt:i4>
      </vt:variant>
      <vt:variant>
        <vt:i4>0</vt:i4>
      </vt:variant>
      <vt:variant>
        <vt:i4>0</vt:i4>
      </vt:variant>
      <vt:variant>
        <vt:i4>5</vt:i4>
      </vt:variant>
      <vt:variant>
        <vt:lpwstr>https://www.ihacpa.gov.au/resources/australian-hospital-patient-costing-standards-version-41</vt:lpwstr>
      </vt:variant>
      <vt:variant>
        <vt:lpwstr/>
      </vt:variant>
      <vt:variant>
        <vt:i4>4653101</vt:i4>
      </vt:variant>
      <vt:variant>
        <vt:i4>24</vt:i4>
      </vt:variant>
      <vt:variant>
        <vt:i4>0</vt:i4>
      </vt:variant>
      <vt:variant>
        <vt:i4>5</vt:i4>
      </vt:variant>
      <vt:variant>
        <vt:lpwstr>mailto:lviscariello@kpmg.com.au</vt:lpwstr>
      </vt:variant>
      <vt:variant>
        <vt:lpwstr/>
      </vt:variant>
      <vt:variant>
        <vt:i4>4653101</vt:i4>
      </vt:variant>
      <vt:variant>
        <vt:i4>21</vt:i4>
      </vt:variant>
      <vt:variant>
        <vt:i4>0</vt:i4>
      </vt:variant>
      <vt:variant>
        <vt:i4>5</vt:i4>
      </vt:variant>
      <vt:variant>
        <vt:lpwstr>mailto:lviscariello@kpmg.com.au</vt:lpwstr>
      </vt:variant>
      <vt:variant>
        <vt:lpwstr/>
      </vt:variant>
      <vt:variant>
        <vt:i4>4653101</vt:i4>
      </vt:variant>
      <vt:variant>
        <vt:i4>18</vt:i4>
      </vt:variant>
      <vt:variant>
        <vt:i4>0</vt:i4>
      </vt:variant>
      <vt:variant>
        <vt:i4>5</vt:i4>
      </vt:variant>
      <vt:variant>
        <vt:lpwstr>mailto:lviscariello@kpmg.com.au</vt:lpwstr>
      </vt:variant>
      <vt:variant>
        <vt:lpwstr/>
      </vt:variant>
      <vt:variant>
        <vt:i4>4653101</vt:i4>
      </vt:variant>
      <vt:variant>
        <vt:i4>15</vt:i4>
      </vt:variant>
      <vt:variant>
        <vt:i4>0</vt:i4>
      </vt:variant>
      <vt:variant>
        <vt:i4>5</vt:i4>
      </vt:variant>
      <vt:variant>
        <vt:lpwstr>mailto:lviscariello@kpmg.com.au</vt:lpwstr>
      </vt:variant>
      <vt:variant>
        <vt:lpwstr/>
      </vt:variant>
      <vt:variant>
        <vt:i4>4653101</vt:i4>
      </vt:variant>
      <vt:variant>
        <vt:i4>12</vt:i4>
      </vt:variant>
      <vt:variant>
        <vt:i4>0</vt:i4>
      </vt:variant>
      <vt:variant>
        <vt:i4>5</vt:i4>
      </vt:variant>
      <vt:variant>
        <vt:lpwstr>mailto:lviscariello@kpmg.com.au</vt:lpwstr>
      </vt:variant>
      <vt:variant>
        <vt:lpwstr/>
      </vt:variant>
      <vt:variant>
        <vt:i4>4653101</vt:i4>
      </vt:variant>
      <vt:variant>
        <vt:i4>9</vt:i4>
      </vt:variant>
      <vt:variant>
        <vt:i4>0</vt:i4>
      </vt:variant>
      <vt:variant>
        <vt:i4>5</vt:i4>
      </vt:variant>
      <vt:variant>
        <vt:lpwstr>mailto:lviscariello@kpmg.com.au</vt:lpwstr>
      </vt:variant>
      <vt:variant>
        <vt:lpwstr/>
      </vt:variant>
      <vt:variant>
        <vt:i4>4653101</vt:i4>
      </vt:variant>
      <vt:variant>
        <vt:i4>6</vt:i4>
      </vt:variant>
      <vt:variant>
        <vt:i4>0</vt:i4>
      </vt:variant>
      <vt:variant>
        <vt:i4>5</vt:i4>
      </vt:variant>
      <vt:variant>
        <vt:lpwstr>mailto:lviscariello@kpmg.com.au</vt:lpwstr>
      </vt:variant>
      <vt:variant>
        <vt:lpwstr/>
      </vt:variant>
      <vt:variant>
        <vt:i4>4653101</vt:i4>
      </vt:variant>
      <vt:variant>
        <vt:i4>3</vt:i4>
      </vt:variant>
      <vt:variant>
        <vt:i4>0</vt:i4>
      </vt:variant>
      <vt:variant>
        <vt:i4>5</vt:i4>
      </vt:variant>
      <vt:variant>
        <vt:lpwstr>mailto:lviscariello@kpmg.com.au</vt:lpwstr>
      </vt:variant>
      <vt:variant>
        <vt:lpwstr/>
      </vt:variant>
      <vt:variant>
        <vt:i4>4653101</vt:i4>
      </vt:variant>
      <vt:variant>
        <vt:i4>0</vt:i4>
      </vt:variant>
      <vt:variant>
        <vt:i4>0</vt:i4>
      </vt:variant>
      <vt:variant>
        <vt:i4>5</vt:i4>
      </vt:variant>
      <vt:variant>
        <vt:lpwstr>mailto:lviscariello@kpmg.com.au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KPMG Portrait Report Word Template Full Cover Option 1</dc:title>
  <dc:subject/>
  <dc:creator>Mallesh, Bhaskar</dc:creator>
  <cp:keywords>KPMG Full Cover Report Word template; Word template; Full Cover Word Template</cp:keywords>
  <dc:description/>
  <cp:lastModifiedBy>LYON, Suzanne</cp:lastModifiedBy>
  <cp:revision>11</cp:revision>
  <cp:lastPrinted>2023-02-28T23:37:00Z</cp:lastPrinted>
  <dcterms:created xsi:type="dcterms:W3CDTF">2023-02-14T00:48:00Z</dcterms:created>
  <dcterms:modified xsi:type="dcterms:W3CDTF">2023-02-28T23:49:00Z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0x010100F3FFC813516D0D4EADE79C6121785FB0</vt:lpwstr>
  </property>
  <property fmtid="{D5CDD505-2E9C-101B-9397-08002B2CF9AE}" pid="3" name="KPMGDataBusinessProcess">
    <vt:lpwstr/>
  </property>
  <property fmtid="{D5CDD505-2E9C-101B-9397-08002B2CF9AE}" pid="4" name="KPMGDataCountryOfOrigin">
    <vt:lpwstr>5;#Australia|7fdf9213-5458-4607-abbd-abb61cf0b681</vt:lpwstr>
  </property>
  <property fmtid="{D5CDD505-2E9C-101B-9397-08002B2CF9AE}" pid="5" name="KPMGDataTechnology">
    <vt:lpwstr/>
  </property>
  <property fmtid="{D5CDD505-2E9C-101B-9397-08002B2CF9AE}" pid="6" name="AULocalServices">
    <vt:lpwstr/>
  </property>
  <property fmtid="{D5CDD505-2E9C-101B-9397-08002B2CF9AE}" pid="7" name="KPMGDataContentOwner">
    <vt:lpwstr>75;#Marketing|089e9dc1-2be7-4b0e-83cf-57eba86f7964</vt:lpwstr>
  </property>
  <property fmtid="{D5CDD505-2E9C-101B-9397-08002B2CF9AE}" pid="8" name="KPMGDataAcquisitions">
    <vt:lpwstr/>
  </property>
  <property fmtid="{D5CDD505-2E9C-101B-9397-08002B2CF9AE}" pid="9" name="KPMGDataServices">
    <vt:lpwstr>74;#Marketing and Communications|d3731beb-9294-427c-b0f6-ff03ac38220b</vt:lpwstr>
  </property>
  <property fmtid="{D5CDD505-2E9C-101B-9397-08002B2CF9AE}" pid="10" name="KPMGDataRelevantCountries">
    <vt:lpwstr>5;#Australia|7fdf9213-5458-4607-abbd-abb61cf0b681</vt:lpwstr>
  </property>
  <property fmtid="{D5CDD505-2E9C-101B-9397-08002B2CF9AE}" pid="11" name="KPMGDataContentUse">
    <vt:lpwstr>25;#Internal|e7bc1b22-1af5-432b-bb59-4ce8d56ef52d</vt:lpwstr>
  </property>
  <property fmtid="{D5CDD505-2E9C-101B-9397-08002B2CF9AE}" pid="12" name="KPMGDataAlliances">
    <vt:lpwstr/>
  </property>
  <property fmtid="{D5CDD505-2E9C-101B-9397-08002B2CF9AE}" pid="13" name="KPMGDataFileType">
    <vt:lpwstr>10;#DOC|1e849a7a-1e73-4703-b962-4955c9ee5986</vt:lpwstr>
  </property>
  <property fmtid="{D5CDD505-2E9C-101B-9397-08002B2CF9AE}" pid="14" name="KPMGDataTaxTechnical">
    <vt:lpwstr/>
  </property>
  <property fmtid="{D5CDD505-2E9C-101B-9397-08002B2CF9AE}" pid="15" name="KPMGDataEngagementPhase">
    <vt:lpwstr/>
  </property>
  <property fmtid="{D5CDD505-2E9C-101B-9397-08002B2CF9AE}" pid="16" name="KPMGDataAudienceLevel">
    <vt:lpwstr/>
  </property>
  <property fmtid="{D5CDD505-2E9C-101B-9397-08002B2CF9AE}" pid="17" name="KPMGDataMarkets">
    <vt:lpwstr/>
  </property>
  <property fmtid="{D5CDD505-2E9C-101B-9397-08002B2CF9AE}" pid="18" name="KPMGDataContentCategoryType">
    <vt:lpwstr>196;#Templates|26d37f62-8f23-4c62-bbf0-880e67fca38f</vt:lpwstr>
  </property>
  <property fmtid="{D5CDD505-2E9C-101B-9397-08002B2CF9AE}" pid="19" name="KPMGDataPropositions">
    <vt:lpwstr/>
  </property>
  <property fmtid="{D5CDD505-2E9C-101B-9397-08002B2CF9AE}" pid="20" name="KPMGDataCentreOfExcellecnce">
    <vt:lpwstr/>
  </property>
  <property fmtid="{D5CDD505-2E9C-101B-9397-08002B2CF9AE}" pid="21" name="KPMGDataExternalAudience">
    <vt:lpwstr/>
  </property>
  <property fmtid="{D5CDD505-2E9C-101B-9397-08002B2CF9AE}" pid="22" name="KPMGDataLanguage">
    <vt:lpwstr>2;#English|d76496ca-e76d-48d8-9784-b2aab7c4d953</vt:lpwstr>
  </property>
</Properties>
</file>