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137504" w:rsidRDefault="00707A91" w:rsidP="00AD22E1">
      <w:pPr>
        <w:spacing w:after="1320"/>
        <w:rPr>
          <w:rFonts w:cs="Arial"/>
          <w:lang w:val="en-AU"/>
        </w:rPr>
      </w:pPr>
      <w:r w:rsidRPr="00137504">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1C5205F6" w:rsidR="00707A91" w:rsidRPr="00137504" w:rsidRDefault="00DA1A11" w:rsidP="00723269">
      <w:pPr>
        <w:pStyle w:val="CoverTitle"/>
        <w:ind w:right="107"/>
        <w:rPr>
          <w:rFonts w:cs="Arial"/>
          <w:lang w:val="en-AU"/>
        </w:rPr>
      </w:pPr>
      <w:bookmarkStart w:id="0" w:name="_Toc95826597"/>
      <w:bookmarkStart w:id="1" w:name="_Toc95913158"/>
      <w:bookmarkStart w:id="2" w:name="_Toc503790172"/>
      <w:bookmarkStart w:id="3" w:name="_Toc33774495"/>
      <w:bookmarkStart w:id="4" w:name="_Toc63240036"/>
      <w:r w:rsidRPr="002C00DE">
        <w:rPr>
          <w:lang w:val="en-AU"/>
        </w:rPr>
        <w:t xml:space="preserve">Understanding the NEP and NEC Determinations </w:t>
      </w:r>
      <w:r w:rsidR="008D4E20" w:rsidRPr="002C00DE">
        <w:rPr>
          <w:lang w:val="en-AU"/>
        </w:rPr>
        <w:t>202</w:t>
      </w:r>
      <w:r w:rsidR="008D4E20">
        <w:rPr>
          <w:lang w:val="en-AU"/>
        </w:rPr>
        <w:t>3</w:t>
      </w:r>
      <w:r w:rsidRPr="002C00DE">
        <w:rPr>
          <w:lang w:val="en-AU"/>
        </w:rPr>
        <w:t>–</w:t>
      </w:r>
      <w:bookmarkEnd w:id="0"/>
      <w:bookmarkEnd w:id="1"/>
      <w:bookmarkEnd w:id="2"/>
      <w:bookmarkEnd w:id="3"/>
      <w:bookmarkEnd w:id="4"/>
      <w:r w:rsidR="008D4E20" w:rsidRPr="002C00DE">
        <w:rPr>
          <w:lang w:val="en-AU"/>
        </w:rPr>
        <w:t>2</w:t>
      </w:r>
      <w:r w:rsidR="008D4E20">
        <w:rPr>
          <w:lang w:val="en-AU"/>
        </w:rPr>
        <w:t>4</w:t>
      </w:r>
    </w:p>
    <w:p w14:paraId="5867E2AE" w14:textId="5F9F2ADE" w:rsidR="00493FE8" w:rsidRPr="00137504" w:rsidRDefault="002D6DC5" w:rsidP="004606DD">
      <w:pPr>
        <w:pStyle w:val="Coversubtitle"/>
        <w:rPr>
          <w:rFonts w:cs="Arial"/>
          <w:sz w:val="40"/>
          <w:szCs w:val="40"/>
          <w:lang w:val="en-AU"/>
        </w:rPr>
        <w:sectPr w:rsidR="00493FE8" w:rsidRPr="00137504" w:rsidSect="00E426C6">
          <w:headerReference w:type="default" r:id="rId10"/>
          <w:type w:val="continuous"/>
          <w:pgSz w:w="11906" w:h="16838" w:code="9"/>
          <w:pgMar w:top="1440" w:right="1080" w:bottom="1440" w:left="1080" w:header="708" w:footer="708" w:gutter="0"/>
          <w:cols w:space="720"/>
          <w:docGrid w:linePitch="360"/>
        </w:sectPr>
      </w:pPr>
      <w:r>
        <w:rPr>
          <w:rFonts w:cs="Arial"/>
          <w:sz w:val="40"/>
          <w:szCs w:val="40"/>
          <w:lang w:val="en-AU"/>
        </w:rPr>
        <w:t>Ma</w:t>
      </w:r>
      <w:r w:rsidR="00DA1A11">
        <w:rPr>
          <w:rFonts w:cs="Arial"/>
          <w:sz w:val="40"/>
          <w:szCs w:val="40"/>
          <w:lang w:val="en-AU"/>
        </w:rPr>
        <w:t>rch</w:t>
      </w:r>
      <w:r>
        <w:rPr>
          <w:rFonts w:cs="Arial"/>
          <w:sz w:val="40"/>
          <w:szCs w:val="40"/>
          <w:lang w:val="en-AU"/>
        </w:rPr>
        <w:t xml:space="preserve"> </w:t>
      </w:r>
      <w:r w:rsidR="008D4E20">
        <w:rPr>
          <w:rFonts w:cs="Arial"/>
          <w:sz w:val="40"/>
          <w:szCs w:val="40"/>
          <w:lang w:val="en-AU"/>
        </w:rPr>
        <w:t>2023</w:t>
      </w:r>
    </w:p>
    <w:p w14:paraId="20BF2D79" w14:textId="422C08E7" w:rsidR="00276510" w:rsidRPr="00137504" w:rsidRDefault="00DA1A11" w:rsidP="00276510">
      <w:pPr>
        <w:pStyle w:val="Copyrightheading"/>
        <w:rPr>
          <w:rFonts w:cs="Arial"/>
          <w:lang w:val="en-AU"/>
        </w:rPr>
      </w:pPr>
      <w:r w:rsidRPr="002C00DE">
        <w:rPr>
          <w:lang w:val="en-AU"/>
        </w:rPr>
        <w:lastRenderedPageBreak/>
        <w:t xml:space="preserve">Understanding the NEP and NEC Determinations </w:t>
      </w:r>
      <w:r w:rsidR="008D4E20" w:rsidRPr="002C00DE">
        <w:rPr>
          <w:lang w:val="en-AU"/>
        </w:rPr>
        <w:t>202</w:t>
      </w:r>
      <w:r w:rsidR="008D4E20">
        <w:rPr>
          <w:lang w:val="en-AU"/>
        </w:rPr>
        <w:t>3</w:t>
      </w:r>
      <w:r w:rsidRPr="002C00DE">
        <w:rPr>
          <w:lang w:val="en-AU"/>
        </w:rPr>
        <w:t>–</w:t>
      </w:r>
      <w:r w:rsidR="008D4E20" w:rsidRPr="002C00DE">
        <w:rPr>
          <w:lang w:val="en-AU"/>
        </w:rPr>
        <w:t>2</w:t>
      </w:r>
      <w:r w:rsidR="008D4E20">
        <w:rPr>
          <w:lang w:val="en-AU"/>
        </w:rPr>
        <w:t>4</w:t>
      </w:r>
      <w:r w:rsidR="008D4E20" w:rsidRPr="002C00DE">
        <w:rPr>
          <w:lang w:val="en-AU"/>
        </w:rPr>
        <w:t xml:space="preserve"> </w:t>
      </w:r>
      <w:r w:rsidRPr="002C00DE">
        <w:rPr>
          <w:lang w:val="en-AU"/>
        </w:rPr>
        <w:t xml:space="preserve">– March </w:t>
      </w:r>
      <w:r w:rsidR="008D4E20" w:rsidRPr="002C00DE">
        <w:rPr>
          <w:lang w:val="en-AU"/>
        </w:rPr>
        <w:t>202</w:t>
      </w:r>
      <w:r w:rsidR="008D4E20">
        <w:rPr>
          <w:lang w:val="en-AU"/>
        </w:rPr>
        <w:t>3</w:t>
      </w:r>
    </w:p>
    <w:p w14:paraId="61404F53" w14:textId="2E5E4C0D" w:rsidR="00276510" w:rsidRPr="00137504" w:rsidRDefault="00276510" w:rsidP="00276510">
      <w:pPr>
        <w:pStyle w:val="Copyrightcopy"/>
        <w:rPr>
          <w:rFonts w:cs="Arial"/>
          <w:lang w:val="en-AU"/>
        </w:rPr>
      </w:pPr>
      <w:r w:rsidRPr="00137504">
        <w:rPr>
          <w:rFonts w:cs="Arial"/>
          <w:lang w:val="en-AU"/>
        </w:rPr>
        <w:t>© Independent Health and Aged Care Pricing Authority 202</w:t>
      </w:r>
      <w:r w:rsidR="002D6DC5">
        <w:rPr>
          <w:rFonts w:cs="Arial"/>
          <w:lang w:val="en-AU"/>
        </w:rPr>
        <w:t>3</w:t>
      </w:r>
    </w:p>
    <w:p w14:paraId="7B301138" w14:textId="43C94302" w:rsidR="00276510" w:rsidRPr="00137504" w:rsidRDefault="00276510" w:rsidP="00276510">
      <w:pPr>
        <w:pStyle w:val="Copyrightcopy"/>
        <w:rPr>
          <w:rFonts w:cs="Arial"/>
          <w:lang w:val="en-AU"/>
        </w:rPr>
      </w:pPr>
      <w:r w:rsidRPr="00137504">
        <w:rPr>
          <w:rFonts w:cs="Arial"/>
          <w:lang w:val="en-AU"/>
        </w:rPr>
        <w:t xml:space="preserve">This publication is available for your use under a </w:t>
      </w:r>
      <w:hyperlink r:id="rId11" w:history="1">
        <w:r w:rsidRPr="00137582">
          <w:rPr>
            <w:rStyle w:val="Hyperlink"/>
            <w:rFonts w:cs="Arial"/>
            <w:lang w:val="en-AU"/>
          </w:rPr>
          <w:t>Creative Commons BY Attribution 3.0</w:t>
        </w:r>
      </w:hyperlink>
      <w:r w:rsidRPr="00137504">
        <w:rPr>
          <w:rFonts w:cs="Arial"/>
          <w:lang w:val="en-AU"/>
        </w:rPr>
        <w:t xml:space="preserve"> Australia licence, with the exception of the Independent Health and Aged Care Pricing Authority logo, photographs, images, signatures and where otherwise stated. The full licence terms are available from the Creative Commons website.</w:t>
      </w:r>
    </w:p>
    <w:p w14:paraId="7E118B06" w14:textId="77777777" w:rsidR="00276510" w:rsidRPr="00137504" w:rsidRDefault="00276510" w:rsidP="00276510">
      <w:pPr>
        <w:pStyle w:val="Copyrightcopy"/>
        <w:rPr>
          <w:rFonts w:cs="Arial"/>
          <w:lang w:val="en-AU"/>
        </w:rPr>
      </w:pPr>
      <w:r w:rsidRPr="00137504">
        <w:rPr>
          <w:rFonts w:cs="Arial"/>
          <w:noProof/>
          <w:lang w:val="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2">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137504">
        <w:rPr>
          <w:rFonts w:cs="Arial"/>
          <w:lang w:val="en-AU"/>
        </w:rPr>
        <w:t xml:space="preserve"> </w:t>
      </w:r>
    </w:p>
    <w:p w14:paraId="020F64C9" w14:textId="454C39FB" w:rsidR="00276510" w:rsidRPr="00137504" w:rsidRDefault="00276510" w:rsidP="00276510">
      <w:pPr>
        <w:pStyle w:val="Copyrightcopy"/>
        <w:rPr>
          <w:rFonts w:cs="Arial"/>
          <w:lang w:val="en-AU"/>
        </w:rPr>
      </w:pPr>
      <w:r w:rsidRPr="00137504">
        <w:rPr>
          <w:rFonts w:cs="Arial"/>
          <w:lang w:val="en-AU"/>
        </w:rPr>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 work).</w:t>
      </w:r>
    </w:p>
    <w:p w14:paraId="239A3363" w14:textId="2ED9F348" w:rsidR="00276510" w:rsidRPr="00137504" w:rsidRDefault="00276510" w:rsidP="00276510">
      <w:pPr>
        <w:pStyle w:val="Copyrightcopy"/>
        <w:rPr>
          <w:rFonts w:cs="Arial"/>
          <w:lang w:val="en-AU"/>
        </w:rPr>
      </w:pPr>
      <w:r w:rsidRPr="00137504">
        <w:rPr>
          <w:rFonts w:cs="Arial"/>
          <w:lang w:val="en-AU"/>
        </w:rPr>
        <w:t xml:space="preserve">Independent Health and Aged Care Pricing Authority material used </w:t>
      </w:r>
      <w:r w:rsidR="006D0BA2" w:rsidRPr="00137504">
        <w:rPr>
          <w:rFonts w:cs="Arial"/>
          <w:lang w:val="en-AU"/>
        </w:rPr>
        <w:t>‘</w:t>
      </w:r>
      <w:r w:rsidRPr="00137504">
        <w:rPr>
          <w:rFonts w:cs="Arial"/>
          <w:lang w:val="en-AU"/>
        </w:rPr>
        <w:t>as supplied</w:t>
      </w:r>
      <w:r w:rsidR="006D0BA2" w:rsidRPr="00137504">
        <w:rPr>
          <w:rFonts w:cs="Arial"/>
          <w:lang w:val="en-AU"/>
        </w:rPr>
        <w:t>’</w:t>
      </w:r>
      <w:r w:rsidRPr="00137504">
        <w:rPr>
          <w:rFonts w:cs="Arial"/>
          <w:lang w:val="en-AU"/>
        </w:rPr>
        <w:t>.</w:t>
      </w:r>
    </w:p>
    <w:p w14:paraId="6DB21190" w14:textId="77777777" w:rsidR="00276510" w:rsidRPr="00137504" w:rsidRDefault="00276510" w:rsidP="00276510">
      <w:pPr>
        <w:pStyle w:val="Copyrightcopy"/>
        <w:rPr>
          <w:rFonts w:cs="Arial"/>
          <w:lang w:val="en-AU"/>
        </w:rPr>
      </w:pPr>
      <w:r w:rsidRPr="00137504">
        <w:rPr>
          <w:rFonts w:cs="Arial"/>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8AA2E10" w14:textId="47D4E080" w:rsidR="00276510" w:rsidRPr="00137504" w:rsidRDefault="00276510" w:rsidP="00276510">
      <w:pPr>
        <w:pStyle w:val="Copyrightcopy"/>
        <w:rPr>
          <w:rFonts w:cs="Arial"/>
          <w:lang w:val="en-AU"/>
        </w:rPr>
        <w:sectPr w:rsidR="00276510" w:rsidRPr="00137504" w:rsidSect="00276510">
          <w:headerReference w:type="default" r:id="rId13"/>
          <w:footerReference w:type="default" r:id="rId14"/>
          <w:pgSz w:w="11906" w:h="16838" w:code="9"/>
          <w:pgMar w:top="7371" w:right="1077" w:bottom="1440" w:left="1077" w:header="709" w:footer="709" w:gutter="0"/>
          <w:cols w:space="720"/>
          <w:docGrid w:linePitch="360"/>
        </w:sectPr>
      </w:pPr>
      <w:r w:rsidRPr="00137504">
        <w:rPr>
          <w:rFonts w:cs="Arial"/>
          <w:lang w:val="en-AU"/>
        </w:rPr>
        <w:t>Source: The Independent Health and Aged Care Pricing Authority</w:t>
      </w:r>
    </w:p>
    <w:p w14:paraId="0DB615F4" w14:textId="7632D75A" w:rsidR="00723269" w:rsidRPr="00137504" w:rsidRDefault="00723269" w:rsidP="004606DD">
      <w:pPr>
        <w:pStyle w:val="Heading1"/>
        <w:numPr>
          <w:ilvl w:val="0"/>
          <w:numId w:val="0"/>
        </w:numPr>
        <w:rPr>
          <w:rFonts w:cs="Arial"/>
        </w:rPr>
      </w:pPr>
      <w:bookmarkStart w:id="5" w:name="_Toc113568509"/>
      <w:bookmarkStart w:id="6" w:name="_Toc113579393"/>
      <w:bookmarkStart w:id="7" w:name="_Toc113632745"/>
      <w:bookmarkStart w:id="8" w:name="_Toc114170121"/>
      <w:bookmarkStart w:id="9" w:name="_Toc114236946"/>
      <w:bookmarkStart w:id="10" w:name="_Toc114498844"/>
      <w:bookmarkStart w:id="11" w:name="_Toc116550297"/>
      <w:bookmarkStart w:id="12" w:name="_Toc116558925"/>
      <w:bookmarkStart w:id="13" w:name="_Toc116559442"/>
      <w:bookmarkStart w:id="14" w:name="_Toc116642026"/>
      <w:bookmarkStart w:id="15" w:name="_Toc127182163"/>
      <w:r w:rsidRPr="00137504">
        <w:rPr>
          <w:rFonts w:cs="Arial"/>
        </w:rPr>
        <w:lastRenderedPageBreak/>
        <w:t>Table of contents</w:t>
      </w:r>
      <w:bookmarkEnd w:id="5"/>
      <w:bookmarkEnd w:id="6"/>
      <w:bookmarkEnd w:id="7"/>
      <w:bookmarkEnd w:id="8"/>
      <w:bookmarkEnd w:id="9"/>
      <w:bookmarkEnd w:id="10"/>
      <w:bookmarkEnd w:id="11"/>
      <w:bookmarkEnd w:id="12"/>
      <w:bookmarkEnd w:id="13"/>
      <w:bookmarkEnd w:id="14"/>
      <w:bookmarkEnd w:id="15"/>
    </w:p>
    <w:p w14:paraId="177C9042" w14:textId="77777777" w:rsidR="00BF41F8" w:rsidRPr="00137504" w:rsidRDefault="00BF41F8" w:rsidP="00BF41F8">
      <w:pPr>
        <w:rPr>
          <w:rFonts w:cs="Arial"/>
          <w:lang w:val="en-AU"/>
        </w:rPr>
      </w:pPr>
    </w:p>
    <w:p w14:paraId="33B161BC" w14:textId="50E9CADB" w:rsidR="00137582" w:rsidRDefault="00CA1505">
      <w:pPr>
        <w:pStyle w:val="TOC1"/>
        <w:tabs>
          <w:tab w:val="right" w:leader="dot" w:pos="9742"/>
        </w:tabs>
        <w:rPr>
          <w:rFonts w:asciiTheme="minorHAnsi" w:eastAsiaTheme="minorEastAsia" w:hAnsiTheme="minorHAnsi"/>
          <w:b w:val="0"/>
          <w:noProof/>
          <w:color w:val="auto"/>
          <w:sz w:val="22"/>
          <w:lang w:val="en-AU" w:eastAsia="en-AU"/>
        </w:rPr>
      </w:pPr>
      <w:r w:rsidRPr="00137504">
        <w:rPr>
          <w:rFonts w:cs="Arial"/>
          <w:b w:val="0"/>
          <w:lang w:val="en-AU"/>
        </w:rPr>
        <w:fldChar w:fldCharType="begin"/>
      </w:r>
      <w:r w:rsidRPr="00137504">
        <w:rPr>
          <w:rFonts w:cs="Arial"/>
          <w:b w:val="0"/>
          <w:lang w:val="en-AU"/>
        </w:rPr>
        <w:instrText xml:space="preserve"> TOC \o "1-1" \u </w:instrText>
      </w:r>
      <w:r w:rsidRPr="00137504">
        <w:rPr>
          <w:rFonts w:cs="Arial"/>
          <w:b w:val="0"/>
          <w:lang w:val="en-AU"/>
        </w:rPr>
        <w:fldChar w:fldCharType="separate"/>
      </w:r>
      <w:r w:rsidR="00137582" w:rsidRPr="00D35CB5">
        <w:rPr>
          <w:rFonts w:cs="Arial"/>
          <w:noProof/>
        </w:rPr>
        <w:t>Table of contents</w:t>
      </w:r>
      <w:r w:rsidR="00137582">
        <w:rPr>
          <w:noProof/>
        </w:rPr>
        <w:tab/>
      </w:r>
      <w:r w:rsidR="00137582">
        <w:rPr>
          <w:noProof/>
        </w:rPr>
        <w:fldChar w:fldCharType="begin"/>
      </w:r>
      <w:r w:rsidR="00137582">
        <w:rPr>
          <w:noProof/>
        </w:rPr>
        <w:instrText xml:space="preserve"> PAGEREF _Toc127182163 \h </w:instrText>
      </w:r>
      <w:r w:rsidR="00137582">
        <w:rPr>
          <w:noProof/>
        </w:rPr>
      </w:r>
      <w:r w:rsidR="00137582">
        <w:rPr>
          <w:noProof/>
        </w:rPr>
        <w:fldChar w:fldCharType="separate"/>
      </w:r>
      <w:r w:rsidR="00FF26F1">
        <w:rPr>
          <w:noProof/>
        </w:rPr>
        <w:t>3</w:t>
      </w:r>
      <w:r w:rsidR="00137582">
        <w:rPr>
          <w:noProof/>
        </w:rPr>
        <w:fldChar w:fldCharType="end"/>
      </w:r>
    </w:p>
    <w:p w14:paraId="36FF4456" w14:textId="1B64C11B" w:rsidR="00137582" w:rsidRDefault="00137582">
      <w:pPr>
        <w:pStyle w:val="TOC1"/>
        <w:tabs>
          <w:tab w:val="left" w:pos="440"/>
          <w:tab w:val="right" w:leader="dot" w:pos="9742"/>
        </w:tabs>
        <w:rPr>
          <w:rFonts w:asciiTheme="minorHAnsi" w:eastAsiaTheme="minorEastAsia" w:hAnsiTheme="minorHAnsi"/>
          <w:b w:val="0"/>
          <w:noProof/>
          <w:color w:val="auto"/>
          <w:sz w:val="22"/>
          <w:lang w:val="en-AU" w:eastAsia="en-AU"/>
        </w:rPr>
      </w:pPr>
      <w:r>
        <w:rPr>
          <w:noProof/>
        </w:rPr>
        <w:t>1.</w:t>
      </w:r>
      <w:r>
        <w:rPr>
          <w:rFonts w:asciiTheme="minorHAnsi" w:eastAsiaTheme="minorEastAsia" w:hAnsiTheme="minorHAnsi"/>
          <w:b w:val="0"/>
          <w:noProof/>
          <w:color w:val="auto"/>
          <w:sz w:val="22"/>
          <w:lang w:val="en-AU" w:eastAsia="en-AU"/>
        </w:rPr>
        <w:tab/>
      </w:r>
      <w:r>
        <w:rPr>
          <w:noProof/>
        </w:rPr>
        <w:t>Introduction</w:t>
      </w:r>
      <w:r>
        <w:rPr>
          <w:noProof/>
        </w:rPr>
        <w:tab/>
      </w:r>
      <w:r>
        <w:rPr>
          <w:noProof/>
        </w:rPr>
        <w:fldChar w:fldCharType="begin"/>
      </w:r>
      <w:r>
        <w:rPr>
          <w:noProof/>
        </w:rPr>
        <w:instrText xml:space="preserve"> PAGEREF _Toc127182164 \h </w:instrText>
      </w:r>
      <w:r>
        <w:rPr>
          <w:noProof/>
        </w:rPr>
      </w:r>
      <w:r>
        <w:rPr>
          <w:noProof/>
        </w:rPr>
        <w:fldChar w:fldCharType="separate"/>
      </w:r>
      <w:r w:rsidR="00FF26F1">
        <w:rPr>
          <w:noProof/>
        </w:rPr>
        <w:t>4</w:t>
      </w:r>
      <w:r>
        <w:rPr>
          <w:noProof/>
        </w:rPr>
        <w:fldChar w:fldCharType="end"/>
      </w:r>
    </w:p>
    <w:p w14:paraId="79ED6550" w14:textId="531C4BCA" w:rsidR="00137582" w:rsidRDefault="00137582">
      <w:pPr>
        <w:pStyle w:val="TOC1"/>
        <w:tabs>
          <w:tab w:val="left" w:pos="440"/>
          <w:tab w:val="right" w:leader="dot" w:pos="9742"/>
        </w:tabs>
        <w:rPr>
          <w:rFonts w:asciiTheme="minorHAnsi" w:eastAsiaTheme="minorEastAsia" w:hAnsiTheme="minorHAnsi"/>
          <w:b w:val="0"/>
          <w:noProof/>
          <w:color w:val="auto"/>
          <w:sz w:val="22"/>
          <w:lang w:val="en-AU" w:eastAsia="en-AU"/>
        </w:rPr>
      </w:pPr>
      <w:r>
        <w:rPr>
          <w:noProof/>
        </w:rPr>
        <w:t>2.</w:t>
      </w:r>
      <w:r>
        <w:rPr>
          <w:rFonts w:asciiTheme="minorHAnsi" w:eastAsiaTheme="minorEastAsia" w:hAnsiTheme="minorHAnsi"/>
          <w:b w:val="0"/>
          <w:noProof/>
          <w:color w:val="auto"/>
          <w:sz w:val="22"/>
          <w:lang w:val="en-AU" w:eastAsia="en-AU"/>
        </w:rPr>
        <w:tab/>
      </w:r>
      <w:r>
        <w:rPr>
          <w:noProof/>
        </w:rPr>
        <w:t>Summary of key changes</w:t>
      </w:r>
      <w:r>
        <w:rPr>
          <w:noProof/>
        </w:rPr>
        <w:tab/>
      </w:r>
      <w:r>
        <w:rPr>
          <w:noProof/>
        </w:rPr>
        <w:fldChar w:fldCharType="begin"/>
      </w:r>
      <w:r>
        <w:rPr>
          <w:noProof/>
        </w:rPr>
        <w:instrText xml:space="preserve"> PAGEREF _Toc127182165 \h </w:instrText>
      </w:r>
      <w:r>
        <w:rPr>
          <w:noProof/>
        </w:rPr>
      </w:r>
      <w:r>
        <w:rPr>
          <w:noProof/>
        </w:rPr>
        <w:fldChar w:fldCharType="separate"/>
      </w:r>
      <w:r w:rsidR="00FF26F1">
        <w:rPr>
          <w:noProof/>
        </w:rPr>
        <w:t>6</w:t>
      </w:r>
      <w:r>
        <w:rPr>
          <w:noProof/>
        </w:rPr>
        <w:fldChar w:fldCharType="end"/>
      </w:r>
    </w:p>
    <w:p w14:paraId="2354B89B" w14:textId="15FDFC79" w:rsidR="00137582" w:rsidRDefault="00137582">
      <w:pPr>
        <w:pStyle w:val="TOC1"/>
        <w:tabs>
          <w:tab w:val="left" w:pos="440"/>
          <w:tab w:val="right" w:leader="dot" w:pos="9742"/>
        </w:tabs>
        <w:rPr>
          <w:rFonts w:asciiTheme="minorHAnsi" w:eastAsiaTheme="minorEastAsia" w:hAnsiTheme="minorHAnsi"/>
          <w:b w:val="0"/>
          <w:noProof/>
          <w:color w:val="auto"/>
          <w:sz w:val="22"/>
          <w:lang w:val="en-AU" w:eastAsia="en-AU"/>
        </w:rPr>
      </w:pPr>
      <w:r>
        <w:rPr>
          <w:noProof/>
        </w:rPr>
        <w:t>3.</w:t>
      </w:r>
      <w:r>
        <w:rPr>
          <w:rFonts w:asciiTheme="minorHAnsi" w:eastAsiaTheme="minorEastAsia" w:hAnsiTheme="minorHAnsi"/>
          <w:b w:val="0"/>
          <w:noProof/>
          <w:color w:val="auto"/>
          <w:sz w:val="22"/>
          <w:lang w:val="en-AU" w:eastAsia="en-AU"/>
        </w:rPr>
        <w:tab/>
      </w:r>
      <w:r>
        <w:rPr>
          <w:noProof/>
        </w:rPr>
        <w:t>More information</w:t>
      </w:r>
      <w:r>
        <w:rPr>
          <w:noProof/>
        </w:rPr>
        <w:tab/>
      </w:r>
      <w:r>
        <w:rPr>
          <w:noProof/>
        </w:rPr>
        <w:fldChar w:fldCharType="begin"/>
      </w:r>
      <w:r>
        <w:rPr>
          <w:noProof/>
        </w:rPr>
        <w:instrText xml:space="preserve"> PAGEREF _Toc127182166 \h </w:instrText>
      </w:r>
      <w:r>
        <w:rPr>
          <w:noProof/>
        </w:rPr>
      </w:r>
      <w:r>
        <w:rPr>
          <w:noProof/>
        </w:rPr>
        <w:fldChar w:fldCharType="separate"/>
      </w:r>
      <w:r w:rsidR="00FF26F1">
        <w:rPr>
          <w:noProof/>
        </w:rPr>
        <w:t>13</w:t>
      </w:r>
      <w:r>
        <w:rPr>
          <w:noProof/>
        </w:rPr>
        <w:fldChar w:fldCharType="end"/>
      </w:r>
    </w:p>
    <w:p w14:paraId="06041AB6" w14:textId="043AE69B" w:rsidR="00723269" w:rsidRPr="00137504" w:rsidRDefault="00CA1505" w:rsidP="00723269">
      <w:pPr>
        <w:rPr>
          <w:rFonts w:cs="Arial"/>
          <w:lang w:val="en-AU"/>
        </w:rPr>
      </w:pPr>
      <w:r w:rsidRPr="00137504">
        <w:rPr>
          <w:rFonts w:cs="Arial"/>
          <w:b/>
          <w:sz w:val="24"/>
          <w:lang w:val="en-AU"/>
        </w:rPr>
        <w:fldChar w:fldCharType="end"/>
      </w:r>
    </w:p>
    <w:p w14:paraId="03E9E655" w14:textId="77777777" w:rsidR="00723269" w:rsidRPr="00137504" w:rsidRDefault="00723269">
      <w:pPr>
        <w:spacing w:line="259" w:lineRule="auto"/>
        <w:rPr>
          <w:rFonts w:eastAsiaTheme="majorEastAsia" w:cs="Arial"/>
          <w:b/>
          <w:sz w:val="72"/>
          <w:szCs w:val="32"/>
          <w:lang w:val="en-AU"/>
        </w:rPr>
      </w:pPr>
      <w:r w:rsidRPr="00137504">
        <w:rPr>
          <w:rFonts w:cs="Arial"/>
          <w:lang w:val="en-AU"/>
        </w:rPr>
        <w:br w:type="page"/>
      </w:r>
    </w:p>
    <w:p w14:paraId="022A74E2" w14:textId="77777777" w:rsidR="00151079" w:rsidRPr="002C00DE" w:rsidRDefault="00151079" w:rsidP="00151079">
      <w:pPr>
        <w:pStyle w:val="Heading1"/>
        <w:spacing w:after="1080"/>
        <w:ind w:left="709" w:hanging="720"/>
        <w:contextualSpacing/>
      </w:pPr>
      <w:bookmarkStart w:id="16" w:name="_Toc95913160"/>
      <w:bookmarkStart w:id="17" w:name="_Toc127182164"/>
      <w:r w:rsidRPr="002C00DE">
        <w:lastRenderedPageBreak/>
        <w:t>Introduction</w:t>
      </w:r>
      <w:bookmarkEnd w:id="16"/>
      <w:bookmarkEnd w:id="17"/>
    </w:p>
    <w:p w14:paraId="31D2B01C" w14:textId="7F74F2F7" w:rsidR="00151079" w:rsidRPr="002C00DE" w:rsidRDefault="00151079" w:rsidP="00151079">
      <w:pPr>
        <w:rPr>
          <w:lang w:val="en-AU"/>
        </w:rPr>
      </w:pPr>
      <w:r w:rsidRPr="002C00DE">
        <w:rPr>
          <w:lang w:val="en-AU"/>
        </w:rPr>
        <w:t xml:space="preserve">The Independent </w:t>
      </w:r>
      <w:r w:rsidR="008D4E20">
        <w:rPr>
          <w:lang w:val="en-AU"/>
        </w:rPr>
        <w:t>Health and Aged Care</w:t>
      </w:r>
      <w:r w:rsidR="008D4E20" w:rsidRPr="002C00DE">
        <w:rPr>
          <w:lang w:val="en-AU"/>
        </w:rPr>
        <w:t xml:space="preserve"> </w:t>
      </w:r>
      <w:r w:rsidRPr="002C00DE">
        <w:rPr>
          <w:lang w:val="en-AU"/>
        </w:rPr>
        <w:t>Pricing Authority (IH</w:t>
      </w:r>
      <w:r w:rsidR="008D4E20">
        <w:rPr>
          <w:lang w:val="en-AU"/>
        </w:rPr>
        <w:t>AC</w:t>
      </w:r>
      <w:r w:rsidRPr="002C00DE">
        <w:rPr>
          <w:lang w:val="en-AU"/>
        </w:rPr>
        <w:t>PA) determine</w:t>
      </w:r>
      <w:r w:rsidR="00742D1F">
        <w:rPr>
          <w:lang w:val="en-AU"/>
        </w:rPr>
        <w:t>s</w:t>
      </w:r>
      <w:r w:rsidRPr="002C00DE">
        <w:rPr>
          <w:lang w:val="en-AU"/>
        </w:rPr>
        <w:t xml:space="preserve"> the annual </w:t>
      </w:r>
      <w:hyperlink r:id="rId15" w:history="1">
        <w:r w:rsidRPr="002C00DE">
          <w:rPr>
            <w:rStyle w:val="Hyperlink"/>
            <w:color w:val="104F99" w:themeColor="accent2"/>
            <w:lang w:val="en-AU"/>
          </w:rPr>
          <w:t>national efficient price (NEP)</w:t>
        </w:r>
      </w:hyperlink>
      <w:r w:rsidRPr="002C00DE">
        <w:rPr>
          <w:lang w:val="en-AU"/>
        </w:rPr>
        <w:t xml:space="preserve"> and </w:t>
      </w:r>
      <w:hyperlink r:id="rId16" w:history="1">
        <w:r w:rsidRPr="002C00DE">
          <w:rPr>
            <w:rStyle w:val="Hyperlink"/>
            <w:color w:val="104F99" w:themeColor="accent2"/>
            <w:lang w:val="en-AU"/>
          </w:rPr>
          <w:t>national efficient cost (NEC)</w:t>
        </w:r>
        <w:r w:rsidRPr="002C00DE" w:rsidDel="00C31756">
          <w:rPr>
            <w:rStyle w:val="Hyperlink"/>
            <w:lang w:val="en-AU"/>
          </w:rPr>
          <w:t xml:space="preserve"> </w:t>
        </w:r>
      </w:hyperlink>
      <w:r w:rsidRPr="002C00DE">
        <w:rPr>
          <w:lang w:val="en-AU"/>
        </w:rPr>
        <w:t>for Australian public hospital services. IH</w:t>
      </w:r>
      <w:r w:rsidR="003268EE">
        <w:rPr>
          <w:lang w:val="en-AU"/>
        </w:rPr>
        <w:t>AC</w:t>
      </w:r>
      <w:r w:rsidRPr="002C00DE">
        <w:rPr>
          <w:lang w:val="en-AU"/>
        </w:rPr>
        <w:t>PA publishes the NEP and NEC Determinations each year.</w:t>
      </w:r>
    </w:p>
    <w:p w14:paraId="7ABAE9E1" w14:textId="0908D79F" w:rsidR="00151079" w:rsidRPr="002C00DE" w:rsidRDefault="00151079" w:rsidP="00151079">
      <w:pPr>
        <w:rPr>
          <w:lang w:val="en-AU"/>
        </w:rPr>
      </w:pPr>
      <w:r w:rsidRPr="002C00DE">
        <w:rPr>
          <w:lang w:val="en-AU"/>
        </w:rPr>
        <w:t xml:space="preserve">The NEP underpins </w:t>
      </w:r>
      <w:proofErr w:type="gramStart"/>
      <w:r w:rsidRPr="002C00DE">
        <w:rPr>
          <w:lang w:val="en-AU"/>
        </w:rPr>
        <w:t>activity based</w:t>
      </w:r>
      <w:proofErr w:type="gramEnd"/>
      <w:r w:rsidRPr="002C00DE">
        <w:rPr>
          <w:lang w:val="en-AU"/>
        </w:rPr>
        <w:t xml:space="preserve"> funding (ABF) across Australia for public hospital services. ABF is a way of funding hospitals whereby they are paid for the number </w:t>
      </w:r>
      <w:r w:rsidR="00742D1F">
        <w:rPr>
          <w:lang w:val="en-AU"/>
        </w:rPr>
        <w:t xml:space="preserve">and mix </w:t>
      </w:r>
      <w:r w:rsidR="00514BBB" w:rsidRPr="002C00DE">
        <w:rPr>
          <w:lang w:val="en-AU"/>
        </w:rPr>
        <w:t xml:space="preserve">of patients </w:t>
      </w:r>
      <w:r w:rsidRPr="002C00DE">
        <w:rPr>
          <w:lang w:val="en-AU"/>
        </w:rPr>
        <w:t>they treat. ABF is intended to improve the value of the public investment in hospital care and ensure a sustainable and efficient network of public hospital services.</w:t>
      </w:r>
    </w:p>
    <w:p w14:paraId="6FAB470F" w14:textId="77777777" w:rsidR="00151079" w:rsidRDefault="00151079" w:rsidP="00151079">
      <w:pPr>
        <w:rPr>
          <w:lang w:val="en-AU"/>
        </w:rPr>
      </w:pPr>
      <w:r w:rsidRPr="009B0099">
        <w:rPr>
          <w:lang w:val="en-AU"/>
        </w:rPr>
        <w:t xml:space="preserve">The NEC determines the Commonwealth Government’s </w:t>
      </w:r>
      <w:r>
        <w:rPr>
          <w:lang w:val="en-AU"/>
        </w:rPr>
        <w:t xml:space="preserve">funding </w:t>
      </w:r>
      <w:r w:rsidRPr="009B0099">
        <w:rPr>
          <w:lang w:val="en-AU"/>
        </w:rPr>
        <w:t xml:space="preserve">contribution </w:t>
      </w:r>
      <w:r>
        <w:rPr>
          <w:lang w:val="en-AU"/>
        </w:rPr>
        <w:t xml:space="preserve">to local hospital networks </w:t>
      </w:r>
      <w:r w:rsidRPr="009B0099">
        <w:rPr>
          <w:lang w:val="en-AU"/>
        </w:rPr>
        <w:t xml:space="preserve">for </w:t>
      </w:r>
      <w:r>
        <w:rPr>
          <w:lang w:val="en-AU"/>
        </w:rPr>
        <w:t xml:space="preserve">public hospital </w:t>
      </w:r>
      <w:r w:rsidRPr="009B0099">
        <w:rPr>
          <w:lang w:val="en-AU"/>
        </w:rPr>
        <w:t xml:space="preserve">services that are not suitable for </w:t>
      </w:r>
      <w:r>
        <w:rPr>
          <w:lang w:val="en-AU"/>
        </w:rPr>
        <w:t>ABF</w:t>
      </w:r>
      <w:r w:rsidRPr="009B0099">
        <w:rPr>
          <w:lang w:val="en-AU"/>
        </w:rPr>
        <w:t>, such as small rural hospitals.</w:t>
      </w:r>
    </w:p>
    <w:p w14:paraId="18D20110" w14:textId="2FA8ED3D" w:rsidR="00151079" w:rsidRPr="002C00DE" w:rsidRDefault="00151079" w:rsidP="00151079">
      <w:pPr>
        <w:rPr>
          <w:lang w:val="en-AU"/>
        </w:rPr>
      </w:pPr>
      <w:r w:rsidRPr="002C00DE">
        <w:rPr>
          <w:lang w:val="en-AU"/>
        </w:rPr>
        <w:t xml:space="preserve">In order to make </w:t>
      </w:r>
      <w:r>
        <w:rPr>
          <w:lang w:val="en-AU"/>
        </w:rPr>
        <w:t>the NEP and NEC</w:t>
      </w:r>
      <w:r w:rsidRPr="002C00DE">
        <w:rPr>
          <w:lang w:val="en-AU"/>
        </w:rPr>
        <w:t xml:space="preserve"> Determinations, IH</w:t>
      </w:r>
      <w:r w:rsidR="00E75493">
        <w:rPr>
          <w:lang w:val="en-AU"/>
        </w:rPr>
        <w:t>AC</w:t>
      </w:r>
      <w:r w:rsidRPr="002C00DE">
        <w:rPr>
          <w:lang w:val="en-AU"/>
        </w:rPr>
        <w:t xml:space="preserve">PA develops and publishes the annual </w:t>
      </w:r>
      <w:hyperlink r:id="rId17" w:history="1">
        <w:r w:rsidRPr="00FF26F1">
          <w:rPr>
            <w:rStyle w:val="Hyperlink"/>
            <w:color w:val="104F99" w:themeColor="accent2"/>
            <w:lang w:val="en-AU"/>
          </w:rPr>
          <w:t>Pricing Framework for Australian Public Hospital Services</w:t>
        </w:r>
      </w:hyperlink>
      <w:r w:rsidRPr="002C00DE">
        <w:rPr>
          <w:rStyle w:val="Hyperlink"/>
          <w:color w:val="00B050"/>
          <w:lang w:val="en-AU"/>
        </w:rPr>
        <w:t xml:space="preserve"> </w:t>
      </w:r>
      <w:r w:rsidRPr="002C00DE">
        <w:rPr>
          <w:lang w:val="en-AU"/>
        </w:rPr>
        <w:t>(the Pricing Framework)</w:t>
      </w:r>
      <w:r>
        <w:rPr>
          <w:lang w:val="en-AU"/>
        </w:rPr>
        <w:t>, which</w:t>
      </w:r>
      <w:r w:rsidRPr="002C00DE">
        <w:rPr>
          <w:lang w:val="en-AU"/>
        </w:rPr>
        <w:t xml:space="preserve"> outlines the principles and policies adopted by IH</w:t>
      </w:r>
      <w:r w:rsidR="00E75493">
        <w:rPr>
          <w:lang w:val="en-AU"/>
        </w:rPr>
        <w:t>AC</w:t>
      </w:r>
      <w:r w:rsidRPr="002C00DE">
        <w:rPr>
          <w:lang w:val="en-AU"/>
        </w:rPr>
        <w:t xml:space="preserve">PA to determine the NEP and the NEC for </w:t>
      </w:r>
      <w:r>
        <w:rPr>
          <w:lang w:val="en-AU"/>
        </w:rPr>
        <w:t>that</w:t>
      </w:r>
      <w:r w:rsidRPr="002C00DE">
        <w:rPr>
          <w:lang w:val="en-AU"/>
        </w:rPr>
        <w:t xml:space="preserve"> financial year.</w:t>
      </w:r>
    </w:p>
    <w:p w14:paraId="4B7F8AF8" w14:textId="0D8F5065" w:rsidR="00151079" w:rsidRPr="002C00DE" w:rsidRDefault="00151079" w:rsidP="00151079">
      <w:pPr>
        <w:rPr>
          <w:lang w:val="en-AU"/>
        </w:rPr>
      </w:pPr>
      <w:r w:rsidRPr="002C00DE">
        <w:rPr>
          <w:lang w:val="en-AU"/>
        </w:rPr>
        <w:t>IH</w:t>
      </w:r>
      <w:r w:rsidR="00E75493">
        <w:rPr>
          <w:lang w:val="en-AU"/>
        </w:rPr>
        <w:t>AC</w:t>
      </w:r>
      <w:r w:rsidRPr="002C00DE">
        <w:rPr>
          <w:lang w:val="en-AU"/>
        </w:rPr>
        <w:t xml:space="preserve">PA consults with all stakeholders, including state and territory governments, the Commonwealth </w:t>
      </w:r>
      <w:proofErr w:type="gramStart"/>
      <w:r w:rsidRPr="002C00DE">
        <w:rPr>
          <w:lang w:val="en-AU"/>
        </w:rPr>
        <w:t>Government</w:t>
      </w:r>
      <w:proofErr w:type="gramEnd"/>
      <w:r w:rsidRPr="002C00DE">
        <w:rPr>
          <w:lang w:val="en-AU"/>
        </w:rPr>
        <w:t xml:space="preserve"> and the general public, prior to finalising the Pricing Framework each year.</w:t>
      </w:r>
    </w:p>
    <w:p w14:paraId="770322DC" w14:textId="3B3BDDC4" w:rsidR="00151079" w:rsidRPr="002C00DE" w:rsidRDefault="00151079" w:rsidP="00151079">
      <w:pPr>
        <w:rPr>
          <w:lang w:val="en-AU"/>
        </w:rPr>
      </w:pPr>
      <w:r w:rsidRPr="002C00DE">
        <w:rPr>
          <w:lang w:val="en-AU"/>
        </w:rPr>
        <w:t>The Pricing Framework is released prior to the NEP and NEC Determinations to provide transparency and accountability by making available the key principles and policies adopted by IH</w:t>
      </w:r>
      <w:r w:rsidR="00E75493">
        <w:rPr>
          <w:lang w:val="en-AU"/>
        </w:rPr>
        <w:t>AC</w:t>
      </w:r>
      <w:r w:rsidRPr="002C00DE">
        <w:rPr>
          <w:lang w:val="en-AU"/>
        </w:rPr>
        <w:t>PA to inform the NEP and NEC Determinations.</w:t>
      </w:r>
    </w:p>
    <w:p w14:paraId="4E5D38CC" w14:textId="1A544537" w:rsidR="00151079" w:rsidRPr="002C00DE" w:rsidRDefault="00151079" w:rsidP="00151079">
      <w:pPr>
        <w:pStyle w:val="Heading2"/>
      </w:pPr>
      <w:bookmarkStart w:id="18" w:name="_Toc95913161"/>
      <w:r w:rsidRPr="002C00DE">
        <w:t>About the national efficient price</w:t>
      </w:r>
      <w:bookmarkEnd w:id="18"/>
    </w:p>
    <w:p w14:paraId="6958D315" w14:textId="77777777" w:rsidR="00151079" w:rsidRPr="002C00DE" w:rsidRDefault="00151079" w:rsidP="00151079">
      <w:pPr>
        <w:rPr>
          <w:lang w:val="en-AU"/>
        </w:rPr>
      </w:pPr>
      <w:r w:rsidRPr="002C00DE">
        <w:rPr>
          <w:lang w:val="en-AU"/>
        </w:rPr>
        <w:t>The NEP is based on the average cost of an admitted acute episode of care provided in public hospitals during a financial year. Each episode of patient care is allocated a national weighted activity unit (NWAU).</w:t>
      </w:r>
    </w:p>
    <w:p w14:paraId="0FA6B8D4" w14:textId="5745E44D" w:rsidR="00151079" w:rsidRPr="002C00DE" w:rsidRDefault="00151079" w:rsidP="00151079">
      <w:pPr>
        <w:rPr>
          <w:lang w:val="en-AU"/>
        </w:rPr>
      </w:pPr>
      <w:r w:rsidRPr="002C00DE">
        <w:rPr>
          <w:lang w:val="en-AU"/>
        </w:rPr>
        <w:t>The NWAU is a measure of hospital activity expressed as a common unit, against which the NEP is paid. It is a point of relativity for the pricing of hospital services</w:t>
      </w:r>
      <w:r w:rsidR="00514BBB">
        <w:rPr>
          <w:lang w:val="en-AU"/>
        </w:rPr>
        <w:t>,</w:t>
      </w:r>
      <w:r w:rsidRPr="002C00DE">
        <w:rPr>
          <w:lang w:val="en-AU"/>
        </w:rPr>
        <w:t xml:space="preserve"> which are weighted for clinical complexity. The ‘average’ hospital service is worth one NWAU. More </w:t>
      </w:r>
      <w:r>
        <w:rPr>
          <w:lang w:val="en-AU"/>
        </w:rPr>
        <w:t>complex</w:t>
      </w:r>
      <w:r w:rsidRPr="002C00DE">
        <w:rPr>
          <w:lang w:val="en-AU"/>
        </w:rPr>
        <w:t xml:space="preserve"> and expensive activities are worth multiple NWAUs, and simpler and less expensive activities are worth fractions of an NWAU.</w:t>
      </w:r>
    </w:p>
    <w:p w14:paraId="3D7F304E" w14:textId="2DF007C7" w:rsidR="00151079" w:rsidRPr="002C00DE" w:rsidRDefault="00151079" w:rsidP="00151079">
      <w:pPr>
        <w:rPr>
          <w:lang w:val="en-AU"/>
        </w:rPr>
      </w:pPr>
      <w:r w:rsidRPr="002C00DE">
        <w:rPr>
          <w:lang w:val="en-AU"/>
        </w:rPr>
        <w:t>The price of each public hospital service is calculated by multiplying the NWAU allocated to that service by the NEP.</w:t>
      </w:r>
      <w:r w:rsidR="00773B4F">
        <w:rPr>
          <w:lang w:val="en-AU"/>
        </w:rPr>
        <w:t xml:space="preserve"> </w:t>
      </w:r>
      <w:r w:rsidRPr="002C00DE">
        <w:rPr>
          <w:lang w:val="en-AU"/>
        </w:rPr>
        <w:t>For example:</w:t>
      </w:r>
    </w:p>
    <w:p w14:paraId="536CFD9F" w14:textId="2A61EE49" w:rsidR="00151079" w:rsidRPr="0044023E" w:rsidRDefault="00151079" w:rsidP="00151079">
      <w:pPr>
        <w:pStyle w:val="ListParagraph"/>
        <w:numPr>
          <w:ilvl w:val="0"/>
          <w:numId w:val="47"/>
        </w:numPr>
        <w:spacing w:before="120" w:after="120" w:line="260" w:lineRule="atLeast"/>
        <w:contextualSpacing w:val="0"/>
        <w:rPr>
          <w:lang w:val="en-AU"/>
        </w:rPr>
      </w:pPr>
      <w:bookmarkStart w:id="19" w:name="_Hlk98146730"/>
      <w:r w:rsidRPr="0044023E">
        <w:rPr>
          <w:lang w:val="en-AU"/>
        </w:rPr>
        <w:t>A tonsillectomy has a weight of 0.</w:t>
      </w:r>
      <w:r w:rsidR="00736EA6" w:rsidRPr="0044023E">
        <w:rPr>
          <w:lang w:val="en-AU"/>
        </w:rPr>
        <w:t>7</w:t>
      </w:r>
      <w:r w:rsidR="00736EA6">
        <w:rPr>
          <w:lang w:val="en-AU"/>
        </w:rPr>
        <w:t>726</w:t>
      </w:r>
      <w:r w:rsidR="00736EA6" w:rsidRPr="0044023E">
        <w:rPr>
          <w:lang w:val="en-AU"/>
        </w:rPr>
        <w:t xml:space="preserve"> </w:t>
      </w:r>
      <w:r w:rsidRPr="0044023E">
        <w:rPr>
          <w:lang w:val="en-AU"/>
        </w:rPr>
        <w:t>NWAU which equates to $</w:t>
      </w:r>
      <w:r w:rsidR="00E75493">
        <w:rPr>
          <w:lang w:val="en-AU"/>
        </w:rPr>
        <w:t>4,</w:t>
      </w:r>
      <w:r w:rsidR="00736EA6">
        <w:rPr>
          <w:lang w:val="en-AU"/>
        </w:rPr>
        <w:t>660</w:t>
      </w:r>
      <w:r w:rsidRPr="0044023E">
        <w:rPr>
          <w:lang w:val="en-AU"/>
        </w:rPr>
        <w:t>.</w:t>
      </w:r>
    </w:p>
    <w:p w14:paraId="174A9C13" w14:textId="4FCCA0A3" w:rsidR="00151079" w:rsidRPr="0044023E" w:rsidRDefault="00151079" w:rsidP="00151079">
      <w:pPr>
        <w:pStyle w:val="ListParagraph"/>
        <w:numPr>
          <w:ilvl w:val="0"/>
          <w:numId w:val="47"/>
        </w:numPr>
        <w:spacing w:before="120" w:after="120" w:line="260" w:lineRule="atLeast"/>
        <w:contextualSpacing w:val="0"/>
        <w:rPr>
          <w:lang w:val="en-AU"/>
        </w:rPr>
      </w:pPr>
      <w:r w:rsidRPr="0044023E">
        <w:rPr>
          <w:lang w:val="en-AU"/>
        </w:rPr>
        <w:t>A coronary bypass (minor complexity) has a weight of 5.</w:t>
      </w:r>
      <w:r w:rsidR="00736EA6">
        <w:rPr>
          <w:lang w:val="en-AU"/>
        </w:rPr>
        <w:t>4876</w:t>
      </w:r>
      <w:r w:rsidR="00736EA6" w:rsidRPr="0044023E">
        <w:rPr>
          <w:lang w:val="en-AU"/>
        </w:rPr>
        <w:t xml:space="preserve"> </w:t>
      </w:r>
      <w:r w:rsidRPr="0044023E">
        <w:rPr>
          <w:lang w:val="en-AU"/>
        </w:rPr>
        <w:t>NWAU which equates to $</w:t>
      </w:r>
      <w:r w:rsidR="00736EA6">
        <w:rPr>
          <w:lang w:val="en-AU"/>
        </w:rPr>
        <w:t>33,101</w:t>
      </w:r>
      <w:r w:rsidRPr="0044023E">
        <w:rPr>
          <w:lang w:val="en-AU"/>
        </w:rPr>
        <w:t>.</w:t>
      </w:r>
    </w:p>
    <w:p w14:paraId="24523A2E" w14:textId="0F81B5B6" w:rsidR="00151079" w:rsidRPr="0044023E" w:rsidRDefault="00151079" w:rsidP="00151079">
      <w:pPr>
        <w:pStyle w:val="ListParagraph"/>
        <w:numPr>
          <w:ilvl w:val="0"/>
          <w:numId w:val="47"/>
        </w:numPr>
        <w:spacing w:before="120" w:after="120" w:line="260" w:lineRule="atLeast"/>
        <w:contextualSpacing w:val="0"/>
        <w:rPr>
          <w:lang w:val="en-AU"/>
        </w:rPr>
      </w:pPr>
      <w:r w:rsidRPr="0044023E">
        <w:rPr>
          <w:lang w:val="en-AU"/>
        </w:rPr>
        <w:lastRenderedPageBreak/>
        <w:t xml:space="preserve">A hip replacement (minor complexity) has a weight of </w:t>
      </w:r>
      <w:r w:rsidR="00736EA6">
        <w:rPr>
          <w:lang w:val="en-AU"/>
        </w:rPr>
        <w:t>3.9330</w:t>
      </w:r>
      <w:r w:rsidRPr="0044023E">
        <w:rPr>
          <w:lang w:val="en-AU"/>
        </w:rPr>
        <w:t xml:space="preserve"> NWAU which equates to $</w:t>
      </w:r>
      <w:r w:rsidR="00736EA6">
        <w:rPr>
          <w:lang w:val="en-AU"/>
        </w:rPr>
        <w:t>23,724</w:t>
      </w:r>
      <w:r w:rsidRPr="0044023E">
        <w:rPr>
          <w:lang w:val="en-AU"/>
        </w:rPr>
        <w:t>.</w:t>
      </w:r>
    </w:p>
    <w:bookmarkEnd w:id="19"/>
    <w:p w14:paraId="018EAFCF" w14:textId="77777777" w:rsidR="00151079" w:rsidRPr="002C00DE" w:rsidRDefault="00151079" w:rsidP="00151079">
      <w:pPr>
        <w:keepNext/>
        <w:keepLines/>
        <w:rPr>
          <w:lang w:val="en-AU"/>
        </w:rPr>
      </w:pPr>
      <w:r w:rsidRPr="002C00DE">
        <w:rPr>
          <w:lang w:val="en-AU"/>
        </w:rPr>
        <w:t>The NEP has two key purposes:</w:t>
      </w:r>
    </w:p>
    <w:p w14:paraId="59FB5B69" w14:textId="77777777" w:rsidR="00151079" w:rsidRPr="002C00DE" w:rsidRDefault="00151079" w:rsidP="00151079">
      <w:pPr>
        <w:pStyle w:val="ListParagraph"/>
        <w:keepNext/>
        <w:keepLines/>
        <w:numPr>
          <w:ilvl w:val="0"/>
          <w:numId w:val="46"/>
        </w:numPr>
        <w:spacing w:before="120" w:after="120" w:line="260" w:lineRule="atLeast"/>
        <w:contextualSpacing w:val="0"/>
        <w:rPr>
          <w:lang w:val="en-AU"/>
        </w:rPr>
      </w:pPr>
      <w:r w:rsidRPr="002C00DE">
        <w:rPr>
          <w:lang w:val="en-AU"/>
        </w:rPr>
        <w:t>To determine the amount of Commonwealth Government funding for public hospital services.</w:t>
      </w:r>
    </w:p>
    <w:p w14:paraId="1AEEA25D" w14:textId="77777777" w:rsidR="00151079" w:rsidRPr="002C00DE" w:rsidRDefault="00151079" w:rsidP="00151079">
      <w:pPr>
        <w:pStyle w:val="ListParagraph"/>
        <w:numPr>
          <w:ilvl w:val="0"/>
          <w:numId w:val="46"/>
        </w:numPr>
        <w:spacing w:before="120" w:after="120" w:line="260" w:lineRule="atLeast"/>
        <w:contextualSpacing w:val="0"/>
        <w:rPr>
          <w:lang w:val="en-AU"/>
        </w:rPr>
      </w:pPr>
      <w:r w:rsidRPr="002C00DE">
        <w:rPr>
          <w:lang w:val="en-AU"/>
        </w:rPr>
        <w:t>To provide a price signal or benchmark about the efficient cost of providing public hospital services.</w:t>
      </w:r>
    </w:p>
    <w:p w14:paraId="4FD79935" w14:textId="77777777" w:rsidR="00151079" w:rsidRPr="002C00DE" w:rsidRDefault="00151079" w:rsidP="00151079">
      <w:pPr>
        <w:rPr>
          <w:lang w:val="en-AU"/>
        </w:rPr>
      </w:pPr>
      <w:r w:rsidRPr="002C00DE">
        <w:rPr>
          <w:lang w:val="en-AU"/>
        </w:rPr>
        <w:t xml:space="preserve">Each NEP Determination includes the scope of public hospital services eligible for Commonwealth Government funding on an activity basis as per the General List of In-Scope Public Hospital Services. It also includes loadings (‘adjustments’) to the price to reflect legitimate and unavoidable variations in the cost of delivering health care services, </w:t>
      </w:r>
      <w:r>
        <w:rPr>
          <w:lang w:val="en-AU"/>
        </w:rPr>
        <w:t xml:space="preserve">including patient factors such as patient complexity, residence and treatment location, and hospital factors </w:t>
      </w:r>
      <w:r w:rsidRPr="002C00DE">
        <w:rPr>
          <w:lang w:val="en-AU"/>
        </w:rPr>
        <w:t xml:space="preserve">such as </w:t>
      </w:r>
      <w:r>
        <w:rPr>
          <w:lang w:val="en-AU"/>
        </w:rPr>
        <w:t xml:space="preserve">hospital type, size, and </w:t>
      </w:r>
      <w:r w:rsidRPr="002C00DE">
        <w:rPr>
          <w:lang w:val="en-AU"/>
        </w:rPr>
        <w:t>location.</w:t>
      </w:r>
    </w:p>
    <w:p w14:paraId="1D1D74C7" w14:textId="0411DC5A" w:rsidR="00151079" w:rsidRPr="002C00DE" w:rsidRDefault="00151079" w:rsidP="00151079">
      <w:pPr>
        <w:rPr>
          <w:lang w:val="en-AU"/>
        </w:rPr>
      </w:pPr>
      <w:r w:rsidRPr="002C00DE">
        <w:rPr>
          <w:lang w:val="en-AU"/>
        </w:rPr>
        <w:t xml:space="preserve">Approximately </w:t>
      </w:r>
      <w:r w:rsidR="00E75493">
        <w:rPr>
          <w:lang w:val="en-AU"/>
        </w:rPr>
        <w:t>493</w:t>
      </w:r>
      <w:r w:rsidR="00E75493" w:rsidRPr="002C00DE">
        <w:rPr>
          <w:lang w:val="en-AU"/>
        </w:rPr>
        <w:t xml:space="preserve"> </w:t>
      </w:r>
      <w:r w:rsidRPr="002C00DE">
        <w:rPr>
          <w:lang w:val="en-AU"/>
        </w:rPr>
        <w:t>public hospitals nationwide, including all large metropolitan hospitals, receive funding based on their activity levels.</w:t>
      </w:r>
    </w:p>
    <w:p w14:paraId="0E15A6B3" w14:textId="77777777" w:rsidR="00151079" w:rsidRPr="002C00DE" w:rsidRDefault="00151079" w:rsidP="00151079">
      <w:pPr>
        <w:rPr>
          <w:lang w:val="en-AU"/>
        </w:rPr>
      </w:pPr>
      <w:r w:rsidRPr="002C00DE">
        <w:rPr>
          <w:lang w:val="en-AU"/>
        </w:rPr>
        <w:t xml:space="preserve">The NEP is used by jurisdictions as an independent benchmarking tool to measure the efficiency of public hospital services in their state or territories. For instance, it is possible to compare the cost of </w:t>
      </w:r>
      <w:r>
        <w:rPr>
          <w:lang w:val="en-AU"/>
        </w:rPr>
        <w:t>a</w:t>
      </w:r>
      <w:r w:rsidRPr="002C00DE">
        <w:rPr>
          <w:lang w:val="en-AU"/>
        </w:rPr>
        <w:t xml:space="preserve"> hip replacement in two different hospitals, which may assist jurisdictions to identify best practice and make funding decisions.</w:t>
      </w:r>
    </w:p>
    <w:p w14:paraId="6FA8E18A" w14:textId="3C3F1CD9" w:rsidR="00151079" w:rsidRPr="002C00DE" w:rsidRDefault="00151079" w:rsidP="00151079">
      <w:pPr>
        <w:pStyle w:val="Heading2"/>
      </w:pPr>
      <w:bookmarkStart w:id="20" w:name="_Toc95913162"/>
      <w:r w:rsidRPr="002C00DE">
        <w:t>About the national efficient cost</w:t>
      </w:r>
      <w:bookmarkEnd w:id="20"/>
    </w:p>
    <w:p w14:paraId="3CE15408" w14:textId="2B579504" w:rsidR="00151079" w:rsidRPr="002C00DE" w:rsidRDefault="00151079" w:rsidP="00151079">
      <w:pPr>
        <w:rPr>
          <w:lang w:val="en-AU"/>
        </w:rPr>
      </w:pPr>
      <w:r w:rsidRPr="002C00DE">
        <w:rPr>
          <w:lang w:val="en-AU"/>
        </w:rPr>
        <w:t>The NEC is used when activity levels are not suitable for funding based on activity</w:t>
      </w:r>
      <w:r>
        <w:rPr>
          <w:lang w:val="en-AU"/>
        </w:rPr>
        <w:t>,</w:t>
      </w:r>
      <w:r w:rsidRPr="002C00DE">
        <w:rPr>
          <w:lang w:val="en-AU"/>
        </w:rPr>
        <w:t xml:space="preserve"> such as </w:t>
      </w:r>
      <w:r>
        <w:rPr>
          <w:lang w:val="en-AU"/>
        </w:rPr>
        <w:t xml:space="preserve">for </w:t>
      </w:r>
      <w:r w:rsidRPr="002C00DE">
        <w:rPr>
          <w:lang w:val="en-AU"/>
        </w:rPr>
        <w:t xml:space="preserve">small rural hospitals. In these cases, </w:t>
      </w:r>
      <w:r>
        <w:rPr>
          <w:lang w:val="en-AU"/>
        </w:rPr>
        <w:t>hospitals</w:t>
      </w:r>
      <w:r w:rsidRPr="002C00DE">
        <w:rPr>
          <w:lang w:val="en-AU"/>
        </w:rPr>
        <w:t xml:space="preserve"> are funded by a block allocation based on size, </w:t>
      </w:r>
      <w:proofErr w:type="gramStart"/>
      <w:r w:rsidRPr="002C00DE">
        <w:rPr>
          <w:lang w:val="en-AU"/>
        </w:rPr>
        <w:t>location</w:t>
      </w:r>
      <w:proofErr w:type="gramEnd"/>
      <w:r w:rsidRPr="002C00DE">
        <w:rPr>
          <w:lang w:val="en-AU"/>
        </w:rPr>
        <w:t xml:space="preserve"> and the type of services they provide. This type of funding applies to </w:t>
      </w:r>
      <w:r w:rsidR="009667F5" w:rsidRPr="0044023E">
        <w:rPr>
          <w:lang w:val="en-AU"/>
        </w:rPr>
        <w:t>3</w:t>
      </w:r>
      <w:r w:rsidR="009667F5">
        <w:rPr>
          <w:lang w:val="en-AU"/>
        </w:rPr>
        <w:t>68</w:t>
      </w:r>
      <w:r w:rsidR="009667F5" w:rsidRPr="002C00DE">
        <w:rPr>
          <w:lang w:val="en-AU"/>
        </w:rPr>
        <w:t xml:space="preserve"> </w:t>
      </w:r>
      <w:r w:rsidRPr="002C00DE">
        <w:rPr>
          <w:lang w:val="en-AU"/>
        </w:rPr>
        <w:t>small rural hospitals.</w:t>
      </w:r>
      <w:r w:rsidRPr="009B0099">
        <w:rPr>
          <w:lang w:val="en-AU"/>
        </w:rPr>
        <w:t xml:space="preserve"> </w:t>
      </w:r>
      <w:r w:rsidRPr="002C00DE">
        <w:rPr>
          <w:lang w:val="en-AU"/>
        </w:rPr>
        <w:t>Some of these hospitals and services may operate with a mix of block funding and ABF.</w:t>
      </w:r>
    </w:p>
    <w:p w14:paraId="2B619C23" w14:textId="77777777" w:rsidR="00151079" w:rsidRPr="002C00DE" w:rsidRDefault="00151079" w:rsidP="00151079">
      <w:pPr>
        <w:rPr>
          <w:lang w:val="en-AU"/>
        </w:rPr>
      </w:pPr>
      <w:r w:rsidRPr="002C00DE">
        <w:rPr>
          <w:lang w:val="en-AU"/>
        </w:rPr>
        <w:t>The NEC also applies to public hospital services or functions that are not yet able to be described in terms of ‘activity’ such as teaching, training and research.</w:t>
      </w:r>
    </w:p>
    <w:p w14:paraId="5AAFAD66" w14:textId="77777777" w:rsidR="00151079" w:rsidRPr="002C00DE" w:rsidRDefault="00151079" w:rsidP="00151079">
      <w:pPr>
        <w:rPr>
          <w:lang w:val="en-AU"/>
        </w:rPr>
      </w:pPr>
      <w:r w:rsidRPr="002C00DE">
        <w:rPr>
          <w:lang w:val="en-AU"/>
        </w:rPr>
        <w:t xml:space="preserve">The NEC Determination outlines </w:t>
      </w:r>
      <w:r>
        <w:rPr>
          <w:lang w:val="en-AU"/>
        </w:rPr>
        <w:t>the</w:t>
      </w:r>
      <w:r w:rsidRPr="002C00DE">
        <w:rPr>
          <w:lang w:val="en-AU"/>
        </w:rPr>
        <w:t xml:space="preserve"> efficient cost of a small rural hospital, which is the sum of the fixed component and a variable cost component.</w:t>
      </w:r>
    </w:p>
    <w:p w14:paraId="209C1539" w14:textId="0DFB7DE2" w:rsidR="00151079" w:rsidRPr="002C00DE" w:rsidRDefault="00151079" w:rsidP="00151079">
      <w:pPr>
        <w:rPr>
          <w:lang w:val="en-AU"/>
        </w:rPr>
      </w:pPr>
      <w:r w:rsidRPr="002C00DE">
        <w:rPr>
          <w:lang w:val="en-AU"/>
        </w:rPr>
        <w:t>IH</w:t>
      </w:r>
      <w:r w:rsidR="009667F5">
        <w:rPr>
          <w:lang w:val="en-AU"/>
        </w:rPr>
        <w:t>AC</w:t>
      </w:r>
      <w:r w:rsidRPr="002C00DE">
        <w:rPr>
          <w:lang w:val="en-AU"/>
        </w:rPr>
        <w:t xml:space="preserve">PA works closely with </w:t>
      </w:r>
      <w:r>
        <w:rPr>
          <w:lang w:val="en-AU"/>
        </w:rPr>
        <w:t>its</w:t>
      </w:r>
      <w:r w:rsidRPr="002C00DE">
        <w:rPr>
          <w:lang w:val="en-AU"/>
        </w:rPr>
        <w:t xml:space="preserve"> Small Rural Hospital</w:t>
      </w:r>
      <w:r>
        <w:rPr>
          <w:lang w:val="en-AU"/>
        </w:rPr>
        <w:t>s</w:t>
      </w:r>
      <w:r w:rsidRPr="002C00DE">
        <w:rPr>
          <w:lang w:val="en-AU"/>
        </w:rPr>
        <w:t xml:space="preserve"> Working Group, which includes representatives from states and territories, small rural hospitals, and peak healthcare bodies and associations. The working group provides vital guidance and advice to IH</w:t>
      </w:r>
      <w:r w:rsidR="009667F5">
        <w:rPr>
          <w:lang w:val="en-AU"/>
        </w:rPr>
        <w:t>AC</w:t>
      </w:r>
      <w:r w:rsidRPr="002C00DE">
        <w:rPr>
          <w:lang w:val="en-AU"/>
        </w:rPr>
        <w:t xml:space="preserve">PA about setting </w:t>
      </w:r>
      <w:r>
        <w:rPr>
          <w:lang w:val="en-AU"/>
        </w:rPr>
        <w:t>the</w:t>
      </w:r>
      <w:r w:rsidRPr="002C00DE">
        <w:rPr>
          <w:lang w:val="en-AU"/>
        </w:rPr>
        <w:t xml:space="preserve"> efficient cost of a small rural hospital.</w:t>
      </w:r>
    </w:p>
    <w:p w14:paraId="1EE6E627" w14:textId="77777777" w:rsidR="00151079" w:rsidRPr="002C00DE" w:rsidRDefault="00151079" w:rsidP="00151079">
      <w:pPr>
        <w:spacing w:after="0" w:line="240" w:lineRule="auto"/>
        <w:rPr>
          <w:rFonts w:asciiTheme="majorHAnsi" w:hAnsiTheme="majorHAnsi"/>
          <w:b/>
          <w:sz w:val="64"/>
          <w:szCs w:val="44"/>
          <w:lang w:val="en-AU"/>
        </w:rPr>
      </w:pPr>
      <w:r w:rsidRPr="002C00DE">
        <w:rPr>
          <w:lang w:val="en-AU"/>
        </w:rPr>
        <w:br w:type="page"/>
      </w:r>
    </w:p>
    <w:p w14:paraId="4108F2FE" w14:textId="77777777" w:rsidR="00151079" w:rsidRPr="002C00DE" w:rsidRDefault="00151079" w:rsidP="00151079">
      <w:pPr>
        <w:pStyle w:val="Heading1"/>
        <w:spacing w:after="1080"/>
        <w:ind w:left="709" w:hanging="720"/>
        <w:contextualSpacing/>
      </w:pPr>
      <w:bookmarkStart w:id="21" w:name="_Toc95913163"/>
      <w:bookmarkStart w:id="22" w:name="_Toc127182165"/>
      <w:r w:rsidRPr="002C00DE">
        <w:lastRenderedPageBreak/>
        <w:t>Summary of key changes</w:t>
      </w:r>
      <w:bookmarkEnd w:id="21"/>
      <w:bookmarkEnd w:id="22"/>
    </w:p>
    <w:p w14:paraId="63DB59B5" w14:textId="1F60327E" w:rsidR="00333682" w:rsidRDefault="00151079" w:rsidP="00151079">
      <w:pPr>
        <w:rPr>
          <w:lang w:val="en-AU"/>
        </w:rPr>
      </w:pPr>
      <w:r w:rsidRPr="002C00DE">
        <w:rPr>
          <w:lang w:val="en-AU"/>
        </w:rPr>
        <w:t xml:space="preserve">Based on the principles in the </w:t>
      </w:r>
      <w:r w:rsidRPr="000C0E51">
        <w:rPr>
          <w:i/>
          <w:iCs/>
          <w:lang w:val="en-AU"/>
        </w:rPr>
        <w:t xml:space="preserve">Pricing Framework for Australian Public Hospital Services </w:t>
      </w:r>
      <w:r>
        <w:rPr>
          <w:i/>
          <w:iCs/>
          <w:lang w:val="en-AU"/>
        </w:rPr>
        <w:br/>
      </w:r>
      <w:r w:rsidRPr="000C0E51">
        <w:rPr>
          <w:i/>
          <w:iCs/>
          <w:lang w:val="en-AU"/>
        </w:rPr>
        <w:t>202</w:t>
      </w:r>
      <w:r w:rsidR="009667F5">
        <w:rPr>
          <w:i/>
          <w:iCs/>
          <w:lang w:val="en-AU"/>
        </w:rPr>
        <w:t>3</w:t>
      </w:r>
      <w:r w:rsidRPr="000C0E51">
        <w:rPr>
          <w:i/>
          <w:iCs/>
          <w:lang w:val="en-AU"/>
        </w:rPr>
        <w:t>–2</w:t>
      </w:r>
      <w:r w:rsidR="009667F5">
        <w:rPr>
          <w:i/>
          <w:iCs/>
          <w:lang w:val="en-AU"/>
        </w:rPr>
        <w:t>4</w:t>
      </w:r>
      <w:r w:rsidRPr="002C00DE">
        <w:rPr>
          <w:i/>
          <w:iCs/>
          <w:lang w:val="en-AU"/>
        </w:rPr>
        <w:t xml:space="preserve"> </w:t>
      </w:r>
      <w:r w:rsidRPr="002C00DE">
        <w:rPr>
          <w:iCs/>
          <w:lang w:val="en-AU"/>
        </w:rPr>
        <w:t>(the Pricing Framework)</w:t>
      </w:r>
      <w:r w:rsidRPr="002C00DE">
        <w:rPr>
          <w:lang w:val="en-AU"/>
        </w:rPr>
        <w:t xml:space="preserve">, </w:t>
      </w:r>
      <w:r>
        <w:rPr>
          <w:lang w:val="en-AU"/>
        </w:rPr>
        <w:t xml:space="preserve">the Independent </w:t>
      </w:r>
      <w:r w:rsidR="009667F5">
        <w:rPr>
          <w:lang w:val="en-AU"/>
        </w:rPr>
        <w:t xml:space="preserve">Health and Aged Care </w:t>
      </w:r>
      <w:r>
        <w:rPr>
          <w:lang w:val="en-AU"/>
        </w:rPr>
        <w:t>Pricing Authority (</w:t>
      </w:r>
      <w:r w:rsidRPr="002C00DE">
        <w:rPr>
          <w:lang w:val="en-AU"/>
        </w:rPr>
        <w:t>IH</w:t>
      </w:r>
      <w:r w:rsidR="009667F5">
        <w:rPr>
          <w:lang w:val="en-AU"/>
        </w:rPr>
        <w:t>AC</w:t>
      </w:r>
      <w:r w:rsidRPr="002C00DE">
        <w:rPr>
          <w:lang w:val="en-AU"/>
        </w:rPr>
        <w:t>PA</w:t>
      </w:r>
      <w:r>
        <w:rPr>
          <w:lang w:val="en-AU"/>
        </w:rPr>
        <w:t>)</w:t>
      </w:r>
      <w:r w:rsidRPr="002C00DE">
        <w:rPr>
          <w:lang w:val="en-AU"/>
        </w:rPr>
        <w:t xml:space="preserve"> has determined the national efficient price (NEP) and national efficient cost (NEC) for 202</w:t>
      </w:r>
      <w:r w:rsidR="009667F5">
        <w:rPr>
          <w:lang w:val="en-AU"/>
        </w:rPr>
        <w:t>3</w:t>
      </w:r>
      <w:r w:rsidRPr="002C00DE">
        <w:rPr>
          <w:lang w:val="en-AU"/>
        </w:rPr>
        <w:t>–2</w:t>
      </w:r>
      <w:r w:rsidR="009667F5">
        <w:rPr>
          <w:lang w:val="en-AU"/>
        </w:rPr>
        <w:t>4</w:t>
      </w:r>
      <w:r w:rsidRPr="002C00DE">
        <w:rPr>
          <w:lang w:val="en-AU"/>
        </w:rPr>
        <w:t>.</w:t>
      </w:r>
      <w:r>
        <w:rPr>
          <w:lang w:val="en-AU"/>
        </w:rPr>
        <w:t xml:space="preserve"> Some of the key changes and policy considerations for the NEP </w:t>
      </w:r>
      <w:r w:rsidRPr="009B0099">
        <w:rPr>
          <w:lang w:val="en-AU"/>
        </w:rPr>
        <w:t>and NEC Determinations for 202</w:t>
      </w:r>
      <w:r w:rsidR="009667F5">
        <w:rPr>
          <w:lang w:val="en-AU"/>
        </w:rPr>
        <w:t>3</w:t>
      </w:r>
      <w:r w:rsidRPr="009B0099">
        <w:rPr>
          <w:lang w:val="en-AU"/>
        </w:rPr>
        <w:t>–2</w:t>
      </w:r>
      <w:r w:rsidR="009667F5">
        <w:rPr>
          <w:lang w:val="en-AU"/>
        </w:rPr>
        <w:t>4</w:t>
      </w:r>
      <w:r>
        <w:rPr>
          <w:lang w:val="en-AU"/>
        </w:rPr>
        <w:t xml:space="preserve"> </w:t>
      </w:r>
      <w:proofErr w:type="gramStart"/>
      <w:r>
        <w:rPr>
          <w:lang w:val="en-AU"/>
        </w:rPr>
        <w:t>are</w:t>
      </w:r>
      <w:proofErr w:type="gramEnd"/>
      <w:r>
        <w:rPr>
          <w:lang w:val="en-AU"/>
        </w:rPr>
        <w:t xml:space="preserve"> outlined below.</w:t>
      </w:r>
    </w:p>
    <w:p w14:paraId="559B0918" w14:textId="1B8C0703" w:rsidR="00151079" w:rsidRPr="002C00DE" w:rsidRDefault="00151079" w:rsidP="00151079">
      <w:pPr>
        <w:pStyle w:val="Heading2"/>
      </w:pPr>
      <w:bookmarkStart w:id="23" w:name="_Toc95913165"/>
      <w:r>
        <w:t xml:space="preserve">National Efficient Price Determination </w:t>
      </w:r>
      <w:r w:rsidRPr="00FA07CF">
        <w:t>202</w:t>
      </w:r>
      <w:r w:rsidR="00840DD7">
        <w:t>3</w:t>
      </w:r>
      <w:r w:rsidRPr="00FA07CF">
        <w:t>–2</w:t>
      </w:r>
      <w:r w:rsidR="00840DD7">
        <w:t>4</w:t>
      </w:r>
      <w:bookmarkEnd w:id="23"/>
    </w:p>
    <w:p w14:paraId="678EB0AA" w14:textId="6AD029F8" w:rsidR="00372C53" w:rsidRDefault="00151079" w:rsidP="00EB7039">
      <w:r w:rsidRPr="00677F2B">
        <w:t>The NEP for 202</w:t>
      </w:r>
      <w:r w:rsidR="00840DD7">
        <w:t>3</w:t>
      </w:r>
      <w:r w:rsidRPr="00677F2B">
        <w:t>–2</w:t>
      </w:r>
      <w:r w:rsidR="00840DD7">
        <w:t>4</w:t>
      </w:r>
      <w:r w:rsidRPr="00677F2B">
        <w:t xml:space="preserve"> </w:t>
      </w:r>
      <w:r w:rsidR="00372C53">
        <w:t xml:space="preserve">(NEP23) </w:t>
      </w:r>
      <w:r w:rsidRPr="00677F2B">
        <w:t>is $</w:t>
      </w:r>
      <w:r w:rsidR="00840DD7">
        <w:t>6,032</w:t>
      </w:r>
      <w:r w:rsidRPr="00A90D3B">
        <w:t xml:space="preserve"> per national weighted activity unit (NWAU).</w:t>
      </w:r>
      <w:r w:rsidR="00CB4B9C">
        <w:t xml:space="preserve"> </w:t>
      </w:r>
    </w:p>
    <w:p w14:paraId="2B31DD7A" w14:textId="284C977E" w:rsidR="00372C53" w:rsidRPr="00FF26F1" w:rsidRDefault="00372C53" w:rsidP="00EB7039">
      <w:pPr>
        <w:rPr>
          <w:lang w:val="en-AU"/>
        </w:rPr>
      </w:pPr>
      <w:r>
        <w:t xml:space="preserve">IHACPA </w:t>
      </w:r>
      <w:proofErr w:type="spellStart"/>
      <w:r>
        <w:t>recognises</w:t>
      </w:r>
      <w:proofErr w:type="spellEnd"/>
      <w:r>
        <w:t xml:space="preserve"> the Australian healthcare system is facing significant and unprecedented challenges arising from the impact of coronavirus disease 2019 (COVID-19) and increased price inflation in the Australian and global economy. In developing the NEP Determination for 2023–24 (NEP23 Determination), IHACPA has aimed to be responsive to these issues and their relevance to pricing model development.</w:t>
      </w:r>
    </w:p>
    <w:p w14:paraId="4FFF108F" w14:textId="77777777" w:rsidR="00372C53" w:rsidRPr="002C00DE" w:rsidRDefault="00372C53" w:rsidP="00FF26F1">
      <w:pPr>
        <w:pStyle w:val="Heading3"/>
      </w:pPr>
      <w:r>
        <w:t>Impact of COVID-19</w:t>
      </w:r>
    </w:p>
    <w:p w14:paraId="072B195E" w14:textId="77777777" w:rsidR="00372C53" w:rsidRDefault="00372C53" w:rsidP="00372C53">
      <w:pPr>
        <w:rPr>
          <w:lang w:val="en-AU"/>
        </w:rPr>
      </w:pPr>
      <w:r w:rsidRPr="000C0E51">
        <w:rPr>
          <w:lang w:val="en-AU"/>
        </w:rPr>
        <w:t>COVID</w:t>
      </w:r>
      <w:r>
        <w:rPr>
          <w:lang w:val="en-AU"/>
        </w:rPr>
        <w:noBreakHyphen/>
      </w:r>
      <w:r w:rsidRPr="000C0E51">
        <w:rPr>
          <w:lang w:val="en-AU"/>
        </w:rPr>
        <w:t>19 has resulted in significant and potentially long</w:t>
      </w:r>
      <w:r>
        <w:rPr>
          <w:lang w:val="en-AU"/>
        </w:rPr>
        <w:t>-</w:t>
      </w:r>
      <w:r w:rsidRPr="000C0E51">
        <w:rPr>
          <w:lang w:val="en-AU"/>
        </w:rPr>
        <w:t xml:space="preserve">lasting changes to models of care and service delivery in Australian public hospitals. </w:t>
      </w:r>
      <w:r>
        <w:rPr>
          <w:lang w:val="en-AU"/>
        </w:rPr>
        <w:t>IHACPA notes the importance of ensuring that</w:t>
      </w:r>
      <w:r w:rsidRPr="000C0E51">
        <w:rPr>
          <w:lang w:val="en-AU"/>
        </w:rPr>
        <w:t xml:space="preserve"> the impact of COVID-19 is adequately accounted for in the national pricing model.</w:t>
      </w:r>
    </w:p>
    <w:p w14:paraId="1B78CF57" w14:textId="0CD33B5E" w:rsidR="00372C53" w:rsidRDefault="00372C53" w:rsidP="00372C53">
      <w:pPr>
        <w:rPr>
          <w:lang w:val="en-AU"/>
        </w:rPr>
      </w:pPr>
      <w:r>
        <w:rPr>
          <w:lang w:val="en-AU"/>
        </w:rPr>
        <w:t xml:space="preserve">The NEP23 Determination uses 2020–21 </w:t>
      </w:r>
      <w:r w:rsidR="0057787D">
        <w:rPr>
          <w:lang w:val="en-AU"/>
        </w:rPr>
        <w:t xml:space="preserve">cost and </w:t>
      </w:r>
      <w:r>
        <w:rPr>
          <w:lang w:val="en-AU"/>
        </w:rPr>
        <w:t xml:space="preserve">activity data, which includes a full financial year of data impacted by the COVID-19 pandemic response. </w:t>
      </w:r>
    </w:p>
    <w:p w14:paraId="04B70C2F" w14:textId="1E9948BC" w:rsidR="00372C53" w:rsidRDefault="00372C53" w:rsidP="00372C53">
      <w:pPr>
        <w:rPr>
          <w:lang w:val="en-AU"/>
        </w:rPr>
      </w:pPr>
      <w:r w:rsidRPr="00333682">
        <w:rPr>
          <w:lang w:val="en-AU"/>
        </w:rPr>
        <w:t xml:space="preserve">In developing the NEP23 Determination, IHACPA has undertaken extensive analysis in consultation with the jurisdictions to understand the impact of COVID-19 on </w:t>
      </w:r>
      <w:r w:rsidR="00A2266C">
        <w:rPr>
          <w:lang w:val="en-AU"/>
        </w:rPr>
        <w:t>this</w:t>
      </w:r>
      <w:r w:rsidRPr="00333682">
        <w:rPr>
          <w:lang w:val="en-AU"/>
        </w:rPr>
        <w:t xml:space="preserve"> data. </w:t>
      </w:r>
    </w:p>
    <w:p w14:paraId="7D5B16CD" w14:textId="77777777" w:rsidR="00372C53" w:rsidRDefault="00372C53" w:rsidP="00372C53">
      <w:pPr>
        <w:rPr>
          <w:lang w:val="en-AU"/>
        </w:rPr>
      </w:pPr>
      <w:r w:rsidRPr="00D42AE5">
        <w:rPr>
          <w:lang w:val="en-AU"/>
        </w:rPr>
        <w:t xml:space="preserve">IHACPA’s analysis indicated that in the 2020–21 financial year, there was a reduction in activity in the admitted acute stream and an increase in costs during the Victorian lockdown period spanning August 2020 to October 2020. This pattern of activity and cost is not apparent for the other states and territories for the admitted acute stream or other streams. This indicates that the activity and costs, as reported during the Victorian lockdown period in 2020–21, reflect the </w:t>
      </w:r>
      <w:r>
        <w:rPr>
          <w:lang w:val="en-AU"/>
        </w:rPr>
        <w:t xml:space="preserve">higher </w:t>
      </w:r>
      <w:r w:rsidRPr="00D42AE5">
        <w:rPr>
          <w:lang w:val="en-AU"/>
        </w:rPr>
        <w:t xml:space="preserve">average cost of care where there is underutilised public hospital capacity, </w:t>
      </w:r>
      <w:r>
        <w:rPr>
          <w:lang w:val="en-AU"/>
        </w:rPr>
        <w:t xml:space="preserve">in part due to inflexible costs that do not decrease despite a reduction in activity. </w:t>
      </w:r>
    </w:p>
    <w:p w14:paraId="0B68D00D" w14:textId="798827FD" w:rsidR="00372C53" w:rsidRPr="00D42AE5" w:rsidRDefault="00372C53" w:rsidP="00372C53">
      <w:pPr>
        <w:rPr>
          <w:lang w:val="en-AU"/>
        </w:rPr>
      </w:pPr>
      <w:r>
        <w:rPr>
          <w:lang w:val="en-AU"/>
        </w:rPr>
        <w:t xml:space="preserve">IHACPA has therefore normalised admitted acute activity in Victoria during the lockdown period </w:t>
      </w:r>
      <w:proofErr w:type="gramStart"/>
      <w:r>
        <w:rPr>
          <w:lang w:val="en-AU"/>
        </w:rPr>
        <w:t>in order to</w:t>
      </w:r>
      <w:proofErr w:type="gramEnd"/>
      <w:r>
        <w:rPr>
          <w:lang w:val="en-AU"/>
        </w:rPr>
        <w:t xml:space="preserve"> calculate the NEP23. This normalisation was important to ensure the NEP23 reflects the expected efficient cost of delivering public hospital services in 2023–24, because it is unlikely that the </w:t>
      </w:r>
      <w:r w:rsidR="0057787D">
        <w:rPr>
          <w:lang w:val="en-AU"/>
        </w:rPr>
        <w:t xml:space="preserve">same </w:t>
      </w:r>
      <w:r>
        <w:rPr>
          <w:lang w:val="en-AU"/>
        </w:rPr>
        <w:t xml:space="preserve">pattern of cost and activity data arising from the Victorian lockdown period </w:t>
      </w:r>
      <w:r w:rsidR="0057787D">
        <w:rPr>
          <w:lang w:val="en-AU"/>
        </w:rPr>
        <w:t>will</w:t>
      </w:r>
      <w:r>
        <w:rPr>
          <w:lang w:val="en-AU"/>
        </w:rPr>
        <w:t xml:space="preserve"> reoccur in 2023–24. </w:t>
      </w:r>
    </w:p>
    <w:p w14:paraId="13D2FB8B" w14:textId="171D4240" w:rsidR="003D7415" w:rsidRPr="00FF26F1" w:rsidRDefault="00372C53" w:rsidP="009869F0">
      <w:pPr>
        <w:rPr>
          <w:lang w:val="en-AU"/>
        </w:rPr>
      </w:pPr>
      <w:r w:rsidRPr="00D42AE5">
        <w:rPr>
          <w:lang w:val="en-AU"/>
        </w:rPr>
        <w:lastRenderedPageBreak/>
        <w:t xml:space="preserve">Additionally, IHACPA’s analysis indicated that patients treated for COVID-19 had longer length of stay and increased costs when compared to non-COVID-19 patients in the same Australian Refined Diagnosis Related Group (AR-DRG) end-classes. To address this finding, IHACPA has introduced a COVID-19 treatment adjustment for relevant AR-DRGs to account for the additional costs associated with treating admitted patients for COVID-19. </w:t>
      </w:r>
    </w:p>
    <w:p w14:paraId="0CD14ACF" w14:textId="77777777" w:rsidR="00151079" w:rsidRDefault="00151079" w:rsidP="00FF26F1">
      <w:pPr>
        <w:pStyle w:val="Heading3"/>
      </w:pPr>
      <w:r>
        <w:t>Classification system updates</w:t>
      </w:r>
    </w:p>
    <w:p w14:paraId="2564673F" w14:textId="3648C9BC" w:rsidR="000B13DD" w:rsidRPr="000B13DD" w:rsidRDefault="009869F0" w:rsidP="00E06675">
      <w:pPr>
        <w:rPr>
          <w:lang w:val="en-AU"/>
        </w:rPr>
      </w:pPr>
      <w:r>
        <w:rPr>
          <w:lang w:val="en-AU"/>
        </w:rPr>
        <w:t>For NEP23</w:t>
      </w:r>
      <w:r w:rsidR="000B13DD" w:rsidRPr="000B13DD">
        <w:rPr>
          <w:lang w:val="en-AU"/>
        </w:rPr>
        <w:t xml:space="preserve">, IHACPA will price admitted acute care using the </w:t>
      </w:r>
      <w:r>
        <w:rPr>
          <w:lang w:val="en-AU"/>
        </w:rPr>
        <w:t xml:space="preserve">new </w:t>
      </w:r>
      <w:r w:rsidR="000B13DD" w:rsidRPr="000B13DD">
        <w:rPr>
          <w:lang w:val="en-AU"/>
        </w:rPr>
        <w:t>Australian Refined Diagnosis Related Groups Classification (AR-DRG) Version 11.0 and the International Statistical Classification of Diseases and Related Health Problems, Tenth Revision, Australian Modification, Australian Classification of Health Interventions, Australian Coding Standards Twelfth Edition.</w:t>
      </w:r>
    </w:p>
    <w:p w14:paraId="0368DA18" w14:textId="39F1E742" w:rsidR="00D42AE5" w:rsidRPr="00D42AE5" w:rsidRDefault="00D42AE5" w:rsidP="00D42AE5">
      <w:pPr>
        <w:rPr>
          <w:lang w:val="en-AU"/>
        </w:rPr>
      </w:pPr>
      <w:r w:rsidRPr="00D42AE5">
        <w:rPr>
          <w:lang w:val="en-AU"/>
        </w:rPr>
        <w:t xml:space="preserve">IHACPA will </w:t>
      </w:r>
      <w:r w:rsidR="009869F0">
        <w:rPr>
          <w:lang w:val="en-AU"/>
        </w:rPr>
        <w:t xml:space="preserve">also </w:t>
      </w:r>
      <w:r w:rsidRPr="00D42AE5">
        <w:rPr>
          <w:lang w:val="en-AU"/>
        </w:rPr>
        <w:t>use the Tier 2 Non-Admitted Services Classification Version 8.0 to price non-admitted services for the NEP23 Determination. This includes the pricing of four new classes for ‘20.58 Long COVID’, ‘40.65 Violence, abuse and neglect services’, ‘40.66 Genetic counselling’ and ‘40.67 Long COVID’.</w:t>
      </w:r>
    </w:p>
    <w:p w14:paraId="3FABC5FB" w14:textId="02254376" w:rsidR="009869F0" w:rsidRDefault="000B13DD" w:rsidP="00151079">
      <w:pPr>
        <w:rPr>
          <w:lang w:val="en-AU"/>
        </w:rPr>
      </w:pPr>
      <w:r w:rsidRPr="000B13DD">
        <w:rPr>
          <w:lang w:val="en-AU"/>
        </w:rPr>
        <w:t xml:space="preserve">Community mental health care services will continue to be block funded for 2023–24 while a third year of shadow pricing is undertaken using the Australian Mental Health Care Classification (AMHCC) Version 1.0. This will provide additional time for IHACPA to work with jurisdictions and stakeholders to ensure robust transition arrangements and risk mitigation are in place to support </w:t>
      </w:r>
      <w:proofErr w:type="gramStart"/>
      <w:r w:rsidRPr="000B13DD">
        <w:rPr>
          <w:lang w:val="en-AU"/>
        </w:rPr>
        <w:t>activity based</w:t>
      </w:r>
      <w:proofErr w:type="gramEnd"/>
      <w:r w:rsidRPr="000B13DD">
        <w:rPr>
          <w:lang w:val="en-AU"/>
        </w:rPr>
        <w:t xml:space="preserve"> funding using AMHCC Version 1.0 to commence in 2024–25.</w:t>
      </w:r>
    </w:p>
    <w:p w14:paraId="5B9F9A66" w14:textId="344A224A" w:rsidR="00151079" w:rsidRDefault="00D42AE5" w:rsidP="00151079">
      <w:pPr>
        <w:rPr>
          <w:lang w:val="en-AU"/>
        </w:rPr>
      </w:pPr>
      <w:r w:rsidRPr="00D42AE5">
        <w:rPr>
          <w:lang w:val="en-AU"/>
        </w:rPr>
        <w:t xml:space="preserve">The NEP23 Determination uses the Australian National Subacute and Non-Acute Patient Classification (AN-SNAP) Version 4.0 to price admitted subacute and non-acute services, </w:t>
      </w:r>
      <w:proofErr w:type="gramStart"/>
      <w:r w:rsidRPr="00D42AE5">
        <w:rPr>
          <w:lang w:val="en-AU"/>
        </w:rPr>
        <w:t>and also</w:t>
      </w:r>
      <w:proofErr w:type="gramEnd"/>
      <w:r w:rsidRPr="00D42AE5">
        <w:rPr>
          <w:lang w:val="en-AU"/>
        </w:rPr>
        <w:t xml:space="preserve"> includes shadow price weights using AN-SNAP Version 5.0 for admitted subacute and non-acute services. This represents the second year of shadow pricing for AN</w:t>
      </w:r>
      <w:r w:rsidRPr="00D42AE5">
        <w:rPr>
          <w:lang w:val="en-AU"/>
        </w:rPr>
        <w:noBreakHyphen/>
        <w:t>SNAP Version 5.0</w:t>
      </w:r>
      <w:r w:rsidR="00151079" w:rsidRPr="00AE5692">
        <w:rPr>
          <w:lang w:val="en-AU"/>
        </w:rPr>
        <w:t>.</w:t>
      </w:r>
    </w:p>
    <w:p w14:paraId="14F31486" w14:textId="77777777" w:rsidR="00151079" w:rsidRPr="002C00DE" w:rsidRDefault="00151079" w:rsidP="00151079">
      <w:pPr>
        <w:pStyle w:val="Heading3"/>
      </w:pPr>
      <w:bookmarkStart w:id="24" w:name="_Toc31271996"/>
      <w:bookmarkStart w:id="25" w:name="_Toc33774501"/>
      <w:bookmarkStart w:id="26" w:name="_Toc63240042"/>
      <w:r w:rsidRPr="002C00DE">
        <w:t>Back-casting</w:t>
      </w:r>
      <w:bookmarkEnd w:id="24"/>
      <w:bookmarkEnd w:id="25"/>
      <w:bookmarkEnd w:id="26"/>
    </w:p>
    <w:p w14:paraId="4C670782" w14:textId="007436F5" w:rsidR="00151079" w:rsidRPr="002C00DE" w:rsidRDefault="00151079" w:rsidP="00151079">
      <w:pPr>
        <w:rPr>
          <w:lang w:val="en-AU"/>
        </w:rPr>
      </w:pPr>
      <w:r w:rsidRPr="002C00DE">
        <w:rPr>
          <w:lang w:val="en-AU"/>
        </w:rPr>
        <w:t xml:space="preserve">As with previous years, the Pricing Authority has recalculated (‘back-cast’) the NEP Determination </w:t>
      </w:r>
      <w:r>
        <w:rPr>
          <w:lang w:val="en-AU"/>
        </w:rPr>
        <w:t>202</w:t>
      </w:r>
      <w:r w:rsidR="00E06675">
        <w:rPr>
          <w:lang w:val="en-AU"/>
        </w:rPr>
        <w:t>2</w:t>
      </w:r>
      <w:r>
        <w:rPr>
          <w:lang w:val="en-AU"/>
        </w:rPr>
        <w:t>–2</w:t>
      </w:r>
      <w:r w:rsidR="00E06675">
        <w:rPr>
          <w:lang w:val="en-AU"/>
        </w:rPr>
        <w:t>3</w:t>
      </w:r>
      <w:r>
        <w:rPr>
          <w:lang w:val="en-AU"/>
        </w:rPr>
        <w:t xml:space="preserve"> (NEP2</w:t>
      </w:r>
      <w:r w:rsidR="00E06675">
        <w:rPr>
          <w:lang w:val="en-AU"/>
        </w:rPr>
        <w:t>2</w:t>
      </w:r>
      <w:r>
        <w:rPr>
          <w:lang w:val="en-AU"/>
        </w:rPr>
        <w:t>)</w:t>
      </w:r>
      <w:r w:rsidRPr="002C00DE">
        <w:rPr>
          <w:lang w:val="en-AU"/>
        </w:rPr>
        <w:t xml:space="preserve"> to incorporate the most up-to-date cost data and to take account of methodological changes introduced in </w:t>
      </w:r>
      <w:r>
        <w:rPr>
          <w:lang w:val="en-AU"/>
        </w:rPr>
        <w:t>NEP2</w:t>
      </w:r>
      <w:r w:rsidR="00E06675">
        <w:rPr>
          <w:lang w:val="en-AU"/>
        </w:rPr>
        <w:t>3</w:t>
      </w:r>
      <w:r w:rsidRPr="002C00DE">
        <w:rPr>
          <w:lang w:val="en-AU"/>
        </w:rPr>
        <w:t xml:space="preserve"> which impact on the ability to compare the NEP between years. IH</w:t>
      </w:r>
      <w:r w:rsidR="00E06675">
        <w:rPr>
          <w:lang w:val="en-AU"/>
        </w:rPr>
        <w:t>AC</w:t>
      </w:r>
      <w:r w:rsidRPr="002C00DE">
        <w:rPr>
          <w:lang w:val="en-AU"/>
        </w:rPr>
        <w:t>PA is required to back</w:t>
      </w:r>
      <w:r w:rsidRPr="002C00DE">
        <w:rPr>
          <w:lang w:val="en-AU"/>
        </w:rPr>
        <w:noBreakHyphen/>
        <w:t>cast the previous year’s NEP under clause</w:t>
      </w:r>
      <w:r>
        <w:rPr>
          <w:lang w:val="en-AU"/>
        </w:rPr>
        <w:t> </w:t>
      </w:r>
      <w:r w:rsidRPr="002C00DE">
        <w:rPr>
          <w:lang w:val="en-AU"/>
        </w:rPr>
        <w:t>A41 of the Addendum</w:t>
      </w:r>
      <w:r>
        <w:rPr>
          <w:lang w:val="en-AU"/>
        </w:rPr>
        <w:t xml:space="preserve"> to the National Health Reform Agreement 2020–25 (the Addendum)</w:t>
      </w:r>
      <w:r w:rsidRPr="002C00DE">
        <w:rPr>
          <w:lang w:val="en-AU"/>
        </w:rPr>
        <w:t>.</w:t>
      </w:r>
    </w:p>
    <w:p w14:paraId="2797F439" w14:textId="77777777" w:rsidR="00151079" w:rsidRPr="002C00DE" w:rsidRDefault="00151079" w:rsidP="00151079">
      <w:pPr>
        <w:rPr>
          <w:lang w:val="en-AU"/>
        </w:rPr>
      </w:pPr>
      <w:r w:rsidRPr="002C00DE">
        <w:rPr>
          <w:lang w:val="en-AU"/>
        </w:rPr>
        <w:t xml:space="preserve">Back-casting is important to ensure the calculation of Commonwealth funding is not adversely impacted by changes in the calculation of the NEP over </w:t>
      </w:r>
      <w:r>
        <w:rPr>
          <w:lang w:val="en-AU"/>
        </w:rPr>
        <w:t xml:space="preserve">the </w:t>
      </w:r>
      <w:r w:rsidRPr="002C00DE">
        <w:rPr>
          <w:lang w:val="en-AU"/>
        </w:rPr>
        <w:t>years. Under the Addendum, the Commonwealth funds 45 per cent of the efficient growth in public hospital services which are funded on an activity basis with a growth cap of 6.5 per cent a year.</w:t>
      </w:r>
    </w:p>
    <w:p w14:paraId="0B80FB10" w14:textId="406FE4F0" w:rsidR="00151079" w:rsidRPr="002C00DE" w:rsidRDefault="00151079" w:rsidP="00151079">
      <w:pPr>
        <w:rPr>
          <w:lang w:val="en-AU"/>
        </w:rPr>
      </w:pPr>
      <w:r w:rsidRPr="002C00DE">
        <w:rPr>
          <w:lang w:val="en-AU"/>
        </w:rPr>
        <w:t xml:space="preserve">The Pricing Authority has recalculated </w:t>
      </w:r>
      <w:r>
        <w:rPr>
          <w:lang w:val="en-AU"/>
        </w:rPr>
        <w:t>NEP2</w:t>
      </w:r>
      <w:r w:rsidR="00E06675">
        <w:rPr>
          <w:lang w:val="en-AU"/>
        </w:rPr>
        <w:t>2</w:t>
      </w:r>
      <w:r w:rsidRPr="002C00DE">
        <w:rPr>
          <w:lang w:val="en-AU"/>
        </w:rPr>
        <w:t xml:space="preserve"> using more up-to-date cost data than was available when </w:t>
      </w:r>
      <w:r>
        <w:rPr>
          <w:lang w:val="en-AU"/>
        </w:rPr>
        <w:t>NEP2</w:t>
      </w:r>
      <w:r w:rsidR="00E06675">
        <w:rPr>
          <w:lang w:val="en-AU"/>
        </w:rPr>
        <w:t>2</w:t>
      </w:r>
      <w:r w:rsidRPr="002C00DE">
        <w:rPr>
          <w:lang w:val="en-AU"/>
        </w:rPr>
        <w:t xml:space="preserve"> was initially calculated.</w:t>
      </w:r>
      <w:r w:rsidR="00736EA6">
        <w:rPr>
          <w:lang w:val="en-AU"/>
        </w:rPr>
        <w:t xml:space="preserve"> </w:t>
      </w:r>
    </w:p>
    <w:p w14:paraId="1CAB3A42" w14:textId="16830E87" w:rsidR="00842125" w:rsidRPr="00842125" w:rsidRDefault="00151079" w:rsidP="00BD02B4">
      <w:pPr>
        <w:spacing w:line="259" w:lineRule="auto"/>
        <w:rPr>
          <w:lang w:val="en-AU"/>
        </w:rPr>
      </w:pPr>
      <w:r w:rsidRPr="00677F2B">
        <w:rPr>
          <w:lang w:val="en-AU"/>
        </w:rPr>
        <w:t>The back-cast NEP2</w:t>
      </w:r>
      <w:r w:rsidR="00E06675">
        <w:rPr>
          <w:lang w:val="en-AU"/>
        </w:rPr>
        <w:t>2</w:t>
      </w:r>
      <w:r w:rsidRPr="00677F2B">
        <w:rPr>
          <w:lang w:val="en-AU"/>
        </w:rPr>
        <w:t xml:space="preserve"> </w:t>
      </w:r>
      <w:r w:rsidR="0057787D">
        <w:rPr>
          <w:lang w:val="en-AU"/>
        </w:rPr>
        <w:t>results in</w:t>
      </w:r>
      <w:r w:rsidR="0057787D" w:rsidRPr="00677F2B">
        <w:rPr>
          <w:lang w:val="en-AU"/>
        </w:rPr>
        <w:t xml:space="preserve"> </w:t>
      </w:r>
      <w:r w:rsidRPr="00677F2B">
        <w:rPr>
          <w:lang w:val="en-AU"/>
        </w:rPr>
        <w:t xml:space="preserve">an increase of </w:t>
      </w:r>
      <w:r w:rsidR="007F6771" w:rsidRPr="008237A4">
        <w:rPr>
          <w:lang w:val="en-AU"/>
        </w:rPr>
        <w:t>3.8</w:t>
      </w:r>
      <w:r w:rsidR="009869F0">
        <w:rPr>
          <w:lang w:val="en-AU"/>
        </w:rPr>
        <w:t xml:space="preserve"> </w:t>
      </w:r>
      <w:r w:rsidRPr="008237A4">
        <w:rPr>
          <w:lang w:val="en-AU"/>
        </w:rPr>
        <w:t>per</w:t>
      </w:r>
      <w:r w:rsidRPr="00677F2B">
        <w:rPr>
          <w:lang w:val="en-AU"/>
        </w:rPr>
        <w:t xml:space="preserve"> cent between NEP2</w:t>
      </w:r>
      <w:r w:rsidR="00E06675">
        <w:rPr>
          <w:lang w:val="en-AU"/>
        </w:rPr>
        <w:t>2</w:t>
      </w:r>
      <w:r w:rsidRPr="00677F2B">
        <w:rPr>
          <w:lang w:val="en-AU"/>
        </w:rPr>
        <w:t xml:space="preserve"> to NEP2</w:t>
      </w:r>
      <w:r w:rsidR="00E06675">
        <w:rPr>
          <w:lang w:val="en-AU"/>
        </w:rPr>
        <w:t>3</w:t>
      </w:r>
      <w:r w:rsidRPr="00677F2B">
        <w:rPr>
          <w:lang w:val="en-AU"/>
        </w:rPr>
        <w:t>, which is the basis for Commonwealth growth funding for 202</w:t>
      </w:r>
      <w:r w:rsidR="00E06675">
        <w:rPr>
          <w:lang w:val="en-AU"/>
        </w:rPr>
        <w:t>3</w:t>
      </w:r>
      <w:r w:rsidRPr="00677F2B">
        <w:rPr>
          <w:lang w:val="en-AU"/>
        </w:rPr>
        <w:t>–2</w:t>
      </w:r>
      <w:r w:rsidR="00E06675">
        <w:rPr>
          <w:lang w:val="en-AU"/>
        </w:rPr>
        <w:t>4</w:t>
      </w:r>
      <w:r>
        <w:rPr>
          <w:lang w:val="en-AU"/>
        </w:rPr>
        <w:t>.</w:t>
      </w:r>
    </w:p>
    <w:tbl>
      <w:tblPr>
        <w:tblStyle w:val="LightList-Accent1"/>
        <w:tblW w:w="29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Back-cast NEP17"/>
      </w:tblPr>
      <w:tblGrid>
        <w:gridCol w:w="1936"/>
        <w:gridCol w:w="1935"/>
        <w:gridCol w:w="1934"/>
      </w:tblGrid>
      <w:tr w:rsidR="007009B0" w:rsidRPr="00677F2B" w14:paraId="25B7279A" w14:textId="77777777" w:rsidTr="00BD02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pct"/>
            <w:hideMark/>
          </w:tcPr>
          <w:p w14:paraId="149658E1" w14:textId="3CD10066" w:rsidR="00151079" w:rsidRPr="00151079" w:rsidRDefault="00151079" w:rsidP="003F09B3">
            <w:pPr>
              <w:rPr>
                <w:color w:val="FFFFFF" w:themeColor="accent6"/>
              </w:rPr>
            </w:pPr>
            <w:r w:rsidRPr="00151079">
              <w:rPr>
                <w:color w:val="FFFFFF" w:themeColor="accent6"/>
              </w:rPr>
              <w:t>NEP2</w:t>
            </w:r>
            <w:r w:rsidR="00E06675">
              <w:rPr>
                <w:color w:val="FFFFFF" w:themeColor="accent6"/>
              </w:rPr>
              <w:t>2</w:t>
            </w:r>
          </w:p>
        </w:tc>
        <w:tc>
          <w:tcPr>
            <w:tcW w:w="1667" w:type="pct"/>
            <w:hideMark/>
          </w:tcPr>
          <w:p w14:paraId="66DC7558" w14:textId="39091B1A" w:rsidR="00151079" w:rsidRPr="00151079" w:rsidRDefault="00151079" w:rsidP="003F09B3">
            <w:pPr>
              <w:cnfStyle w:val="100000000000" w:firstRow="1" w:lastRow="0" w:firstColumn="0" w:lastColumn="0" w:oddVBand="0" w:evenVBand="0" w:oddHBand="0" w:evenHBand="0" w:firstRowFirstColumn="0" w:firstRowLastColumn="0" w:lastRowFirstColumn="0" w:lastRowLastColumn="0"/>
              <w:rPr>
                <w:color w:val="FFFFFF" w:themeColor="accent6"/>
              </w:rPr>
            </w:pPr>
            <w:r w:rsidRPr="00151079">
              <w:rPr>
                <w:color w:val="FFFFFF" w:themeColor="accent6"/>
              </w:rPr>
              <w:t xml:space="preserve">Back-cast </w:t>
            </w:r>
            <w:r w:rsidR="00E06675" w:rsidRPr="00151079">
              <w:rPr>
                <w:color w:val="FFFFFF" w:themeColor="accent6"/>
              </w:rPr>
              <w:t>NEP2</w:t>
            </w:r>
            <w:r w:rsidR="00E06675">
              <w:rPr>
                <w:color w:val="FFFFFF" w:themeColor="accent6"/>
              </w:rPr>
              <w:t>2</w:t>
            </w:r>
          </w:p>
        </w:tc>
        <w:tc>
          <w:tcPr>
            <w:tcW w:w="1667" w:type="pct"/>
            <w:hideMark/>
          </w:tcPr>
          <w:p w14:paraId="328EA75B" w14:textId="2D618A51" w:rsidR="00151079" w:rsidRPr="00151079" w:rsidRDefault="00E06675" w:rsidP="003F09B3">
            <w:pPr>
              <w:cnfStyle w:val="100000000000" w:firstRow="1" w:lastRow="0" w:firstColumn="0" w:lastColumn="0" w:oddVBand="0" w:evenVBand="0" w:oddHBand="0" w:evenHBand="0" w:firstRowFirstColumn="0" w:firstRowLastColumn="0" w:lastRowFirstColumn="0" w:lastRowLastColumn="0"/>
              <w:rPr>
                <w:color w:val="FFFFFF" w:themeColor="accent6"/>
              </w:rPr>
            </w:pPr>
            <w:r w:rsidRPr="00151079">
              <w:rPr>
                <w:color w:val="FFFFFF" w:themeColor="accent6"/>
              </w:rPr>
              <w:t>NEP2</w:t>
            </w:r>
            <w:r>
              <w:rPr>
                <w:color w:val="FFFFFF" w:themeColor="accent6"/>
              </w:rPr>
              <w:t>3</w:t>
            </w:r>
          </w:p>
        </w:tc>
      </w:tr>
      <w:tr w:rsidR="007009B0" w:rsidRPr="002C00DE" w14:paraId="0128EDDF" w14:textId="77777777" w:rsidTr="00BD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E76F4BE" w14:textId="1203FF0C" w:rsidR="00151079" w:rsidRPr="00A90D3B" w:rsidRDefault="00151079" w:rsidP="003F09B3">
            <w:pPr>
              <w:rPr>
                <w:b w:val="0"/>
              </w:rPr>
            </w:pPr>
            <w:r w:rsidRPr="00677F2B">
              <w:rPr>
                <w:b w:val="0"/>
              </w:rPr>
              <w:t>$</w:t>
            </w:r>
            <w:r w:rsidR="00E06675" w:rsidRPr="00E06675">
              <w:rPr>
                <w:b w:val="0"/>
              </w:rPr>
              <w:t>5,797</w:t>
            </w:r>
          </w:p>
        </w:tc>
        <w:tc>
          <w:tcPr>
            <w:tcW w:w="1667" w:type="pct"/>
          </w:tcPr>
          <w:p w14:paraId="349806E6" w14:textId="739C7047" w:rsidR="00151079" w:rsidRPr="00A90D3B" w:rsidRDefault="00151079" w:rsidP="003F09B3">
            <w:pPr>
              <w:cnfStyle w:val="000000100000" w:firstRow="0" w:lastRow="0" w:firstColumn="0" w:lastColumn="0" w:oddVBand="0" w:evenVBand="0" w:oddHBand="1" w:evenHBand="0" w:firstRowFirstColumn="0" w:firstRowLastColumn="0" w:lastRowFirstColumn="0" w:lastRowLastColumn="0"/>
            </w:pPr>
            <w:r w:rsidRPr="007F6771">
              <w:t>$</w:t>
            </w:r>
            <w:r w:rsidR="007F6771" w:rsidRPr="007F6771">
              <w:t>5</w:t>
            </w:r>
            <w:r w:rsidR="007F6771">
              <w:t>,81</w:t>
            </w:r>
            <w:r w:rsidR="009869F0">
              <w:t>3</w:t>
            </w:r>
          </w:p>
        </w:tc>
        <w:tc>
          <w:tcPr>
            <w:tcW w:w="1667" w:type="pct"/>
          </w:tcPr>
          <w:p w14:paraId="474D725B" w14:textId="538C40BD" w:rsidR="00151079" w:rsidRPr="00A90D3B" w:rsidRDefault="00151079" w:rsidP="003F09B3">
            <w:pPr>
              <w:cnfStyle w:val="000000100000" w:firstRow="0" w:lastRow="0" w:firstColumn="0" w:lastColumn="0" w:oddVBand="0" w:evenVBand="0" w:oddHBand="1" w:evenHBand="0" w:firstRowFirstColumn="0" w:firstRowLastColumn="0" w:lastRowFirstColumn="0" w:lastRowLastColumn="0"/>
            </w:pPr>
            <w:r w:rsidRPr="00A90D3B">
              <w:t>$</w:t>
            </w:r>
            <w:r w:rsidR="00E06675">
              <w:t>6,032</w:t>
            </w:r>
          </w:p>
        </w:tc>
      </w:tr>
    </w:tbl>
    <w:p w14:paraId="66502D97" w14:textId="55A76740" w:rsidR="00151079" w:rsidRPr="002C00DE" w:rsidRDefault="00151079" w:rsidP="00151079">
      <w:pPr>
        <w:pStyle w:val="Heading2"/>
      </w:pPr>
      <w:bookmarkStart w:id="27" w:name="_Toc95913166"/>
      <w:r>
        <w:lastRenderedPageBreak/>
        <w:t xml:space="preserve">National Efficient Cost Determination </w:t>
      </w:r>
      <w:r w:rsidR="00B31701" w:rsidRPr="00FA07CF">
        <w:t>202</w:t>
      </w:r>
      <w:r w:rsidR="00B31701">
        <w:t>3</w:t>
      </w:r>
      <w:r w:rsidRPr="00FA07CF">
        <w:t>–2</w:t>
      </w:r>
      <w:r w:rsidR="00B31701">
        <w:t>4</w:t>
      </w:r>
      <w:bookmarkEnd w:id="27"/>
    </w:p>
    <w:p w14:paraId="2CF1E501" w14:textId="77777777" w:rsidR="00151079" w:rsidRPr="002C00DE" w:rsidRDefault="00151079" w:rsidP="00151079">
      <w:pPr>
        <w:rPr>
          <w:lang w:val="en-AU"/>
        </w:rPr>
      </w:pPr>
      <w:r w:rsidRPr="002C00DE">
        <w:rPr>
          <w:lang w:val="en-AU"/>
        </w:rPr>
        <w:t>The efficient cost of a small rural hospital is the sum of the fixed cost component and the variable cost component.</w:t>
      </w:r>
    </w:p>
    <w:p w14:paraId="56EB2776" w14:textId="1575F28D" w:rsidR="00151079" w:rsidRPr="00B31701" w:rsidRDefault="00151079" w:rsidP="00151079">
      <w:pPr>
        <w:rPr>
          <w:lang w:val="en-AU"/>
        </w:rPr>
      </w:pPr>
      <w:r w:rsidRPr="00B31701">
        <w:rPr>
          <w:lang w:val="en-AU"/>
        </w:rPr>
        <w:t>For 202</w:t>
      </w:r>
      <w:r w:rsidR="00B31701">
        <w:rPr>
          <w:lang w:val="en-AU"/>
        </w:rPr>
        <w:t>3</w:t>
      </w:r>
      <w:r w:rsidRPr="00B31701">
        <w:rPr>
          <w:lang w:val="en-AU"/>
        </w:rPr>
        <w:t>–2</w:t>
      </w:r>
      <w:r w:rsidR="00B31701">
        <w:rPr>
          <w:lang w:val="en-AU"/>
        </w:rPr>
        <w:t>4</w:t>
      </w:r>
      <w:r w:rsidRPr="00B31701">
        <w:rPr>
          <w:lang w:val="en-AU"/>
        </w:rPr>
        <w:t xml:space="preserve">, the total modelled cost for block-funded hospitals up to </w:t>
      </w:r>
      <w:r w:rsidR="005D7D8F" w:rsidRPr="005D7D8F">
        <w:rPr>
          <w:lang w:val="en-AU"/>
        </w:rPr>
        <w:t xml:space="preserve">175 </w:t>
      </w:r>
      <w:r w:rsidRPr="005D7D8F">
        <w:rPr>
          <w:lang w:val="en-AU"/>
        </w:rPr>
        <w:t>NWAU</w:t>
      </w:r>
      <w:r w:rsidRPr="00B31701">
        <w:rPr>
          <w:lang w:val="en-AU"/>
        </w:rPr>
        <w:t xml:space="preserve"> </w:t>
      </w:r>
      <w:r w:rsidR="00736EA6">
        <w:rPr>
          <w:lang w:val="en-AU"/>
        </w:rPr>
        <w:t>2022–23 (</w:t>
      </w:r>
      <w:proofErr w:type="gramStart"/>
      <w:r w:rsidR="00736EA6">
        <w:rPr>
          <w:lang w:val="en-AU"/>
        </w:rPr>
        <w:t>NWAU(</w:t>
      </w:r>
      <w:proofErr w:type="gramEnd"/>
      <w:r w:rsidR="00736EA6">
        <w:rPr>
          <w:lang w:val="en-AU"/>
        </w:rPr>
        <w:t xml:space="preserve">22)) </w:t>
      </w:r>
      <w:r w:rsidRPr="00B31701">
        <w:rPr>
          <w:lang w:val="en-AU"/>
        </w:rPr>
        <w:t>comprises a fixed cost of $2.</w:t>
      </w:r>
      <w:r w:rsidR="005D7D8F">
        <w:rPr>
          <w:lang w:val="en-AU"/>
        </w:rPr>
        <w:t>169</w:t>
      </w:r>
      <w:r w:rsidR="005D7D8F" w:rsidRPr="00B31701">
        <w:rPr>
          <w:lang w:val="en-AU"/>
        </w:rPr>
        <w:t xml:space="preserve"> </w:t>
      </w:r>
      <w:r w:rsidRPr="00B31701">
        <w:rPr>
          <w:lang w:val="en-AU"/>
        </w:rPr>
        <w:t>million and the variable cost of $5,</w:t>
      </w:r>
      <w:r w:rsidR="005D7D8F">
        <w:rPr>
          <w:lang w:val="en-AU"/>
        </w:rPr>
        <w:t>984</w:t>
      </w:r>
      <w:r w:rsidR="005D7D8F" w:rsidRPr="00B31701">
        <w:rPr>
          <w:lang w:val="en-AU"/>
        </w:rPr>
        <w:t xml:space="preserve"> </w:t>
      </w:r>
      <w:r w:rsidRPr="00B31701">
        <w:rPr>
          <w:lang w:val="en-AU"/>
        </w:rPr>
        <w:t>per NWAU</w:t>
      </w:r>
      <w:r w:rsidR="00736EA6">
        <w:rPr>
          <w:lang w:val="en-AU"/>
        </w:rPr>
        <w:t>(22)</w:t>
      </w:r>
      <w:r w:rsidRPr="00B31701">
        <w:rPr>
          <w:lang w:val="en-AU"/>
        </w:rPr>
        <w:t xml:space="preserve">. An additional loading of </w:t>
      </w:r>
      <w:r w:rsidR="005D7D8F">
        <w:rPr>
          <w:lang w:val="en-AU"/>
        </w:rPr>
        <w:t>48.3</w:t>
      </w:r>
      <w:r w:rsidRPr="00B31701">
        <w:rPr>
          <w:lang w:val="en-AU"/>
        </w:rPr>
        <w:t xml:space="preserve"> per cent is applied for ‘very remote’ hospitals.</w:t>
      </w:r>
    </w:p>
    <w:p w14:paraId="1655BA61" w14:textId="09E335F1" w:rsidR="00151079" w:rsidRPr="002C00DE" w:rsidRDefault="00151079" w:rsidP="00151079">
      <w:pPr>
        <w:rPr>
          <w:lang w:val="en-AU"/>
        </w:rPr>
      </w:pPr>
      <w:r w:rsidRPr="002C00DE">
        <w:rPr>
          <w:lang w:val="en-AU"/>
        </w:rPr>
        <w:t xml:space="preserve">In addition, the NEC </w:t>
      </w:r>
      <w:r>
        <w:rPr>
          <w:lang w:val="en-AU"/>
        </w:rPr>
        <w:t xml:space="preserve">Determination </w:t>
      </w:r>
      <w:r w:rsidRPr="002C00DE">
        <w:rPr>
          <w:lang w:val="en-AU"/>
        </w:rPr>
        <w:t xml:space="preserve">covers some services in public hospitals that do not meet the technical requirements for applying </w:t>
      </w:r>
      <w:proofErr w:type="gramStart"/>
      <w:r w:rsidRPr="002C00DE">
        <w:rPr>
          <w:lang w:val="en-AU"/>
        </w:rPr>
        <w:t>activity based</w:t>
      </w:r>
      <w:proofErr w:type="gramEnd"/>
      <w:r w:rsidRPr="002C00DE">
        <w:rPr>
          <w:lang w:val="en-AU"/>
        </w:rPr>
        <w:t xml:space="preserve"> funding. Usually this means that they cannot be counted and/or costed. For example, teaching, training and research and some non-admitted mental health services are instead provided a block</w:t>
      </w:r>
      <w:r>
        <w:rPr>
          <w:lang w:val="en-AU"/>
        </w:rPr>
        <w:t>-</w:t>
      </w:r>
      <w:r w:rsidRPr="002C00DE">
        <w:rPr>
          <w:lang w:val="en-AU"/>
        </w:rPr>
        <w:t>funding amount.</w:t>
      </w:r>
    </w:p>
    <w:p w14:paraId="71DBCCEA" w14:textId="27AE61C7" w:rsidR="00151079" w:rsidRPr="002C00DE" w:rsidRDefault="00151079" w:rsidP="00151079">
      <w:pPr>
        <w:rPr>
          <w:lang w:val="en-AU"/>
        </w:rPr>
      </w:pPr>
      <w:r w:rsidRPr="002C00DE">
        <w:rPr>
          <w:lang w:val="en-AU"/>
        </w:rPr>
        <w:t>IH</w:t>
      </w:r>
      <w:r w:rsidR="005D7D8F">
        <w:rPr>
          <w:lang w:val="en-AU"/>
        </w:rPr>
        <w:t>AC</w:t>
      </w:r>
      <w:r w:rsidRPr="002C00DE">
        <w:rPr>
          <w:lang w:val="en-AU"/>
        </w:rPr>
        <w:t>PA recognises that service delivery models are not static and innovative models of care offer the potential to provide more efficient health services. The Pricing Guidelines in the Pricing Framework outline the policy objectives to guide IH</w:t>
      </w:r>
      <w:r w:rsidR="005D7D8F">
        <w:rPr>
          <w:lang w:val="en-AU"/>
        </w:rPr>
        <w:t>AC</w:t>
      </w:r>
      <w:r w:rsidRPr="002C00DE">
        <w:rPr>
          <w:lang w:val="en-AU"/>
        </w:rPr>
        <w:t xml:space="preserve">PA’s work and reference fostering clinical innovation whereby the pricing of public hospital services </w:t>
      </w:r>
      <w:proofErr w:type="gramStart"/>
      <w:r w:rsidRPr="002C00DE">
        <w:rPr>
          <w:lang w:val="en-AU"/>
        </w:rPr>
        <w:t>respond</w:t>
      </w:r>
      <w:proofErr w:type="gramEnd"/>
      <w:r w:rsidRPr="002C00DE">
        <w:rPr>
          <w:lang w:val="en-AU"/>
        </w:rPr>
        <w:t xml:space="preserve"> in a timely way to </w:t>
      </w:r>
      <w:r>
        <w:rPr>
          <w:lang w:val="en-AU"/>
        </w:rPr>
        <w:t>the introduction of</w:t>
      </w:r>
      <w:r w:rsidRPr="002C00DE">
        <w:rPr>
          <w:lang w:val="en-AU"/>
        </w:rPr>
        <w:t xml:space="preserve"> evidence-based, effective new technology and innovations in the models of care that improve patient outcomes.</w:t>
      </w:r>
    </w:p>
    <w:p w14:paraId="18511742" w14:textId="1CF3B6EF" w:rsidR="00151079" w:rsidRPr="002C00DE" w:rsidRDefault="00151079" w:rsidP="00151079">
      <w:pPr>
        <w:rPr>
          <w:lang w:val="en-AU"/>
        </w:rPr>
      </w:pPr>
      <w:proofErr w:type="gramStart"/>
      <w:r w:rsidRPr="002C00DE">
        <w:rPr>
          <w:lang w:val="en-AU"/>
        </w:rPr>
        <w:t>With this in mind</w:t>
      </w:r>
      <w:r w:rsidR="00EB7039">
        <w:rPr>
          <w:lang w:val="en-AU"/>
        </w:rPr>
        <w:t>,</w:t>
      </w:r>
      <w:r w:rsidRPr="002C00DE">
        <w:rPr>
          <w:lang w:val="en-AU"/>
        </w:rPr>
        <w:t xml:space="preserve"> IH</w:t>
      </w:r>
      <w:r w:rsidR="005D7D8F">
        <w:rPr>
          <w:lang w:val="en-AU"/>
        </w:rPr>
        <w:t>AC</w:t>
      </w:r>
      <w:r w:rsidRPr="002C00DE">
        <w:rPr>
          <w:lang w:val="en-AU"/>
        </w:rPr>
        <w:t>PA</w:t>
      </w:r>
      <w:proofErr w:type="gramEnd"/>
      <w:r w:rsidRPr="002C00DE">
        <w:rPr>
          <w:lang w:val="en-AU"/>
        </w:rPr>
        <w:t xml:space="preserve"> will continue to block-fund programs that have been approved </w:t>
      </w:r>
      <w:r>
        <w:rPr>
          <w:lang w:val="en-AU"/>
        </w:rPr>
        <w:t xml:space="preserve">by the Pricing Authority for inclusion </w:t>
      </w:r>
      <w:r w:rsidRPr="002C00DE">
        <w:rPr>
          <w:lang w:val="en-AU"/>
        </w:rPr>
        <w:t>on the General List of In-Scope Public Hospital Services.</w:t>
      </w:r>
    </w:p>
    <w:p w14:paraId="79F60854" w14:textId="7B421BC0" w:rsidR="00151079" w:rsidRPr="002C00DE" w:rsidRDefault="00151079" w:rsidP="00151079">
      <w:pPr>
        <w:rPr>
          <w:lang w:val="en-AU"/>
        </w:rPr>
      </w:pPr>
      <w:r w:rsidRPr="002C00DE">
        <w:rPr>
          <w:lang w:val="en-AU"/>
        </w:rPr>
        <w:t xml:space="preserve">The Addendum contains provisions around specific arrangements for high cost, highly specialised therapies recommended for delivery in public hospitals by the Medical Services Advisory Committee. </w:t>
      </w:r>
      <w:r w:rsidRPr="000C0E51">
        <w:rPr>
          <w:lang w:val="en-AU"/>
        </w:rPr>
        <w:t>In 202</w:t>
      </w:r>
      <w:r w:rsidR="005D7D8F">
        <w:rPr>
          <w:lang w:val="en-AU"/>
        </w:rPr>
        <w:t>3</w:t>
      </w:r>
      <w:r w:rsidRPr="000C0E51">
        <w:rPr>
          <w:lang w:val="en-AU"/>
        </w:rPr>
        <w:t>–2</w:t>
      </w:r>
      <w:r w:rsidR="005D7D8F">
        <w:rPr>
          <w:lang w:val="en-AU"/>
        </w:rPr>
        <w:t>4</w:t>
      </w:r>
      <w:r w:rsidRPr="000C0E51">
        <w:rPr>
          <w:lang w:val="en-AU"/>
        </w:rPr>
        <w:t xml:space="preserve">, the following high cost, highly specialised therapies are </w:t>
      </w:r>
      <w:r w:rsidRPr="002C00DE">
        <w:rPr>
          <w:lang w:val="en-AU"/>
        </w:rPr>
        <w:t>recommended for delivery in public hospitals, based on advice received from the Commonwealth:</w:t>
      </w:r>
    </w:p>
    <w:p w14:paraId="6EAA780C" w14:textId="77777777" w:rsidR="00151079" w:rsidRPr="002C00DE" w:rsidRDefault="00151079" w:rsidP="00151079">
      <w:pPr>
        <w:pStyle w:val="ListParagraph"/>
        <w:numPr>
          <w:ilvl w:val="0"/>
          <w:numId w:val="48"/>
        </w:numPr>
        <w:spacing w:before="120" w:after="120" w:line="260" w:lineRule="atLeast"/>
        <w:contextualSpacing w:val="0"/>
        <w:rPr>
          <w:lang w:val="en-AU"/>
        </w:rPr>
      </w:pPr>
      <w:r w:rsidRPr="002C00DE">
        <w:rPr>
          <w:lang w:val="en-AU"/>
        </w:rPr>
        <w:t>Kymriah</w:t>
      </w:r>
      <w:r w:rsidRPr="000C0E51">
        <w:rPr>
          <w:vertAlign w:val="superscript"/>
          <w:lang w:val="en-AU"/>
        </w:rPr>
        <w:t>®</w:t>
      </w:r>
      <w:r w:rsidRPr="002C00DE">
        <w:rPr>
          <w:lang w:val="en-AU"/>
        </w:rPr>
        <w:t xml:space="preserve"> – for the treatment of acute lymphoblastic leukaemia in children and young adults</w:t>
      </w:r>
      <w:r>
        <w:rPr>
          <w:lang w:val="en-AU"/>
        </w:rPr>
        <w:t>.</w:t>
      </w:r>
    </w:p>
    <w:p w14:paraId="1CCC562E" w14:textId="77777777" w:rsidR="00151079" w:rsidRPr="002C00DE" w:rsidRDefault="00151079" w:rsidP="00151079">
      <w:pPr>
        <w:pStyle w:val="ListParagraph"/>
        <w:numPr>
          <w:ilvl w:val="0"/>
          <w:numId w:val="48"/>
        </w:numPr>
        <w:spacing w:before="120" w:after="120" w:line="260" w:lineRule="atLeast"/>
        <w:contextualSpacing w:val="0"/>
        <w:rPr>
          <w:lang w:val="en-AU"/>
        </w:rPr>
      </w:pPr>
      <w:r w:rsidRPr="002C00DE">
        <w:rPr>
          <w:lang w:val="en-AU"/>
        </w:rPr>
        <w:t>Kymriah</w:t>
      </w:r>
      <w:r w:rsidRPr="000C0E51">
        <w:rPr>
          <w:vertAlign w:val="superscript"/>
          <w:lang w:val="en-AU"/>
        </w:rPr>
        <w:t>®</w:t>
      </w:r>
      <w:r w:rsidRPr="002C00DE">
        <w:rPr>
          <w:lang w:val="en-AU"/>
        </w:rPr>
        <w:t xml:space="preserve"> or </w:t>
      </w:r>
      <w:proofErr w:type="spellStart"/>
      <w:r w:rsidRPr="002C00DE">
        <w:rPr>
          <w:lang w:val="en-AU"/>
        </w:rPr>
        <w:t>Yescarta</w:t>
      </w:r>
      <w:proofErr w:type="spellEnd"/>
      <w:r w:rsidRPr="000C0E51">
        <w:rPr>
          <w:vertAlign w:val="superscript"/>
          <w:lang w:val="en-AU"/>
        </w:rPr>
        <w:t>®</w:t>
      </w:r>
      <w:r w:rsidRPr="002C00DE">
        <w:rPr>
          <w:lang w:val="en-AU"/>
        </w:rPr>
        <w:t xml:space="preserve"> – for the treatment of diffuse large B-cell lymphoma, primary mediastinal large B-cell lymphoma and transformed follicular lymphoma</w:t>
      </w:r>
      <w:r>
        <w:rPr>
          <w:lang w:val="en-AU"/>
        </w:rPr>
        <w:t>.</w:t>
      </w:r>
    </w:p>
    <w:p w14:paraId="6612D2E3" w14:textId="77777777" w:rsidR="00151079" w:rsidRPr="002C00DE" w:rsidRDefault="00151079" w:rsidP="00151079">
      <w:pPr>
        <w:pStyle w:val="ListParagraph"/>
        <w:numPr>
          <w:ilvl w:val="0"/>
          <w:numId w:val="48"/>
        </w:numPr>
        <w:spacing w:before="120" w:after="120" w:line="260" w:lineRule="atLeast"/>
        <w:contextualSpacing w:val="0"/>
        <w:rPr>
          <w:lang w:val="en-AU"/>
        </w:rPr>
      </w:pPr>
      <w:proofErr w:type="spellStart"/>
      <w:r w:rsidRPr="002C00DE">
        <w:rPr>
          <w:lang w:val="en-AU"/>
        </w:rPr>
        <w:t>Qarziba</w:t>
      </w:r>
      <w:proofErr w:type="spellEnd"/>
      <w:r w:rsidRPr="000C0E51">
        <w:rPr>
          <w:vertAlign w:val="superscript"/>
          <w:lang w:val="en-AU"/>
        </w:rPr>
        <w:t>®</w:t>
      </w:r>
      <w:r w:rsidRPr="002C00DE">
        <w:rPr>
          <w:lang w:val="en-AU"/>
        </w:rPr>
        <w:t xml:space="preserve"> – for the treatment of </w:t>
      </w:r>
      <w:proofErr w:type="gramStart"/>
      <w:r w:rsidRPr="002C00DE">
        <w:rPr>
          <w:lang w:val="en-AU"/>
        </w:rPr>
        <w:t>high risk</w:t>
      </w:r>
      <w:proofErr w:type="gramEnd"/>
      <w:r w:rsidRPr="002C00DE">
        <w:rPr>
          <w:lang w:val="en-AU"/>
        </w:rPr>
        <w:t xml:space="preserve"> neuroblastoma</w:t>
      </w:r>
      <w:r>
        <w:rPr>
          <w:lang w:val="en-AU"/>
        </w:rPr>
        <w:t>.</w:t>
      </w:r>
    </w:p>
    <w:p w14:paraId="7B3146CC" w14:textId="77777777" w:rsidR="00151079" w:rsidRDefault="00151079" w:rsidP="00151079">
      <w:pPr>
        <w:pStyle w:val="ListParagraph"/>
        <w:numPr>
          <w:ilvl w:val="0"/>
          <w:numId w:val="48"/>
        </w:numPr>
        <w:spacing w:before="120" w:after="120" w:line="260" w:lineRule="atLeast"/>
        <w:contextualSpacing w:val="0"/>
        <w:rPr>
          <w:lang w:val="en-AU"/>
        </w:rPr>
      </w:pPr>
      <w:r w:rsidRPr="002C00DE">
        <w:rPr>
          <w:lang w:val="en-AU"/>
        </w:rPr>
        <w:t>Luxturna</w:t>
      </w:r>
      <w:r w:rsidRPr="000C0E51">
        <w:rPr>
          <w:vertAlign w:val="superscript"/>
          <w:lang w:val="en-AU"/>
        </w:rPr>
        <w:t>™</w:t>
      </w:r>
      <w:r w:rsidRPr="002C00DE">
        <w:rPr>
          <w:lang w:val="en-AU"/>
        </w:rPr>
        <w:t xml:space="preserve"> – for the treatment of inherited retinal </w:t>
      </w:r>
      <w:r>
        <w:rPr>
          <w:lang w:val="en-AU"/>
        </w:rPr>
        <w:t>dystrophies.</w:t>
      </w:r>
    </w:p>
    <w:p w14:paraId="2C75F560" w14:textId="77777777" w:rsidR="00151079" w:rsidRPr="002C00DE" w:rsidRDefault="00151079" w:rsidP="00151079">
      <w:pPr>
        <w:pStyle w:val="ListParagraph"/>
        <w:numPr>
          <w:ilvl w:val="0"/>
          <w:numId w:val="48"/>
        </w:numPr>
        <w:spacing w:before="120" w:after="120" w:line="260" w:lineRule="atLeast"/>
        <w:contextualSpacing w:val="0"/>
        <w:rPr>
          <w:lang w:val="en-AU"/>
        </w:rPr>
      </w:pPr>
      <w:proofErr w:type="spellStart"/>
      <w:r w:rsidRPr="000C0E51">
        <w:rPr>
          <w:lang w:val="en-AU"/>
        </w:rPr>
        <w:t>Tecartus</w:t>
      </w:r>
      <w:proofErr w:type="spellEnd"/>
      <w:r w:rsidRPr="000C0E51">
        <w:rPr>
          <w:vertAlign w:val="superscript"/>
          <w:lang w:val="en-AU"/>
        </w:rPr>
        <w:t>®</w:t>
      </w:r>
      <w:r w:rsidRPr="000C0E51">
        <w:rPr>
          <w:lang w:val="en-AU"/>
        </w:rPr>
        <w:t xml:space="preserve"> – for the treatment of relapsed or refractory mantle cell lymphoma</w:t>
      </w:r>
      <w:r>
        <w:rPr>
          <w:lang w:val="en-AU"/>
        </w:rPr>
        <w:t>.</w:t>
      </w:r>
    </w:p>
    <w:p w14:paraId="445321B1" w14:textId="77777777" w:rsidR="00151079" w:rsidRPr="002C00DE" w:rsidRDefault="00151079" w:rsidP="00151079">
      <w:pPr>
        <w:pStyle w:val="Heading3"/>
      </w:pPr>
      <w:bookmarkStart w:id="28" w:name="_Toc31271998"/>
      <w:bookmarkStart w:id="29" w:name="_Toc33774503"/>
      <w:bookmarkStart w:id="30" w:name="_Toc63240044"/>
      <w:r w:rsidRPr="002C00DE">
        <w:t>Back-casting</w:t>
      </w:r>
      <w:bookmarkEnd w:id="28"/>
      <w:bookmarkEnd w:id="29"/>
      <w:bookmarkEnd w:id="30"/>
    </w:p>
    <w:p w14:paraId="44405785" w14:textId="1D74220D" w:rsidR="00151079" w:rsidRPr="002C00DE" w:rsidRDefault="00151079" w:rsidP="00151079">
      <w:pPr>
        <w:rPr>
          <w:lang w:val="en-AU"/>
        </w:rPr>
      </w:pPr>
      <w:r w:rsidRPr="002C00DE">
        <w:rPr>
          <w:lang w:val="en-AU"/>
        </w:rPr>
        <w:t xml:space="preserve">The back-cast NEC </w:t>
      </w:r>
      <w:r>
        <w:rPr>
          <w:lang w:val="en-AU"/>
        </w:rPr>
        <w:t>Determination 202</w:t>
      </w:r>
      <w:r w:rsidR="005D7D8F">
        <w:rPr>
          <w:lang w:val="en-AU"/>
        </w:rPr>
        <w:t>2</w:t>
      </w:r>
      <w:r>
        <w:rPr>
          <w:lang w:val="en-AU"/>
        </w:rPr>
        <w:t>–2</w:t>
      </w:r>
      <w:r w:rsidR="005D7D8F">
        <w:rPr>
          <w:lang w:val="en-AU"/>
        </w:rPr>
        <w:t>3</w:t>
      </w:r>
      <w:r w:rsidRPr="002C00DE">
        <w:rPr>
          <w:lang w:val="en-AU"/>
        </w:rPr>
        <w:t xml:space="preserve"> for the purpose of estimating Commonwealth growth funding between </w:t>
      </w:r>
      <w:r>
        <w:rPr>
          <w:lang w:val="en-AU"/>
        </w:rPr>
        <w:t>202</w:t>
      </w:r>
      <w:r w:rsidR="005D7D8F">
        <w:rPr>
          <w:lang w:val="en-AU"/>
        </w:rPr>
        <w:t>2</w:t>
      </w:r>
      <w:r>
        <w:rPr>
          <w:lang w:val="en-AU"/>
        </w:rPr>
        <w:t>–2</w:t>
      </w:r>
      <w:r w:rsidR="005D7D8F">
        <w:rPr>
          <w:lang w:val="en-AU"/>
        </w:rPr>
        <w:t>3</w:t>
      </w:r>
      <w:r>
        <w:rPr>
          <w:lang w:val="en-AU"/>
        </w:rPr>
        <w:t xml:space="preserve"> and </w:t>
      </w:r>
      <w:r w:rsidRPr="00FA07CF">
        <w:rPr>
          <w:lang w:val="en-AU"/>
        </w:rPr>
        <w:t>202</w:t>
      </w:r>
      <w:r w:rsidR="005D7D8F">
        <w:rPr>
          <w:lang w:val="en-AU"/>
        </w:rPr>
        <w:t>3</w:t>
      </w:r>
      <w:r w:rsidRPr="00FA07CF">
        <w:rPr>
          <w:lang w:val="en-AU"/>
        </w:rPr>
        <w:t>–2</w:t>
      </w:r>
      <w:r w:rsidR="005D7D8F">
        <w:rPr>
          <w:lang w:val="en-AU"/>
        </w:rPr>
        <w:t>4</w:t>
      </w:r>
      <w:r w:rsidRPr="002C00DE">
        <w:rPr>
          <w:lang w:val="en-AU"/>
        </w:rPr>
        <w:t xml:space="preserve"> is the sum of the fixed component and the variable component.</w:t>
      </w:r>
    </w:p>
    <w:p w14:paraId="3F3A84EA" w14:textId="0B4AFD81" w:rsidR="00736EA6" w:rsidRPr="00FF26F1" w:rsidRDefault="00151079" w:rsidP="00DE1F63">
      <w:pPr>
        <w:spacing w:after="0"/>
        <w:rPr>
          <w:lang w:val="en-AU"/>
        </w:rPr>
      </w:pPr>
      <w:r w:rsidRPr="00FF26F1">
        <w:rPr>
          <w:lang w:val="en-AU"/>
        </w:rPr>
        <w:t>The fixed component is determined as:</w:t>
      </w:r>
    </w:p>
    <w:p w14:paraId="68869181" w14:textId="25E377D1" w:rsidR="005D7D8F" w:rsidRPr="00DE1F63" w:rsidRDefault="005D7D8F" w:rsidP="00DE1F63">
      <w:pPr>
        <w:pStyle w:val="ListParagraph"/>
        <w:numPr>
          <w:ilvl w:val="0"/>
          <w:numId w:val="48"/>
        </w:numPr>
        <w:spacing w:before="120" w:after="120" w:line="260" w:lineRule="atLeast"/>
        <w:contextualSpacing w:val="0"/>
        <w:rPr>
          <w:lang w:val="en-AU"/>
        </w:rPr>
      </w:pPr>
      <w:r w:rsidRPr="00FF26F1">
        <w:rPr>
          <w:lang w:val="en-AU"/>
        </w:rPr>
        <w:t xml:space="preserve">$2.108 million for hospitals with an annual </w:t>
      </w:r>
      <w:proofErr w:type="gramStart"/>
      <w:r w:rsidRPr="00DE1F63">
        <w:rPr>
          <w:lang w:val="en-AU"/>
        </w:rPr>
        <w:t>NWAU(</w:t>
      </w:r>
      <w:proofErr w:type="gramEnd"/>
      <w:r w:rsidRPr="00DE1F63">
        <w:rPr>
          <w:lang w:val="en-AU"/>
        </w:rPr>
        <w:t>22) less than or equal to 175.</w:t>
      </w:r>
    </w:p>
    <w:p w14:paraId="7183AE3E" w14:textId="5E3F1922" w:rsidR="00151079" w:rsidRPr="00A90D3B" w:rsidRDefault="005D7D8F" w:rsidP="00DE1F63">
      <w:pPr>
        <w:pStyle w:val="ListParagraph"/>
        <w:numPr>
          <w:ilvl w:val="0"/>
          <w:numId w:val="48"/>
        </w:numPr>
        <w:spacing w:before="120" w:after="120" w:line="260" w:lineRule="atLeast"/>
        <w:contextualSpacing w:val="0"/>
        <w:rPr>
          <w:lang w:val="en-AU"/>
        </w:rPr>
      </w:pPr>
      <w:r w:rsidRPr="00DE1F63">
        <w:rPr>
          <w:lang w:val="en-AU"/>
        </w:rPr>
        <w:t xml:space="preserve">$2.108 million less 0.029 per cent per </w:t>
      </w:r>
      <w:proofErr w:type="gramStart"/>
      <w:r w:rsidRPr="00DE1F63">
        <w:rPr>
          <w:lang w:val="en-AU"/>
        </w:rPr>
        <w:t>NWAU(</w:t>
      </w:r>
      <w:proofErr w:type="gramEnd"/>
      <w:r w:rsidRPr="00DE1F63">
        <w:rPr>
          <w:lang w:val="en-AU"/>
        </w:rPr>
        <w:t>22) for hospitals with an annual NWAU(22)</w:t>
      </w:r>
      <w:r w:rsidR="009869F0" w:rsidRPr="00DE1F63">
        <w:rPr>
          <w:lang w:val="en-AU"/>
        </w:rPr>
        <w:t xml:space="preserve"> </w:t>
      </w:r>
      <w:r w:rsidRPr="00DE1F63">
        <w:rPr>
          <w:lang w:val="en-AU"/>
        </w:rPr>
        <w:t>greater than 175, with an additional loading of 48.3 per cent for ‘very remote’ hospitals.</w:t>
      </w:r>
    </w:p>
    <w:p w14:paraId="255B4D7C" w14:textId="6B737D89" w:rsidR="00BF41F8" w:rsidRPr="00137504" w:rsidRDefault="00151079" w:rsidP="00DE1F63">
      <w:pPr>
        <w:rPr>
          <w:rFonts w:cs="Arial"/>
          <w:lang w:val="en-AU"/>
        </w:rPr>
      </w:pPr>
      <w:r w:rsidRPr="00A90D3B">
        <w:rPr>
          <w:lang w:val="en-AU"/>
        </w:rPr>
        <w:t>The variable component of the efficient cost is determined as $</w:t>
      </w:r>
      <w:r w:rsidRPr="00677F2B">
        <w:rPr>
          <w:lang w:val="en-AU"/>
        </w:rPr>
        <w:t>5,</w:t>
      </w:r>
      <w:r w:rsidR="005D7D8F">
        <w:rPr>
          <w:lang w:val="en-AU"/>
        </w:rPr>
        <w:t>815</w:t>
      </w:r>
      <w:r w:rsidR="005D7D8F" w:rsidRPr="00A90D3B">
        <w:rPr>
          <w:lang w:val="en-AU"/>
        </w:rPr>
        <w:t xml:space="preserve"> </w:t>
      </w:r>
      <w:r w:rsidRPr="00A90D3B">
        <w:rPr>
          <w:lang w:val="en-AU"/>
        </w:rPr>
        <w:t xml:space="preserve">per </w:t>
      </w:r>
      <w:proofErr w:type="gramStart"/>
      <w:r w:rsidRPr="00A90D3B">
        <w:rPr>
          <w:lang w:val="en-AU"/>
        </w:rPr>
        <w:t>NWAU(</w:t>
      </w:r>
      <w:proofErr w:type="gramEnd"/>
      <w:r w:rsidRPr="00A90D3B">
        <w:rPr>
          <w:lang w:val="en-AU"/>
        </w:rPr>
        <w:t>2</w:t>
      </w:r>
      <w:r w:rsidR="005D7D8F">
        <w:rPr>
          <w:lang w:val="en-AU"/>
        </w:rPr>
        <w:t>2</w:t>
      </w:r>
      <w:r w:rsidRPr="00A90D3B">
        <w:rPr>
          <w:lang w:val="en-AU"/>
        </w:rPr>
        <w:t>) for hospitals with an annual NWAU(2</w:t>
      </w:r>
      <w:r w:rsidR="005D7D8F">
        <w:rPr>
          <w:lang w:val="en-AU"/>
        </w:rPr>
        <w:t>2</w:t>
      </w:r>
      <w:r w:rsidRPr="00A90D3B">
        <w:rPr>
          <w:lang w:val="en-AU"/>
        </w:rPr>
        <w:t xml:space="preserve">) greater than </w:t>
      </w:r>
      <w:r w:rsidR="005D7D8F">
        <w:rPr>
          <w:lang w:val="en-AU"/>
        </w:rPr>
        <w:t>175</w:t>
      </w:r>
      <w:r w:rsidRPr="00A90D3B">
        <w:rPr>
          <w:lang w:val="en-AU"/>
        </w:rPr>
        <w:t>.</w:t>
      </w:r>
    </w:p>
    <w:p w14:paraId="0AEABEBF" w14:textId="77777777" w:rsidR="00151079" w:rsidRPr="002C00DE" w:rsidRDefault="00151079" w:rsidP="00151079">
      <w:pPr>
        <w:pStyle w:val="Heading1"/>
        <w:spacing w:after="1080"/>
        <w:ind w:left="709" w:hanging="720"/>
        <w:contextualSpacing/>
      </w:pPr>
      <w:bookmarkStart w:id="31" w:name="_Toc95913167"/>
      <w:bookmarkStart w:id="32" w:name="_Toc127182166"/>
      <w:r w:rsidRPr="002C00DE">
        <w:lastRenderedPageBreak/>
        <w:t>More information</w:t>
      </w:r>
      <w:bookmarkEnd w:id="31"/>
      <w:bookmarkEnd w:id="32"/>
    </w:p>
    <w:p w14:paraId="662423E2" w14:textId="12E32942" w:rsidR="00151079" w:rsidRDefault="00151079" w:rsidP="00151079">
      <w:pPr>
        <w:rPr>
          <w:rStyle w:val="Hyperlink"/>
          <w:color w:val="104F99" w:themeColor="accent2"/>
          <w:lang w:val="en-AU"/>
        </w:rPr>
      </w:pPr>
      <w:r w:rsidRPr="002C00DE">
        <w:rPr>
          <w:lang w:val="en-AU"/>
        </w:rPr>
        <w:t xml:space="preserve">For more information about </w:t>
      </w:r>
      <w:r>
        <w:rPr>
          <w:lang w:val="en-AU"/>
        </w:rPr>
        <w:t xml:space="preserve">the Independent </w:t>
      </w:r>
      <w:r w:rsidR="005D7D8F">
        <w:rPr>
          <w:lang w:val="en-AU"/>
        </w:rPr>
        <w:t xml:space="preserve">Health and Aged Care </w:t>
      </w:r>
      <w:r>
        <w:rPr>
          <w:lang w:val="en-AU"/>
        </w:rPr>
        <w:t>Pricing Authority</w:t>
      </w:r>
      <w:r w:rsidRPr="002C00DE">
        <w:rPr>
          <w:lang w:val="en-AU"/>
        </w:rPr>
        <w:t xml:space="preserve">, activity based funding </w:t>
      </w:r>
      <w:r>
        <w:rPr>
          <w:lang w:val="en-AU"/>
        </w:rPr>
        <w:t>and the National Efficient Price and National Efficient Cost</w:t>
      </w:r>
      <w:r w:rsidRPr="002C00DE">
        <w:rPr>
          <w:lang w:val="en-AU"/>
        </w:rPr>
        <w:t xml:space="preserve"> Determinations</w:t>
      </w:r>
      <w:r>
        <w:rPr>
          <w:lang w:val="en-AU"/>
        </w:rPr>
        <w:t xml:space="preserve"> for 202</w:t>
      </w:r>
      <w:r w:rsidR="005D7D8F">
        <w:rPr>
          <w:lang w:val="en-AU"/>
        </w:rPr>
        <w:t>3</w:t>
      </w:r>
      <w:r>
        <w:rPr>
          <w:lang w:val="en-AU"/>
        </w:rPr>
        <w:t>–2</w:t>
      </w:r>
      <w:r w:rsidR="005D7D8F">
        <w:rPr>
          <w:lang w:val="en-AU"/>
        </w:rPr>
        <w:t>4</w:t>
      </w:r>
      <w:r w:rsidRPr="002C00DE">
        <w:rPr>
          <w:lang w:val="en-AU"/>
        </w:rPr>
        <w:t xml:space="preserve">, please visit </w:t>
      </w:r>
      <w:hyperlink r:id="rId18" w:history="1">
        <w:r w:rsidR="005D7D8F" w:rsidRPr="002A623F">
          <w:rPr>
            <w:rStyle w:val="Hyperlink"/>
            <w:lang w:val="en-AU"/>
          </w:rPr>
          <w:t>www.ihacpa.gov.au</w:t>
        </w:r>
      </w:hyperlink>
      <w:r w:rsidRPr="002C00DE">
        <w:rPr>
          <w:lang w:val="en-AU"/>
        </w:rPr>
        <w:t xml:space="preserve"> or contact </w:t>
      </w:r>
      <w:hyperlink r:id="rId19" w:history="1">
        <w:r w:rsidR="005D7D8F" w:rsidRPr="002A623F">
          <w:rPr>
            <w:rStyle w:val="Hyperlink"/>
            <w:lang w:val="en-AU"/>
          </w:rPr>
          <w:t>enquiries.ihacpa@ihacpa.gov.au</w:t>
        </w:r>
      </w:hyperlink>
    </w:p>
    <w:p w14:paraId="7EC9E43B" w14:textId="22459C34" w:rsidR="00151079" w:rsidRDefault="00151079" w:rsidP="00151079">
      <w:pPr>
        <w:rPr>
          <w:rStyle w:val="Hyperlink"/>
          <w:color w:val="104F99" w:themeColor="accent2"/>
          <w:lang w:val="en-AU"/>
        </w:rPr>
      </w:pPr>
    </w:p>
    <w:p w14:paraId="41F9916C" w14:textId="26449490" w:rsidR="00332B77" w:rsidRDefault="00332B77">
      <w:pPr>
        <w:spacing w:line="259" w:lineRule="auto"/>
        <w:rPr>
          <w:rFonts w:eastAsiaTheme="majorEastAsia" w:cs="Arial"/>
          <w:b/>
          <w:sz w:val="56"/>
          <w:szCs w:val="56"/>
          <w:lang w:val="en-AU"/>
        </w:rPr>
      </w:pPr>
    </w:p>
    <w:p w14:paraId="48B5FADC" w14:textId="21B0B283" w:rsidR="00FC072C" w:rsidRPr="00137504" w:rsidRDefault="00FC072C" w:rsidP="00FC072C">
      <w:pPr>
        <w:rPr>
          <w:rFonts w:cs="Arial"/>
          <w:lang w:val="en-AU"/>
        </w:rPr>
        <w:sectPr w:rsidR="00FC072C" w:rsidRPr="00137504" w:rsidSect="0039004E">
          <w:pgSz w:w="11906" w:h="16838" w:code="9"/>
          <w:pgMar w:top="1440" w:right="1077" w:bottom="1440" w:left="1077" w:header="709" w:footer="709" w:gutter="0"/>
          <w:cols w:space="720"/>
          <w:docGrid w:linePitch="360"/>
        </w:sectPr>
      </w:pPr>
    </w:p>
    <w:p w14:paraId="16A454E9" w14:textId="361F07FB" w:rsidR="00502A09" w:rsidRPr="00137504" w:rsidRDefault="00502A09" w:rsidP="00502A09">
      <w:pPr>
        <w:spacing w:after="360"/>
        <w:rPr>
          <w:rFonts w:cs="Arial"/>
          <w:color w:val="FFFFFF" w:themeColor="background2"/>
          <w:lang w:val="en-AU"/>
        </w:rPr>
      </w:pPr>
      <w:r w:rsidRPr="00137504">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137504" w:rsidRDefault="00502A09" w:rsidP="00502A09">
      <w:pPr>
        <w:spacing w:after="360"/>
        <w:rPr>
          <w:rFonts w:cs="Arial"/>
          <w:color w:val="FFFFFF" w:themeColor="background2"/>
          <w:lang w:val="en-AU"/>
        </w:rPr>
      </w:pPr>
      <w:r w:rsidRPr="00137504">
        <w:rPr>
          <w:rFonts w:cs="Arial"/>
          <w:color w:val="FFFFFF" w:themeColor="background2"/>
          <w:lang w:val="en-AU"/>
        </w:rPr>
        <w:t>Independent Health and Aged Care Pricing Authority</w:t>
      </w:r>
    </w:p>
    <w:p w14:paraId="6E4B7912" w14:textId="793805FD" w:rsidR="00502A09" w:rsidRPr="00137504" w:rsidRDefault="00183129" w:rsidP="00502A09">
      <w:pPr>
        <w:spacing w:after="360"/>
        <w:rPr>
          <w:rFonts w:cs="Arial"/>
          <w:color w:val="54C1AF" w:themeColor="background1"/>
          <w:lang w:val="en-AU"/>
        </w:rPr>
      </w:pPr>
      <w:r w:rsidRPr="00137504">
        <w:rPr>
          <w:rFonts w:cs="Arial"/>
          <w:color w:val="54C1AF" w:themeColor="background1"/>
          <w:lang w:val="en-AU"/>
        </w:rPr>
        <w:t xml:space="preserve">Eora Nation, </w:t>
      </w:r>
      <w:r w:rsidR="00502A09" w:rsidRPr="00137504">
        <w:rPr>
          <w:rFonts w:cs="Arial"/>
          <w:color w:val="54C1AF" w:themeColor="background1"/>
          <w:lang w:val="en-AU"/>
        </w:rPr>
        <w:t xml:space="preserve">Level </w:t>
      </w:r>
      <w:r w:rsidR="007403BC" w:rsidRPr="00137504">
        <w:rPr>
          <w:rFonts w:cs="Arial"/>
          <w:color w:val="54C1AF" w:themeColor="background1"/>
          <w:lang w:val="en-AU"/>
        </w:rPr>
        <w:t>12</w:t>
      </w:r>
      <w:r w:rsidR="00502A09" w:rsidRPr="00137504">
        <w:rPr>
          <w:rFonts w:cs="Arial"/>
          <w:color w:val="54C1AF" w:themeColor="background1"/>
          <w:lang w:val="en-AU"/>
        </w:rPr>
        <w:t>, 1 Oxford Street</w:t>
      </w:r>
      <w:r w:rsidR="00502A09" w:rsidRPr="00137504">
        <w:rPr>
          <w:rFonts w:cs="Arial"/>
          <w:color w:val="54C1AF" w:themeColor="background1"/>
          <w:lang w:val="en-AU"/>
        </w:rPr>
        <w:br/>
        <w:t>Sydney NSW 2000</w:t>
      </w:r>
    </w:p>
    <w:p w14:paraId="422F9348" w14:textId="0299EBA7" w:rsidR="00502A09" w:rsidRPr="00137504" w:rsidRDefault="00502A09" w:rsidP="00723269">
      <w:pPr>
        <w:tabs>
          <w:tab w:val="left" w:pos="851"/>
        </w:tabs>
        <w:spacing w:after="360"/>
        <w:rPr>
          <w:rFonts w:cs="Arial"/>
          <w:color w:val="FFFFFF" w:themeColor="background2"/>
          <w:lang w:val="en-AU"/>
        </w:rPr>
      </w:pPr>
      <w:r w:rsidRPr="00137504">
        <w:rPr>
          <w:rFonts w:cs="Arial"/>
          <w:color w:val="FFFFFF" w:themeColor="background2"/>
          <w:lang w:val="en-AU"/>
        </w:rPr>
        <w:t>Phone</w:t>
      </w:r>
      <w:r w:rsidR="00723269" w:rsidRPr="00137504">
        <w:rPr>
          <w:rFonts w:cs="Arial"/>
          <w:color w:val="FFFFFF" w:themeColor="background2"/>
          <w:lang w:val="en-AU"/>
        </w:rPr>
        <w:tab/>
      </w:r>
      <w:r w:rsidRPr="00137504">
        <w:rPr>
          <w:rFonts w:cs="Arial"/>
          <w:color w:val="54C1AF" w:themeColor="background1"/>
          <w:lang w:val="en-AU"/>
        </w:rPr>
        <w:t>02 8215 1100</w:t>
      </w:r>
      <w:r w:rsidRPr="00137504">
        <w:rPr>
          <w:rFonts w:cs="Arial"/>
          <w:color w:val="FFFFFF" w:themeColor="background2"/>
          <w:lang w:val="en-AU"/>
        </w:rPr>
        <w:br/>
        <w:t>Email</w:t>
      </w:r>
      <w:r w:rsidR="00723269" w:rsidRPr="00137504">
        <w:rPr>
          <w:rFonts w:cs="Arial"/>
          <w:color w:val="FFFFFF" w:themeColor="background2"/>
          <w:lang w:val="en-AU"/>
        </w:rPr>
        <w:tab/>
      </w:r>
      <w:hyperlink r:id="rId22" w:history="1">
        <w:r w:rsidR="00723269" w:rsidRPr="00137504">
          <w:rPr>
            <w:rStyle w:val="Hyperlink"/>
            <w:rFonts w:cs="Arial"/>
            <w:color w:val="54C1AF" w:themeColor="accent5"/>
            <w:lang w:val="en-AU"/>
          </w:rPr>
          <w:t>enquiries.ihacpa@ihacpa.gov.au</w:t>
        </w:r>
      </w:hyperlink>
      <w:r w:rsidRPr="00137504">
        <w:rPr>
          <w:rFonts w:cs="Arial"/>
          <w:color w:val="FFFFFF" w:themeColor="background2"/>
          <w:lang w:val="en-AU"/>
        </w:rPr>
        <w:br/>
        <w:t>Twitter</w:t>
      </w:r>
      <w:r w:rsidR="00723269" w:rsidRPr="00137504">
        <w:rPr>
          <w:rFonts w:cs="Arial"/>
          <w:color w:val="FFFFFF" w:themeColor="background2"/>
          <w:lang w:val="en-AU"/>
        </w:rPr>
        <w:tab/>
      </w:r>
      <w:hyperlink r:id="rId23" w:history="1">
        <w:r w:rsidRPr="00137504">
          <w:rPr>
            <w:rStyle w:val="Hyperlink"/>
            <w:rFonts w:cs="Arial"/>
            <w:color w:val="54C1AF" w:themeColor="accent5"/>
            <w:lang w:val="en-AU"/>
          </w:rPr>
          <w:t>@IH</w:t>
        </w:r>
        <w:r w:rsidR="007403BC" w:rsidRPr="00137504">
          <w:rPr>
            <w:rStyle w:val="Hyperlink"/>
            <w:rFonts w:cs="Arial"/>
            <w:color w:val="54C1AF" w:themeColor="accent5"/>
            <w:lang w:val="en-AU"/>
          </w:rPr>
          <w:t>AC</w:t>
        </w:r>
        <w:r w:rsidRPr="00137504">
          <w:rPr>
            <w:rStyle w:val="Hyperlink"/>
            <w:rFonts w:cs="Arial"/>
            <w:color w:val="54C1AF" w:themeColor="accent5"/>
            <w:lang w:val="en-AU"/>
          </w:rPr>
          <w:t>PA</w:t>
        </w:r>
      </w:hyperlink>
    </w:p>
    <w:p w14:paraId="55FBC7ED" w14:textId="21C5AF52" w:rsidR="00502A09" w:rsidRPr="00137504" w:rsidRDefault="00742D1F" w:rsidP="00723269">
      <w:pPr>
        <w:spacing w:after="360"/>
        <w:rPr>
          <w:rFonts w:cs="Arial"/>
          <w:color w:val="54C1AF" w:themeColor="accent5"/>
          <w:lang w:val="en-AU"/>
        </w:rPr>
      </w:pPr>
      <w:hyperlink r:id="rId24" w:history="1">
        <w:r w:rsidR="00502A09" w:rsidRPr="00137504">
          <w:rPr>
            <w:rStyle w:val="Hyperlink"/>
            <w:rFonts w:cs="Arial"/>
            <w:color w:val="54C1AF" w:themeColor="accent5"/>
            <w:lang w:val="en-AU"/>
          </w:rPr>
          <w:t>www.ih</w:t>
        </w:r>
        <w:r w:rsidR="007403BC" w:rsidRPr="00137504">
          <w:rPr>
            <w:rStyle w:val="Hyperlink"/>
            <w:rFonts w:cs="Arial"/>
            <w:color w:val="54C1AF" w:themeColor="accent5"/>
            <w:lang w:val="en-AU"/>
          </w:rPr>
          <w:t>ac</w:t>
        </w:r>
        <w:r w:rsidR="00502A09" w:rsidRPr="00137504">
          <w:rPr>
            <w:rStyle w:val="Hyperlink"/>
            <w:rFonts w:cs="Arial"/>
            <w:color w:val="54C1AF" w:themeColor="accent5"/>
            <w:lang w:val="en-AU"/>
          </w:rPr>
          <w:t>pa.gov.au</w:t>
        </w:r>
      </w:hyperlink>
    </w:p>
    <w:sectPr w:rsidR="00502A09" w:rsidRPr="00137504" w:rsidSect="00C5503B">
      <w:headerReference w:type="default" r:id="rId25"/>
      <w:footerReference w:type="default" r:id="rId2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8D8E" w14:textId="77777777" w:rsidR="005D4EC5" w:rsidRDefault="005D4EC5" w:rsidP="00DC0458">
      <w:pPr>
        <w:spacing w:after="0" w:line="240" w:lineRule="auto"/>
      </w:pPr>
      <w:r>
        <w:separator/>
      </w:r>
    </w:p>
    <w:p w14:paraId="58DF3256" w14:textId="77777777" w:rsidR="005D4EC5" w:rsidRDefault="005D4EC5"/>
  </w:endnote>
  <w:endnote w:type="continuationSeparator" w:id="0">
    <w:p w14:paraId="2620B9F4" w14:textId="77777777" w:rsidR="005D4EC5" w:rsidRDefault="005D4EC5" w:rsidP="00DC0458">
      <w:pPr>
        <w:spacing w:after="0" w:line="240" w:lineRule="auto"/>
      </w:pPr>
      <w:r>
        <w:continuationSeparator/>
      </w:r>
    </w:p>
    <w:p w14:paraId="508A8B40" w14:textId="77777777" w:rsidR="005D4EC5" w:rsidRDefault="005D4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mbria"/>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12647ED3" w:rsidR="00493FE8" w:rsidRDefault="00DA1A11" w:rsidP="00271FC1">
    <w:pPr>
      <w:pStyle w:val="Footer"/>
      <w:tabs>
        <w:tab w:val="clear" w:pos="4680"/>
        <w:tab w:val="clear" w:pos="9360"/>
        <w:tab w:val="center" w:pos="13750"/>
      </w:tabs>
    </w:pPr>
    <w:r>
      <w:rPr>
        <w:b/>
        <w:bCs/>
      </w:rPr>
      <w:t>Understanding the NEP and NEC Determinations 2023</w:t>
    </w:r>
    <w:r w:rsidR="00514BBB">
      <w:rPr>
        <w:b/>
        <w:bCs/>
      </w:rPr>
      <w:t>–</w:t>
    </w:r>
    <w:r>
      <w:rPr>
        <w:b/>
        <w:bCs/>
      </w:rPr>
      <w:t>24</w:t>
    </w:r>
    <w:r w:rsidR="00493FE8">
      <w:tab/>
    </w:r>
    <w:r w:rsidR="00493FE8">
      <w:fldChar w:fldCharType="begin"/>
    </w:r>
    <w:r w:rsidR="00493FE8">
      <w:instrText xml:space="preserve"> PAGE   \* MERGEFORMAT </w:instrText>
    </w:r>
    <w:r w:rsidR="00493FE8">
      <w:fldChar w:fldCharType="separate"/>
    </w:r>
    <w:r w:rsidR="00493FE8">
      <w:rPr>
        <w:noProof/>
      </w:rPr>
      <w:t>1</w:t>
    </w:r>
    <w:r w:rsidR="00493F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888" w14:textId="77777777" w:rsidR="005D4EC5" w:rsidRDefault="005D4EC5" w:rsidP="00DC0458">
      <w:pPr>
        <w:spacing w:after="0" w:line="240" w:lineRule="auto"/>
      </w:pPr>
      <w:r>
        <w:separator/>
      </w:r>
    </w:p>
  </w:footnote>
  <w:footnote w:type="continuationSeparator" w:id="0">
    <w:p w14:paraId="3800DD83" w14:textId="77777777" w:rsidR="005D4EC5" w:rsidRDefault="005D4EC5" w:rsidP="00DC0458">
      <w:pPr>
        <w:spacing w:after="0" w:line="240" w:lineRule="auto"/>
      </w:pPr>
      <w:r>
        <w:continuationSeparator/>
      </w:r>
    </w:p>
    <w:p w14:paraId="143EBEBD" w14:textId="77777777" w:rsidR="005D4EC5" w:rsidRDefault="005D4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2"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C25BA"/>
    <w:multiLevelType w:val="multilevel"/>
    <w:tmpl w:val="78A27FC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1457F"/>
    <w:multiLevelType w:val="hybridMultilevel"/>
    <w:tmpl w:val="70480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E9032D"/>
    <w:multiLevelType w:val="hybridMultilevel"/>
    <w:tmpl w:val="B64A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9C68F1"/>
    <w:multiLevelType w:val="hybridMultilevel"/>
    <w:tmpl w:val="7B36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DC7142"/>
    <w:multiLevelType w:val="hybridMultilevel"/>
    <w:tmpl w:val="9528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6"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104ED2"/>
    <w:multiLevelType w:val="hybridMultilevel"/>
    <w:tmpl w:val="E88A7FC0"/>
    <w:lvl w:ilvl="0" w:tplc="5E880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
  </w:num>
  <w:num w:numId="4">
    <w:abstractNumId w:val="35"/>
  </w:num>
  <w:num w:numId="5">
    <w:abstractNumId w:val="2"/>
  </w:num>
  <w:num w:numId="6">
    <w:abstractNumId w:val="6"/>
  </w:num>
  <w:num w:numId="7">
    <w:abstractNumId w:val="5"/>
  </w:num>
  <w:num w:numId="8">
    <w:abstractNumId w:val="46"/>
  </w:num>
  <w:num w:numId="9">
    <w:abstractNumId w:val="4"/>
  </w:num>
  <w:num w:numId="10">
    <w:abstractNumId w:val="49"/>
  </w:num>
  <w:num w:numId="11">
    <w:abstractNumId w:val="3"/>
  </w:num>
  <w:num w:numId="12">
    <w:abstractNumId w:val="14"/>
  </w:num>
  <w:num w:numId="13">
    <w:abstractNumId w:val="36"/>
  </w:num>
  <w:num w:numId="14">
    <w:abstractNumId w:val="34"/>
  </w:num>
  <w:num w:numId="15">
    <w:abstractNumId w:val="11"/>
  </w:num>
  <w:num w:numId="16">
    <w:abstractNumId w:val="43"/>
  </w:num>
  <w:num w:numId="17">
    <w:abstractNumId w:val="23"/>
  </w:num>
  <w:num w:numId="18">
    <w:abstractNumId w:val="47"/>
  </w:num>
  <w:num w:numId="19">
    <w:abstractNumId w:val="20"/>
  </w:num>
  <w:num w:numId="20">
    <w:abstractNumId w:val="44"/>
  </w:num>
  <w:num w:numId="21">
    <w:abstractNumId w:val="27"/>
  </w:num>
  <w:num w:numId="22">
    <w:abstractNumId w:val="37"/>
  </w:num>
  <w:num w:numId="23">
    <w:abstractNumId w:val="31"/>
  </w:num>
  <w:num w:numId="24">
    <w:abstractNumId w:val="41"/>
  </w:num>
  <w:num w:numId="25">
    <w:abstractNumId w:val="18"/>
  </w:num>
  <w:num w:numId="26">
    <w:abstractNumId w:val="29"/>
  </w:num>
  <w:num w:numId="27">
    <w:abstractNumId w:val="0"/>
  </w:num>
  <w:num w:numId="28">
    <w:abstractNumId w:val="30"/>
  </w:num>
  <w:num w:numId="29">
    <w:abstractNumId w:val="48"/>
  </w:num>
  <w:num w:numId="30">
    <w:abstractNumId w:val="16"/>
  </w:num>
  <w:num w:numId="31">
    <w:abstractNumId w:val="38"/>
  </w:num>
  <w:num w:numId="32">
    <w:abstractNumId w:val="9"/>
  </w:num>
  <w:num w:numId="33">
    <w:abstractNumId w:val="17"/>
  </w:num>
  <w:num w:numId="34">
    <w:abstractNumId w:val="22"/>
  </w:num>
  <w:num w:numId="35">
    <w:abstractNumId w:val="15"/>
  </w:num>
  <w:num w:numId="36">
    <w:abstractNumId w:val="42"/>
  </w:num>
  <w:num w:numId="37">
    <w:abstractNumId w:val="50"/>
  </w:num>
  <w:num w:numId="38">
    <w:abstractNumId w:val="45"/>
  </w:num>
  <w:num w:numId="39">
    <w:abstractNumId w:val="13"/>
  </w:num>
  <w:num w:numId="40">
    <w:abstractNumId w:val="39"/>
  </w:num>
  <w:num w:numId="41">
    <w:abstractNumId w:val="19"/>
  </w:num>
  <w:num w:numId="42">
    <w:abstractNumId w:val="25"/>
  </w:num>
  <w:num w:numId="43">
    <w:abstractNumId w:val="8"/>
  </w:num>
  <w:num w:numId="44">
    <w:abstractNumId w:val="33"/>
  </w:num>
  <w:num w:numId="45">
    <w:abstractNumId w:val="1"/>
  </w:num>
  <w:num w:numId="46">
    <w:abstractNumId w:val="12"/>
  </w:num>
  <w:num w:numId="47">
    <w:abstractNumId w:val="7"/>
  </w:num>
  <w:num w:numId="48">
    <w:abstractNumId w:val="40"/>
  </w:num>
  <w:num w:numId="49">
    <w:abstractNumId w:val="26"/>
  </w:num>
  <w:num w:numId="50">
    <w:abstractNumId w:val="32"/>
  </w:num>
  <w:num w:numId="51">
    <w:abstractNumId w:val="24"/>
  </w:num>
  <w:num w:numId="52">
    <w:abstractNumId w:val="21"/>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5F25"/>
    <w:rsid w:val="00020A8B"/>
    <w:rsid w:val="000328C3"/>
    <w:rsid w:val="00040667"/>
    <w:rsid w:val="0004211D"/>
    <w:rsid w:val="00047CE3"/>
    <w:rsid w:val="00051A7E"/>
    <w:rsid w:val="00062AB7"/>
    <w:rsid w:val="00070BD8"/>
    <w:rsid w:val="00077CF5"/>
    <w:rsid w:val="00090D76"/>
    <w:rsid w:val="0009688D"/>
    <w:rsid w:val="000A1964"/>
    <w:rsid w:val="000A635A"/>
    <w:rsid w:val="000B13DD"/>
    <w:rsid w:val="000B5951"/>
    <w:rsid w:val="000C057B"/>
    <w:rsid w:val="000C39D8"/>
    <w:rsid w:val="000E25CC"/>
    <w:rsid w:val="000E6112"/>
    <w:rsid w:val="000F1C1F"/>
    <w:rsid w:val="000F444A"/>
    <w:rsid w:val="00101439"/>
    <w:rsid w:val="00102321"/>
    <w:rsid w:val="001035A0"/>
    <w:rsid w:val="00107591"/>
    <w:rsid w:val="001111D7"/>
    <w:rsid w:val="001152D4"/>
    <w:rsid w:val="00115614"/>
    <w:rsid w:val="00130A11"/>
    <w:rsid w:val="0013544E"/>
    <w:rsid w:val="00137504"/>
    <w:rsid w:val="00137582"/>
    <w:rsid w:val="00151079"/>
    <w:rsid w:val="00151838"/>
    <w:rsid w:val="00164278"/>
    <w:rsid w:val="001650A8"/>
    <w:rsid w:val="00165D3D"/>
    <w:rsid w:val="001829AA"/>
    <w:rsid w:val="00183129"/>
    <w:rsid w:val="0019177C"/>
    <w:rsid w:val="00192F2F"/>
    <w:rsid w:val="001B29EE"/>
    <w:rsid w:val="001D3F15"/>
    <w:rsid w:val="001D526F"/>
    <w:rsid w:val="001D58EE"/>
    <w:rsid w:val="001D5BBA"/>
    <w:rsid w:val="001D7EE8"/>
    <w:rsid w:val="001E2B0D"/>
    <w:rsid w:val="001E51CB"/>
    <w:rsid w:val="001F34B0"/>
    <w:rsid w:val="001F4298"/>
    <w:rsid w:val="001F7524"/>
    <w:rsid w:val="00233D00"/>
    <w:rsid w:val="0024043A"/>
    <w:rsid w:val="00257856"/>
    <w:rsid w:val="00257DF2"/>
    <w:rsid w:val="00264D19"/>
    <w:rsid w:val="002709C4"/>
    <w:rsid w:val="00271FC1"/>
    <w:rsid w:val="00274487"/>
    <w:rsid w:val="00276510"/>
    <w:rsid w:val="00287CD5"/>
    <w:rsid w:val="00292ED9"/>
    <w:rsid w:val="002A50EE"/>
    <w:rsid w:val="002A623F"/>
    <w:rsid w:val="002D05EC"/>
    <w:rsid w:val="002D6DC5"/>
    <w:rsid w:val="002F174B"/>
    <w:rsid w:val="0030315D"/>
    <w:rsid w:val="00312C78"/>
    <w:rsid w:val="003156D4"/>
    <w:rsid w:val="00317A1E"/>
    <w:rsid w:val="00320840"/>
    <w:rsid w:val="0032358C"/>
    <w:rsid w:val="003268EE"/>
    <w:rsid w:val="00327582"/>
    <w:rsid w:val="00332B77"/>
    <w:rsid w:val="00333682"/>
    <w:rsid w:val="003416D6"/>
    <w:rsid w:val="00342D62"/>
    <w:rsid w:val="0036017B"/>
    <w:rsid w:val="00371EAC"/>
    <w:rsid w:val="00372C53"/>
    <w:rsid w:val="003773A8"/>
    <w:rsid w:val="003813A8"/>
    <w:rsid w:val="003836CC"/>
    <w:rsid w:val="00384CF7"/>
    <w:rsid w:val="0039004E"/>
    <w:rsid w:val="003A41A0"/>
    <w:rsid w:val="003B24B2"/>
    <w:rsid w:val="003B646C"/>
    <w:rsid w:val="003B7A0C"/>
    <w:rsid w:val="003C360C"/>
    <w:rsid w:val="003C76F2"/>
    <w:rsid w:val="003D3EC5"/>
    <w:rsid w:val="003D7415"/>
    <w:rsid w:val="003E2683"/>
    <w:rsid w:val="003E2976"/>
    <w:rsid w:val="00415518"/>
    <w:rsid w:val="0042475E"/>
    <w:rsid w:val="00430EA5"/>
    <w:rsid w:val="00433A6A"/>
    <w:rsid w:val="00440461"/>
    <w:rsid w:val="00450CA4"/>
    <w:rsid w:val="00451341"/>
    <w:rsid w:val="004606DD"/>
    <w:rsid w:val="004621A6"/>
    <w:rsid w:val="00465F58"/>
    <w:rsid w:val="004930EE"/>
    <w:rsid w:val="00493FE8"/>
    <w:rsid w:val="00494721"/>
    <w:rsid w:val="0049520A"/>
    <w:rsid w:val="004A41FB"/>
    <w:rsid w:val="004C26D7"/>
    <w:rsid w:val="004D7DD4"/>
    <w:rsid w:val="004F4DE5"/>
    <w:rsid w:val="00502A09"/>
    <w:rsid w:val="00514BBB"/>
    <w:rsid w:val="005318DB"/>
    <w:rsid w:val="00533885"/>
    <w:rsid w:val="00543703"/>
    <w:rsid w:val="005532FF"/>
    <w:rsid w:val="00567EAE"/>
    <w:rsid w:val="0057787D"/>
    <w:rsid w:val="0058265B"/>
    <w:rsid w:val="00582F4B"/>
    <w:rsid w:val="00592EE4"/>
    <w:rsid w:val="0059569F"/>
    <w:rsid w:val="005972D0"/>
    <w:rsid w:val="005D4EC5"/>
    <w:rsid w:val="005D7D8F"/>
    <w:rsid w:val="005E330F"/>
    <w:rsid w:val="005F15C4"/>
    <w:rsid w:val="005F7854"/>
    <w:rsid w:val="006026DD"/>
    <w:rsid w:val="006058CF"/>
    <w:rsid w:val="006117DF"/>
    <w:rsid w:val="00611EC0"/>
    <w:rsid w:val="006171CB"/>
    <w:rsid w:val="006213C4"/>
    <w:rsid w:val="00636846"/>
    <w:rsid w:val="00640F4A"/>
    <w:rsid w:val="006410D6"/>
    <w:rsid w:val="00641DBF"/>
    <w:rsid w:val="00660DD2"/>
    <w:rsid w:val="00671173"/>
    <w:rsid w:val="00683542"/>
    <w:rsid w:val="00685E62"/>
    <w:rsid w:val="00696592"/>
    <w:rsid w:val="006A2435"/>
    <w:rsid w:val="006B1031"/>
    <w:rsid w:val="006C13CE"/>
    <w:rsid w:val="006C6F82"/>
    <w:rsid w:val="006D0BA2"/>
    <w:rsid w:val="006D1E0E"/>
    <w:rsid w:val="006E351D"/>
    <w:rsid w:val="006F2EFC"/>
    <w:rsid w:val="00700984"/>
    <w:rsid w:val="007009B0"/>
    <w:rsid w:val="00701984"/>
    <w:rsid w:val="00701FD0"/>
    <w:rsid w:val="007048DD"/>
    <w:rsid w:val="00707A91"/>
    <w:rsid w:val="00723269"/>
    <w:rsid w:val="0072745E"/>
    <w:rsid w:val="00736EA6"/>
    <w:rsid w:val="007403BC"/>
    <w:rsid w:val="00742D1F"/>
    <w:rsid w:val="007622B9"/>
    <w:rsid w:val="007639EC"/>
    <w:rsid w:val="00765EDD"/>
    <w:rsid w:val="007667FC"/>
    <w:rsid w:val="00771747"/>
    <w:rsid w:val="0077245A"/>
    <w:rsid w:val="00773B4F"/>
    <w:rsid w:val="00775E50"/>
    <w:rsid w:val="007764C1"/>
    <w:rsid w:val="00781429"/>
    <w:rsid w:val="007876D2"/>
    <w:rsid w:val="00790C87"/>
    <w:rsid w:val="007B6A60"/>
    <w:rsid w:val="007C1BF1"/>
    <w:rsid w:val="007E36BC"/>
    <w:rsid w:val="007F1B0A"/>
    <w:rsid w:val="007F3660"/>
    <w:rsid w:val="007F6771"/>
    <w:rsid w:val="00801B78"/>
    <w:rsid w:val="00801C5C"/>
    <w:rsid w:val="008237A4"/>
    <w:rsid w:val="0083269C"/>
    <w:rsid w:val="00840DD7"/>
    <w:rsid w:val="00842125"/>
    <w:rsid w:val="00872C1D"/>
    <w:rsid w:val="008737B6"/>
    <w:rsid w:val="0088507A"/>
    <w:rsid w:val="0089650D"/>
    <w:rsid w:val="008A6FBE"/>
    <w:rsid w:val="008B1300"/>
    <w:rsid w:val="008B39F8"/>
    <w:rsid w:val="008C6256"/>
    <w:rsid w:val="008D3054"/>
    <w:rsid w:val="008D4E20"/>
    <w:rsid w:val="008F4E00"/>
    <w:rsid w:val="00917AF6"/>
    <w:rsid w:val="0092379F"/>
    <w:rsid w:val="0093534E"/>
    <w:rsid w:val="0094620A"/>
    <w:rsid w:val="009511A5"/>
    <w:rsid w:val="00952D72"/>
    <w:rsid w:val="009667F5"/>
    <w:rsid w:val="00966AF6"/>
    <w:rsid w:val="009721F9"/>
    <w:rsid w:val="00972741"/>
    <w:rsid w:val="00976505"/>
    <w:rsid w:val="00977E6D"/>
    <w:rsid w:val="009869F0"/>
    <w:rsid w:val="009B5C43"/>
    <w:rsid w:val="009D3D28"/>
    <w:rsid w:val="009D5FD8"/>
    <w:rsid w:val="009E1F85"/>
    <w:rsid w:val="009E386D"/>
    <w:rsid w:val="009E5FB4"/>
    <w:rsid w:val="009F0034"/>
    <w:rsid w:val="009F266F"/>
    <w:rsid w:val="00A2266C"/>
    <w:rsid w:val="00A229CD"/>
    <w:rsid w:val="00A36A90"/>
    <w:rsid w:val="00A47BBB"/>
    <w:rsid w:val="00A51E38"/>
    <w:rsid w:val="00A5626C"/>
    <w:rsid w:val="00A57B6A"/>
    <w:rsid w:val="00A77B94"/>
    <w:rsid w:val="00A83828"/>
    <w:rsid w:val="00A9781B"/>
    <w:rsid w:val="00AA0D3A"/>
    <w:rsid w:val="00AA2F42"/>
    <w:rsid w:val="00AC3066"/>
    <w:rsid w:val="00AC3DF7"/>
    <w:rsid w:val="00AC4038"/>
    <w:rsid w:val="00AD22E1"/>
    <w:rsid w:val="00AD7862"/>
    <w:rsid w:val="00AE1DFB"/>
    <w:rsid w:val="00AE50E1"/>
    <w:rsid w:val="00AF07BE"/>
    <w:rsid w:val="00AF1A53"/>
    <w:rsid w:val="00B06639"/>
    <w:rsid w:val="00B11E69"/>
    <w:rsid w:val="00B31701"/>
    <w:rsid w:val="00B31DDE"/>
    <w:rsid w:val="00B33F98"/>
    <w:rsid w:val="00B427A7"/>
    <w:rsid w:val="00B56462"/>
    <w:rsid w:val="00B70D33"/>
    <w:rsid w:val="00B73B9F"/>
    <w:rsid w:val="00B83510"/>
    <w:rsid w:val="00BC01D2"/>
    <w:rsid w:val="00BC2924"/>
    <w:rsid w:val="00BC3F16"/>
    <w:rsid w:val="00BD02B4"/>
    <w:rsid w:val="00BD25FC"/>
    <w:rsid w:val="00BF3178"/>
    <w:rsid w:val="00BF41F8"/>
    <w:rsid w:val="00BF4A68"/>
    <w:rsid w:val="00BF6BA3"/>
    <w:rsid w:val="00C06DEC"/>
    <w:rsid w:val="00C27480"/>
    <w:rsid w:val="00C4675D"/>
    <w:rsid w:val="00C471F6"/>
    <w:rsid w:val="00C5503B"/>
    <w:rsid w:val="00C61A87"/>
    <w:rsid w:val="00C637F1"/>
    <w:rsid w:val="00C650F2"/>
    <w:rsid w:val="00C71D03"/>
    <w:rsid w:val="00C80268"/>
    <w:rsid w:val="00C86BFF"/>
    <w:rsid w:val="00C93CE9"/>
    <w:rsid w:val="00C9519B"/>
    <w:rsid w:val="00CA0437"/>
    <w:rsid w:val="00CA04B1"/>
    <w:rsid w:val="00CA1505"/>
    <w:rsid w:val="00CA2692"/>
    <w:rsid w:val="00CA6E08"/>
    <w:rsid w:val="00CB4B9C"/>
    <w:rsid w:val="00CB4D04"/>
    <w:rsid w:val="00CB5F47"/>
    <w:rsid w:val="00CC2966"/>
    <w:rsid w:val="00CC4C1B"/>
    <w:rsid w:val="00CE753C"/>
    <w:rsid w:val="00CF26C0"/>
    <w:rsid w:val="00CF5CE5"/>
    <w:rsid w:val="00D06E04"/>
    <w:rsid w:val="00D20B03"/>
    <w:rsid w:val="00D2543C"/>
    <w:rsid w:val="00D42AE5"/>
    <w:rsid w:val="00D474EF"/>
    <w:rsid w:val="00D8514A"/>
    <w:rsid w:val="00D8680B"/>
    <w:rsid w:val="00D86D7C"/>
    <w:rsid w:val="00D9124B"/>
    <w:rsid w:val="00D94116"/>
    <w:rsid w:val="00DA1178"/>
    <w:rsid w:val="00DA1A11"/>
    <w:rsid w:val="00DB5706"/>
    <w:rsid w:val="00DC0458"/>
    <w:rsid w:val="00DC0C1B"/>
    <w:rsid w:val="00DC11EE"/>
    <w:rsid w:val="00DD0C04"/>
    <w:rsid w:val="00DD17BE"/>
    <w:rsid w:val="00DE1F63"/>
    <w:rsid w:val="00DE6715"/>
    <w:rsid w:val="00E04BDE"/>
    <w:rsid w:val="00E06507"/>
    <w:rsid w:val="00E06675"/>
    <w:rsid w:val="00E170FF"/>
    <w:rsid w:val="00E234C7"/>
    <w:rsid w:val="00E23664"/>
    <w:rsid w:val="00E24D0E"/>
    <w:rsid w:val="00E34EE5"/>
    <w:rsid w:val="00E353BC"/>
    <w:rsid w:val="00E40CCE"/>
    <w:rsid w:val="00E426C6"/>
    <w:rsid w:val="00E456EF"/>
    <w:rsid w:val="00E55C8E"/>
    <w:rsid w:val="00E75493"/>
    <w:rsid w:val="00E763E3"/>
    <w:rsid w:val="00EA070A"/>
    <w:rsid w:val="00EA48D2"/>
    <w:rsid w:val="00EA4BD2"/>
    <w:rsid w:val="00EB40B0"/>
    <w:rsid w:val="00EB7039"/>
    <w:rsid w:val="00EC370A"/>
    <w:rsid w:val="00EC4537"/>
    <w:rsid w:val="00ED6165"/>
    <w:rsid w:val="00ED7AC4"/>
    <w:rsid w:val="00EE0A91"/>
    <w:rsid w:val="00EE4FDD"/>
    <w:rsid w:val="00EE517D"/>
    <w:rsid w:val="00EF6171"/>
    <w:rsid w:val="00F016EC"/>
    <w:rsid w:val="00F031F7"/>
    <w:rsid w:val="00F303A4"/>
    <w:rsid w:val="00F33071"/>
    <w:rsid w:val="00F362B2"/>
    <w:rsid w:val="00F50D93"/>
    <w:rsid w:val="00F51659"/>
    <w:rsid w:val="00F63519"/>
    <w:rsid w:val="00F67821"/>
    <w:rsid w:val="00F72C9E"/>
    <w:rsid w:val="00F7485C"/>
    <w:rsid w:val="00F74CE6"/>
    <w:rsid w:val="00F87F2B"/>
    <w:rsid w:val="00F95700"/>
    <w:rsid w:val="00F967FA"/>
    <w:rsid w:val="00FA0B55"/>
    <w:rsid w:val="00FA1958"/>
    <w:rsid w:val="00FA1EA6"/>
    <w:rsid w:val="00FA70CF"/>
    <w:rsid w:val="00FB2F89"/>
    <w:rsid w:val="00FC072C"/>
    <w:rsid w:val="00FC1EA2"/>
    <w:rsid w:val="00FC3951"/>
    <w:rsid w:val="00FC4B2D"/>
    <w:rsid w:val="00FC56D7"/>
    <w:rsid w:val="00FD7A01"/>
    <w:rsid w:val="00FF0BEC"/>
    <w:rsid w:val="00FF26F1"/>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6"/>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6"/>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List Paragraph1,Recommendation,Bullet table,Bullet L1"/>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uiPriority w:val="99"/>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uiPriority w:val="99"/>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uiPriority w:val="99"/>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aliases w:val="List Paragraph1 Char,Recommendation Char,Bullet table Char,Bullet L1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styleId="ListNumber">
    <w:name w:val="List Number"/>
    <w:basedOn w:val="Normal"/>
    <w:autoRedefine/>
    <w:uiPriority w:val="3"/>
    <w:rsid w:val="00151079"/>
    <w:pPr>
      <w:numPr>
        <w:numId w:val="45"/>
      </w:numPr>
      <w:spacing w:before="120" w:after="120" w:line="260" w:lineRule="atLeast"/>
      <w:contextualSpacing/>
    </w:pPr>
    <w:rPr>
      <w:rFonts w:eastAsia="Times New Roman" w:cs="Times New Roman"/>
      <w:color w:val="auto"/>
      <w:szCs w:val="24"/>
      <w:lang w:val="en-GB" w:eastAsia="en-AU"/>
    </w:rPr>
  </w:style>
  <w:style w:type="paragraph" w:customStyle="1" w:styleId="FigureHeading">
    <w:name w:val="Figure Heading"/>
    <w:basedOn w:val="Normal"/>
    <w:next w:val="Normal"/>
    <w:autoRedefine/>
    <w:uiPriority w:val="99"/>
    <w:qFormat/>
    <w:rsid w:val="00151079"/>
    <w:pPr>
      <w:keepNext/>
      <w:keepLines/>
      <w:numPr>
        <w:numId w:val="49"/>
      </w:numPr>
      <w:tabs>
        <w:tab w:val="left" w:pos="907"/>
      </w:tabs>
      <w:spacing w:before="120" w:after="120" w:line="260" w:lineRule="atLeast"/>
      <w:ind w:left="907" w:hanging="907"/>
      <w:contextualSpacing/>
    </w:pPr>
    <w:rPr>
      <w:rFonts w:eastAsia="Times New Roman" w:cs="Times New Roman"/>
      <w:color w:val="auto"/>
      <w:szCs w:val="24"/>
      <w:lang w:val="en-GB" w:eastAsia="en-AU"/>
    </w:rPr>
  </w:style>
  <w:style w:type="table" w:styleId="LightList-Accent1">
    <w:name w:val="Light List Accent 1"/>
    <w:basedOn w:val="TableNormal"/>
    <w:uiPriority w:val="61"/>
    <w:rsid w:val="00151079"/>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8" w:space="0" w:color="15272F" w:themeColor="accent1"/>
        <w:left w:val="single" w:sz="8" w:space="0" w:color="15272F" w:themeColor="accent1"/>
        <w:bottom w:val="single" w:sz="8" w:space="0" w:color="15272F" w:themeColor="accent1"/>
        <w:right w:val="single" w:sz="8" w:space="0" w:color="15272F" w:themeColor="accent1"/>
      </w:tblBorders>
    </w:tblPr>
    <w:tblStylePr w:type="firstRow">
      <w:pPr>
        <w:spacing w:before="0" w:after="0" w:line="240" w:lineRule="auto"/>
      </w:pPr>
      <w:rPr>
        <w:b/>
        <w:bCs/>
        <w:color w:val="54C1AF" w:themeColor="background1"/>
      </w:rPr>
      <w:tblPr/>
      <w:tcPr>
        <w:shd w:val="clear" w:color="auto" w:fill="15272F" w:themeFill="accent1"/>
      </w:tcPr>
    </w:tblStylePr>
    <w:tblStylePr w:type="lastRow">
      <w:pPr>
        <w:spacing w:before="0" w:after="0" w:line="240" w:lineRule="auto"/>
      </w:pPr>
      <w:rPr>
        <w:b/>
        <w:bCs/>
      </w:rPr>
      <w:tblPr/>
      <w:tcPr>
        <w:tcBorders>
          <w:top w:val="double" w:sz="6" w:space="0" w:color="15272F" w:themeColor="accent1"/>
          <w:left w:val="single" w:sz="8" w:space="0" w:color="15272F" w:themeColor="accent1"/>
          <w:bottom w:val="single" w:sz="8" w:space="0" w:color="15272F" w:themeColor="accent1"/>
          <w:right w:val="single" w:sz="8" w:space="0" w:color="15272F" w:themeColor="accent1"/>
        </w:tcBorders>
      </w:tcPr>
    </w:tblStylePr>
    <w:tblStylePr w:type="firstCol">
      <w:rPr>
        <w:b/>
        <w:bCs/>
      </w:rPr>
    </w:tblStylePr>
    <w:tblStylePr w:type="lastCol">
      <w:rPr>
        <w:b/>
        <w:bCs/>
      </w:rPr>
    </w:tblStylePr>
    <w:tblStylePr w:type="band1Vert">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tblStylePr w:type="band1Horz">
      <w:tblPr/>
      <w:tcPr>
        <w:tcBorders>
          <w:top w:val="single" w:sz="8" w:space="0" w:color="15272F" w:themeColor="accent1"/>
          <w:left w:val="single" w:sz="8" w:space="0" w:color="15272F" w:themeColor="accent1"/>
          <w:bottom w:val="single" w:sz="8" w:space="0" w:color="15272F" w:themeColor="accent1"/>
          <w:right w:val="single" w:sz="8" w:space="0" w:color="15272F"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ihacpa.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sv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ihacpa.gov.au/health-care/pricing/pricing-framework-australian-public-hospital-servi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hacpa.gov.au/health-care/pricing/national-efficient-cost-determination"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au/" TargetMode="External"/><Relationship Id="rId24" Type="http://schemas.openxmlformats.org/officeDocument/2006/relationships/hyperlink" Target="http://www.ihacpa.gov.au/" TargetMode="External"/><Relationship Id="rId5" Type="http://schemas.openxmlformats.org/officeDocument/2006/relationships/webSettings" Target="webSettings.xml"/><Relationship Id="rId15" Type="http://schemas.openxmlformats.org/officeDocument/2006/relationships/hyperlink" Target="https://www.ihacpa.gov.au/health-care/pricing/national-efficient-price-determination" TargetMode="External"/><Relationship Id="rId23" Type="http://schemas.openxmlformats.org/officeDocument/2006/relationships/hyperlink" Target="https://twitter.com/IHACPA"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enquiries.ihacpa@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mailto:enquiries.ihacpa@ihacpa.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2023-03-03T01:24:00Z</dcterms:created>
  <dcterms:modified xsi:type="dcterms:W3CDTF">2023-03-03T01:59:00Z</dcterms:modified>
</cp:coreProperties>
</file>