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2A84" w14:textId="1A46A227" w:rsidR="00FB2F25" w:rsidRPr="001727A4" w:rsidRDefault="00FB2F25" w:rsidP="00744F72">
      <w:pPr>
        <w:pStyle w:val="Organisation"/>
      </w:pPr>
      <w:r w:rsidRPr="001727A4">
        <w:t>Independent Hospital Pricing Authority</w:t>
      </w:r>
    </w:p>
    <w:p w14:paraId="4C7BC0CD" w14:textId="77777777" w:rsidR="00FB2F25" w:rsidRPr="002445A1" w:rsidRDefault="00FB2F25" w:rsidP="00FB2F25">
      <w:pPr>
        <w:pStyle w:val="Title"/>
      </w:pPr>
      <w:bookmarkStart w:id="0" w:name="_Toc517352815"/>
      <w:bookmarkStart w:id="1" w:name="_Toc517354917"/>
      <w:bookmarkStart w:id="2" w:name="_Toc530148433"/>
      <w:bookmarkStart w:id="3" w:name="_Toc8915275"/>
      <w:bookmarkStart w:id="4" w:name="_Toc42878708"/>
      <w:bookmarkStart w:id="5" w:name="_Toc42878952"/>
      <w:bookmarkStart w:id="6" w:name="_Toc72774439"/>
      <w:bookmarkStart w:id="7" w:name="_Toc103933963"/>
      <w:r>
        <w:t>Data Compliance Policy</w:t>
      </w:r>
      <w:bookmarkEnd w:id="0"/>
      <w:bookmarkEnd w:id="1"/>
      <w:bookmarkEnd w:id="2"/>
      <w:bookmarkEnd w:id="3"/>
      <w:bookmarkEnd w:id="4"/>
      <w:bookmarkEnd w:id="5"/>
      <w:bookmarkEnd w:id="6"/>
      <w:bookmarkEnd w:id="7"/>
    </w:p>
    <w:p w14:paraId="130576B2" w14:textId="77777777" w:rsidR="00260562" w:rsidRPr="00663DFE" w:rsidRDefault="00260562" w:rsidP="00FD0C07"/>
    <w:p w14:paraId="42A050D0" w14:textId="352290DD" w:rsidR="00FB2F25" w:rsidRPr="002E5E64" w:rsidRDefault="00F3734C" w:rsidP="002E5E64">
      <w:pPr>
        <w:pStyle w:val="Versionanddate"/>
        <w:numPr>
          <w:ilvl w:val="0"/>
          <w:numId w:val="0"/>
        </w:numPr>
      </w:pPr>
      <w:r>
        <w:t>June</w:t>
      </w:r>
      <w:r w:rsidRPr="002E5E64">
        <w:t xml:space="preserve"> </w:t>
      </w:r>
      <w:r w:rsidR="00323DCB" w:rsidRPr="002E5E64">
        <w:t>202</w:t>
      </w:r>
      <w:r w:rsidR="00323DCB" w:rsidRPr="002E5E64">
        <w:rPr>
          <w:b w:val="0"/>
          <w:noProof/>
        </w:rPr>
        <w:drawing>
          <wp:anchor distT="0" distB="0" distL="114300" distR="114300" simplePos="0" relativeHeight="251663360" behindDoc="1" locked="1" layoutInCell="0" allowOverlap="1" wp14:anchorId="1FFE9141" wp14:editId="04172D3B">
            <wp:simplePos x="0" y="0"/>
            <wp:positionH relativeFrom="page">
              <wp:align>right</wp:align>
            </wp:positionH>
            <wp:positionV relativeFrom="page">
              <wp:align>top</wp:align>
            </wp:positionV>
            <wp:extent cx="7592060" cy="10738485"/>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23DCB">
        <w:t>2</w:t>
      </w:r>
    </w:p>
    <w:p w14:paraId="1B491B53" w14:textId="77777777" w:rsidR="00FB2F25" w:rsidRDefault="00FB2F25" w:rsidP="001B2D89">
      <w:pPr>
        <w:sectPr w:rsidR="00FB2F25" w:rsidSect="008C2111">
          <w:headerReference w:type="default" r:id="rId9"/>
          <w:pgSz w:w="11906" w:h="16838" w:code="9"/>
          <w:pgMar w:top="2041" w:right="3232" w:bottom="1021" w:left="1021" w:header="680" w:footer="510" w:gutter="0"/>
          <w:pgNumType w:start="1"/>
          <w:cols w:space="708"/>
          <w:docGrid w:linePitch="360"/>
        </w:sectPr>
      </w:pPr>
    </w:p>
    <w:p w14:paraId="5EA9F7DF" w14:textId="459A4236" w:rsidR="00FB2F25" w:rsidRDefault="00FB2F25" w:rsidP="00FB2F25">
      <w:pPr>
        <w:pStyle w:val="Report"/>
      </w:pPr>
      <w:r>
        <w:lastRenderedPageBreak/>
        <w:t xml:space="preserve">Data Compliance Policy – </w:t>
      </w:r>
      <w:r w:rsidR="00F3734C">
        <w:t xml:space="preserve">June </w:t>
      </w:r>
      <w:r w:rsidR="00323DCB">
        <w:t>2022</w:t>
      </w:r>
    </w:p>
    <w:p w14:paraId="3997131C" w14:textId="77777777" w:rsidR="00FB2F25" w:rsidRDefault="00FB2F25" w:rsidP="00FB2F25"/>
    <w:p w14:paraId="73C4DEA1" w14:textId="53D93EDD" w:rsidR="00FB2F25" w:rsidRDefault="00FB2F25" w:rsidP="00FB2F25">
      <w:r>
        <w:t xml:space="preserve">© Independent Hospital Pricing Authority </w:t>
      </w:r>
      <w:r w:rsidR="00323DCB">
        <w:t>2022</w:t>
      </w:r>
    </w:p>
    <w:p w14:paraId="629DAEF0" w14:textId="77777777" w:rsidR="00FB2F25" w:rsidRDefault="00FB2F25" w:rsidP="00FB2F25">
      <w:r>
        <w:t xml:space="preserve">This publication is available for your use under a </w:t>
      </w:r>
      <w:hyperlink r:id="rId10" w:history="1">
        <w:r w:rsidRPr="002A4C1B">
          <w:t>Creative Commons BY Attribution 3.0 Australia</w:t>
        </w:r>
      </w:hyperlink>
      <w:r>
        <w:t xml:space="preserve"> licence, </w:t>
      </w:r>
      <w:proofErr w:type="gramStart"/>
      <w:r>
        <w:t>with the exception of</w:t>
      </w:r>
      <w:proofErr w:type="gramEnd"/>
      <w:r>
        <w:t xml:space="preserve"> the Independent Hospital Pricing Authority logo, photographs, images, signatures and where otherwise stated. The full licence terms are available from </w:t>
      </w:r>
      <w:hyperlink r:id="rId11" w:history="1">
        <w:r w:rsidRPr="002A4C1B">
          <w:t>the Creative Commons website</w:t>
        </w:r>
      </w:hyperlink>
      <w:r>
        <w:t>.</w:t>
      </w:r>
    </w:p>
    <w:p w14:paraId="564D0F1E" w14:textId="77777777" w:rsidR="00FB2F25" w:rsidRDefault="00FB2F25" w:rsidP="00FB2F25">
      <w:r w:rsidRPr="006150B7">
        <w:rPr>
          <w:rFonts w:cs="Calibri"/>
          <w:noProof/>
          <w:sz w:val="24"/>
        </w:rPr>
        <w:drawing>
          <wp:inline distT="0" distB="0" distL="0" distR="0" wp14:anchorId="76CE66A9" wp14:editId="6745584E">
            <wp:extent cx="804087" cy="285750"/>
            <wp:effectExtent l="0" t="0" r="0" b="0"/>
            <wp:docPr id="10" name="Picture 10" title="Creative Commons authorisation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6549DB3F" w14:textId="77777777" w:rsidR="00FB2F25" w:rsidRDefault="00FB2F25" w:rsidP="00FB2F25">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5D6CE88F" w14:textId="77777777" w:rsidR="00FB2F25" w:rsidRPr="002A4C1B" w:rsidRDefault="00FB2F25" w:rsidP="00FB2F25">
      <w:pPr>
        <w:rPr>
          <w:i/>
        </w:rPr>
      </w:pPr>
      <w:r w:rsidRPr="002A4C1B">
        <w:rPr>
          <w:i/>
        </w:rPr>
        <w:t>Independent Hospital Pricing Authority material used 'as supplied'.</w:t>
      </w:r>
    </w:p>
    <w:p w14:paraId="3622ACA3" w14:textId="77777777" w:rsidR="00FB2F25" w:rsidRDefault="00FB2F25" w:rsidP="00FB2F25">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B45B843" w14:textId="77777777" w:rsidR="00FB2F25" w:rsidRPr="00BC1032" w:rsidRDefault="00FB2F25" w:rsidP="00FB2F25">
      <w:pPr>
        <w:pStyle w:val="NormalIndent"/>
        <w:rPr>
          <w:i/>
        </w:rPr>
      </w:pPr>
      <w:r w:rsidRPr="00BC1032">
        <w:rPr>
          <w:i/>
        </w:rPr>
        <w:t>Source: The Independent Hospital Pricing Authority</w:t>
      </w:r>
      <w:r w:rsidRPr="00BC1032">
        <w:rPr>
          <w:i/>
        </w:rPr>
        <w:br w:type="page"/>
      </w:r>
    </w:p>
    <w:p w14:paraId="3EE27ADA" w14:textId="77777777" w:rsidR="004237F7" w:rsidRPr="004237F7" w:rsidRDefault="004237F7" w:rsidP="004237F7">
      <w:pPr>
        <w:keepNext/>
        <w:keepLines/>
        <w:spacing w:before="0" w:after="1080" w:line="240" w:lineRule="auto"/>
        <w:ind w:left="432" w:hanging="432"/>
        <w:contextualSpacing/>
        <w:rPr>
          <w:b/>
          <w:bCs/>
          <w:sz w:val="64"/>
          <w:szCs w:val="28"/>
        </w:rPr>
      </w:pPr>
      <w:r w:rsidRPr="004237F7">
        <w:rPr>
          <w:b/>
          <w:bCs/>
          <w:sz w:val="64"/>
          <w:szCs w:val="28"/>
        </w:rPr>
        <w:lastRenderedPageBreak/>
        <w:t xml:space="preserve">Table of contents </w:t>
      </w:r>
    </w:p>
    <w:p w14:paraId="6692DAD1" w14:textId="63D550FB" w:rsidR="00195009" w:rsidRDefault="004237F7" w:rsidP="00944CBC">
      <w:pPr>
        <w:pStyle w:val="TOC1"/>
        <w:tabs>
          <w:tab w:val="clear" w:pos="7643"/>
          <w:tab w:val="right" w:leader="dot" w:pos="8222"/>
        </w:tabs>
      </w:pPr>
      <w:r w:rsidRPr="004237F7">
        <w:fldChar w:fldCharType="begin"/>
      </w:r>
      <w:r w:rsidRPr="004237F7">
        <w:instrText xml:space="preserve"> TOC \o "1-2" \h \z \u </w:instrText>
      </w:r>
      <w:r w:rsidRPr="004237F7">
        <w:fldChar w:fldCharType="separate"/>
      </w:r>
      <w:hyperlink w:anchor="_Toc103933964" w:history="1">
        <w:r w:rsidR="00195009" w:rsidRPr="008A6494">
          <w:rPr>
            <w:rStyle w:val="Hyperlink"/>
          </w:rPr>
          <w:t>Acronyms and abbreviations</w:t>
        </w:r>
        <w:r w:rsidR="00195009">
          <w:rPr>
            <w:webHidden/>
          </w:rPr>
          <w:tab/>
        </w:r>
        <w:r w:rsidR="00195009">
          <w:rPr>
            <w:webHidden/>
          </w:rPr>
          <w:fldChar w:fldCharType="begin"/>
        </w:r>
        <w:r w:rsidR="00195009">
          <w:rPr>
            <w:webHidden/>
          </w:rPr>
          <w:instrText xml:space="preserve"> PAGEREF _Toc103933964 \h </w:instrText>
        </w:r>
        <w:r w:rsidR="00195009">
          <w:rPr>
            <w:webHidden/>
          </w:rPr>
        </w:r>
        <w:r w:rsidR="00195009">
          <w:rPr>
            <w:webHidden/>
          </w:rPr>
          <w:fldChar w:fldCharType="separate"/>
        </w:r>
        <w:r w:rsidR="00944CBC">
          <w:rPr>
            <w:webHidden/>
          </w:rPr>
          <w:t>3</w:t>
        </w:r>
        <w:r w:rsidR="00195009">
          <w:rPr>
            <w:webHidden/>
          </w:rPr>
          <w:fldChar w:fldCharType="end"/>
        </w:r>
      </w:hyperlink>
    </w:p>
    <w:p w14:paraId="41BF9523" w14:textId="77777777" w:rsidR="00944CBC" w:rsidRPr="00944CBC" w:rsidRDefault="00944CBC" w:rsidP="00944CBC">
      <w:pPr>
        <w:tabs>
          <w:tab w:val="right" w:leader="dot" w:pos="8222"/>
        </w:tabs>
        <w:rPr>
          <w:rFonts w:eastAsiaTheme="minorEastAsia"/>
          <w:noProof/>
        </w:rPr>
      </w:pPr>
    </w:p>
    <w:p w14:paraId="2AE16196" w14:textId="4D490C79" w:rsidR="00195009" w:rsidRDefault="00314875" w:rsidP="00944CBC">
      <w:pPr>
        <w:pStyle w:val="TOC1"/>
        <w:tabs>
          <w:tab w:val="clear" w:pos="7643"/>
          <w:tab w:val="right" w:leader="dot" w:pos="8222"/>
        </w:tabs>
        <w:rPr>
          <w:rFonts w:asciiTheme="minorHAnsi" w:eastAsiaTheme="minorEastAsia" w:hAnsiTheme="minorHAnsi" w:cstheme="minorBidi"/>
          <w:b w:val="0"/>
          <w:szCs w:val="22"/>
        </w:rPr>
      </w:pPr>
      <w:hyperlink w:anchor="_Toc103933965" w:history="1">
        <w:r w:rsidR="00195009" w:rsidRPr="008A6494">
          <w:rPr>
            <w:rStyle w:val="Hyperlink"/>
            <w14:scene3d>
              <w14:camera w14:prst="orthographicFront"/>
              <w14:lightRig w14:rig="threePt" w14:dir="t">
                <w14:rot w14:lat="0" w14:lon="0" w14:rev="0"/>
              </w14:lightRig>
            </w14:scene3d>
          </w:rPr>
          <w:t>1.</w:t>
        </w:r>
        <w:r w:rsidR="00195009">
          <w:rPr>
            <w:rFonts w:asciiTheme="minorHAnsi" w:eastAsiaTheme="minorEastAsia" w:hAnsiTheme="minorHAnsi" w:cstheme="minorBidi"/>
            <w:b w:val="0"/>
            <w:szCs w:val="22"/>
          </w:rPr>
          <w:tab/>
        </w:r>
        <w:r w:rsidR="00195009" w:rsidRPr="008A6494">
          <w:rPr>
            <w:rStyle w:val="Hyperlink"/>
          </w:rPr>
          <w:t>Introduction</w:t>
        </w:r>
        <w:r w:rsidR="00195009">
          <w:rPr>
            <w:webHidden/>
          </w:rPr>
          <w:tab/>
        </w:r>
        <w:r w:rsidR="00195009">
          <w:rPr>
            <w:webHidden/>
          </w:rPr>
          <w:fldChar w:fldCharType="begin"/>
        </w:r>
        <w:r w:rsidR="00195009">
          <w:rPr>
            <w:webHidden/>
          </w:rPr>
          <w:instrText xml:space="preserve"> PAGEREF _Toc103933965 \h </w:instrText>
        </w:r>
        <w:r w:rsidR="00195009">
          <w:rPr>
            <w:webHidden/>
          </w:rPr>
        </w:r>
        <w:r w:rsidR="00195009">
          <w:rPr>
            <w:webHidden/>
          </w:rPr>
          <w:fldChar w:fldCharType="separate"/>
        </w:r>
        <w:r w:rsidR="00944CBC">
          <w:rPr>
            <w:webHidden/>
          </w:rPr>
          <w:t>4</w:t>
        </w:r>
        <w:r w:rsidR="00195009">
          <w:rPr>
            <w:webHidden/>
          </w:rPr>
          <w:fldChar w:fldCharType="end"/>
        </w:r>
      </w:hyperlink>
    </w:p>
    <w:p w14:paraId="23699348" w14:textId="6406E85E"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66" w:history="1">
        <w:r w:rsidR="00195009" w:rsidRPr="008A6494">
          <w:rPr>
            <w:rStyle w:val="Hyperlink"/>
          </w:rPr>
          <w:t>1.1</w:t>
        </w:r>
        <w:r w:rsidR="00195009">
          <w:rPr>
            <w:rFonts w:asciiTheme="minorHAnsi" w:eastAsiaTheme="minorEastAsia" w:hAnsiTheme="minorHAnsi" w:cstheme="minorBidi"/>
            <w:szCs w:val="22"/>
          </w:rPr>
          <w:tab/>
        </w:r>
        <w:r w:rsidR="00195009" w:rsidRPr="008A6494">
          <w:rPr>
            <w:rStyle w:val="Hyperlink"/>
          </w:rPr>
          <w:t>Context</w:t>
        </w:r>
        <w:r w:rsidR="00195009">
          <w:rPr>
            <w:webHidden/>
          </w:rPr>
          <w:tab/>
        </w:r>
        <w:r w:rsidR="00195009">
          <w:rPr>
            <w:webHidden/>
          </w:rPr>
          <w:fldChar w:fldCharType="begin"/>
        </w:r>
        <w:r w:rsidR="00195009">
          <w:rPr>
            <w:webHidden/>
          </w:rPr>
          <w:instrText xml:space="preserve"> PAGEREF _Toc103933966 \h </w:instrText>
        </w:r>
        <w:r w:rsidR="00195009">
          <w:rPr>
            <w:webHidden/>
          </w:rPr>
        </w:r>
        <w:r w:rsidR="00195009">
          <w:rPr>
            <w:webHidden/>
          </w:rPr>
          <w:fldChar w:fldCharType="separate"/>
        </w:r>
        <w:r w:rsidR="00944CBC">
          <w:rPr>
            <w:webHidden/>
          </w:rPr>
          <w:t>4</w:t>
        </w:r>
        <w:r w:rsidR="00195009">
          <w:rPr>
            <w:webHidden/>
          </w:rPr>
          <w:fldChar w:fldCharType="end"/>
        </w:r>
      </w:hyperlink>
    </w:p>
    <w:p w14:paraId="2443F831" w14:textId="402AD01F"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67" w:history="1">
        <w:r w:rsidR="00195009" w:rsidRPr="008A6494">
          <w:rPr>
            <w:rStyle w:val="Hyperlink"/>
          </w:rPr>
          <w:t>1.2</w:t>
        </w:r>
        <w:r w:rsidR="00195009">
          <w:rPr>
            <w:rFonts w:asciiTheme="minorHAnsi" w:eastAsiaTheme="minorEastAsia" w:hAnsiTheme="minorHAnsi" w:cstheme="minorBidi"/>
            <w:szCs w:val="22"/>
          </w:rPr>
          <w:tab/>
        </w:r>
        <w:r w:rsidR="00195009" w:rsidRPr="008A6494">
          <w:rPr>
            <w:rStyle w:val="Hyperlink"/>
          </w:rPr>
          <w:t>Background</w:t>
        </w:r>
        <w:r w:rsidR="00195009">
          <w:rPr>
            <w:webHidden/>
          </w:rPr>
          <w:tab/>
        </w:r>
        <w:r w:rsidR="00195009">
          <w:rPr>
            <w:webHidden/>
          </w:rPr>
          <w:fldChar w:fldCharType="begin"/>
        </w:r>
        <w:r w:rsidR="00195009">
          <w:rPr>
            <w:webHidden/>
          </w:rPr>
          <w:instrText xml:space="preserve"> PAGEREF _Toc103933967 \h </w:instrText>
        </w:r>
        <w:r w:rsidR="00195009">
          <w:rPr>
            <w:webHidden/>
          </w:rPr>
        </w:r>
        <w:r w:rsidR="00195009">
          <w:rPr>
            <w:webHidden/>
          </w:rPr>
          <w:fldChar w:fldCharType="separate"/>
        </w:r>
        <w:r w:rsidR="00944CBC">
          <w:rPr>
            <w:webHidden/>
          </w:rPr>
          <w:t>4</w:t>
        </w:r>
        <w:r w:rsidR="00195009">
          <w:rPr>
            <w:webHidden/>
          </w:rPr>
          <w:fldChar w:fldCharType="end"/>
        </w:r>
      </w:hyperlink>
    </w:p>
    <w:p w14:paraId="5E952AC5" w14:textId="07288436"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68" w:history="1">
        <w:r w:rsidR="00195009" w:rsidRPr="008A6494">
          <w:rPr>
            <w:rStyle w:val="Hyperlink"/>
          </w:rPr>
          <w:t>1.3</w:t>
        </w:r>
        <w:r w:rsidR="00195009">
          <w:rPr>
            <w:rFonts w:asciiTheme="minorHAnsi" w:eastAsiaTheme="minorEastAsia" w:hAnsiTheme="minorHAnsi" w:cstheme="minorBidi"/>
            <w:szCs w:val="22"/>
          </w:rPr>
          <w:tab/>
        </w:r>
        <w:r w:rsidR="00195009" w:rsidRPr="008A6494">
          <w:rPr>
            <w:rStyle w:val="Hyperlink"/>
          </w:rPr>
          <w:t>Purpose</w:t>
        </w:r>
        <w:r w:rsidR="00195009">
          <w:rPr>
            <w:webHidden/>
          </w:rPr>
          <w:tab/>
        </w:r>
        <w:r w:rsidR="00195009">
          <w:rPr>
            <w:webHidden/>
          </w:rPr>
          <w:fldChar w:fldCharType="begin"/>
        </w:r>
        <w:r w:rsidR="00195009">
          <w:rPr>
            <w:webHidden/>
          </w:rPr>
          <w:instrText xml:space="preserve"> PAGEREF _Toc103933968 \h </w:instrText>
        </w:r>
        <w:r w:rsidR="00195009">
          <w:rPr>
            <w:webHidden/>
          </w:rPr>
        </w:r>
        <w:r w:rsidR="00195009">
          <w:rPr>
            <w:webHidden/>
          </w:rPr>
          <w:fldChar w:fldCharType="separate"/>
        </w:r>
        <w:r w:rsidR="00944CBC">
          <w:rPr>
            <w:webHidden/>
          </w:rPr>
          <w:t>5</w:t>
        </w:r>
        <w:r w:rsidR="00195009">
          <w:rPr>
            <w:webHidden/>
          </w:rPr>
          <w:fldChar w:fldCharType="end"/>
        </w:r>
      </w:hyperlink>
    </w:p>
    <w:p w14:paraId="1B969F89" w14:textId="0D358B47" w:rsidR="00195009" w:rsidRDefault="00314875" w:rsidP="00944CBC">
      <w:pPr>
        <w:pStyle w:val="TOC2"/>
        <w:tabs>
          <w:tab w:val="clear" w:pos="7643"/>
          <w:tab w:val="right" w:leader="dot" w:pos="8222"/>
        </w:tabs>
      </w:pPr>
      <w:hyperlink w:anchor="_Toc103933969" w:history="1">
        <w:r w:rsidR="00195009" w:rsidRPr="008A6494">
          <w:rPr>
            <w:rStyle w:val="Hyperlink"/>
          </w:rPr>
          <w:t>1.4</w:t>
        </w:r>
        <w:r w:rsidR="00195009">
          <w:rPr>
            <w:rFonts w:asciiTheme="minorHAnsi" w:eastAsiaTheme="minorEastAsia" w:hAnsiTheme="minorHAnsi" w:cstheme="minorBidi"/>
            <w:szCs w:val="22"/>
          </w:rPr>
          <w:tab/>
        </w:r>
        <w:r w:rsidR="00195009" w:rsidRPr="008A6494">
          <w:rPr>
            <w:rStyle w:val="Hyperlink"/>
          </w:rPr>
          <w:t>Review</w:t>
        </w:r>
        <w:r w:rsidR="00195009">
          <w:rPr>
            <w:webHidden/>
          </w:rPr>
          <w:tab/>
        </w:r>
        <w:r w:rsidR="00195009">
          <w:rPr>
            <w:webHidden/>
          </w:rPr>
          <w:fldChar w:fldCharType="begin"/>
        </w:r>
        <w:r w:rsidR="00195009">
          <w:rPr>
            <w:webHidden/>
          </w:rPr>
          <w:instrText xml:space="preserve"> PAGEREF _Toc103933969 \h </w:instrText>
        </w:r>
        <w:r w:rsidR="00195009">
          <w:rPr>
            <w:webHidden/>
          </w:rPr>
        </w:r>
        <w:r w:rsidR="00195009">
          <w:rPr>
            <w:webHidden/>
          </w:rPr>
          <w:fldChar w:fldCharType="separate"/>
        </w:r>
        <w:r w:rsidR="00944CBC">
          <w:rPr>
            <w:webHidden/>
          </w:rPr>
          <w:t>5</w:t>
        </w:r>
        <w:r w:rsidR="00195009">
          <w:rPr>
            <w:webHidden/>
          </w:rPr>
          <w:fldChar w:fldCharType="end"/>
        </w:r>
      </w:hyperlink>
    </w:p>
    <w:p w14:paraId="5BCA11DE" w14:textId="77777777" w:rsidR="00944CBC" w:rsidRPr="00944CBC" w:rsidRDefault="00944CBC" w:rsidP="00944CBC">
      <w:pPr>
        <w:tabs>
          <w:tab w:val="right" w:leader="dot" w:pos="8222"/>
        </w:tabs>
        <w:rPr>
          <w:rFonts w:eastAsiaTheme="minorEastAsia"/>
          <w:noProof/>
        </w:rPr>
      </w:pPr>
    </w:p>
    <w:p w14:paraId="7C7307AF" w14:textId="5E2D5BD0" w:rsidR="00195009" w:rsidRDefault="00314875" w:rsidP="00944CBC">
      <w:pPr>
        <w:pStyle w:val="TOC1"/>
        <w:tabs>
          <w:tab w:val="clear" w:pos="7643"/>
          <w:tab w:val="right" w:leader="dot" w:pos="8222"/>
        </w:tabs>
        <w:rPr>
          <w:rFonts w:asciiTheme="minorHAnsi" w:eastAsiaTheme="minorEastAsia" w:hAnsiTheme="minorHAnsi" w:cstheme="minorBidi"/>
          <w:b w:val="0"/>
          <w:szCs w:val="22"/>
        </w:rPr>
      </w:pPr>
      <w:hyperlink w:anchor="_Toc103933970" w:history="1">
        <w:r w:rsidR="00195009" w:rsidRPr="008A6494">
          <w:rPr>
            <w:rStyle w:val="Hyperlink"/>
            <w14:scene3d>
              <w14:camera w14:prst="orthographicFront"/>
              <w14:lightRig w14:rig="threePt" w14:dir="t">
                <w14:rot w14:lat="0" w14:lon="0" w14:rev="0"/>
              </w14:lightRig>
            </w14:scene3d>
          </w:rPr>
          <w:t>2.</w:t>
        </w:r>
        <w:r w:rsidR="00195009">
          <w:rPr>
            <w:rFonts w:asciiTheme="minorHAnsi" w:eastAsiaTheme="minorEastAsia" w:hAnsiTheme="minorHAnsi" w:cstheme="minorBidi"/>
            <w:b w:val="0"/>
            <w:szCs w:val="22"/>
          </w:rPr>
          <w:tab/>
        </w:r>
        <w:r w:rsidR="00195009" w:rsidRPr="008A6494">
          <w:rPr>
            <w:rStyle w:val="Hyperlink"/>
          </w:rPr>
          <w:t>What is the data compliance process?</w:t>
        </w:r>
        <w:r w:rsidR="00195009">
          <w:rPr>
            <w:webHidden/>
          </w:rPr>
          <w:tab/>
        </w:r>
        <w:r w:rsidR="00195009">
          <w:rPr>
            <w:webHidden/>
          </w:rPr>
          <w:fldChar w:fldCharType="begin"/>
        </w:r>
        <w:r w:rsidR="00195009">
          <w:rPr>
            <w:webHidden/>
          </w:rPr>
          <w:instrText xml:space="preserve"> PAGEREF _Toc103933970 \h </w:instrText>
        </w:r>
        <w:r w:rsidR="00195009">
          <w:rPr>
            <w:webHidden/>
          </w:rPr>
        </w:r>
        <w:r w:rsidR="00195009">
          <w:rPr>
            <w:webHidden/>
          </w:rPr>
          <w:fldChar w:fldCharType="separate"/>
        </w:r>
        <w:r w:rsidR="00944CBC">
          <w:rPr>
            <w:webHidden/>
          </w:rPr>
          <w:t>6</w:t>
        </w:r>
        <w:r w:rsidR="00195009">
          <w:rPr>
            <w:webHidden/>
          </w:rPr>
          <w:fldChar w:fldCharType="end"/>
        </w:r>
      </w:hyperlink>
    </w:p>
    <w:p w14:paraId="63FAB843" w14:textId="59C27086"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71" w:history="1">
        <w:r w:rsidR="00195009" w:rsidRPr="008A6494">
          <w:rPr>
            <w:rStyle w:val="Hyperlink"/>
          </w:rPr>
          <w:t>2.1</w:t>
        </w:r>
        <w:r w:rsidR="00195009">
          <w:rPr>
            <w:rFonts w:asciiTheme="minorHAnsi" w:eastAsiaTheme="minorEastAsia" w:hAnsiTheme="minorHAnsi" w:cstheme="minorBidi"/>
            <w:szCs w:val="22"/>
          </w:rPr>
          <w:tab/>
        </w:r>
        <w:r w:rsidR="00195009" w:rsidRPr="008A6494">
          <w:rPr>
            <w:rStyle w:val="Hyperlink"/>
          </w:rPr>
          <w:t>Who is responsible for the data compliance process?</w:t>
        </w:r>
        <w:r w:rsidR="00195009">
          <w:rPr>
            <w:webHidden/>
          </w:rPr>
          <w:tab/>
        </w:r>
        <w:r w:rsidR="00195009">
          <w:rPr>
            <w:webHidden/>
          </w:rPr>
          <w:fldChar w:fldCharType="begin"/>
        </w:r>
        <w:r w:rsidR="00195009">
          <w:rPr>
            <w:webHidden/>
          </w:rPr>
          <w:instrText xml:space="preserve"> PAGEREF _Toc103933971 \h </w:instrText>
        </w:r>
        <w:r w:rsidR="00195009">
          <w:rPr>
            <w:webHidden/>
          </w:rPr>
        </w:r>
        <w:r w:rsidR="00195009">
          <w:rPr>
            <w:webHidden/>
          </w:rPr>
          <w:fldChar w:fldCharType="separate"/>
        </w:r>
        <w:r w:rsidR="00944CBC">
          <w:rPr>
            <w:webHidden/>
          </w:rPr>
          <w:t>6</w:t>
        </w:r>
        <w:r w:rsidR="00195009">
          <w:rPr>
            <w:webHidden/>
          </w:rPr>
          <w:fldChar w:fldCharType="end"/>
        </w:r>
      </w:hyperlink>
    </w:p>
    <w:p w14:paraId="247BCD90" w14:textId="1041022D"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72" w:history="1">
        <w:r w:rsidR="00195009" w:rsidRPr="008A6494">
          <w:rPr>
            <w:rStyle w:val="Hyperlink"/>
          </w:rPr>
          <w:t>2.2</w:t>
        </w:r>
        <w:r w:rsidR="00195009">
          <w:rPr>
            <w:rFonts w:asciiTheme="minorHAnsi" w:eastAsiaTheme="minorEastAsia" w:hAnsiTheme="minorHAnsi" w:cstheme="minorBidi"/>
            <w:szCs w:val="22"/>
          </w:rPr>
          <w:tab/>
        </w:r>
        <w:r w:rsidR="00195009" w:rsidRPr="008A6494">
          <w:rPr>
            <w:rStyle w:val="Hyperlink"/>
          </w:rPr>
          <w:t>Data submission timing</w:t>
        </w:r>
        <w:r w:rsidR="00195009">
          <w:rPr>
            <w:webHidden/>
          </w:rPr>
          <w:tab/>
        </w:r>
        <w:r w:rsidR="00195009">
          <w:rPr>
            <w:webHidden/>
          </w:rPr>
          <w:fldChar w:fldCharType="begin"/>
        </w:r>
        <w:r w:rsidR="00195009">
          <w:rPr>
            <w:webHidden/>
          </w:rPr>
          <w:instrText xml:space="preserve"> PAGEREF _Toc103933972 \h </w:instrText>
        </w:r>
        <w:r w:rsidR="00195009">
          <w:rPr>
            <w:webHidden/>
          </w:rPr>
        </w:r>
        <w:r w:rsidR="00195009">
          <w:rPr>
            <w:webHidden/>
          </w:rPr>
          <w:fldChar w:fldCharType="separate"/>
        </w:r>
        <w:r w:rsidR="00944CBC">
          <w:rPr>
            <w:webHidden/>
          </w:rPr>
          <w:t>6</w:t>
        </w:r>
        <w:r w:rsidR="00195009">
          <w:rPr>
            <w:webHidden/>
          </w:rPr>
          <w:fldChar w:fldCharType="end"/>
        </w:r>
      </w:hyperlink>
    </w:p>
    <w:p w14:paraId="3C89E461" w14:textId="46FF4CCC"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73" w:history="1">
        <w:r w:rsidR="00195009" w:rsidRPr="008A6494">
          <w:rPr>
            <w:rStyle w:val="Hyperlink"/>
          </w:rPr>
          <w:t>2.3</w:t>
        </w:r>
        <w:r w:rsidR="00195009">
          <w:rPr>
            <w:rFonts w:asciiTheme="minorHAnsi" w:eastAsiaTheme="minorEastAsia" w:hAnsiTheme="minorHAnsi" w:cstheme="minorBidi"/>
            <w:szCs w:val="22"/>
          </w:rPr>
          <w:tab/>
        </w:r>
        <w:r w:rsidR="00195009" w:rsidRPr="008A6494">
          <w:rPr>
            <w:rStyle w:val="Hyperlink"/>
          </w:rPr>
          <w:t>Statement of Assurance</w:t>
        </w:r>
        <w:r w:rsidR="00195009">
          <w:rPr>
            <w:webHidden/>
          </w:rPr>
          <w:tab/>
        </w:r>
        <w:r w:rsidR="00195009">
          <w:rPr>
            <w:webHidden/>
          </w:rPr>
          <w:fldChar w:fldCharType="begin"/>
        </w:r>
        <w:r w:rsidR="00195009">
          <w:rPr>
            <w:webHidden/>
          </w:rPr>
          <w:instrText xml:space="preserve"> PAGEREF _Toc103933973 \h </w:instrText>
        </w:r>
        <w:r w:rsidR="00195009">
          <w:rPr>
            <w:webHidden/>
          </w:rPr>
        </w:r>
        <w:r w:rsidR="00195009">
          <w:rPr>
            <w:webHidden/>
          </w:rPr>
          <w:fldChar w:fldCharType="separate"/>
        </w:r>
        <w:r w:rsidR="00944CBC">
          <w:rPr>
            <w:webHidden/>
          </w:rPr>
          <w:t>8</w:t>
        </w:r>
        <w:r w:rsidR="00195009">
          <w:rPr>
            <w:webHidden/>
          </w:rPr>
          <w:fldChar w:fldCharType="end"/>
        </w:r>
      </w:hyperlink>
    </w:p>
    <w:p w14:paraId="110B39A1" w14:textId="51DC1DDF"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74" w:history="1">
        <w:r w:rsidR="00195009" w:rsidRPr="008A6494">
          <w:rPr>
            <w:rStyle w:val="Hyperlink"/>
          </w:rPr>
          <w:t>2.4</w:t>
        </w:r>
        <w:r w:rsidR="00195009">
          <w:rPr>
            <w:rFonts w:asciiTheme="minorHAnsi" w:eastAsiaTheme="minorEastAsia" w:hAnsiTheme="minorHAnsi" w:cstheme="minorBidi"/>
            <w:szCs w:val="22"/>
          </w:rPr>
          <w:tab/>
        </w:r>
        <w:r w:rsidR="00195009" w:rsidRPr="008A6494">
          <w:rPr>
            <w:rStyle w:val="Hyperlink"/>
          </w:rPr>
          <w:t>NHCDC Data Quality Statement</w:t>
        </w:r>
        <w:r w:rsidR="00195009">
          <w:rPr>
            <w:webHidden/>
          </w:rPr>
          <w:tab/>
        </w:r>
        <w:r w:rsidR="00195009">
          <w:rPr>
            <w:webHidden/>
          </w:rPr>
          <w:fldChar w:fldCharType="begin"/>
        </w:r>
        <w:r w:rsidR="00195009">
          <w:rPr>
            <w:webHidden/>
          </w:rPr>
          <w:instrText xml:space="preserve"> PAGEREF _Toc103933974 \h </w:instrText>
        </w:r>
        <w:r w:rsidR="00195009">
          <w:rPr>
            <w:webHidden/>
          </w:rPr>
        </w:r>
        <w:r w:rsidR="00195009">
          <w:rPr>
            <w:webHidden/>
          </w:rPr>
          <w:fldChar w:fldCharType="separate"/>
        </w:r>
        <w:r w:rsidR="00944CBC">
          <w:rPr>
            <w:webHidden/>
          </w:rPr>
          <w:t>9</w:t>
        </w:r>
        <w:r w:rsidR="00195009">
          <w:rPr>
            <w:webHidden/>
          </w:rPr>
          <w:fldChar w:fldCharType="end"/>
        </w:r>
      </w:hyperlink>
    </w:p>
    <w:p w14:paraId="76AE878A" w14:textId="4FD99F03"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75" w:history="1">
        <w:r w:rsidR="00195009" w:rsidRPr="008A6494">
          <w:rPr>
            <w:rStyle w:val="Hyperlink"/>
          </w:rPr>
          <w:t>2.5</w:t>
        </w:r>
        <w:r w:rsidR="00195009">
          <w:rPr>
            <w:rFonts w:asciiTheme="minorHAnsi" w:eastAsiaTheme="minorEastAsia" w:hAnsiTheme="minorHAnsi" w:cstheme="minorBidi"/>
            <w:szCs w:val="22"/>
          </w:rPr>
          <w:tab/>
        </w:r>
        <w:r w:rsidR="00195009" w:rsidRPr="008A6494">
          <w:rPr>
            <w:rStyle w:val="Hyperlink"/>
          </w:rPr>
          <w:t>Data compliance process</w:t>
        </w:r>
        <w:r w:rsidR="00195009">
          <w:rPr>
            <w:webHidden/>
          </w:rPr>
          <w:tab/>
        </w:r>
        <w:r w:rsidR="00195009">
          <w:rPr>
            <w:webHidden/>
          </w:rPr>
          <w:fldChar w:fldCharType="begin"/>
        </w:r>
        <w:r w:rsidR="00195009">
          <w:rPr>
            <w:webHidden/>
          </w:rPr>
          <w:instrText xml:space="preserve"> PAGEREF _Toc103933975 \h </w:instrText>
        </w:r>
        <w:r w:rsidR="00195009">
          <w:rPr>
            <w:webHidden/>
          </w:rPr>
        </w:r>
        <w:r w:rsidR="00195009">
          <w:rPr>
            <w:webHidden/>
          </w:rPr>
          <w:fldChar w:fldCharType="separate"/>
        </w:r>
        <w:r w:rsidR="00944CBC">
          <w:rPr>
            <w:webHidden/>
          </w:rPr>
          <w:t>9</w:t>
        </w:r>
        <w:r w:rsidR="00195009">
          <w:rPr>
            <w:webHidden/>
          </w:rPr>
          <w:fldChar w:fldCharType="end"/>
        </w:r>
      </w:hyperlink>
    </w:p>
    <w:p w14:paraId="20929FDD" w14:textId="2AED5F89" w:rsidR="00195009" w:rsidRDefault="00314875" w:rsidP="00944CBC">
      <w:pPr>
        <w:pStyle w:val="TOC2"/>
        <w:tabs>
          <w:tab w:val="clear" w:pos="7643"/>
          <w:tab w:val="right" w:leader="dot" w:pos="8222"/>
        </w:tabs>
        <w:rPr>
          <w:rFonts w:asciiTheme="minorHAnsi" w:eastAsiaTheme="minorEastAsia" w:hAnsiTheme="minorHAnsi" w:cstheme="minorBidi"/>
          <w:szCs w:val="22"/>
        </w:rPr>
      </w:pPr>
      <w:hyperlink w:anchor="_Toc103933976" w:history="1">
        <w:r w:rsidR="00195009" w:rsidRPr="008A6494">
          <w:rPr>
            <w:rStyle w:val="Hyperlink"/>
          </w:rPr>
          <w:t>2.6</w:t>
        </w:r>
        <w:r w:rsidR="00195009">
          <w:rPr>
            <w:rFonts w:asciiTheme="minorHAnsi" w:eastAsiaTheme="minorEastAsia" w:hAnsiTheme="minorHAnsi" w:cstheme="minorBidi"/>
            <w:szCs w:val="22"/>
          </w:rPr>
          <w:tab/>
        </w:r>
        <w:r w:rsidR="00195009" w:rsidRPr="008A6494">
          <w:rPr>
            <w:rStyle w:val="Hyperlink"/>
          </w:rPr>
          <w:t>Data compliance process findings</w:t>
        </w:r>
        <w:r w:rsidR="00195009">
          <w:rPr>
            <w:webHidden/>
          </w:rPr>
          <w:tab/>
        </w:r>
        <w:r w:rsidR="00195009">
          <w:rPr>
            <w:webHidden/>
          </w:rPr>
          <w:fldChar w:fldCharType="begin"/>
        </w:r>
        <w:r w:rsidR="00195009">
          <w:rPr>
            <w:webHidden/>
          </w:rPr>
          <w:instrText xml:space="preserve"> PAGEREF _Toc103933976 \h </w:instrText>
        </w:r>
        <w:r w:rsidR="00195009">
          <w:rPr>
            <w:webHidden/>
          </w:rPr>
        </w:r>
        <w:r w:rsidR="00195009">
          <w:rPr>
            <w:webHidden/>
          </w:rPr>
          <w:fldChar w:fldCharType="separate"/>
        </w:r>
        <w:r w:rsidR="00944CBC">
          <w:rPr>
            <w:webHidden/>
          </w:rPr>
          <w:t>11</w:t>
        </w:r>
        <w:r w:rsidR="00195009">
          <w:rPr>
            <w:webHidden/>
          </w:rPr>
          <w:fldChar w:fldCharType="end"/>
        </w:r>
      </w:hyperlink>
    </w:p>
    <w:p w14:paraId="2DCA4555" w14:textId="36DD9420" w:rsidR="00FB2F25" w:rsidRPr="003B2A48" w:rsidRDefault="004237F7" w:rsidP="004237F7">
      <w:r w:rsidRPr="004237F7">
        <w:fldChar w:fldCharType="end"/>
      </w:r>
      <w:r w:rsidR="00FB2F25" w:rsidRPr="00F4483D">
        <w:br w:type="page"/>
      </w:r>
    </w:p>
    <w:p w14:paraId="43D28E9E" w14:textId="5F76D944" w:rsidR="00FB2F25" w:rsidRPr="009F6528" w:rsidRDefault="00274314" w:rsidP="009F6599">
      <w:pPr>
        <w:pStyle w:val="Heading1"/>
        <w:numPr>
          <w:ilvl w:val="0"/>
          <w:numId w:val="0"/>
        </w:numPr>
      </w:pPr>
      <w:bookmarkStart w:id="8" w:name="_Toc103933964"/>
      <w:r>
        <w:lastRenderedPageBreak/>
        <w:t>Acronyms and abbreviations</w:t>
      </w:r>
      <w:bookmarkEnd w:id="8"/>
    </w:p>
    <w:tbl>
      <w:tblPr>
        <w:tblW w:w="9057" w:type="dxa"/>
        <w:tblLook w:val="01E0" w:firstRow="1" w:lastRow="1" w:firstColumn="1" w:lastColumn="1" w:noHBand="0" w:noVBand="0"/>
      </w:tblPr>
      <w:tblGrid>
        <w:gridCol w:w="2127"/>
        <w:gridCol w:w="6930"/>
      </w:tblGrid>
      <w:tr w:rsidR="00FB2F25" w14:paraId="481D4E6B" w14:textId="77777777" w:rsidTr="00794BEA">
        <w:tc>
          <w:tcPr>
            <w:tcW w:w="2127" w:type="dxa"/>
            <w:hideMark/>
          </w:tcPr>
          <w:p w14:paraId="7FB61AD6" w14:textId="77777777" w:rsidR="00FB2F25" w:rsidRPr="00540620" w:rsidRDefault="00FB2F25" w:rsidP="00304D14">
            <w:pPr>
              <w:rPr>
                <w:b/>
                <w:szCs w:val="22"/>
                <w:lang w:eastAsia="en-US"/>
              </w:rPr>
            </w:pPr>
            <w:r w:rsidRPr="00540620">
              <w:rPr>
                <w:b/>
              </w:rPr>
              <w:t>ABF</w:t>
            </w:r>
          </w:p>
        </w:tc>
        <w:tc>
          <w:tcPr>
            <w:tcW w:w="6930" w:type="dxa"/>
            <w:hideMark/>
          </w:tcPr>
          <w:p w14:paraId="083082F9" w14:textId="0A3BBA02" w:rsidR="00FB2F25" w:rsidRDefault="00FB2F25">
            <w:pPr>
              <w:rPr>
                <w:szCs w:val="22"/>
                <w:lang w:eastAsia="en-US"/>
              </w:rPr>
            </w:pPr>
            <w:r>
              <w:t xml:space="preserve">Activity </w:t>
            </w:r>
            <w:r w:rsidR="00260562">
              <w:t>based funding</w:t>
            </w:r>
          </w:p>
        </w:tc>
      </w:tr>
      <w:tr w:rsidR="0032792C" w14:paraId="2CB415E1" w14:textId="77777777" w:rsidTr="00794BEA">
        <w:tc>
          <w:tcPr>
            <w:tcW w:w="2127" w:type="dxa"/>
          </w:tcPr>
          <w:p w14:paraId="27562F0C" w14:textId="77777777" w:rsidR="0032792C" w:rsidRPr="00540620" w:rsidRDefault="0032792C" w:rsidP="00304D14">
            <w:pPr>
              <w:rPr>
                <w:b/>
              </w:rPr>
            </w:pPr>
            <w:r>
              <w:rPr>
                <w:b/>
              </w:rPr>
              <w:t>AHMAC</w:t>
            </w:r>
          </w:p>
        </w:tc>
        <w:tc>
          <w:tcPr>
            <w:tcW w:w="6930" w:type="dxa"/>
          </w:tcPr>
          <w:p w14:paraId="3057A079" w14:textId="2F1E2D37" w:rsidR="0032792C" w:rsidRPr="00323DCB" w:rsidRDefault="0032792C" w:rsidP="00304D14">
            <w:pPr>
              <w:rPr>
                <w:vertAlign w:val="superscript"/>
              </w:rPr>
            </w:pPr>
            <w:r>
              <w:rPr>
                <w:rFonts w:cs="Arial"/>
              </w:rPr>
              <w:t>Australian Health Ministers’ Advisory Council</w:t>
            </w:r>
            <w:r w:rsidR="00404606">
              <w:rPr>
                <w:rStyle w:val="FootnoteReference"/>
                <w:rFonts w:cs="Arial"/>
              </w:rPr>
              <w:footnoteReference w:id="2"/>
            </w:r>
          </w:p>
        </w:tc>
      </w:tr>
      <w:tr w:rsidR="0032792C" w14:paraId="60006690" w14:textId="77777777" w:rsidTr="00794BEA">
        <w:tc>
          <w:tcPr>
            <w:tcW w:w="2127" w:type="dxa"/>
          </w:tcPr>
          <w:p w14:paraId="13B81D00" w14:textId="77777777" w:rsidR="0032792C" w:rsidRPr="00540620" w:rsidRDefault="0032792C" w:rsidP="00304D14">
            <w:pPr>
              <w:rPr>
                <w:b/>
              </w:rPr>
            </w:pPr>
            <w:r>
              <w:rPr>
                <w:b/>
              </w:rPr>
              <w:t>CEO</w:t>
            </w:r>
          </w:p>
        </w:tc>
        <w:tc>
          <w:tcPr>
            <w:tcW w:w="6930" w:type="dxa"/>
          </w:tcPr>
          <w:p w14:paraId="193D4EB0" w14:textId="6FDD35C3" w:rsidR="0032792C" w:rsidRDefault="0032792C">
            <w:r>
              <w:t>Chief Executive Officer</w:t>
            </w:r>
          </w:p>
        </w:tc>
      </w:tr>
      <w:tr w:rsidR="00FB2F25" w14:paraId="659432F7" w14:textId="77777777" w:rsidTr="00794BEA">
        <w:tc>
          <w:tcPr>
            <w:tcW w:w="2127" w:type="dxa"/>
            <w:hideMark/>
          </w:tcPr>
          <w:p w14:paraId="0A6B9E19" w14:textId="77777777" w:rsidR="00FB2F25" w:rsidRPr="00540620" w:rsidRDefault="00FB2F25" w:rsidP="00304D14">
            <w:pPr>
              <w:rPr>
                <w:b/>
                <w:szCs w:val="22"/>
                <w:lang w:eastAsia="en-US"/>
              </w:rPr>
            </w:pPr>
            <w:r w:rsidRPr="00540620">
              <w:rPr>
                <w:b/>
              </w:rPr>
              <w:t>IHPA</w:t>
            </w:r>
          </w:p>
        </w:tc>
        <w:tc>
          <w:tcPr>
            <w:tcW w:w="6930" w:type="dxa"/>
            <w:hideMark/>
          </w:tcPr>
          <w:p w14:paraId="5D9CDB41" w14:textId="77777777" w:rsidR="00FB2F25" w:rsidRDefault="00FB2F25" w:rsidP="00304D14">
            <w:pPr>
              <w:rPr>
                <w:szCs w:val="22"/>
                <w:lang w:eastAsia="en-US"/>
              </w:rPr>
            </w:pPr>
            <w:r>
              <w:t>Independent Hospital Pricing Authority</w:t>
            </w:r>
          </w:p>
        </w:tc>
      </w:tr>
      <w:tr w:rsidR="00FB2F25" w14:paraId="5880EDBA" w14:textId="77777777" w:rsidTr="00794BEA">
        <w:tc>
          <w:tcPr>
            <w:tcW w:w="2127" w:type="dxa"/>
            <w:hideMark/>
          </w:tcPr>
          <w:p w14:paraId="01740C38" w14:textId="77777777" w:rsidR="00FB2F25" w:rsidRPr="00540620" w:rsidRDefault="00FB2F25" w:rsidP="00304D14">
            <w:pPr>
              <w:rPr>
                <w:b/>
                <w:szCs w:val="22"/>
                <w:lang w:eastAsia="en-US"/>
              </w:rPr>
            </w:pPr>
            <w:r w:rsidRPr="00540620">
              <w:rPr>
                <w:b/>
              </w:rPr>
              <w:t>LHN</w:t>
            </w:r>
          </w:p>
        </w:tc>
        <w:tc>
          <w:tcPr>
            <w:tcW w:w="6930" w:type="dxa"/>
            <w:hideMark/>
          </w:tcPr>
          <w:p w14:paraId="5C0575B1" w14:textId="0DC672BF" w:rsidR="00FB2F25" w:rsidRDefault="00FB2F25">
            <w:pPr>
              <w:rPr>
                <w:szCs w:val="22"/>
                <w:lang w:eastAsia="en-US"/>
              </w:rPr>
            </w:pPr>
            <w:r>
              <w:t xml:space="preserve">Local </w:t>
            </w:r>
            <w:r w:rsidR="00323DCB">
              <w:t>h</w:t>
            </w:r>
            <w:r>
              <w:t xml:space="preserve">ospital </w:t>
            </w:r>
            <w:r w:rsidR="00323DCB">
              <w:t>n</w:t>
            </w:r>
            <w:r>
              <w:t>etwork</w:t>
            </w:r>
          </w:p>
        </w:tc>
      </w:tr>
      <w:tr w:rsidR="00D51313" w14:paraId="136BACA4" w14:textId="77777777" w:rsidTr="00794BEA">
        <w:tc>
          <w:tcPr>
            <w:tcW w:w="2127" w:type="dxa"/>
          </w:tcPr>
          <w:p w14:paraId="652CE97C" w14:textId="77777777" w:rsidR="00D51313" w:rsidRPr="00540620" w:rsidRDefault="00D51313" w:rsidP="00304D14">
            <w:pPr>
              <w:rPr>
                <w:b/>
              </w:rPr>
            </w:pPr>
            <w:r>
              <w:rPr>
                <w:b/>
              </w:rPr>
              <w:t>NBEDS</w:t>
            </w:r>
          </w:p>
        </w:tc>
        <w:tc>
          <w:tcPr>
            <w:tcW w:w="6930" w:type="dxa"/>
          </w:tcPr>
          <w:p w14:paraId="07062FFD" w14:textId="77777777" w:rsidR="00D51313" w:rsidRDefault="00D51313" w:rsidP="00304D14">
            <w:r w:rsidRPr="00D51313">
              <w:t>National Best Endeavours Data Set</w:t>
            </w:r>
          </w:p>
        </w:tc>
      </w:tr>
      <w:tr w:rsidR="00FB2F25" w14:paraId="39C65B65" w14:textId="77777777" w:rsidTr="00794BEA">
        <w:tc>
          <w:tcPr>
            <w:tcW w:w="2127" w:type="dxa"/>
            <w:hideMark/>
          </w:tcPr>
          <w:p w14:paraId="24CADE1B" w14:textId="77777777" w:rsidR="00FB2F25" w:rsidRPr="00540620" w:rsidRDefault="00FB2F25" w:rsidP="00304D14">
            <w:pPr>
              <w:rPr>
                <w:b/>
                <w:szCs w:val="22"/>
                <w:lang w:eastAsia="en-US"/>
              </w:rPr>
            </w:pPr>
            <w:r w:rsidRPr="00540620">
              <w:rPr>
                <w:b/>
              </w:rPr>
              <w:t>NEC</w:t>
            </w:r>
          </w:p>
        </w:tc>
        <w:tc>
          <w:tcPr>
            <w:tcW w:w="6930" w:type="dxa"/>
            <w:hideMark/>
          </w:tcPr>
          <w:p w14:paraId="15B77313" w14:textId="2AB857DD" w:rsidR="00FB2F25" w:rsidRDefault="00FB2F25" w:rsidP="00A1632A">
            <w:pPr>
              <w:rPr>
                <w:szCs w:val="22"/>
                <w:lang w:eastAsia="en-US"/>
              </w:rPr>
            </w:pPr>
            <w:r>
              <w:t xml:space="preserve">National </w:t>
            </w:r>
            <w:r w:rsidR="00A1632A">
              <w:t>e</w:t>
            </w:r>
            <w:r>
              <w:t xml:space="preserve">fficient </w:t>
            </w:r>
            <w:r w:rsidR="00A1632A">
              <w:t>c</w:t>
            </w:r>
            <w:r>
              <w:t>ost</w:t>
            </w:r>
          </w:p>
        </w:tc>
      </w:tr>
      <w:tr w:rsidR="00FB2F25" w14:paraId="0E092A32" w14:textId="77777777" w:rsidTr="00794BEA">
        <w:tc>
          <w:tcPr>
            <w:tcW w:w="2127" w:type="dxa"/>
            <w:hideMark/>
          </w:tcPr>
          <w:p w14:paraId="09AD1413" w14:textId="77777777" w:rsidR="00FB2F25" w:rsidRPr="00540620" w:rsidRDefault="00FB2F25" w:rsidP="00304D14">
            <w:pPr>
              <w:rPr>
                <w:b/>
                <w:szCs w:val="22"/>
                <w:lang w:eastAsia="en-US"/>
              </w:rPr>
            </w:pPr>
            <w:r w:rsidRPr="00540620">
              <w:rPr>
                <w:b/>
              </w:rPr>
              <w:t>NEP</w:t>
            </w:r>
          </w:p>
        </w:tc>
        <w:tc>
          <w:tcPr>
            <w:tcW w:w="6930" w:type="dxa"/>
            <w:hideMark/>
          </w:tcPr>
          <w:p w14:paraId="4FE7E356" w14:textId="2FABF5F8" w:rsidR="00FB2F25" w:rsidRDefault="00FB2F25" w:rsidP="00A1632A">
            <w:pPr>
              <w:rPr>
                <w:szCs w:val="22"/>
                <w:lang w:eastAsia="en-US"/>
              </w:rPr>
            </w:pPr>
            <w:r>
              <w:t xml:space="preserve">National </w:t>
            </w:r>
            <w:r w:rsidR="00A1632A">
              <w:t>efficient price</w:t>
            </w:r>
          </w:p>
        </w:tc>
      </w:tr>
      <w:tr w:rsidR="00B51360" w14:paraId="03014D40" w14:textId="77777777" w:rsidTr="00794BEA">
        <w:tc>
          <w:tcPr>
            <w:tcW w:w="2127" w:type="dxa"/>
          </w:tcPr>
          <w:p w14:paraId="10A46C60" w14:textId="77777777" w:rsidR="00B51360" w:rsidRPr="00540620" w:rsidRDefault="00B51360" w:rsidP="00304D14">
            <w:pPr>
              <w:rPr>
                <w:b/>
              </w:rPr>
            </w:pPr>
            <w:r>
              <w:rPr>
                <w:b/>
              </w:rPr>
              <w:t>NHCDC</w:t>
            </w:r>
          </w:p>
        </w:tc>
        <w:tc>
          <w:tcPr>
            <w:tcW w:w="6930" w:type="dxa"/>
          </w:tcPr>
          <w:p w14:paraId="0EDE58CC" w14:textId="77777777" w:rsidR="00B51360" w:rsidRDefault="00B51360" w:rsidP="00304D14">
            <w:r>
              <w:t>National Hospital Cost Data Collection</w:t>
            </w:r>
          </w:p>
        </w:tc>
      </w:tr>
      <w:tr w:rsidR="00FB2F25" w14:paraId="594030E9" w14:textId="77777777" w:rsidTr="00794BEA">
        <w:tc>
          <w:tcPr>
            <w:tcW w:w="2127" w:type="dxa"/>
            <w:hideMark/>
          </w:tcPr>
          <w:p w14:paraId="63FD3A22" w14:textId="77777777" w:rsidR="00FB2F25" w:rsidRPr="00540620" w:rsidRDefault="00FB2F25" w:rsidP="00304D14">
            <w:pPr>
              <w:rPr>
                <w:b/>
                <w:szCs w:val="22"/>
                <w:lang w:eastAsia="en-US"/>
              </w:rPr>
            </w:pPr>
            <w:r w:rsidRPr="00540620">
              <w:rPr>
                <w:b/>
              </w:rPr>
              <w:t>NHRA</w:t>
            </w:r>
          </w:p>
        </w:tc>
        <w:tc>
          <w:tcPr>
            <w:tcW w:w="6930" w:type="dxa"/>
            <w:hideMark/>
          </w:tcPr>
          <w:p w14:paraId="04AC18CD" w14:textId="77777777" w:rsidR="00FB2F25" w:rsidRDefault="00FB2F25" w:rsidP="00304D14">
            <w:pPr>
              <w:rPr>
                <w:szCs w:val="22"/>
                <w:lang w:eastAsia="en-US"/>
              </w:rPr>
            </w:pPr>
            <w:r>
              <w:t>National Health Reform Agreement</w:t>
            </w:r>
          </w:p>
        </w:tc>
      </w:tr>
      <w:tr w:rsidR="003A3E1A" w14:paraId="705EFA6C" w14:textId="77777777" w:rsidTr="00794BEA">
        <w:tc>
          <w:tcPr>
            <w:tcW w:w="2127" w:type="dxa"/>
          </w:tcPr>
          <w:p w14:paraId="0EA13C94" w14:textId="77777777" w:rsidR="003A3E1A" w:rsidRPr="00540620" w:rsidRDefault="003A3E1A" w:rsidP="00304D14">
            <w:pPr>
              <w:rPr>
                <w:b/>
              </w:rPr>
            </w:pPr>
            <w:r>
              <w:rPr>
                <w:b/>
              </w:rPr>
              <w:t>NWAU</w:t>
            </w:r>
          </w:p>
        </w:tc>
        <w:tc>
          <w:tcPr>
            <w:tcW w:w="6930" w:type="dxa"/>
          </w:tcPr>
          <w:p w14:paraId="5A9DBCC0" w14:textId="667692D6" w:rsidR="003A3E1A" w:rsidRDefault="003A3E1A" w:rsidP="00A1632A">
            <w:r>
              <w:rPr>
                <w:rFonts w:cs="Arial"/>
              </w:rPr>
              <w:t xml:space="preserve">National </w:t>
            </w:r>
            <w:r w:rsidR="00A1632A">
              <w:rPr>
                <w:rFonts w:cs="Arial"/>
              </w:rPr>
              <w:t>weighted activity unit</w:t>
            </w:r>
          </w:p>
        </w:tc>
      </w:tr>
      <w:tr w:rsidR="00FB2F25" w14:paraId="7E90D5B2" w14:textId="77777777" w:rsidTr="00794BEA">
        <w:tc>
          <w:tcPr>
            <w:tcW w:w="2127" w:type="dxa"/>
          </w:tcPr>
          <w:p w14:paraId="06B9F7ED" w14:textId="77777777" w:rsidR="00FB2F25" w:rsidRPr="00540620" w:rsidRDefault="00FB2F25" w:rsidP="00304D14">
            <w:pPr>
              <w:rPr>
                <w:b/>
              </w:rPr>
            </w:pPr>
            <w:r>
              <w:rPr>
                <w:b/>
              </w:rPr>
              <w:t>SDMS</w:t>
            </w:r>
          </w:p>
        </w:tc>
        <w:tc>
          <w:tcPr>
            <w:tcW w:w="6930" w:type="dxa"/>
          </w:tcPr>
          <w:p w14:paraId="2768E7C9" w14:textId="77777777" w:rsidR="00FB2F25" w:rsidRDefault="00FB2F25" w:rsidP="00304D14">
            <w:r w:rsidRPr="00965033">
              <w:t>Secure Data Management System</w:t>
            </w:r>
          </w:p>
        </w:tc>
      </w:tr>
      <w:tr w:rsidR="00FB2F25" w14:paraId="30053872" w14:textId="77777777" w:rsidTr="00794BEA">
        <w:tc>
          <w:tcPr>
            <w:tcW w:w="2127" w:type="dxa"/>
          </w:tcPr>
          <w:p w14:paraId="1562F90A" w14:textId="77777777" w:rsidR="00FB2F25" w:rsidRPr="00540620" w:rsidRDefault="00FB2F25" w:rsidP="00304D14">
            <w:pPr>
              <w:rPr>
                <w:b/>
              </w:rPr>
            </w:pPr>
            <w:r>
              <w:rPr>
                <w:b/>
              </w:rPr>
              <w:t>The Act</w:t>
            </w:r>
          </w:p>
        </w:tc>
        <w:tc>
          <w:tcPr>
            <w:tcW w:w="6930" w:type="dxa"/>
          </w:tcPr>
          <w:p w14:paraId="10F8B35A" w14:textId="77777777" w:rsidR="00FB2F25" w:rsidRPr="009F6528" w:rsidRDefault="00FB2F25" w:rsidP="00304D14">
            <w:pPr>
              <w:rPr>
                <w:i/>
              </w:rPr>
            </w:pPr>
            <w:r>
              <w:rPr>
                <w:i/>
              </w:rPr>
              <w:t>National Health Reform Act 2011</w:t>
            </w:r>
          </w:p>
        </w:tc>
      </w:tr>
      <w:tr w:rsidR="00FB2F25" w14:paraId="1AB702E9" w14:textId="77777777" w:rsidTr="00794BEA">
        <w:tc>
          <w:tcPr>
            <w:tcW w:w="2127" w:type="dxa"/>
          </w:tcPr>
          <w:p w14:paraId="53534275" w14:textId="7461BCD8" w:rsidR="00347976" w:rsidRDefault="00B87567" w:rsidP="00794BEA">
            <w:pPr>
              <w:rPr>
                <w:b/>
              </w:rPr>
            </w:pPr>
            <w:r>
              <w:rPr>
                <w:b/>
              </w:rPr>
              <w:t xml:space="preserve">The </w:t>
            </w:r>
            <w:r w:rsidR="00347976">
              <w:rPr>
                <w:b/>
              </w:rPr>
              <w:t xml:space="preserve">Addendum </w:t>
            </w:r>
          </w:p>
        </w:tc>
        <w:tc>
          <w:tcPr>
            <w:tcW w:w="6930" w:type="dxa"/>
          </w:tcPr>
          <w:p w14:paraId="3C296290" w14:textId="2176AEAD" w:rsidR="00347976" w:rsidRPr="00A47A8F" w:rsidRDefault="00347976" w:rsidP="003B5DEC">
            <w:r w:rsidRPr="00347976">
              <w:t>Addendum to the National Health Reform Agreement 20</w:t>
            </w:r>
            <w:r w:rsidR="003B5DEC">
              <w:t>20</w:t>
            </w:r>
            <w:r w:rsidRPr="00347976">
              <w:t>–202</w:t>
            </w:r>
            <w:r w:rsidR="003B5DEC">
              <w:t>5</w:t>
            </w:r>
          </w:p>
        </w:tc>
      </w:tr>
      <w:tr w:rsidR="005016EF" w14:paraId="7F65EE3D" w14:textId="77777777" w:rsidTr="00794BEA">
        <w:tc>
          <w:tcPr>
            <w:tcW w:w="2127" w:type="dxa"/>
          </w:tcPr>
          <w:p w14:paraId="79F75AE4" w14:textId="7AC4AC9F" w:rsidR="00A01EC6" w:rsidRDefault="005016EF" w:rsidP="00304D14">
            <w:pPr>
              <w:rPr>
                <w:b/>
              </w:rPr>
            </w:pPr>
            <w:r>
              <w:rPr>
                <w:b/>
              </w:rPr>
              <w:t>The Administrator</w:t>
            </w:r>
          </w:p>
        </w:tc>
        <w:tc>
          <w:tcPr>
            <w:tcW w:w="6930" w:type="dxa"/>
          </w:tcPr>
          <w:p w14:paraId="2166CA27" w14:textId="661F3FDA" w:rsidR="00A01EC6" w:rsidRDefault="00413C75" w:rsidP="00954723">
            <w:r>
              <w:t xml:space="preserve">The Administrator of the </w:t>
            </w:r>
            <w:r w:rsidR="005016EF">
              <w:t>National Health Funding Pool</w:t>
            </w:r>
          </w:p>
        </w:tc>
      </w:tr>
      <w:tr w:rsidR="00954723" w14:paraId="169428A9" w14:textId="77777777" w:rsidTr="00794BEA">
        <w:tc>
          <w:tcPr>
            <w:tcW w:w="2127" w:type="dxa"/>
          </w:tcPr>
          <w:p w14:paraId="74EF7AF9" w14:textId="13B1F431" w:rsidR="00954723" w:rsidRDefault="00954723" w:rsidP="00304D14">
            <w:pPr>
              <w:rPr>
                <w:b/>
              </w:rPr>
            </w:pPr>
            <w:r>
              <w:rPr>
                <w:b/>
              </w:rPr>
              <w:t>This Policy</w:t>
            </w:r>
          </w:p>
        </w:tc>
        <w:tc>
          <w:tcPr>
            <w:tcW w:w="6930" w:type="dxa"/>
          </w:tcPr>
          <w:p w14:paraId="224D9D31" w14:textId="2A2F7C6A" w:rsidR="00954723" w:rsidRDefault="00954723" w:rsidP="00304D14">
            <w:r>
              <w:t>Data Compliance Policy</w:t>
            </w:r>
          </w:p>
        </w:tc>
      </w:tr>
    </w:tbl>
    <w:p w14:paraId="0471A395" w14:textId="5E2C2D79" w:rsidR="00FB2F25" w:rsidRPr="00B859AD" w:rsidRDefault="00FB2F25" w:rsidP="00B859AD">
      <w:r w:rsidRPr="00F4483D">
        <w:br w:type="page"/>
      </w:r>
    </w:p>
    <w:p w14:paraId="169D43B4" w14:textId="1812CC3F" w:rsidR="00FB2F25" w:rsidRPr="00F4483D" w:rsidRDefault="00FB2F25" w:rsidP="009F6599">
      <w:pPr>
        <w:pStyle w:val="Heading1"/>
      </w:pPr>
      <w:bookmarkStart w:id="9" w:name="_Toc392756957"/>
      <w:bookmarkStart w:id="10" w:name="_Toc362456597"/>
      <w:bookmarkStart w:id="11" w:name="_Toc42878710"/>
      <w:bookmarkStart w:id="12" w:name="_Ref97134759"/>
      <w:bookmarkStart w:id="13" w:name="_Ref97134774"/>
      <w:bookmarkStart w:id="14" w:name="_Toc103933965"/>
      <w:r w:rsidRPr="00F4483D">
        <w:lastRenderedPageBreak/>
        <w:t>Introduction</w:t>
      </w:r>
      <w:bookmarkEnd w:id="9"/>
      <w:bookmarkEnd w:id="10"/>
      <w:bookmarkEnd w:id="11"/>
      <w:bookmarkEnd w:id="12"/>
      <w:bookmarkEnd w:id="13"/>
      <w:bookmarkEnd w:id="14"/>
    </w:p>
    <w:p w14:paraId="2A3B0930" w14:textId="1C9B0F68" w:rsidR="00FB2F25" w:rsidRPr="0094680A" w:rsidRDefault="00FB2F25" w:rsidP="0094680A">
      <w:pPr>
        <w:pStyle w:val="Heading2"/>
      </w:pPr>
      <w:bookmarkStart w:id="15" w:name="_Toc316033920"/>
      <w:bookmarkStart w:id="16" w:name="_Toc324860393"/>
      <w:bookmarkStart w:id="17" w:name="_Toc358988881"/>
      <w:bookmarkStart w:id="18" w:name="_Toc392756958"/>
      <w:bookmarkStart w:id="19" w:name="_Toc362456598"/>
      <w:bookmarkStart w:id="20" w:name="_Toc42878711"/>
      <w:bookmarkStart w:id="21" w:name="_Toc103933966"/>
      <w:r w:rsidRPr="0094680A">
        <w:t>Context</w:t>
      </w:r>
      <w:bookmarkEnd w:id="15"/>
      <w:bookmarkEnd w:id="16"/>
      <w:bookmarkEnd w:id="17"/>
      <w:bookmarkEnd w:id="18"/>
      <w:bookmarkEnd w:id="19"/>
      <w:bookmarkEnd w:id="20"/>
      <w:bookmarkEnd w:id="21"/>
    </w:p>
    <w:p w14:paraId="35DC4424" w14:textId="6168D039" w:rsidR="00FB2F25" w:rsidRPr="009F6528" w:rsidRDefault="00FB2F25" w:rsidP="00FB2F25">
      <w:pPr>
        <w:snapToGrid w:val="0"/>
        <w:spacing w:before="200" w:after="200" w:line="264" w:lineRule="auto"/>
        <w:ind w:right="-28"/>
        <w:rPr>
          <w:rStyle w:val="Emphasis"/>
          <w:rFonts w:eastAsiaTheme="majorEastAsia" w:cstheme="minorHAnsi"/>
          <w:i w:val="0"/>
          <w:lang w:val="en"/>
        </w:rPr>
      </w:pPr>
      <w:bookmarkStart w:id="22" w:name="_Toc310862818"/>
      <w:bookmarkStart w:id="23" w:name="_Toc316033921"/>
      <w:bookmarkStart w:id="24" w:name="_Toc324860394"/>
      <w:bookmarkStart w:id="25" w:name="_Toc358988882"/>
      <w:bookmarkStart w:id="26" w:name="_Toc392756959"/>
      <w:bookmarkStart w:id="27" w:name="_Toc362456599"/>
      <w:r w:rsidRPr="00C9157F">
        <w:rPr>
          <w:rFonts w:cstheme="minorHAnsi"/>
        </w:rPr>
        <w:t xml:space="preserve">The Independent Hospital Pricing Authority (IHPA) </w:t>
      </w:r>
      <w:r>
        <w:rPr>
          <w:rFonts w:cstheme="minorHAnsi"/>
        </w:rPr>
        <w:t xml:space="preserve">is an independent government agency provided for through </w:t>
      </w:r>
      <w:r w:rsidRPr="00613295">
        <w:rPr>
          <w:rFonts w:cstheme="minorHAnsi"/>
        </w:rPr>
        <w:t>the</w:t>
      </w:r>
      <w:r w:rsidRPr="00613295">
        <w:rPr>
          <w:rFonts w:cstheme="minorHAnsi"/>
          <w:i/>
        </w:rPr>
        <w:t xml:space="preserve"> </w:t>
      </w:r>
      <w:hyperlink r:id="rId14" w:history="1">
        <w:r w:rsidRPr="0036468D">
          <w:rPr>
            <w:rFonts w:cstheme="minorHAnsi"/>
            <w:iCs/>
          </w:rPr>
          <w:t>National Health Reform Agreement</w:t>
        </w:r>
      </w:hyperlink>
      <w:r>
        <w:rPr>
          <w:rFonts w:cstheme="minorHAnsi"/>
        </w:rPr>
        <w:t xml:space="preserve"> (NHRA) and established under </w:t>
      </w:r>
      <w:r w:rsidRPr="00C9157F">
        <w:rPr>
          <w:rFonts w:cstheme="minorHAnsi"/>
          <w:lang w:val="en"/>
        </w:rPr>
        <w:t xml:space="preserve">the </w:t>
      </w:r>
      <w:hyperlink r:id="rId15" w:history="1">
        <w:r w:rsidRPr="00FC519E">
          <w:rPr>
            <w:rStyle w:val="Hyperlink"/>
            <w:i/>
            <w:color w:val="008542" w:themeColor="accent2"/>
          </w:rPr>
          <w:t>National Health Reform Act 2011</w:t>
        </w:r>
      </w:hyperlink>
      <w:r w:rsidRPr="00A708C4">
        <w:rPr>
          <w:rStyle w:val="Emphasis"/>
          <w:rFonts w:eastAsiaTheme="majorEastAsia" w:cstheme="minorHAnsi"/>
          <w:lang w:val="en"/>
        </w:rPr>
        <w:t xml:space="preserve"> </w:t>
      </w:r>
      <w:r w:rsidRPr="009F6528">
        <w:rPr>
          <w:rStyle w:val="Emphasis"/>
          <w:rFonts w:eastAsiaTheme="majorEastAsia" w:cstheme="minorHAnsi"/>
          <w:i w:val="0"/>
          <w:lang w:val="en"/>
        </w:rPr>
        <w:t>(the Act</w:t>
      </w:r>
      <w:r w:rsidR="0005567A">
        <w:rPr>
          <w:rStyle w:val="Emphasis"/>
          <w:rFonts w:eastAsiaTheme="majorEastAsia" w:cstheme="minorHAnsi"/>
          <w:i w:val="0"/>
          <w:lang w:val="en"/>
        </w:rPr>
        <w:t>)</w:t>
      </w:r>
      <w:r w:rsidRPr="009F6528">
        <w:rPr>
          <w:rStyle w:val="Emphasis"/>
          <w:rFonts w:eastAsiaTheme="majorEastAsia" w:cstheme="minorHAnsi"/>
          <w:lang w:val="en"/>
        </w:rPr>
        <w:t xml:space="preserve">. </w:t>
      </w:r>
      <w:r w:rsidRPr="009F6528">
        <w:rPr>
          <w:rFonts w:cstheme="minorHAnsi"/>
          <w:lang w:val="en"/>
        </w:rPr>
        <w:t>A major component of these reforms is the implementation of national activity based funding</w:t>
      </w:r>
      <w:r>
        <w:rPr>
          <w:rFonts w:cstheme="minorHAnsi"/>
          <w:lang w:val="en"/>
        </w:rPr>
        <w:t xml:space="preserve"> (ABF)</w:t>
      </w:r>
      <w:r w:rsidRPr="009F6528">
        <w:rPr>
          <w:rFonts w:cstheme="minorHAnsi"/>
          <w:lang w:val="en"/>
        </w:rPr>
        <w:t xml:space="preserve"> for Australian public hospitals</w:t>
      </w:r>
      <w:r w:rsidRPr="009F6528">
        <w:rPr>
          <w:rStyle w:val="Emphasis"/>
          <w:rFonts w:eastAsiaTheme="majorEastAsia" w:cstheme="minorHAnsi"/>
          <w:lang w:val="en"/>
        </w:rPr>
        <w:t>.</w:t>
      </w:r>
    </w:p>
    <w:p w14:paraId="5E2EDA6A" w14:textId="0AA2AFDD" w:rsidR="00FB2F25" w:rsidRDefault="00FB2F25" w:rsidP="00FB2F25">
      <w:pPr>
        <w:snapToGrid w:val="0"/>
        <w:spacing w:before="200" w:after="200" w:line="264" w:lineRule="auto"/>
        <w:ind w:right="-28"/>
        <w:rPr>
          <w:rFonts w:cstheme="minorHAnsi"/>
        </w:rPr>
      </w:pPr>
      <w:r w:rsidRPr="009F6528">
        <w:rPr>
          <w:rStyle w:val="Emphasis"/>
          <w:rFonts w:eastAsiaTheme="majorEastAsia" w:cstheme="minorHAnsi"/>
          <w:i w:val="0"/>
          <w:lang w:val="en"/>
        </w:rPr>
        <w:t>IHPA’s key functions include</w:t>
      </w:r>
      <w:r>
        <w:rPr>
          <w:rStyle w:val="Emphasis"/>
          <w:rFonts w:eastAsiaTheme="majorEastAsia" w:cstheme="minorHAnsi"/>
          <w:lang w:val="en"/>
        </w:rPr>
        <w:t xml:space="preserve"> </w:t>
      </w:r>
      <w:r>
        <w:rPr>
          <w:rFonts w:cstheme="minorHAnsi"/>
        </w:rPr>
        <w:t xml:space="preserve">determining pricing </w:t>
      </w:r>
      <w:r w:rsidRPr="00C9157F">
        <w:rPr>
          <w:rFonts w:cstheme="minorHAnsi"/>
        </w:rPr>
        <w:t>for services funded on an activity basis</w:t>
      </w:r>
      <w:r>
        <w:rPr>
          <w:rFonts w:cstheme="minorHAnsi"/>
        </w:rPr>
        <w:t xml:space="preserve">, through the </w:t>
      </w:r>
      <w:r w:rsidR="00890EFC">
        <w:rPr>
          <w:rFonts w:cstheme="minorHAnsi"/>
        </w:rPr>
        <w:t xml:space="preserve">national efficient price </w:t>
      </w:r>
      <w:r>
        <w:rPr>
          <w:rFonts w:cstheme="minorHAnsi"/>
        </w:rPr>
        <w:t xml:space="preserve">(NEP), and determining the efficient cost for services which are block funded, through the </w:t>
      </w:r>
      <w:r w:rsidR="00890EFC">
        <w:rPr>
          <w:rFonts w:cstheme="minorHAnsi"/>
        </w:rPr>
        <w:t xml:space="preserve">national efficient cost </w:t>
      </w:r>
      <w:r>
        <w:rPr>
          <w:rFonts w:cstheme="minorHAnsi"/>
        </w:rPr>
        <w:t>(NEC).</w:t>
      </w:r>
    </w:p>
    <w:p w14:paraId="467DFD55" w14:textId="53861F97" w:rsidR="00FB2F25" w:rsidRPr="0036468D" w:rsidRDefault="00FB2F25" w:rsidP="00FB2F25">
      <w:pPr>
        <w:spacing w:before="200" w:after="200" w:line="264" w:lineRule="auto"/>
        <w:ind w:right="-28"/>
        <w:rPr>
          <w:rFonts w:cs="Arial"/>
        </w:rPr>
      </w:pPr>
      <w:r w:rsidRPr="00A925AA">
        <w:rPr>
          <w:rFonts w:cs="Arial"/>
          <w:szCs w:val="20"/>
        </w:rPr>
        <w:t xml:space="preserve">In determining the NEP </w:t>
      </w:r>
      <w:r>
        <w:rPr>
          <w:rFonts w:cs="Arial"/>
          <w:szCs w:val="20"/>
        </w:rPr>
        <w:t>and NEC</w:t>
      </w:r>
      <w:r w:rsidRPr="00A925AA">
        <w:rPr>
          <w:rFonts w:cs="Arial"/>
          <w:szCs w:val="20"/>
        </w:rPr>
        <w:t>, IHPA must first specify the classifications, counting rules, data and coding standards</w:t>
      </w:r>
      <w:r>
        <w:rPr>
          <w:rFonts w:cs="Arial"/>
          <w:szCs w:val="20"/>
        </w:rPr>
        <w:t xml:space="preserve"> as well as</w:t>
      </w:r>
      <w:r w:rsidRPr="00A925AA">
        <w:rPr>
          <w:rFonts w:cs="Arial"/>
          <w:szCs w:val="20"/>
        </w:rPr>
        <w:t xml:space="preserve"> the methods and standards for costing data.</w:t>
      </w:r>
      <w:r>
        <w:rPr>
          <w:rFonts w:cs="Arial"/>
          <w:szCs w:val="20"/>
        </w:rPr>
        <w:t xml:space="preserve"> </w:t>
      </w:r>
      <w:r w:rsidRPr="0046557C">
        <w:rPr>
          <w:rFonts w:cs="Arial"/>
        </w:rPr>
        <w:t xml:space="preserve">As the provision of timely, accurate and reliable data is vital to IHPA in determining the NEP, </w:t>
      </w:r>
      <w:r>
        <w:rPr>
          <w:rFonts w:cs="Arial"/>
        </w:rPr>
        <w:t xml:space="preserve">IHPA annually prepares a rolling </w:t>
      </w:r>
      <w:r w:rsidRPr="008B0F85">
        <w:rPr>
          <w:rFonts w:cs="Arial"/>
        </w:rPr>
        <w:t xml:space="preserve">Three Year Data </w:t>
      </w:r>
      <w:r w:rsidR="00890EFC" w:rsidRPr="008B0F85">
        <w:rPr>
          <w:rFonts w:cs="Arial"/>
        </w:rPr>
        <w:t>Plan</w:t>
      </w:r>
      <w:r w:rsidR="00890EFC" w:rsidRPr="008C76BA">
        <w:rPr>
          <w:rFonts w:cs="Arial"/>
          <w:i/>
        </w:rPr>
        <w:t xml:space="preserve">, </w:t>
      </w:r>
      <w:r w:rsidR="00890EFC" w:rsidRPr="00EB3FCD">
        <w:rPr>
          <w:rFonts w:cs="Arial"/>
        </w:rPr>
        <w:t>which</w:t>
      </w:r>
      <w:r w:rsidRPr="0072015C">
        <w:rPr>
          <w:rFonts w:cs="Arial"/>
        </w:rPr>
        <w:t xml:space="preserve"> </w:t>
      </w:r>
      <w:r>
        <w:rPr>
          <w:rFonts w:cs="Arial"/>
        </w:rPr>
        <w:t xml:space="preserve">sets out these </w:t>
      </w:r>
      <w:r w:rsidRPr="0046557C">
        <w:rPr>
          <w:rFonts w:cs="Arial"/>
        </w:rPr>
        <w:t xml:space="preserve">requirements to the Commonwealth, </w:t>
      </w:r>
      <w:r>
        <w:rPr>
          <w:rFonts w:cs="Arial"/>
        </w:rPr>
        <w:t>s</w:t>
      </w:r>
      <w:r w:rsidRPr="0046557C">
        <w:rPr>
          <w:rFonts w:cs="Arial"/>
        </w:rPr>
        <w:t xml:space="preserve">tates and the </w:t>
      </w:r>
      <w:r>
        <w:rPr>
          <w:rFonts w:cs="Arial"/>
        </w:rPr>
        <w:t>t</w:t>
      </w:r>
      <w:r w:rsidRPr="0046557C">
        <w:rPr>
          <w:rFonts w:cs="Arial"/>
        </w:rPr>
        <w:t>erritories</w:t>
      </w:r>
      <w:r>
        <w:rPr>
          <w:rFonts w:cs="Arial"/>
        </w:rPr>
        <w:t xml:space="preserve"> in accordance with </w:t>
      </w:r>
      <w:r w:rsidR="00A1632A">
        <w:rPr>
          <w:rFonts w:cs="Arial"/>
        </w:rPr>
        <w:t>cl</w:t>
      </w:r>
      <w:r w:rsidR="00A1632A" w:rsidRPr="0046557C">
        <w:rPr>
          <w:rFonts w:cs="Arial"/>
        </w:rPr>
        <w:t xml:space="preserve">auses </w:t>
      </w:r>
      <w:r w:rsidR="00F25414" w:rsidRPr="0046557C">
        <w:rPr>
          <w:rFonts w:cs="Arial"/>
        </w:rPr>
        <w:t>B</w:t>
      </w:r>
      <w:r w:rsidR="00F25414">
        <w:rPr>
          <w:rFonts w:cs="Arial"/>
        </w:rPr>
        <w:t>66</w:t>
      </w:r>
      <w:r w:rsidR="00F25414" w:rsidRPr="0046557C">
        <w:rPr>
          <w:rFonts w:cs="Arial"/>
        </w:rPr>
        <w:t xml:space="preserve"> </w:t>
      </w:r>
      <w:r w:rsidRPr="0046557C">
        <w:rPr>
          <w:rFonts w:cs="Arial"/>
        </w:rPr>
        <w:t xml:space="preserve">to </w:t>
      </w:r>
      <w:r w:rsidR="00F25414" w:rsidRPr="0046557C">
        <w:rPr>
          <w:rFonts w:cs="Arial"/>
        </w:rPr>
        <w:t>B</w:t>
      </w:r>
      <w:r w:rsidR="00F25414">
        <w:rPr>
          <w:rFonts w:cs="Arial"/>
        </w:rPr>
        <w:t>81</w:t>
      </w:r>
      <w:r w:rsidR="00F25414" w:rsidRPr="0046557C">
        <w:rPr>
          <w:rFonts w:cs="Arial"/>
        </w:rPr>
        <w:t xml:space="preserve"> </w:t>
      </w:r>
      <w:r w:rsidRPr="0046557C">
        <w:rPr>
          <w:rFonts w:cs="Arial"/>
        </w:rPr>
        <w:t>of the</w:t>
      </w:r>
      <w:r w:rsidR="002F7A73" w:rsidRPr="00D12F5A">
        <w:rPr>
          <w:rStyle w:val="Emphasis"/>
          <w:rFonts w:eastAsiaTheme="majorEastAsia"/>
          <w:i w:val="0"/>
          <w:lang w:val="en"/>
        </w:rPr>
        <w:t xml:space="preserve"> Addendum to the </w:t>
      </w:r>
      <w:r w:rsidR="002F7A73">
        <w:rPr>
          <w:rStyle w:val="Emphasis"/>
          <w:rFonts w:eastAsiaTheme="majorEastAsia" w:cstheme="minorHAnsi"/>
          <w:i w:val="0"/>
          <w:lang w:val="en"/>
        </w:rPr>
        <w:t>National Health Reform Agreement</w:t>
      </w:r>
      <w:r w:rsidR="002F7A73" w:rsidRPr="00D12F5A">
        <w:rPr>
          <w:rStyle w:val="Emphasis"/>
          <w:rFonts w:eastAsiaTheme="majorEastAsia"/>
          <w:i w:val="0"/>
          <w:lang w:val="en"/>
        </w:rPr>
        <w:t xml:space="preserve"> 2020</w:t>
      </w:r>
      <w:r w:rsidR="002F7A73">
        <w:rPr>
          <w:rFonts w:eastAsiaTheme="majorEastAsia"/>
        </w:rPr>
        <w:t>–</w:t>
      </w:r>
      <w:r w:rsidR="002F7A73" w:rsidRPr="00D12F5A">
        <w:rPr>
          <w:rStyle w:val="Emphasis"/>
          <w:rFonts w:eastAsiaTheme="majorEastAsia"/>
          <w:i w:val="0"/>
          <w:lang w:val="en"/>
        </w:rPr>
        <w:t>2025</w:t>
      </w:r>
      <w:r w:rsidR="002F7A73">
        <w:rPr>
          <w:rStyle w:val="Emphasis"/>
          <w:rFonts w:eastAsiaTheme="majorEastAsia" w:cstheme="minorHAnsi"/>
          <w:i w:val="0"/>
          <w:lang w:val="en"/>
        </w:rPr>
        <w:t xml:space="preserve"> (the Addendum</w:t>
      </w:r>
      <w:r w:rsidR="00794BEA">
        <w:rPr>
          <w:rStyle w:val="Emphasis"/>
          <w:rFonts w:eastAsiaTheme="majorEastAsia" w:cstheme="minorHAnsi"/>
          <w:i w:val="0"/>
          <w:lang w:val="en"/>
        </w:rPr>
        <w:t>)</w:t>
      </w:r>
      <w:r>
        <w:rPr>
          <w:rFonts w:cs="Arial"/>
        </w:rPr>
        <w:t xml:space="preserve">. This edition of the </w:t>
      </w:r>
      <w:r w:rsidRPr="00EB3FCD">
        <w:rPr>
          <w:rFonts w:cs="Arial"/>
        </w:rPr>
        <w:t>Data Compliance Policy</w:t>
      </w:r>
      <w:r w:rsidRPr="00A1632A">
        <w:rPr>
          <w:rFonts w:cs="Arial"/>
        </w:rPr>
        <w:t xml:space="preserve"> is </w:t>
      </w:r>
      <w:r>
        <w:rPr>
          <w:rFonts w:cs="Arial"/>
        </w:rPr>
        <w:t>a supplement document to the IHPA</w:t>
      </w:r>
      <w:r w:rsidRPr="00F4483D">
        <w:rPr>
          <w:rFonts w:cs="Arial"/>
        </w:rPr>
        <w:t xml:space="preserve"> </w:t>
      </w:r>
      <w:r w:rsidR="00890EFC" w:rsidRPr="00046257">
        <w:rPr>
          <w:rFonts w:eastAsiaTheme="majorEastAsia"/>
        </w:rPr>
        <w:t xml:space="preserve">Three Year Data Plan </w:t>
      </w:r>
      <w:r w:rsidR="00F144F4">
        <w:rPr>
          <w:rFonts w:eastAsiaTheme="majorEastAsia"/>
        </w:rPr>
        <w:t>2022–23</w:t>
      </w:r>
      <w:r w:rsidR="00890EFC" w:rsidRPr="00046257">
        <w:rPr>
          <w:rFonts w:eastAsiaTheme="majorEastAsia"/>
        </w:rPr>
        <w:t xml:space="preserve"> to </w:t>
      </w:r>
      <w:r w:rsidR="00F144F4">
        <w:rPr>
          <w:rFonts w:eastAsiaTheme="majorEastAsia"/>
        </w:rPr>
        <w:t>2024–25</w:t>
      </w:r>
      <w:r w:rsidRPr="0036468D">
        <w:rPr>
          <w:rStyle w:val="Emphasis"/>
          <w:rFonts w:eastAsiaTheme="majorEastAsia"/>
          <w:lang w:val="en"/>
        </w:rPr>
        <w:t>.</w:t>
      </w:r>
    </w:p>
    <w:p w14:paraId="6A6C8423" w14:textId="427BB489" w:rsidR="00FB2F25" w:rsidRPr="00D1708D" w:rsidRDefault="00FB2F25" w:rsidP="0094680A">
      <w:pPr>
        <w:pStyle w:val="Heading2"/>
      </w:pPr>
      <w:bookmarkStart w:id="28" w:name="_Toc42878712"/>
      <w:bookmarkStart w:id="29" w:name="_Toc103933967"/>
      <w:r w:rsidRPr="00D1708D">
        <w:t>Background</w:t>
      </w:r>
      <w:bookmarkEnd w:id="22"/>
      <w:bookmarkEnd w:id="23"/>
      <w:bookmarkEnd w:id="24"/>
      <w:bookmarkEnd w:id="25"/>
      <w:bookmarkEnd w:id="26"/>
      <w:bookmarkEnd w:id="27"/>
      <w:bookmarkEnd w:id="28"/>
      <w:bookmarkEnd w:id="29"/>
    </w:p>
    <w:p w14:paraId="60161FE2" w14:textId="2A2CEB04" w:rsidR="00FB2F25" w:rsidRPr="00D1708D" w:rsidRDefault="00FB2F25" w:rsidP="00FB2F25">
      <w:pPr>
        <w:ind w:right="373"/>
        <w:rPr>
          <w:lang w:val="en-US"/>
        </w:rPr>
      </w:pPr>
      <w:r w:rsidRPr="00D1708D">
        <w:rPr>
          <w:lang w:val="en-US"/>
        </w:rPr>
        <w:t xml:space="preserve">The functions of IHPA are specified in </w:t>
      </w:r>
      <w:r w:rsidR="00A1632A">
        <w:rPr>
          <w:lang w:val="en-US"/>
        </w:rPr>
        <w:t>s</w:t>
      </w:r>
      <w:r w:rsidR="00A1632A" w:rsidRPr="00D1708D">
        <w:rPr>
          <w:lang w:val="en-US"/>
        </w:rPr>
        <w:t xml:space="preserve">ection </w:t>
      </w:r>
      <w:r w:rsidRPr="00D1708D">
        <w:rPr>
          <w:lang w:val="en-US"/>
        </w:rPr>
        <w:t>131 of the Act and include:</w:t>
      </w:r>
    </w:p>
    <w:p w14:paraId="4BD213E4" w14:textId="08E9089E" w:rsidR="00FB2F25" w:rsidRPr="00663DFE" w:rsidRDefault="00A1632A" w:rsidP="00D12F5A">
      <w:pPr>
        <w:pStyle w:val="ListParagraph"/>
        <w:numPr>
          <w:ilvl w:val="0"/>
          <w:numId w:val="12"/>
        </w:numPr>
        <w:spacing w:before="120" w:after="120" w:line="260" w:lineRule="atLeast"/>
      </w:pPr>
      <w:r w:rsidRPr="00260562">
        <w:t>d</w:t>
      </w:r>
      <w:r w:rsidR="00890EFC" w:rsidRPr="00260562">
        <w:t xml:space="preserve">etermining </w:t>
      </w:r>
      <w:r w:rsidR="00FB2F25" w:rsidRPr="00260562">
        <w:t>the NEP for health care services provided by public hospitals where the services are funded on an activity basis</w:t>
      </w:r>
    </w:p>
    <w:p w14:paraId="5551F628" w14:textId="54CEE05F" w:rsidR="00FB2F25" w:rsidRPr="00FD0C07" w:rsidRDefault="00A1632A" w:rsidP="00D12F5A">
      <w:pPr>
        <w:pStyle w:val="ListParagraph"/>
        <w:numPr>
          <w:ilvl w:val="0"/>
          <w:numId w:val="12"/>
        </w:numPr>
        <w:spacing w:before="120" w:after="120" w:line="260" w:lineRule="atLeast"/>
      </w:pPr>
      <w:r w:rsidRPr="00763E83">
        <w:t>d</w:t>
      </w:r>
      <w:r w:rsidR="00890EFC" w:rsidRPr="00763E83">
        <w:t xml:space="preserve">etermining </w:t>
      </w:r>
      <w:r w:rsidR="00FB2F25" w:rsidRPr="00763E83">
        <w:t>the NEC for health care services provided by public hospitals where the services are block funded</w:t>
      </w:r>
    </w:p>
    <w:p w14:paraId="445D3EB0" w14:textId="5B103556" w:rsidR="00FB2F25" w:rsidRPr="00FD0C07" w:rsidRDefault="00A1632A" w:rsidP="00D12F5A">
      <w:pPr>
        <w:pStyle w:val="ListParagraph"/>
        <w:numPr>
          <w:ilvl w:val="0"/>
          <w:numId w:val="12"/>
        </w:numPr>
        <w:spacing w:before="120" w:after="120" w:line="260" w:lineRule="atLeast"/>
      </w:pPr>
      <w:r w:rsidRPr="00FD0C07">
        <w:t>d</w:t>
      </w:r>
      <w:r w:rsidR="00890EFC" w:rsidRPr="00FD0C07">
        <w:t xml:space="preserve">etermining </w:t>
      </w:r>
      <w:r w:rsidR="00FB2F25" w:rsidRPr="00FD0C07">
        <w:t>adjustments to the NEP to reflect legitimate and unavoidable variations in the costs of delivering health care services</w:t>
      </w:r>
    </w:p>
    <w:p w14:paraId="483ABDD4" w14:textId="0435181C" w:rsidR="00FB2F25" w:rsidRPr="00FD0C07" w:rsidRDefault="00A1632A" w:rsidP="00D12F5A">
      <w:pPr>
        <w:pStyle w:val="ListParagraph"/>
        <w:numPr>
          <w:ilvl w:val="0"/>
          <w:numId w:val="12"/>
        </w:numPr>
        <w:spacing w:before="120" w:after="120" w:line="260" w:lineRule="atLeast"/>
      </w:pPr>
      <w:r w:rsidRPr="00FD0C07">
        <w:t>d</w:t>
      </w:r>
      <w:r w:rsidR="00890EFC" w:rsidRPr="00FD0C07">
        <w:t xml:space="preserve">eveloping </w:t>
      </w:r>
      <w:r w:rsidR="00FB2F25" w:rsidRPr="00FD0C07">
        <w:t xml:space="preserve">and specifying classification systems to be used to classify health care and other services provided by public hospitals for </w:t>
      </w:r>
      <w:r w:rsidR="007E5B60" w:rsidRPr="00FD0C07">
        <w:t>ABF</w:t>
      </w:r>
      <w:r w:rsidR="00F75C6D" w:rsidRPr="00FD0C07">
        <w:t xml:space="preserve"> </w:t>
      </w:r>
      <w:r w:rsidR="00FB2F25" w:rsidRPr="00FD0C07">
        <w:t>purposes</w:t>
      </w:r>
    </w:p>
    <w:p w14:paraId="10914A55" w14:textId="45292F6D" w:rsidR="00FB2F25" w:rsidRPr="00FD0C07" w:rsidRDefault="00A1632A" w:rsidP="00D12F5A">
      <w:pPr>
        <w:pStyle w:val="ListParagraph"/>
        <w:numPr>
          <w:ilvl w:val="0"/>
          <w:numId w:val="12"/>
        </w:numPr>
        <w:spacing w:before="120" w:after="120" w:line="260" w:lineRule="atLeast"/>
      </w:pPr>
      <w:r w:rsidRPr="00FD0C07">
        <w:t>d</w:t>
      </w:r>
      <w:r w:rsidR="00890EFC" w:rsidRPr="00FD0C07">
        <w:t xml:space="preserve">etermining </w:t>
      </w:r>
      <w:r w:rsidR="00FB2F25" w:rsidRPr="00FD0C07">
        <w:t xml:space="preserve">data requirements and standards to apply, for </w:t>
      </w:r>
      <w:r w:rsidR="007E5B60" w:rsidRPr="00FD0C07">
        <w:t xml:space="preserve">ABF </w:t>
      </w:r>
      <w:r w:rsidR="00FB2F25" w:rsidRPr="00FD0C07">
        <w:t>purposes, in relation to data to be provided by jurisdictions, including</w:t>
      </w:r>
      <w:r w:rsidRPr="00FD0C07">
        <w:t>:</w:t>
      </w:r>
    </w:p>
    <w:p w14:paraId="346B4D37" w14:textId="75938ED7" w:rsidR="00890EFC" w:rsidRDefault="00A1632A" w:rsidP="00890EFC">
      <w:pPr>
        <w:numPr>
          <w:ilvl w:val="0"/>
          <w:numId w:val="14"/>
        </w:numPr>
        <w:snapToGrid w:val="0"/>
        <w:spacing w:line="240" w:lineRule="auto"/>
        <w:rPr>
          <w:rFonts w:cs="Arial"/>
        </w:rPr>
      </w:pPr>
      <w:r>
        <w:rPr>
          <w:rFonts w:cs="Arial"/>
        </w:rPr>
        <w:t>d</w:t>
      </w:r>
      <w:r w:rsidR="00890EFC" w:rsidRPr="00890EFC">
        <w:rPr>
          <w:rFonts w:cs="Arial"/>
        </w:rPr>
        <w:t xml:space="preserve">ata </w:t>
      </w:r>
      <w:r w:rsidR="00FB2F25" w:rsidRPr="00890EFC">
        <w:rPr>
          <w:rFonts w:cs="Arial"/>
        </w:rPr>
        <w:t>and coding standards to support uniform provision of data</w:t>
      </w:r>
    </w:p>
    <w:p w14:paraId="137E1192" w14:textId="2A8A131D" w:rsidR="000A44C2" w:rsidRPr="00890EFC" w:rsidRDefault="00EB3FCD" w:rsidP="00890EFC">
      <w:pPr>
        <w:numPr>
          <w:ilvl w:val="0"/>
          <w:numId w:val="14"/>
        </w:numPr>
        <w:snapToGrid w:val="0"/>
        <w:spacing w:line="240" w:lineRule="auto"/>
        <w:rPr>
          <w:rFonts w:cs="Arial"/>
        </w:rPr>
      </w:pPr>
      <w:r>
        <w:rPr>
          <w:rFonts w:cs="Arial"/>
        </w:rPr>
        <w:t>r</w:t>
      </w:r>
      <w:r w:rsidR="00FB2F25" w:rsidRPr="00890EFC">
        <w:rPr>
          <w:rFonts w:cs="Arial"/>
        </w:rPr>
        <w:t>equirements and standards relating to patient demographic characteristics and other information relevant to classifying, costing and paying for public hospital functions</w:t>
      </w:r>
      <w:r w:rsidR="00890EFC">
        <w:rPr>
          <w:rFonts w:cs="Arial"/>
        </w:rPr>
        <w:t>.</w:t>
      </w:r>
    </w:p>
    <w:p w14:paraId="6674D8AA" w14:textId="3C05172D" w:rsidR="00FB2F25" w:rsidRPr="00663DFE" w:rsidRDefault="00A1632A" w:rsidP="00D12F5A">
      <w:pPr>
        <w:pStyle w:val="ListParagraph"/>
        <w:numPr>
          <w:ilvl w:val="0"/>
          <w:numId w:val="12"/>
        </w:numPr>
        <w:spacing w:before="120" w:after="120" w:line="260" w:lineRule="atLeast"/>
      </w:pPr>
      <w:r w:rsidRPr="00260562">
        <w:t>e</w:t>
      </w:r>
      <w:r w:rsidR="00890EFC" w:rsidRPr="00260562">
        <w:t xml:space="preserve">xcept </w:t>
      </w:r>
      <w:r w:rsidR="00FB2F25" w:rsidRPr="00663DFE">
        <w:t>where otherwise agreed between the Commonwealth and a state or territory – to determine the public hospital functions that are to be funded in the state or territory by the Commonwealth.</w:t>
      </w:r>
    </w:p>
    <w:p w14:paraId="388CF1D5" w14:textId="756EEAEC" w:rsidR="00FB2F25" w:rsidRPr="00D1708D" w:rsidRDefault="00FB2F25" w:rsidP="0094680A">
      <w:pPr>
        <w:pStyle w:val="Heading2"/>
      </w:pPr>
      <w:bookmarkStart w:id="30" w:name="param118"/>
      <w:bookmarkStart w:id="31" w:name="param119"/>
      <w:bookmarkStart w:id="32" w:name="param120"/>
      <w:bookmarkStart w:id="33" w:name="_Toc324860395"/>
      <w:bookmarkStart w:id="34" w:name="_Toc358988883"/>
      <w:bookmarkStart w:id="35" w:name="_Toc392756960"/>
      <w:bookmarkStart w:id="36" w:name="_Toc362456600"/>
      <w:bookmarkStart w:id="37" w:name="_Toc42878713"/>
      <w:bookmarkStart w:id="38" w:name="_Toc103933968"/>
      <w:bookmarkStart w:id="39" w:name="_Toc310862824"/>
      <w:bookmarkEnd w:id="30"/>
      <w:bookmarkEnd w:id="31"/>
      <w:bookmarkEnd w:id="32"/>
      <w:r w:rsidRPr="00D1708D">
        <w:lastRenderedPageBreak/>
        <w:t>Purpose</w:t>
      </w:r>
      <w:bookmarkEnd w:id="33"/>
      <w:bookmarkEnd w:id="34"/>
      <w:bookmarkEnd w:id="35"/>
      <w:bookmarkEnd w:id="36"/>
      <w:bookmarkEnd w:id="37"/>
      <w:bookmarkEnd w:id="38"/>
    </w:p>
    <w:p w14:paraId="12265C7C" w14:textId="11D40778" w:rsidR="00FB2F25" w:rsidRPr="00D1708D" w:rsidRDefault="00FB2F25" w:rsidP="00FB2F25">
      <w:r w:rsidRPr="00D1708D">
        <w:t>The purpose of the</w:t>
      </w:r>
      <w:r w:rsidRPr="00A1632A">
        <w:t xml:space="preserve"> </w:t>
      </w:r>
      <w:r w:rsidRPr="00FC519E">
        <w:rPr>
          <w:rFonts w:cs="Arial"/>
          <w:i/>
          <w:iCs/>
        </w:rPr>
        <w:t>Data Compliance Policy</w:t>
      </w:r>
      <w:r w:rsidRPr="00EB3FCD">
        <w:t xml:space="preserve"> </w:t>
      </w:r>
      <w:r w:rsidR="00565565">
        <w:t xml:space="preserve">(this Policy) </w:t>
      </w:r>
      <w:r w:rsidRPr="00A1632A">
        <w:t>i</w:t>
      </w:r>
      <w:r w:rsidRPr="00AE7E30">
        <w:t xml:space="preserve">s </w:t>
      </w:r>
      <w:r w:rsidRPr="00D1708D">
        <w:t xml:space="preserve">to detail the process by which IHPA will publicly report on compliance </w:t>
      </w:r>
      <w:r>
        <w:t xml:space="preserve">by </w:t>
      </w:r>
      <w:r w:rsidR="00C926E6">
        <w:t>jurisdictions</w:t>
      </w:r>
      <w:r>
        <w:t xml:space="preserve"> </w:t>
      </w:r>
      <w:r w:rsidRPr="00D1708D">
        <w:t>with the data requirements</w:t>
      </w:r>
      <w:r>
        <w:t xml:space="preserve"> and data submission dates</w:t>
      </w:r>
      <w:r w:rsidRPr="00D1708D">
        <w:t xml:space="preserve"> </w:t>
      </w:r>
      <w:r>
        <w:t>specified in the IHPA</w:t>
      </w:r>
      <w:r w:rsidRPr="00D1708D">
        <w:t xml:space="preserve"> </w:t>
      </w:r>
      <w:hyperlink r:id="rId16" w:history="1">
        <w:r w:rsidRPr="00EB3FCD">
          <w:rPr>
            <w:rStyle w:val="Hyperlink"/>
            <w:u w:val="none"/>
          </w:rPr>
          <w:t>Three Year Data Plan</w:t>
        </w:r>
      </w:hyperlink>
      <w:r w:rsidR="00A7140E" w:rsidRPr="00EB3FCD">
        <w:rPr>
          <w:rStyle w:val="Hyperlink"/>
          <w:u w:val="none"/>
        </w:rPr>
        <w:t xml:space="preserve"> </w:t>
      </w:r>
      <w:r w:rsidR="00F144F4">
        <w:rPr>
          <w:rStyle w:val="Hyperlink"/>
          <w:u w:val="none"/>
        </w:rPr>
        <w:t>2022–23</w:t>
      </w:r>
      <w:r w:rsidR="00A7140E" w:rsidRPr="00EB3FCD">
        <w:rPr>
          <w:rStyle w:val="Hyperlink"/>
          <w:u w:val="none"/>
        </w:rPr>
        <w:t xml:space="preserve"> to </w:t>
      </w:r>
      <w:r w:rsidR="00F144F4">
        <w:rPr>
          <w:rStyle w:val="Hyperlink"/>
          <w:u w:val="none"/>
        </w:rPr>
        <w:t>2024–25</w:t>
      </w:r>
      <w:r w:rsidRPr="00901B4F">
        <w:t>.</w:t>
      </w:r>
      <w:r w:rsidR="005879E7">
        <w:t xml:space="preserve"> </w:t>
      </w:r>
      <w:r w:rsidRPr="00D1708D">
        <w:t xml:space="preserve">It does not capture the full data quality assurance process </w:t>
      </w:r>
      <w:r>
        <w:t>which</w:t>
      </w:r>
      <w:r w:rsidRPr="00D1708D">
        <w:t xml:space="preserve"> is </w:t>
      </w:r>
      <w:r>
        <w:t xml:space="preserve">outlined </w:t>
      </w:r>
      <w:r w:rsidRPr="00D1708D">
        <w:t>in the IH</w:t>
      </w:r>
      <w:r>
        <w:t xml:space="preserve">PA </w:t>
      </w:r>
      <w:hyperlink r:id="rId17" w:history="1">
        <w:r w:rsidRPr="00FC519E">
          <w:rPr>
            <w:rStyle w:val="Hyperlink"/>
            <w:color w:val="008542" w:themeColor="accent2"/>
          </w:rPr>
          <w:t>Data Quality Assurance Framework</w:t>
        </w:r>
      </w:hyperlink>
      <w:r w:rsidRPr="00D1708D">
        <w:t>.</w:t>
      </w:r>
    </w:p>
    <w:p w14:paraId="64B6CE4C" w14:textId="77777777" w:rsidR="00FB2F25" w:rsidRDefault="00FB2F25" w:rsidP="0094680A">
      <w:pPr>
        <w:pStyle w:val="Heading2"/>
      </w:pPr>
      <w:bookmarkStart w:id="40" w:name="_Toc8915281"/>
      <w:bookmarkStart w:id="41" w:name="_Toc8915282"/>
      <w:bookmarkStart w:id="42" w:name="_Toc8915283"/>
      <w:bookmarkStart w:id="43" w:name="_Toc316033928"/>
      <w:bookmarkStart w:id="44" w:name="_Toc324860397"/>
      <w:bookmarkStart w:id="45" w:name="_Toc358988885"/>
      <w:bookmarkStart w:id="46" w:name="_Toc392756962"/>
      <w:bookmarkStart w:id="47" w:name="_Toc362456602"/>
      <w:bookmarkStart w:id="48" w:name="_Toc42878714"/>
      <w:bookmarkStart w:id="49" w:name="_Toc103933969"/>
      <w:bookmarkEnd w:id="40"/>
      <w:bookmarkEnd w:id="41"/>
      <w:bookmarkEnd w:id="42"/>
      <w:r w:rsidRPr="00D1708D">
        <w:t>Review</w:t>
      </w:r>
      <w:bookmarkEnd w:id="43"/>
      <w:bookmarkEnd w:id="44"/>
      <w:bookmarkEnd w:id="45"/>
      <w:bookmarkEnd w:id="46"/>
      <w:bookmarkEnd w:id="47"/>
      <w:bookmarkEnd w:id="48"/>
      <w:bookmarkEnd w:id="49"/>
    </w:p>
    <w:p w14:paraId="54151DDD" w14:textId="0A512F59" w:rsidR="00FB2F25" w:rsidRPr="00D1708D" w:rsidRDefault="00FB2F25" w:rsidP="00FB2F25">
      <w:r w:rsidRPr="00D1708D">
        <w:t xml:space="preserve">The </w:t>
      </w:r>
      <w:r w:rsidR="00565565">
        <w:t xml:space="preserve">Pricing Authority and Chief Executive Officer (CEO) of IHPA will review </w:t>
      </w:r>
      <w:r w:rsidR="002C0A66">
        <w:t>this Policy, including</w:t>
      </w:r>
      <w:r w:rsidRPr="00A1632A">
        <w:t xml:space="preserve"> </w:t>
      </w:r>
      <w:r w:rsidRPr="00D1708D">
        <w:t>associated documentation</w:t>
      </w:r>
      <w:r w:rsidR="00460D9C">
        <w:t>,</w:t>
      </w:r>
      <w:r w:rsidRPr="00D1708D">
        <w:t xml:space="preserve"> annually</w:t>
      </w:r>
      <w:r w:rsidR="00460D9C">
        <w:t xml:space="preserve"> or as</w:t>
      </w:r>
      <w:r w:rsidRPr="00D1708D">
        <w:t xml:space="preserve"> required. </w:t>
      </w:r>
    </w:p>
    <w:p w14:paraId="51CD5413" w14:textId="02A71278" w:rsidR="006E70FC" w:rsidRDefault="006E70FC" w:rsidP="00FB2F25">
      <w:r>
        <w:t>Th</w:t>
      </w:r>
      <w:r w:rsidR="00460D9C">
        <w:t>is</w:t>
      </w:r>
      <w:r w:rsidR="00722235">
        <w:t xml:space="preserve"> </w:t>
      </w:r>
      <w:r>
        <w:t xml:space="preserve">Policy </w:t>
      </w:r>
      <w:r w:rsidR="00850767">
        <w:t xml:space="preserve">was last reviewed in </w:t>
      </w:r>
      <w:r w:rsidR="002C1710">
        <w:t>June</w:t>
      </w:r>
      <w:r w:rsidR="00850767">
        <w:t xml:space="preserve"> 2022.</w:t>
      </w:r>
    </w:p>
    <w:p w14:paraId="28010108" w14:textId="77777777" w:rsidR="000A44C2" w:rsidRDefault="000A44C2" w:rsidP="00B859AD">
      <w:r>
        <w:br w:type="page"/>
      </w:r>
    </w:p>
    <w:p w14:paraId="499164E0" w14:textId="5163281E" w:rsidR="00FB2F25" w:rsidRPr="002E5E64" w:rsidRDefault="00FB2F25" w:rsidP="009F6599">
      <w:pPr>
        <w:pStyle w:val="Heading1"/>
      </w:pPr>
      <w:bookmarkStart w:id="50" w:name="_Toc530148441"/>
      <w:bookmarkStart w:id="51" w:name="_Toc392756963"/>
      <w:bookmarkStart w:id="52" w:name="_Toc362456603"/>
      <w:bookmarkStart w:id="53" w:name="_Toc42878715"/>
      <w:bookmarkStart w:id="54" w:name="_Toc103933970"/>
      <w:bookmarkEnd w:id="39"/>
      <w:bookmarkEnd w:id="50"/>
      <w:r w:rsidRPr="00696A80">
        <w:lastRenderedPageBreak/>
        <w:t>What is the data</w:t>
      </w:r>
      <w:r w:rsidR="004237F7">
        <w:t xml:space="preserve"> </w:t>
      </w:r>
      <w:r w:rsidRPr="00696A80">
        <w:t>compliance process?</w:t>
      </w:r>
      <w:bookmarkEnd w:id="51"/>
      <w:bookmarkEnd w:id="52"/>
      <w:bookmarkEnd w:id="53"/>
      <w:bookmarkEnd w:id="54"/>
    </w:p>
    <w:p w14:paraId="69D7BE76" w14:textId="67AFE768" w:rsidR="00FB2F25" w:rsidRPr="001F1FF7" w:rsidRDefault="00FB2F25" w:rsidP="00FB2F25">
      <w:bookmarkStart w:id="55" w:name="_Toc358984185"/>
      <w:bookmarkStart w:id="56" w:name="_Toc358984347"/>
      <w:bookmarkStart w:id="57" w:name="_Toc358988887"/>
      <w:bookmarkStart w:id="58" w:name="_Toc324860400"/>
      <w:bookmarkEnd w:id="55"/>
      <w:bookmarkEnd w:id="56"/>
      <w:bookmarkEnd w:id="57"/>
      <w:r w:rsidRPr="001F1FF7">
        <w:t>For IHPA</w:t>
      </w:r>
      <w:r>
        <w:t>’s purposes</w:t>
      </w:r>
      <w:r w:rsidRPr="001F1FF7">
        <w:t>, data compliance</w:t>
      </w:r>
      <w:r>
        <w:t xml:space="preserve"> refers to the process of </w:t>
      </w:r>
      <w:r w:rsidRPr="001F1FF7">
        <w:t>reporting o</w:t>
      </w:r>
      <w:r>
        <w:t>n whether</w:t>
      </w:r>
      <w:r w:rsidRPr="001F1FF7">
        <w:t xml:space="preserve"> state</w:t>
      </w:r>
      <w:r>
        <w:t>s, territories</w:t>
      </w:r>
      <w:r w:rsidRPr="001F1FF7">
        <w:t xml:space="preserve"> and </w:t>
      </w:r>
      <w:r>
        <w:t>the Commonwealth supplied</w:t>
      </w:r>
      <w:r w:rsidRPr="001F1FF7">
        <w:t xml:space="preserve"> </w:t>
      </w:r>
      <w:r>
        <w:t>the</w:t>
      </w:r>
      <w:r w:rsidRPr="001F1FF7">
        <w:t xml:space="preserve"> </w:t>
      </w:r>
      <w:r>
        <w:t xml:space="preserve">data requested by IHPA </w:t>
      </w:r>
      <w:proofErr w:type="gramStart"/>
      <w:r>
        <w:t>in order to</w:t>
      </w:r>
      <w:proofErr w:type="gramEnd"/>
      <w:r>
        <w:t xml:space="preserve"> meet </w:t>
      </w:r>
      <w:r w:rsidRPr="001F1FF7">
        <w:t>i</w:t>
      </w:r>
      <w:r>
        <w:t>t</w:t>
      </w:r>
      <w:r w:rsidRPr="001F1FF7">
        <w:t xml:space="preserve">s functions under the </w:t>
      </w:r>
      <w:r w:rsidR="00D95F6D">
        <w:t>Addendum</w:t>
      </w:r>
      <w:r w:rsidRPr="001F1FF7">
        <w:t>.</w:t>
      </w:r>
      <w:r>
        <w:t xml:space="preserve"> As of 1 July 2018, </w:t>
      </w:r>
      <w:r w:rsidRPr="001F1FF7">
        <w:t>states and territories are required to report</w:t>
      </w:r>
      <w:r>
        <w:t xml:space="preserve"> </w:t>
      </w:r>
      <w:r w:rsidRPr="001F1FF7">
        <w:t xml:space="preserve">hospital activity data on a </w:t>
      </w:r>
      <w:r>
        <w:t>quarterly</w:t>
      </w:r>
      <w:r w:rsidRPr="001F1FF7">
        <w:t xml:space="preserve"> </w:t>
      </w:r>
      <w:r>
        <w:t>‘year to date’ basis to IHPA, while</w:t>
      </w:r>
      <w:r w:rsidRPr="001F1FF7">
        <w:t xml:space="preserve"> </w:t>
      </w:r>
      <w:r>
        <w:t>teaching</w:t>
      </w:r>
      <w:r w:rsidR="006E70FC">
        <w:t>,</w:t>
      </w:r>
      <w:r>
        <w:t xml:space="preserve"> training and research and </w:t>
      </w:r>
      <w:r w:rsidRPr="001F1FF7">
        <w:t>hospital cost data</w:t>
      </w:r>
      <w:r>
        <w:t xml:space="preserve"> through the National Hospital Cost Data Collection </w:t>
      </w:r>
      <w:r w:rsidR="003C0611">
        <w:t xml:space="preserve">(NHCDC) </w:t>
      </w:r>
      <w:r w:rsidR="006E70FC">
        <w:t>are reported on</w:t>
      </w:r>
      <w:r>
        <w:t xml:space="preserve"> an annual</w:t>
      </w:r>
      <w:r w:rsidRPr="001F1FF7">
        <w:t xml:space="preserve"> basis.</w:t>
      </w:r>
      <w:r w:rsidR="00744F72">
        <w:t xml:space="preserve"> Sentinel events are reported every six months as part of the December and June submissions.</w:t>
      </w:r>
    </w:p>
    <w:bookmarkEnd w:id="58"/>
    <w:p w14:paraId="14B2B3F3" w14:textId="1C141FA4" w:rsidR="00FB2F25" w:rsidRDefault="00FB2F25" w:rsidP="00FB2F25">
      <w:r>
        <w:t>The general data compliance process an</w:t>
      </w:r>
      <w:r w:rsidRPr="00901B4F">
        <w:t xml:space="preserve">d criteria are described in the IHPA </w:t>
      </w:r>
      <w:r w:rsidRPr="00EB3FCD">
        <w:t>Three Year Data Plan</w:t>
      </w:r>
      <w:r w:rsidR="00076119" w:rsidRPr="00901B4F">
        <w:t xml:space="preserve"> </w:t>
      </w:r>
      <w:r w:rsidR="006E70FC">
        <w:rPr>
          <w:rStyle w:val="Hyperlink"/>
          <w:u w:val="none"/>
        </w:rPr>
        <w:t>2022–23</w:t>
      </w:r>
      <w:r w:rsidR="00076119" w:rsidRPr="00EB3FCD">
        <w:rPr>
          <w:rStyle w:val="Hyperlink"/>
          <w:u w:val="none"/>
        </w:rPr>
        <w:t xml:space="preserve"> to </w:t>
      </w:r>
      <w:r w:rsidR="006E70FC">
        <w:rPr>
          <w:rStyle w:val="Hyperlink"/>
          <w:u w:val="none"/>
        </w:rPr>
        <w:t>2024–25</w:t>
      </w:r>
      <w:r w:rsidRPr="00901B4F">
        <w:t>. The following secti</w:t>
      </w:r>
      <w:r>
        <w:t xml:space="preserve">on reflects the arrangements specified in the </w:t>
      </w:r>
      <w:r w:rsidR="00076119">
        <w:t xml:space="preserve">data </w:t>
      </w:r>
      <w:r>
        <w:t>plan.</w:t>
      </w:r>
    </w:p>
    <w:p w14:paraId="26AE2727" w14:textId="2AFDD77C" w:rsidR="00FB2F25" w:rsidRDefault="00FB2F25" w:rsidP="00FB2F25">
      <w:r>
        <w:t xml:space="preserve">In accordance with the </w:t>
      </w:r>
      <w:r w:rsidR="00D95F6D">
        <w:t>Addendum</w:t>
      </w:r>
      <w:r>
        <w:t>, IHPA must report on</w:t>
      </w:r>
      <w:r w:rsidR="00C4181F" w:rsidRPr="00C4181F">
        <w:t xml:space="preserve"> </w:t>
      </w:r>
      <w:r w:rsidR="0050516C">
        <w:t xml:space="preserve">the compliance of </w:t>
      </w:r>
      <w:r w:rsidR="00460D9C">
        <w:t xml:space="preserve">jurisdictions </w:t>
      </w:r>
      <w:r>
        <w:t xml:space="preserve">with these requirements. </w:t>
      </w:r>
      <w:r w:rsidR="00460D9C">
        <w:t>Jurisdictions</w:t>
      </w:r>
      <w:r w:rsidR="00663637">
        <w:t xml:space="preserve"> </w:t>
      </w:r>
      <w:r>
        <w:t>will be judged to have complied with IHPA’s data requirements if they:</w:t>
      </w:r>
    </w:p>
    <w:p w14:paraId="0220CDA7" w14:textId="28BCE4FD" w:rsidR="00FB2F25" w:rsidRDefault="00A1632A" w:rsidP="00D12F5A">
      <w:pPr>
        <w:pStyle w:val="ListParagraph"/>
        <w:numPr>
          <w:ilvl w:val="0"/>
          <w:numId w:val="12"/>
        </w:numPr>
        <w:spacing w:before="120" w:after="120" w:line="260" w:lineRule="atLeast"/>
      </w:pPr>
      <w:r>
        <w:t>h</w:t>
      </w:r>
      <w:r w:rsidR="005D37DF">
        <w:t xml:space="preserve">ave </w:t>
      </w:r>
      <w:r w:rsidR="00FB2F25">
        <w:t>provided the data required as specified in the data request</w:t>
      </w:r>
    </w:p>
    <w:p w14:paraId="3F7E21E9" w14:textId="29647467" w:rsidR="00FB2F25" w:rsidRDefault="00A1632A" w:rsidP="00D12F5A">
      <w:pPr>
        <w:pStyle w:val="ListParagraph"/>
        <w:numPr>
          <w:ilvl w:val="0"/>
          <w:numId w:val="12"/>
        </w:numPr>
        <w:spacing w:before="120" w:after="120" w:line="260" w:lineRule="atLeast"/>
      </w:pPr>
      <w:r>
        <w:t>h</w:t>
      </w:r>
      <w:r w:rsidR="005D37DF">
        <w:t xml:space="preserve">ave </w:t>
      </w:r>
      <w:r w:rsidR="00FB2F25">
        <w:t>provided the data in the timeframes requested.</w:t>
      </w:r>
    </w:p>
    <w:p w14:paraId="64E7C1DC" w14:textId="40DDD7B3" w:rsidR="00FB2F25" w:rsidRDefault="00FB2F25" w:rsidP="00FB2F25">
      <w:r>
        <w:t xml:space="preserve">If a </w:t>
      </w:r>
      <w:r w:rsidR="00460D9C">
        <w:t>jurisdiction</w:t>
      </w:r>
      <w:r>
        <w:t xml:space="preserve"> does not meet </w:t>
      </w:r>
      <w:proofErr w:type="gramStart"/>
      <w:r w:rsidR="00D51313">
        <w:t xml:space="preserve">both </w:t>
      </w:r>
      <w:r>
        <w:t>of these</w:t>
      </w:r>
      <w:proofErr w:type="gramEnd"/>
      <w:r>
        <w:t xml:space="preserve"> requirements for a</w:t>
      </w:r>
      <w:r w:rsidR="007A3D17">
        <w:t>ny</w:t>
      </w:r>
      <w:r>
        <w:t xml:space="preserve"> given </w:t>
      </w:r>
      <w:r w:rsidR="00744F72">
        <w:t>data submission</w:t>
      </w:r>
      <w:r>
        <w:t xml:space="preserve">, they will be regarded as being non-compliant. Where a </w:t>
      </w:r>
      <w:r w:rsidR="00460D9C">
        <w:t>jurisdiction</w:t>
      </w:r>
      <w:r w:rsidR="00C4181F">
        <w:t xml:space="preserve"> </w:t>
      </w:r>
      <w:r>
        <w:t xml:space="preserve">is </w:t>
      </w:r>
      <w:r w:rsidR="007A3D17">
        <w:t xml:space="preserve">judged </w:t>
      </w:r>
      <w:r w:rsidR="00D51313">
        <w:t xml:space="preserve">to be </w:t>
      </w:r>
      <w:r>
        <w:t xml:space="preserve">non-compliant, IHPA will provide </w:t>
      </w:r>
      <w:r w:rsidR="00460D9C">
        <w:t>that jurisdiction</w:t>
      </w:r>
      <w:r>
        <w:t xml:space="preserve"> with an opportunity to communicate their circumstances. IHPA and the </w:t>
      </w:r>
      <w:r w:rsidR="00460D9C">
        <w:t>jurisdiction</w:t>
      </w:r>
      <w:r>
        <w:t xml:space="preserve"> will </w:t>
      </w:r>
      <w:r w:rsidR="00CD0EF8">
        <w:t xml:space="preserve">then </w:t>
      </w:r>
      <w:r>
        <w:t xml:space="preserve">work together to improve </w:t>
      </w:r>
      <w:r w:rsidR="0050516C">
        <w:t xml:space="preserve">that </w:t>
      </w:r>
      <w:r w:rsidR="00460D9C">
        <w:t>jurisdiction</w:t>
      </w:r>
      <w:r w:rsidR="0050516C">
        <w:t xml:space="preserve">’s </w:t>
      </w:r>
      <w:r>
        <w:t>data submission over time.</w:t>
      </w:r>
    </w:p>
    <w:p w14:paraId="2A04FA14" w14:textId="2EEE33A9" w:rsidR="00FB2F25" w:rsidRDefault="00FB2F25" w:rsidP="00FB2F25">
      <w:pPr>
        <w:ind w:right="-170"/>
      </w:pPr>
      <w:r>
        <w:t xml:space="preserve">A </w:t>
      </w:r>
      <w:r w:rsidR="00460D9C">
        <w:t>jurisdiction</w:t>
      </w:r>
      <w:r w:rsidR="00C4181F">
        <w:t xml:space="preserve"> </w:t>
      </w:r>
      <w:r>
        <w:t xml:space="preserve">will be rated as non-compliant if they do not address issues raised by IHPA after being advised that they are non-compliant or if </w:t>
      </w:r>
      <w:r w:rsidR="00954723">
        <w:t>they</w:t>
      </w:r>
      <w:r w:rsidR="00C4181F">
        <w:t xml:space="preserve"> </w:t>
      </w:r>
      <w:r>
        <w:t>refuse to provide data.</w:t>
      </w:r>
    </w:p>
    <w:p w14:paraId="1BFA8CFC" w14:textId="77777777" w:rsidR="00FB2F25" w:rsidRDefault="00FB2F25" w:rsidP="00FB2F25">
      <w:r>
        <w:t>The data compliance status information will be published on the IHPA website on a quarterly basis.</w:t>
      </w:r>
    </w:p>
    <w:p w14:paraId="75FF7077" w14:textId="55AF1AB6" w:rsidR="00FB2F25" w:rsidRPr="00696A80" w:rsidRDefault="00FB2F25" w:rsidP="0094680A">
      <w:pPr>
        <w:pStyle w:val="Heading2"/>
      </w:pPr>
      <w:bookmarkStart w:id="59" w:name="_Toc358988888"/>
      <w:bookmarkStart w:id="60" w:name="_Toc392756964"/>
      <w:bookmarkStart w:id="61" w:name="_Toc362456604"/>
      <w:bookmarkStart w:id="62" w:name="_Toc42878716"/>
      <w:bookmarkStart w:id="63" w:name="_Toc103933971"/>
      <w:r w:rsidRPr="00696A80">
        <w:t xml:space="preserve">Who is responsible for the data compliance </w:t>
      </w:r>
      <w:r w:rsidRPr="00B83EF2">
        <w:t>process</w:t>
      </w:r>
      <w:r w:rsidRPr="00696A80">
        <w:t>?</w:t>
      </w:r>
      <w:bookmarkEnd w:id="59"/>
      <w:bookmarkEnd w:id="60"/>
      <w:bookmarkEnd w:id="61"/>
      <w:bookmarkEnd w:id="62"/>
      <w:bookmarkEnd w:id="63"/>
    </w:p>
    <w:p w14:paraId="638A8C06" w14:textId="77777777" w:rsidR="00FB2F25" w:rsidRDefault="00FB2F25" w:rsidP="00FB2F25">
      <w:r>
        <w:t>The IHPA Director of Data Acquisition is responsible for assessment of compliance and the preparation of a data compliance report with accompanying documentation for the Chief Executive Officer (CEO)</w:t>
      </w:r>
      <w:r w:rsidR="00FD49D3">
        <w:t xml:space="preserve"> of IHPA</w:t>
      </w:r>
      <w:r>
        <w:t xml:space="preserve"> and the Pricing Authority.</w:t>
      </w:r>
    </w:p>
    <w:p w14:paraId="552AB9B0" w14:textId="7E97C24A" w:rsidR="00FB2F25" w:rsidRDefault="00FB2F25" w:rsidP="0094680A">
      <w:pPr>
        <w:pStyle w:val="Heading2"/>
      </w:pPr>
      <w:bookmarkStart w:id="64" w:name="_Toc358988890"/>
      <w:bookmarkStart w:id="65" w:name="_Toc392756965"/>
      <w:bookmarkStart w:id="66" w:name="_Toc362456605"/>
      <w:bookmarkStart w:id="67" w:name="_Toc42878717"/>
      <w:bookmarkStart w:id="68" w:name="_Toc103933972"/>
      <w:r>
        <w:t xml:space="preserve">Data submission </w:t>
      </w:r>
      <w:r w:rsidRPr="00492E93">
        <w:t>timing</w:t>
      </w:r>
      <w:bookmarkEnd w:id="64"/>
      <w:bookmarkEnd w:id="65"/>
      <w:bookmarkEnd w:id="66"/>
      <w:bookmarkEnd w:id="67"/>
      <w:bookmarkEnd w:id="68"/>
    </w:p>
    <w:p w14:paraId="63228A46" w14:textId="7BB4D8F8" w:rsidR="00FB2F25" w:rsidRDefault="00FB2F25" w:rsidP="00FB2F25">
      <w:pPr>
        <w:rPr>
          <w:b/>
        </w:rPr>
      </w:pPr>
      <w:bookmarkStart w:id="69" w:name="_Ref314749337"/>
      <w:r>
        <w:t>The data submission process for collection of data from the states</w:t>
      </w:r>
      <w:r w:rsidR="00DE14E4">
        <w:t>,</w:t>
      </w:r>
      <w:r>
        <w:t xml:space="preserve"> territories</w:t>
      </w:r>
      <w:r w:rsidR="00DE14E4">
        <w:t xml:space="preserve"> and </w:t>
      </w:r>
      <w:r w:rsidR="00DF449D">
        <w:t xml:space="preserve">the </w:t>
      </w:r>
      <w:r w:rsidR="00DE14E4">
        <w:t>Commonwealth</w:t>
      </w:r>
      <w:r>
        <w:t xml:space="preserve"> for the purposes of calculating the NEP or performing other functions of IHPA is articulated in </w:t>
      </w:r>
      <w:r w:rsidR="00D51313">
        <w:t xml:space="preserve">Chapter </w:t>
      </w:r>
      <w:r>
        <w:t>7 of the IH</w:t>
      </w:r>
      <w:r w:rsidRPr="00901B4F">
        <w:t xml:space="preserve">PA </w:t>
      </w:r>
      <w:r w:rsidRPr="00EB3FCD">
        <w:t>Three Year Data Plan</w:t>
      </w:r>
      <w:r w:rsidR="005D37DF" w:rsidRPr="00EB3FCD">
        <w:t xml:space="preserve"> </w:t>
      </w:r>
      <w:r w:rsidR="00CD0EF8">
        <w:t>2022–23</w:t>
      </w:r>
      <w:r w:rsidR="00D51313" w:rsidRPr="00EB3FCD">
        <w:t xml:space="preserve"> to </w:t>
      </w:r>
      <w:r w:rsidR="00CD0EF8">
        <w:t>2024–25</w:t>
      </w:r>
      <w:r w:rsidRPr="00901B4F">
        <w:t>.</w:t>
      </w:r>
      <w:bookmarkEnd w:id="69"/>
    </w:p>
    <w:p w14:paraId="3F1F8A81" w14:textId="158FCE62" w:rsidR="00FB2F25" w:rsidRPr="000A44C2" w:rsidRDefault="00FB2F25" w:rsidP="00D12F5A">
      <w:pPr>
        <w:ind w:right="-170"/>
      </w:pPr>
      <w:r>
        <w:t xml:space="preserve">The </w:t>
      </w:r>
      <w:r w:rsidR="00D51313">
        <w:t xml:space="preserve">current </w:t>
      </w:r>
      <w:r>
        <w:t xml:space="preserve">data </w:t>
      </w:r>
      <w:r w:rsidRPr="000142B5">
        <w:rPr>
          <w:szCs w:val="22"/>
        </w:rPr>
        <w:t xml:space="preserve">supply timeline has been reproduced below </w:t>
      </w:r>
      <w:r w:rsidRPr="000A44C2">
        <w:t xml:space="preserve">in </w:t>
      </w:r>
      <w:r w:rsidRPr="00D51313">
        <w:rPr>
          <w:rStyle w:val="Emphasis"/>
          <w:i w:val="0"/>
        </w:rPr>
        <w:t>Table 1</w:t>
      </w:r>
      <w:r w:rsidR="00DE14E4">
        <w:rPr>
          <w:rStyle w:val="Emphasis"/>
          <w:i w:val="0"/>
        </w:rPr>
        <w:t>, Table 2</w:t>
      </w:r>
      <w:r w:rsidRPr="00D51313">
        <w:t xml:space="preserve"> and </w:t>
      </w:r>
      <w:r w:rsidRPr="00D51313">
        <w:rPr>
          <w:rStyle w:val="Emphasis"/>
          <w:i w:val="0"/>
        </w:rPr>
        <w:t xml:space="preserve">Table </w:t>
      </w:r>
      <w:r w:rsidR="00DE14E4">
        <w:rPr>
          <w:rStyle w:val="Emphasis"/>
          <w:i w:val="0"/>
        </w:rPr>
        <w:t>3</w:t>
      </w:r>
      <w:r w:rsidRPr="000A44C2">
        <w:t>.</w:t>
      </w:r>
    </w:p>
    <w:p w14:paraId="738518C7" w14:textId="14B58BE7" w:rsidR="00C93069" w:rsidRDefault="00FB2F25" w:rsidP="008E3F8B">
      <w:pPr>
        <w:pStyle w:val="TableHeading"/>
      </w:pPr>
      <w:r w:rsidRPr="007D0803">
        <w:lastRenderedPageBreak/>
        <w:t>Table 1: Activity data submission timeline</w:t>
      </w:r>
    </w:p>
    <w:tbl>
      <w:tblPr>
        <w:tblW w:w="500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Table 5 shows 7 column headings: &#10;Column 1 is the financial years; &#10;Column 2 is the data reporting period by quarter; &#10;Column 3 is the data Set Specification publication date; &#10;Column 4 is the date in which the data request is sent; &#10;Column 5 is the data submission date; &#10;Column 6 is the IHPA validation dates; and &#10;Column 7 is the resubmission date if required."/>
      </w:tblPr>
      <w:tblGrid>
        <w:gridCol w:w="1552"/>
        <w:gridCol w:w="2128"/>
        <w:gridCol w:w="1844"/>
        <w:gridCol w:w="1809"/>
        <w:gridCol w:w="1705"/>
      </w:tblGrid>
      <w:tr w:rsidR="00993C4B" w:rsidRPr="00993C4B" w14:paraId="323785D5" w14:textId="77777777" w:rsidTr="003D74F4">
        <w:trPr>
          <w:trHeight w:val="363"/>
          <w:tblHeader/>
        </w:trPr>
        <w:tc>
          <w:tcPr>
            <w:tcW w:w="859" w:type="pct"/>
            <w:shd w:val="clear" w:color="auto" w:fill="004200"/>
            <w:vAlign w:val="center"/>
          </w:tcPr>
          <w:p w14:paraId="54147284" w14:textId="77777777" w:rsidR="00C93069" w:rsidRPr="00993C4B" w:rsidRDefault="00C93069" w:rsidP="00993C4B">
            <w:pPr>
              <w:snapToGrid w:val="0"/>
              <w:spacing w:before="40" w:after="40" w:line="264" w:lineRule="auto"/>
              <w:jc w:val="center"/>
              <w:rPr>
                <w:rFonts w:cs="Arial"/>
                <w:color w:val="FFFFFF" w:themeColor="background1"/>
                <w:sz w:val="20"/>
                <w:szCs w:val="20"/>
              </w:rPr>
            </w:pPr>
            <w:r w:rsidRPr="00993C4B">
              <w:rPr>
                <w:rFonts w:cs="Arial"/>
                <w:color w:val="FFFFFF" w:themeColor="background1"/>
                <w:sz w:val="20"/>
                <w:szCs w:val="20"/>
              </w:rPr>
              <w:t>Financial year</w:t>
            </w:r>
          </w:p>
        </w:tc>
        <w:tc>
          <w:tcPr>
            <w:tcW w:w="1177" w:type="pct"/>
            <w:shd w:val="clear" w:color="auto" w:fill="004200"/>
            <w:vAlign w:val="center"/>
          </w:tcPr>
          <w:p w14:paraId="2F7A2545" w14:textId="77777777" w:rsidR="00C93069" w:rsidRPr="00993C4B" w:rsidRDefault="00C93069" w:rsidP="00993C4B">
            <w:pPr>
              <w:snapToGrid w:val="0"/>
              <w:spacing w:before="40" w:after="40" w:line="264" w:lineRule="auto"/>
              <w:jc w:val="center"/>
              <w:rPr>
                <w:rFonts w:cs="Arial"/>
                <w:color w:val="FFFFFF" w:themeColor="background1"/>
                <w:sz w:val="20"/>
                <w:szCs w:val="20"/>
              </w:rPr>
            </w:pPr>
            <w:r w:rsidRPr="00993C4B">
              <w:rPr>
                <w:rFonts w:cs="Arial"/>
                <w:color w:val="FFFFFF" w:themeColor="background1"/>
                <w:sz w:val="20"/>
                <w:szCs w:val="20"/>
              </w:rPr>
              <w:t>Data reporting period</w:t>
            </w:r>
          </w:p>
        </w:tc>
        <w:tc>
          <w:tcPr>
            <w:tcW w:w="1020" w:type="pct"/>
            <w:shd w:val="clear" w:color="auto" w:fill="004200"/>
            <w:vAlign w:val="center"/>
          </w:tcPr>
          <w:p w14:paraId="7BF49072" w14:textId="77777777" w:rsidR="00C93069" w:rsidRPr="00993C4B" w:rsidRDefault="00C93069" w:rsidP="00993C4B">
            <w:pPr>
              <w:snapToGrid w:val="0"/>
              <w:spacing w:before="40" w:after="40" w:line="264" w:lineRule="auto"/>
              <w:jc w:val="center"/>
              <w:rPr>
                <w:rFonts w:cs="Arial"/>
                <w:color w:val="FFFFFF" w:themeColor="background1"/>
                <w:sz w:val="20"/>
                <w:szCs w:val="20"/>
              </w:rPr>
            </w:pPr>
            <w:r w:rsidRPr="00993C4B">
              <w:rPr>
                <w:rFonts w:cs="Arial"/>
                <w:color w:val="FFFFFF" w:themeColor="background1"/>
                <w:sz w:val="20"/>
                <w:szCs w:val="20"/>
              </w:rPr>
              <w:t>NBEDS published</w:t>
            </w:r>
          </w:p>
        </w:tc>
        <w:tc>
          <w:tcPr>
            <w:tcW w:w="1001" w:type="pct"/>
            <w:shd w:val="clear" w:color="auto" w:fill="004200"/>
          </w:tcPr>
          <w:p w14:paraId="70565115" w14:textId="77777777" w:rsidR="00C93069" w:rsidRPr="00993C4B" w:rsidRDefault="00C93069" w:rsidP="00993C4B">
            <w:pPr>
              <w:snapToGrid w:val="0"/>
              <w:spacing w:before="40" w:after="40" w:line="264" w:lineRule="auto"/>
              <w:jc w:val="center"/>
              <w:rPr>
                <w:rFonts w:cs="Arial"/>
                <w:color w:val="FFFFFF" w:themeColor="background1"/>
                <w:sz w:val="20"/>
                <w:szCs w:val="20"/>
              </w:rPr>
            </w:pPr>
            <w:r w:rsidRPr="00993C4B">
              <w:rPr>
                <w:rFonts w:cs="Arial"/>
                <w:color w:val="FFFFFF" w:themeColor="background1"/>
                <w:sz w:val="20"/>
                <w:szCs w:val="20"/>
              </w:rPr>
              <w:t>Data request sent</w:t>
            </w:r>
          </w:p>
        </w:tc>
        <w:tc>
          <w:tcPr>
            <w:tcW w:w="943" w:type="pct"/>
            <w:shd w:val="clear" w:color="auto" w:fill="004200"/>
            <w:vAlign w:val="center"/>
          </w:tcPr>
          <w:p w14:paraId="3A719395" w14:textId="77777777" w:rsidR="00C93069" w:rsidRPr="00993C4B" w:rsidRDefault="00C93069" w:rsidP="00993C4B">
            <w:pPr>
              <w:snapToGrid w:val="0"/>
              <w:spacing w:before="40" w:after="40" w:line="264" w:lineRule="auto"/>
              <w:jc w:val="center"/>
              <w:rPr>
                <w:rFonts w:cs="Arial"/>
                <w:color w:val="FFFFFF" w:themeColor="background1"/>
                <w:sz w:val="20"/>
                <w:szCs w:val="20"/>
              </w:rPr>
            </w:pPr>
            <w:r w:rsidRPr="00993C4B">
              <w:rPr>
                <w:rFonts w:cs="Arial"/>
                <w:color w:val="FFFFFF" w:themeColor="background1"/>
                <w:sz w:val="20"/>
                <w:szCs w:val="20"/>
              </w:rPr>
              <w:t>Submission date</w:t>
            </w:r>
          </w:p>
        </w:tc>
      </w:tr>
      <w:tr w:rsidR="00993C4B" w:rsidRPr="00C93069" w14:paraId="22C27544" w14:textId="77777777" w:rsidTr="00993C4B">
        <w:trPr>
          <w:trHeight w:val="340"/>
        </w:trPr>
        <w:tc>
          <w:tcPr>
            <w:tcW w:w="859" w:type="pct"/>
            <w:vMerge w:val="restart"/>
            <w:shd w:val="clear" w:color="auto" w:fill="auto"/>
            <w:vAlign w:val="center"/>
          </w:tcPr>
          <w:p w14:paraId="171619E4" w14:textId="77777777" w:rsidR="00C93069" w:rsidRPr="00993C4B" w:rsidRDefault="00C93069" w:rsidP="00993C4B">
            <w:pPr>
              <w:snapToGrid w:val="0"/>
              <w:spacing w:before="40" w:after="40" w:line="264" w:lineRule="auto"/>
              <w:jc w:val="center"/>
              <w:rPr>
                <w:rFonts w:cs="Arial"/>
                <w:sz w:val="20"/>
                <w:szCs w:val="20"/>
              </w:rPr>
            </w:pPr>
            <w:r w:rsidRPr="00993C4B">
              <w:rPr>
                <w:rFonts w:cs="Arial"/>
                <w:sz w:val="20"/>
                <w:szCs w:val="20"/>
              </w:rPr>
              <w:t>2022–2023</w:t>
            </w:r>
          </w:p>
        </w:tc>
        <w:tc>
          <w:tcPr>
            <w:tcW w:w="1177" w:type="pct"/>
            <w:shd w:val="clear" w:color="auto" w:fill="auto"/>
            <w:noWrap/>
            <w:vAlign w:val="center"/>
          </w:tcPr>
          <w:p w14:paraId="45EC0DAE"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Sep Quarter</w:t>
            </w:r>
          </w:p>
        </w:tc>
        <w:tc>
          <w:tcPr>
            <w:tcW w:w="1020" w:type="pct"/>
            <w:vAlign w:val="center"/>
          </w:tcPr>
          <w:p w14:paraId="0BD59B7D"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31 Dec 2021</w:t>
            </w:r>
          </w:p>
        </w:tc>
        <w:tc>
          <w:tcPr>
            <w:tcW w:w="1001" w:type="pct"/>
            <w:vAlign w:val="center"/>
          </w:tcPr>
          <w:p w14:paraId="1CBAC4A2"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18 Mar 2022</w:t>
            </w:r>
          </w:p>
        </w:tc>
        <w:tc>
          <w:tcPr>
            <w:tcW w:w="943" w:type="pct"/>
            <w:shd w:val="clear" w:color="auto" w:fill="auto"/>
            <w:noWrap/>
            <w:vAlign w:val="center"/>
          </w:tcPr>
          <w:p w14:paraId="4416337F"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23 Dec 2022</w:t>
            </w:r>
          </w:p>
        </w:tc>
      </w:tr>
      <w:tr w:rsidR="00993C4B" w:rsidRPr="00C93069" w14:paraId="22FF4E35" w14:textId="77777777" w:rsidTr="00993C4B">
        <w:trPr>
          <w:trHeight w:val="340"/>
        </w:trPr>
        <w:tc>
          <w:tcPr>
            <w:tcW w:w="859" w:type="pct"/>
            <w:vMerge/>
            <w:shd w:val="clear" w:color="auto" w:fill="auto"/>
            <w:vAlign w:val="center"/>
          </w:tcPr>
          <w:p w14:paraId="19197B49"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019B613C"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Dec Quarter</w:t>
            </w:r>
          </w:p>
        </w:tc>
        <w:tc>
          <w:tcPr>
            <w:tcW w:w="1020" w:type="pct"/>
            <w:vAlign w:val="center"/>
          </w:tcPr>
          <w:p w14:paraId="40EDF9BD"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31 Dec 2021</w:t>
            </w:r>
          </w:p>
        </w:tc>
        <w:tc>
          <w:tcPr>
            <w:tcW w:w="1001" w:type="pct"/>
            <w:vAlign w:val="center"/>
          </w:tcPr>
          <w:p w14:paraId="04929152"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18 Mar 2022</w:t>
            </w:r>
          </w:p>
        </w:tc>
        <w:tc>
          <w:tcPr>
            <w:tcW w:w="943" w:type="pct"/>
            <w:shd w:val="clear" w:color="auto" w:fill="auto"/>
            <w:noWrap/>
            <w:vAlign w:val="center"/>
          </w:tcPr>
          <w:p w14:paraId="05DDA493"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31 Mar 2023</w:t>
            </w:r>
          </w:p>
        </w:tc>
      </w:tr>
      <w:tr w:rsidR="00993C4B" w:rsidRPr="00C93069" w14:paraId="7A088A91" w14:textId="77777777" w:rsidTr="00993C4B">
        <w:trPr>
          <w:trHeight w:val="340"/>
        </w:trPr>
        <w:tc>
          <w:tcPr>
            <w:tcW w:w="859" w:type="pct"/>
            <w:vMerge/>
            <w:shd w:val="clear" w:color="auto" w:fill="auto"/>
            <w:vAlign w:val="center"/>
          </w:tcPr>
          <w:p w14:paraId="37680093"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2BEADF85"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Mar Quarter</w:t>
            </w:r>
          </w:p>
        </w:tc>
        <w:tc>
          <w:tcPr>
            <w:tcW w:w="1020" w:type="pct"/>
            <w:vAlign w:val="center"/>
          </w:tcPr>
          <w:p w14:paraId="6C8DBC2B"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31 Dec 2021</w:t>
            </w:r>
          </w:p>
        </w:tc>
        <w:tc>
          <w:tcPr>
            <w:tcW w:w="1001" w:type="pct"/>
            <w:vAlign w:val="center"/>
          </w:tcPr>
          <w:p w14:paraId="1478A912"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18 Mar 2022</w:t>
            </w:r>
          </w:p>
        </w:tc>
        <w:tc>
          <w:tcPr>
            <w:tcW w:w="943" w:type="pct"/>
            <w:shd w:val="clear" w:color="auto" w:fill="auto"/>
            <w:noWrap/>
            <w:vAlign w:val="center"/>
          </w:tcPr>
          <w:p w14:paraId="73FADD4B"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30 Jun 2023</w:t>
            </w:r>
          </w:p>
        </w:tc>
      </w:tr>
      <w:tr w:rsidR="00993C4B" w:rsidRPr="00C93069" w14:paraId="0A873F28" w14:textId="77777777" w:rsidTr="00993C4B">
        <w:trPr>
          <w:trHeight w:val="340"/>
        </w:trPr>
        <w:tc>
          <w:tcPr>
            <w:tcW w:w="859" w:type="pct"/>
            <w:vMerge/>
            <w:shd w:val="clear" w:color="auto" w:fill="auto"/>
            <w:vAlign w:val="center"/>
          </w:tcPr>
          <w:p w14:paraId="34B8D47D"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31BC83F9"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Jun Quarter</w:t>
            </w:r>
          </w:p>
        </w:tc>
        <w:tc>
          <w:tcPr>
            <w:tcW w:w="1020" w:type="pct"/>
            <w:vAlign w:val="center"/>
          </w:tcPr>
          <w:p w14:paraId="281FA2A7"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31 Dec 2021</w:t>
            </w:r>
          </w:p>
        </w:tc>
        <w:tc>
          <w:tcPr>
            <w:tcW w:w="1001" w:type="pct"/>
            <w:vAlign w:val="center"/>
          </w:tcPr>
          <w:p w14:paraId="60AFA72C"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18 Mar 2022</w:t>
            </w:r>
          </w:p>
        </w:tc>
        <w:tc>
          <w:tcPr>
            <w:tcW w:w="943" w:type="pct"/>
            <w:shd w:val="clear" w:color="auto" w:fill="auto"/>
            <w:noWrap/>
            <w:vAlign w:val="center"/>
          </w:tcPr>
          <w:p w14:paraId="4DAD4044"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29 Sep 2023</w:t>
            </w:r>
          </w:p>
        </w:tc>
      </w:tr>
      <w:tr w:rsidR="00993C4B" w:rsidRPr="00C93069" w14:paraId="7194719C" w14:textId="77777777" w:rsidTr="00993C4B">
        <w:trPr>
          <w:trHeight w:val="340"/>
        </w:trPr>
        <w:tc>
          <w:tcPr>
            <w:tcW w:w="859" w:type="pct"/>
            <w:vMerge w:val="restart"/>
            <w:shd w:val="clear" w:color="auto" w:fill="auto"/>
            <w:vAlign w:val="center"/>
          </w:tcPr>
          <w:p w14:paraId="018E9BD4" w14:textId="580EB7C7" w:rsidR="00C93069" w:rsidRPr="00993C4B" w:rsidRDefault="00C93069" w:rsidP="00993C4B">
            <w:pPr>
              <w:snapToGrid w:val="0"/>
              <w:spacing w:before="40" w:after="40" w:line="264" w:lineRule="auto"/>
              <w:jc w:val="center"/>
              <w:rPr>
                <w:rFonts w:cs="Arial"/>
                <w:sz w:val="20"/>
                <w:szCs w:val="20"/>
              </w:rPr>
            </w:pPr>
            <w:r w:rsidRPr="00993C4B">
              <w:rPr>
                <w:rFonts w:cs="Arial"/>
                <w:sz w:val="20"/>
                <w:szCs w:val="20"/>
              </w:rPr>
              <w:t>2023–2024</w:t>
            </w:r>
          </w:p>
        </w:tc>
        <w:tc>
          <w:tcPr>
            <w:tcW w:w="1177" w:type="pct"/>
            <w:shd w:val="clear" w:color="auto" w:fill="auto"/>
            <w:noWrap/>
            <w:vAlign w:val="center"/>
          </w:tcPr>
          <w:p w14:paraId="56FCD3A1"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Sep Quarter</w:t>
            </w:r>
          </w:p>
        </w:tc>
        <w:tc>
          <w:tcPr>
            <w:tcW w:w="1020" w:type="pct"/>
            <w:vAlign w:val="center"/>
          </w:tcPr>
          <w:p w14:paraId="3C4FA97F"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31 Dec 2022</w:t>
            </w:r>
          </w:p>
        </w:tc>
        <w:tc>
          <w:tcPr>
            <w:tcW w:w="1001" w:type="pct"/>
            <w:vAlign w:val="center"/>
          </w:tcPr>
          <w:p w14:paraId="5726428E"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17 Mar 2023</w:t>
            </w:r>
          </w:p>
        </w:tc>
        <w:tc>
          <w:tcPr>
            <w:tcW w:w="943" w:type="pct"/>
            <w:shd w:val="clear" w:color="auto" w:fill="auto"/>
            <w:noWrap/>
            <w:vAlign w:val="center"/>
          </w:tcPr>
          <w:p w14:paraId="71D41E1F"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22 Dec 2023</w:t>
            </w:r>
          </w:p>
        </w:tc>
      </w:tr>
      <w:tr w:rsidR="00993C4B" w:rsidRPr="00C93069" w14:paraId="527B92B1" w14:textId="77777777" w:rsidTr="00993C4B">
        <w:trPr>
          <w:trHeight w:val="340"/>
        </w:trPr>
        <w:tc>
          <w:tcPr>
            <w:tcW w:w="859" w:type="pct"/>
            <w:vMerge/>
            <w:shd w:val="clear" w:color="auto" w:fill="auto"/>
            <w:vAlign w:val="center"/>
          </w:tcPr>
          <w:p w14:paraId="66D772AB"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7256F3D8"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Dec Quarter</w:t>
            </w:r>
          </w:p>
        </w:tc>
        <w:tc>
          <w:tcPr>
            <w:tcW w:w="1020" w:type="pct"/>
            <w:vAlign w:val="center"/>
          </w:tcPr>
          <w:p w14:paraId="0CD58AA0"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31 Dec 2022</w:t>
            </w:r>
          </w:p>
        </w:tc>
        <w:tc>
          <w:tcPr>
            <w:tcW w:w="1001" w:type="pct"/>
            <w:vAlign w:val="center"/>
          </w:tcPr>
          <w:p w14:paraId="7733D7FD"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17 Mar 2023</w:t>
            </w:r>
          </w:p>
        </w:tc>
        <w:tc>
          <w:tcPr>
            <w:tcW w:w="943" w:type="pct"/>
            <w:shd w:val="clear" w:color="auto" w:fill="auto"/>
            <w:noWrap/>
            <w:vAlign w:val="center"/>
          </w:tcPr>
          <w:p w14:paraId="1AF20A23"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29 Mar 2024</w:t>
            </w:r>
          </w:p>
        </w:tc>
      </w:tr>
      <w:tr w:rsidR="00993C4B" w:rsidRPr="00C93069" w14:paraId="0E224DF2" w14:textId="77777777" w:rsidTr="00993C4B">
        <w:trPr>
          <w:trHeight w:val="340"/>
        </w:trPr>
        <w:tc>
          <w:tcPr>
            <w:tcW w:w="859" w:type="pct"/>
            <w:vMerge/>
            <w:shd w:val="clear" w:color="auto" w:fill="auto"/>
            <w:vAlign w:val="center"/>
          </w:tcPr>
          <w:p w14:paraId="69B7700F"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3D52CE89"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Mar Quarter</w:t>
            </w:r>
          </w:p>
        </w:tc>
        <w:tc>
          <w:tcPr>
            <w:tcW w:w="1020" w:type="pct"/>
            <w:vAlign w:val="center"/>
          </w:tcPr>
          <w:p w14:paraId="2CCA2481"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31 Dec 2022</w:t>
            </w:r>
          </w:p>
        </w:tc>
        <w:tc>
          <w:tcPr>
            <w:tcW w:w="1001" w:type="pct"/>
            <w:vAlign w:val="center"/>
          </w:tcPr>
          <w:p w14:paraId="61E72E52"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17 Mar 2023</w:t>
            </w:r>
          </w:p>
        </w:tc>
        <w:tc>
          <w:tcPr>
            <w:tcW w:w="943" w:type="pct"/>
            <w:shd w:val="clear" w:color="auto" w:fill="auto"/>
            <w:noWrap/>
            <w:vAlign w:val="center"/>
          </w:tcPr>
          <w:p w14:paraId="7CE8E83C"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28 Jun 2024</w:t>
            </w:r>
          </w:p>
        </w:tc>
      </w:tr>
      <w:tr w:rsidR="00993C4B" w:rsidRPr="00C93069" w14:paraId="0309B19A" w14:textId="77777777" w:rsidTr="00993C4B">
        <w:trPr>
          <w:trHeight w:val="340"/>
        </w:trPr>
        <w:tc>
          <w:tcPr>
            <w:tcW w:w="859" w:type="pct"/>
            <w:vMerge/>
            <w:shd w:val="clear" w:color="auto" w:fill="auto"/>
            <w:vAlign w:val="center"/>
          </w:tcPr>
          <w:p w14:paraId="5514F20A"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1F963B28"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Jun Quarter</w:t>
            </w:r>
          </w:p>
        </w:tc>
        <w:tc>
          <w:tcPr>
            <w:tcW w:w="1020" w:type="pct"/>
            <w:vAlign w:val="center"/>
          </w:tcPr>
          <w:p w14:paraId="616838FB"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31 Dec 2022</w:t>
            </w:r>
          </w:p>
        </w:tc>
        <w:tc>
          <w:tcPr>
            <w:tcW w:w="1001" w:type="pct"/>
            <w:vAlign w:val="center"/>
          </w:tcPr>
          <w:p w14:paraId="765EF203"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17 Mar 2023</w:t>
            </w:r>
          </w:p>
        </w:tc>
        <w:tc>
          <w:tcPr>
            <w:tcW w:w="943" w:type="pct"/>
            <w:shd w:val="clear" w:color="auto" w:fill="auto"/>
            <w:noWrap/>
            <w:vAlign w:val="center"/>
          </w:tcPr>
          <w:p w14:paraId="33774E75" w14:textId="77777777" w:rsidR="00C93069" w:rsidRPr="00A01EC6" w:rsidRDefault="00C93069" w:rsidP="00993C4B">
            <w:pPr>
              <w:snapToGrid w:val="0"/>
              <w:spacing w:before="40" w:after="40" w:line="264" w:lineRule="auto"/>
              <w:jc w:val="center"/>
              <w:rPr>
                <w:rFonts w:cs="Arial"/>
                <w:sz w:val="20"/>
                <w:szCs w:val="20"/>
              </w:rPr>
            </w:pPr>
            <w:r w:rsidRPr="00A01EC6">
              <w:rPr>
                <w:rFonts w:cs="Arial"/>
                <w:sz w:val="20"/>
                <w:szCs w:val="20"/>
              </w:rPr>
              <w:t>30 Sep 2024</w:t>
            </w:r>
          </w:p>
        </w:tc>
      </w:tr>
      <w:tr w:rsidR="00993C4B" w:rsidRPr="00C93069" w14:paraId="33B90439" w14:textId="77777777" w:rsidTr="00993C4B">
        <w:trPr>
          <w:trHeight w:val="340"/>
        </w:trPr>
        <w:tc>
          <w:tcPr>
            <w:tcW w:w="859" w:type="pct"/>
            <w:vMerge w:val="restart"/>
            <w:shd w:val="clear" w:color="auto" w:fill="auto"/>
            <w:vAlign w:val="center"/>
          </w:tcPr>
          <w:p w14:paraId="2A55F7A1" w14:textId="3D56DBB9" w:rsidR="00C93069" w:rsidRPr="00993C4B" w:rsidRDefault="00C93069" w:rsidP="00993C4B">
            <w:pPr>
              <w:snapToGrid w:val="0"/>
              <w:spacing w:before="40" w:after="40" w:line="264" w:lineRule="auto"/>
              <w:jc w:val="center"/>
              <w:rPr>
                <w:rFonts w:cs="Arial"/>
                <w:sz w:val="20"/>
                <w:szCs w:val="20"/>
              </w:rPr>
            </w:pPr>
            <w:r w:rsidRPr="00993C4B">
              <w:rPr>
                <w:rFonts w:cs="Arial"/>
                <w:sz w:val="20"/>
                <w:szCs w:val="20"/>
              </w:rPr>
              <w:t>2024–2025</w:t>
            </w:r>
          </w:p>
        </w:tc>
        <w:tc>
          <w:tcPr>
            <w:tcW w:w="1177" w:type="pct"/>
            <w:shd w:val="clear" w:color="auto" w:fill="auto"/>
            <w:noWrap/>
            <w:vAlign w:val="center"/>
          </w:tcPr>
          <w:p w14:paraId="3F09B554" w14:textId="77777777" w:rsidR="00C93069" w:rsidRPr="00EB75FE" w:rsidRDefault="00C93069" w:rsidP="00993C4B">
            <w:pPr>
              <w:snapToGrid w:val="0"/>
              <w:spacing w:before="40" w:after="40" w:line="264" w:lineRule="auto"/>
              <w:jc w:val="center"/>
              <w:rPr>
                <w:rFonts w:cs="Arial"/>
                <w:sz w:val="20"/>
                <w:szCs w:val="20"/>
              </w:rPr>
            </w:pPr>
            <w:r w:rsidRPr="00EB75FE">
              <w:rPr>
                <w:rFonts w:cs="Arial"/>
                <w:color w:val="000000"/>
                <w:sz w:val="20"/>
                <w:szCs w:val="20"/>
              </w:rPr>
              <w:t>Sep Quarter</w:t>
            </w:r>
          </w:p>
        </w:tc>
        <w:tc>
          <w:tcPr>
            <w:tcW w:w="1020" w:type="pct"/>
            <w:vAlign w:val="center"/>
          </w:tcPr>
          <w:p w14:paraId="727E292F"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31 Dec 2023</w:t>
            </w:r>
          </w:p>
        </w:tc>
        <w:tc>
          <w:tcPr>
            <w:tcW w:w="1001" w:type="pct"/>
            <w:vAlign w:val="center"/>
          </w:tcPr>
          <w:p w14:paraId="6CFEEFD3"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22 Mar 2024</w:t>
            </w:r>
          </w:p>
        </w:tc>
        <w:tc>
          <w:tcPr>
            <w:tcW w:w="943" w:type="pct"/>
            <w:shd w:val="clear" w:color="auto" w:fill="auto"/>
            <w:noWrap/>
            <w:vAlign w:val="center"/>
          </w:tcPr>
          <w:p w14:paraId="0B436652" w14:textId="77777777" w:rsidR="00C93069" w:rsidRPr="00EB75FE" w:rsidRDefault="00C93069" w:rsidP="00993C4B">
            <w:pPr>
              <w:snapToGrid w:val="0"/>
              <w:spacing w:before="40" w:after="40" w:line="264" w:lineRule="auto"/>
              <w:jc w:val="center"/>
              <w:rPr>
                <w:rFonts w:cs="Arial"/>
                <w:sz w:val="20"/>
                <w:szCs w:val="20"/>
              </w:rPr>
            </w:pPr>
            <w:r w:rsidRPr="00EB75FE">
              <w:rPr>
                <w:rFonts w:cs="Arial"/>
                <w:sz w:val="20"/>
                <w:szCs w:val="20"/>
              </w:rPr>
              <w:t>22 Dec 2024</w:t>
            </w:r>
          </w:p>
        </w:tc>
      </w:tr>
      <w:tr w:rsidR="00993C4B" w:rsidRPr="00C93069" w14:paraId="6AC1D35D" w14:textId="77777777" w:rsidTr="00993C4B">
        <w:trPr>
          <w:trHeight w:val="340"/>
        </w:trPr>
        <w:tc>
          <w:tcPr>
            <w:tcW w:w="859" w:type="pct"/>
            <w:vMerge/>
            <w:shd w:val="clear" w:color="auto" w:fill="auto"/>
            <w:vAlign w:val="center"/>
          </w:tcPr>
          <w:p w14:paraId="5BE3CD88"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4D50B78B" w14:textId="77777777" w:rsidR="00C93069" w:rsidRPr="006F7BDB" w:rsidRDefault="00C93069" w:rsidP="00993C4B">
            <w:pPr>
              <w:snapToGrid w:val="0"/>
              <w:spacing w:before="40" w:after="40" w:line="264" w:lineRule="auto"/>
              <w:jc w:val="center"/>
              <w:rPr>
                <w:rFonts w:cs="Arial"/>
                <w:sz w:val="20"/>
                <w:szCs w:val="20"/>
              </w:rPr>
            </w:pPr>
            <w:r w:rsidRPr="006F7BDB">
              <w:rPr>
                <w:rFonts w:cs="Arial"/>
                <w:color w:val="000000"/>
                <w:sz w:val="20"/>
                <w:szCs w:val="20"/>
              </w:rPr>
              <w:t>Dec Quarter</w:t>
            </w:r>
          </w:p>
        </w:tc>
        <w:tc>
          <w:tcPr>
            <w:tcW w:w="1020" w:type="pct"/>
            <w:vAlign w:val="center"/>
          </w:tcPr>
          <w:p w14:paraId="2C9E20DF"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31 Dec 2023</w:t>
            </w:r>
          </w:p>
        </w:tc>
        <w:tc>
          <w:tcPr>
            <w:tcW w:w="1001" w:type="pct"/>
            <w:vAlign w:val="center"/>
          </w:tcPr>
          <w:p w14:paraId="495FC887"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22 Mar 2024</w:t>
            </w:r>
          </w:p>
        </w:tc>
        <w:tc>
          <w:tcPr>
            <w:tcW w:w="943" w:type="pct"/>
            <w:shd w:val="clear" w:color="auto" w:fill="auto"/>
            <w:noWrap/>
            <w:vAlign w:val="center"/>
          </w:tcPr>
          <w:p w14:paraId="7A9CC1C0"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29 Mar 2025</w:t>
            </w:r>
          </w:p>
        </w:tc>
      </w:tr>
      <w:tr w:rsidR="00993C4B" w:rsidRPr="00C93069" w14:paraId="417694DA" w14:textId="77777777" w:rsidTr="00993C4B">
        <w:trPr>
          <w:trHeight w:val="340"/>
        </w:trPr>
        <w:tc>
          <w:tcPr>
            <w:tcW w:w="859" w:type="pct"/>
            <w:vMerge/>
            <w:shd w:val="clear" w:color="auto" w:fill="auto"/>
            <w:vAlign w:val="center"/>
          </w:tcPr>
          <w:p w14:paraId="28D6974A"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4B76B910" w14:textId="77777777" w:rsidR="00C93069" w:rsidRPr="006F7BDB" w:rsidRDefault="00C93069" w:rsidP="00993C4B">
            <w:pPr>
              <w:snapToGrid w:val="0"/>
              <w:spacing w:before="40" w:after="40" w:line="264" w:lineRule="auto"/>
              <w:jc w:val="center"/>
              <w:rPr>
                <w:rFonts w:cs="Arial"/>
                <w:sz w:val="20"/>
                <w:szCs w:val="20"/>
              </w:rPr>
            </w:pPr>
            <w:r w:rsidRPr="006F7BDB">
              <w:rPr>
                <w:rFonts w:cs="Arial"/>
                <w:color w:val="000000"/>
                <w:sz w:val="20"/>
                <w:szCs w:val="20"/>
              </w:rPr>
              <w:t>Mar Quarter</w:t>
            </w:r>
          </w:p>
        </w:tc>
        <w:tc>
          <w:tcPr>
            <w:tcW w:w="1020" w:type="pct"/>
            <w:vAlign w:val="center"/>
          </w:tcPr>
          <w:p w14:paraId="24A68A15"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31 Dec 2023</w:t>
            </w:r>
          </w:p>
        </w:tc>
        <w:tc>
          <w:tcPr>
            <w:tcW w:w="1001" w:type="pct"/>
            <w:vAlign w:val="center"/>
          </w:tcPr>
          <w:p w14:paraId="240C175B"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22 Mar 2024</w:t>
            </w:r>
          </w:p>
        </w:tc>
        <w:tc>
          <w:tcPr>
            <w:tcW w:w="943" w:type="pct"/>
            <w:shd w:val="clear" w:color="auto" w:fill="auto"/>
            <w:noWrap/>
            <w:vAlign w:val="center"/>
          </w:tcPr>
          <w:p w14:paraId="7EE8BBB9"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28 Jun 2025</w:t>
            </w:r>
          </w:p>
        </w:tc>
      </w:tr>
      <w:tr w:rsidR="00993C4B" w:rsidRPr="00C93069" w14:paraId="3F090868" w14:textId="77777777" w:rsidTr="00993C4B">
        <w:trPr>
          <w:trHeight w:val="340"/>
        </w:trPr>
        <w:tc>
          <w:tcPr>
            <w:tcW w:w="859" w:type="pct"/>
            <w:vMerge/>
            <w:shd w:val="clear" w:color="auto" w:fill="auto"/>
            <w:vAlign w:val="center"/>
          </w:tcPr>
          <w:p w14:paraId="7D3957B8" w14:textId="77777777" w:rsidR="00C93069" w:rsidRPr="006F7BDB" w:rsidRDefault="00C93069">
            <w:pPr>
              <w:snapToGrid w:val="0"/>
              <w:spacing w:before="40" w:after="40" w:line="264" w:lineRule="auto"/>
              <w:jc w:val="center"/>
              <w:rPr>
                <w:rFonts w:cs="Arial"/>
                <w:sz w:val="20"/>
                <w:szCs w:val="20"/>
              </w:rPr>
            </w:pPr>
          </w:p>
        </w:tc>
        <w:tc>
          <w:tcPr>
            <w:tcW w:w="1177" w:type="pct"/>
            <w:shd w:val="clear" w:color="auto" w:fill="auto"/>
            <w:noWrap/>
            <w:vAlign w:val="center"/>
          </w:tcPr>
          <w:p w14:paraId="1BE71699" w14:textId="77777777" w:rsidR="00C93069" w:rsidRPr="006F7BDB" w:rsidRDefault="00C93069" w:rsidP="00993C4B">
            <w:pPr>
              <w:snapToGrid w:val="0"/>
              <w:spacing w:before="40" w:after="40" w:line="264" w:lineRule="auto"/>
              <w:jc w:val="center"/>
              <w:rPr>
                <w:rFonts w:cs="Arial"/>
                <w:sz w:val="20"/>
                <w:szCs w:val="20"/>
              </w:rPr>
            </w:pPr>
            <w:r w:rsidRPr="006F7BDB">
              <w:rPr>
                <w:rFonts w:cs="Arial"/>
                <w:color w:val="000000"/>
                <w:sz w:val="20"/>
                <w:szCs w:val="20"/>
              </w:rPr>
              <w:t>Jun Quarter</w:t>
            </w:r>
          </w:p>
        </w:tc>
        <w:tc>
          <w:tcPr>
            <w:tcW w:w="1020" w:type="pct"/>
            <w:vAlign w:val="center"/>
          </w:tcPr>
          <w:p w14:paraId="0B5A9CAA"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31 Dec 2023</w:t>
            </w:r>
          </w:p>
        </w:tc>
        <w:tc>
          <w:tcPr>
            <w:tcW w:w="1001" w:type="pct"/>
            <w:vAlign w:val="center"/>
          </w:tcPr>
          <w:p w14:paraId="2E38D843"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22 Mar 2024</w:t>
            </w:r>
          </w:p>
        </w:tc>
        <w:tc>
          <w:tcPr>
            <w:tcW w:w="943" w:type="pct"/>
            <w:shd w:val="clear" w:color="auto" w:fill="auto"/>
            <w:noWrap/>
            <w:vAlign w:val="center"/>
          </w:tcPr>
          <w:p w14:paraId="55CD4626" w14:textId="77777777" w:rsidR="00C93069" w:rsidRPr="006F7BDB" w:rsidRDefault="00C93069" w:rsidP="00993C4B">
            <w:pPr>
              <w:snapToGrid w:val="0"/>
              <w:spacing w:before="40" w:after="40" w:line="264" w:lineRule="auto"/>
              <w:jc w:val="center"/>
              <w:rPr>
                <w:rFonts w:cs="Arial"/>
                <w:sz w:val="20"/>
                <w:szCs w:val="20"/>
              </w:rPr>
            </w:pPr>
            <w:r w:rsidRPr="006F7BDB">
              <w:rPr>
                <w:rFonts w:cs="Arial"/>
                <w:sz w:val="20"/>
                <w:szCs w:val="20"/>
              </w:rPr>
              <w:t>30 Sep 2025</w:t>
            </w:r>
          </w:p>
        </w:tc>
      </w:tr>
    </w:tbl>
    <w:p w14:paraId="00FE07BD" w14:textId="65DAC446" w:rsidR="0089074F" w:rsidRDefault="00FB2F25" w:rsidP="00EB75FE">
      <w:pPr>
        <w:pStyle w:val="TableHeading"/>
      </w:pPr>
      <w:bookmarkStart w:id="70" w:name="_Ref314750063"/>
      <w:bookmarkStart w:id="71" w:name="_Toc324860403"/>
      <w:r w:rsidRPr="007D0803">
        <w:t>Table 2: National Hospital Cost Data Collection data submission timeline</w:t>
      </w:r>
    </w:p>
    <w:tbl>
      <w:tblPr>
        <w:tblW w:w="499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39"/>
        <w:gridCol w:w="2339"/>
        <w:gridCol w:w="2177"/>
        <w:gridCol w:w="2177"/>
      </w:tblGrid>
      <w:tr w:rsidR="0089074F" w:rsidRPr="003D74F4" w14:paraId="549446D0" w14:textId="77777777" w:rsidTr="003D74F4">
        <w:trPr>
          <w:trHeight w:val="363"/>
          <w:tblHeader/>
          <w:jc w:val="center"/>
        </w:trPr>
        <w:tc>
          <w:tcPr>
            <w:tcW w:w="1295" w:type="pct"/>
            <w:shd w:val="clear" w:color="auto" w:fill="004200"/>
            <w:vAlign w:val="center"/>
          </w:tcPr>
          <w:p w14:paraId="2C7B8B85" w14:textId="77777777" w:rsidR="0089074F" w:rsidRPr="003D74F4" w:rsidRDefault="0089074F" w:rsidP="00F81DF2">
            <w:pPr>
              <w:snapToGrid w:val="0"/>
              <w:spacing w:before="40" w:after="40" w:line="264" w:lineRule="auto"/>
              <w:jc w:val="center"/>
              <w:rPr>
                <w:rFonts w:cs="Arial"/>
                <w:color w:val="FFFFFF" w:themeColor="background1"/>
                <w:sz w:val="20"/>
                <w:szCs w:val="20"/>
              </w:rPr>
            </w:pPr>
            <w:r w:rsidRPr="003D74F4">
              <w:rPr>
                <w:rFonts w:cs="Arial"/>
                <w:color w:val="FFFFFF" w:themeColor="background1"/>
                <w:sz w:val="20"/>
                <w:szCs w:val="20"/>
              </w:rPr>
              <w:t>NHCDC Round</w:t>
            </w:r>
          </w:p>
        </w:tc>
        <w:tc>
          <w:tcPr>
            <w:tcW w:w="1295" w:type="pct"/>
            <w:shd w:val="clear" w:color="auto" w:fill="004200"/>
            <w:vAlign w:val="center"/>
          </w:tcPr>
          <w:p w14:paraId="1AA42717" w14:textId="77777777" w:rsidR="0089074F" w:rsidRPr="003D74F4" w:rsidRDefault="0089074F" w:rsidP="00F81DF2">
            <w:pPr>
              <w:snapToGrid w:val="0"/>
              <w:spacing w:before="40" w:after="40" w:line="264" w:lineRule="auto"/>
              <w:jc w:val="center"/>
              <w:rPr>
                <w:rFonts w:cs="Arial"/>
                <w:color w:val="FFFFFF" w:themeColor="background1"/>
                <w:sz w:val="20"/>
                <w:szCs w:val="20"/>
              </w:rPr>
            </w:pPr>
            <w:r w:rsidRPr="003D74F4">
              <w:rPr>
                <w:rFonts w:cs="Arial"/>
                <w:color w:val="FFFFFF" w:themeColor="background1"/>
                <w:sz w:val="20"/>
                <w:szCs w:val="20"/>
              </w:rPr>
              <w:t>Data reporting period</w:t>
            </w:r>
          </w:p>
        </w:tc>
        <w:tc>
          <w:tcPr>
            <w:tcW w:w="1205" w:type="pct"/>
            <w:shd w:val="clear" w:color="auto" w:fill="004200"/>
            <w:vAlign w:val="center"/>
          </w:tcPr>
          <w:p w14:paraId="267C5E0F" w14:textId="77777777" w:rsidR="0089074F" w:rsidRPr="003D74F4" w:rsidRDefault="0089074F" w:rsidP="00F81DF2">
            <w:pPr>
              <w:snapToGrid w:val="0"/>
              <w:spacing w:before="40" w:after="40" w:line="264" w:lineRule="auto"/>
              <w:jc w:val="center"/>
              <w:rPr>
                <w:rFonts w:cs="Arial"/>
                <w:color w:val="FFFFFF" w:themeColor="background1"/>
                <w:sz w:val="20"/>
                <w:szCs w:val="20"/>
              </w:rPr>
            </w:pPr>
            <w:r w:rsidRPr="003D74F4">
              <w:rPr>
                <w:rFonts w:cs="Arial"/>
                <w:color w:val="FFFFFF" w:themeColor="background1"/>
                <w:sz w:val="20"/>
                <w:szCs w:val="20"/>
              </w:rPr>
              <w:t>Data request sent</w:t>
            </w:r>
          </w:p>
        </w:tc>
        <w:tc>
          <w:tcPr>
            <w:tcW w:w="1205" w:type="pct"/>
            <w:shd w:val="clear" w:color="auto" w:fill="004200"/>
            <w:vAlign w:val="center"/>
          </w:tcPr>
          <w:p w14:paraId="0C31263A" w14:textId="77777777" w:rsidR="0089074F" w:rsidRPr="003D74F4" w:rsidRDefault="0089074F" w:rsidP="00F81DF2">
            <w:pPr>
              <w:snapToGrid w:val="0"/>
              <w:spacing w:before="40" w:after="40" w:line="264" w:lineRule="auto"/>
              <w:jc w:val="center"/>
              <w:rPr>
                <w:rFonts w:cs="Arial"/>
                <w:color w:val="FFFFFF" w:themeColor="background1"/>
                <w:sz w:val="20"/>
                <w:szCs w:val="20"/>
              </w:rPr>
            </w:pPr>
            <w:r w:rsidRPr="003D74F4">
              <w:rPr>
                <w:rFonts w:cs="Arial"/>
                <w:color w:val="FFFFFF" w:themeColor="background1"/>
                <w:sz w:val="20"/>
                <w:szCs w:val="20"/>
              </w:rPr>
              <w:t>Submission date</w:t>
            </w:r>
          </w:p>
        </w:tc>
      </w:tr>
      <w:tr w:rsidR="0089074F" w:rsidRPr="0089074F" w14:paraId="28896AE9" w14:textId="77777777" w:rsidTr="003D74F4">
        <w:trPr>
          <w:trHeight w:val="255"/>
          <w:jc w:val="center"/>
        </w:trPr>
        <w:tc>
          <w:tcPr>
            <w:tcW w:w="1295" w:type="pct"/>
            <w:vAlign w:val="center"/>
          </w:tcPr>
          <w:p w14:paraId="576D838C" w14:textId="015AE080" w:rsidR="0089074F" w:rsidRPr="000876BE" w:rsidRDefault="00DA2C1D" w:rsidP="00F81DF2">
            <w:pPr>
              <w:snapToGrid w:val="0"/>
              <w:spacing w:before="40" w:after="0" w:line="264" w:lineRule="auto"/>
              <w:jc w:val="center"/>
              <w:rPr>
                <w:rFonts w:cs="Arial"/>
                <w:sz w:val="20"/>
                <w:szCs w:val="20"/>
              </w:rPr>
            </w:pPr>
            <w:r w:rsidRPr="000876BE">
              <w:rPr>
                <w:rFonts w:cs="Arial"/>
                <w:sz w:val="20"/>
                <w:szCs w:val="20"/>
              </w:rPr>
              <w:t>26</w:t>
            </w:r>
          </w:p>
        </w:tc>
        <w:tc>
          <w:tcPr>
            <w:tcW w:w="1295" w:type="pct"/>
            <w:shd w:val="clear" w:color="auto" w:fill="auto"/>
            <w:noWrap/>
            <w:vAlign w:val="center"/>
          </w:tcPr>
          <w:p w14:paraId="1F5C7C43" w14:textId="4073CD68" w:rsidR="0089074F" w:rsidRPr="00EB75FE" w:rsidRDefault="00DA2C1D" w:rsidP="00F81DF2">
            <w:pPr>
              <w:snapToGrid w:val="0"/>
              <w:spacing w:before="40" w:after="0" w:line="264" w:lineRule="auto"/>
              <w:jc w:val="center"/>
              <w:rPr>
                <w:rFonts w:cs="Arial"/>
                <w:sz w:val="20"/>
                <w:szCs w:val="20"/>
              </w:rPr>
            </w:pPr>
            <w:r>
              <w:rPr>
                <w:rFonts w:cs="Arial"/>
                <w:sz w:val="20"/>
                <w:szCs w:val="20"/>
              </w:rPr>
              <w:t>2021–22</w:t>
            </w:r>
          </w:p>
        </w:tc>
        <w:tc>
          <w:tcPr>
            <w:tcW w:w="1205" w:type="pct"/>
            <w:vAlign w:val="center"/>
          </w:tcPr>
          <w:p w14:paraId="3A17C71E" w14:textId="027F9DBB" w:rsidR="0089074F" w:rsidRPr="00EB75FE" w:rsidRDefault="00DA2C1D" w:rsidP="00F81DF2">
            <w:pPr>
              <w:snapToGrid w:val="0"/>
              <w:spacing w:before="40" w:after="0" w:line="264" w:lineRule="auto"/>
              <w:jc w:val="center"/>
              <w:rPr>
                <w:rFonts w:cs="Arial"/>
                <w:sz w:val="20"/>
                <w:szCs w:val="20"/>
              </w:rPr>
            </w:pPr>
            <w:r>
              <w:rPr>
                <w:rFonts w:cs="Arial"/>
                <w:sz w:val="20"/>
                <w:szCs w:val="20"/>
              </w:rPr>
              <w:t>29 Jul 2022</w:t>
            </w:r>
          </w:p>
        </w:tc>
        <w:tc>
          <w:tcPr>
            <w:tcW w:w="1205" w:type="pct"/>
            <w:shd w:val="clear" w:color="auto" w:fill="auto"/>
            <w:vAlign w:val="center"/>
          </w:tcPr>
          <w:p w14:paraId="3D3EAD41" w14:textId="463644B2" w:rsidR="0089074F" w:rsidRPr="00EB75FE" w:rsidRDefault="00DA2C1D" w:rsidP="00F81DF2">
            <w:pPr>
              <w:snapToGrid w:val="0"/>
              <w:spacing w:before="40" w:after="0" w:line="264" w:lineRule="auto"/>
              <w:jc w:val="center"/>
              <w:rPr>
                <w:rFonts w:cs="Arial"/>
                <w:sz w:val="20"/>
                <w:szCs w:val="20"/>
              </w:rPr>
            </w:pPr>
            <w:r>
              <w:rPr>
                <w:rFonts w:cs="Arial"/>
                <w:sz w:val="20"/>
                <w:szCs w:val="20"/>
              </w:rPr>
              <w:t>28 Feb 2023</w:t>
            </w:r>
          </w:p>
        </w:tc>
      </w:tr>
      <w:tr w:rsidR="0089074F" w:rsidRPr="0089074F" w14:paraId="487CA90F" w14:textId="77777777" w:rsidTr="003D74F4">
        <w:trPr>
          <w:trHeight w:val="255"/>
          <w:jc w:val="center"/>
        </w:trPr>
        <w:tc>
          <w:tcPr>
            <w:tcW w:w="1295" w:type="pct"/>
            <w:vAlign w:val="center"/>
          </w:tcPr>
          <w:p w14:paraId="3AD72D62" w14:textId="3E93AD21" w:rsidR="0089074F" w:rsidRPr="000876BE" w:rsidRDefault="00DA2C1D" w:rsidP="00F81DF2">
            <w:pPr>
              <w:snapToGrid w:val="0"/>
              <w:spacing w:before="40" w:after="0" w:line="264" w:lineRule="auto"/>
              <w:jc w:val="center"/>
              <w:rPr>
                <w:rFonts w:cs="Arial"/>
                <w:sz w:val="20"/>
                <w:szCs w:val="20"/>
              </w:rPr>
            </w:pPr>
            <w:r w:rsidRPr="000876BE">
              <w:rPr>
                <w:rFonts w:cs="Arial"/>
                <w:sz w:val="20"/>
                <w:szCs w:val="20"/>
              </w:rPr>
              <w:t>27</w:t>
            </w:r>
          </w:p>
        </w:tc>
        <w:tc>
          <w:tcPr>
            <w:tcW w:w="1295" w:type="pct"/>
            <w:shd w:val="clear" w:color="auto" w:fill="auto"/>
            <w:noWrap/>
            <w:vAlign w:val="center"/>
          </w:tcPr>
          <w:p w14:paraId="6BF4E00A" w14:textId="06A497A6" w:rsidR="0089074F" w:rsidRPr="00EB75FE" w:rsidRDefault="00DA2C1D" w:rsidP="00F81DF2">
            <w:pPr>
              <w:snapToGrid w:val="0"/>
              <w:spacing w:before="40" w:after="0" w:line="264" w:lineRule="auto"/>
              <w:jc w:val="center"/>
              <w:rPr>
                <w:rFonts w:cs="Arial"/>
                <w:sz w:val="20"/>
                <w:szCs w:val="20"/>
              </w:rPr>
            </w:pPr>
            <w:r>
              <w:rPr>
                <w:rFonts w:cs="Arial"/>
                <w:sz w:val="20"/>
                <w:szCs w:val="20"/>
              </w:rPr>
              <w:t>2022–23</w:t>
            </w:r>
          </w:p>
        </w:tc>
        <w:tc>
          <w:tcPr>
            <w:tcW w:w="1205" w:type="pct"/>
            <w:vAlign w:val="center"/>
          </w:tcPr>
          <w:p w14:paraId="2C43DEDD" w14:textId="26F9825D" w:rsidR="0089074F" w:rsidRPr="00EB75FE" w:rsidRDefault="00DA2C1D" w:rsidP="00F81DF2">
            <w:pPr>
              <w:snapToGrid w:val="0"/>
              <w:spacing w:before="40" w:after="0" w:line="264" w:lineRule="auto"/>
              <w:jc w:val="center"/>
              <w:rPr>
                <w:rFonts w:cs="Arial"/>
                <w:sz w:val="20"/>
                <w:szCs w:val="20"/>
              </w:rPr>
            </w:pPr>
            <w:r>
              <w:rPr>
                <w:rFonts w:cs="Arial"/>
                <w:sz w:val="20"/>
                <w:szCs w:val="20"/>
              </w:rPr>
              <w:t>31 Jul 2023</w:t>
            </w:r>
          </w:p>
        </w:tc>
        <w:tc>
          <w:tcPr>
            <w:tcW w:w="1205" w:type="pct"/>
            <w:shd w:val="clear" w:color="auto" w:fill="auto"/>
            <w:vAlign w:val="center"/>
          </w:tcPr>
          <w:p w14:paraId="42C9883F" w14:textId="711B3A40" w:rsidR="0089074F" w:rsidRPr="00EB75FE" w:rsidRDefault="00E265BC" w:rsidP="00F81DF2">
            <w:pPr>
              <w:snapToGrid w:val="0"/>
              <w:spacing w:before="40" w:after="0" w:line="264" w:lineRule="auto"/>
              <w:jc w:val="center"/>
              <w:rPr>
                <w:rFonts w:cs="Arial"/>
                <w:sz w:val="20"/>
                <w:szCs w:val="20"/>
              </w:rPr>
            </w:pPr>
            <w:r>
              <w:rPr>
                <w:rFonts w:cs="Arial"/>
                <w:sz w:val="20"/>
                <w:szCs w:val="20"/>
              </w:rPr>
              <w:t>28 Feb</w:t>
            </w:r>
            <w:r w:rsidR="00DA2C1D">
              <w:rPr>
                <w:rFonts w:cs="Arial"/>
                <w:sz w:val="20"/>
                <w:szCs w:val="20"/>
              </w:rPr>
              <w:t xml:space="preserve"> 2024</w:t>
            </w:r>
          </w:p>
        </w:tc>
      </w:tr>
      <w:tr w:rsidR="00DA2C1D" w:rsidRPr="0089074F" w14:paraId="44F24C45" w14:textId="77777777" w:rsidTr="003D74F4">
        <w:trPr>
          <w:trHeight w:val="255"/>
          <w:jc w:val="center"/>
        </w:trPr>
        <w:tc>
          <w:tcPr>
            <w:tcW w:w="1295" w:type="pct"/>
            <w:vAlign w:val="center"/>
          </w:tcPr>
          <w:p w14:paraId="716E8BEC" w14:textId="4F6E7654" w:rsidR="00DA2C1D" w:rsidRPr="000876BE" w:rsidRDefault="00DA2C1D" w:rsidP="00DA2C1D">
            <w:pPr>
              <w:snapToGrid w:val="0"/>
              <w:spacing w:before="40" w:after="0" w:line="264" w:lineRule="auto"/>
              <w:jc w:val="center"/>
              <w:rPr>
                <w:rFonts w:cs="Arial"/>
                <w:sz w:val="20"/>
                <w:szCs w:val="20"/>
              </w:rPr>
            </w:pPr>
            <w:r w:rsidRPr="000876BE">
              <w:rPr>
                <w:rFonts w:cs="Arial"/>
                <w:sz w:val="20"/>
                <w:szCs w:val="20"/>
              </w:rPr>
              <w:t>28</w:t>
            </w:r>
          </w:p>
        </w:tc>
        <w:tc>
          <w:tcPr>
            <w:tcW w:w="1295" w:type="pct"/>
            <w:shd w:val="clear" w:color="auto" w:fill="auto"/>
            <w:noWrap/>
            <w:vAlign w:val="center"/>
          </w:tcPr>
          <w:p w14:paraId="38FAD705" w14:textId="1B57C0DD" w:rsidR="00DA2C1D" w:rsidRPr="00EB75FE" w:rsidRDefault="00DA2C1D" w:rsidP="00DA2C1D">
            <w:pPr>
              <w:snapToGrid w:val="0"/>
              <w:spacing w:before="40" w:after="0" w:line="264" w:lineRule="auto"/>
              <w:jc w:val="center"/>
              <w:rPr>
                <w:rFonts w:cs="Arial"/>
                <w:sz w:val="20"/>
                <w:szCs w:val="20"/>
              </w:rPr>
            </w:pPr>
            <w:r w:rsidRPr="00EB75FE">
              <w:rPr>
                <w:rFonts w:cs="Arial"/>
                <w:sz w:val="20"/>
                <w:szCs w:val="20"/>
              </w:rPr>
              <w:t>2023–24</w:t>
            </w:r>
          </w:p>
        </w:tc>
        <w:tc>
          <w:tcPr>
            <w:tcW w:w="1205" w:type="pct"/>
            <w:vAlign w:val="center"/>
          </w:tcPr>
          <w:p w14:paraId="0A179F14" w14:textId="178560F9" w:rsidR="00DA2C1D" w:rsidRPr="00EB75FE" w:rsidRDefault="00E265BC" w:rsidP="00DA2C1D">
            <w:pPr>
              <w:snapToGrid w:val="0"/>
              <w:spacing w:before="40" w:after="0" w:line="264" w:lineRule="auto"/>
              <w:jc w:val="center"/>
              <w:rPr>
                <w:rFonts w:cs="Arial"/>
                <w:sz w:val="20"/>
                <w:szCs w:val="20"/>
              </w:rPr>
            </w:pPr>
            <w:r>
              <w:rPr>
                <w:rFonts w:cs="Arial"/>
                <w:sz w:val="20"/>
                <w:szCs w:val="20"/>
              </w:rPr>
              <w:t>31</w:t>
            </w:r>
            <w:r w:rsidR="00DA2C1D" w:rsidRPr="00EB75FE">
              <w:rPr>
                <w:rFonts w:cs="Arial"/>
                <w:sz w:val="20"/>
                <w:szCs w:val="20"/>
              </w:rPr>
              <w:t xml:space="preserve"> Jul 2024</w:t>
            </w:r>
          </w:p>
        </w:tc>
        <w:tc>
          <w:tcPr>
            <w:tcW w:w="1205" w:type="pct"/>
            <w:shd w:val="clear" w:color="auto" w:fill="auto"/>
            <w:vAlign w:val="center"/>
          </w:tcPr>
          <w:p w14:paraId="473E87F3" w14:textId="5EC07E75" w:rsidR="00DA2C1D" w:rsidRPr="00EB75FE" w:rsidRDefault="00E265BC" w:rsidP="00DA2C1D">
            <w:pPr>
              <w:snapToGrid w:val="0"/>
              <w:spacing w:before="40" w:after="0" w:line="264" w:lineRule="auto"/>
              <w:jc w:val="center"/>
              <w:rPr>
                <w:rFonts w:cs="Arial"/>
                <w:sz w:val="20"/>
                <w:szCs w:val="20"/>
              </w:rPr>
            </w:pPr>
            <w:r>
              <w:rPr>
                <w:rFonts w:cs="Arial"/>
                <w:sz w:val="20"/>
                <w:szCs w:val="20"/>
              </w:rPr>
              <w:t>28 Feb</w:t>
            </w:r>
            <w:r w:rsidR="00DA2C1D" w:rsidRPr="00EB75FE">
              <w:rPr>
                <w:rFonts w:cs="Arial"/>
                <w:sz w:val="20"/>
                <w:szCs w:val="20"/>
              </w:rPr>
              <w:t xml:space="preserve"> 2025</w:t>
            </w:r>
          </w:p>
        </w:tc>
      </w:tr>
    </w:tbl>
    <w:p w14:paraId="3BFA8FC1" w14:textId="2027111B" w:rsidR="005E5EB3" w:rsidRDefault="00BD4417" w:rsidP="00EB75FE">
      <w:pPr>
        <w:pStyle w:val="TableHeading"/>
      </w:pPr>
      <w:bookmarkStart w:id="72" w:name="_Hlk97199738"/>
      <w:bookmarkStart w:id="73" w:name="_Toc358988892"/>
      <w:bookmarkEnd w:id="70"/>
      <w:r>
        <w:t>Table 3: Commonwealth data submission timeline</w:t>
      </w:r>
      <w:bookmarkEnd w:id="72"/>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43"/>
        <w:gridCol w:w="2342"/>
        <w:gridCol w:w="2175"/>
        <w:gridCol w:w="2174"/>
      </w:tblGrid>
      <w:tr w:rsidR="005E5EB3" w:rsidRPr="00A40AB4" w14:paraId="33369DD5" w14:textId="77777777" w:rsidTr="003D74F4">
        <w:trPr>
          <w:trHeight w:val="363"/>
          <w:tblHeader/>
          <w:jc w:val="center"/>
        </w:trPr>
        <w:tc>
          <w:tcPr>
            <w:tcW w:w="1297" w:type="pct"/>
            <w:shd w:val="clear" w:color="auto" w:fill="004200"/>
            <w:vAlign w:val="center"/>
          </w:tcPr>
          <w:p w14:paraId="1669A579" w14:textId="77777777" w:rsidR="005E5EB3" w:rsidRPr="00146B98" w:rsidRDefault="005E5EB3" w:rsidP="003D74F4">
            <w:pPr>
              <w:pStyle w:val="TableText"/>
              <w:jc w:val="center"/>
            </w:pPr>
            <w:bookmarkStart w:id="74" w:name="_Hlk97199598"/>
            <w:r w:rsidRPr="00146B98">
              <w:t>Data category</w:t>
            </w:r>
          </w:p>
        </w:tc>
        <w:tc>
          <w:tcPr>
            <w:tcW w:w="1296" w:type="pct"/>
            <w:shd w:val="clear" w:color="auto" w:fill="004200"/>
            <w:vAlign w:val="center"/>
          </w:tcPr>
          <w:p w14:paraId="6DFDDBEF" w14:textId="77777777" w:rsidR="005E5EB3" w:rsidRPr="00E81C4D" w:rsidRDefault="005E5EB3" w:rsidP="003D74F4">
            <w:pPr>
              <w:pStyle w:val="TableText"/>
              <w:jc w:val="center"/>
            </w:pPr>
            <w:r w:rsidRPr="00E81C4D">
              <w:t>Data reporting period</w:t>
            </w:r>
          </w:p>
        </w:tc>
        <w:tc>
          <w:tcPr>
            <w:tcW w:w="1204" w:type="pct"/>
            <w:shd w:val="clear" w:color="auto" w:fill="004200"/>
            <w:vAlign w:val="center"/>
          </w:tcPr>
          <w:p w14:paraId="3EEB5CE1" w14:textId="77777777" w:rsidR="005E5EB3" w:rsidRPr="00841D8D" w:rsidRDefault="005E5EB3" w:rsidP="003D74F4">
            <w:pPr>
              <w:pStyle w:val="TableText"/>
              <w:jc w:val="center"/>
            </w:pPr>
            <w:r w:rsidRPr="00841D8D">
              <w:t>Data request sent</w:t>
            </w:r>
          </w:p>
        </w:tc>
        <w:tc>
          <w:tcPr>
            <w:tcW w:w="1203" w:type="pct"/>
            <w:shd w:val="clear" w:color="auto" w:fill="004200"/>
            <w:vAlign w:val="center"/>
          </w:tcPr>
          <w:p w14:paraId="665703B8" w14:textId="77777777" w:rsidR="005E5EB3" w:rsidRPr="007B13B6" w:rsidRDefault="005E5EB3" w:rsidP="003D74F4">
            <w:pPr>
              <w:pStyle w:val="TableText"/>
              <w:jc w:val="center"/>
            </w:pPr>
            <w:r w:rsidRPr="007B13B6">
              <w:t>Submission date</w:t>
            </w:r>
          </w:p>
        </w:tc>
      </w:tr>
      <w:tr w:rsidR="0010069F" w:rsidRPr="00A40AB4" w14:paraId="72E3985D" w14:textId="77777777" w:rsidTr="003D74F4">
        <w:trPr>
          <w:trHeight w:hRule="exact" w:val="340"/>
          <w:jc w:val="center"/>
        </w:trPr>
        <w:tc>
          <w:tcPr>
            <w:tcW w:w="1297" w:type="pct"/>
            <w:vMerge w:val="restart"/>
            <w:vAlign w:val="center"/>
          </w:tcPr>
          <w:p w14:paraId="5151D51C" w14:textId="77777777" w:rsidR="0010069F" w:rsidRPr="00E81C4D" w:rsidRDefault="0010069F" w:rsidP="003D74F4">
            <w:pPr>
              <w:pStyle w:val="TableText"/>
              <w:jc w:val="center"/>
            </w:pPr>
            <w:r w:rsidRPr="00146B98">
              <w:t xml:space="preserve">Hospital </w:t>
            </w:r>
            <w:proofErr w:type="spellStart"/>
            <w:r w:rsidRPr="00146B98">
              <w:t>Casemix</w:t>
            </w:r>
            <w:proofErr w:type="spellEnd"/>
            <w:r w:rsidRPr="00146B98">
              <w:t xml:space="preserve"> Protocol</w:t>
            </w:r>
          </w:p>
        </w:tc>
        <w:tc>
          <w:tcPr>
            <w:tcW w:w="1296" w:type="pct"/>
            <w:shd w:val="clear" w:color="auto" w:fill="auto"/>
            <w:noWrap/>
            <w:vAlign w:val="center"/>
          </w:tcPr>
          <w:p w14:paraId="4B69801E" w14:textId="4EF959FE" w:rsidR="0010069F" w:rsidRPr="00FD0C07" w:rsidRDefault="0010069F" w:rsidP="003D74F4">
            <w:pPr>
              <w:pStyle w:val="TableText"/>
              <w:jc w:val="center"/>
            </w:pPr>
            <w:r w:rsidRPr="005C51F7">
              <w:t>2021–22 (Jun – Dec)</w:t>
            </w:r>
          </w:p>
        </w:tc>
        <w:tc>
          <w:tcPr>
            <w:tcW w:w="1204" w:type="pct"/>
            <w:vAlign w:val="center"/>
          </w:tcPr>
          <w:p w14:paraId="2964DCC9" w14:textId="6E664B88" w:rsidR="0010069F" w:rsidRPr="00FD0C07" w:rsidRDefault="00C228E4" w:rsidP="003D74F4">
            <w:pPr>
              <w:pStyle w:val="TableText"/>
              <w:jc w:val="center"/>
            </w:pPr>
            <w:r>
              <w:t>30 Sep 2021</w:t>
            </w:r>
          </w:p>
        </w:tc>
        <w:tc>
          <w:tcPr>
            <w:tcW w:w="1203" w:type="pct"/>
            <w:vAlign w:val="center"/>
          </w:tcPr>
          <w:p w14:paraId="1D76D55A" w14:textId="2722661F" w:rsidR="0010069F" w:rsidRPr="00FD0C07" w:rsidRDefault="0010069F" w:rsidP="003D74F4">
            <w:pPr>
              <w:pStyle w:val="TableText"/>
              <w:jc w:val="center"/>
            </w:pPr>
            <w:r w:rsidRPr="00E868EE">
              <w:t>29 Apr 2022</w:t>
            </w:r>
          </w:p>
        </w:tc>
      </w:tr>
      <w:tr w:rsidR="0010069F" w:rsidRPr="00A40AB4" w14:paraId="5D7F6229" w14:textId="77777777" w:rsidTr="003D74F4">
        <w:trPr>
          <w:trHeight w:hRule="exact" w:val="340"/>
          <w:jc w:val="center"/>
        </w:trPr>
        <w:tc>
          <w:tcPr>
            <w:tcW w:w="1297" w:type="pct"/>
            <w:vMerge/>
            <w:vAlign w:val="center"/>
          </w:tcPr>
          <w:p w14:paraId="20590A3E" w14:textId="77777777" w:rsidR="0010069F" w:rsidRPr="007B13B6" w:rsidRDefault="0010069F" w:rsidP="003D74F4">
            <w:pPr>
              <w:pStyle w:val="TableText"/>
              <w:jc w:val="center"/>
            </w:pPr>
          </w:p>
        </w:tc>
        <w:tc>
          <w:tcPr>
            <w:tcW w:w="1296" w:type="pct"/>
            <w:shd w:val="clear" w:color="auto" w:fill="auto"/>
            <w:noWrap/>
            <w:vAlign w:val="center"/>
          </w:tcPr>
          <w:p w14:paraId="12EABA14" w14:textId="0C26BD6F" w:rsidR="0010069F" w:rsidRPr="00FD0C07" w:rsidRDefault="0010069F" w:rsidP="003D74F4">
            <w:pPr>
              <w:pStyle w:val="TableText"/>
              <w:jc w:val="center"/>
            </w:pPr>
            <w:r w:rsidRPr="005C51F7">
              <w:t>2021–22 full year</w:t>
            </w:r>
          </w:p>
        </w:tc>
        <w:tc>
          <w:tcPr>
            <w:tcW w:w="1204" w:type="pct"/>
            <w:vAlign w:val="center"/>
          </w:tcPr>
          <w:p w14:paraId="51F144AA" w14:textId="27D36AA2" w:rsidR="0010069F" w:rsidRPr="00FD0C07" w:rsidRDefault="00C228E4" w:rsidP="003D74F4">
            <w:pPr>
              <w:pStyle w:val="TableText"/>
              <w:jc w:val="center"/>
            </w:pPr>
            <w:r>
              <w:t>30 Sep 2021</w:t>
            </w:r>
          </w:p>
        </w:tc>
        <w:tc>
          <w:tcPr>
            <w:tcW w:w="1203" w:type="pct"/>
            <w:vAlign w:val="center"/>
          </w:tcPr>
          <w:p w14:paraId="2FE41ED3" w14:textId="3F2EF74E" w:rsidR="0010069F" w:rsidRPr="00FD0C07" w:rsidRDefault="0010069F" w:rsidP="003D74F4">
            <w:pPr>
              <w:pStyle w:val="TableText"/>
              <w:jc w:val="center"/>
            </w:pPr>
            <w:r w:rsidRPr="00E868EE">
              <w:t>31 Oct 2022</w:t>
            </w:r>
          </w:p>
        </w:tc>
      </w:tr>
      <w:tr w:rsidR="0010069F" w:rsidRPr="00A40AB4" w14:paraId="656E99D9" w14:textId="77777777" w:rsidTr="003D74F4">
        <w:trPr>
          <w:trHeight w:hRule="exact" w:val="340"/>
          <w:jc w:val="center"/>
        </w:trPr>
        <w:tc>
          <w:tcPr>
            <w:tcW w:w="1297" w:type="pct"/>
            <w:vMerge/>
            <w:vAlign w:val="center"/>
          </w:tcPr>
          <w:p w14:paraId="7AE5B31B" w14:textId="77777777" w:rsidR="0010069F" w:rsidRPr="007B13B6" w:rsidRDefault="0010069F" w:rsidP="003D74F4">
            <w:pPr>
              <w:pStyle w:val="TableText"/>
              <w:jc w:val="center"/>
            </w:pPr>
          </w:p>
        </w:tc>
        <w:tc>
          <w:tcPr>
            <w:tcW w:w="1296" w:type="pct"/>
            <w:shd w:val="clear" w:color="auto" w:fill="auto"/>
            <w:noWrap/>
            <w:vAlign w:val="center"/>
          </w:tcPr>
          <w:p w14:paraId="59150872" w14:textId="75B857E7" w:rsidR="0010069F" w:rsidRPr="00FD0C07" w:rsidRDefault="0010069F" w:rsidP="003D74F4">
            <w:pPr>
              <w:pStyle w:val="TableText"/>
              <w:jc w:val="center"/>
            </w:pPr>
            <w:r w:rsidRPr="005C51F7">
              <w:t>2022–23 (Jun – Dec)</w:t>
            </w:r>
          </w:p>
        </w:tc>
        <w:tc>
          <w:tcPr>
            <w:tcW w:w="1204" w:type="pct"/>
            <w:vAlign w:val="center"/>
          </w:tcPr>
          <w:p w14:paraId="16F1DE26" w14:textId="79ACFA7C" w:rsidR="0010069F" w:rsidRPr="00FD0C07" w:rsidRDefault="00C228E4" w:rsidP="003D74F4">
            <w:pPr>
              <w:pStyle w:val="TableText"/>
              <w:jc w:val="center"/>
            </w:pPr>
            <w:r>
              <w:t>30 Sep 2022</w:t>
            </w:r>
          </w:p>
        </w:tc>
        <w:tc>
          <w:tcPr>
            <w:tcW w:w="1203" w:type="pct"/>
            <w:vAlign w:val="center"/>
          </w:tcPr>
          <w:p w14:paraId="57E41E63" w14:textId="260E3F8B" w:rsidR="0010069F" w:rsidRPr="00FD0C07" w:rsidRDefault="0010069F" w:rsidP="003D74F4">
            <w:pPr>
              <w:pStyle w:val="TableText"/>
              <w:jc w:val="center"/>
            </w:pPr>
            <w:r w:rsidRPr="00E868EE">
              <w:t>28 Apr 2023</w:t>
            </w:r>
          </w:p>
        </w:tc>
      </w:tr>
      <w:tr w:rsidR="0010069F" w:rsidRPr="00A40AB4" w14:paraId="605609A9" w14:textId="77777777" w:rsidTr="003D74F4">
        <w:trPr>
          <w:trHeight w:hRule="exact" w:val="340"/>
          <w:jc w:val="center"/>
        </w:trPr>
        <w:tc>
          <w:tcPr>
            <w:tcW w:w="1297" w:type="pct"/>
            <w:vMerge/>
            <w:vAlign w:val="center"/>
          </w:tcPr>
          <w:p w14:paraId="5F110A86" w14:textId="77777777" w:rsidR="0010069F" w:rsidRPr="007B13B6" w:rsidRDefault="0010069F" w:rsidP="003D74F4">
            <w:pPr>
              <w:pStyle w:val="TableText"/>
              <w:jc w:val="center"/>
            </w:pPr>
          </w:p>
        </w:tc>
        <w:tc>
          <w:tcPr>
            <w:tcW w:w="1296" w:type="pct"/>
            <w:shd w:val="clear" w:color="auto" w:fill="auto"/>
            <w:noWrap/>
            <w:vAlign w:val="center"/>
          </w:tcPr>
          <w:p w14:paraId="2BCD97B7" w14:textId="78879183" w:rsidR="0010069F" w:rsidRPr="00FD0C07" w:rsidRDefault="0010069F" w:rsidP="003D74F4">
            <w:pPr>
              <w:pStyle w:val="TableText"/>
              <w:jc w:val="center"/>
            </w:pPr>
            <w:r w:rsidRPr="005C51F7">
              <w:t>2022–23 full year</w:t>
            </w:r>
          </w:p>
        </w:tc>
        <w:tc>
          <w:tcPr>
            <w:tcW w:w="1204" w:type="pct"/>
            <w:vAlign w:val="center"/>
          </w:tcPr>
          <w:p w14:paraId="09420394" w14:textId="5880629C" w:rsidR="0010069F" w:rsidRPr="00FD0C07" w:rsidRDefault="00C228E4" w:rsidP="003D74F4">
            <w:pPr>
              <w:pStyle w:val="TableText"/>
              <w:jc w:val="center"/>
            </w:pPr>
            <w:r>
              <w:t>30 Sep 2022</w:t>
            </w:r>
          </w:p>
        </w:tc>
        <w:tc>
          <w:tcPr>
            <w:tcW w:w="1203" w:type="pct"/>
            <w:vAlign w:val="center"/>
          </w:tcPr>
          <w:p w14:paraId="448FEBCE" w14:textId="5910CDA0" w:rsidR="0010069F" w:rsidRPr="00FD0C07" w:rsidRDefault="0010069F" w:rsidP="003D74F4">
            <w:pPr>
              <w:pStyle w:val="TableText"/>
              <w:jc w:val="center"/>
            </w:pPr>
            <w:r w:rsidRPr="00E868EE">
              <w:t>31 Oct 2023</w:t>
            </w:r>
          </w:p>
        </w:tc>
      </w:tr>
      <w:tr w:rsidR="0010069F" w:rsidRPr="00A40AB4" w14:paraId="68560CA9" w14:textId="77777777" w:rsidTr="003D74F4">
        <w:trPr>
          <w:trHeight w:hRule="exact" w:val="340"/>
          <w:jc w:val="center"/>
        </w:trPr>
        <w:tc>
          <w:tcPr>
            <w:tcW w:w="1297" w:type="pct"/>
            <w:vMerge/>
            <w:vAlign w:val="center"/>
          </w:tcPr>
          <w:p w14:paraId="5FBD91B4" w14:textId="77777777" w:rsidR="0010069F" w:rsidRPr="007B13B6" w:rsidRDefault="0010069F" w:rsidP="003D74F4">
            <w:pPr>
              <w:pStyle w:val="TableText"/>
              <w:jc w:val="center"/>
            </w:pPr>
          </w:p>
        </w:tc>
        <w:tc>
          <w:tcPr>
            <w:tcW w:w="1296" w:type="pct"/>
            <w:shd w:val="clear" w:color="auto" w:fill="auto"/>
            <w:noWrap/>
            <w:vAlign w:val="center"/>
          </w:tcPr>
          <w:p w14:paraId="068B8328" w14:textId="3184204C" w:rsidR="0010069F" w:rsidRPr="00FD0C07" w:rsidRDefault="0010069F" w:rsidP="003D74F4">
            <w:pPr>
              <w:pStyle w:val="TableText"/>
              <w:jc w:val="center"/>
            </w:pPr>
            <w:r w:rsidRPr="005C51F7">
              <w:t>2023–24 (Jun – Dec)</w:t>
            </w:r>
          </w:p>
        </w:tc>
        <w:tc>
          <w:tcPr>
            <w:tcW w:w="1204" w:type="pct"/>
            <w:vAlign w:val="center"/>
          </w:tcPr>
          <w:p w14:paraId="31334410" w14:textId="7BE898E6" w:rsidR="0010069F" w:rsidRPr="00FD0C07" w:rsidRDefault="00C228E4" w:rsidP="003D74F4">
            <w:pPr>
              <w:pStyle w:val="TableText"/>
              <w:jc w:val="center"/>
            </w:pPr>
            <w:r>
              <w:t>30 Sep 2023</w:t>
            </w:r>
          </w:p>
        </w:tc>
        <w:tc>
          <w:tcPr>
            <w:tcW w:w="1203" w:type="pct"/>
            <w:vAlign w:val="center"/>
          </w:tcPr>
          <w:p w14:paraId="16C6EBF0" w14:textId="1CD03557" w:rsidR="0010069F" w:rsidRPr="00FD0C07" w:rsidRDefault="0010069F" w:rsidP="003D74F4">
            <w:pPr>
              <w:pStyle w:val="TableText"/>
              <w:jc w:val="center"/>
            </w:pPr>
            <w:r w:rsidRPr="00E868EE">
              <w:t>30 Apr 2024</w:t>
            </w:r>
          </w:p>
        </w:tc>
      </w:tr>
      <w:tr w:rsidR="0010069F" w:rsidRPr="00A40AB4" w14:paraId="2FA233A5" w14:textId="77777777" w:rsidTr="003D74F4">
        <w:trPr>
          <w:trHeight w:hRule="exact" w:val="340"/>
          <w:jc w:val="center"/>
        </w:trPr>
        <w:tc>
          <w:tcPr>
            <w:tcW w:w="1297" w:type="pct"/>
            <w:vMerge/>
            <w:vAlign w:val="center"/>
          </w:tcPr>
          <w:p w14:paraId="48308B42" w14:textId="77777777" w:rsidR="0010069F" w:rsidRPr="007B13B6" w:rsidRDefault="0010069F" w:rsidP="003D74F4">
            <w:pPr>
              <w:pStyle w:val="TableText"/>
              <w:jc w:val="center"/>
            </w:pPr>
          </w:p>
        </w:tc>
        <w:tc>
          <w:tcPr>
            <w:tcW w:w="1296" w:type="pct"/>
            <w:shd w:val="clear" w:color="auto" w:fill="auto"/>
            <w:noWrap/>
            <w:vAlign w:val="center"/>
          </w:tcPr>
          <w:p w14:paraId="095B30FB" w14:textId="15C803BD" w:rsidR="0010069F" w:rsidRPr="00FD0C07" w:rsidRDefault="0010069F" w:rsidP="003D74F4">
            <w:pPr>
              <w:pStyle w:val="TableText"/>
              <w:jc w:val="center"/>
            </w:pPr>
            <w:r w:rsidRPr="005C51F7">
              <w:t>2023–24 full year</w:t>
            </w:r>
          </w:p>
        </w:tc>
        <w:tc>
          <w:tcPr>
            <w:tcW w:w="1204" w:type="pct"/>
            <w:vAlign w:val="center"/>
          </w:tcPr>
          <w:p w14:paraId="0A72C409" w14:textId="650FEBE0" w:rsidR="0010069F" w:rsidRPr="00FD0C07" w:rsidRDefault="00C228E4" w:rsidP="003D74F4">
            <w:pPr>
              <w:pStyle w:val="TableText"/>
              <w:jc w:val="center"/>
            </w:pPr>
            <w:r>
              <w:t>30 Sep 2023</w:t>
            </w:r>
          </w:p>
        </w:tc>
        <w:tc>
          <w:tcPr>
            <w:tcW w:w="1203" w:type="pct"/>
            <w:vAlign w:val="center"/>
          </w:tcPr>
          <w:p w14:paraId="6FD73F3E" w14:textId="2A343938" w:rsidR="0010069F" w:rsidRPr="00FD0C07" w:rsidRDefault="0010069F" w:rsidP="003D74F4">
            <w:pPr>
              <w:pStyle w:val="TableText"/>
              <w:jc w:val="center"/>
            </w:pPr>
            <w:r w:rsidRPr="00E868EE">
              <w:t>31 Oct 2024</w:t>
            </w:r>
          </w:p>
        </w:tc>
      </w:tr>
      <w:tr w:rsidR="0010069F" w:rsidRPr="00A40AB4" w14:paraId="1FDE0A55" w14:textId="77777777" w:rsidTr="003D74F4">
        <w:trPr>
          <w:trHeight w:hRule="exact" w:val="340"/>
          <w:jc w:val="center"/>
        </w:trPr>
        <w:tc>
          <w:tcPr>
            <w:tcW w:w="1297" w:type="pct"/>
            <w:vMerge w:val="restart"/>
            <w:vAlign w:val="center"/>
          </w:tcPr>
          <w:p w14:paraId="7CA4202C" w14:textId="77777777" w:rsidR="0010069F" w:rsidRPr="00E81C4D" w:rsidRDefault="0010069F" w:rsidP="003D74F4">
            <w:pPr>
              <w:pStyle w:val="TableText"/>
              <w:jc w:val="center"/>
            </w:pPr>
            <w:r w:rsidRPr="00146B98">
              <w:t>Private Hospital Data Bureau</w:t>
            </w:r>
          </w:p>
        </w:tc>
        <w:tc>
          <w:tcPr>
            <w:tcW w:w="1296" w:type="pct"/>
            <w:shd w:val="clear" w:color="auto" w:fill="auto"/>
            <w:noWrap/>
            <w:vAlign w:val="center"/>
          </w:tcPr>
          <w:p w14:paraId="3F733304" w14:textId="4B132760" w:rsidR="0010069F" w:rsidRPr="00FD0C07" w:rsidRDefault="0010069F" w:rsidP="003D74F4">
            <w:pPr>
              <w:pStyle w:val="TableText"/>
              <w:jc w:val="center"/>
            </w:pPr>
            <w:r w:rsidRPr="00B938D4">
              <w:t>2021–22</w:t>
            </w:r>
          </w:p>
        </w:tc>
        <w:tc>
          <w:tcPr>
            <w:tcW w:w="1204" w:type="pct"/>
            <w:vAlign w:val="center"/>
          </w:tcPr>
          <w:p w14:paraId="4179042F" w14:textId="2ED8E87D" w:rsidR="0010069F" w:rsidRPr="00FD0C07" w:rsidRDefault="00C228E4" w:rsidP="003D74F4">
            <w:pPr>
              <w:pStyle w:val="TableText"/>
              <w:jc w:val="center"/>
            </w:pPr>
            <w:r>
              <w:t>30 Sep 2021</w:t>
            </w:r>
          </w:p>
        </w:tc>
        <w:tc>
          <w:tcPr>
            <w:tcW w:w="1203" w:type="pct"/>
            <w:vAlign w:val="center"/>
          </w:tcPr>
          <w:p w14:paraId="5AA24FD8" w14:textId="02183B85" w:rsidR="0010069F" w:rsidRPr="00FD0C07" w:rsidRDefault="00C228E4" w:rsidP="003D74F4">
            <w:pPr>
              <w:pStyle w:val="TableText"/>
              <w:jc w:val="center"/>
            </w:pPr>
            <w:r>
              <w:t>31</w:t>
            </w:r>
            <w:r w:rsidR="0010069F" w:rsidRPr="00FD0C07">
              <w:t xml:space="preserve"> Oct 2021</w:t>
            </w:r>
          </w:p>
        </w:tc>
      </w:tr>
      <w:tr w:rsidR="0010069F" w:rsidRPr="00A40AB4" w14:paraId="6AAF0468" w14:textId="77777777" w:rsidTr="003D74F4">
        <w:trPr>
          <w:trHeight w:hRule="exact" w:val="340"/>
          <w:jc w:val="center"/>
        </w:trPr>
        <w:tc>
          <w:tcPr>
            <w:tcW w:w="1297" w:type="pct"/>
            <w:vMerge/>
            <w:vAlign w:val="center"/>
          </w:tcPr>
          <w:p w14:paraId="243F11D5" w14:textId="77777777" w:rsidR="0010069F" w:rsidRPr="007B13B6" w:rsidRDefault="0010069F" w:rsidP="003D74F4">
            <w:pPr>
              <w:pStyle w:val="TableText"/>
              <w:jc w:val="center"/>
            </w:pPr>
          </w:p>
        </w:tc>
        <w:tc>
          <w:tcPr>
            <w:tcW w:w="1296" w:type="pct"/>
            <w:shd w:val="clear" w:color="auto" w:fill="auto"/>
            <w:noWrap/>
            <w:vAlign w:val="center"/>
          </w:tcPr>
          <w:p w14:paraId="229BDFA3" w14:textId="30DD45B8" w:rsidR="0010069F" w:rsidRPr="00FD0C07" w:rsidRDefault="0010069F" w:rsidP="003D74F4">
            <w:pPr>
              <w:pStyle w:val="TableText"/>
              <w:jc w:val="center"/>
            </w:pPr>
            <w:r w:rsidRPr="00B938D4">
              <w:t>2022–23</w:t>
            </w:r>
          </w:p>
        </w:tc>
        <w:tc>
          <w:tcPr>
            <w:tcW w:w="1204" w:type="pct"/>
            <w:vAlign w:val="center"/>
          </w:tcPr>
          <w:p w14:paraId="50DF4016" w14:textId="54013D54" w:rsidR="0010069F" w:rsidRPr="00FD0C07" w:rsidRDefault="00C228E4" w:rsidP="003D74F4">
            <w:pPr>
              <w:pStyle w:val="TableText"/>
              <w:jc w:val="center"/>
            </w:pPr>
            <w:r>
              <w:t>30 Sep 2022</w:t>
            </w:r>
          </w:p>
        </w:tc>
        <w:tc>
          <w:tcPr>
            <w:tcW w:w="1203" w:type="pct"/>
            <w:vAlign w:val="center"/>
          </w:tcPr>
          <w:p w14:paraId="1FAA7DF6" w14:textId="146E0F68" w:rsidR="0010069F" w:rsidRPr="00FD0C07" w:rsidRDefault="00C228E4" w:rsidP="003D74F4">
            <w:pPr>
              <w:pStyle w:val="TableText"/>
              <w:jc w:val="center"/>
            </w:pPr>
            <w:r>
              <w:t>31</w:t>
            </w:r>
            <w:r w:rsidR="0010069F" w:rsidRPr="00FD0C07">
              <w:t xml:space="preserve"> Oct 2022</w:t>
            </w:r>
          </w:p>
        </w:tc>
      </w:tr>
      <w:tr w:rsidR="0010069F" w:rsidRPr="00A40AB4" w14:paraId="29F6BBC8" w14:textId="77777777" w:rsidTr="003D74F4">
        <w:trPr>
          <w:trHeight w:hRule="exact" w:val="340"/>
          <w:jc w:val="center"/>
        </w:trPr>
        <w:tc>
          <w:tcPr>
            <w:tcW w:w="1297" w:type="pct"/>
            <w:vMerge/>
            <w:vAlign w:val="center"/>
          </w:tcPr>
          <w:p w14:paraId="5748F2E8" w14:textId="77777777" w:rsidR="0010069F" w:rsidRPr="007B13B6" w:rsidRDefault="0010069F" w:rsidP="003D74F4">
            <w:pPr>
              <w:pStyle w:val="TableText"/>
              <w:jc w:val="center"/>
            </w:pPr>
          </w:p>
        </w:tc>
        <w:tc>
          <w:tcPr>
            <w:tcW w:w="1296" w:type="pct"/>
            <w:shd w:val="clear" w:color="auto" w:fill="auto"/>
            <w:noWrap/>
            <w:vAlign w:val="center"/>
          </w:tcPr>
          <w:p w14:paraId="249B820E" w14:textId="2AFB11BC" w:rsidR="0010069F" w:rsidRPr="00FD0C07" w:rsidRDefault="0010069F" w:rsidP="003D74F4">
            <w:pPr>
              <w:pStyle w:val="TableText"/>
              <w:jc w:val="center"/>
            </w:pPr>
            <w:r w:rsidRPr="00B938D4">
              <w:t>2023–24</w:t>
            </w:r>
          </w:p>
        </w:tc>
        <w:tc>
          <w:tcPr>
            <w:tcW w:w="1204" w:type="pct"/>
            <w:vAlign w:val="center"/>
          </w:tcPr>
          <w:p w14:paraId="7CD90968" w14:textId="57D8C726" w:rsidR="0010069F" w:rsidRPr="00FD0C07" w:rsidRDefault="00C228E4" w:rsidP="003D74F4">
            <w:pPr>
              <w:pStyle w:val="TableText"/>
              <w:jc w:val="center"/>
            </w:pPr>
            <w:r>
              <w:t>30 Sep 2023</w:t>
            </w:r>
          </w:p>
        </w:tc>
        <w:tc>
          <w:tcPr>
            <w:tcW w:w="1203" w:type="pct"/>
            <w:vAlign w:val="center"/>
          </w:tcPr>
          <w:p w14:paraId="2D4ACF12" w14:textId="3F6D3609" w:rsidR="0010069F" w:rsidRPr="00FD0C07" w:rsidRDefault="00C228E4" w:rsidP="003D74F4">
            <w:pPr>
              <w:pStyle w:val="TableText"/>
              <w:jc w:val="center"/>
            </w:pPr>
            <w:r>
              <w:t>31</w:t>
            </w:r>
            <w:r w:rsidR="0010069F" w:rsidRPr="00FD0C07">
              <w:t xml:space="preserve"> Oct 2023</w:t>
            </w:r>
          </w:p>
        </w:tc>
      </w:tr>
      <w:tr w:rsidR="0010069F" w:rsidRPr="00A40AB4" w14:paraId="7B611C0E" w14:textId="77777777" w:rsidTr="003D74F4">
        <w:trPr>
          <w:trHeight w:hRule="exact" w:val="340"/>
          <w:jc w:val="center"/>
        </w:trPr>
        <w:tc>
          <w:tcPr>
            <w:tcW w:w="1297" w:type="pct"/>
            <w:vMerge w:val="restart"/>
            <w:vAlign w:val="center"/>
          </w:tcPr>
          <w:p w14:paraId="798EC41D" w14:textId="77777777" w:rsidR="0010069F" w:rsidRPr="00E81C4D" w:rsidRDefault="0010069F" w:rsidP="003D74F4">
            <w:pPr>
              <w:pStyle w:val="TableText"/>
              <w:jc w:val="center"/>
            </w:pPr>
            <w:r w:rsidRPr="00146B98">
              <w:t>Pharmaceutical Benefits Scheme</w:t>
            </w:r>
          </w:p>
        </w:tc>
        <w:tc>
          <w:tcPr>
            <w:tcW w:w="1296" w:type="pct"/>
            <w:shd w:val="clear" w:color="auto" w:fill="auto"/>
            <w:noWrap/>
            <w:vAlign w:val="center"/>
          </w:tcPr>
          <w:p w14:paraId="75069247" w14:textId="4F2E8E89" w:rsidR="0010069F" w:rsidRPr="00FD0C07" w:rsidRDefault="0010069F" w:rsidP="003D74F4">
            <w:pPr>
              <w:pStyle w:val="TableText"/>
              <w:jc w:val="center"/>
            </w:pPr>
            <w:r w:rsidRPr="00B938D4">
              <w:t>2021–22</w:t>
            </w:r>
          </w:p>
        </w:tc>
        <w:tc>
          <w:tcPr>
            <w:tcW w:w="1204" w:type="pct"/>
            <w:vAlign w:val="center"/>
          </w:tcPr>
          <w:p w14:paraId="1826B6D7" w14:textId="2F63B1E3" w:rsidR="0010069F" w:rsidRPr="00FD0C07" w:rsidRDefault="00C228E4" w:rsidP="003D74F4">
            <w:pPr>
              <w:pStyle w:val="TableText"/>
              <w:jc w:val="center"/>
            </w:pPr>
            <w:r>
              <w:t>30 Jul 2022</w:t>
            </w:r>
          </w:p>
        </w:tc>
        <w:tc>
          <w:tcPr>
            <w:tcW w:w="1203" w:type="pct"/>
            <w:vAlign w:val="center"/>
          </w:tcPr>
          <w:p w14:paraId="20411220" w14:textId="60281535" w:rsidR="0010069F" w:rsidRPr="00FD0C07" w:rsidRDefault="0010069F" w:rsidP="003D74F4">
            <w:pPr>
              <w:pStyle w:val="TableText"/>
              <w:jc w:val="center"/>
            </w:pPr>
            <w:r w:rsidRPr="00DE05B8">
              <w:t>29 Jul 2023</w:t>
            </w:r>
          </w:p>
        </w:tc>
      </w:tr>
      <w:tr w:rsidR="0010069F" w:rsidRPr="00A40AB4" w14:paraId="32E8E99C" w14:textId="77777777" w:rsidTr="003D74F4">
        <w:trPr>
          <w:trHeight w:hRule="exact" w:val="340"/>
          <w:jc w:val="center"/>
        </w:trPr>
        <w:tc>
          <w:tcPr>
            <w:tcW w:w="1297" w:type="pct"/>
            <w:vMerge/>
            <w:vAlign w:val="center"/>
          </w:tcPr>
          <w:p w14:paraId="577E3B66" w14:textId="77777777" w:rsidR="0010069F" w:rsidRPr="007B13B6" w:rsidRDefault="0010069F" w:rsidP="003D74F4">
            <w:pPr>
              <w:pStyle w:val="TableText"/>
              <w:jc w:val="center"/>
            </w:pPr>
          </w:p>
        </w:tc>
        <w:tc>
          <w:tcPr>
            <w:tcW w:w="1296" w:type="pct"/>
            <w:shd w:val="clear" w:color="auto" w:fill="auto"/>
            <w:noWrap/>
            <w:vAlign w:val="center"/>
          </w:tcPr>
          <w:p w14:paraId="20B98AB4" w14:textId="1E7C40A3" w:rsidR="0010069F" w:rsidRPr="00CE0E29" w:rsidRDefault="0010069F" w:rsidP="003D74F4">
            <w:pPr>
              <w:pStyle w:val="TableText"/>
              <w:jc w:val="center"/>
            </w:pPr>
            <w:r w:rsidRPr="00B938D4">
              <w:t>2022–23</w:t>
            </w:r>
          </w:p>
        </w:tc>
        <w:tc>
          <w:tcPr>
            <w:tcW w:w="1204" w:type="pct"/>
            <w:vAlign w:val="center"/>
          </w:tcPr>
          <w:p w14:paraId="090ADC48" w14:textId="7660658D" w:rsidR="0010069F" w:rsidRPr="00CE0E29" w:rsidRDefault="00C228E4" w:rsidP="003D74F4">
            <w:pPr>
              <w:pStyle w:val="TableText"/>
              <w:jc w:val="center"/>
            </w:pPr>
            <w:r>
              <w:t>30 Jul 2023</w:t>
            </w:r>
          </w:p>
        </w:tc>
        <w:tc>
          <w:tcPr>
            <w:tcW w:w="1203" w:type="pct"/>
            <w:vAlign w:val="center"/>
          </w:tcPr>
          <w:p w14:paraId="00B1752D" w14:textId="4DFDF53F" w:rsidR="0010069F" w:rsidRPr="00CE0E29" w:rsidRDefault="0010069F" w:rsidP="003D74F4">
            <w:pPr>
              <w:pStyle w:val="TableText"/>
              <w:jc w:val="center"/>
            </w:pPr>
            <w:r w:rsidRPr="00DE05B8">
              <w:t>31 Jul 2024</w:t>
            </w:r>
          </w:p>
        </w:tc>
      </w:tr>
      <w:tr w:rsidR="0010069F" w:rsidRPr="00A40AB4" w14:paraId="20E1A7F1" w14:textId="77777777" w:rsidTr="003D74F4">
        <w:trPr>
          <w:trHeight w:hRule="exact" w:val="340"/>
          <w:jc w:val="center"/>
        </w:trPr>
        <w:tc>
          <w:tcPr>
            <w:tcW w:w="1297" w:type="pct"/>
            <w:vMerge/>
            <w:vAlign w:val="center"/>
          </w:tcPr>
          <w:p w14:paraId="2C56CA3C" w14:textId="77777777" w:rsidR="0010069F" w:rsidRPr="007B13B6" w:rsidRDefault="0010069F" w:rsidP="003D74F4">
            <w:pPr>
              <w:pStyle w:val="TableText"/>
              <w:jc w:val="center"/>
            </w:pPr>
          </w:p>
        </w:tc>
        <w:tc>
          <w:tcPr>
            <w:tcW w:w="1296" w:type="pct"/>
            <w:shd w:val="clear" w:color="auto" w:fill="auto"/>
            <w:noWrap/>
            <w:vAlign w:val="center"/>
          </w:tcPr>
          <w:p w14:paraId="1899267F" w14:textId="69AD245F" w:rsidR="0010069F" w:rsidRPr="00CE0E29" w:rsidRDefault="0010069F" w:rsidP="003D74F4">
            <w:pPr>
              <w:pStyle w:val="TableText"/>
              <w:jc w:val="center"/>
            </w:pPr>
            <w:r w:rsidRPr="00B938D4">
              <w:t>2023–24</w:t>
            </w:r>
          </w:p>
        </w:tc>
        <w:tc>
          <w:tcPr>
            <w:tcW w:w="1204" w:type="pct"/>
            <w:vAlign w:val="center"/>
          </w:tcPr>
          <w:p w14:paraId="466684EE" w14:textId="348668CB" w:rsidR="0010069F" w:rsidRPr="00CE0E29" w:rsidRDefault="00C228E4" w:rsidP="003D74F4">
            <w:pPr>
              <w:pStyle w:val="TableText"/>
              <w:jc w:val="center"/>
            </w:pPr>
            <w:r>
              <w:t>30 Jul 2024</w:t>
            </w:r>
          </w:p>
        </w:tc>
        <w:tc>
          <w:tcPr>
            <w:tcW w:w="1203" w:type="pct"/>
            <w:vAlign w:val="center"/>
          </w:tcPr>
          <w:p w14:paraId="660675CA" w14:textId="4780E4DD" w:rsidR="0010069F" w:rsidRPr="00CE0E29" w:rsidRDefault="0010069F" w:rsidP="003D74F4">
            <w:pPr>
              <w:pStyle w:val="TableText"/>
              <w:jc w:val="center"/>
            </w:pPr>
            <w:r w:rsidRPr="00DE05B8">
              <w:t>31 Jul 2025</w:t>
            </w:r>
          </w:p>
        </w:tc>
      </w:tr>
      <w:bookmarkEnd w:id="74"/>
    </w:tbl>
    <w:p w14:paraId="6830F7D9" w14:textId="3D6B25F3" w:rsidR="00B87567" w:rsidRDefault="00B87567" w:rsidP="008E3F8B">
      <w:pPr>
        <w:pStyle w:val="TableHeading"/>
      </w:pPr>
    </w:p>
    <w:p w14:paraId="1ECF0BFA" w14:textId="066D948F" w:rsidR="00FB2F25" w:rsidRDefault="00FB2F25" w:rsidP="0094680A">
      <w:pPr>
        <w:pStyle w:val="Heading2"/>
      </w:pPr>
      <w:bookmarkStart w:id="75" w:name="_Toc42878719"/>
      <w:bookmarkStart w:id="76" w:name="_Toc103933973"/>
      <w:r>
        <w:t>Statement of Assurance</w:t>
      </w:r>
      <w:bookmarkEnd w:id="75"/>
      <w:bookmarkEnd w:id="76"/>
      <w:r>
        <w:t xml:space="preserve"> </w:t>
      </w:r>
    </w:p>
    <w:p w14:paraId="080B3630" w14:textId="4A090B8D" w:rsidR="00FB2F25" w:rsidRDefault="00FB2F25" w:rsidP="00FB2F25">
      <w:pPr>
        <w:rPr>
          <w:rFonts w:cs="Arial"/>
        </w:rPr>
      </w:pPr>
      <w:r>
        <w:rPr>
          <w:rFonts w:cs="Arial"/>
        </w:rPr>
        <w:t>The Statement of Assurance is a requirement under</w:t>
      </w:r>
      <w:r w:rsidR="00EF0A16">
        <w:rPr>
          <w:rFonts w:cs="Arial"/>
        </w:rPr>
        <w:t xml:space="preserve"> </w:t>
      </w:r>
      <w:r w:rsidR="00DE14E4">
        <w:rPr>
          <w:rFonts w:cs="Arial"/>
        </w:rPr>
        <w:t>c</w:t>
      </w:r>
      <w:r>
        <w:rPr>
          <w:rFonts w:cs="Arial"/>
        </w:rPr>
        <w:t>lause</w:t>
      </w:r>
      <w:r w:rsidR="00EF0A16">
        <w:rPr>
          <w:rFonts w:cs="Arial"/>
        </w:rPr>
        <w:t>s</w:t>
      </w:r>
      <w:r>
        <w:rPr>
          <w:rFonts w:cs="Arial"/>
        </w:rPr>
        <w:t xml:space="preserve"> </w:t>
      </w:r>
      <w:r w:rsidR="001226D6">
        <w:rPr>
          <w:rFonts w:cs="Arial"/>
        </w:rPr>
        <w:t xml:space="preserve">B82 </w:t>
      </w:r>
      <w:r w:rsidR="00EF0A16">
        <w:rPr>
          <w:rFonts w:cs="Arial"/>
        </w:rPr>
        <w:t xml:space="preserve">and B83 </w:t>
      </w:r>
      <w:r>
        <w:rPr>
          <w:rFonts w:cs="Arial"/>
        </w:rPr>
        <w:t xml:space="preserve">of </w:t>
      </w:r>
      <w:r w:rsidR="000A44C2">
        <w:rPr>
          <w:rFonts w:cs="Arial"/>
        </w:rPr>
        <w:t>the Addendum</w:t>
      </w:r>
      <w:r w:rsidR="0006457B">
        <w:rPr>
          <w:rFonts w:cs="Arial"/>
        </w:rPr>
        <w:t>.</w:t>
      </w:r>
    </w:p>
    <w:p w14:paraId="312A840A" w14:textId="1AFF3AF8" w:rsidR="00FB2F25" w:rsidRDefault="00FB2F25" w:rsidP="00FB2F25">
      <w:pPr>
        <w:rPr>
          <w:rFonts w:cs="Arial"/>
        </w:rPr>
      </w:pPr>
      <w:r>
        <w:rPr>
          <w:rFonts w:cs="Arial"/>
        </w:rPr>
        <w:t xml:space="preserve">As required under </w:t>
      </w:r>
      <w:r w:rsidR="00DE14E4">
        <w:rPr>
          <w:rFonts w:cs="Arial"/>
        </w:rPr>
        <w:t>c</w:t>
      </w:r>
      <w:r>
        <w:rPr>
          <w:rFonts w:cs="Arial"/>
        </w:rPr>
        <w:t xml:space="preserve">lause </w:t>
      </w:r>
      <w:r w:rsidR="001226D6">
        <w:rPr>
          <w:rFonts w:cs="Arial"/>
        </w:rPr>
        <w:t>B82</w:t>
      </w:r>
      <w:r>
        <w:rPr>
          <w:rFonts w:cs="Arial"/>
        </w:rPr>
        <w:t xml:space="preserve">(b) of the Addendum, the Australian Health Ministers’ Advisory Council (AHMAC) have endorsed a process regarding the provision of a Statement of Assurance to the </w:t>
      </w:r>
      <w:r w:rsidR="00D51313">
        <w:rPr>
          <w:rFonts w:cs="Arial"/>
        </w:rPr>
        <w:t>N</w:t>
      </w:r>
      <w:r>
        <w:rPr>
          <w:rFonts w:cs="Arial"/>
        </w:rPr>
        <w:t xml:space="preserve">ational </w:t>
      </w:r>
      <w:r w:rsidR="00D51313">
        <w:rPr>
          <w:rFonts w:cs="Arial"/>
        </w:rPr>
        <w:t>B</w:t>
      </w:r>
      <w:r>
        <w:rPr>
          <w:rFonts w:cs="Arial"/>
        </w:rPr>
        <w:t>odies.</w:t>
      </w:r>
    </w:p>
    <w:p w14:paraId="47183ABD" w14:textId="60FF1674" w:rsidR="00FB2F25" w:rsidRDefault="00FB2F25" w:rsidP="00FB2F25">
      <w:pPr>
        <w:rPr>
          <w:rFonts w:cs="Arial"/>
        </w:rPr>
      </w:pPr>
      <w:r>
        <w:rPr>
          <w:rFonts w:cs="Arial"/>
        </w:rPr>
        <w:t xml:space="preserve">The Statement of Assurance from </w:t>
      </w:r>
      <w:r w:rsidR="00E369AC">
        <w:rPr>
          <w:rFonts w:cs="Arial"/>
        </w:rPr>
        <w:t xml:space="preserve">states and territories </w:t>
      </w:r>
      <w:r>
        <w:rPr>
          <w:rFonts w:cs="Arial"/>
        </w:rPr>
        <w:t>(</w:t>
      </w:r>
      <w:r w:rsidR="00EF0A16">
        <w:rPr>
          <w:rFonts w:cs="Arial"/>
        </w:rPr>
        <w:t xml:space="preserve">under clause </w:t>
      </w:r>
      <w:r w:rsidR="001226D6">
        <w:rPr>
          <w:rFonts w:cs="Arial"/>
        </w:rPr>
        <w:t>B82</w:t>
      </w:r>
      <w:r>
        <w:rPr>
          <w:rFonts w:cs="Arial"/>
        </w:rPr>
        <w:t xml:space="preserve">) and the Commonwealth (under </w:t>
      </w:r>
      <w:r w:rsidR="00DE14E4">
        <w:rPr>
          <w:rFonts w:cs="Arial"/>
        </w:rPr>
        <w:t>c</w:t>
      </w:r>
      <w:r>
        <w:rPr>
          <w:rFonts w:cs="Arial"/>
        </w:rPr>
        <w:t xml:space="preserve">lause </w:t>
      </w:r>
      <w:r w:rsidR="001226D6">
        <w:rPr>
          <w:rFonts w:cs="Arial"/>
        </w:rPr>
        <w:t>B83</w:t>
      </w:r>
      <w:r>
        <w:rPr>
          <w:rFonts w:cs="Arial"/>
        </w:rPr>
        <w:t>) is to include commentary on:</w:t>
      </w:r>
    </w:p>
    <w:p w14:paraId="07924CF7" w14:textId="066AF71B" w:rsidR="00FB2F25" w:rsidRDefault="000C3775" w:rsidP="00D12F5A">
      <w:pPr>
        <w:pStyle w:val="ListParagraph"/>
        <w:numPr>
          <w:ilvl w:val="0"/>
          <w:numId w:val="12"/>
        </w:numPr>
        <w:spacing w:before="120" w:after="120" w:line="260" w:lineRule="atLeast"/>
      </w:pPr>
      <w:r>
        <w:t>S</w:t>
      </w:r>
      <w:r w:rsidR="00DE14E4">
        <w:t xml:space="preserve">teps </w:t>
      </w:r>
      <w:r w:rsidR="00FB2F25">
        <w:t>taken to promote completeness and accuracy of activity data (</w:t>
      </w:r>
      <w:r w:rsidR="00026554" w:rsidRPr="00026554">
        <w:t>for example</w:t>
      </w:r>
      <w:r w:rsidR="00FB2F25">
        <w:t xml:space="preserve"> audit tools or programs, third-party reviews, stakeholder engagement strategies)</w:t>
      </w:r>
    </w:p>
    <w:p w14:paraId="129F4D37" w14:textId="485C1B22" w:rsidR="00FB2F25" w:rsidRDefault="000C3775" w:rsidP="00D12F5A">
      <w:pPr>
        <w:pStyle w:val="ListParagraph"/>
        <w:numPr>
          <w:ilvl w:val="0"/>
          <w:numId w:val="12"/>
        </w:numPr>
        <w:spacing w:before="120" w:after="120" w:line="260" w:lineRule="atLeast"/>
      </w:pPr>
      <w:r>
        <w:t>E</w:t>
      </w:r>
      <w:r w:rsidR="00DE14E4">
        <w:t xml:space="preserve">fforts </w:t>
      </w:r>
      <w:r w:rsidR="00FB2F25">
        <w:t>applied to ensure the classification of activity was in accordance with the current year’s standards, data plans and determinations</w:t>
      </w:r>
    </w:p>
    <w:p w14:paraId="0461F447" w14:textId="006EBDBB" w:rsidR="00FB2F25" w:rsidRDefault="000C3775" w:rsidP="00D12F5A">
      <w:pPr>
        <w:pStyle w:val="ListParagraph"/>
        <w:numPr>
          <w:ilvl w:val="0"/>
          <w:numId w:val="12"/>
        </w:numPr>
        <w:spacing w:before="120" w:after="120" w:line="260" w:lineRule="atLeast"/>
      </w:pPr>
      <w:r>
        <w:t>V</w:t>
      </w:r>
      <w:r w:rsidR="00DE14E4">
        <w:t xml:space="preserve">ariations </w:t>
      </w:r>
      <w:r w:rsidR="00FB2F25">
        <w:t>in activity volumes and movements between activity based funding and block funding</w:t>
      </w:r>
    </w:p>
    <w:p w14:paraId="518C8811" w14:textId="196C8C77" w:rsidR="00D8684A" w:rsidRDefault="00D8684A" w:rsidP="00D12F5A">
      <w:pPr>
        <w:pStyle w:val="ListParagraph"/>
        <w:numPr>
          <w:ilvl w:val="0"/>
          <w:numId w:val="12"/>
        </w:numPr>
        <w:spacing w:before="120" w:after="120" w:line="260" w:lineRule="atLeast"/>
      </w:pPr>
      <w:r w:rsidRPr="00D8684A">
        <w:t xml:space="preserve">Explanations on any significant changes in activity and </w:t>
      </w:r>
      <w:r>
        <w:t>national weighted activity unit (</w:t>
      </w:r>
      <w:r w:rsidRPr="00D8684A">
        <w:t>NWAU</w:t>
      </w:r>
      <w:r>
        <w:t>)</w:t>
      </w:r>
      <w:r w:rsidRPr="00D8684A">
        <w:t xml:space="preserve"> </w:t>
      </w:r>
      <w:r w:rsidR="00193EE2">
        <w:t xml:space="preserve">values </w:t>
      </w:r>
      <w:r w:rsidRPr="00D8684A">
        <w:t>from the prior financial year (as part of annual data submission)</w:t>
      </w:r>
    </w:p>
    <w:p w14:paraId="3CE4EB3C" w14:textId="22347581" w:rsidR="00FB2F25" w:rsidRPr="00D1436E" w:rsidRDefault="000C3775" w:rsidP="00D12F5A">
      <w:pPr>
        <w:pStyle w:val="ListParagraph"/>
        <w:numPr>
          <w:ilvl w:val="0"/>
          <w:numId w:val="12"/>
        </w:numPr>
        <w:spacing w:before="120" w:after="120" w:line="260" w:lineRule="atLeast"/>
      </w:pPr>
      <w:r>
        <w:t>O</w:t>
      </w:r>
      <w:r w:rsidR="00DE14E4">
        <w:t xml:space="preserve">ther </w:t>
      </w:r>
      <w:r w:rsidR="00FB2F25">
        <w:t>information that may be relevant to users of the data, as determined by the signing officer.</w:t>
      </w:r>
    </w:p>
    <w:p w14:paraId="3521336A" w14:textId="2C5FE6AF" w:rsidR="00FB2F25" w:rsidRDefault="00FB2F25" w:rsidP="00FB2F25">
      <w:pPr>
        <w:rPr>
          <w:rFonts w:cs="Arial"/>
        </w:rPr>
      </w:pPr>
      <w:r>
        <w:rPr>
          <w:rFonts w:cs="Arial"/>
        </w:rPr>
        <w:t xml:space="preserve">Given </w:t>
      </w:r>
      <w:r w:rsidR="00E369AC">
        <w:rPr>
          <w:rFonts w:cs="Arial"/>
        </w:rPr>
        <w:t>state</w:t>
      </w:r>
      <w:r w:rsidR="00CE0E29">
        <w:rPr>
          <w:rFonts w:cs="Arial"/>
        </w:rPr>
        <w:t>s</w:t>
      </w:r>
      <w:r w:rsidR="00E369AC">
        <w:rPr>
          <w:rFonts w:cs="Arial"/>
        </w:rPr>
        <w:t xml:space="preserve"> and territories </w:t>
      </w:r>
      <w:r>
        <w:rPr>
          <w:rFonts w:cs="Arial"/>
        </w:rPr>
        <w:t>have differing levels of maturity of ABF processes,</w:t>
      </w:r>
      <w:r w:rsidR="00E369AC">
        <w:rPr>
          <w:rFonts w:cs="Arial"/>
        </w:rPr>
        <w:t xml:space="preserve"> </w:t>
      </w:r>
      <w:r>
        <w:rPr>
          <w:rFonts w:cs="Arial"/>
        </w:rPr>
        <w:t>commentary may vary</w:t>
      </w:r>
      <w:r w:rsidR="00A878EA">
        <w:rPr>
          <w:rFonts w:cs="Arial"/>
        </w:rPr>
        <w:t xml:space="preserve"> across each state and territory</w:t>
      </w:r>
      <w:r>
        <w:rPr>
          <w:rFonts w:cs="Arial"/>
        </w:rPr>
        <w:t>.</w:t>
      </w:r>
    </w:p>
    <w:p w14:paraId="55BE4272" w14:textId="2415B04D" w:rsidR="00FB2F25" w:rsidRDefault="00FB2F25" w:rsidP="00FB2F25">
      <w:pPr>
        <w:rPr>
          <w:rFonts w:cs="Arial"/>
        </w:rPr>
      </w:pPr>
      <w:r>
        <w:rPr>
          <w:rFonts w:cs="Arial"/>
        </w:rPr>
        <w:t>To fulfil requirements under</w:t>
      </w:r>
      <w:r w:rsidR="000C3775">
        <w:rPr>
          <w:rFonts w:cs="Arial"/>
        </w:rPr>
        <w:t xml:space="preserve"> clauses</w:t>
      </w:r>
      <w:r>
        <w:rPr>
          <w:rFonts w:cs="Arial"/>
        </w:rPr>
        <w:t xml:space="preserve"> </w:t>
      </w:r>
      <w:r w:rsidR="001226D6">
        <w:rPr>
          <w:rFonts w:cs="Arial"/>
        </w:rPr>
        <w:t xml:space="preserve">B82 </w:t>
      </w:r>
      <w:r>
        <w:rPr>
          <w:rFonts w:cs="Arial"/>
        </w:rPr>
        <w:t xml:space="preserve">and </w:t>
      </w:r>
      <w:r w:rsidR="001226D6">
        <w:rPr>
          <w:rFonts w:cs="Arial"/>
        </w:rPr>
        <w:t>B83</w:t>
      </w:r>
      <w:r>
        <w:rPr>
          <w:rFonts w:cs="Arial"/>
        </w:rPr>
        <w:t>, the AHMAC endorsed process is set out below:</w:t>
      </w:r>
    </w:p>
    <w:p w14:paraId="7F08008D" w14:textId="094D3B50" w:rsidR="00FB2F25" w:rsidRDefault="00FB2F25" w:rsidP="00D12F5A">
      <w:pPr>
        <w:pStyle w:val="ListParagraph"/>
        <w:numPr>
          <w:ilvl w:val="0"/>
          <w:numId w:val="12"/>
        </w:numPr>
        <w:spacing w:before="120" w:after="120" w:line="260" w:lineRule="atLeast"/>
      </w:pPr>
      <w:r>
        <w:t xml:space="preserve">A Statement of Assurance is provided with state and territory data submissions in March and September each year, and by the Commonwealth when submitting data under </w:t>
      </w:r>
      <w:r w:rsidR="000C3775">
        <w:t xml:space="preserve">clauses </w:t>
      </w:r>
      <w:r w:rsidR="0015432A">
        <w:t xml:space="preserve">A8 </w:t>
      </w:r>
      <w:r>
        <w:t xml:space="preserve">and </w:t>
      </w:r>
      <w:r w:rsidR="0015432A">
        <w:t xml:space="preserve">A9 </w:t>
      </w:r>
      <w:r>
        <w:t xml:space="preserve">of the </w:t>
      </w:r>
      <w:r w:rsidR="0015432A">
        <w:t>Addendum</w:t>
      </w:r>
    </w:p>
    <w:p w14:paraId="710A2C10" w14:textId="509687FF" w:rsidR="00FB2F25" w:rsidRDefault="00FB2F25" w:rsidP="00D12F5A">
      <w:pPr>
        <w:pStyle w:val="ListParagraph"/>
        <w:numPr>
          <w:ilvl w:val="0"/>
          <w:numId w:val="12"/>
        </w:numPr>
        <w:spacing w:before="120" w:after="120" w:line="260" w:lineRule="atLeast"/>
      </w:pPr>
      <w:r>
        <w:t xml:space="preserve">A letter from senior health department official (seniority </w:t>
      </w:r>
      <w:r w:rsidR="007D1FE8">
        <w:t>i</w:t>
      </w:r>
      <w:r>
        <w:t xml:space="preserve">s defined as </w:t>
      </w:r>
      <w:r w:rsidR="0032792C">
        <w:t xml:space="preserve">IHPA </w:t>
      </w:r>
      <w:r>
        <w:t>Jurisdictional Advisory Committee member executive level or above, at the discretion of the department) is included with the Statement of Assurance, stating that the activity data is, to the best knowledge and belief of the official, complete, accurate and fit for purpose at the time of submission</w:t>
      </w:r>
    </w:p>
    <w:p w14:paraId="2E4951FB" w14:textId="709AC49A" w:rsidR="00FB2F25" w:rsidRDefault="00FB2F25" w:rsidP="00D12F5A">
      <w:pPr>
        <w:pStyle w:val="ListParagraph"/>
        <w:numPr>
          <w:ilvl w:val="0"/>
          <w:numId w:val="12"/>
        </w:numPr>
        <w:spacing w:before="120" w:after="120" w:line="260" w:lineRule="atLeast"/>
      </w:pPr>
      <w:r>
        <w:t>The Statement of Assurance is uploaded to the IHPA portal alongside the relevant data submission</w:t>
      </w:r>
      <w:r w:rsidR="007D1FE8">
        <w:t xml:space="preserve">, and a copy </w:t>
      </w:r>
      <w:r w:rsidR="00193EE2">
        <w:t>provided</w:t>
      </w:r>
      <w:r w:rsidR="007D1FE8">
        <w:t xml:space="preserve"> to the Administrator</w:t>
      </w:r>
    </w:p>
    <w:p w14:paraId="4DDAE0E0" w14:textId="43DFD452" w:rsidR="00FB2F25" w:rsidRDefault="00FB2F25" w:rsidP="00D12F5A">
      <w:pPr>
        <w:pStyle w:val="ListParagraph"/>
        <w:numPr>
          <w:ilvl w:val="0"/>
          <w:numId w:val="12"/>
        </w:numPr>
        <w:spacing w:before="120" w:after="120" w:line="260" w:lineRule="atLeast"/>
      </w:pPr>
      <w:r>
        <w:t xml:space="preserve">A Statement of Assurance is also provided each time there is a resubmission of data, where resubmission means the subsequent submission of a file at the initiation of a </w:t>
      </w:r>
      <w:r w:rsidR="00A878EA">
        <w:t>state or territory</w:t>
      </w:r>
    </w:p>
    <w:p w14:paraId="60F1D148" w14:textId="60F35BD2" w:rsidR="00FB2F25" w:rsidRDefault="00FB2F25" w:rsidP="00D12F5A">
      <w:pPr>
        <w:pStyle w:val="ListParagraph"/>
        <w:numPr>
          <w:ilvl w:val="0"/>
          <w:numId w:val="12"/>
        </w:numPr>
        <w:spacing w:before="120" w:after="120" w:line="260" w:lineRule="atLeast"/>
      </w:pPr>
      <w:r>
        <w:t>When resubmitting data, the letter from the official includes the reason for resubmission of data</w:t>
      </w:r>
    </w:p>
    <w:p w14:paraId="37F6A42D" w14:textId="3E81DD86" w:rsidR="00FB2F25" w:rsidRDefault="00FB2F25" w:rsidP="00D12F5A">
      <w:pPr>
        <w:pStyle w:val="ListParagraph"/>
        <w:numPr>
          <w:ilvl w:val="0"/>
          <w:numId w:val="12"/>
        </w:numPr>
        <w:spacing w:before="120" w:after="120" w:line="260" w:lineRule="atLeast"/>
      </w:pPr>
      <w:r>
        <w:t>Where states and territories submit NWAU values as well as raw data in their March and September submissions, a Statement of Assurance accompanies the submission of NWAU values</w:t>
      </w:r>
    </w:p>
    <w:p w14:paraId="51C27C7D" w14:textId="1AB8DC6D" w:rsidR="002623B6" w:rsidRPr="005D37DF" w:rsidRDefault="00FB2F25" w:rsidP="00D12F5A">
      <w:pPr>
        <w:pStyle w:val="ListParagraph"/>
        <w:numPr>
          <w:ilvl w:val="0"/>
          <w:numId w:val="12"/>
        </w:numPr>
        <w:spacing w:before="120" w:after="120" w:line="260" w:lineRule="atLeast"/>
      </w:pPr>
      <w:r>
        <w:t>The Statement of Assurance will not be published publicly.</w:t>
      </w:r>
    </w:p>
    <w:p w14:paraId="2D2EA659" w14:textId="77777777" w:rsidR="00EB3530" w:rsidRDefault="00EB3530" w:rsidP="0094680A">
      <w:pPr>
        <w:pStyle w:val="Heading2"/>
      </w:pPr>
      <w:bookmarkStart w:id="77" w:name="_Toc7775749"/>
      <w:bookmarkStart w:id="78" w:name="_Toc8915317"/>
      <w:bookmarkStart w:id="79" w:name="_Toc7775750"/>
      <w:bookmarkStart w:id="80" w:name="_Toc8915318"/>
      <w:bookmarkStart w:id="81" w:name="_Toc525028799"/>
      <w:bookmarkStart w:id="82" w:name="_Toc42878720"/>
      <w:bookmarkStart w:id="83" w:name="_Toc103933974"/>
      <w:bookmarkEnd w:id="77"/>
      <w:bookmarkEnd w:id="78"/>
      <w:bookmarkEnd w:id="79"/>
      <w:bookmarkEnd w:id="80"/>
      <w:r>
        <w:lastRenderedPageBreak/>
        <w:t>NHCDC Data Quality Statement</w:t>
      </w:r>
      <w:bookmarkEnd w:id="81"/>
      <w:bookmarkEnd w:id="82"/>
      <w:bookmarkEnd w:id="83"/>
    </w:p>
    <w:p w14:paraId="15F188B1" w14:textId="35A8BDE3" w:rsidR="00FB2F25" w:rsidRPr="002D3092" w:rsidRDefault="00A878EA" w:rsidP="00FB2F25">
      <w:pPr>
        <w:rPr>
          <w:rFonts w:cs="Arial"/>
        </w:rPr>
      </w:pPr>
      <w:r>
        <w:t>State</w:t>
      </w:r>
      <w:r w:rsidR="00CE0E29">
        <w:t>s</w:t>
      </w:r>
      <w:r>
        <w:t xml:space="preserve"> and territories </w:t>
      </w:r>
      <w:r w:rsidR="00EB3530">
        <w:t xml:space="preserve">are required to provide a quality statement with their final NHCDC data submission for each financial year. The quality statement should outline conformance with the Australian Hospital </w:t>
      </w:r>
      <w:r w:rsidR="00CE0E29">
        <w:t xml:space="preserve">Patient </w:t>
      </w:r>
      <w:r w:rsidR="00EB3530">
        <w:t>Costing Standards.</w:t>
      </w:r>
    </w:p>
    <w:p w14:paraId="6E15AFB6" w14:textId="2ADA3387" w:rsidR="00FB2F25" w:rsidRDefault="00FB2F25" w:rsidP="0094680A">
      <w:pPr>
        <w:pStyle w:val="Heading2"/>
      </w:pPr>
      <w:bookmarkStart w:id="84" w:name="_Toc392756968"/>
      <w:bookmarkStart w:id="85" w:name="_Toc362456607"/>
      <w:bookmarkStart w:id="86" w:name="_Toc42878721"/>
      <w:bookmarkStart w:id="87" w:name="_Toc103933975"/>
      <w:r>
        <w:t xml:space="preserve">Data </w:t>
      </w:r>
      <w:r w:rsidRPr="00492E93">
        <w:t>compliance</w:t>
      </w:r>
      <w:r>
        <w:t xml:space="preserve"> process</w:t>
      </w:r>
      <w:bookmarkEnd w:id="71"/>
      <w:bookmarkEnd w:id="73"/>
      <w:bookmarkEnd w:id="84"/>
      <w:bookmarkEnd w:id="85"/>
      <w:bookmarkEnd w:id="86"/>
      <w:bookmarkEnd w:id="87"/>
      <w:r>
        <w:t xml:space="preserve"> </w:t>
      </w:r>
    </w:p>
    <w:p w14:paraId="5102C8E9" w14:textId="4A871980" w:rsidR="00FB2F25" w:rsidRDefault="00FB2F25" w:rsidP="00FB2F25">
      <w:r>
        <w:t xml:space="preserve">The IHPA Data Compliance Report details </w:t>
      </w:r>
      <w:r w:rsidR="00900A5E">
        <w:t>jurisdiction</w:t>
      </w:r>
      <w:r>
        <w:t xml:space="preserve"> compliance with the data submission process. The </w:t>
      </w:r>
      <w:r w:rsidR="00193EE2">
        <w:t xml:space="preserve">data </w:t>
      </w:r>
      <w:r>
        <w:t xml:space="preserve">compliance process </w:t>
      </w:r>
      <w:r w:rsidR="00193EE2">
        <w:t xml:space="preserve">outlined </w:t>
      </w:r>
      <w:r>
        <w:t>below has been informed by and is consistent w</w:t>
      </w:r>
      <w:r w:rsidRPr="00901B4F">
        <w:t>ith the data supply and compliance processes articulated in the</w:t>
      </w:r>
      <w:r w:rsidR="00A878EA" w:rsidRPr="00901B4F">
        <w:t xml:space="preserve"> IHPA</w:t>
      </w:r>
      <w:r w:rsidRPr="00901B4F">
        <w:t xml:space="preserve"> </w:t>
      </w:r>
      <w:r w:rsidRPr="00EB3FCD">
        <w:t>Three Year Data Plan</w:t>
      </w:r>
      <w:r w:rsidR="00A878EA" w:rsidRPr="00EB3FCD">
        <w:t xml:space="preserve"> </w:t>
      </w:r>
      <w:r w:rsidR="001A5813">
        <w:t>2022–23</w:t>
      </w:r>
      <w:r w:rsidR="006A5C17" w:rsidRPr="00EB3FCD">
        <w:t xml:space="preserve"> to </w:t>
      </w:r>
      <w:r w:rsidR="001A5813">
        <w:t>2024–25</w:t>
      </w:r>
      <w:r w:rsidRPr="00901B4F">
        <w:t xml:space="preserve">. </w:t>
      </w:r>
    </w:p>
    <w:p w14:paraId="72E26CC8" w14:textId="3BEA1519" w:rsidR="00FB2F25" w:rsidRPr="007D0803" w:rsidRDefault="00FB2F25" w:rsidP="008E3F8B">
      <w:pPr>
        <w:pStyle w:val="TableHeading"/>
      </w:pPr>
      <w:r w:rsidRPr="007D0803">
        <w:t xml:space="preserve">Table </w:t>
      </w:r>
      <w:r w:rsidR="00E9641B">
        <w:t>4</w:t>
      </w:r>
      <w:r w:rsidRPr="007D0803">
        <w:t xml:space="preserve">: Data submission and compliance process </w:t>
      </w:r>
    </w:p>
    <w:tbl>
      <w:tblPr>
        <w:tblW w:w="0" w:type="auto"/>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A0" w:firstRow="1" w:lastRow="0" w:firstColumn="1" w:lastColumn="0" w:noHBand="0" w:noVBand="0"/>
        <w:tblDescription w:val="Table 3 has 5 column headings:&#10;Column 1 outlines which number step is to be undertaken.&#10;Column 2 outlines the name of the activity to be undertaken in the data compliance process.&#10;Column 3 outlines the description  of the activity to be undertaken. &#10;Column 4 oulines the data compliance checks jurisdictions have to undertake."/>
      </w:tblPr>
      <w:tblGrid>
        <w:gridCol w:w="539"/>
        <w:gridCol w:w="1447"/>
        <w:gridCol w:w="4561"/>
        <w:gridCol w:w="2477"/>
      </w:tblGrid>
      <w:tr w:rsidR="00A91424" w14:paraId="4F6589B9" w14:textId="77777777" w:rsidTr="00193EE2">
        <w:trPr>
          <w:cantSplit/>
          <w:trHeight w:val="389"/>
          <w:tblHeader/>
          <w:jc w:val="center"/>
        </w:trPr>
        <w:tc>
          <w:tcPr>
            <w:tcW w:w="540" w:type="dxa"/>
            <w:shd w:val="clear" w:color="auto" w:fill="004220" w:themeFill="accent2" w:themeFillShade="80"/>
            <w:vAlign w:val="center"/>
          </w:tcPr>
          <w:p w14:paraId="73742233" w14:textId="77777777" w:rsidR="00FB2F25" w:rsidRPr="006F18FF" w:rsidRDefault="00FB2F25" w:rsidP="00193EE2">
            <w:pPr>
              <w:pStyle w:val="TableText"/>
              <w:jc w:val="center"/>
            </w:pPr>
            <w:r w:rsidRPr="006F18FF">
              <w:t>No.</w:t>
            </w:r>
          </w:p>
        </w:tc>
        <w:tc>
          <w:tcPr>
            <w:tcW w:w="1458" w:type="dxa"/>
            <w:shd w:val="clear" w:color="auto" w:fill="004220" w:themeFill="accent2" w:themeFillShade="80"/>
            <w:vAlign w:val="center"/>
          </w:tcPr>
          <w:p w14:paraId="4950EDF2" w14:textId="77777777" w:rsidR="00FB2F25" w:rsidRPr="006F18FF" w:rsidRDefault="00FB2F25" w:rsidP="00193EE2">
            <w:pPr>
              <w:pStyle w:val="TableText"/>
              <w:jc w:val="center"/>
            </w:pPr>
            <w:r w:rsidRPr="006F18FF">
              <w:t>Activity</w:t>
            </w:r>
          </w:p>
        </w:tc>
        <w:tc>
          <w:tcPr>
            <w:tcW w:w="4720" w:type="dxa"/>
            <w:shd w:val="clear" w:color="auto" w:fill="004220" w:themeFill="accent2" w:themeFillShade="80"/>
            <w:vAlign w:val="center"/>
          </w:tcPr>
          <w:p w14:paraId="40C53AA6" w14:textId="77777777" w:rsidR="00FB2F25" w:rsidRPr="006F18FF" w:rsidRDefault="00FB2F25" w:rsidP="00193EE2">
            <w:pPr>
              <w:pStyle w:val="TableText"/>
              <w:jc w:val="center"/>
            </w:pPr>
            <w:r w:rsidRPr="006F18FF">
              <w:t>Description</w:t>
            </w:r>
          </w:p>
        </w:tc>
        <w:tc>
          <w:tcPr>
            <w:tcW w:w="2542" w:type="dxa"/>
            <w:shd w:val="clear" w:color="auto" w:fill="004220" w:themeFill="accent2" w:themeFillShade="80"/>
            <w:vAlign w:val="center"/>
          </w:tcPr>
          <w:p w14:paraId="6967D50F" w14:textId="77777777" w:rsidR="00FB2F25" w:rsidRPr="006F18FF" w:rsidRDefault="00FB2F25" w:rsidP="00193EE2">
            <w:pPr>
              <w:pStyle w:val="TableText"/>
              <w:jc w:val="center"/>
            </w:pPr>
            <w:r w:rsidRPr="006F18FF">
              <w:t>Data compliance checks</w:t>
            </w:r>
          </w:p>
        </w:tc>
      </w:tr>
      <w:tr w:rsidR="00FB2F25" w14:paraId="6DEBEDCF" w14:textId="77777777" w:rsidTr="00B859AD">
        <w:trPr>
          <w:cantSplit/>
          <w:trHeight w:val="2397"/>
          <w:jc w:val="center"/>
        </w:trPr>
        <w:tc>
          <w:tcPr>
            <w:tcW w:w="540" w:type="dxa"/>
          </w:tcPr>
          <w:p w14:paraId="05615FEB" w14:textId="77777777" w:rsidR="00FB2F25" w:rsidRPr="00646D47" w:rsidRDefault="00FB2F25" w:rsidP="00993C4B">
            <w:pPr>
              <w:pStyle w:val="TableText"/>
            </w:pPr>
            <w:r w:rsidRPr="00646D47">
              <w:t>1.</w:t>
            </w:r>
          </w:p>
        </w:tc>
        <w:tc>
          <w:tcPr>
            <w:tcW w:w="1458" w:type="dxa"/>
          </w:tcPr>
          <w:p w14:paraId="03A96875" w14:textId="77777777" w:rsidR="00FB2F25" w:rsidRPr="00646D47" w:rsidRDefault="00FB2F25" w:rsidP="00993C4B">
            <w:pPr>
              <w:pStyle w:val="TableText"/>
            </w:pPr>
            <w:r w:rsidRPr="00646D47">
              <w:t>Send data request</w:t>
            </w:r>
          </w:p>
        </w:tc>
        <w:tc>
          <w:tcPr>
            <w:tcW w:w="4720" w:type="dxa"/>
          </w:tcPr>
          <w:p w14:paraId="1518F8D1" w14:textId="1E383281" w:rsidR="00FB2F25" w:rsidRPr="00F55764" w:rsidRDefault="00FB2F25" w:rsidP="00993C4B">
            <w:pPr>
              <w:pStyle w:val="TableText"/>
            </w:pPr>
            <w:r w:rsidRPr="00F55764">
              <w:t xml:space="preserve">IHPA will send an email to each </w:t>
            </w:r>
            <w:r w:rsidR="00FC66FE">
              <w:t>jurisdiction</w:t>
            </w:r>
            <w:r w:rsidR="006A5C17" w:rsidRPr="00F55764">
              <w:t xml:space="preserve"> </w:t>
            </w:r>
            <w:r w:rsidRPr="00F55764">
              <w:t>with the following instructions:</w:t>
            </w:r>
          </w:p>
          <w:p w14:paraId="7A0E391F" w14:textId="0D489046" w:rsidR="00FB2F25" w:rsidRPr="00F55764" w:rsidRDefault="00E9641B" w:rsidP="00993C4B">
            <w:pPr>
              <w:pStyle w:val="TableText"/>
              <w:numPr>
                <w:ilvl w:val="0"/>
                <w:numId w:val="20"/>
              </w:numPr>
            </w:pPr>
            <w:r>
              <w:t>t</w:t>
            </w:r>
            <w:r w:rsidR="006F1E03">
              <w:t xml:space="preserve">he </w:t>
            </w:r>
            <w:r w:rsidR="00FB2F25">
              <w:t>method of delivery</w:t>
            </w:r>
          </w:p>
          <w:p w14:paraId="0EB25A3E" w14:textId="4801AB9D" w:rsidR="00FB2F25" w:rsidRPr="00F55764" w:rsidRDefault="00E9641B" w:rsidP="00993C4B">
            <w:pPr>
              <w:pStyle w:val="TableText"/>
              <w:numPr>
                <w:ilvl w:val="0"/>
                <w:numId w:val="20"/>
              </w:numPr>
            </w:pPr>
            <w:r>
              <w:t>c</w:t>
            </w:r>
            <w:r w:rsidR="00FB2F25" w:rsidRPr="00F55764">
              <w:t>ontact person at IHPA</w:t>
            </w:r>
          </w:p>
          <w:p w14:paraId="6B3CB94A" w14:textId="4DAA8515" w:rsidR="00FB2F25" w:rsidRPr="00F55764" w:rsidRDefault="00E9641B" w:rsidP="00993C4B">
            <w:pPr>
              <w:pStyle w:val="TableText"/>
              <w:numPr>
                <w:ilvl w:val="0"/>
                <w:numId w:val="20"/>
              </w:numPr>
            </w:pPr>
            <w:r>
              <w:t>a</w:t>
            </w:r>
            <w:r w:rsidR="006F1E03" w:rsidRPr="00F55764">
              <w:t xml:space="preserve"> </w:t>
            </w:r>
            <w:r w:rsidR="00FB2F25" w:rsidRPr="00F55764">
              <w:t>data request, which will include a spread sheet (or similar) that provides the format in which the data is to be supplied</w:t>
            </w:r>
          </w:p>
          <w:p w14:paraId="139D31A3" w14:textId="0B07B93F" w:rsidR="00FB2F25" w:rsidRPr="00F55764" w:rsidRDefault="00E9641B" w:rsidP="00993C4B">
            <w:pPr>
              <w:pStyle w:val="TableText"/>
              <w:numPr>
                <w:ilvl w:val="0"/>
                <w:numId w:val="20"/>
              </w:numPr>
            </w:pPr>
            <w:r>
              <w:t>t</w:t>
            </w:r>
            <w:r w:rsidR="00FB2F25" w:rsidRPr="00F55764">
              <w:t>he validation rules that IHPA will apply to ensure that the submitted data meets the specified requirements</w:t>
            </w:r>
          </w:p>
          <w:p w14:paraId="10860778" w14:textId="54B39E17" w:rsidR="00FB2F25" w:rsidRPr="00F55764" w:rsidRDefault="00E9641B" w:rsidP="00993C4B">
            <w:pPr>
              <w:pStyle w:val="TableText"/>
              <w:numPr>
                <w:ilvl w:val="0"/>
                <w:numId w:val="20"/>
              </w:numPr>
            </w:pPr>
            <w:r>
              <w:t>s</w:t>
            </w:r>
            <w:r w:rsidR="00FC773D" w:rsidRPr="00F55764">
              <w:t xml:space="preserve">ummary </w:t>
            </w:r>
            <w:r w:rsidR="00FB2F25" w:rsidRPr="00F55764">
              <w:t>of changes from previous versions of the data specification</w:t>
            </w:r>
          </w:p>
          <w:p w14:paraId="00D9447D" w14:textId="6CDA74E3" w:rsidR="00FB2F25" w:rsidRPr="00F55764" w:rsidRDefault="00E9641B" w:rsidP="00993C4B">
            <w:pPr>
              <w:pStyle w:val="TableText"/>
              <w:numPr>
                <w:ilvl w:val="0"/>
                <w:numId w:val="20"/>
              </w:numPr>
            </w:pPr>
            <w:r>
              <w:t>t</w:t>
            </w:r>
            <w:r w:rsidR="00FC773D" w:rsidRPr="00F55764">
              <w:t xml:space="preserve">he </w:t>
            </w:r>
            <w:r w:rsidR="00FB2F25" w:rsidRPr="00F55764">
              <w:t>due date for submission.</w:t>
            </w:r>
          </w:p>
        </w:tc>
        <w:tc>
          <w:tcPr>
            <w:tcW w:w="2542" w:type="dxa"/>
          </w:tcPr>
          <w:p w14:paraId="2A25243C" w14:textId="0F0B3700" w:rsidR="00FB2F25" w:rsidRPr="00990CE6" w:rsidRDefault="00FB2F25" w:rsidP="00993C4B">
            <w:pPr>
              <w:pStyle w:val="TableText"/>
            </w:pPr>
            <w:r w:rsidRPr="00990CE6">
              <w:t>IHPA provides data re</w:t>
            </w:r>
            <w:r w:rsidRPr="00901B4F">
              <w:t xml:space="preserve">quest in accordance with </w:t>
            </w:r>
            <w:r w:rsidRPr="00EB3FCD">
              <w:t>Three Year Data Plan</w:t>
            </w:r>
            <w:r w:rsidR="006A5C17" w:rsidRPr="00EB3FCD">
              <w:t xml:space="preserve"> </w:t>
            </w:r>
            <w:r w:rsidR="00F37459">
              <w:t>2022–23</w:t>
            </w:r>
            <w:r w:rsidR="006A5C17" w:rsidRPr="00EB3FCD">
              <w:t xml:space="preserve"> to </w:t>
            </w:r>
            <w:r w:rsidR="00F37459">
              <w:t>2024–25</w:t>
            </w:r>
            <w:r w:rsidRPr="00901B4F">
              <w:t xml:space="preserve">. Delays in issue of data request may influence subsequent timing requirements </w:t>
            </w:r>
            <w:r w:rsidRPr="00990CE6">
              <w:t xml:space="preserve">for </w:t>
            </w:r>
            <w:r w:rsidR="00C22FDE">
              <w:t>jurisdictions</w:t>
            </w:r>
            <w:r w:rsidRPr="00990CE6">
              <w:t>.</w:t>
            </w:r>
          </w:p>
        </w:tc>
      </w:tr>
      <w:tr w:rsidR="00FB2F25" w14:paraId="5F93FEA3" w14:textId="77777777" w:rsidTr="00B859AD">
        <w:trPr>
          <w:cantSplit/>
          <w:trHeight w:val="1034"/>
          <w:jc w:val="center"/>
        </w:trPr>
        <w:tc>
          <w:tcPr>
            <w:tcW w:w="540" w:type="dxa"/>
          </w:tcPr>
          <w:p w14:paraId="0F0F05A4" w14:textId="77777777" w:rsidR="00FB2F25" w:rsidRPr="00646D47" w:rsidRDefault="00FB2F25" w:rsidP="00993C4B">
            <w:pPr>
              <w:pStyle w:val="TableText"/>
            </w:pPr>
            <w:r w:rsidRPr="00646D47">
              <w:t>2.</w:t>
            </w:r>
          </w:p>
        </w:tc>
        <w:tc>
          <w:tcPr>
            <w:tcW w:w="1458" w:type="dxa"/>
          </w:tcPr>
          <w:p w14:paraId="4E5821F2" w14:textId="77777777" w:rsidR="00FB2F25" w:rsidRPr="00646D47" w:rsidRDefault="00FB2F25" w:rsidP="00993C4B">
            <w:pPr>
              <w:pStyle w:val="TableText"/>
            </w:pPr>
            <w:r w:rsidRPr="00646D47">
              <w:t>Validate data</w:t>
            </w:r>
          </w:p>
        </w:tc>
        <w:tc>
          <w:tcPr>
            <w:tcW w:w="4720" w:type="dxa"/>
          </w:tcPr>
          <w:p w14:paraId="261B11B0" w14:textId="714FD4A5" w:rsidR="00FB2F25" w:rsidRPr="00F55764" w:rsidRDefault="00FB2F25" w:rsidP="00993C4B">
            <w:pPr>
              <w:pStyle w:val="TableText"/>
            </w:pPr>
            <w:r w:rsidRPr="00F55764">
              <w:t xml:space="preserve">Before submission of data, </w:t>
            </w:r>
            <w:r w:rsidR="00FC66FE">
              <w:t>jurisdictions</w:t>
            </w:r>
            <w:r w:rsidR="006A5C17" w:rsidRPr="00F55764">
              <w:t xml:space="preserve"> </w:t>
            </w:r>
            <w:proofErr w:type="gramStart"/>
            <w:r w:rsidRPr="00F55764">
              <w:t>are able to</w:t>
            </w:r>
            <w:proofErr w:type="gramEnd"/>
            <w:r w:rsidRPr="00F55764">
              <w:t xml:space="preserve"> validate </w:t>
            </w:r>
            <w:r>
              <w:t xml:space="preserve">data multiple times through </w:t>
            </w:r>
            <w:r w:rsidRPr="001F37D1">
              <w:t xml:space="preserve">IHPA’s online </w:t>
            </w:r>
            <w:r>
              <w:t>Secure Data Management System (SDMS)</w:t>
            </w:r>
            <w:r w:rsidRPr="00F55764">
              <w:t xml:space="preserve">. The data will be validated in accordance with the instructions specified in the data request specification. IHPA will ensure that the </w:t>
            </w:r>
            <w:r>
              <w:t>system</w:t>
            </w:r>
            <w:r w:rsidRPr="00F55764">
              <w:t xml:space="preserve"> is ready for the data validation four weeks before the submission due date.</w:t>
            </w:r>
          </w:p>
        </w:tc>
        <w:tc>
          <w:tcPr>
            <w:tcW w:w="2542" w:type="dxa"/>
          </w:tcPr>
          <w:p w14:paraId="77825F6E" w14:textId="77777777" w:rsidR="00FB2F25" w:rsidRPr="00990CE6" w:rsidRDefault="00FB2F25" w:rsidP="00993C4B">
            <w:pPr>
              <w:pStyle w:val="TableText"/>
            </w:pPr>
            <w:r w:rsidRPr="00990CE6">
              <w:t xml:space="preserve">Nil </w:t>
            </w:r>
            <w:r w:rsidR="00304D14">
              <w:t>–</w:t>
            </w:r>
            <w:r w:rsidRPr="00990CE6">
              <w:t xml:space="preserve"> </w:t>
            </w:r>
            <w:proofErr w:type="gramStart"/>
            <w:r w:rsidRPr="00990CE6">
              <w:t>this falls</w:t>
            </w:r>
            <w:proofErr w:type="gramEnd"/>
            <w:r w:rsidRPr="00990CE6">
              <w:t xml:space="preserve"> into broader data quality assurance processes.</w:t>
            </w:r>
          </w:p>
        </w:tc>
      </w:tr>
      <w:tr w:rsidR="00EB3530" w14:paraId="718054CC" w14:textId="77777777" w:rsidTr="00B859AD">
        <w:trPr>
          <w:cantSplit/>
          <w:trHeight w:val="1305"/>
          <w:jc w:val="center"/>
        </w:trPr>
        <w:tc>
          <w:tcPr>
            <w:tcW w:w="540" w:type="dxa"/>
          </w:tcPr>
          <w:p w14:paraId="4B9CA0D6" w14:textId="77777777" w:rsidR="00EB3530" w:rsidRPr="00646D47" w:rsidRDefault="00EB3530" w:rsidP="00993C4B">
            <w:pPr>
              <w:pStyle w:val="TableText"/>
            </w:pPr>
            <w:r w:rsidRPr="00646D47">
              <w:lastRenderedPageBreak/>
              <w:t>3.</w:t>
            </w:r>
          </w:p>
        </w:tc>
        <w:tc>
          <w:tcPr>
            <w:tcW w:w="1458" w:type="dxa"/>
          </w:tcPr>
          <w:p w14:paraId="52D3019D" w14:textId="77777777" w:rsidR="00EB3530" w:rsidRPr="00646D47" w:rsidRDefault="00EB3530" w:rsidP="00993C4B">
            <w:pPr>
              <w:pStyle w:val="TableText"/>
            </w:pPr>
            <w:r w:rsidRPr="00646D47">
              <w:t>Submit quality assured data to IHPA</w:t>
            </w:r>
          </w:p>
        </w:tc>
        <w:tc>
          <w:tcPr>
            <w:tcW w:w="4720" w:type="dxa"/>
          </w:tcPr>
          <w:p w14:paraId="03F1D601" w14:textId="0B536CE4" w:rsidR="00EB3530" w:rsidRDefault="00EB3530" w:rsidP="00993C4B">
            <w:pPr>
              <w:pStyle w:val="TableText"/>
            </w:pPr>
            <w:r w:rsidRPr="00F55764">
              <w:t xml:space="preserve">Once </w:t>
            </w:r>
            <w:r w:rsidR="00FC66FE">
              <w:t>jurisdictions</w:t>
            </w:r>
            <w:r w:rsidR="006A5C17" w:rsidRPr="00F55764">
              <w:t xml:space="preserve"> </w:t>
            </w:r>
            <w:r w:rsidRPr="00F55764">
              <w:t xml:space="preserve">are satisfied with the data quality based on the feedback generated by the online validation feature, data submitters can formally submit the data within the </w:t>
            </w:r>
            <w:r>
              <w:t>SDMS</w:t>
            </w:r>
            <w:r w:rsidRPr="00F55764">
              <w:t xml:space="preserve">. A confirmation email will be issued by the </w:t>
            </w:r>
            <w:r>
              <w:t xml:space="preserve">system </w:t>
            </w:r>
            <w:r w:rsidRPr="00F55764">
              <w:t>to acknowledge the submission.</w:t>
            </w:r>
          </w:p>
          <w:p w14:paraId="0C5179A9" w14:textId="192E371F" w:rsidR="00A91424" w:rsidRDefault="00EB3530" w:rsidP="00993C4B">
            <w:pPr>
              <w:pStyle w:val="TableText"/>
            </w:pPr>
            <w:r>
              <w:t>The ABF submission must be accompanied by a Statement of Assurance pertaining to the quality of the data for the March and September submissions.</w:t>
            </w:r>
          </w:p>
          <w:p w14:paraId="2682328B" w14:textId="77777777" w:rsidR="00EB3530" w:rsidRPr="00F55764" w:rsidRDefault="00EB3530" w:rsidP="00993C4B">
            <w:pPr>
              <w:pStyle w:val="TableText"/>
            </w:pPr>
            <w:r>
              <w:t>The NHCDC submission requires a signed statement which addresses data quality and the application of the Australian Hospital Patient Costing Standards. The signed statement should be provided to inform the creation of the final data set.</w:t>
            </w:r>
          </w:p>
        </w:tc>
        <w:tc>
          <w:tcPr>
            <w:tcW w:w="2542" w:type="dxa"/>
          </w:tcPr>
          <w:p w14:paraId="6BD9D257" w14:textId="399D8047" w:rsidR="00EB3530" w:rsidRDefault="00EB3530" w:rsidP="00993C4B">
            <w:pPr>
              <w:pStyle w:val="TableText"/>
            </w:pPr>
            <w:r w:rsidRPr="00990CE6">
              <w:t xml:space="preserve">IHPA receives data </w:t>
            </w:r>
            <w:r w:rsidR="00A302AE">
              <w:t xml:space="preserve">and </w:t>
            </w:r>
            <w:r w:rsidR="00120A38">
              <w:t xml:space="preserve">Statement of Assurance </w:t>
            </w:r>
            <w:r w:rsidRPr="00990CE6">
              <w:t>and record</w:t>
            </w:r>
            <w:r w:rsidR="00120A38">
              <w:t>s</w:t>
            </w:r>
            <w:r w:rsidRPr="00990CE6">
              <w:t xml:space="preserve"> time of receipt.</w:t>
            </w:r>
          </w:p>
          <w:p w14:paraId="78BFCF4A" w14:textId="5411ABE9" w:rsidR="00EB3530" w:rsidRPr="00990CE6" w:rsidRDefault="00C24D79" w:rsidP="00993C4B">
            <w:pPr>
              <w:pStyle w:val="TableText"/>
            </w:pPr>
            <w:r>
              <w:t>The NHCDC data quality statement is published alongside the NHCDC Public Sector Report.</w:t>
            </w:r>
          </w:p>
        </w:tc>
      </w:tr>
      <w:tr w:rsidR="00FB2F25" w14:paraId="1A2FD1AD" w14:textId="77777777" w:rsidTr="00B859AD">
        <w:trPr>
          <w:cantSplit/>
          <w:trHeight w:val="1243"/>
          <w:jc w:val="center"/>
        </w:trPr>
        <w:tc>
          <w:tcPr>
            <w:tcW w:w="540" w:type="dxa"/>
          </w:tcPr>
          <w:p w14:paraId="63420D52" w14:textId="77777777" w:rsidR="00FB2F25" w:rsidRPr="00646D47" w:rsidRDefault="00FB2F25" w:rsidP="00993C4B">
            <w:pPr>
              <w:pStyle w:val="TableText"/>
            </w:pPr>
            <w:r w:rsidRPr="00646D47">
              <w:t>4.</w:t>
            </w:r>
          </w:p>
        </w:tc>
        <w:tc>
          <w:tcPr>
            <w:tcW w:w="1458" w:type="dxa"/>
          </w:tcPr>
          <w:p w14:paraId="7805DC53" w14:textId="77777777" w:rsidR="00FB2F25" w:rsidRPr="00646D47" w:rsidRDefault="00FB2F25" w:rsidP="00993C4B">
            <w:pPr>
              <w:pStyle w:val="TableText"/>
            </w:pPr>
            <w:r w:rsidRPr="00646D47">
              <w:t>Review data</w:t>
            </w:r>
          </w:p>
        </w:tc>
        <w:tc>
          <w:tcPr>
            <w:tcW w:w="4720" w:type="dxa"/>
          </w:tcPr>
          <w:p w14:paraId="13E25EAE" w14:textId="50C95822" w:rsidR="00FB2F25" w:rsidRPr="00F55764" w:rsidRDefault="00FB2F25" w:rsidP="00993C4B">
            <w:pPr>
              <w:pStyle w:val="TableText"/>
            </w:pPr>
            <w:r w:rsidRPr="00F55764">
              <w:t xml:space="preserve">Based on the validation result, any data anomalies or errors identified by IHPA will be discussed with the relevant </w:t>
            </w:r>
            <w:r w:rsidR="00FC66FE">
              <w:t>jurisdiction</w:t>
            </w:r>
            <w:r w:rsidRPr="00F55764">
              <w:t xml:space="preserve"> to determine how they will be addressed. As part of this process, </w:t>
            </w:r>
            <w:r w:rsidR="00FC66FE">
              <w:t>jurisdictions</w:t>
            </w:r>
            <w:r w:rsidR="006A5C17">
              <w:t xml:space="preserve"> </w:t>
            </w:r>
            <w:r w:rsidRPr="00F55764">
              <w:t>will have an opportunity to identify the circumstances associated with any anomalies or errors identified. This will in turn assist IHPA to improve the data submission process over time.</w:t>
            </w:r>
          </w:p>
        </w:tc>
        <w:tc>
          <w:tcPr>
            <w:tcW w:w="2542" w:type="dxa"/>
          </w:tcPr>
          <w:p w14:paraId="02F410B0" w14:textId="77777777" w:rsidR="00FB2F25" w:rsidRDefault="00FB2F25" w:rsidP="00993C4B">
            <w:pPr>
              <w:pStyle w:val="TableText"/>
            </w:pPr>
            <w:r w:rsidRPr="00990CE6">
              <w:t xml:space="preserve">Nil </w:t>
            </w:r>
            <w:r w:rsidR="00304D14">
              <w:t>–</w:t>
            </w:r>
            <w:r w:rsidRPr="00990CE6">
              <w:t xml:space="preserve"> </w:t>
            </w:r>
            <w:proofErr w:type="gramStart"/>
            <w:r w:rsidRPr="00990CE6">
              <w:t>this falls</w:t>
            </w:r>
            <w:proofErr w:type="gramEnd"/>
            <w:r w:rsidRPr="00990CE6">
              <w:t xml:space="preserve"> into broader data quality assurance processes.</w:t>
            </w:r>
          </w:p>
          <w:p w14:paraId="6E56FCDE" w14:textId="505440DA" w:rsidR="00BC39F7" w:rsidRPr="00990CE6" w:rsidRDefault="00BC39F7" w:rsidP="00993C4B">
            <w:pPr>
              <w:pStyle w:val="TableText"/>
            </w:pPr>
            <w:r>
              <w:t>If data submitted is subsequently determined to be incomplete or data contains significant issues which need to be addressed through resubmission</w:t>
            </w:r>
            <w:r w:rsidR="00FC66FE">
              <w:t>,</w:t>
            </w:r>
            <w:r>
              <w:t xml:space="preserve"> jurisdictions will be assessed as non-compliant.</w:t>
            </w:r>
          </w:p>
        </w:tc>
      </w:tr>
      <w:tr w:rsidR="00FB2F25" w14:paraId="30D2F589" w14:textId="77777777" w:rsidTr="00B859AD">
        <w:trPr>
          <w:cantSplit/>
          <w:trHeight w:val="1243"/>
          <w:jc w:val="center"/>
        </w:trPr>
        <w:tc>
          <w:tcPr>
            <w:tcW w:w="540" w:type="dxa"/>
          </w:tcPr>
          <w:p w14:paraId="378BAB98" w14:textId="77777777" w:rsidR="00FB2F25" w:rsidRPr="00646D47" w:rsidRDefault="00FB2F25" w:rsidP="00993C4B">
            <w:pPr>
              <w:pStyle w:val="TableText"/>
            </w:pPr>
            <w:r w:rsidRPr="00646D47">
              <w:t>5.</w:t>
            </w:r>
          </w:p>
        </w:tc>
        <w:tc>
          <w:tcPr>
            <w:tcW w:w="1458" w:type="dxa"/>
          </w:tcPr>
          <w:p w14:paraId="0442C695" w14:textId="77777777" w:rsidR="00FB2F25" w:rsidRPr="00646D47" w:rsidRDefault="00FB2F25" w:rsidP="00993C4B">
            <w:pPr>
              <w:pStyle w:val="TableText"/>
            </w:pPr>
            <w:r w:rsidRPr="00646D47">
              <w:t>Decision</w:t>
            </w:r>
          </w:p>
        </w:tc>
        <w:tc>
          <w:tcPr>
            <w:tcW w:w="4720" w:type="dxa"/>
          </w:tcPr>
          <w:p w14:paraId="10C8E5DF" w14:textId="387C1FF7" w:rsidR="00FB2F25" w:rsidRPr="00F55764" w:rsidRDefault="00FB2F25" w:rsidP="00993C4B">
            <w:pPr>
              <w:pStyle w:val="TableText"/>
            </w:pPr>
            <w:r w:rsidRPr="00F55764">
              <w:t xml:space="preserve">If there are no errors or anomalies, the final datasets are created. </w:t>
            </w:r>
            <w:proofErr w:type="gramStart"/>
            <w:r w:rsidRPr="00F55764">
              <w:t>Otherwise</w:t>
            </w:r>
            <w:proofErr w:type="gramEnd"/>
            <w:r w:rsidR="00FC66FE">
              <w:t xml:space="preserve"> jurisdictions</w:t>
            </w:r>
            <w:r w:rsidR="006A5C17" w:rsidRPr="00F55764">
              <w:t xml:space="preserve"> </w:t>
            </w:r>
            <w:r w:rsidRPr="00F55764">
              <w:t xml:space="preserve">will be asked to make appropriate corrections and re-submit the data to IHPA. Where the issues cannot be corrected, </w:t>
            </w:r>
            <w:r w:rsidR="00C03730">
              <w:t>jurisdictions</w:t>
            </w:r>
            <w:r w:rsidR="006A5C17" w:rsidRPr="00F55764">
              <w:t xml:space="preserve"> </w:t>
            </w:r>
            <w:r w:rsidRPr="00F55764">
              <w:t xml:space="preserve">will be </w:t>
            </w:r>
            <w:r w:rsidR="00296596">
              <w:t>required</w:t>
            </w:r>
            <w:r w:rsidR="00296596" w:rsidRPr="00F55764">
              <w:t xml:space="preserve"> </w:t>
            </w:r>
            <w:r w:rsidRPr="00F55764">
              <w:t>to advise IHPA that the data is to be used with known issues.</w:t>
            </w:r>
          </w:p>
        </w:tc>
        <w:tc>
          <w:tcPr>
            <w:tcW w:w="2542" w:type="dxa"/>
          </w:tcPr>
          <w:p w14:paraId="06276825" w14:textId="77777777" w:rsidR="00FB2F25" w:rsidRPr="00990CE6" w:rsidRDefault="00FB2F25" w:rsidP="00993C4B">
            <w:pPr>
              <w:pStyle w:val="TableText"/>
            </w:pPr>
            <w:r w:rsidRPr="00990CE6">
              <w:t>IHPA finalises data with quality statement.</w:t>
            </w:r>
          </w:p>
        </w:tc>
      </w:tr>
      <w:tr w:rsidR="009232B0" w14:paraId="216BEF21" w14:textId="77777777" w:rsidTr="00B859AD">
        <w:trPr>
          <w:cantSplit/>
          <w:trHeight w:val="1243"/>
          <w:jc w:val="center"/>
        </w:trPr>
        <w:tc>
          <w:tcPr>
            <w:tcW w:w="540" w:type="dxa"/>
          </w:tcPr>
          <w:p w14:paraId="2822550C" w14:textId="77777777" w:rsidR="009232B0" w:rsidRPr="00646D47" w:rsidRDefault="009232B0" w:rsidP="00993C4B">
            <w:pPr>
              <w:pStyle w:val="TableText"/>
            </w:pPr>
            <w:r w:rsidRPr="00646D47">
              <w:t>6.</w:t>
            </w:r>
          </w:p>
        </w:tc>
        <w:tc>
          <w:tcPr>
            <w:tcW w:w="1458" w:type="dxa"/>
          </w:tcPr>
          <w:p w14:paraId="482583C0" w14:textId="77777777" w:rsidR="009232B0" w:rsidRPr="00646D47" w:rsidRDefault="009232B0" w:rsidP="00993C4B">
            <w:pPr>
              <w:pStyle w:val="TableText"/>
            </w:pPr>
            <w:r w:rsidRPr="00646D47">
              <w:t>Correct identified issues</w:t>
            </w:r>
          </w:p>
        </w:tc>
        <w:tc>
          <w:tcPr>
            <w:tcW w:w="4720" w:type="dxa"/>
          </w:tcPr>
          <w:p w14:paraId="623C4725" w14:textId="7388FC21" w:rsidR="009232B0" w:rsidRDefault="00FC66FE" w:rsidP="00993C4B">
            <w:pPr>
              <w:pStyle w:val="TableText"/>
            </w:pPr>
            <w:r>
              <w:t>Jurisdictions</w:t>
            </w:r>
            <w:r w:rsidR="006A5C17" w:rsidRPr="00990CE6">
              <w:t xml:space="preserve"> </w:t>
            </w:r>
            <w:r w:rsidR="009232B0" w:rsidRPr="00990CE6">
              <w:t>correct any errors or anomalies identified by IHPA and resubmit their data.</w:t>
            </w:r>
            <w:r w:rsidR="009232B0">
              <w:t xml:space="preserve"> </w:t>
            </w:r>
          </w:p>
          <w:p w14:paraId="3D8253F2" w14:textId="79BB7A7A" w:rsidR="009232B0" w:rsidRDefault="009232B0" w:rsidP="00993C4B">
            <w:pPr>
              <w:pStyle w:val="TableText"/>
            </w:pPr>
            <w:r>
              <w:t xml:space="preserve">A Statement of Assurance is to be provided </w:t>
            </w:r>
            <w:r w:rsidR="00BC39F7">
              <w:t xml:space="preserve">to IHPA and the Administrator </w:t>
            </w:r>
            <w:r>
              <w:t xml:space="preserve">each time there is a formal resubmission of ABF data during the March and September submission </w:t>
            </w:r>
            <w:proofErr w:type="gramStart"/>
            <w:r>
              <w:t>period, and</w:t>
            </w:r>
            <w:proofErr w:type="gramEnd"/>
            <w:r>
              <w:t xml:space="preserve"> include the reason for the resubmission of data.</w:t>
            </w:r>
          </w:p>
          <w:p w14:paraId="4BDB4E45" w14:textId="77777777" w:rsidR="009232B0" w:rsidRPr="00990CE6" w:rsidRDefault="009232B0" w:rsidP="00993C4B">
            <w:pPr>
              <w:pStyle w:val="TableText"/>
            </w:pPr>
            <w:r>
              <w:t>A signed statement is also required to reconfirm the NHCDC data submission as final.</w:t>
            </w:r>
          </w:p>
        </w:tc>
        <w:tc>
          <w:tcPr>
            <w:tcW w:w="2542" w:type="dxa"/>
          </w:tcPr>
          <w:p w14:paraId="3756815D" w14:textId="77777777" w:rsidR="009232B0" w:rsidRDefault="009232B0" w:rsidP="00993C4B">
            <w:pPr>
              <w:pStyle w:val="TableText"/>
            </w:pPr>
            <w:r w:rsidRPr="00990CE6">
              <w:t xml:space="preserve">Nil </w:t>
            </w:r>
            <w:r w:rsidR="00304D14">
              <w:t>–</w:t>
            </w:r>
            <w:r w:rsidRPr="00990CE6">
              <w:t xml:space="preserve"> </w:t>
            </w:r>
            <w:proofErr w:type="gramStart"/>
            <w:r w:rsidRPr="00990CE6">
              <w:t>this falls</w:t>
            </w:r>
            <w:proofErr w:type="gramEnd"/>
            <w:r w:rsidRPr="00990CE6">
              <w:t xml:space="preserve"> into broader data quality assurance processes.</w:t>
            </w:r>
          </w:p>
          <w:p w14:paraId="791B251E" w14:textId="3622AD09" w:rsidR="009232B0" w:rsidRPr="00990CE6" w:rsidRDefault="00C24D79" w:rsidP="00993C4B">
            <w:pPr>
              <w:pStyle w:val="TableText"/>
            </w:pPr>
            <w:r>
              <w:t>The NHCDC data quality statement is published alongside the NHCDC Public Sector Report.</w:t>
            </w:r>
          </w:p>
        </w:tc>
      </w:tr>
      <w:tr w:rsidR="00FB2F25" w14:paraId="3E589E08" w14:textId="77777777" w:rsidTr="00B859AD">
        <w:trPr>
          <w:cantSplit/>
          <w:trHeight w:val="1034"/>
          <w:jc w:val="center"/>
        </w:trPr>
        <w:tc>
          <w:tcPr>
            <w:tcW w:w="540" w:type="dxa"/>
          </w:tcPr>
          <w:p w14:paraId="44C188F3" w14:textId="77777777" w:rsidR="00FB2F25" w:rsidRPr="00646D47" w:rsidRDefault="00FB2F25" w:rsidP="00993C4B">
            <w:pPr>
              <w:pStyle w:val="TableText"/>
            </w:pPr>
            <w:r>
              <w:lastRenderedPageBreak/>
              <w:t>7</w:t>
            </w:r>
            <w:r w:rsidRPr="00646D47">
              <w:t>.</w:t>
            </w:r>
          </w:p>
        </w:tc>
        <w:tc>
          <w:tcPr>
            <w:tcW w:w="1458" w:type="dxa"/>
          </w:tcPr>
          <w:p w14:paraId="4FAFA273" w14:textId="77777777" w:rsidR="00FB2F25" w:rsidRPr="00646D47" w:rsidRDefault="00FB2F25" w:rsidP="00993C4B">
            <w:pPr>
              <w:pStyle w:val="TableText"/>
            </w:pPr>
            <w:r w:rsidRPr="00646D47">
              <w:t>Compliance evaluation</w:t>
            </w:r>
          </w:p>
        </w:tc>
        <w:tc>
          <w:tcPr>
            <w:tcW w:w="4720" w:type="dxa"/>
          </w:tcPr>
          <w:p w14:paraId="1FF7FD41" w14:textId="388CA872" w:rsidR="00FB2F25" w:rsidRPr="00990CE6" w:rsidRDefault="00FB2F25" w:rsidP="00993C4B">
            <w:pPr>
              <w:pStyle w:val="TableText"/>
            </w:pPr>
            <w:r w:rsidRPr="00990CE6">
              <w:t xml:space="preserve">IHPA determine if the final </w:t>
            </w:r>
            <w:r w:rsidR="00FC66FE">
              <w:t>jurisdiction</w:t>
            </w:r>
            <w:r w:rsidRPr="00990CE6">
              <w:t xml:space="preserve"> submission complies with the data request and if the </w:t>
            </w:r>
            <w:r w:rsidR="00FC66FE">
              <w:t>jurisdiction</w:t>
            </w:r>
            <w:r w:rsidR="006A5C17" w:rsidRPr="00990CE6">
              <w:t xml:space="preserve"> </w:t>
            </w:r>
            <w:r w:rsidRPr="00990CE6">
              <w:t>met timeframes.</w:t>
            </w:r>
          </w:p>
        </w:tc>
        <w:tc>
          <w:tcPr>
            <w:tcW w:w="2542" w:type="dxa"/>
          </w:tcPr>
          <w:p w14:paraId="07BB7A89" w14:textId="5F416F48" w:rsidR="00FB2F25" w:rsidRPr="00990CE6" w:rsidRDefault="00FB2F25" w:rsidP="00993C4B">
            <w:pPr>
              <w:pStyle w:val="TableText"/>
            </w:pPr>
            <w:r w:rsidRPr="00990CE6">
              <w:t>IHPA confirms that requested data are provided in useable form</w:t>
            </w:r>
            <w:r w:rsidR="00CE3AC0">
              <w:t>,</w:t>
            </w:r>
            <w:r w:rsidRPr="00990CE6">
              <w:t xml:space="preserve"> consistent with specifications</w:t>
            </w:r>
            <w:r w:rsidR="00BC39F7">
              <w:t>, by the submission date</w:t>
            </w:r>
            <w:r w:rsidRPr="00990CE6">
              <w:t>.</w:t>
            </w:r>
          </w:p>
        </w:tc>
      </w:tr>
      <w:tr w:rsidR="00FB2F25" w14:paraId="1D47ED64" w14:textId="77777777" w:rsidTr="00B859AD">
        <w:trPr>
          <w:cantSplit/>
          <w:trHeight w:val="944"/>
          <w:jc w:val="center"/>
        </w:trPr>
        <w:tc>
          <w:tcPr>
            <w:tcW w:w="540" w:type="dxa"/>
          </w:tcPr>
          <w:p w14:paraId="68B35E96" w14:textId="77777777" w:rsidR="00FB2F25" w:rsidRPr="00646D47" w:rsidRDefault="00FB2F25" w:rsidP="00993C4B">
            <w:pPr>
              <w:pStyle w:val="TableText"/>
            </w:pPr>
            <w:r>
              <w:t>8</w:t>
            </w:r>
            <w:r w:rsidRPr="00646D47">
              <w:t>.</w:t>
            </w:r>
          </w:p>
        </w:tc>
        <w:tc>
          <w:tcPr>
            <w:tcW w:w="1458" w:type="dxa"/>
          </w:tcPr>
          <w:p w14:paraId="44409DD9" w14:textId="77777777" w:rsidR="00FB2F25" w:rsidRPr="00646D47" w:rsidRDefault="00FB2F25" w:rsidP="00993C4B">
            <w:pPr>
              <w:pStyle w:val="TableText"/>
            </w:pPr>
            <w:r w:rsidRPr="00646D47">
              <w:t>Notice of compliance findings</w:t>
            </w:r>
          </w:p>
        </w:tc>
        <w:tc>
          <w:tcPr>
            <w:tcW w:w="4720" w:type="dxa"/>
          </w:tcPr>
          <w:p w14:paraId="7DF4633F" w14:textId="77777777" w:rsidR="00FB2F25" w:rsidRPr="00990CE6" w:rsidRDefault="00FB2F25" w:rsidP="00993C4B">
            <w:pPr>
              <w:pStyle w:val="TableText"/>
            </w:pPr>
            <w:r w:rsidRPr="00990CE6">
              <w:t>IHPA will:</w:t>
            </w:r>
          </w:p>
          <w:p w14:paraId="23906ACA" w14:textId="473CCFFC" w:rsidR="00FB2F25" w:rsidRPr="00990CE6" w:rsidRDefault="00E9641B" w:rsidP="00993C4B">
            <w:pPr>
              <w:pStyle w:val="TableText"/>
              <w:numPr>
                <w:ilvl w:val="0"/>
                <w:numId w:val="20"/>
              </w:numPr>
            </w:pPr>
            <w:r>
              <w:t>a</w:t>
            </w:r>
            <w:r w:rsidR="00FB2F25" w:rsidRPr="00990CE6">
              <w:t xml:space="preserve">dvise </w:t>
            </w:r>
            <w:r w:rsidR="00FC66FE">
              <w:t>jurisdictions</w:t>
            </w:r>
            <w:r w:rsidR="006A5C17">
              <w:t xml:space="preserve"> </w:t>
            </w:r>
            <w:r w:rsidR="00FB2F25">
              <w:t>of compliance evaluation</w:t>
            </w:r>
          </w:p>
          <w:p w14:paraId="765D8772" w14:textId="0303E42C" w:rsidR="00FB2F25" w:rsidRPr="00990CE6" w:rsidRDefault="00E9641B" w:rsidP="00993C4B">
            <w:pPr>
              <w:pStyle w:val="TableText"/>
              <w:numPr>
                <w:ilvl w:val="0"/>
                <w:numId w:val="20"/>
              </w:numPr>
            </w:pPr>
            <w:r>
              <w:t>p</w:t>
            </w:r>
            <w:r w:rsidR="00FC773D" w:rsidRPr="00990CE6">
              <w:t xml:space="preserve">ublish </w:t>
            </w:r>
            <w:r w:rsidR="00FB2F25" w:rsidRPr="00990CE6">
              <w:t>the data compliance report</w:t>
            </w:r>
            <w:r w:rsidR="000A44C2">
              <w:t xml:space="preserve"> </w:t>
            </w:r>
            <w:r w:rsidR="00FB2F25" w:rsidRPr="00990CE6">
              <w:t xml:space="preserve">that summarises </w:t>
            </w:r>
            <w:r w:rsidR="00FC66FE">
              <w:t>jurisdiction</w:t>
            </w:r>
            <w:r w:rsidR="00FB2F25" w:rsidRPr="00990CE6">
              <w:t xml:space="preserve"> compliance. </w:t>
            </w:r>
            <w:r w:rsidR="00FB2F25">
              <w:t>This will not include the Statement of Assurance.</w:t>
            </w:r>
          </w:p>
        </w:tc>
        <w:tc>
          <w:tcPr>
            <w:tcW w:w="2542" w:type="dxa"/>
          </w:tcPr>
          <w:p w14:paraId="7D2205DD" w14:textId="262674BE" w:rsidR="00FB2F25" w:rsidRPr="00990CE6" w:rsidRDefault="00FB2F25" w:rsidP="00993C4B">
            <w:pPr>
              <w:pStyle w:val="TableText"/>
            </w:pPr>
            <w:r w:rsidRPr="00990CE6">
              <w:t xml:space="preserve">Advice to </w:t>
            </w:r>
            <w:r w:rsidR="00FC66FE">
              <w:t>jurisdiction</w:t>
            </w:r>
            <w:r w:rsidR="006A5C17" w:rsidRPr="00990CE6">
              <w:t xml:space="preserve"> </w:t>
            </w:r>
            <w:r w:rsidRPr="00990CE6">
              <w:t xml:space="preserve">and </w:t>
            </w:r>
            <w:r w:rsidR="00CE3AC0">
              <w:t xml:space="preserve">release of </w:t>
            </w:r>
            <w:r w:rsidRPr="00990CE6">
              <w:t>national summary finding (see Section</w:t>
            </w:r>
            <w:r>
              <w:t xml:space="preserve"> 2.</w:t>
            </w:r>
            <w:r w:rsidR="006A5C17">
              <w:t>6</w:t>
            </w:r>
            <w:r w:rsidRPr="00990CE6">
              <w:t xml:space="preserve"> </w:t>
            </w:r>
            <w:r w:rsidRPr="005F0303">
              <w:rPr>
                <w:i/>
              </w:rPr>
              <w:t>Data compliance process findings</w:t>
            </w:r>
            <w:r w:rsidRPr="00990CE6">
              <w:t>).</w:t>
            </w:r>
          </w:p>
        </w:tc>
      </w:tr>
    </w:tbl>
    <w:p w14:paraId="6B6AE3C7" w14:textId="5A5C252A" w:rsidR="00FB2F25" w:rsidRDefault="00FB2F25" w:rsidP="0094680A">
      <w:pPr>
        <w:pStyle w:val="Heading2"/>
      </w:pPr>
      <w:bookmarkStart w:id="88" w:name="_Toc324860404"/>
      <w:bookmarkStart w:id="89" w:name="_Toc358988894"/>
      <w:bookmarkStart w:id="90" w:name="_Toc392756970"/>
      <w:bookmarkStart w:id="91" w:name="_Toc362456609"/>
      <w:bookmarkStart w:id="92" w:name="_Toc42878722"/>
      <w:bookmarkStart w:id="93" w:name="_Toc103933976"/>
      <w:r>
        <w:t xml:space="preserve">Data compliance </w:t>
      </w:r>
      <w:r w:rsidRPr="00492E93">
        <w:t>process</w:t>
      </w:r>
      <w:r>
        <w:t xml:space="preserve"> findings</w:t>
      </w:r>
      <w:bookmarkEnd w:id="88"/>
      <w:bookmarkEnd w:id="89"/>
      <w:bookmarkEnd w:id="90"/>
      <w:bookmarkEnd w:id="91"/>
      <w:bookmarkEnd w:id="92"/>
      <w:bookmarkEnd w:id="93"/>
    </w:p>
    <w:p w14:paraId="6DA33567" w14:textId="2E1E4C61" w:rsidR="002623B6" w:rsidRPr="00D12F5A" w:rsidRDefault="00FB2F25" w:rsidP="00FD0C07">
      <w:pPr>
        <w:rPr>
          <w:b/>
        </w:rPr>
      </w:pPr>
      <w:r>
        <w:t xml:space="preserve">IHPA will assess a </w:t>
      </w:r>
      <w:r w:rsidR="00FC66FE">
        <w:t>jurisdiction</w:t>
      </w:r>
      <w:r>
        <w:t xml:space="preserve"> as either compliant or non-compliant. The compliance test needs to be lenient to enable </w:t>
      </w:r>
      <w:r w:rsidR="00FC66FE">
        <w:t>jurisdictions</w:t>
      </w:r>
      <w:r w:rsidR="006A5C17">
        <w:t xml:space="preserve"> </w:t>
      </w:r>
      <w:r>
        <w:t>to implement and test new data collection and reporting systems. It is expected that the compliance checks will become more robust as the system matures. A summary of co</w:t>
      </w:r>
      <w:r w:rsidR="00EB3FCD">
        <w:t xml:space="preserve">mpliance assessment findings is </w:t>
      </w:r>
      <w:r>
        <w:t xml:space="preserve">provided at </w:t>
      </w:r>
      <w:r w:rsidRPr="00193EE2">
        <w:rPr>
          <w:rStyle w:val="Emphasis"/>
          <w:b/>
          <w:bCs/>
          <w:i w:val="0"/>
        </w:rPr>
        <w:t xml:space="preserve">Table </w:t>
      </w:r>
      <w:r w:rsidR="00E9641B" w:rsidRPr="00193EE2">
        <w:rPr>
          <w:rStyle w:val="Emphasis"/>
          <w:b/>
          <w:bCs/>
          <w:i w:val="0"/>
        </w:rPr>
        <w:t>5</w:t>
      </w:r>
      <w:r>
        <w:t>.</w:t>
      </w:r>
    </w:p>
    <w:p w14:paraId="2944A070" w14:textId="5B64FB7B" w:rsidR="00FB2F25" w:rsidRDefault="00FB2F25" w:rsidP="00FB2F25">
      <w:pPr>
        <w:spacing w:before="240"/>
      </w:pPr>
      <w:r>
        <w:rPr>
          <w:b/>
        </w:rPr>
        <w:t xml:space="preserve">Compliant </w:t>
      </w:r>
      <w:r w:rsidR="00304D14">
        <w:rPr>
          <w:b/>
        </w:rPr>
        <w:t>–</w:t>
      </w:r>
      <w:r>
        <w:rPr>
          <w:b/>
        </w:rPr>
        <w:t xml:space="preserve"> </w:t>
      </w:r>
      <w:r>
        <w:t xml:space="preserve">IHPA will report a </w:t>
      </w:r>
      <w:r w:rsidR="00077801">
        <w:t>jurisdiction</w:t>
      </w:r>
      <w:r w:rsidR="006A5C17">
        <w:t xml:space="preserve"> </w:t>
      </w:r>
      <w:r>
        <w:t xml:space="preserve">as </w:t>
      </w:r>
      <w:r w:rsidRPr="0082150F">
        <w:rPr>
          <w:rStyle w:val="Emphasis"/>
          <w:i w:val="0"/>
        </w:rPr>
        <w:t>compliant</w:t>
      </w:r>
      <w:r w:rsidRPr="005F0303">
        <w:rPr>
          <w:i/>
        </w:rPr>
        <w:t xml:space="preserve"> </w:t>
      </w:r>
      <w:r>
        <w:t>if:</w:t>
      </w:r>
    </w:p>
    <w:p w14:paraId="48CBB171" w14:textId="159ACD43" w:rsidR="00FB2F25" w:rsidRDefault="00077801" w:rsidP="00B859AD">
      <w:pPr>
        <w:pStyle w:val="NormalIndent"/>
      </w:pPr>
      <w:r>
        <w:t>The jurisdiction</w:t>
      </w:r>
      <w:r w:rsidR="006A5C17">
        <w:t xml:space="preserve"> </w:t>
      </w:r>
      <w:r w:rsidR="00FB2F25">
        <w:t>has provided data in the time required, has supplied data in conformance with data specifications</w:t>
      </w:r>
      <w:r w:rsidR="00744F72">
        <w:t>, has supplied a complete data set,</w:t>
      </w:r>
      <w:r w:rsidR="00FB2F25">
        <w:t xml:space="preserve"> and submitted a Statement of Assurance pertaining to the quality of the data.</w:t>
      </w:r>
    </w:p>
    <w:p w14:paraId="49632433" w14:textId="059A3F04" w:rsidR="00FB2F25" w:rsidRDefault="00FB2F25" w:rsidP="00FB2F25">
      <w:pPr>
        <w:spacing w:before="240"/>
      </w:pPr>
      <w:r>
        <w:rPr>
          <w:b/>
        </w:rPr>
        <w:t xml:space="preserve">Qualified compliant </w:t>
      </w:r>
      <w:r w:rsidR="00304D14">
        <w:rPr>
          <w:b/>
        </w:rPr>
        <w:t>–</w:t>
      </w:r>
      <w:r>
        <w:rPr>
          <w:b/>
        </w:rPr>
        <w:t xml:space="preserve"> </w:t>
      </w:r>
      <w:r>
        <w:t xml:space="preserve">IHPA will report a </w:t>
      </w:r>
      <w:r w:rsidR="00077801">
        <w:t>jurisdiction</w:t>
      </w:r>
      <w:r>
        <w:t xml:space="preserve"> as </w:t>
      </w:r>
      <w:r w:rsidRPr="0082150F">
        <w:rPr>
          <w:rStyle w:val="Emphasis"/>
          <w:i w:val="0"/>
        </w:rPr>
        <w:t>compliant</w:t>
      </w:r>
      <w:r>
        <w:t xml:space="preserve"> but will issue a </w:t>
      </w:r>
      <w:r w:rsidRPr="0082150F">
        <w:rPr>
          <w:rStyle w:val="Emphasis"/>
          <w:i w:val="0"/>
        </w:rPr>
        <w:t>qualified</w:t>
      </w:r>
      <w:r w:rsidRPr="00B859AD">
        <w:rPr>
          <w:rStyle w:val="Emphasis"/>
        </w:rPr>
        <w:t xml:space="preserve"> </w:t>
      </w:r>
      <w:r w:rsidRPr="0082150F">
        <w:rPr>
          <w:rStyle w:val="Emphasis"/>
          <w:i w:val="0"/>
        </w:rPr>
        <w:t>compliance</w:t>
      </w:r>
      <w:r>
        <w:t xml:space="preserve"> notice from the CEO</w:t>
      </w:r>
      <w:r w:rsidR="0082150F">
        <w:t xml:space="preserve"> of IHPA</w:t>
      </w:r>
      <w:r>
        <w:t xml:space="preserve"> to the </w:t>
      </w:r>
      <w:r w:rsidR="00077801">
        <w:t>jurisdiction</w:t>
      </w:r>
      <w:r w:rsidR="006A5C17">
        <w:t xml:space="preserve"> </w:t>
      </w:r>
      <w:r>
        <w:t>detailing areas of deficiency and necessary remediation if:</w:t>
      </w:r>
    </w:p>
    <w:p w14:paraId="7B70A4CC" w14:textId="04DDCD7E" w:rsidR="00FB2F25" w:rsidRDefault="00077801" w:rsidP="00B859AD">
      <w:pPr>
        <w:pStyle w:val="NormalIndent"/>
      </w:pPr>
      <w:r>
        <w:t>The jurisdiction</w:t>
      </w:r>
      <w:r w:rsidR="00FB2F25">
        <w:t xml:space="preserve"> has not provided data in the time required, has supplied data not conforming with data specifications and/or not submitted a Statement of Assurance pertaining to the quality of the data.</w:t>
      </w:r>
    </w:p>
    <w:p w14:paraId="68889951" w14:textId="3B7FDE98" w:rsidR="00FB2F25" w:rsidRDefault="00FB2F25" w:rsidP="00FB2F25">
      <w:pPr>
        <w:spacing w:before="240"/>
      </w:pPr>
      <w:r>
        <w:rPr>
          <w:b/>
        </w:rPr>
        <w:t xml:space="preserve">Non-compliant – </w:t>
      </w:r>
      <w:r>
        <w:t xml:space="preserve">IHPA will </w:t>
      </w:r>
      <w:r w:rsidR="00193EE2">
        <w:t xml:space="preserve">publicly </w:t>
      </w:r>
      <w:r>
        <w:t>report a</w:t>
      </w:r>
      <w:r w:rsidR="009356EA" w:rsidRPr="009356EA">
        <w:t xml:space="preserve"> </w:t>
      </w:r>
      <w:r w:rsidR="00077801">
        <w:t>jurisdiction</w:t>
      </w:r>
      <w:r>
        <w:t xml:space="preserve"> as </w:t>
      </w:r>
      <w:r w:rsidRPr="0082150F">
        <w:rPr>
          <w:rStyle w:val="Emphasis"/>
          <w:i w:val="0"/>
        </w:rPr>
        <w:t>non-compliant</w:t>
      </w:r>
      <w:r>
        <w:t xml:space="preserve"> if:</w:t>
      </w:r>
    </w:p>
    <w:p w14:paraId="5B6E9436" w14:textId="2D6AEC51" w:rsidR="00FB2F25" w:rsidRPr="00220221" w:rsidRDefault="00077801" w:rsidP="00B859AD">
      <w:pPr>
        <w:pStyle w:val="NormalIndent"/>
        <w:rPr>
          <w:bCs/>
        </w:rPr>
      </w:pPr>
      <w:r>
        <w:t>The jurisdiction has been provided notice by IHPA of a qualified compliance finding</w:t>
      </w:r>
      <w:r w:rsidR="00DD6322">
        <w:t>,</w:t>
      </w:r>
      <w:r>
        <w:t xml:space="preserve"> in </w:t>
      </w:r>
      <w:r w:rsidR="00DD6322">
        <w:t xml:space="preserve">relation to </w:t>
      </w:r>
      <w:r>
        <w:t xml:space="preserve">the previous </w:t>
      </w:r>
      <w:r w:rsidR="00DD6322">
        <w:t xml:space="preserve">submission or the previous </w:t>
      </w:r>
      <w:r>
        <w:t xml:space="preserve">twelve </w:t>
      </w:r>
      <w:proofErr w:type="gramStart"/>
      <w:r>
        <w:t>months</w:t>
      </w:r>
      <w:r w:rsidR="00DD6322">
        <w:t>,</w:t>
      </w:r>
      <w:r>
        <w:t xml:space="preserve"> and</w:t>
      </w:r>
      <w:proofErr w:type="gramEnd"/>
      <w:r>
        <w:t xml:space="preserve"> has not rectified the situation detailed in the compliance notice subsequently or agreed with IHPA on a process to rectify data supply issues in the subsequent data supply </w:t>
      </w:r>
      <w:r w:rsidR="00FB2F25">
        <w:t>and/or does not submit a Statement of Assurance</w:t>
      </w:r>
      <w:r w:rsidR="00744F72">
        <w:t>/NHCDC data quality statement</w:t>
      </w:r>
      <w:r w:rsidR="00FB2F25">
        <w:t xml:space="preserve">. </w:t>
      </w:r>
    </w:p>
    <w:p w14:paraId="3C38C903" w14:textId="4405F799" w:rsidR="00FB2F25" w:rsidRPr="007D0803" w:rsidRDefault="00FB2F25" w:rsidP="008E3F8B">
      <w:pPr>
        <w:pStyle w:val="TableHeading"/>
      </w:pPr>
      <w:bookmarkStart w:id="94" w:name="_Toc358988895"/>
      <w:bookmarkStart w:id="95" w:name="_Toc392756971"/>
      <w:bookmarkStart w:id="96" w:name="_Toc362456610"/>
      <w:r w:rsidRPr="007D0803">
        <w:lastRenderedPageBreak/>
        <w:t xml:space="preserve">Table </w:t>
      </w:r>
      <w:r w:rsidR="00E9641B">
        <w:t>5</w:t>
      </w:r>
      <w:r w:rsidRPr="007D0803">
        <w:t>: Summary of compliance assessment findings</w:t>
      </w:r>
      <w:bookmarkEnd w:id="94"/>
      <w:bookmarkEnd w:id="95"/>
      <w:bookmarkEnd w:id="96"/>
    </w:p>
    <w:tbl>
      <w:tblPr>
        <w:tblW w:w="5000" w:type="pct"/>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A0" w:firstRow="1" w:lastRow="0" w:firstColumn="1" w:lastColumn="0" w:noHBand="0" w:noVBand="0"/>
        <w:tblDescription w:val="Table 4 has 4 coumn headings:&#10;Column 1 outlines potential outcomes following the compliance assessment process. &#10;Column 2 outlines potential compliance finding related to the outcomes listed in column 1. &#10;Column 3 outlines the public status associated with the relevant compliance finding. &#10;Column 4 outlines to notice provided by IHPA relevant to the compliance status. "/>
      </w:tblPr>
      <w:tblGrid>
        <w:gridCol w:w="2175"/>
        <w:gridCol w:w="1359"/>
        <w:gridCol w:w="1435"/>
        <w:gridCol w:w="4055"/>
      </w:tblGrid>
      <w:tr w:rsidR="00FB2F25" w14:paraId="1DE614E8" w14:textId="77777777" w:rsidTr="009B1846">
        <w:trPr>
          <w:cantSplit/>
          <w:tblHeader/>
          <w:jc w:val="center"/>
        </w:trPr>
        <w:tc>
          <w:tcPr>
            <w:tcW w:w="1205" w:type="pct"/>
            <w:shd w:val="clear" w:color="auto" w:fill="004220" w:themeFill="accent2" w:themeFillShade="80"/>
          </w:tcPr>
          <w:p w14:paraId="6984596B" w14:textId="77777777" w:rsidR="00FB2F25" w:rsidRPr="00591173" w:rsidRDefault="00FB2F25" w:rsidP="009B1846">
            <w:pPr>
              <w:pStyle w:val="TableText"/>
              <w:jc w:val="center"/>
            </w:pPr>
            <w:r w:rsidRPr="00591173">
              <w:t>Quarterly assessment</w:t>
            </w:r>
          </w:p>
        </w:tc>
        <w:tc>
          <w:tcPr>
            <w:tcW w:w="753" w:type="pct"/>
            <w:shd w:val="clear" w:color="auto" w:fill="004220" w:themeFill="accent2" w:themeFillShade="80"/>
          </w:tcPr>
          <w:p w14:paraId="15675C34" w14:textId="77777777" w:rsidR="00FB2F25" w:rsidRPr="00591173" w:rsidRDefault="00FB2F25" w:rsidP="009B1846">
            <w:pPr>
              <w:pStyle w:val="TableText"/>
              <w:jc w:val="center"/>
            </w:pPr>
            <w:r w:rsidRPr="00591173">
              <w:t>Compliance finding</w:t>
            </w:r>
          </w:p>
        </w:tc>
        <w:tc>
          <w:tcPr>
            <w:tcW w:w="795" w:type="pct"/>
            <w:shd w:val="clear" w:color="auto" w:fill="004220" w:themeFill="accent2" w:themeFillShade="80"/>
          </w:tcPr>
          <w:p w14:paraId="3948F3CF" w14:textId="77777777" w:rsidR="00FB2F25" w:rsidRPr="00591173" w:rsidRDefault="00FB2F25" w:rsidP="009B1846">
            <w:pPr>
              <w:pStyle w:val="TableText"/>
              <w:jc w:val="center"/>
            </w:pPr>
            <w:r w:rsidRPr="00591173">
              <w:t>Public status report</w:t>
            </w:r>
          </w:p>
        </w:tc>
        <w:tc>
          <w:tcPr>
            <w:tcW w:w="2247" w:type="pct"/>
            <w:shd w:val="clear" w:color="auto" w:fill="004220" w:themeFill="accent2" w:themeFillShade="80"/>
          </w:tcPr>
          <w:p w14:paraId="3EBE1987" w14:textId="77777777" w:rsidR="00FB2F25" w:rsidRPr="00591173" w:rsidRDefault="00FB2F25" w:rsidP="009B1846">
            <w:pPr>
              <w:pStyle w:val="TableText"/>
              <w:jc w:val="center"/>
            </w:pPr>
            <w:r w:rsidRPr="00591173">
              <w:t xml:space="preserve">Notice to </w:t>
            </w:r>
            <w:r w:rsidR="00E1149F">
              <w:t>state or territory</w:t>
            </w:r>
          </w:p>
        </w:tc>
      </w:tr>
      <w:tr w:rsidR="00FB2F25" w14:paraId="3BF5856E" w14:textId="77777777" w:rsidTr="009B1846">
        <w:trPr>
          <w:cantSplit/>
          <w:jc w:val="center"/>
        </w:trPr>
        <w:tc>
          <w:tcPr>
            <w:tcW w:w="1205" w:type="pct"/>
          </w:tcPr>
          <w:p w14:paraId="1EBCB8FD" w14:textId="527B7ED2" w:rsidR="00FB2F25" w:rsidRPr="00591173" w:rsidRDefault="00220221" w:rsidP="00993C4B">
            <w:pPr>
              <w:pStyle w:val="TableText"/>
            </w:pPr>
            <w:r>
              <w:t>Jurisdiction</w:t>
            </w:r>
            <w:r w:rsidR="00FB2F25" w:rsidRPr="00591173">
              <w:t xml:space="preserve"> provided data in the time required and in conformance with data specifications</w:t>
            </w:r>
          </w:p>
        </w:tc>
        <w:tc>
          <w:tcPr>
            <w:tcW w:w="753" w:type="pct"/>
          </w:tcPr>
          <w:p w14:paraId="491177EF" w14:textId="77777777" w:rsidR="00FB2F25" w:rsidRPr="00591173" w:rsidRDefault="00FB2F25" w:rsidP="00993C4B">
            <w:pPr>
              <w:pStyle w:val="TableText"/>
            </w:pPr>
            <w:r w:rsidRPr="00591173">
              <w:t>Compliant</w:t>
            </w:r>
          </w:p>
        </w:tc>
        <w:tc>
          <w:tcPr>
            <w:tcW w:w="795" w:type="pct"/>
          </w:tcPr>
          <w:p w14:paraId="3E32E43D" w14:textId="77777777" w:rsidR="00FB2F25" w:rsidRPr="00591173" w:rsidRDefault="00FB2F25" w:rsidP="00993C4B">
            <w:pPr>
              <w:pStyle w:val="TableText"/>
            </w:pPr>
            <w:r w:rsidRPr="00591173">
              <w:t>Compliant</w:t>
            </w:r>
          </w:p>
        </w:tc>
        <w:tc>
          <w:tcPr>
            <w:tcW w:w="2247" w:type="pct"/>
          </w:tcPr>
          <w:p w14:paraId="416ADEE3" w14:textId="77777777" w:rsidR="00FB2F25" w:rsidRPr="00591173" w:rsidRDefault="00FB2F25" w:rsidP="00993C4B">
            <w:pPr>
              <w:pStyle w:val="TableText"/>
            </w:pPr>
            <w:r w:rsidRPr="00591173">
              <w:t>Compliant</w:t>
            </w:r>
          </w:p>
        </w:tc>
      </w:tr>
      <w:tr w:rsidR="00FB2F25" w14:paraId="25D2A4D0" w14:textId="77777777" w:rsidTr="009B1846">
        <w:trPr>
          <w:cantSplit/>
          <w:trHeight w:val="415"/>
          <w:jc w:val="center"/>
        </w:trPr>
        <w:tc>
          <w:tcPr>
            <w:tcW w:w="1205" w:type="pct"/>
          </w:tcPr>
          <w:p w14:paraId="550C9411" w14:textId="7DE94BF4" w:rsidR="00FB2F25" w:rsidRPr="00591173" w:rsidRDefault="00077801" w:rsidP="00993C4B">
            <w:pPr>
              <w:pStyle w:val="TableText"/>
            </w:pPr>
            <w:r>
              <w:t>Jurisdiction</w:t>
            </w:r>
            <w:r w:rsidRPr="00591173" w:rsidDel="00077801">
              <w:t xml:space="preserve"> </w:t>
            </w:r>
            <w:r w:rsidR="00FB2F25" w:rsidRPr="00591173">
              <w:t>provided data in the time required but not in conformance with data specifications</w:t>
            </w:r>
            <w:r w:rsidR="00744F72">
              <w:t>, requiring a resubmission</w:t>
            </w:r>
            <w:r w:rsidR="00FB2F25" w:rsidRPr="00591173">
              <w:t xml:space="preserve"> </w:t>
            </w:r>
          </w:p>
        </w:tc>
        <w:tc>
          <w:tcPr>
            <w:tcW w:w="753" w:type="pct"/>
          </w:tcPr>
          <w:p w14:paraId="5E993879" w14:textId="77777777" w:rsidR="00FB2F25" w:rsidRPr="00591173" w:rsidRDefault="00FB2F25" w:rsidP="00993C4B">
            <w:pPr>
              <w:pStyle w:val="TableText"/>
            </w:pPr>
            <w:r w:rsidRPr="00591173">
              <w:t xml:space="preserve">Qualified compliant </w:t>
            </w:r>
          </w:p>
        </w:tc>
        <w:tc>
          <w:tcPr>
            <w:tcW w:w="795" w:type="pct"/>
          </w:tcPr>
          <w:p w14:paraId="3718742A" w14:textId="77777777" w:rsidR="00FB2F25" w:rsidRPr="00591173" w:rsidRDefault="00FB2F25" w:rsidP="00993C4B">
            <w:pPr>
              <w:pStyle w:val="TableText"/>
            </w:pPr>
            <w:r w:rsidRPr="00591173">
              <w:t>Compliant</w:t>
            </w:r>
          </w:p>
        </w:tc>
        <w:tc>
          <w:tcPr>
            <w:tcW w:w="2247" w:type="pct"/>
          </w:tcPr>
          <w:p w14:paraId="402D52EA" w14:textId="77777777" w:rsidR="00FB2F25" w:rsidRPr="00591173" w:rsidRDefault="00FB2F25" w:rsidP="00993C4B">
            <w:pPr>
              <w:pStyle w:val="TableText"/>
            </w:pPr>
            <w:r w:rsidRPr="00E1149F">
              <w:rPr>
                <w:rStyle w:val="Emphasis"/>
              </w:rPr>
              <w:t>Qualified compliance notice</w:t>
            </w:r>
            <w:r w:rsidRPr="00E1149F">
              <w:rPr>
                <w:i/>
              </w:rPr>
              <w:t xml:space="preserve"> </w:t>
            </w:r>
            <w:r w:rsidR="00304D14" w:rsidRPr="00E1149F">
              <w:rPr>
                <w:i/>
              </w:rPr>
              <w:t>–</w:t>
            </w:r>
            <w:r w:rsidRPr="00591173">
              <w:t xml:space="preserve"> detailing compliance issues and advising of timeframe and process for addressing issues</w:t>
            </w:r>
          </w:p>
        </w:tc>
      </w:tr>
      <w:tr w:rsidR="00FB2F25" w14:paraId="1D3ECFEC" w14:textId="77777777" w:rsidTr="009B1846">
        <w:trPr>
          <w:cantSplit/>
          <w:trHeight w:val="415"/>
          <w:jc w:val="center"/>
        </w:trPr>
        <w:tc>
          <w:tcPr>
            <w:tcW w:w="1205" w:type="pct"/>
          </w:tcPr>
          <w:p w14:paraId="1D09962F" w14:textId="7EE32816" w:rsidR="00FB2F25" w:rsidRPr="00591173" w:rsidRDefault="00077801" w:rsidP="00993C4B">
            <w:pPr>
              <w:pStyle w:val="TableText"/>
            </w:pPr>
            <w:r>
              <w:t>Jurisdiction</w:t>
            </w:r>
            <w:r w:rsidRPr="00591173" w:rsidDel="00077801">
              <w:t xml:space="preserve"> </w:t>
            </w:r>
            <w:r w:rsidR="00FB2F25" w:rsidRPr="00591173">
              <w:t xml:space="preserve">provided data </w:t>
            </w:r>
            <w:r w:rsidR="00744F72">
              <w:t>after the submission date</w:t>
            </w:r>
            <w:r w:rsidR="00FB2F25" w:rsidRPr="00591173">
              <w:t xml:space="preserve">, but in conformance with data specifications </w:t>
            </w:r>
          </w:p>
        </w:tc>
        <w:tc>
          <w:tcPr>
            <w:tcW w:w="753" w:type="pct"/>
          </w:tcPr>
          <w:p w14:paraId="13D33BA7" w14:textId="77777777" w:rsidR="00FB2F25" w:rsidRPr="00591173" w:rsidRDefault="00FB2F25" w:rsidP="00993C4B">
            <w:pPr>
              <w:pStyle w:val="TableText"/>
            </w:pPr>
            <w:r w:rsidRPr="00591173">
              <w:t xml:space="preserve">Qualified compliant </w:t>
            </w:r>
          </w:p>
        </w:tc>
        <w:tc>
          <w:tcPr>
            <w:tcW w:w="795" w:type="pct"/>
          </w:tcPr>
          <w:p w14:paraId="29A44073" w14:textId="77777777" w:rsidR="00FB2F25" w:rsidRPr="00591173" w:rsidRDefault="00FB2F25" w:rsidP="00993C4B">
            <w:pPr>
              <w:pStyle w:val="TableText"/>
            </w:pPr>
            <w:r w:rsidRPr="00591173">
              <w:t>Compliant</w:t>
            </w:r>
          </w:p>
        </w:tc>
        <w:tc>
          <w:tcPr>
            <w:tcW w:w="2247" w:type="pct"/>
          </w:tcPr>
          <w:p w14:paraId="1D4939E5" w14:textId="77777777" w:rsidR="00FB2F25" w:rsidRPr="00591173" w:rsidRDefault="00FB2F25" w:rsidP="00993C4B">
            <w:pPr>
              <w:pStyle w:val="TableText"/>
            </w:pPr>
            <w:r w:rsidRPr="00B859AD">
              <w:rPr>
                <w:rStyle w:val="Emphasis"/>
              </w:rPr>
              <w:t>Qualified compliance notice</w:t>
            </w:r>
            <w:r w:rsidRPr="00591173">
              <w:t xml:space="preserve"> </w:t>
            </w:r>
            <w:r w:rsidR="00304D14">
              <w:t>–</w:t>
            </w:r>
            <w:r w:rsidRPr="00591173">
              <w:t xml:space="preserve"> detailing compliance issues and advising of timeframe and process for addressing issues</w:t>
            </w:r>
          </w:p>
        </w:tc>
      </w:tr>
      <w:tr w:rsidR="00744F72" w14:paraId="6D29850D" w14:textId="77777777" w:rsidTr="009B1846">
        <w:trPr>
          <w:cantSplit/>
          <w:jc w:val="center"/>
        </w:trPr>
        <w:tc>
          <w:tcPr>
            <w:tcW w:w="1205" w:type="pct"/>
          </w:tcPr>
          <w:p w14:paraId="217F71BC" w14:textId="719435DC" w:rsidR="00744F72" w:rsidRPr="00591173" w:rsidRDefault="00077801" w:rsidP="00993C4B">
            <w:pPr>
              <w:pStyle w:val="TableText"/>
            </w:pPr>
            <w:r>
              <w:t>Jurisdiction</w:t>
            </w:r>
            <w:r w:rsidDel="00077801">
              <w:t xml:space="preserve"> </w:t>
            </w:r>
            <w:r w:rsidR="00744F72">
              <w:t>provides incomplete data which requires a resubmission after the submission date.</w:t>
            </w:r>
          </w:p>
        </w:tc>
        <w:tc>
          <w:tcPr>
            <w:tcW w:w="753" w:type="pct"/>
          </w:tcPr>
          <w:p w14:paraId="313B020E" w14:textId="6F69E582" w:rsidR="00744F72" w:rsidRPr="00591173" w:rsidRDefault="00744F72" w:rsidP="00993C4B">
            <w:pPr>
              <w:pStyle w:val="TableText"/>
            </w:pPr>
            <w:r w:rsidRPr="00591173">
              <w:t>Qualified compliant</w:t>
            </w:r>
            <w:r w:rsidR="00980A1A">
              <w:t xml:space="preserve"> </w:t>
            </w:r>
          </w:p>
        </w:tc>
        <w:tc>
          <w:tcPr>
            <w:tcW w:w="795" w:type="pct"/>
          </w:tcPr>
          <w:p w14:paraId="3FCA94E0" w14:textId="60BBF331" w:rsidR="00744F72" w:rsidRPr="00591173" w:rsidRDefault="00744F72" w:rsidP="00993C4B">
            <w:pPr>
              <w:pStyle w:val="TableText"/>
            </w:pPr>
            <w:r w:rsidRPr="00591173">
              <w:t>Compliant</w:t>
            </w:r>
          </w:p>
        </w:tc>
        <w:tc>
          <w:tcPr>
            <w:tcW w:w="2247" w:type="pct"/>
          </w:tcPr>
          <w:p w14:paraId="59BE1B48" w14:textId="3AF8FD2A" w:rsidR="00744F72" w:rsidRPr="00B859AD" w:rsidRDefault="00220221" w:rsidP="00993C4B">
            <w:pPr>
              <w:pStyle w:val="TableText"/>
              <w:rPr>
                <w:rStyle w:val="Emphasis"/>
              </w:rPr>
            </w:pPr>
            <w:r>
              <w:rPr>
                <w:rStyle w:val="Emphasis"/>
              </w:rPr>
              <w:t xml:space="preserve">Qualified </w:t>
            </w:r>
            <w:r w:rsidR="00744F72" w:rsidRPr="00B859AD">
              <w:rPr>
                <w:rStyle w:val="Emphasis"/>
              </w:rPr>
              <w:t>compliance notice</w:t>
            </w:r>
            <w:r w:rsidR="00744F72" w:rsidRPr="00591173">
              <w:t xml:space="preserve"> </w:t>
            </w:r>
            <w:r>
              <w:t>– detailing compliance issues and advising of timeframe and process for addressing issues.</w:t>
            </w:r>
          </w:p>
        </w:tc>
      </w:tr>
      <w:tr w:rsidR="00077801" w14:paraId="5C617638" w14:textId="77777777" w:rsidTr="00077801">
        <w:trPr>
          <w:cantSplit/>
          <w:jc w:val="center"/>
        </w:trPr>
        <w:tc>
          <w:tcPr>
            <w:tcW w:w="1205" w:type="pct"/>
            <w:tcBorders>
              <w:top w:val="single" w:sz="8" w:space="0" w:color="006600"/>
              <w:left w:val="single" w:sz="8" w:space="0" w:color="006600"/>
              <w:bottom w:val="single" w:sz="8" w:space="0" w:color="006600"/>
              <w:right w:val="single" w:sz="8" w:space="0" w:color="006600"/>
            </w:tcBorders>
          </w:tcPr>
          <w:p w14:paraId="1E567D61" w14:textId="3BFE5B37" w:rsidR="00077801" w:rsidRPr="00591173" w:rsidRDefault="00077801" w:rsidP="00077801">
            <w:pPr>
              <w:pStyle w:val="TableText"/>
            </w:pPr>
            <w:r>
              <w:t>Jurisdiction</w:t>
            </w:r>
            <w:r w:rsidRPr="00077801">
              <w:t xml:space="preserve"> </w:t>
            </w:r>
            <w:r w:rsidRPr="00591173">
              <w:t xml:space="preserve">has not addressed issues raised in </w:t>
            </w:r>
            <w:r w:rsidRPr="00D20280">
              <w:rPr>
                <w:rStyle w:val="Emphasis"/>
                <w:i w:val="0"/>
                <w:iCs w:val="0"/>
              </w:rPr>
              <w:t>Qualified compliance</w:t>
            </w:r>
          </w:p>
        </w:tc>
        <w:tc>
          <w:tcPr>
            <w:tcW w:w="753" w:type="pct"/>
            <w:tcBorders>
              <w:top w:val="single" w:sz="8" w:space="0" w:color="006600"/>
              <w:left w:val="single" w:sz="8" w:space="0" w:color="006600"/>
              <w:bottom w:val="single" w:sz="8" w:space="0" w:color="006600"/>
              <w:right w:val="single" w:sz="8" w:space="0" w:color="006600"/>
            </w:tcBorders>
          </w:tcPr>
          <w:p w14:paraId="7714ADE1" w14:textId="378848D2" w:rsidR="00077801" w:rsidRPr="00591173" w:rsidRDefault="00077801" w:rsidP="00077801">
            <w:pPr>
              <w:pStyle w:val="TableText"/>
            </w:pPr>
            <w:r w:rsidRPr="00591173">
              <w:t>Non-compliant</w:t>
            </w:r>
          </w:p>
        </w:tc>
        <w:tc>
          <w:tcPr>
            <w:tcW w:w="795" w:type="pct"/>
            <w:tcBorders>
              <w:top w:val="single" w:sz="8" w:space="0" w:color="006600"/>
              <w:left w:val="single" w:sz="8" w:space="0" w:color="006600"/>
              <w:bottom w:val="single" w:sz="8" w:space="0" w:color="006600"/>
              <w:right w:val="single" w:sz="8" w:space="0" w:color="006600"/>
            </w:tcBorders>
          </w:tcPr>
          <w:p w14:paraId="6F5F810E" w14:textId="025E843F" w:rsidR="00077801" w:rsidRPr="00591173" w:rsidRDefault="00077801" w:rsidP="00077801">
            <w:pPr>
              <w:pStyle w:val="TableText"/>
            </w:pPr>
            <w:r w:rsidRPr="00591173">
              <w:t>Non-compliant</w:t>
            </w:r>
          </w:p>
        </w:tc>
        <w:tc>
          <w:tcPr>
            <w:tcW w:w="2247" w:type="pct"/>
            <w:tcBorders>
              <w:top w:val="single" w:sz="8" w:space="0" w:color="006600"/>
              <w:left w:val="single" w:sz="8" w:space="0" w:color="006600"/>
              <w:bottom w:val="single" w:sz="8" w:space="0" w:color="006600"/>
              <w:right w:val="single" w:sz="8" w:space="0" w:color="006600"/>
            </w:tcBorders>
          </w:tcPr>
          <w:p w14:paraId="3DE6DAB7" w14:textId="246D8DAB" w:rsidR="00077801" w:rsidRPr="00B859AD" w:rsidRDefault="00792F95" w:rsidP="00077801">
            <w:pPr>
              <w:pStyle w:val="TableText"/>
              <w:rPr>
                <w:rStyle w:val="Emphasis"/>
              </w:rPr>
            </w:pPr>
            <w:r>
              <w:rPr>
                <w:rStyle w:val="Emphasis"/>
              </w:rPr>
              <w:t>N</w:t>
            </w:r>
            <w:r w:rsidR="00077801" w:rsidRPr="00B859AD">
              <w:rPr>
                <w:rStyle w:val="Emphasis"/>
              </w:rPr>
              <w:t>on-compliance</w:t>
            </w:r>
            <w:r>
              <w:rPr>
                <w:rStyle w:val="Emphasis"/>
              </w:rPr>
              <w:t xml:space="preserve"> notice</w:t>
            </w:r>
            <w:r w:rsidR="00077801" w:rsidRPr="00D20280">
              <w:rPr>
                <w:i/>
                <w:iCs/>
              </w:rPr>
              <w:t xml:space="preserve"> – </w:t>
            </w:r>
            <w:r w:rsidR="00077801" w:rsidRPr="00220221">
              <w:t xml:space="preserve">CEO of IHPA will advise the </w:t>
            </w:r>
            <w:r w:rsidR="00077801">
              <w:t>jurisdiction</w:t>
            </w:r>
            <w:r w:rsidR="00077801" w:rsidRPr="00077801">
              <w:t xml:space="preserve"> </w:t>
            </w:r>
            <w:r w:rsidR="00077801" w:rsidRPr="00220221">
              <w:t>of data compliance deficiency and lack of necessary remediation.</w:t>
            </w:r>
          </w:p>
        </w:tc>
      </w:tr>
      <w:tr w:rsidR="00077801" w14:paraId="792A4731" w14:textId="77777777" w:rsidTr="00077801">
        <w:trPr>
          <w:cantSplit/>
          <w:jc w:val="center"/>
        </w:trPr>
        <w:tc>
          <w:tcPr>
            <w:tcW w:w="1205" w:type="pct"/>
            <w:tcBorders>
              <w:top w:val="single" w:sz="8" w:space="0" w:color="006600"/>
              <w:left w:val="single" w:sz="8" w:space="0" w:color="006600"/>
              <w:bottom w:val="single" w:sz="8" w:space="0" w:color="006600"/>
              <w:right w:val="single" w:sz="8" w:space="0" w:color="006600"/>
            </w:tcBorders>
          </w:tcPr>
          <w:p w14:paraId="4BD8023B" w14:textId="50C31A50" w:rsidR="00077801" w:rsidRPr="00591173" w:rsidRDefault="00077801" w:rsidP="00077801">
            <w:pPr>
              <w:pStyle w:val="TableText"/>
            </w:pPr>
            <w:r>
              <w:t xml:space="preserve">Jurisdiction </w:t>
            </w:r>
            <w:r w:rsidRPr="00591173">
              <w:t>refuses to provide any data and withdraws from participation in ABF consultative processes</w:t>
            </w:r>
          </w:p>
        </w:tc>
        <w:tc>
          <w:tcPr>
            <w:tcW w:w="753" w:type="pct"/>
            <w:tcBorders>
              <w:top w:val="single" w:sz="8" w:space="0" w:color="006600"/>
              <w:left w:val="single" w:sz="8" w:space="0" w:color="006600"/>
              <w:bottom w:val="single" w:sz="8" w:space="0" w:color="006600"/>
              <w:right w:val="single" w:sz="8" w:space="0" w:color="006600"/>
            </w:tcBorders>
          </w:tcPr>
          <w:p w14:paraId="38DA668E" w14:textId="77777777" w:rsidR="00077801" w:rsidRPr="00591173" w:rsidRDefault="00077801" w:rsidP="00077801">
            <w:pPr>
              <w:pStyle w:val="TableText"/>
            </w:pPr>
            <w:r w:rsidRPr="00591173">
              <w:t>Non-compliant</w:t>
            </w:r>
          </w:p>
        </w:tc>
        <w:tc>
          <w:tcPr>
            <w:tcW w:w="795" w:type="pct"/>
            <w:tcBorders>
              <w:top w:val="single" w:sz="8" w:space="0" w:color="006600"/>
              <w:left w:val="single" w:sz="8" w:space="0" w:color="006600"/>
              <w:bottom w:val="single" w:sz="8" w:space="0" w:color="006600"/>
              <w:right w:val="single" w:sz="8" w:space="0" w:color="006600"/>
            </w:tcBorders>
          </w:tcPr>
          <w:p w14:paraId="2D9D1640" w14:textId="77777777" w:rsidR="00077801" w:rsidRPr="00591173" w:rsidRDefault="00077801" w:rsidP="00077801">
            <w:pPr>
              <w:pStyle w:val="TableText"/>
            </w:pPr>
            <w:r w:rsidRPr="00591173">
              <w:t xml:space="preserve">Non-compliant </w:t>
            </w:r>
          </w:p>
        </w:tc>
        <w:tc>
          <w:tcPr>
            <w:tcW w:w="2247" w:type="pct"/>
            <w:tcBorders>
              <w:top w:val="single" w:sz="8" w:space="0" w:color="006600"/>
              <w:left w:val="single" w:sz="8" w:space="0" w:color="006600"/>
              <w:bottom w:val="single" w:sz="8" w:space="0" w:color="006600"/>
              <w:right w:val="single" w:sz="8" w:space="0" w:color="006600"/>
            </w:tcBorders>
          </w:tcPr>
          <w:p w14:paraId="7E6B65B8" w14:textId="6D553770" w:rsidR="00077801" w:rsidRPr="00077801" w:rsidRDefault="00792F95" w:rsidP="00077801">
            <w:pPr>
              <w:pStyle w:val="TableText"/>
              <w:rPr>
                <w:i/>
                <w:iCs/>
              </w:rPr>
            </w:pPr>
            <w:r>
              <w:rPr>
                <w:rStyle w:val="Emphasis"/>
              </w:rPr>
              <w:t>Non</w:t>
            </w:r>
            <w:r w:rsidR="00077801" w:rsidRPr="00B859AD">
              <w:rPr>
                <w:rStyle w:val="Emphasis"/>
              </w:rPr>
              <w:t>-compliance</w:t>
            </w:r>
            <w:r w:rsidR="00077801" w:rsidRPr="00077801">
              <w:rPr>
                <w:i/>
                <w:iCs/>
              </w:rPr>
              <w:t xml:space="preserve"> </w:t>
            </w:r>
            <w:r>
              <w:rPr>
                <w:i/>
                <w:iCs/>
              </w:rPr>
              <w:t xml:space="preserve">notice </w:t>
            </w:r>
            <w:r w:rsidR="00077801" w:rsidRPr="00077801">
              <w:t xml:space="preserve">– CEO of IHPA will advise the </w:t>
            </w:r>
            <w:r w:rsidR="00077801">
              <w:t>jurisdiction</w:t>
            </w:r>
            <w:r w:rsidR="00077801" w:rsidRPr="00077801">
              <w:t xml:space="preserve"> of non-compliance with data obligations</w:t>
            </w:r>
            <w:r w:rsidR="00077801" w:rsidRPr="00077801">
              <w:rPr>
                <w:i/>
                <w:iCs/>
              </w:rPr>
              <w:t>.</w:t>
            </w:r>
          </w:p>
        </w:tc>
      </w:tr>
    </w:tbl>
    <w:p w14:paraId="4877A273" w14:textId="77777777" w:rsidR="00FB2F25" w:rsidRDefault="00FB2F25" w:rsidP="00FB2F25">
      <w:pPr>
        <w:spacing w:before="0" w:after="0" w:line="240" w:lineRule="auto"/>
        <w:sectPr w:rsidR="00FB2F25" w:rsidSect="009F6528">
          <w:pgSz w:w="11906" w:h="16838" w:code="9"/>
          <w:pgMar w:top="2041" w:right="1841" w:bottom="1021" w:left="1021" w:header="680" w:footer="510" w:gutter="0"/>
          <w:pgNumType w:start="1"/>
          <w:cols w:space="708"/>
          <w:docGrid w:linePitch="360"/>
        </w:sectPr>
      </w:pPr>
    </w:p>
    <w:p w14:paraId="309FF46A" w14:textId="77777777" w:rsidR="00562759" w:rsidRPr="00FB2F25" w:rsidRDefault="00FB2F25" w:rsidP="00FB2F25">
      <w:r>
        <w:rPr>
          <w:noProof/>
        </w:rPr>
        <w:lastRenderedPageBreak/>
        <w:drawing>
          <wp:anchor distT="0" distB="0" distL="114300" distR="114300" simplePos="0" relativeHeight="251661312" behindDoc="1" locked="1" layoutInCell="0" allowOverlap="1" wp14:anchorId="105A1AA0" wp14:editId="6BBC1B8D">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A79EF9A" wp14:editId="22E9B8B2">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286433" w14:textId="77777777" w:rsidR="00DD6322" w:rsidRPr="0078371E" w:rsidRDefault="00DD6322" w:rsidP="00B970B9">
                            <w:pPr>
                              <w:pStyle w:val="Address"/>
                              <w:rPr>
                                <w:color w:val="auto"/>
                              </w:rPr>
                            </w:pPr>
                            <w:r w:rsidRPr="0078371E">
                              <w:rPr>
                                <w:color w:val="auto"/>
                              </w:rPr>
                              <w:t>Independent Hospital Pricing Authority</w:t>
                            </w:r>
                          </w:p>
                          <w:p w14:paraId="2598AC4E" w14:textId="77777777" w:rsidR="00DD6322" w:rsidRPr="0078371E" w:rsidRDefault="00DD6322" w:rsidP="00B970B9">
                            <w:pPr>
                              <w:pStyle w:val="Address"/>
                              <w:rPr>
                                <w:color w:val="004200" w:themeColor="accent1"/>
                              </w:rPr>
                            </w:pPr>
                          </w:p>
                          <w:p w14:paraId="6D16F384" w14:textId="54071AF7" w:rsidR="00DD6322" w:rsidRPr="0078371E" w:rsidRDefault="00DD6322" w:rsidP="00B970B9">
                            <w:pPr>
                              <w:pStyle w:val="Address"/>
                              <w:rPr>
                                <w:color w:val="004200" w:themeColor="accent1"/>
                              </w:rPr>
                            </w:pPr>
                            <w:r>
                              <w:rPr>
                                <w:color w:val="004200" w:themeColor="accent1"/>
                              </w:rPr>
                              <w:t xml:space="preserve">Eora Nation, </w:t>
                            </w:r>
                            <w:r w:rsidRPr="0078371E">
                              <w:rPr>
                                <w:color w:val="004200" w:themeColor="accent1"/>
                              </w:rPr>
                              <w:t xml:space="preserve">Level </w:t>
                            </w:r>
                            <w:r>
                              <w:rPr>
                                <w:color w:val="004200" w:themeColor="accent1"/>
                              </w:rPr>
                              <w:t>12</w:t>
                            </w:r>
                            <w:r w:rsidRPr="0078371E">
                              <w:rPr>
                                <w:color w:val="004200" w:themeColor="accent1"/>
                              </w:rPr>
                              <w:t>, 1 Oxford Street</w:t>
                            </w:r>
                          </w:p>
                          <w:p w14:paraId="2488FE39" w14:textId="77777777" w:rsidR="00DD6322" w:rsidRPr="0078371E" w:rsidRDefault="00DD6322" w:rsidP="00B970B9">
                            <w:pPr>
                              <w:pStyle w:val="Address"/>
                              <w:rPr>
                                <w:color w:val="004200" w:themeColor="accent1"/>
                              </w:rPr>
                            </w:pPr>
                            <w:r w:rsidRPr="0078371E">
                              <w:rPr>
                                <w:color w:val="004200" w:themeColor="accent1"/>
                              </w:rPr>
                              <w:t>Sydney NSW 2000</w:t>
                            </w:r>
                          </w:p>
                          <w:p w14:paraId="368DA082" w14:textId="77777777" w:rsidR="00DD6322" w:rsidRPr="0078371E" w:rsidRDefault="00DD6322" w:rsidP="00B970B9">
                            <w:pPr>
                              <w:pStyle w:val="Address"/>
                              <w:rPr>
                                <w:color w:val="004200" w:themeColor="accent1"/>
                              </w:rPr>
                            </w:pPr>
                          </w:p>
                          <w:p w14:paraId="72535FDC" w14:textId="77777777" w:rsidR="00DD6322" w:rsidRPr="0078371E" w:rsidRDefault="00DD6322" w:rsidP="00B970B9">
                            <w:pPr>
                              <w:pStyle w:val="Address"/>
                              <w:rPr>
                                <w:color w:val="004200" w:themeColor="accent1"/>
                              </w:rPr>
                            </w:pPr>
                            <w:r w:rsidRPr="0078371E">
                              <w:rPr>
                                <w:color w:val="auto"/>
                              </w:rPr>
                              <w:t>Phone</w:t>
                            </w:r>
                            <w:r w:rsidRPr="0078371E">
                              <w:rPr>
                                <w:color w:val="004200" w:themeColor="accent1"/>
                              </w:rPr>
                              <w:t xml:space="preserve"> 02 8215 1100</w:t>
                            </w:r>
                          </w:p>
                          <w:p w14:paraId="03916373" w14:textId="77777777" w:rsidR="00DD6322" w:rsidRPr="0078371E" w:rsidRDefault="00DD6322" w:rsidP="00B970B9">
                            <w:pPr>
                              <w:pStyle w:val="Address"/>
                              <w:rPr>
                                <w:color w:val="004200" w:themeColor="accent1"/>
                              </w:rPr>
                            </w:pPr>
                            <w:r w:rsidRPr="0078371E">
                              <w:rPr>
                                <w:color w:val="auto"/>
                              </w:rPr>
                              <w:t>Email</w:t>
                            </w:r>
                            <w:r w:rsidRPr="0078371E">
                              <w:rPr>
                                <w:color w:val="004200" w:themeColor="accent1"/>
                              </w:rPr>
                              <w:t xml:space="preserve"> enquiries.ihpa@ihpa.gov.au</w:t>
                            </w:r>
                          </w:p>
                          <w:p w14:paraId="7BA0F53C" w14:textId="77777777" w:rsidR="00DD6322" w:rsidRPr="0078371E" w:rsidRDefault="00DD6322" w:rsidP="00B970B9">
                            <w:pPr>
                              <w:pStyle w:val="Address"/>
                              <w:rPr>
                                <w:color w:val="004200" w:themeColor="accent1"/>
                              </w:rPr>
                            </w:pPr>
                            <w:r w:rsidRPr="0078371E">
                              <w:rPr>
                                <w:color w:val="auto"/>
                              </w:rPr>
                              <w:t>Twitter</w:t>
                            </w:r>
                            <w:r w:rsidRPr="0078371E">
                              <w:rPr>
                                <w:color w:val="004200" w:themeColor="accent1"/>
                              </w:rPr>
                              <w:t xml:space="preserve"> @IHPAnews</w:t>
                            </w:r>
                          </w:p>
                          <w:p w14:paraId="68ED036B" w14:textId="77777777" w:rsidR="00DD6322" w:rsidRPr="0078371E" w:rsidRDefault="00DD6322" w:rsidP="00B970B9">
                            <w:pPr>
                              <w:pStyle w:val="Address"/>
                              <w:rPr>
                                <w:color w:val="004200" w:themeColor="accent1"/>
                              </w:rPr>
                            </w:pPr>
                          </w:p>
                          <w:p w14:paraId="67A90D30" w14:textId="77777777" w:rsidR="00DD6322" w:rsidRPr="0078371E" w:rsidRDefault="00DD6322" w:rsidP="00B970B9">
                            <w:pPr>
                              <w:pStyle w:val="Address"/>
                              <w:rPr>
                                <w:color w:val="004200" w:themeColor="accent1"/>
                              </w:rPr>
                            </w:pPr>
                            <w:r w:rsidRPr="0078371E">
                              <w:rPr>
                                <w:color w:val="auto"/>
                              </w:rPr>
                              <w:t>www.ihpa.gov.au</w:t>
                            </w:r>
                          </w:p>
                          <w:p w14:paraId="5B6BEB2A" w14:textId="77777777" w:rsidR="00DD6322" w:rsidRPr="0098702F" w:rsidRDefault="00DD6322" w:rsidP="00FB2F25">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9EF9A" id="_x0000_t202" coordsize="21600,21600" o:spt="202" path="m,l,21600r21600,l21600,xe">
                <v:stroke joinstyle="miter"/>
                <v:path gradientshapeok="t" o:connecttype="rect"/>
              </v:shapetype>
              <v:shape id="Text Box 14" o:spid="_x0000_s1026" type="#_x0000_t202" style="position:absolute;margin-left:12pt;margin-top:600.8pt;width:15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21286433" w14:textId="77777777" w:rsidR="00DD6322" w:rsidRPr="0078371E" w:rsidRDefault="00DD6322" w:rsidP="00B970B9">
                      <w:pPr>
                        <w:pStyle w:val="Address"/>
                        <w:rPr>
                          <w:color w:val="auto"/>
                        </w:rPr>
                      </w:pPr>
                      <w:r w:rsidRPr="0078371E">
                        <w:rPr>
                          <w:color w:val="auto"/>
                        </w:rPr>
                        <w:t>Independent Hospital Pricing Authority</w:t>
                      </w:r>
                    </w:p>
                    <w:p w14:paraId="2598AC4E" w14:textId="77777777" w:rsidR="00DD6322" w:rsidRPr="0078371E" w:rsidRDefault="00DD6322" w:rsidP="00B970B9">
                      <w:pPr>
                        <w:pStyle w:val="Address"/>
                        <w:rPr>
                          <w:color w:val="004200" w:themeColor="accent1"/>
                        </w:rPr>
                      </w:pPr>
                    </w:p>
                    <w:p w14:paraId="6D16F384" w14:textId="54071AF7" w:rsidR="00DD6322" w:rsidRPr="0078371E" w:rsidRDefault="00DD6322" w:rsidP="00B970B9">
                      <w:pPr>
                        <w:pStyle w:val="Address"/>
                        <w:rPr>
                          <w:color w:val="004200" w:themeColor="accent1"/>
                        </w:rPr>
                      </w:pPr>
                      <w:r>
                        <w:rPr>
                          <w:color w:val="004200" w:themeColor="accent1"/>
                        </w:rPr>
                        <w:t xml:space="preserve">Eora Nation, </w:t>
                      </w:r>
                      <w:r w:rsidRPr="0078371E">
                        <w:rPr>
                          <w:color w:val="004200" w:themeColor="accent1"/>
                        </w:rPr>
                        <w:t xml:space="preserve">Level </w:t>
                      </w:r>
                      <w:r>
                        <w:rPr>
                          <w:color w:val="004200" w:themeColor="accent1"/>
                        </w:rPr>
                        <w:t>12</w:t>
                      </w:r>
                      <w:r w:rsidRPr="0078371E">
                        <w:rPr>
                          <w:color w:val="004200" w:themeColor="accent1"/>
                        </w:rPr>
                        <w:t>, 1 Oxford Street</w:t>
                      </w:r>
                    </w:p>
                    <w:p w14:paraId="2488FE39" w14:textId="77777777" w:rsidR="00DD6322" w:rsidRPr="0078371E" w:rsidRDefault="00DD6322" w:rsidP="00B970B9">
                      <w:pPr>
                        <w:pStyle w:val="Address"/>
                        <w:rPr>
                          <w:color w:val="004200" w:themeColor="accent1"/>
                        </w:rPr>
                      </w:pPr>
                      <w:r w:rsidRPr="0078371E">
                        <w:rPr>
                          <w:color w:val="004200" w:themeColor="accent1"/>
                        </w:rPr>
                        <w:t>Sydney NSW 2000</w:t>
                      </w:r>
                    </w:p>
                    <w:p w14:paraId="368DA082" w14:textId="77777777" w:rsidR="00DD6322" w:rsidRPr="0078371E" w:rsidRDefault="00DD6322" w:rsidP="00B970B9">
                      <w:pPr>
                        <w:pStyle w:val="Address"/>
                        <w:rPr>
                          <w:color w:val="004200" w:themeColor="accent1"/>
                        </w:rPr>
                      </w:pPr>
                    </w:p>
                    <w:p w14:paraId="72535FDC" w14:textId="77777777" w:rsidR="00DD6322" w:rsidRPr="0078371E" w:rsidRDefault="00DD6322" w:rsidP="00B970B9">
                      <w:pPr>
                        <w:pStyle w:val="Address"/>
                        <w:rPr>
                          <w:color w:val="004200" w:themeColor="accent1"/>
                        </w:rPr>
                      </w:pPr>
                      <w:r w:rsidRPr="0078371E">
                        <w:rPr>
                          <w:color w:val="auto"/>
                        </w:rPr>
                        <w:t>Phone</w:t>
                      </w:r>
                      <w:r w:rsidRPr="0078371E">
                        <w:rPr>
                          <w:color w:val="004200" w:themeColor="accent1"/>
                        </w:rPr>
                        <w:t xml:space="preserve"> 02 8215 1100</w:t>
                      </w:r>
                    </w:p>
                    <w:p w14:paraId="03916373" w14:textId="77777777" w:rsidR="00DD6322" w:rsidRPr="0078371E" w:rsidRDefault="00DD6322" w:rsidP="00B970B9">
                      <w:pPr>
                        <w:pStyle w:val="Address"/>
                        <w:rPr>
                          <w:color w:val="004200" w:themeColor="accent1"/>
                        </w:rPr>
                      </w:pPr>
                      <w:r w:rsidRPr="0078371E">
                        <w:rPr>
                          <w:color w:val="auto"/>
                        </w:rPr>
                        <w:t>Email</w:t>
                      </w:r>
                      <w:r w:rsidRPr="0078371E">
                        <w:rPr>
                          <w:color w:val="004200" w:themeColor="accent1"/>
                        </w:rPr>
                        <w:t xml:space="preserve"> enquiries.ihpa@ihpa.gov.au</w:t>
                      </w:r>
                    </w:p>
                    <w:p w14:paraId="7BA0F53C" w14:textId="77777777" w:rsidR="00DD6322" w:rsidRPr="0078371E" w:rsidRDefault="00DD6322" w:rsidP="00B970B9">
                      <w:pPr>
                        <w:pStyle w:val="Address"/>
                        <w:rPr>
                          <w:color w:val="004200" w:themeColor="accent1"/>
                        </w:rPr>
                      </w:pPr>
                      <w:r w:rsidRPr="0078371E">
                        <w:rPr>
                          <w:color w:val="auto"/>
                        </w:rPr>
                        <w:t>Twitter</w:t>
                      </w:r>
                      <w:r w:rsidRPr="0078371E">
                        <w:rPr>
                          <w:color w:val="004200" w:themeColor="accent1"/>
                        </w:rPr>
                        <w:t xml:space="preserve"> @IHPAnews</w:t>
                      </w:r>
                    </w:p>
                    <w:p w14:paraId="68ED036B" w14:textId="77777777" w:rsidR="00DD6322" w:rsidRPr="0078371E" w:rsidRDefault="00DD6322" w:rsidP="00B970B9">
                      <w:pPr>
                        <w:pStyle w:val="Address"/>
                        <w:rPr>
                          <w:color w:val="004200" w:themeColor="accent1"/>
                        </w:rPr>
                      </w:pPr>
                    </w:p>
                    <w:p w14:paraId="67A90D30" w14:textId="77777777" w:rsidR="00DD6322" w:rsidRPr="0078371E" w:rsidRDefault="00DD6322" w:rsidP="00B970B9">
                      <w:pPr>
                        <w:pStyle w:val="Address"/>
                        <w:rPr>
                          <w:color w:val="004200" w:themeColor="accent1"/>
                        </w:rPr>
                      </w:pPr>
                      <w:r w:rsidRPr="0078371E">
                        <w:rPr>
                          <w:color w:val="auto"/>
                        </w:rPr>
                        <w:t>www.ihpa.gov.au</w:t>
                      </w:r>
                    </w:p>
                    <w:p w14:paraId="5B6BEB2A" w14:textId="77777777" w:rsidR="00DD6322" w:rsidRPr="0098702F" w:rsidRDefault="00DD6322" w:rsidP="00FB2F25">
                      <w:pPr>
                        <w:pStyle w:val="Address"/>
                      </w:pPr>
                    </w:p>
                  </w:txbxContent>
                </v:textbox>
                <w10:wrap type="square" anchory="margin"/>
              </v:shape>
            </w:pict>
          </mc:Fallback>
        </mc:AlternateContent>
      </w:r>
    </w:p>
    <w:sectPr w:rsidR="00562759" w:rsidRPr="00FB2F25" w:rsidSect="008C2111">
      <w:headerReference w:type="even" r:id="rId19"/>
      <w:headerReference w:type="default" r:id="rId20"/>
      <w:footerReference w:type="even" r:id="rId21"/>
      <w:footerReference w:type="default" r:id="rId22"/>
      <w:headerReference w:type="first" r:id="rId23"/>
      <w:footerReference w:type="first" r:id="rId24"/>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7905A" w14:textId="77777777" w:rsidR="00314875" w:rsidRDefault="00314875">
      <w:r>
        <w:separator/>
      </w:r>
    </w:p>
  </w:endnote>
  <w:endnote w:type="continuationSeparator" w:id="0">
    <w:p w14:paraId="179DA669" w14:textId="77777777" w:rsidR="00314875" w:rsidRDefault="00314875">
      <w:r>
        <w:continuationSeparator/>
      </w:r>
    </w:p>
  </w:endnote>
  <w:endnote w:type="continuationNotice" w:id="1">
    <w:p w14:paraId="760605E5" w14:textId="77777777" w:rsidR="00314875" w:rsidRDefault="003148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01A50" w14:textId="77777777" w:rsidR="00DD6322" w:rsidRDefault="00DD6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40A1" w14:textId="77777777" w:rsidR="00DD6322" w:rsidRDefault="00DD6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2A19" w14:textId="77777777" w:rsidR="00DD6322" w:rsidRDefault="00DD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CE1AC" w14:textId="77777777" w:rsidR="00314875" w:rsidRDefault="00314875">
      <w:r>
        <w:separator/>
      </w:r>
    </w:p>
  </w:footnote>
  <w:footnote w:type="continuationSeparator" w:id="0">
    <w:p w14:paraId="3DBBA669" w14:textId="77777777" w:rsidR="00314875" w:rsidRDefault="00314875">
      <w:r>
        <w:continuationSeparator/>
      </w:r>
    </w:p>
  </w:footnote>
  <w:footnote w:type="continuationNotice" w:id="1">
    <w:p w14:paraId="0F84A17D" w14:textId="77777777" w:rsidR="00314875" w:rsidRDefault="00314875">
      <w:pPr>
        <w:spacing w:before="0" w:after="0" w:line="240" w:lineRule="auto"/>
      </w:pPr>
    </w:p>
  </w:footnote>
  <w:footnote w:id="2">
    <w:p w14:paraId="33B95DA4" w14:textId="07E1BF98" w:rsidR="00DD6322" w:rsidRDefault="00DD6322">
      <w:pPr>
        <w:pStyle w:val="FootnoteText"/>
      </w:pPr>
      <w:r>
        <w:rPr>
          <w:rStyle w:val="FootnoteReference"/>
        </w:rPr>
        <w:footnoteRef/>
      </w:r>
      <w:r>
        <w:t xml:space="preserve"> </w:t>
      </w:r>
      <w:r w:rsidRPr="000C2D2B">
        <w:rPr>
          <w:sz w:val="18"/>
          <w:szCs w:val="16"/>
        </w:rPr>
        <w:t>The Australian</w:t>
      </w:r>
      <w:r>
        <w:rPr>
          <w:sz w:val="18"/>
          <w:szCs w:val="16"/>
        </w:rPr>
        <w:t xml:space="preserve"> Health Minsters’ Advisory Council has been dissolved. The Health Chief Executives Forum has been established as its replacement</w:t>
      </w:r>
      <w:r w:rsidR="006037CC">
        <w:rPr>
          <w:sz w:val="18"/>
          <w:szCs w:val="16"/>
        </w:rPr>
        <w:t>, as the advisory and support body to the Council of Australian Governments Health Council</w:t>
      </w:r>
      <w:r>
        <w:rPr>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9881" w14:textId="3303B017" w:rsidR="00DD6322" w:rsidRPr="00CC2138" w:rsidRDefault="00DD6322"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4AA0C352" wp14:editId="1471FE27">
          <wp:simplePos x="0" y="0"/>
          <wp:positionH relativeFrom="page">
            <wp:posOffset>0</wp:posOffset>
          </wp:positionH>
          <wp:positionV relativeFrom="page">
            <wp:posOffset>1179</wp:posOffset>
          </wp:positionV>
          <wp:extent cx="6080400" cy="9181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Data Compliance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1</w:t>
    </w:r>
    <w:r w:rsidRPr="005F219D">
      <w:rPr>
        <w:noProof/>
        <w:color w:val="008542"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99C8" w14:textId="77777777" w:rsidR="00DD6322" w:rsidRDefault="00DD6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599D1" w14:textId="6A97A0BC" w:rsidR="00DD6322" w:rsidRPr="00CC2138" w:rsidRDefault="00DD6322"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27493A32" wp14:editId="3F4A5194">
          <wp:simplePos x="0" y="0"/>
          <wp:positionH relativeFrom="page">
            <wp:posOffset>0</wp:posOffset>
          </wp:positionH>
          <wp:positionV relativeFrom="page">
            <wp:posOffset>1179</wp:posOffset>
          </wp:positionV>
          <wp:extent cx="6080400" cy="918140"/>
          <wp:effectExtent l="0" t="0" r="0"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IHPA Data Compliance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1</w:t>
    </w:r>
    <w:r w:rsidRPr="005F219D">
      <w:rPr>
        <w:noProof/>
        <w:color w:val="008542" w:themeColor="accent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464B" w14:textId="77777777" w:rsidR="00DD6322" w:rsidRDefault="00DD6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96671"/>
    <w:multiLevelType w:val="hybridMultilevel"/>
    <w:tmpl w:val="7B52971E"/>
    <w:lvl w:ilvl="0" w:tplc="0958B502">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1" w15:restartNumberingAfterBreak="0">
    <w:nsid w:val="1A8A5B87"/>
    <w:multiLevelType w:val="hybridMultilevel"/>
    <w:tmpl w:val="7DCEBCA8"/>
    <w:lvl w:ilvl="0" w:tplc="2724DE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AD79F8"/>
    <w:multiLevelType w:val="hybridMultilevel"/>
    <w:tmpl w:val="DECE25A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0A4CCE"/>
    <w:multiLevelType w:val="hybridMultilevel"/>
    <w:tmpl w:val="019AA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500B21"/>
    <w:multiLevelType w:val="multilevel"/>
    <w:tmpl w:val="BC742786"/>
    <w:lvl w:ilvl="0">
      <w:start w:val="1"/>
      <w:numFmt w:val="decimal"/>
      <w:pStyle w:val="Heading1"/>
      <w:lvlText w:val="%1."/>
      <w:lvlJc w:val="left"/>
      <w:pPr>
        <w:ind w:left="432" w:hanging="432"/>
      </w:pPr>
      <w:rPr>
        <w:rFonts w:asciiTheme="majorHAnsi" w:eastAsia="Times New Roman" w:hAnsiTheme="majorHAnsi"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5C06FAE"/>
    <w:multiLevelType w:val="hybridMultilevel"/>
    <w:tmpl w:val="54745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3E05A1"/>
    <w:multiLevelType w:val="hybridMultilevel"/>
    <w:tmpl w:val="FB686E70"/>
    <w:lvl w:ilvl="0" w:tplc="20363F5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7"/>
  </w:num>
  <w:num w:numId="14">
    <w:abstractNumId w:val="12"/>
  </w:num>
  <w:num w:numId="15">
    <w:abstractNumId w:val="18"/>
  </w:num>
  <w:num w:numId="16">
    <w:abstractNumId w:val="18"/>
    <w:lvlOverride w:ilvl="0">
      <w:startOverride w:val="1"/>
    </w:lvlOverride>
  </w:num>
  <w:num w:numId="17">
    <w:abstractNumId w:val="11"/>
  </w:num>
  <w:num w:numId="18">
    <w:abstractNumId w:val="10"/>
  </w:num>
  <w:num w:numId="19">
    <w:abstractNumId w:val="16"/>
  </w:num>
  <w:num w:numId="20">
    <w:abstractNumId w:val="13"/>
  </w:num>
  <w:num w:numId="21">
    <w:abstractNumId w:val="16"/>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28"/>
    <w:rsid w:val="00005785"/>
    <w:rsid w:val="00006876"/>
    <w:rsid w:val="000079AD"/>
    <w:rsid w:val="00007C8E"/>
    <w:rsid w:val="00007D1F"/>
    <w:rsid w:val="00010D84"/>
    <w:rsid w:val="00010F15"/>
    <w:rsid w:val="00011CE3"/>
    <w:rsid w:val="00013587"/>
    <w:rsid w:val="000142B5"/>
    <w:rsid w:val="00022E9C"/>
    <w:rsid w:val="00024EF0"/>
    <w:rsid w:val="00025631"/>
    <w:rsid w:val="00026554"/>
    <w:rsid w:val="00027B26"/>
    <w:rsid w:val="00030705"/>
    <w:rsid w:val="00032861"/>
    <w:rsid w:val="00032B77"/>
    <w:rsid w:val="00042285"/>
    <w:rsid w:val="00043256"/>
    <w:rsid w:val="00043CF6"/>
    <w:rsid w:val="00045A89"/>
    <w:rsid w:val="00046257"/>
    <w:rsid w:val="00046F8E"/>
    <w:rsid w:val="00047524"/>
    <w:rsid w:val="0005040E"/>
    <w:rsid w:val="0005087D"/>
    <w:rsid w:val="00050F9E"/>
    <w:rsid w:val="000527B2"/>
    <w:rsid w:val="000547EF"/>
    <w:rsid w:val="0005567A"/>
    <w:rsid w:val="00056004"/>
    <w:rsid w:val="000563E0"/>
    <w:rsid w:val="0006075A"/>
    <w:rsid w:val="00061C84"/>
    <w:rsid w:val="00062484"/>
    <w:rsid w:val="00063129"/>
    <w:rsid w:val="0006457B"/>
    <w:rsid w:val="00064EE9"/>
    <w:rsid w:val="00065022"/>
    <w:rsid w:val="00065A5E"/>
    <w:rsid w:val="00070681"/>
    <w:rsid w:val="00073A4B"/>
    <w:rsid w:val="00076119"/>
    <w:rsid w:val="00077801"/>
    <w:rsid w:val="00080A09"/>
    <w:rsid w:val="00081CEB"/>
    <w:rsid w:val="00083082"/>
    <w:rsid w:val="0008472E"/>
    <w:rsid w:val="00086E8D"/>
    <w:rsid w:val="000876BE"/>
    <w:rsid w:val="00087B2C"/>
    <w:rsid w:val="00087DBD"/>
    <w:rsid w:val="000904D8"/>
    <w:rsid w:val="00090718"/>
    <w:rsid w:val="00091B4E"/>
    <w:rsid w:val="00091CD7"/>
    <w:rsid w:val="00093DD5"/>
    <w:rsid w:val="00096536"/>
    <w:rsid w:val="000A03DD"/>
    <w:rsid w:val="000A13CA"/>
    <w:rsid w:val="000A1A09"/>
    <w:rsid w:val="000A44C2"/>
    <w:rsid w:val="000A47A8"/>
    <w:rsid w:val="000A6A5B"/>
    <w:rsid w:val="000A73FB"/>
    <w:rsid w:val="000B218A"/>
    <w:rsid w:val="000B5C1E"/>
    <w:rsid w:val="000C014D"/>
    <w:rsid w:val="000C11ED"/>
    <w:rsid w:val="000C29B4"/>
    <w:rsid w:val="000C2D2B"/>
    <w:rsid w:val="000C3775"/>
    <w:rsid w:val="000C5CD8"/>
    <w:rsid w:val="000C7A69"/>
    <w:rsid w:val="000D1158"/>
    <w:rsid w:val="000D4703"/>
    <w:rsid w:val="000E12D4"/>
    <w:rsid w:val="000E39EF"/>
    <w:rsid w:val="000E620E"/>
    <w:rsid w:val="000F2063"/>
    <w:rsid w:val="000F3D28"/>
    <w:rsid w:val="000F63C4"/>
    <w:rsid w:val="00100200"/>
    <w:rsid w:val="0010069F"/>
    <w:rsid w:val="001006C1"/>
    <w:rsid w:val="0010263D"/>
    <w:rsid w:val="00102824"/>
    <w:rsid w:val="0010300A"/>
    <w:rsid w:val="001131F0"/>
    <w:rsid w:val="001139C7"/>
    <w:rsid w:val="00114EBC"/>
    <w:rsid w:val="00120A38"/>
    <w:rsid w:val="001226D6"/>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46B98"/>
    <w:rsid w:val="00150D2A"/>
    <w:rsid w:val="00150E25"/>
    <w:rsid w:val="00150EA9"/>
    <w:rsid w:val="00151650"/>
    <w:rsid w:val="00152BF6"/>
    <w:rsid w:val="0015432A"/>
    <w:rsid w:val="00155B98"/>
    <w:rsid w:val="00157001"/>
    <w:rsid w:val="00157709"/>
    <w:rsid w:val="00160E91"/>
    <w:rsid w:val="00164F74"/>
    <w:rsid w:val="00165626"/>
    <w:rsid w:val="00167CF4"/>
    <w:rsid w:val="0017018F"/>
    <w:rsid w:val="00170EA2"/>
    <w:rsid w:val="0017147C"/>
    <w:rsid w:val="00171653"/>
    <w:rsid w:val="0017194E"/>
    <w:rsid w:val="0017249B"/>
    <w:rsid w:val="001727A4"/>
    <w:rsid w:val="00177EC4"/>
    <w:rsid w:val="00181533"/>
    <w:rsid w:val="001824C8"/>
    <w:rsid w:val="00182698"/>
    <w:rsid w:val="001864FD"/>
    <w:rsid w:val="00193EE2"/>
    <w:rsid w:val="001943DD"/>
    <w:rsid w:val="00195009"/>
    <w:rsid w:val="00196BAC"/>
    <w:rsid w:val="001A13F6"/>
    <w:rsid w:val="001A2D78"/>
    <w:rsid w:val="001A5813"/>
    <w:rsid w:val="001A5F73"/>
    <w:rsid w:val="001A7167"/>
    <w:rsid w:val="001A7249"/>
    <w:rsid w:val="001B021D"/>
    <w:rsid w:val="001B2D89"/>
    <w:rsid w:val="001B385A"/>
    <w:rsid w:val="001B3904"/>
    <w:rsid w:val="001B3AEC"/>
    <w:rsid w:val="001B3E8D"/>
    <w:rsid w:val="001B5259"/>
    <w:rsid w:val="001B60D4"/>
    <w:rsid w:val="001B6F28"/>
    <w:rsid w:val="001B7300"/>
    <w:rsid w:val="001C2D5A"/>
    <w:rsid w:val="001C4F4F"/>
    <w:rsid w:val="001C5DBA"/>
    <w:rsid w:val="001C6BA1"/>
    <w:rsid w:val="001D141C"/>
    <w:rsid w:val="001D2904"/>
    <w:rsid w:val="001D652D"/>
    <w:rsid w:val="001D693F"/>
    <w:rsid w:val="001D6F9E"/>
    <w:rsid w:val="001D792B"/>
    <w:rsid w:val="001E38FB"/>
    <w:rsid w:val="001E52C2"/>
    <w:rsid w:val="001F0BE1"/>
    <w:rsid w:val="001F101A"/>
    <w:rsid w:val="001F24EF"/>
    <w:rsid w:val="001F56C7"/>
    <w:rsid w:val="00203039"/>
    <w:rsid w:val="00204B17"/>
    <w:rsid w:val="00206922"/>
    <w:rsid w:val="002069D2"/>
    <w:rsid w:val="00207385"/>
    <w:rsid w:val="00210D92"/>
    <w:rsid w:val="00211DA2"/>
    <w:rsid w:val="00212963"/>
    <w:rsid w:val="00213693"/>
    <w:rsid w:val="00215CCB"/>
    <w:rsid w:val="00216CF5"/>
    <w:rsid w:val="002170FA"/>
    <w:rsid w:val="00220221"/>
    <w:rsid w:val="0022037B"/>
    <w:rsid w:val="00222C8D"/>
    <w:rsid w:val="002256A8"/>
    <w:rsid w:val="00230E6B"/>
    <w:rsid w:val="00232B97"/>
    <w:rsid w:val="0023523A"/>
    <w:rsid w:val="0023757C"/>
    <w:rsid w:val="00237C47"/>
    <w:rsid w:val="002402E4"/>
    <w:rsid w:val="002421A0"/>
    <w:rsid w:val="00242B98"/>
    <w:rsid w:val="002445A1"/>
    <w:rsid w:val="00246FE6"/>
    <w:rsid w:val="002470E3"/>
    <w:rsid w:val="0025207D"/>
    <w:rsid w:val="0025280C"/>
    <w:rsid w:val="00254DE9"/>
    <w:rsid w:val="00260562"/>
    <w:rsid w:val="002615D3"/>
    <w:rsid w:val="002623B6"/>
    <w:rsid w:val="002672F1"/>
    <w:rsid w:val="00271414"/>
    <w:rsid w:val="00271922"/>
    <w:rsid w:val="00273412"/>
    <w:rsid w:val="0027373F"/>
    <w:rsid w:val="00274314"/>
    <w:rsid w:val="00274ACF"/>
    <w:rsid w:val="002807A1"/>
    <w:rsid w:val="0028159B"/>
    <w:rsid w:val="00282671"/>
    <w:rsid w:val="00282861"/>
    <w:rsid w:val="002843E2"/>
    <w:rsid w:val="00287BAA"/>
    <w:rsid w:val="002920BA"/>
    <w:rsid w:val="00293489"/>
    <w:rsid w:val="00296596"/>
    <w:rsid w:val="00296F5E"/>
    <w:rsid w:val="002A30F0"/>
    <w:rsid w:val="002A6DF5"/>
    <w:rsid w:val="002A7CFF"/>
    <w:rsid w:val="002B0F94"/>
    <w:rsid w:val="002B6406"/>
    <w:rsid w:val="002B6809"/>
    <w:rsid w:val="002B7F9D"/>
    <w:rsid w:val="002C0A66"/>
    <w:rsid w:val="002C1710"/>
    <w:rsid w:val="002C4231"/>
    <w:rsid w:val="002C7080"/>
    <w:rsid w:val="002D00B0"/>
    <w:rsid w:val="002D2364"/>
    <w:rsid w:val="002D2E16"/>
    <w:rsid w:val="002D3092"/>
    <w:rsid w:val="002E45F0"/>
    <w:rsid w:val="002E5E64"/>
    <w:rsid w:val="002E76C9"/>
    <w:rsid w:val="002E7778"/>
    <w:rsid w:val="002E7BB9"/>
    <w:rsid w:val="002F5F79"/>
    <w:rsid w:val="002F6288"/>
    <w:rsid w:val="002F7A73"/>
    <w:rsid w:val="00304B3E"/>
    <w:rsid w:val="00304D14"/>
    <w:rsid w:val="00304D97"/>
    <w:rsid w:val="0031180A"/>
    <w:rsid w:val="00313127"/>
    <w:rsid w:val="00313304"/>
    <w:rsid w:val="00314875"/>
    <w:rsid w:val="003155F4"/>
    <w:rsid w:val="00320309"/>
    <w:rsid w:val="00320AF0"/>
    <w:rsid w:val="00321CEF"/>
    <w:rsid w:val="00321D1E"/>
    <w:rsid w:val="00323DCB"/>
    <w:rsid w:val="0032530E"/>
    <w:rsid w:val="00325548"/>
    <w:rsid w:val="00325A61"/>
    <w:rsid w:val="00326976"/>
    <w:rsid w:val="0032764D"/>
    <w:rsid w:val="0032792C"/>
    <w:rsid w:val="003311D7"/>
    <w:rsid w:val="00332B8B"/>
    <w:rsid w:val="0033521E"/>
    <w:rsid w:val="00337CA2"/>
    <w:rsid w:val="003404A4"/>
    <w:rsid w:val="00347104"/>
    <w:rsid w:val="00347976"/>
    <w:rsid w:val="00350852"/>
    <w:rsid w:val="0035096E"/>
    <w:rsid w:val="0035219F"/>
    <w:rsid w:val="00355D01"/>
    <w:rsid w:val="00360B81"/>
    <w:rsid w:val="0036468D"/>
    <w:rsid w:val="00366283"/>
    <w:rsid w:val="00366478"/>
    <w:rsid w:val="003667CA"/>
    <w:rsid w:val="0036777E"/>
    <w:rsid w:val="003701FA"/>
    <w:rsid w:val="0037043F"/>
    <w:rsid w:val="00372A26"/>
    <w:rsid w:val="003742F2"/>
    <w:rsid w:val="0037484C"/>
    <w:rsid w:val="003749CD"/>
    <w:rsid w:val="00374A6C"/>
    <w:rsid w:val="00376311"/>
    <w:rsid w:val="00382718"/>
    <w:rsid w:val="00382B3B"/>
    <w:rsid w:val="00385ED2"/>
    <w:rsid w:val="00391F86"/>
    <w:rsid w:val="003923FB"/>
    <w:rsid w:val="00393F00"/>
    <w:rsid w:val="003945C0"/>
    <w:rsid w:val="003952DA"/>
    <w:rsid w:val="003A25A7"/>
    <w:rsid w:val="003A3938"/>
    <w:rsid w:val="003A3E1A"/>
    <w:rsid w:val="003A580C"/>
    <w:rsid w:val="003B2A48"/>
    <w:rsid w:val="003B535C"/>
    <w:rsid w:val="003B5DEC"/>
    <w:rsid w:val="003C0611"/>
    <w:rsid w:val="003C2120"/>
    <w:rsid w:val="003D030E"/>
    <w:rsid w:val="003D040D"/>
    <w:rsid w:val="003D1F49"/>
    <w:rsid w:val="003D2061"/>
    <w:rsid w:val="003D74F4"/>
    <w:rsid w:val="003E02B2"/>
    <w:rsid w:val="003E1FE3"/>
    <w:rsid w:val="003E32A7"/>
    <w:rsid w:val="003E7281"/>
    <w:rsid w:val="003F1A33"/>
    <w:rsid w:val="003F3072"/>
    <w:rsid w:val="004024E4"/>
    <w:rsid w:val="00402EE0"/>
    <w:rsid w:val="00404606"/>
    <w:rsid w:val="00406289"/>
    <w:rsid w:val="00406578"/>
    <w:rsid w:val="004074EF"/>
    <w:rsid w:val="004102C3"/>
    <w:rsid w:val="0041307C"/>
    <w:rsid w:val="00413699"/>
    <w:rsid w:val="00413C75"/>
    <w:rsid w:val="0041475C"/>
    <w:rsid w:val="004167B4"/>
    <w:rsid w:val="004167BC"/>
    <w:rsid w:val="0042032D"/>
    <w:rsid w:val="004225DC"/>
    <w:rsid w:val="004237F7"/>
    <w:rsid w:val="00423A41"/>
    <w:rsid w:val="00425FBA"/>
    <w:rsid w:val="00430D7E"/>
    <w:rsid w:val="00432332"/>
    <w:rsid w:val="00432368"/>
    <w:rsid w:val="00433B04"/>
    <w:rsid w:val="004372CA"/>
    <w:rsid w:val="0043784D"/>
    <w:rsid w:val="00440256"/>
    <w:rsid w:val="00440E22"/>
    <w:rsid w:val="0044308E"/>
    <w:rsid w:val="004445FB"/>
    <w:rsid w:val="0044547D"/>
    <w:rsid w:val="00446F93"/>
    <w:rsid w:val="00451A74"/>
    <w:rsid w:val="004552AB"/>
    <w:rsid w:val="0045542F"/>
    <w:rsid w:val="0045622C"/>
    <w:rsid w:val="00460D9C"/>
    <w:rsid w:val="00464FB1"/>
    <w:rsid w:val="00465398"/>
    <w:rsid w:val="00467185"/>
    <w:rsid w:val="00467736"/>
    <w:rsid w:val="0047050C"/>
    <w:rsid w:val="004750DB"/>
    <w:rsid w:val="00480F21"/>
    <w:rsid w:val="0048108E"/>
    <w:rsid w:val="004829C7"/>
    <w:rsid w:val="0048537F"/>
    <w:rsid w:val="004874E5"/>
    <w:rsid w:val="00487885"/>
    <w:rsid w:val="00490A65"/>
    <w:rsid w:val="0049116C"/>
    <w:rsid w:val="004930C9"/>
    <w:rsid w:val="00493F62"/>
    <w:rsid w:val="00494832"/>
    <w:rsid w:val="004957C2"/>
    <w:rsid w:val="00495AF1"/>
    <w:rsid w:val="00497A89"/>
    <w:rsid w:val="004A2BAC"/>
    <w:rsid w:val="004A4CED"/>
    <w:rsid w:val="004A6066"/>
    <w:rsid w:val="004A6BE6"/>
    <w:rsid w:val="004B0828"/>
    <w:rsid w:val="004B3304"/>
    <w:rsid w:val="004B35CA"/>
    <w:rsid w:val="004B3DF1"/>
    <w:rsid w:val="004B4858"/>
    <w:rsid w:val="004B4BC0"/>
    <w:rsid w:val="004B5555"/>
    <w:rsid w:val="004C0484"/>
    <w:rsid w:val="004C5273"/>
    <w:rsid w:val="004C587F"/>
    <w:rsid w:val="004C777E"/>
    <w:rsid w:val="004D16A4"/>
    <w:rsid w:val="004E6682"/>
    <w:rsid w:val="004E6D8A"/>
    <w:rsid w:val="004F15EF"/>
    <w:rsid w:val="004F22FE"/>
    <w:rsid w:val="004F23AD"/>
    <w:rsid w:val="004F567C"/>
    <w:rsid w:val="004F774D"/>
    <w:rsid w:val="005013B0"/>
    <w:rsid w:val="005015E4"/>
    <w:rsid w:val="005016EF"/>
    <w:rsid w:val="005017A6"/>
    <w:rsid w:val="0050291D"/>
    <w:rsid w:val="0050516C"/>
    <w:rsid w:val="005064CD"/>
    <w:rsid w:val="00506C00"/>
    <w:rsid w:val="00511016"/>
    <w:rsid w:val="005139C0"/>
    <w:rsid w:val="005159B3"/>
    <w:rsid w:val="00522C03"/>
    <w:rsid w:val="00525EA4"/>
    <w:rsid w:val="005270D1"/>
    <w:rsid w:val="0052791F"/>
    <w:rsid w:val="00532CFF"/>
    <w:rsid w:val="00536880"/>
    <w:rsid w:val="00540AD0"/>
    <w:rsid w:val="00543A76"/>
    <w:rsid w:val="0054741D"/>
    <w:rsid w:val="005523D1"/>
    <w:rsid w:val="0055532E"/>
    <w:rsid w:val="00555BC3"/>
    <w:rsid w:val="00557C8E"/>
    <w:rsid w:val="00561B2B"/>
    <w:rsid w:val="00562759"/>
    <w:rsid w:val="0056357E"/>
    <w:rsid w:val="00564952"/>
    <w:rsid w:val="00565565"/>
    <w:rsid w:val="0056645F"/>
    <w:rsid w:val="00566944"/>
    <w:rsid w:val="00571AB1"/>
    <w:rsid w:val="00577E1C"/>
    <w:rsid w:val="00580DB1"/>
    <w:rsid w:val="005814AC"/>
    <w:rsid w:val="00582AC8"/>
    <w:rsid w:val="00584676"/>
    <w:rsid w:val="005854B7"/>
    <w:rsid w:val="005879E7"/>
    <w:rsid w:val="00587AB1"/>
    <w:rsid w:val="0059070B"/>
    <w:rsid w:val="0059283C"/>
    <w:rsid w:val="005A0D95"/>
    <w:rsid w:val="005A14A5"/>
    <w:rsid w:val="005A190F"/>
    <w:rsid w:val="005A224B"/>
    <w:rsid w:val="005B1225"/>
    <w:rsid w:val="005B17D8"/>
    <w:rsid w:val="005B1D82"/>
    <w:rsid w:val="005B3068"/>
    <w:rsid w:val="005B4077"/>
    <w:rsid w:val="005B61A8"/>
    <w:rsid w:val="005C28B0"/>
    <w:rsid w:val="005C2F01"/>
    <w:rsid w:val="005C5480"/>
    <w:rsid w:val="005C5F3C"/>
    <w:rsid w:val="005D01BE"/>
    <w:rsid w:val="005D1177"/>
    <w:rsid w:val="005D1D13"/>
    <w:rsid w:val="005D37DF"/>
    <w:rsid w:val="005D5460"/>
    <w:rsid w:val="005E08CD"/>
    <w:rsid w:val="005E216D"/>
    <w:rsid w:val="005E37E8"/>
    <w:rsid w:val="005E5EB3"/>
    <w:rsid w:val="005E74C5"/>
    <w:rsid w:val="005F0303"/>
    <w:rsid w:val="005F219D"/>
    <w:rsid w:val="005F2437"/>
    <w:rsid w:val="005F318A"/>
    <w:rsid w:val="005F5B75"/>
    <w:rsid w:val="005F7710"/>
    <w:rsid w:val="006004F7"/>
    <w:rsid w:val="00603261"/>
    <w:rsid w:val="006037CC"/>
    <w:rsid w:val="00607597"/>
    <w:rsid w:val="00610F93"/>
    <w:rsid w:val="006112F6"/>
    <w:rsid w:val="006127CC"/>
    <w:rsid w:val="00613295"/>
    <w:rsid w:val="006159DF"/>
    <w:rsid w:val="0061664E"/>
    <w:rsid w:val="006243C6"/>
    <w:rsid w:val="006273BC"/>
    <w:rsid w:val="00632009"/>
    <w:rsid w:val="00633CF1"/>
    <w:rsid w:val="00635A6C"/>
    <w:rsid w:val="00637091"/>
    <w:rsid w:val="00642839"/>
    <w:rsid w:val="006457F8"/>
    <w:rsid w:val="00645CCB"/>
    <w:rsid w:val="00646D47"/>
    <w:rsid w:val="0064700E"/>
    <w:rsid w:val="006478CB"/>
    <w:rsid w:val="00650B88"/>
    <w:rsid w:val="00651400"/>
    <w:rsid w:val="00652C58"/>
    <w:rsid w:val="006530EF"/>
    <w:rsid w:val="006554DD"/>
    <w:rsid w:val="00655995"/>
    <w:rsid w:val="00660951"/>
    <w:rsid w:val="00663637"/>
    <w:rsid w:val="006636E2"/>
    <w:rsid w:val="00663DFE"/>
    <w:rsid w:val="00666273"/>
    <w:rsid w:val="00667FA9"/>
    <w:rsid w:val="0067233D"/>
    <w:rsid w:val="00672B2E"/>
    <w:rsid w:val="006745AE"/>
    <w:rsid w:val="00676870"/>
    <w:rsid w:val="00676AF3"/>
    <w:rsid w:val="00677895"/>
    <w:rsid w:val="00677BEF"/>
    <w:rsid w:val="006814A3"/>
    <w:rsid w:val="00681588"/>
    <w:rsid w:val="00682AFC"/>
    <w:rsid w:val="00683344"/>
    <w:rsid w:val="00684FC9"/>
    <w:rsid w:val="0069072B"/>
    <w:rsid w:val="0069174B"/>
    <w:rsid w:val="00693340"/>
    <w:rsid w:val="006962EE"/>
    <w:rsid w:val="006A04C7"/>
    <w:rsid w:val="006A33CE"/>
    <w:rsid w:val="006A5C17"/>
    <w:rsid w:val="006B05E3"/>
    <w:rsid w:val="006B09BC"/>
    <w:rsid w:val="006B6D5D"/>
    <w:rsid w:val="006B7B5A"/>
    <w:rsid w:val="006C0801"/>
    <w:rsid w:val="006C0C2C"/>
    <w:rsid w:val="006C1EAA"/>
    <w:rsid w:val="006C216F"/>
    <w:rsid w:val="006C45D4"/>
    <w:rsid w:val="006C5F5F"/>
    <w:rsid w:val="006D2042"/>
    <w:rsid w:val="006D66E3"/>
    <w:rsid w:val="006D7855"/>
    <w:rsid w:val="006E010C"/>
    <w:rsid w:val="006E1003"/>
    <w:rsid w:val="006E16BF"/>
    <w:rsid w:val="006E18F0"/>
    <w:rsid w:val="006E3250"/>
    <w:rsid w:val="006E38AF"/>
    <w:rsid w:val="006E4F93"/>
    <w:rsid w:val="006E70FC"/>
    <w:rsid w:val="006F1174"/>
    <w:rsid w:val="006F1E03"/>
    <w:rsid w:val="006F6039"/>
    <w:rsid w:val="006F7BDB"/>
    <w:rsid w:val="00700135"/>
    <w:rsid w:val="00703557"/>
    <w:rsid w:val="00705180"/>
    <w:rsid w:val="00711605"/>
    <w:rsid w:val="00711DF6"/>
    <w:rsid w:val="00716FBC"/>
    <w:rsid w:val="00717090"/>
    <w:rsid w:val="0072015C"/>
    <w:rsid w:val="00720739"/>
    <w:rsid w:val="00722235"/>
    <w:rsid w:val="0072253E"/>
    <w:rsid w:val="00723E1F"/>
    <w:rsid w:val="0072443D"/>
    <w:rsid w:val="007247E5"/>
    <w:rsid w:val="007248B7"/>
    <w:rsid w:val="007254CA"/>
    <w:rsid w:val="00730CF8"/>
    <w:rsid w:val="00731A90"/>
    <w:rsid w:val="00732608"/>
    <w:rsid w:val="00733251"/>
    <w:rsid w:val="00736DCA"/>
    <w:rsid w:val="00744F72"/>
    <w:rsid w:val="00745C47"/>
    <w:rsid w:val="0075003D"/>
    <w:rsid w:val="00751D97"/>
    <w:rsid w:val="00752C55"/>
    <w:rsid w:val="007562D4"/>
    <w:rsid w:val="007573FA"/>
    <w:rsid w:val="00761DBF"/>
    <w:rsid w:val="00761FCF"/>
    <w:rsid w:val="00763E83"/>
    <w:rsid w:val="00764693"/>
    <w:rsid w:val="00764E1B"/>
    <w:rsid w:val="00765503"/>
    <w:rsid w:val="00767B7E"/>
    <w:rsid w:val="007714A6"/>
    <w:rsid w:val="00771D7D"/>
    <w:rsid w:val="007720DF"/>
    <w:rsid w:val="007745B7"/>
    <w:rsid w:val="007750C8"/>
    <w:rsid w:val="00776538"/>
    <w:rsid w:val="007802BE"/>
    <w:rsid w:val="00780EEF"/>
    <w:rsid w:val="0078134C"/>
    <w:rsid w:val="00781C47"/>
    <w:rsid w:val="007837C7"/>
    <w:rsid w:val="00784B44"/>
    <w:rsid w:val="00785465"/>
    <w:rsid w:val="00787656"/>
    <w:rsid w:val="00787FDC"/>
    <w:rsid w:val="00791767"/>
    <w:rsid w:val="0079268A"/>
    <w:rsid w:val="00792F95"/>
    <w:rsid w:val="00794859"/>
    <w:rsid w:val="00794BEA"/>
    <w:rsid w:val="00797C88"/>
    <w:rsid w:val="007A1013"/>
    <w:rsid w:val="007A3D17"/>
    <w:rsid w:val="007A4CA9"/>
    <w:rsid w:val="007A7D19"/>
    <w:rsid w:val="007A7EC2"/>
    <w:rsid w:val="007B042D"/>
    <w:rsid w:val="007B05BB"/>
    <w:rsid w:val="007B11D0"/>
    <w:rsid w:val="007B13B6"/>
    <w:rsid w:val="007B6E0A"/>
    <w:rsid w:val="007B764C"/>
    <w:rsid w:val="007C118A"/>
    <w:rsid w:val="007C636F"/>
    <w:rsid w:val="007D02FB"/>
    <w:rsid w:val="007D0803"/>
    <w:rsid w:val="007D1FE8"/>
    <w:rsid w:val="007D39EB"/>
    <w:rsid w:val="007E2FFA"/>
    <w:rsid w:val="007E5B60"/>
    <w:rsid w:val="007E74E1"/>
    <w:rsid w:val="007E77A8"/>
    <w:rsid w:val="007F439F"/>
    <w:rsid w:val="007F491C"/>
    <w:rsid w:val="00803BF8"/>
    <w:rsid w:val="008061C9"/>
    <w:rsid w:val="008066D8"/>
    <w:rsid w:val="00811A18"/>
    <w:rsid w:val="00813711"/>
    <w:rsid w:val="00816C9E"/>
    <w:rsid w:val="0082150F"/>
    <w:rsid w:val="00821E64"/>
    <w:rsid w:val="008263C2"/>
    <w:rsid w:val="00826C12"/>
    <w:rsid w:val="008307DB"/>
    <w:rsid w:val="00833398"/>
    <w:rsid w:val="00835D9D"/>
    <w:rsid w:val="00835FC9"/>
    <w:rsid w:val="008368F8"/>
    <w:rsid w:val="008370E3"/>
    <w:rsid w:val="008418FA"/>
    <w:rsid w:val="00841D8D"/>
    <w:rsid w:val="00842959"/>
    <w:rsid w:val="00843390"/>
    <w:rsid w:val="00850634"/>
    <w:rsid w:val="00850767"/>
    <w:rsid w:val="0085235A"/>
    <w:rsid w:val="00854138"/>
    <w:rsid w:val="00854410"/>
    <w:rsid w:val="008544DF"/>
    <w:rsid w:val="00860AAD"/>
    <w:rsid w:val="00861AA6"/>
    <w:rsid w:val="008708F3"/>
    <w:rsid w:val="00871354"/>
    <w:rsid w:val="00873611"/>
    <w:rsid w:val="00873A42"/>
    <w:rsid w:val="00873C8F"/>
    <w:rsid w:val="00874FB3"/>
    <w:rsid w:val="008753E9"/>
    <w:rsid w:val="00880A72"/>
    <w:rsid w:val="00880BE3"/>
    <w:rsid w:val="00881359"/>
    <w:rsid w:val="00882093"/>
    <w:rsid w:val="00882588"/>
    <w:rsid w:val="00884ADE"/>
    <w:rsid w:val="008856CF"/>
    <w:rsid w:val="00885864"/>
    <w:rsid w:val="0089074F"/>
    <w:rsid w:val="00890A1D"/>
    <w:rsid w:val="00890EFC"/>
    <w:rsid w:val="0089383B"/>
    <w:rsid w:val="0089534B"/>
    <w:rsid w:val="0089616F"/>
    <w:rsid w:val="008A0232"/>
    <w:rsid w:val="008A5151"/>
    <w:rsid w:val="008B0470"/>
    <w:rsid w:val="008B06C5"/>
    <w:rsid w:val="008B0F85"/>
    <w:rsid w:val="008B164E"/>
    <w:rsid w:val="008B502A"/>
    <w:rsid w:val="008B57D8"/>
    <w:rsid w:val="008B7A65"/>
    <w:rsid w:val="008C01D9"/>
    <w:rsid w:val="008C1219"/>
    <w:rsid w:val="008C123E"/>
    <w:rsid w:val="008C137D"/>
    <w:rsid w:val="008C2111"/>
    <w:rsid w:val="008C22DD"/>
    <w:rsid w:val="008C3ED0"/>
    <w:rsid w:val="008C5E94"/>
    <w:rsid w:val="008C6C0E"/>
    <w:rsid w:val="008C76BA"/>
    <w:rsid w:val="008D0FA8"/>
    <w:rsid w:val="008D196A"/>
    <w:rsid w:val="008E3EF2"/>
    <w:rsid w:val="008E3F8B"/>
    <w:rsid w:val="008E51C9"/>
    <w:rsid w:val="008E5BEB"/>
    <w:rsid w:val="008E6306"/>
    <w:rsid w:val="008F0929"/>
    <w:rsid w:val="008F6819"/>
    <w:rsid w:val="008F68F7"/>
    <w:rsid w:val="009005A6"/>
    <w:rsid w:val="009006CF"/>
    <w:rsid w:val="00900A5E"/>
    <w:rsid w:val="00900C71"/>
    <w:rsid w:val="00901B4F"/>
    <w:rsid w:val="00902A1C"/>
    <w:rsid w:val="009037B6"/>
    <w:rsid w:val="00906CBE"/>
    <w:rsid w:val="00910024"/>
    <w:rsid w:val="00910384"/>
    <w:rsid w:val="0091643D"/>
    <w:rsid w:val="00916E33"/>
    <w:rsid w:val="0092093B"/>
    <w:rsid w:val="009232B0"/>
    <w:rsid w:val="00925FD2"/>
    <w:rsid w:val="00930669"/>
    <w:rsid w:val="00932C33"/>
    <w:rsid w:val="009353B8"/>
    <w:rsid w:val="009356EA"/>
    <w:rsid w:val="009427A1"/>
    <w:rsid w:val="00942FFE"/>
    <w:rsid w:val="00944CBC"/>
    <w:rsid w:val="0094680A"/>
    <w:rsid w:val="00954723"/>
    <w:rsid w:val="009551E0"/>
    <w:rsid w:val="0095654E"/>
    <w:rsid w:val="00956F3C"/>
    <w:rsid w:val="0096379E"/>
    <w:rsid w:val="00965033"/>
    <w:rsid w:val="00971C34"/>
    <w:rsid w:val="00972488"/>
    <w:rsid w:val="009726D0"/>
    <w:rsid w:val="0097421D"/>
    <w:rsid w:val="00976117"/>
    <w:rsid w:val="00976A23"/>
    <w:rsid w:val="009800BC"/>
    <w:rsid w:val="00980A1A"/>
    <w:rsid w:val="009816F6"/>
    <w:rsid w:val="0098702F"/>
    <w:rsid w:val="009900F0"/>
    <w:rsid w:val="00990B9B"/>
    <w:rsid w:val="00991769"/>
    <w:rsid w:val="00993236"/>
    <w:rsid w:val="00993C4B"/>
    <w:rsid w:val="00993D8C"/>
    <w:rsid w:val="00994E3D"/>
    <w:rsid w:val="009A1DC2"/>
    <w:rsid w:val="009A297E"/>
    <w:rsid w:val="009A6127"/>
    <w:rsid w:val="009B0BEC"/>
    <w:rsid w:val="009B0CC1"/>
    <w:rsid w:val="009B12B8"/>
    <w:rsid w:val="009B1846"/>
    <w:rsid w:val="009B713C"/>
    <w:rsid w:val="009C0F18"/>
    <w:rsid w:val="009C12C6"/>
    <w:rsid w:val="009C2555"/>
    <w:rsid w:val="009C66B5"/>
    <w:rsid w:val="009C7778"/>
    <w:rsid w:val="009D06AE"/>
    <w:rsid w:val="009D09E2"/>
    <w:rsid w:val="009D1B76"/>
    <w:rsid w:val="009D1E42"/>
    <w:rsid w:val="009D7148"/>
    <w:rsid w:val="009E02FD"/>
    <w:rsid w:val="009E1C4D"/>
    <w:rsid w:val="009E4C74"/>
    <w:rsid w:val="009E4C9D"/>
    <w:rsid w:val="009E62B6"/>
    <w:rsid w:val="009F35DA"/>
    <w:rsid w:val="009F43D0"/>
    <w:rsid w:val="009F5C85"/>
    <w:rsid w:val="009F63FE"/>
    <w:rsid w:val="009F6528"/>
    <w:rsid w:val="009F6599"/>
    <w:rsid w:val="00A00568"/>
    <w:rsid w:val="00A00884"/>
    <w:rsid w:val="00A01EC6"/>
    <w:rsid w:val="00A02F62"/>
    <w:rsid w:val="00A02FA3"/>
    <w:rsid w:val="00A030C3"/>
    <w:rsid w:val="00A04803"/>
    <w:rsid w:val="00A10147"/>
    <w:rsid w:val="00A110F9"/>
    <w:rsid w:val="00A11331"/>
    <w:rsid w:val="00A131E6"/>
    <w:rsid w:val="00A13843"/>
    <w:rsid w:val="00A146A5"/>
    <w:rsid w:val="00A15482"/>
    <w:rsid w:val="00A1632A"/>
    <w:rsid w:val="00A17466"/>
    <w:rsid w:val="00A204B3"/>
    <w:rsid w:val="00A20576"/>
    <w:rsid w:val="00A21593"/>
    <w:rsid w:val="00A221F7"/>
    <w:rsid w:val="00A22C21"/>
    <w:rsid w:val="00A2604E"/>
    <w:rsid w:val="00A302AE"/>
    <w:rsid w:val="00A31CCE"/>
    <w:rsid w:val="00A33C95"/>
    <w:rsid w:val="00A34FF3"/>
    <w:rsid w:val="00A35351"/>
    <w:rsid w:val="00A361C7"/>
    <w:rsid w:val="00A36723"/>
    <w:rsid w:val="00A40AB4"/>
    <w:rsid w:val="00A410FD"/>
    <w:rsid w:val="00A457F1"/>
    <w:rsid w:val="00A46B5E"/>
    <w:rsid w:val="00A46DF5"/>
    <w:rsid w:val="00A47A8F"/>
    <w:rsid w:val="00A5149A"/>
    <w:rsid w:val="00A53650"/>
    <w:rsid w:val="00A53E51"/>
    <w:rsid w:val="00A57183"/>
    <w:rsid w:val="00A57281"/>
    <w:rsid w:val="00A5748D"/>
    <w:rsid w:val="00A6019C"/>
    <w:rsid w:val="00A60693"/>
    <w:rsid w:val="00A6196D"/>
    <w:rsid w:val="00A619C0"/>
    <w:rsid w:val="00A61ADF"/>
    <w:rsid w:val="00A624CB"/>
    <w:rsid w:val="00A62AC0"/>
    <w:rsid w:val="00A708C4"/>
    <w:rsid w:val="00A7140E"/>
    <w:rsid w:val="00A732FD"/>
    <w:rsid w:val="00A76BD2"/>
    <w:rsid w:val="00A810E0"/>
    <w:rsid w:val="00A8267D"/>
    <w:rsid w:val="00A82E14"/>
    <w:rsid w:val="00A8688E"/>
    <w:rsid w:val="00A8722B"/>
    <w:rsid w:val="00A878EA"/>
    <w:rsid w:val="00A901E9"/>
    <w:rsid w:val="00A91424"/>
    <w:rsid w:val="00A917B6"/>
    <w:rsid w:val="00A91831"/>
    <w:rsid w:val="00A91B3B"/>
    <w:rsid w:val="00A925D0"/>
    <w:rsid w:val="00A93B4F"/>
    <w:rsid w:val="00A94F7A"/>
    <w:rsid w:val="00A95D3B"/>
    <w:rsid w:val="00A97341"/>
    <w:rsid w:val="00AA0081"/>
    <w:rsid w:val="00AA4E4D"/>
    <w:rsid w:val="00AA6EB7"/>
    <w:rsid w:val="00AB09ED"/>
    <w:rsid w:val="00AB28C2"/>
    <w:rsid w:val="00AB28DE"/>
    <w:rsid w:val="00AB3AD2"/>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793A"/>
    <w:rsid w:val="00AE0120"/>
    <w:rsid w:val="00AE3038"/>
    <w:rsid w:val="00AE3B0A"/>
    <w:rsid w:val="00AE3D4A"/>
    <w:rsid w:val="00AE5956"/>
    <w:rsid w:val="00AE619F"/>
    <w:rsid w:val="00AE7A88"/>
    <w:rsid w:val="00AE7E30"/>
    <w:rsid w:val="00AF2A56"/>
    <w:rsid w:val="00AF63AB"/>
    <w:rsid w:val="00B01784"/>
    <w:rsid w:val="00B0388B"/>
    <w:rsid w:val="00B03BEE"/>
    <w:rsid w:val="00B0517E"/>
    <w:rsid w:val="00B05B8D"/>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5E01"/>
    <w:rsid w:val="00B47090"/>
    <w:rsid w:val="00B47A91"/>
    <w:rsid w:val="00B51360"/>
    <w:rsid w:val="00B532D1"/>
    <w:rsid w:val="00B53791"/>
    <w:rsid w:val="00B552A1"/>
    <w:rsid w:val="00B61E3E"/>
    <w:rsid w:val="00B61FCC"/>
    <w:rsid w:val="00B67A79"/>
    <w:rsid w:val="00B72D62"/>
    <w:rsid w:val="00B767AF"/>
    <w:rsid w:val="00B80511"/>
    <w:rsid w:val="00B80798"/>
    <w:rsid w:val="00B80876"/>
    <w:rsid w:val="00B82C3C"/>
    <w:rsid w:val="00B82DE6"/>
    <w:rsid w:val="00B831CD"/>
    <w:rsid w:val="00B8391A"/>
    <w:rsid w:val="00B85329"/>
    <w:rsid w:val="00B859AD"/>
    <w:rsid w:val="00B87567"/>
    <w:rsid w:val="00B91B9D"/>
    <w:rsid w:val="00B970B9"/>
    <w:rsid w:val="00BA5257"/>
    <w:rsid w:val="00BA5E20"/>
    <w:rsid w:val="00BA607C"/>
    <w:rsid w:val="00BA6734"/>
    <w:rsid w:val="00BB0749"/>
    <w:rsid w:val="00BB3E2A"/>
    <w:rsid w:val="00BB57C0"/>
    <w:rsid w:val="00BB7121"/>
    <w:rsid w:val="00BC0479"/>
    <w:rsid w:val="00BC1032"/>
    <w:rsid w:val="00BC1651"/>
    <w:rsid w:val="00BC16F5"/>
    <w:rsid w:val="00BC18FF"/>
    <w:rsid w:val="00BC2054"/>
    <w:rsid w:val="00BC287D"/>
    <w:rsid w:val="00BC2A38"/>
    <w:rsid w:val="00BC385F"/>
    <w:rsid w:val="00BC39F7"/>
    <w:rsid w:val="00BC46EB"/>
    <w:rsid w:val="00BC643B"/>
    <w:rsid w:val="00BD0ADD"/>
    <w:rsid w:val="00BD32E5"/>
    <w:rsid w:val="00BD36C4"/>
    <w:rsid w:val="00BD4417"/>
    <w:rsid w:val="00BE1095"/>
    <w:rsid w:val="00BE150A"/>
    <w:rsid w:val="00BE22F5"/>
    <w:rsid w:val="00BE6767"/>
    <w:rsid w:val="00BE6A4B"/>
    <w:rsid w:val="00BE78EC"/>
    <w:rsid w:val="00BF46EE"/>
    <w:rsid w:val="00C01D00"/>
    <w:rsid w:val="00C03730"/>
    <w:rsid w:val="00C0613C"/>
    <w:rsid w:val="00C10D05"/>
    <w:rsid w:val="00C11C20"/>
    <w:rsid w:val="00C13400"/>
    <w:rsid w:val="00C14FBA"/>
    <w:rsid w:val="00C15EA1"/>
    <w:rsid w:val="00C17A8E"/>
    <w:rsid w:val="00C228E4"/>
    <w:rsid w:val="00C22FDE"/>
    <w:rsid w:val="00C24D79"/>
    <w:rsid w:val="00C24F70"/>
    <w:rsid w:val="00C25DC2"/>
    <w:rsid w:val="00C26ED4"/>
    <w:rsid w:val="00C33479"/>
    <w:rsid w:val="00C33648"/>
    <w:rsid w:val="00C40ED2"/>
    <w:rsid w:val="00C4181F"/>
    <w:rsid w:val="00C418A1"/>
    <w:rsid w:val="00C41F10"/>
    <w:rsid w:val="00C432DD"/>
    <w:rsid w:val="00C4423A"/>
    <w:rsid w:val="00C45DAC"/>
    <w:rsid w:val="00C501FE"/>
    <w:rsid w:val="00C5784B"/>
    <w:rsid w:val="00C632DF"/>
    <w:rsid w:val="00C639FF"/>
    <w:rsid w:val="00C6442A"/>
    <w:rsid w:val="00C64D15"/>
    <w:rsid w:val="00C66088"/>
    <w:rsid w:val="00C67C4C"/>
    <w:rsid w:val="00C74B5D"/>
    <w:rsid w:val="00C74F74"/>
    <w:rsid w:val="00C7554B"/>
    <w:rsid w:val="00C80951"/>
    <w:rsid w:val="00C8205E"/>
    <w:rsid w:val="00C82EB5"/>
    <w:rsid w:val="00C87966"/>
    <w:rsid w:val="00C902DE"/>
    <w:rsid w:val="00C916AE"/>
    <w:rsid w:val="00C926E6"/>
    <w:rsid w:val="00C93069"/>
    <w:rsid w:val="00C93AAA"/>
    <w:rsid w:val="00C95FCD"/>
    <w:rsid w:val="00C97188"/>
    <w:rsid w:val="00CA0639"/>
    <w:rsid w:val="00CA11D0"/>
    <w:rsid w:val="00CA2E02"/>
    <w:rsid w:val="00CA583A"/>
    <w:rsid w:val="00CA5EC6"/>
    <w:rsid w:val="00CB5744"/>
    <w:rsid w:val="00CB7022"/>
    <w:rsid w:val="00CB7BC5"/>
    <w:rsid w:val="00CC2138"/>
    <w:rsid w:val="00CC24A6"/>
    <w:rsid w:val="00CC586D"/>
    <w:rsid w:val="00CC6DB0"/>
    <w:rsid w:val="00CC7DBC"/>
    <w:rsid w:val="00CD0EF8"/>
    <w:rsid w:val="00CD1BA3"/>
    <w:rsid w:val="00CD1D23"/>
    <w:rsid w:val="00CD3612"/>
    <w:rsid w:val="00CD3E69"/>
    <w:rsid w:val="00CD6B7D"/>
    <w:rsid w:val="00CD7D29"/>
    <w:rsid w:val="00CE0847"/>
    <w:rsid w:val="00CE0B6C"/>
    <w:rsid w:val="00CE0E29"/>
    <w:rsid w:val="00CE11D0"/>
    <w:rsid w:val="00CE3AC0"/>
    <w:rsid w:val="00CE4708"/>
    <w:rsid w:val="00CE4C50"/>
    <w:rsid w:val="00CE52B9"/>
    <w:rsid w:val="00CE6858"/>
    <w:rsid w:val="00CE7450"/>
    <w:rsid w:val="00CE770C"/>
    <w:rsid w:val="00CF50BE"/>
    <w:rsid w:val="00CF7625"/>
    <w:rsid w:val="00D0506A"/>
    <w:rsid w:val="00D1289C"/>
    <w:rsid w:val="00D12F5A"/>
    <w:rsid w:val="00D1666F"/>
    <w:rsid w:val="00D2071A"/>
    <w:rsid w:val="00D254EB"/>
    <w:rsid w:val="00D30F73"/>
    <w:rsid w:val="00D30F97"/>
    <w:rsid w:val="00D313A0"/>
    <w:rsid w:val="00D36FE0"/>
    <w:rsid w:val="00D40799"/>
    <w:rsid w:val="00D41A06"/>
    <w:rsid w:val="00D42ABF"/>
    <w:rsid w:val="00D42F40"/>
    <w:rsid w:val="00D45B67"/>
    <w:rsid w:val="00D46E11"/>
    <w:rsid w:val="00D5034A"/>
    <w:rsid w:val="00D51313"/>
    <w:rsid w:val="00D51F49"/>
    <w:rsid w:val="00D55EE8"/>
    <w:rsid w:val="00D562C8"/>
    <w:rsid w:val="00D562CB"/>
    <w:rsid w:val="00D569D1"/>
    <w:rsid w:val="00D56AD8"/>
    <w:rsid w:val="00D56C05"/>
    <w:rsid w:val="00D5785A"/>
    <w:rsid w:val="00D6375F"/>
    <w:rsid w:val="00D64C48"/>
    <w:rsid w:val="00D6680B"/>
    <w:rsid w:val="00D71465"/>
    <w:rsid w:val="00D72F4F"/>
    <w:rsid w:val="00D731C4"/>
    <w:rsid w:val="00D74EB4"/>
    <w:rsid w:val="00D801FC"/>
    <w:rsid w:val="00D83AAB"/>
    <w:rsid w:val="00D85BE0"/>
    <w:rsid w:val="00D8684A"/>
    <w:rsid w:val="00D86ED1"/>
    <w:rsid w:val="00D87FD7"/>
    <w:rsid w:val="00D91466"/>
    <w:rsid w:val="00D915ED"/>
    <w:rsid w:val="00D92300"/>
    <w:rsid w:val="00D94AFC"/>
    <w:rsid w:val="00D950E6"/>
    <w:rsid w:val="00D95F6D"/>
    <w:rsid w:val="00D97047"/>
    <w:rsid w:val="00DA2C1D"/>
    <w:rsid w:val="00DA3619"/>
    <w:rsid w:val="00DA5AEA"/>
    <w:rsid w:val="00DB0B88"/>
    <w:rsid w:val="00DB1652"/>
    <w:rsid w:val="00DB26E8"/>
    <w:rsid w:val="00DB58A6"/>
    <w:rsid w:val="00DB5A67"/>
    <w:rsid w:val="00DB6B99"/>
    <w:rsid w:val="00DC001A"/>
    <w:rsid w:val="00DC122C"/>
    <w:rsid w:val="00DD4F44"/>
    <w:rsid w:val="00DD6322"/>
    <w:rsid w:val="00DD686C"/>
    <w:rsid w:val="00DE14E4"/>
    <w:rsid w:val="00DE22C1"/>
    <w:rsid w:val="00DE2AC3"/>
    <w:rsid w:val="00DE2E40"/>
    <w:rsid w:val="00DE3598"/>
    <w:rsid w:val="00DE3FBD"/>
    <w:rsid w:val="00DE43F5"/>
    <w:rsid w:val="00DE4DFC"/>
    <w:rsid w:val="00DE65FB"/>
    <w:rsid w:val="00DF00BB"/>
    <w:rsid w:val="00DF420A"/>
    <w:rsid w:val="00DF449D"/>
    <w:rsid w:val="00E02472"/>
    <w:rsid w:val="00E041F0"/>
    <w:rsid w:val="00E06A1A"/>
    <w:rsid w:val="00E1149F"/>
    <w:rsid w:val="00E128D8"/>
    <w:rsid w:val="00E130C3"/>
    <w:rsid w:val="00E17EDF"/>
    <w:rsid w:val="00E2082D"/>
    <w:rsid w:val="00E221E2"/>
    <w:rsid w:val="00E24303"/>
    <w:rsid w:val="00E265BC"/>
    <w:rsid w:val="00E27A16"/>
    <w:rsid w:val="00E369AC"/>
    <w:rsid w:val="00E37718"/>
    <w:rsid w:val="00E40F7B"/>
    <w:rsid w:val="00E4360E"/>
    <w:rsid w:val="00E46D60"/>
    <w:rsid w:val="00E47C33"/>
    <w:rsid w:val="00E47F58"/>
    <w:rsid w:val="00E54BFC"/>
    <w:rsid w:val="00E56D9D"/>
    <w:rsid w:val="00E60B54"/>
    <w:rsid w:val="00E60E2E"/>
    <w:rsid w:val="00E71A2D"/>
    <w:rsid w:val="00E74A73"/>
    <w:rsid w:val="00E75E8F"/>
    <w:rsid w:val="00E764BB"/>
    <w:rsid w:val="00E81C4D"/>
    <w:rsid w:val="00E823C1"/>
    <w:rsid w:val="00E82DB7"/>
    <w:rsid w:val="00E8579C"/>
    <w:rsid w:val="00E865FE"/>
    <w:rsid w:val="00E91408"/>
    <w:rsid w:val="00E91759"/>
    <w:rsid w:val="00E92ABA"/>
    <w:rsid w:val="00E95999"/>
    <w:rsid w:val="00E9641B"/>
    <w:rsid w:val="00E9654B"/>
    <w:rsid w:val="00EA18DB"/>
    <w:rsid w:val="00EA2FBA"/>
    <w:rsid w:val="00EA3980"/>
    <w:rsid w:val="00EA4DC5"/>
    <w:rsid w:val="00EA66DF"/>
    <w:rsid w:val="00EA6ADC"/>
    <w:rsid w:val="00EB13A7"/>
    <w:rsid w:val="00EB14DF"/>
    <w:rsid w:val="00EB1A4D"/>
    <w:rsid w:val="00EB2BAF"/>
    <w:rsid w:val="00EB3530"/>
    <w:rsid w:val="00EB3A07"/>
    <w:rsid w:val="00EB3FCD"/>
    <w:rsid w:val="00EB5539"/>
    <w:rsid w:val="00EB75FE"/>
    <w:rsid w:val="00EC3F31"/>
    <w:rsid w:val="00EC52E7"/>
    <w:rsid w:val="00ED33C0"/>
    <w:rsid w:val="00ED3698"/>
    <w:rsid w:val="00ED4794"/>
    <w:rsid w:val="00EE0B79"/>
    <w:rsid w:val="00EE265C"/>
    <w:rsid w:val="00EE3A74"/>
    <w:rsid w:val="00EE5C63"/>
    <w:rsid w:val="00EE6140"/>
    <w:rsid w:val="00EF0A16"/>
    <w:rsid w:val="00EF4817"/>
    <w:rsid w:val="00F0095C"/>
    <w:rsid w:val="00F01129"/>
    <w:rsid w:val="00F01CCA"/>
    <w:rsid w:val="00F01F2C"/>
    <w:rsid w:val="00F02104"/>
    <w:rsid w:val="00F04455"/>
    <w:rsid w:val="00F06C17"/>
    <w:rsid w:val="00F144F4"/>
    <w:rsid w:val="00F1632B"/>
    <w:rsid w:val="00F25414"/>
    <w:rsid w:val="00F32B5E"/>
    <w:rsid w:val="00F334CB"/>
    <w:rsid w:val="00F3495A"/>
    <w:rsid w:val="00F34E2C"/>
    <w:rsid w:val="00F36E86"/>
    <w:rsid w:val="00F370BC"/>
    <w:rsid w:val="00F37143"/>
    <w:rsid w:val="00F3734C"/>
    <w:rsid w:val="00F37459"/>
    <w:rsid w:val="00F402C7"/>
    <w:rsid w:val="00F42603"/>
    <w:rsid w:val="00F4483D"/>
    <w:rsid w:val="00F50562"/>
    <w:rsid w:val="00F50A92"/>
    <w:rsid w:val="00F50D01"/>
    <w:rsid w:val="00F53150"/>
    <w:rsid w:val="00F56BC1"/>
    <w:rsid w:val="00F618C4"/>
    <w:rsid w:val="00F63AD5"/>
    <w:rsid w:val="00F656EA"/>
    <w:rsid w:val="00F65774"/>
    <w:rsid w:val="00F65A34"/>
    <w:rsid w:val="00F65F4C"/>
    <w:rsid w:val="00F669B3"/>
    <w:rsid w:val="00F71A60"/>
    <w:rsid w:val="00F725DA"/>
    <w:rsid w:val="00F7536E"/>
    <w:rsid w:val="00F75652"/>
    <w:rsid w:val="00F75C6D"/>
    <w:rsid w:val="00F77A8E"/>
    <w:rsid w:val="00F8168B"/>
    <w:rsid w:val="00F81CF2"/>
    <w:rsid w:val="00F81DF2"/>
    <w:rsid w:val="00F81F93"/>
    <w:rsid w:val="00F857D1"/>
    <w:rsid w:val="00F868DF"/>
    <w:rsid w:val="00F91DCC"/>
    <w:rsid w:val="00F928DF"/>
    <w:rsid w:val="00F9323F"/>
    <w:rsid w:val="00F943FE"/>
    <w:rsid w:val="00F95814"/>
    <w:rsid w:val="00F95CE9"/>
    <w:rsid w:val="00F97100"/>
    <w:rsid w:val="00FA01D9"/>
    <w:rsid w:val="00FB0401"/>
    <w:rsid w:val="00FB2F25"/>
    <w:rsid w:val="00FC1DFB"/>
    <w:rsid w:val="00FC1EF2"/>
    <w:rsid w:val="00FC2E63"/>
    <w:rsid w:val="00FC3292"/>
    <w:rsid w:val="00FC3343"/>
    <w:rsid w:val="00FC33BA"/>
    <w:rsid w:val="00FC35AB"/>
    <w:rsid w:val="00FC519E"/>
    <w:rsid w:val="00FC6134"/>
    <w:rsid w:val="00FC654D"/>
    <w:rsid w:val="00FC66FE"/>
    <w:rsid w:val="00FC773D"/>
    <w:rsid w:val="00FD0555"/>
    <w:rsid w:val="00FD0C07"/>
    <w:rsid w:val="00FD3CBF"/>
    <w:rsid w:val="00FD49D3"/>
    <w:rsid w:val="00FD5961"/>
    <w:rsid w:val="00FE3EFA"/>
    <w:rsid w:val="00FE5C56"/>
    <w:rsid w:val="00FE5E20"/>
    <w:rsid w:val="00FE7AAC"/>
    <w:rsid w:val="00FE7B06"/>
    <w:rsid w:val="00FE7E98"/>
    <w:rsid w:val="00FF06BC"/>
    <w:rsid w:val="00FF20AC"/>
    <w:rsid w:val="00FF3801"/>
    <w:rsid w:val="00FF3A27"/>
    <w:rsid w:val="00FF3B27"/>
    <w:rsid w:val="00FF524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FDE14"/>
  <w15:docId w15:val="{C8C5BC6B-8B1C-4D88-AB4A-5484031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2F25"/>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9F6599"/>
    <w:pPr>
      <w:keepNext/>
      <w:keepLines/>
      <w:numPr>
        <w:numId w:val="19"/>
      </w:numPr>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94680A"/>
    <w:pPr>
      <w:keepNext/>
      <w:keepLines/>
      <w:numPr>
        <w:ilvl w:val="1"/>
        <w:numId w:val="19"/>
      </w:numPr>
      <w:spacing w:before="360"/>
      <w:ind w:left="576"/>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autoRedefine/>
    <w:uiPriority w:val="34"/>
    <w:qFormat/>
    <w:rsid w:val="00D12F5A"/>
    <w:pPr>
      <w:spacing w:before="60" w:after="60" w:line="240" w:lineRule="auto"/>
    </w:pPr>
  </w:style>
  <w:style w:type="character" w:customStyle="1" w:styleId="Heading2Char">
    <w:name w:val="Heading 2 Char"/>
    <w:basedOn w:val="DefaultParagraphFont"/>
    <w:link w:val="Heading2"/>
    <w:uiPriority w:val="2"/>
    <w:rsid w:val="0094680A"/>
    <w:rPr>
      <w:rFonts w:asciiTheme="majorHAnsi" w:hAnsiTheme="majorHAnsi"/>
      <w:b/>
      <w:sz w:val="28"/>
      <w:szCs w:val="44"/>
    </w:rPr>
  </w:style>
  <w:style w:type="paragraph" w:styleId="TOC1">
    <w:name w:val="toc 1"/>
    <w:basedOn w:val="Normal"/>
    <w:next w:val="Normal"/>
    <w:autoRedefine/>
    <w:uiPriority w:val="39"/>
    <w:qFormat/>
    <w:rsid w:val="005C5480"/>
    <w:pPr>
      <w:tabs>
        <w:tab w:val="left" w:pos="440"/>
        <w:tab w:val="right" w:leader="dot" w:pos="7643"/>
      </w:tabs>
      <w:spacing w:before="60" w:after="60" w:line="240" w:lineRule="auto"/>
      <w:ind w:right="567"/>
    </w:pPr>
    <w:rPr>
      <w:b/>
      <w:noProof/>
    </w:rPr>
  </w:style>
  <w:style w:type="paragraph" w:styleId="TOC2">
    <w:name w:val="toc 2"/>
    <w:basedOn w:val="Normal"/>
    <w:next w:val="Normal"/>
    <w:autoRedefine/>
    <w:uiPriority w:val="39"/>
    <w:qFormat/>
    <w:rsid w:val="0082150F"/>
    <w:pPr>
      <w:tabs>
        <w:tab w:val="left" w:pos="660"/>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993C4B"/>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5E5EB3"/>
    <w:pPr>
      <w:keepNext/>
      <w:keepLines/>
      <w:spacing w:before="360"/>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qFormat/>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744F72"/>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D254EB"/>
    <w:rPr>
      <w:iCs/>
      <w:color w:val="000000" w:themeColor="text1"/>
    </w:rPr>
  </w:style>
  <w:style w:type="character" w:customStyle="1" w:styleId="QuoteChar">
    <w:name w:val="Quote Char"/>
    <w:basedOn w:val="DefaultParagraphFont"/>
    <w:link w:val="Quote"/>
    <w:uiPriority w:val="29"/>
    <w:rsid w:val="00D254EB"/>
    <w:rPr>
      <w:rFonts w:ascii="Arial" w:hAnsi="Arial"/>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nhideWhenUsed/>
    <w:qFormat/>
    <w:rsid w:val="009353B8"/>
    <w:pPr>
      <w:spacing w:before="200" w:line="240" w:lineRule="auto"/>
      <w:ind w:left="-142"/>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D12F5A"/>
    <w:pPr>
      <w:spacing w:line="240" w:lineRule="auto"/>
    </w:pPr>
    <w:rPr>
      <w:sz w:val="20"/>
      <w:szCs w:val="20"/>
    </w:rPr>
  </w:style>
  <w:style w:type="character" w:customStyle="1" w:styleId="CommentTextChar">
    <w:name w:val="Comment Text Char"/>
    <w:basedOn w:val="DefaultParagraphFont"/>
    <w:link w:val="CommentText"/>
    <w:rsid w:val="00A46B5E"/>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Emphasis"/>
    <w:uiPriority w:val="99"/>
    <w:unhideWhenUsed/>
    <w:rsid w:val="00F4483D"/>
    <w:rPr>
      <w:rFonts w:eastAsiaTheme="majorEastAsia"/>
      <w:i w:val="0"/>
      <w:iCs/>
      <w:u w:val="single"/>
      <w:lang w:val="en"/>
    </w:rPr>
  </w:style>
  <w:style w:type="table" w:styleId="LightList-Accent2">
    <w:name w:val="Light List Accent 2"/>
    <w:basedOn w:val="TableNormal"/>
    <w:uiPriority w:val="61"/>
    <w:rsid w:val="0032792C"/>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tblBorders>
    </w:tblPr>
    <w:tblStylePr w:type="firstRow">
      <w:pPr>
        <w:spacing w:before="0" w:after="0" w:line="240" w:lineRule="auto"/>
      </w:pPr>
      <w:rPr>
        <w:b/>
        <w:bCs/>
        <w:color w:val="FFFFFF" w:themeColor="background1"/>
      </w:rPr>
      <w:tblPr/>
      <w:tcPr>
        <w:shd w:val="clear" w:color="auto" w:fill="008542" w:themeFill="accent2"/>
      </w:tcPr>
    </w:tblStylePr>
    <w:tblStylePr w:type="lastRow">
      <w:pPr>
        <w:spacing w:before="0" w:after="0" w:line="240" w:lineRule="auto"/>
      </w:pPr>
      <w:rPr>
        <w:b/>
        <w:bCs/>
      </w:rPr>
      <w:tblPr/>
      <w:tcPr>
        <w:tcBorders>
          <w:top w:val="double" w:sz="6" w:space="0" w:color="008542" w:themeColor="accent2"/>
          <w:left w:val="single" w:sz="8" w:space="0" w:color="008542" w:themeColor="accent2"/>
          <w:bottom w:val="single" w:sz="8" w:space="0" w:color="008542" w:themeColor="accent2"/>
          <w:right w:val="single" w:sz="8" w:space="0" w:color="008542" w:themeColor="accent2"/>
        </w:tcBorders>
      </w:tcPr>
    </w:tblStylePr>
    <w:tblStylePr w:type="firstCol">
      <w:rPr>
        <w:b/>
        <w:bCs/>
      </w:rPr>
    </w:tblStylePr>
    <w:tblStylePr w:type="lastCol">
      <w:rPr>
        <w:b/>
        <w:bCs/>
      </w:rPr>
    </w:tblStylePr>
    <w:tblStylePr w:type="band1Vert">
      <w:tblPr/>
      <w:tcPr>
        <w:tcBorders>
          <w:top w:val="single" w:sz="8" w:space="0" w:color="008542" w:themeColor="accent2"/>
          <w:left w:val="single" w:sz="8" w:space="0" w:color="008542" w:themeColor="accent2"/>
          <w:bottom w:val="single" w:sz="8" w:space="0" w:color="008542" w:themeColor="accent2"/>
          <w:right w:val="single" w:sz="8" w:space="0" w:color="008542" w:themeColor="accent2"/>
        </w:tcBorders>
      </w:tcPr>
    </w:tblStylePr>
    <w:tblStylePr w:type="band1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tcBorders>
      </w:tcPr>
    </w:tblStylePr>
  </w:style>
  <w:style w:type="paragraph" w:styleId="Revision">
    <w:name w:val="Revision"/>
    <w:hidden/>
    <w:uiPriority w:val="99"/>
    <w:semiHidden/>
    <w:rsid w:val="00890EFC"/>
    <w:rPr>
      <w:rFonts w:ascii="Arial" w:hAnsi="Arial"/>
      <w:sz w:val="22"/>
      <w:szCs w:val="24"/>
    </w:rPr>
  </w:style>
  <w:style w:type="character" w:customStyle="1" w:styleId="ListParagraphChar">
    <w:name w:val="List Paragraph Char"/>
    <w:link w:val="ListParagraph"/>
    <w:uiPriority w:val="34"/>
    <w:locked/>
    <w:rsid w:val="0027431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ihpa.gov.au/publications/data-quality-assurance-framework-20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hpa.gov.au/publications/three-year-data-plan-2018-19-2020-2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au/Series/C2011A00009" TargetMode="External"/><Relationship Id="rId23" Type="http://schemas.openxmlformats.org/officeDocument/2006/relationships/header" Target="header4.xml"/><Relationship Id="rId10" Type="http://schemas.openxmlformats.org/officeDocument/2006/relationships/hyperlink" Target="http://creativecommons.org/licenses/by/3.0/au/deed.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ederalfinancialrelations.gov.au/content/npa/health/_archive/national-agreement.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8CC7-9019-4956-B626-C3F06E36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7</TotalTime>
  <Pages>14</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Data Compliance Policy - November 2018</vt:lpstr>
    </vt:vector>
  </TitlesOfParts>
  <Company>Independent Hospital Pricing Authority</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Compliance Policy - November 2018</dc:title>
  <dc:creator>Greenhalgh Thomas</dc:creator>
  <cp:lastModifiedBy>DAYLIGHT, Chereta</cp:lastModifiedBy>
  <cp:revision>4</cp:revision>
  <cp:lastPrinted>2020-03-10T05:30:00Z</cp:lastPrinted>
  <dcterms:created xsi:type="dcterms:W3CDTF">2022-05-20T00:22:00Z</dcterms:created>
  <dcterms:modified xsi:type="dcterms:W3CDTF">2022-05-20T00:33:00Z</dcterms:modified>
</cp:coreProperties>
</file>