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EBC3" w14:textId="6E44261B" w:rsidR="00707A91" w:rsidRDefault="00707A91" w:rsidP="00AD22E1">
      <w:pPr>
        <w:spacing w:after="1320"/>
      </w:pPr>
      <w:r>
        <w:rPr>
          <w:noProof/>
        </w:rPr>
        <w:drawing>
          <wp:inline distT="0" distB="0" distL="0" distR="0" wp14:anchorId="7E5C6FDC" wp14:editId="2A5DD90C">
            <wp:extent cx="1791651" cy="1122098"/>
            <wp:effectExtent l="0" t="0" r="0" b="190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bwMode="auto">
                    <a:xfrm>
                      <a:off x="0" y="0"/>
                      <a:ext cx="1791651" cy="1122098"/>
                    </a:xfrm>
                    <a:prstGeom prst="rect">
                      <a:avLst/>
                    </a:prstGeom>
                  </pic:spPr>
                </pic:pic>
              </a:graphicData>
            </a:graphic>
          </wp:inline>
        </w:drawing>
      </w:r>
    </w:p>
    <w:p w14:paraId="4F3E24A4" w14:textId="77777777" w:rsidR="00EC64A0" w:rsidRDefault="000E76C9" w:rsidP="00A5626C">
      <w:pPr>
        <w:pStyle w:val="CoverTitle"/>
        <w:rPr>
          <w:sz w:val="88"/>
          <w:szCs w:val="88"/>
        </w:rPr>
      </w:pPr>
      <w:r w:rsidRPr="00EC64A0">
        <w:rPr>
          <w:sz w:val="88"/>
          <w:szCs w:val="88"/>
        </w:rPr>
        <w:t>Australian Refined Diagnosis Related Groups Version 11.0</w:t>
      </w:r>
    </w:p>
    <w:p w14:paraId="6F14C714" w14:textId="77777777" w:rsidR="00EC64A0" w:rsidRPr="00CB47BB" w:rsidRDefault="00EC64A0" w:rsidP="00A5626C">
      <w:pPr>
        <w:pStyle w:val="CoverTitle"/>
        <w:rPr>
          <w:sz w:val="72"/>
          <w:szCs w:val="72"/>
        </w:rPr>
      </w:pPr>
    </w:p>
    <w:p w14:paraId="3126E457" w14:textId="7CE81905" w:rsidR="00707A91" w:rsidRPr="00EC64A0" w:rsidRDefault="000E76C9" w:rsidP="00A5626C">
      <w:pPr>
        <w:pStyle w:val="CoverTitle"/>
        <w:rPr>
          <w:color w:val="54C1AF" w:themeColor="accent5"/>
          <w:sz w:val="48"/>
          <w:szCs w:val="48"/>
        </w:rPr>
      </w:pPr>
      <w:r w:rsidRPr="00EC64A0">
        <w:rPr>
          <w:color w:val="54C1AF" w:themeColor="accent5"/>
          <w:sz w:val="48"/>
          <w:szCs w:val="48"/>
        </w:rPr>
        <w:t>Technical Specifications</w:t>
      </w:r>
    </w:p>
    <w:p w14:paraId="7BEA9FCA" w14:textId="77777777" w:rsidR="00EC64A0" w:rsidRPr="00CB47BB" w:rsidRDefault="00EC64A0" w:rsidP="00A5626C">
      <w:pPr>
        <w:pStyle w:val="Coversubtitle"/>
        <w:rPr>
          <w:color w:val="FFFFFF" w:themeColor="background2"/>
          <w:sz w:val="40"/>
          <w:szCs w:val="40"/>
        </w:rPr>
      </w:pPr>
    </w:p>
    <w:p w14:paraId="0B2323B0" w14:textId="77777777" w:rsidR="00EC64A0" w:rsidRPr="00CB47BB" w:rsidRDefault="00EC64A0" w:rsidP="00A5626C">
      <w:pPr>
        <w:pStyle w:val="Coversubtitle"/>
        <w:rPr>
          <w:color w:val="FFFFFF" w:themeColor="background2"/>
          <w:sz w:val="40"/>
          <w:szCs w:val="40"/>
        </w:rPr>
      </w:pPr>
    </w:p>
    <w:p w14:paraId="13FAFA40" w14:textId="77777777" w:rsidR="00EC64A0" w:rsidRPr="00CB47BB" w:rsidRDefault="00EC64A0" w:rsidP="00A5626C">
      <w:pPr>
        <w:pStyle w:val="Coversubtitle"/>
        <w:rPr>
          <w:color w:val="FFFFFF" w:themeColor="background2"/>
          <w:sz w:val="40"/>
          <w:szCs w:val="40"/>
        </w:rPr>
      </w:pPr>
    </w:p>
    <w:p w14:paraId="40A1AB78" w14:textId="77777777" w:rsidR="00EC64A0" w:rsidRPr="00CB47BB" w:rsidRDefault="00EC64A0" w:rsidP="00A5626C">
      <w:pPr>
        <w:pStyle w:val="Coversubtitle"/>
        <w:rPr>
          <w:color w:val="FFFFFF" w:themeColor="background2"/>
          <w:sz w:val="40"/>
          <w:szCs w:val="40"/>
        </w:rPr>
      </w:pPr>
    </w:p>
    <w:p w14:paraId="4341AD5D" w14:textId="49A4B402" w:rsidR="00EC64A0" w:rsidRPr="00CB47BB" w:rsidRDefault="00EC64A0" w:rsidP="00A5626C">
      <w:pPr>
        <w:pStyle w:val="Coversubtitle"/>
        <w:rPr>
          <w:color w:val="FFFFFF" w:themeColor="background2"/>
          <w:sz w:val="40"/>
          <w:szCs w:val="40"/>
        </w:rPr>
      </w:pPr>
    </w:p>
    <w:p w14:paraId="4E9A87CB" w14:textId="19585323" w:rsidR="00EC64A0" w:rsidRPr="00CB47BB" w:rsidRDefault="00EC64A0" w:rsidP="00A5626C">
      <w:pPr>
        <w:pStyle w:val="Coversubtitle"/>
        <w:rPr>
          <w:color w:val="FFFFFF" w:themeColor="background2"/>
          <w:sz w:val="40"/>
          <w:szCs w:val="40"/>
        </w:rPr>
      </w:pPr>
    </w:p>
    <w:p w14:paraId="6C7A17C4" w14:textId="77777777" w:rsidR="00EC64A0" w:rsidRPr="00CB47BB" w:rsidRDefault="00EC64A0" w:rsidP="00A5626C">
      <w:pPr>
        <w:pStyle w:val="Coversubtitle"/>
        <w:rPr>
          <w:color w:val="FFFFFF" w:themeColor="background2"/>
          <w:sz w:val="40"/>
          <w:szCs w:val="40"/>
        </w:rPr>
      </w:pPr>
    </w:p>
    <w:p w14:paraId="78FD657D" w14:textId="77777777" w:rsidR="00EC64A0" w:rsidRPr="00CB47BB" w:rsidRDefault="00EC64A0" w:rsidP="00A5626C">
      <w:pPr>
        <w:pStyle w:val="Coversubtitle"/>
        <w:rPr>
          <w:color w:val="FFFFFF" w:themeColor="background2"/>
          <w:sz w:val="40"/>
          <w:szCs w:val="40"/>
        </w:rPr>
      </w:pPr>
    </w:p>
    <w:p w14:paraId="17DEA133" w14:textId="77777777" w:rsidR="00EC64A0" w:rsidRPr="00CB47BB" w:rsidRDefault="00EC64A0" w:rsidP="00A5626C">
      <w:pPr>
        <w:pStyle w:val="Coversubtitle"/>
        <w:rPr>
          <w:color w:val="FFFFFF" w:themeColor="background2"/>
          <w:sz w:val="40"/>
          <w:szCs w:val="40"/>
        </w:rPr>
      </w:pPr>
    </w:p>
    <w:p w14:paraId="3C861B9A" w14:textId="2C2B656C" w:rsidR="00A5626C" w:rsidRPr="00CB47BB" w:rsidRDefault="00D92F36" w:rsidP="00A5626C">
      <w:pPr>
        <w:pStyle w:val="Coversubtitle"/>
        <w:rPr>
          <w:color w:val="FFFFFF" w:themeColor="background2"/>
          <w:sz w:val="40"/>
          <w:szCs w:val="40"/>
        </w:rPr>
      </w:pPr>
      <w:r w:rsidRPr="00CB47BB">
        <w:rPr>
          <w:color w:val="FFFFFF" w:themeColor="background2"/>
          <w:sz w:val="40"/>
          <w:szCs w:val="40"/>
        </w:rPr>
        <w:t>January 2023</w:t>
      </w:r>
    </w:p>
    <w:p w14:paraId="5867E2AE" w14:textId="77777777" w:rsidR="00493FE8" w:rsidRPr="00536234" w:rsidRDefault="00493FE8" w:rsidP="00257DF2">
      <w:pPr>
        <w:spacing w:after="1320"/>
        <w:rPr>
          <w:sz w:val="40"/>
          <w:szCs w:val="40"/>
        </w:rPr>
        <w:sectPr w:rsidR="00493FE8" w:rsidRPr="00536234" w:rsidSect="00E426C6">
          <w:headerReference w:type="default" r:id="rId13"/>
          <w:type w:val="continuous"/>
          <w:pgSz w:w="11906" w:h="16838" w:code="9"/>
          <w:pgMar w:top="1440" w:right="1080" w:bottom="1440" w:left="1080" w:header="708" w:footer="708" w:gutter="0"/>
          <w:cols w:space="720"/>
          <w:docGrid w:linePitch="360"/>
        </w:sectPr>
      </w:pPr>
    </w:p>
    <w:p w14:paraId="20BF2D79" w14:textId="12DC49BD" w:rsidR="00276510" w:rsidRPr="007372C2" w:rsidRDefault="000E76C9" w:rsidP="00BA1762">
      <w:pPr>
        <w:pStyle w:val="Copyrightheading"/>
        <w:numPr>
          <w:ilvl w:val="0"/>
          <w:numId w:val="0"/>
        </w:numPr>
      </w:pPr>
      <w:r>
        <w:lastRenderedPageBreak/>
        <w:t xml:space="preserve">Australian Refined Diagnosis Related Groups Version 11.0 </w:t>
      </w:r>
      <w:r w:rsidR="00EC64A0" w:rsidRPr="007372C2">
        <w:rPr>
          <w:rFonts w:hint="cs"/>
        </w:rPr>
        <w:t>—</w:t>
      </w:r>
      <w:r w:rsidR="00EC64A0">
        <w:t xml:space="preserve"> </w:t>
      </w:r>
      <w:r>
        <w:t>Technical Specifications</w:t>
      </w:r>
      <w:r w:rsidR="00276510" w:rsidRPr="007372C2">
        <w:t xml:space="preserve"> </w:t>
      </w:r>
      <w:r w:rsidR="00D92F36" w:rsidRPr="00D92F36">
        <w:t>January 2023</w:t>
      </w:r>
    </w:p>
    <w:p w14:paraId="046F2F34" w14:textId="77777777" w:rsidR="00FC6567" w:rsidRPr="001904BF" w:rsidRDefault="00FC6567" w:rsidP="00FC6567">
      <w:pPr>
        <w:pStyle w:val="Copyrightcopy"/>
        <w:rPr>
          <w:szCs w:val="18"/>
        </w:rPr>
      </w:pPr>
      <w:r>
        <w:rPr>
          <w:szCs w:val="18"/>
        </w:rPr>
        <w:t>Version</w:t>
      </w:r>
      <w:r w:rsidRPr="001904BF">
        <w:rPr>
          <w:szCs w:val="18"/>
        </w:rPr>
        <w:t xml:space="preserve"> History:</w:t>
      </w:r>
    </w:p>
    <w:p w14:paraId="387284B4" w14:textId="78238E3B" w:rsidR="00FC6567" w:rsidRDefault="00FC6567" w:rsidP="00FC6567">
      <w:pPr>
        <w:pStyle w:val="ListParagraph"/>
        <w:numPr>
          <w:ilvl w:val="0"/>
          <w:numId w:val="25"/>
        </w:numPr>
        <w:rPr>
          <w:sz w:val="18"/>
          <w:szCs w:val="18"/>
        </w:rPr>
      </w:pPr>
      <w:r>
        <w:rPr>
          <w:sz w:val="18"/>
          <w:szCs w:val="18"/>
        </w:rPr>
        <w:t>January 2023</w:t>
      </w:r>
      <w:r w:rsidR="002F0F52">
        <w:rPr>
          <w:sz w:val="18"/>
          <w:szCs w:val="18"/>
        </w:rPr>
        <w:t>:</w:t>
      </w:r>
      <w:r>
        <w:rPr>
          <w:sz w:val="18"/>
          <w:szCs w:val="18"/>
        </w:rPr>
        <w:t xml:space="preserve"> Amendments to the Technical Specifications to incorporate updates due to remediation of </w:t>
      </w:r>
      <w:r w:rsidR="00F70498">
        <w:rPr>
          <w:sz w:val="18"/>
          <w:szCs w:val="18"/>
        </w:rPr>
        <w:t xml:space="preserve">        </w:t>
      </w:r>
      <w:r>
        <w:rPr>
          <w:sz w:val="18"/>
          <w:szCs w:val="18"/>
        </w:rPr>
        <w:t>AR-DRG Version 11.0 data preparation anomaly.</w:t>
      </w:r>
    </w:p>
    <w:p w14:paraId="1C59CAAE" w14:textId="071462DA" w:rsidR="00FC6567" w:rsidRPr="001904BF" w:rsidRDefault="00FC6567" w:rsidP="00FC6567">
      <w:pPr>
        <w:pStyle w:val="ListParagraph"/>
        <w:numPr>
          <w:ilvl w:val="0"/>
          <w:numId w:val="25"/>
        </w:numPr>
        <w:rPr>
          <w:sz w:val="18"/>
          <w:szCs w:val="18"/>
        </w:rPr>
      </w:pPr>
      <w:r>
        <w:rPr>
          <w:sz w:val="18"/>
          <w:szCs w:val="18"/>
        </w:rPr>
        <w:t>February 2022</w:t>
      </w:r>
      <w:r w:rsidR="002F0F52">
        <w:rPr>
          <w:sz w:val="18"/>
          <w:szCs w:val="18"/>
        </w:rPr>
        <w:t>:</w:t>
      </w:r>
      <w:r>
        <w:rPr>
          <w:sz w:val="18"/>
          <w:szCs w:val="18"/>
        </w:rPr>
        <w:t xml:space="preserve"> Publication of the Technical Specifications.  </w:t>
      </w:r>
    </w:p>
    <w:p w14:paraId="61404F53" w14:textId="2AE63701" w:rsidR="00276510" w:rsidRPr="007372C2" w:rsidRDefault="00276510" w:rsidP="00276510">
      <w:pPr>
        <w:pStyle w:val="Copyrightcopy"/>
      </w:pPr>
      <w:r w:rsidRPr="007372C2">
        <w:rPr>
          <w:rFonts w:hint="cs"/>
        </w:rPr>
        <w:t>©</w:t>
      </w:r>
      <w:r w:rsidRPr="007372C2">
        <w:t xml:space="preserve"> Independent Health and Aged Care Pricing Authority </w:t>
      </w:r>
      <w:r w:rsidR="003967C9">
        <w:t>2023</w:t>
      </w:r>
    </w:p>
    <w:p w14:paraId="7B301138" w14:textId="77777777" w:rsidR="00276510" w:rsidRPr="007372C2" w:rsidRDefault="00276510" w:rsidP="00276510">
      <w:pPr>
        <w:pStyle w:val="Copyrightcopy"/>
      </w:pPr>
      <w:r w:rsidRPr="007372C2">
        <w:t xml:space="preserve">This publication is available for your use under a Creative Commons BY Attribution 3.0 Australia </w:t>
      </w:r>
      <w:proofErr w:type="spellStart"/>
      <w:r w:rsidRPr="007372C2">
        <w:t>licence</w:t>
      </w:r>
      <w:proofErr w:type="spellEnd"/>
      <w:r w:rsidRPr="007372C2">
        <w:t xml:space="preserve">, with the exception of the Independent Health and Aged Care Pricing Authority logo, photographs, images, signatures and where otherwise stated. The full </w:t>
      </w:r>
      <w:proofErr w:type="spellStart"/>
      <w:r w:rsidRPr="007372C2">
        <w:t>licence</w:t>
      </w:r>
      <w:proofErr w:type="spellEnd"/>
      <w:r w:rsidRPr="007372C2">
        <w:t xml:space="preserve"> terms are available from the Creative Commons website.</w:t>
      </w:r>
    </w:p>
    <w:p w14:paraId="7E118B06" w14:textId="77777777" w:rsidR="00276510" w:rsidRPr="007372C2" w:rsidRDefault="00276510" w:rsidP="00276510">
      <w:pPr>
        <w:pStyle w:val="Copyrightcopy"/>
      </w:pPr>
      <w:r w:rsidRPr="007372C2">
        <w:rPr>
          <w:noProof/>
        </w:rPr>
        <w:drawing>
          <wp:inline distT="0" distB="0" distL="0" distR="0" wp14:anchorId="5FA88F40" wp14:editId="608C8548">
            <wp:extent cx="1175004" cy="411480"/>
            <wp:effectExtent l="0" t="0" r="6350" b="7620"/>
            <wp:docPr id="54" name="Picture 54" descr="Creative Commons Attribution 3.0 Australia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3.0 Australia licence"/>
                    <pic:cNvPicPr/>
                  </pic:nvPicPr>
                  <pic:blipFill>
                    <a:blip r:embed="rId14">
                      <a:extLst>
                        <a:ext uri="{28A0092B-C50C-407E-A947-70E740481C1C}">
                          <a14:useLocalDpi xmlns:a14="http://schemas.microsoft.com/office/drawing/2010/main" val="0"/>
                        </a:ext>
                      </a:extLst>
                    </a:blip>
                    <a:stretch>
                      <a:fillRect/>
                    </a:stretch>
                  </pic:blipFill>
                  <pic:spPr>
                    <a:xfrm>
                      <a:off x="0" y="0"/>
                      <a:ext cx="1175004" cy="411480"/>
                    </a:xfrm>
                    <a:prstGeom prst="rect">
                      <a:avLst/>
                    </a:prstGeom>
                  </pic:spPr>
                </pic:pic>
              </a:graphicData>
            </a:graphic>
          </wp:inline>
        </w:drawing>
      </w:r>
      <w:r w:rsidRPr="007372C2">
        <w:t xml:space="preserve"> </w:t>
      </w:r>
    </w:p>
    <w:p w14:paraId="020F64C9" w14:textId="77777777" w:rsidR="00276510" w:rsidRPr="007372C2" w:rsidRDefault="00276510" w:rsidP="00276510">
      <w:pPr>
        <w:pStyle w:val="Copyrightcopy"/>
      </w:pPr>
      <w:r w:rsidRPr="007372C2">
        <w:t xml:space="preserve">Use of Independent Health and Aged Care Pricing Authority material under a Creative Commons BY Attribution 3.0 Australia </w:t>
      </w:r>
      <w:proofErr w:type="spellStart"/>
      <w:r w:rsidRPr="007372C2">
        <w:t>licence</w:t>
      </w:r>
      <w:proofErr w:type="spellEnd"/>
      <w:r w:rsidRPr="007372C2">
        <w:t xml:space="preserve"> requires you to attribute the work (but not in any way that suggests that the Independent Health and Aged Care Pricing Authority endorses you or your use of the</w:t>
      </w:r>
      <w:r w:rsidRPr="007372C2">
        <w:rPr>
          <w:rFonts w:hint="cs"/>
        </w:rPr>
        <w:t> </w:t>
      </w:r>
      <w:r w:rsidRPr="007372C2">
        <w:t>work).</w:t>
      </w:r>
    </w:p>
    <w:p w14:paraId="239A3363" w14:textId="77777777" w:rsidR="00276510" w:rsidRPr="007372C2" w:rsidRDefault="00276510" w:rsidP="00276510">
      <w:pPr>
        <w:pStyle w:val="Copyrightcopy"/>
      </w:pPr>
      <w:r w:rsidRPr="007372C2">
        <w:t>Independent Health and Aged Care Pricing Authority material used 'as supplied'.</w:t>
      </w:r>
    </w:p>
    <w:p w14:paraId="6DB21190" w14:textId="77777777" w:rsidR="00276510" w:rsidRPr="007372C2" w:rsidRDefault="00276510" w:rsidP="00276510">
      <w:pPr>
        <w:pStyle w:val="Copyrightcopy"/>
      </w:pPr>
      <w:r w:rsidRPr="007372C2">
        <w:t xml:space="preserve">Provided you have not modified or transformed Independent Health and Aged Care Pricing Authority material in any way including, for example, by changing Independent Health and Aged Care Pricing Authority text </w:t>
      </w:r>
      <w:r w:rsidRPr="007372C2">
        <w:rPr>
          <w:rFonts w:hint="cs"/>
        </w:rPr>
        <w:t>–</w:t>
      </w:r>
      <w:r w:rsidRPr="007372C2">
        <w:t xml:space="preserve"> then the Independent Health and Aged Care Pricing Authority prefers the following attribution:</w:t>
      </w:r>
    </w:p>
    <w:p w14:paraId="18AA2E10" w14:textId="47D4E080" w:rsidR="00276510" w:rsidRDefault="00276510" w:rsidP="00276510">
      <w:pPr>
        <w:pStyle w:val="Copyrightcopy"/>
        <w:sectPr w:rsidR="00276510" w:rsidSect="00D92F36">
          <w:headerReference w:type="default" r:id="rId15"/>
          <w:footerReference w:type="default" r:id="rId16"/>
          <w:pgSz w:w="11906" w:h="16838" w:code="9"/>
          <w:pgMar w:top="5954" w:right="1077" w:bottom="1440" w:left="1077" w:header="709" w:footer="709" w:gutter="0"/>
          <w:cols w:space="720"/>
          <w:docGrid w:linePitch="360"/>
        </w:sectPr>
      </w:pPr>
      <w:r w:rsidRPr="007372C2">
        <w:t>Source: The Independent Health and Aged Care Pricing</w:t>
      </w:r>
      <w:r w:rsidRPr="007372C2">
        <w:rPr>
          <w:rFonts w:hint="cs"/>
        </w:rPr>
        <w:t> </w:t>
      </w:r>
      <w:r w:rsidRPr="007372C2">
        <w:t>Authority</w:t>
      </w:r>
    </w:p>
    <w:sdt>
      <w:sdtPr>
        <w:rPr>
          <w:rFonts w:ascii="Arial" w:eastAsiaTheme="minorHAnsi" w:hAnsi="Arial" w:cstheme="minorBidi"/>
          <w:color w:val="15272F" w:themeColor="text1"/>
          <w:sz w:val="22"/>
          <w:szCs w:val="22"/>
          <w:lang w:val="en-PH"/>
        </w:rPr>
        <w:id w:val="-1527238534"/>
        <w:docPartObj>
          <w:docPartGallery w:val="Table of Contents"/>
          <w:docPartUnique/>
        </w:docPartObj>
      </w:sdtPr>
      <w:sdtEndPr>
        <w:rPr>
          <w:b/>
          <w:bCs/>
          <w:noProof/>
        </w:rPr>
      </w:sdtEndPr>
      <w:sdtContent>
        <w:p w14:paraId="5D310CEA" w14:textId="5CD0D4B3" w:rsidR="000E76C9" w:rsidRPr="000E76C9" w:rsidRDefault="000E76C9" w:rsidP="00BA1762">
          <w:pPr>
            <w:pStyle w:val="TOCHeading"/>
            <w:numPr>
              <w:ilvl w:val="0"/>
              <w:numId w:val="0"/>
            </w:numPr>
            <w:rPr>
              <w:rFonts w:ascii="Arial" w:hAnsi="Arial" w:cs="Arial"/>
              <w:b/>
              <w:bCs/>
              <w:sz w:val="72"/>
              <w:szCs w:val="72"/>
            </w:rPr>
          </w:pPr>
          <w:r w:rsidRPr="000E76C9">
            <w:rPr>
              <w:rFonts w:ascii="Arial" w:hAnsi="Arial" w:cs="Arial"/>
              <w:b/>
              <w:bCs/>
              <w:sz w:val="72"/>
              <w:szCs w:val="72"/>
            </w:rPr>
            <w:t>Table of Contents</w:t>
          </w:r>
        </w:p>
        <w:p w14:paraId="4A9EF594" w14:textId="58F0FF54" w:rsidR="00D66984" w:rsidRDefault="000E76C9">
          <w:pPr>
            <w:pStyle w:val="TOC1"/>
            <w:tabs>
              <w:tab w:val="right" w:leader="dot" w:pos="9322"/>
            </w:tabs>
            <w:rPr>
              <w:rFonts w:asciiTheme="minorHAnsi" w:eastAsiaTheme="minorEastAsia" w:hAnsiTheme="minorHAnsi"/>
              <w:b w:val="0"/>
              <w:noProof/>
              <w:color w:val="auto"/>
              <w:sz w:val="22"/>
              <w:lang w:val="en-AU" w:eastAsia="en-AU"/>
            </w:rPr>
          </w:pPr>
          <w:r w:rsidRPr="000E76C9">
            <w:rPr>
              <w:rFonts w:cs="Arial"/>
            </w:rPr>
            <w:fldChar w:fldCharType="begin"/>
          </w:r>
          <w:r w:rsidRPr="000E76C9">
            <w:rPr>
              <w:rFonts w:cs="Arial"/>
            </w:rPr>
            <w:instrText xml:space="preserve"> TOC \o "1-3" \h \z \u </w:instrText>
          </w:r>
          <w:r w:rsidRPr="000E76C9">
            <w:rPr>
              <w:rFonts w:cs="Arial"/>
            </w:rPr>
            <w:fldChar w:fldCharType="separate"/>
          </w:r>
          <w:hyperlink w:anchor="_Toc124657503" w:history="1">
            <w:r w:rsidR="00D66984" w:rsidRPr="006C2FE6">
              <w:rPr>
                <w:rStyle w:val="Hyperlink"/>
                <w:noProof/>
              </w:rPr>
              <w:t>Acronyms and Abbreviations</w:t>
            </w:r>
            <w:r w:rsidR="00D66984">
              <w:rPr>
                <w:noProof/>
                <w:webHidden/>
              </w:rPr>
              <w:tab/>
            </w:r>
            <w:r w:rsidR="00D66984">
              <w:rPr>
                <w:noProof/>
                <w:webHidden/>
              </w:rPr>
              <w:fldChar w:fldCharType="begin"/>
            </w:r>
            <w:r w:rsidR="00D66984">
              <w:rPr>
                <w:noProof/>
                <w:webHidden/>
              </w:rPr>
              <w:instrText xml:space="preserve"> PAGEREF _Toc124657503 \h </w:instrText>
            </w:r>
            <w:r w:rsidR="00D66984">
              <w:rPr>
                <w:noProof/>
                <w:webHidden/>
              </w:rPr>
            </w:r>
            <w:r w:rsidR="00D66984">
              <w:rPr>
                <w:noProof/>
                <w:webHidden/>
              </w:rPr>
              <w:fldChar w:fldCharType="separate"/>
            </w:r>
            <w:r w:rsidR="00D66984">
              <w:rPr>
                <w:noProof/>
                <w:webHidden/>
              </w:rPr>
              <w:t>5</w:t>
            </w:r>
            <w:r w:rsidR="00D66984">
              <w:rPr>
                <w:noProof/>
                <w:webHidden/>
              </w:rPr>
              <w:fldChar w:fldCharType="end"/>
            </w:r>
          </w:hyperlink>
        </w:p>
        <w:p w14:paraId="4F401890" w14:textId="57AE7072" w:rsidR="00D66984" w:rsidRDefault="009A2A35">
          <w:pPr>
            <w:pStyle w:val="TOC1"/>
            <w:tabs>
              <w:tab w:val="left" w:pos="440"/>
              <w:tab w:val="right" w:leader="dot" w:pos="9322"/>
            </w:tabs>
            <w:rPr>
              <w:rFonts w:asciiTheme="minorHAnsi" w:eastAsiaTheme="minorEastAsia" w:hAnsiTheme="minorHAnsi"/>
              <w:b w:val="0"/>
              <w:noProof/>
              <w:color w:val="auto"/>
              <w:sz w:val="22"/>
              <w:lang w:val="en-AU" w:eastAsia="en-AU"/>
            </w:rPr>
          </w:pPr>
          <w:hyperlink w:anchor="_Toc124657504" w:history="1">
            <w:r w:rsidR="00D66984" w:rsidRPr="006C2FE6">
              <w:rPr>
                <w:rStyle w:val="Hyperlink"/>
                <w:noProof/>
              </w:rPr>
              <w:t>1</w:t>
            </w:r>
            <w:r w:rsidR="00D66984">
              <w:rPr>
                <w:rFonts w:asciiTheme="minorHAnsi" w:eastAsiaTheme="minorEastAsia" w:hAnsiTheme="minorHAnsi"/>
                <w:b w:val="0"/>
                <w:noProof/>
                <w:color w:val="auto"/>
                <w:sz w:val="22"/>
                <w:lang w:val="en-AU" w:eastAsia="en-AU"/>
              </w:rPr>
              <w:tab/>
            </w:r>
            <w:r w:rsidR="00D66984" w:rsidRPr="006C2FE6">
              <w:rPr>
                <w:rStyle w:val="Hyperlink"/>
                <w:noProof/>
              </w:rPr>
              <w:t>Introduction</w:t>
            </w:r>
            <w:r w:rsidR="00D66984">
              <w:rPr>
                <w:noProof/>
                <w:webHidden/>
              </w:rPr>
              <w:tab/>
            </w:r>
            <w:r w:rsidR="00D66984">
              <w:rPr>
                <w:noProof/>
                <w:webHidden/>
              </w:rPr>
              <w:fldChar w:fldCharType="begin"/>
            </w:r>
            <w:r w:rsidR="00D66984">
              <w:rPr>
                <w:noProof/>
                <w:webHidden/>
              </w:rPr>
              <w:instrText xml:space="preserve"> PAGEREF _Toc124657504 \h </w:instrText>
            </w:r>
            <w:r w:rsidR="00D66984">
              <w:rPr>
                <w:noProof/>
                <w:webHidden/>
              </w:rPr>
            </w:r>
            <w:r w:rsidR="00D66984">
              <w:rPr>
                <w:noProof/>
                <w:webHidden/>
              </w:rPr>
              <w:fldChar w:fldCharType="separate"/>
            </w:r>
            <w:r w:rsidR="00D66984">
              <w:rPr>
                <w:noProof/>
                <w:webHidden/>
              </w:rPr>
              <w:t>6</w:t>
            </w:r>
            <w:r w:rsidR="00D66984">
              <w:rPr>
                <w:noProof/>
                <w:webHidden/>
              </w:rPr>
              <w:fldChar w:fldCharType="end"/>
            </w:r>
          </w:hyperlink>
        </w:p>
        <w:p w14:paraId="68FB386F" w14:textId="72AC04D8" w:rsidR="00D66984" w:rsidRDefault="009A2A35">
          <w:pPr>
            <w:pStyle w:val="TOC2"/>
            <w:tabs>
              <w:tab w:val="left" w:pos="880"/>
              <w:tab w:val="right" w:leader="dot" w:pos="9322"/>
            </w:tabs>
            <w:rPr>
              <w:rFonts w:asciiTheme="minorHAnsi" w:eastAsiaTheme="minorEastAsia" w:hAnsiTheme="minorHAnsi"/>
              <w:noProof/>
              <w:color w:val="auto"/>
              <w:lang w:val="en-AU" w:eastAsia="en-AU"/>
            </w:rPr>
          </w:pPr>
          <w:hyperlink w:anchor="_Toc124657505" w:history="1">
            <w:r w:rsidR="00D66984" w:rsidRPr="006C2FE6">
              <w:rPr>
                <w:rStyle w:val="Hyperlink"/>
                <w:noProof/>
              </w:rPr>
              <w:t>1.1</w:t>
            </w:r>
            <w:r w:rsidR="00D66984">
              <w:rPr>
                <w:rFonts w:asciiTheme="minorHAnsi" w:eastAsiaTheme="minorEastAsia" w:hAnsiTheme="minorHAnsi"/>
                <w:noProof/>
                <w:color w:val="auto"/>
                <w:lang w:val="en-AU" w:eastAsia="en-AU"/>
              </w:rPr>
              <w:tab/>
            </w:r>
            <w:r w:rsidR="00D66984" w:rsidRPr="006C2FE6">
              <w:rPr>
                <w:rStyle w:val="Hyperlink"/>
                <w:noProof/>
              </w:rPr>
              <w:t>AR-DRG classification</w:t>
            </w:r>
            <w:r w:rsidR="00D66984">
              <w:rPr>
                <w:noProof/>
                <w:webHidden/>
              </w:rPr>
              <w:tab/>
            </w:r>
            <w:r w:rsidR="00D66984">
              <w:rPr>
                <w:noProof/>
                <w:webHidden/>
              </w:rPr>
              <w:fldChar w:fldCharType="begin"/>
            </w:r>
            <w:r w:rsidR="00D66984">
              <w:rPr>
                <w:noProof/>
                <w:webHidden/>
              </w:rPr>
              <w:instrText xml:space="preserve"> PAGEREF _Toc124657505 \h </w:instrText>
            </w:r>
            <w:r w:rsidR="00D66984">
              <w:rPr>
                <w:noProof/>
                <w:webHidden/>
              </w:rPr>
            </w:r>
            <w:r w:rsidR="00D66984">
              <w:rPr>
                <w:noProof/>
                <w:webHidden/>
              </w:rPr>
              <w:fldChar w:fldCharType="separate"/>
            </w:r>
            <w:r w:rsidR="00D66984">
              <w:rPr>
                <w:noProof/>
                <w:webHidden/>
              </w:rPr>
              <w:t>6</w:t>
            </w:r>
            <w:r w:rsidR="00D66984">
              <w:rPr>
                <w:noProof/>
                <w:webHidden/>
              </w:rPr>
              <w:fldChar w:fldCharType="end"/>
            </w:r>
          </w:hyperlink>
        </w:p>
        <w:p w14:paraId="08B0D84A" w14:textId="036AD005" w:rsidR="00D66984" w:rsidRDefault="009A2A35">
          <w:pPr>
            <w:pStyle w:val="TOC2"/>
            <w:tabs>
              <w:tab w:val="left" w:pos="880"/>
              <w:tab w:val="right" w:leader="dot" w:pos="9322"/>
            </w:tabs>
            <w:rPr>
              <w:rFonts w:asciiTheme="minorHAnsi" w:eastAsiaTheme="minorEastAsia" w:hAnsiTheme="minorHAnsi"/>
              <w:noProof/>
              <w:color w:val="auto"/>
              <w:lang w:val="en-AU" w:eastAsia="en-AU"/>
            </w:rPr>
          </w:pPr>
          <w:hyperlink w:anchor="_Toc124657506" w:history="1">
            <w:r w:rsidR="00D66984" w:rsidRPr="006C2FE6">
              <w:rPr>
                <w:rStyle w:val="Hyperlink"/>
                <w:noProof/>
              </w:rPr>
              <w:t>1.2</w:t>
            </w:r>
            <w:r w:rsidR="00D66984">
              <w:rPr>
                <w:rFonts w:asciiTheme="minorHAnsi" w:eastAsiaTheme="minorEastAsia" w:hAnsiTheme="minorHAnsi"/>
                <w:noProof/>
                <w:color w:val="auto"/>
                <w:lang w:val="en-AU" w:eastAsia="en-AU"/>
              </w:rPr>
              <w:tab/>
            </w:r>
            <w:r w:rsidR="00D66984" w:rsidRPr="006C2FE6">
              <w:rPr>
                <w:rStyle w:val="Hyperlink"/>
                <w:noProof/>
              </w:rPr>
              <w:t>Purpose</w:t>
            </w:r>
            <w:r w:rsidR="00D66984">
              <w:rPr>
                <w:noProof/>
                <w:webHidden/>
              </w:rPr>
              <w:tab/>
            </w:r>
            <w:r w:rsidR="00D66984">
              <w:rPr>
                <w:noProof/>
                <w:webHidden/>
              </w:rPr>
              <w:fldChar w:fldCharType="begin"/>
            </w:r>
            <w:r w:rsidR="00D66984">
              <w:rPr>
                <w:noProof/>
                <w:webHidden/>
              </w:rPr>
              <w:instrText xml:space="preserve"> PAGEREF _Toc124657506 \h </w:instrText>
            </w:r>
            <w:r w:rsidR="00D66984">
              <w:rPr>
                <w:noProof/>
                <w:webHidden/>
              </w:rPr>
            </w:r>
            <w:r w:rsidR="00D66984">
              <w:rPr>
                <w:noProof/>
                <w:webHidden/>
              </w:rPr>
              <w:fldChar w:fldCharType="separate"/>
            </w:r>
            <w:r w:rsidR="00D66984">
              <w:rPr>
                <w:noProof/>
                <w:webHidden/>
              </w:rPr>
              <w:t>6</w:t>
            </w:r>
            <w:r w:rsidR="00D66984">
              <w:rPr>
                <w:noProof/>
                <w:webHidden/>
              </w:rPr>
              <w:fldChar w:fldCharType="end"/>
            </w:r>
          </w:hyperlink>
        </w:p>
        <w:p w14:paraId="036639D2" w14:textId="17936542" w:rsidR="00D66984" w:rsidRDefault="009A2A35">
          <w:pPr>
            <w:pStyle w:val="TOC2"/>
            <w:tabs>
              <w:tab w:val="left" w:pos="880"/>
              <w:tab w:val="right" w:leader="dot" w:pos="9322"/>
            </w:tabs>
            <w:rPr>
              <w:rFonts w:asciiTheme="minorHAnsi" w:eastAsiaTheme="minorEastAsia" w:hAnsiTheme="minorHAnsi"/>
              <w:noProof/>
              <w:color w:val="auto"/>
              <w:lang w:val="en-AU" w:eastAsia="en-AU"/>
            </w:rPr>
          </w:pPr>
          <w:hyperlink w:anchor="_Toc124657507" w:history="1">
            <w:r w:rsidR="00D66984" w:rsidRPr="006C2FE6">
              <w:rPr>
                <w:rStyle w:val="Hyperlink"/>
                <w:noProof/>
              </w:rPr>
              <w:t>1.3</w:t>
            </w:r>
            <w:r w:rsidR="00D66984">
              <w:rPr>
                <w:rFonts w:asciiTheme="minorHAnsi" w:eastAsiaTheme="minorEastAsia" w:hAnsiTheme="minorHAnsi"/>
                <w:noProof/>
                <w:color w:val="auto"/>
                <w:lang w:val="en-AU" w:eastAsia="en-AU"/>
              </w:rPr>
              <w:tab/>
            </w:r>
            <w:r w:rsidR="00D66984" w:rsidRPr="006C2FE6">
              <w:rPr>
                <w:rStyle w:val="Hyperlink"/>
                <w:noProof/>
              </w:rPr>
              <w:t>Additional resources for AR-DRG V11.0</w:t>
            </w:r>
            <w:r w:rsidR="00D66984">
              <w:rPr>
                <w:noProof/>
                <w:webHidden/>
              </w:rPr>
              <w:tab/>
            </w:r>
            <w:r w:rsidR="00D66984">
              <w:rPr>
                <w:noProof/>
                <w:webHidden/>
              </w:rPr>
              <w:fldChar w:fldCharType="begin"/>
            </w:r>
            <w:r w:rsidR="00D66984">
              <w:rPr>
                <w:noProof/>
                <w:webHidden/>
              </w:rPr>
              <w:instrText xml:space="preserve"> PAGEREF _Toc124657507 \h </w:instrText>
            </w:r>
            <w:r w:rsidR="00D66984">
              <w:rPr>
                <w:noProof/>
                <w:webHidden/>
              </w:rPr>
            </w:r>
            <w:r w:rsidR="00D66984">
              <w:rPr>
                <w:noProof/>
                <w:webHidden/>
              </w:rPr>
              <w:fldChar w:fldCharType="separate"/>
            </w:r>
            <w:r w:rsidR="00D66984">
              <w:rPr>
                <w:noProof/>
                <w:webHidden/>
              </w:rPr>
              <w:t>7</w:t>
            </w:r>
            <w:r w:rsidR="00D66984">
              <w:rPr>
                <w:noProof/>
                <w:webHidden/>
              </w:rPr>
              <w:fldChar w:fldCharType="end"/>
            </w:r>
          </w:hyperlink>
        </w:p>
        <w:p w14:paraId="03C4E3D7" w14:textId="7A05ED8A" w:rsidR="00D66984" w:rsidRDefault="009A2A35">
          <w:pPr>
            <w:pStyle w:val="TOC3"/>
            <w:tabs>
              <w:tab w:val="left" w:pos="1320"/>
              <w:tab w:val="right" w:leader="dot" w:pos="9322"/>
            </w:tabs>
            <w:rPr>
              <w:rFonts w:asciiTheme="minorHAnsi" w:eastAsiaTheme="minorEastAsia" w:hAnsiTheme="minorHAnsi"/>
              <w:noProof/>
              <w:color w:val="auto"/>
              <w:lang w:val="en-AU" w:eastAsia="en-AU"/>
            </w:rPr>
          </w:pPr>
          <w:hyperlink w:anchor="_Toc124657508" w:history="1">
            <w:r w:rsidR="00D66984" w:rsidRPr="006C2FE6">
              <w:rPr>
                <w:rStyle w:val="Hyperlink"/>
                <w:noProof/>
              </w:rPr>
              <w:t>1.3.1</w:t>
            </w:r>
            <w:r w:rsidR="00D66984">
              <w:rPr>
                <w:rFonts w:asciiTheme="minorHAnsi" w:eastAsiaTheme="minorEastAsia" w:hAnsiTheme="minorHAnsi"/>
                <w:noProof/>
                <w:color w:val="auto"/>
                <w:lang w:val="en-AU" w:eastAsia="en-AU"/>
              </w:rPr>
              <w:tab/>
            </w:r>
            <w:r w:rsidR="00D66984" w:rsidRPr="006C2FE6">
              <w:rPr>
                <w:rStyle w:val="Hyperlink"/>
                <w:noProof/>
              </w:rPr>
              <w:t>AR-DRG V11.0 Final Report</w:t>
            </w:r>
            <w:r w:rsidR="00D66984">
              <w:rPr>
                <w:noProof/>
                <w:webHidden/>
              </w:rPr>
              <w:tab/>
            </w:r>
            <w:r w:rsidR="00D66984">
              <w:rPr>
                <w:noProof/>
                <w:webHidden/>
              </w:rPr>
              <w:fldChar w:fldCharType="begin"/>
            </w:r>
            <w:r w:rsidR="00D66984">
              <w:rPr>
                <w:noProof/>
                <w:webHidden/>
              </w:rPr>
              <w:instrText xml:space="preserve"> PAGEREF _Toc124657508 \h </w:instrText>
            </w:r>
            <w:r w:rsidR="00D66984">
              <w:rPr>
                <w:noProof/>
                <w:webHidden/>
              </w:rPr>
            </w:r>
            <w:r w:rsidR="00D66984">
              <w:rPr>
                <w:noProof/>
                <w:webHidden/>
              </w:rPr>
              <w:fldChar w:fldCharType="separate"/>
            </w:r>
            <w:r w:rsidR="00D66984">
              <w:rPr>
                <w:noProof/>
                <w:webHidden/>
              </w:rPr>
              <w:t>7</w:t>
            </w:r>
            <w:r w:rsidR="00D66984">
              <w:rPr>
                <w:noProof/>
                <w:webHidden/>
              </w:rPr>
              <w:fldChar w:fldCharType="end"/>
            </w:r>
          </w:hyperlink>
        </w:p>
        <w:p w14:paraId="33656B93" w14:textId="67C12EF2" w:rsidR="00D66984" w:rsidRDefault="009A2A35">
          <w:pPr>
            <w:pStyle w:val="TOC3"/>
            <w:tabs>
              <w:tab w:val="left" w:pos="1320"/>
              <w:tab w:val="right" w:leader="dot" w:pos="9322"/>
            </w:tabs>
            <w:rPr>
              <w:rFonts w:asciiTheme="minorHAnsi" w:eastAsiaTheme="minorEastAsia" w:hAnsiTheme="minorHAnsi"/>
              <w:noProof/>
              <w:color w:val="auto"/>
              <w:lang w:val="en-AU" w:eastAsia="en-AU"/>
            </w:rPr>
          </w:pPr>
          <w:hyperlink w:anchor="_Toc124657509" w:history="1">
            <w:r w:rsidR="00D66984" w:rsidRPr="006C2FE6">
              <w:rPr>
                <w:rStyle w:val="Hyperlink"/>
                <w:noProof/>
              </w:rPr>
              <w:t>1.3.2</w:t>
            </w:r>
            <w:r w:rsidR="00D66984">
              <w:rPr>
                <w:rFonts w:asciiTheme="minorHAnsi" w:eastAsiaTheme="minorEastAsia" w:hAnsiTheme="minorHAnsi"/>
                <w:noProof/>
                <w:color w:val="auto"/>
                <w:lang w:val="en-AU" w:eastAsia="en-AU"/>
              </w:rPr>
              <w:tab/>
            </w:r>
            <w:r w:rsidR="00D66984" w:rsidRPr="006C2FE6">
              <w:rPr>
                <w:rStyle w:val="Hyperlink"/>
                <w:noProof/>
              </w:rPr>
              <w:t>AR-DRG V11.0 Definitions Manual</w:t>
            </w:r>
            <w:r w:rsidR="00D66984">
              <w:rPr>
                <w:noProof/>
                <w:webHidden/>
              </w:rPr>
              <w:tab/>
            </w:r>
            <w:r w:rsidR="00D66984">
              <w:rPr>
                <w:noProof/>
                <w:webHidden/>
              </w:rPr>
              <w:fldChar w:fldCharType="begin"/>
            </w:r>
            <w:r w:rsidR="00D66984">
              <w:rPr>
                <w:noProof/>
                <w:webHidden/>
              </w:rPr>
              <w:instrText xml:space="preserve"> PAGEREF _Toc124657509 \h </w:instrText>
            </w:r>
            <w:r w:rsidR="00D66984">
              <w:rPr>
                <w:noProof/>
                <w:webHidden/>
              </w:rPr>
            </w:r>
            <w:r w:rsidR="00D66984">
              <w:rPr>
                <w:noProof/>
                <w:webHidden/>
              </w:rPr>
              <w:fldChar w:fldCharType="separate"/>
            </w:r>
            <w:r w:rsidR="00D66984">
              <w:rPr>
                <w:noProof/>
                <w:webHidden/>
              </w:rPr>
              <w:t>7</w:t>
            </w:r>
            <w:r w:rsidR="00D66984">
              <w:rPr>
                <w:noProof/>
                <w:webHidden/>
              </w:rPr>
              <w:fldChar w:fldCharType="end"/>
            </w:r>
          </w:hyperlink>
        </w:p>
        <w:p w14:paraId="54DCB048" w14:textId="580270F5" w:rsidR="00D66984" w:rsidRDefault="009A2A35">
          <w:pPr>
            <w:pStyle w:val="TOC3"/>
            <w:tabs>
              <w:tab w:val="left" w:pos="1320"/>
              <w:tab w:val="right" w:leader="dot" w:pos="9322"/>
            </w:tabs>
            <w:rPr>
              <w:rFonts w:asciiTheme="minorHAnsi" w:eastAsiaTheme="minorEastAsia" w:hAnsiTheme="minorHAnsi"/>
              <w:noProof/>
              <w:color w:val="auto"/>
              <w:lang w:val="en-AU" w:eastAsia="en-AU"/>
            </w:rPr>
          </w:pPr>
          <w:hyperlink w:anchor="_Toc124657510" w:history="1">
            <w:r w:rsidR="00D66984" w:rsidRPr="006C2FE6">
              <w:rPr>
                <w:rStyle w:val="Hyperlink"/>
                <w:noProof/>
              </w:rPr>
              <w:t>1.3.3</w:t>
            </w:r>
            <w:r w:rsidR="00D66984">
              <w:rPr>
                <w:rFonts w:asciiTheme="minorHAnsi" w:eastAsiaTheme="minorEastAsia" w:hAnsiTheme="minorHAnsi"/>
                <w:noProof/>
                <w:color w:val="auto"/>
                <w:lang w:val="en-AU" w:eastAsia="en-AU"/>
              </w:rPr>
              <w:tab/>
            </w:r>
            <w:r w:rsidR="00D66984" w:rsidRPr="006C2FE6">
              <w:rPr>
                <w:rStyle w:val="Hyperlink"/>
                <w:noProof/>
              </w:rPr>
              <w:t>AR-DRG Descriptions File</w:t>
            </w:r>
            <w:r w:rsidR="00D66984">
              <w:rPr>
                <w:noProof/>
                <w:webHidden/>
              </w:rPr>
              <w:tab/>
            </w:r>
            <w:r w:rsidR="00D66984">
              <w:rPr>
                <w:noProof/>
                <w:webHidden/>
              </w:rPr>
              <w:fldChar w:fldCharType="begin"/>
            </w:r>
            <w:r w:rsidR="00D66984">
              <w:rPr>
                <w:noProof/>
                <w:webHidden/>
              </w:rPr>
              <w:instrText xml:space="preserve"> PAGEREF _Toc124657510 \h </w:instrText>
            </w:r>
            <w:r w:rsidR="00D66984">
              <w:rPr>
                <w:noProof/>
                <w:webHidden/>
              </w:rPr>
            </w:r>
            <w:r w:rsidR="00D66984">
              <w:rPr>
                <w:noProof/>
                <w:webHidden/>
              </w:rPr>
              <w:fldChar w:fldCharType="separate"/>
            </w:r>
            <w:r w:rsidR="00D66984">
              <w:rPr>
                <w:noProof/>
                <w:webHidden/>
              </w:rPr>
              <w:t>7</w:t>
            </w:r>
            <w:r w:rsidR="00D66984">
              <w:rPr>
                <w:noProof/>
                <w:webHidden/>
              </w:rPr>
              <w:fldChar w:fldCharType="end"/>
            </w:r>
          </w:hyperlink>
        </w:p>
        <w:p w14:paraId="316397BE" w14:textId="23E0AB0B" w:rsidR="00D66984" w:rsidRDefault="009A2A35">
          <w:pPr>
            <w:pStyle w:val="TOC3"/>
            <w:tabs>
              <w:tab w:val="left" w:pos="1320"/>
              <w:tab w:val="right" w:leader="dot" w:pos="9322"/>
            </w:tabs>
            <w:rPr>
              <w:rFonts w:asciiTheme="minorHAnsi" w:eastAsiaTheme="minorEastAsia" w:hAnsiTheme="minorHAnsi"/>
              <w:noProof/>
              <w:color w:val="auto"/>
              <w:lang w:val="en-AU" w:eastAsia="en-AU"/>
            </w:rPr>
          </w:pPr>
          <w:hyperlink w:anchor="_Toc124657511" w:history="1">
            <w:r w:rsidR="00D66984" w:rsidRPr="006C2FE6">
              <w:rPr>
                <w:rStyle w:val="Hyperlink"/>
                <w:noProof/>
              </w:rPr>
              <w:t>1.3.4</w:t>
            </w:r>
            <w:r w:rsidR="00D66984">
              <w:rPr>
                <w:rFonts w:asciiTheme="minorHAnsi" w:eastAsiaTheme="minorEastAsia" w:hAnsiTheme="minorHAnsi"/>
                <w:noProof/>
                <w:color w:val="auto"/>
                <w:lang w:val="en-AU" w:eastAsia="en-AU"/>
              </w:rPr>
              <w:tab/>
            </w:r>
            <w:r w:rsidR="00D66984" w:rsidRPr="006C2FE6">
              <w:rPr>
                <w:rStyle w:val="Hyperlink"/>
                <w:noProof/>
              </w:rPr>
              <w:t>ICD-10-AM/ACHI/ACS Twelfth Edition</w:t>
            </w:r>
            <w:r w:rsidR="00D66984">
              <w:rPr>
                <w:noProof/>
                <w:webHidden/>
              </w:rPr>
              <w:tab/>
            </w:r>
            <w:r w:rsidR="00D66984">
              <w:rPr>
                <w:noProof/>
                <w:webHidden/>
              </w:rPr>
              <w:fldChar w:fldCharType="begin"/>
            </w:r>
            <w:r w:rsidR="00D66984">
              <w:rPr>
                <w:noProof/>
                <w:webHidden/>
              </w:rPr>
              <w:instrText xml:space="preserve"> PAGEREF _Toc124657511 \h </w:instrText>
            </w:r>
            <w:r w:rsidR="00D66984">
              <w:rPr>
                <w:noProof/>
                <w:webHidden/>
              </w:rPr>
            </w:r>
            <w:r w:rsidR="00D66984">
              <w:rPr>
                <w:noProof/>
                <w:webHidden/>
              </w:rPr>
              <w:fldChar w:fldCharType="separate"/>
            </w:r>
            <w:r w:rsidR="00D66984">
              <w:rPr>
                <w:noProof/>
                <w:webHidden/>
              </w:rPr>
              <w:t>7</w:t>
            </w:r>
            <w:r w:rsidR="00D66984">
              <w:rPr>
                <w:noProof/>
                <w:webHidden/>
              </w:rPr>
              <w:fldChar w:fldCharType="end"/>
            </w:r>
          </w:hyperlink>
        </w:p>
        <w:p w14:paraId="54C128D7" w14:textId="7E938689" w:rsidR="00D66984" w:rsidRDefault="009A2A35">
          <w:pPr>
            <w:pStyle w:val="TOC1"/>
            <w:tabs>
              <w:tab w:val="left" w:pos="440"/>
              <w:tab w:val="right" w:leader="dot" w:pos="9322"/>
            </w:tabs>
            <w:rPr>
              <w:rFonts w:asciiTheme="minorHAnsi" w:eastAsiaTheme="minorEastAsia" w:hAnsiTheme="minorHAnsi"/>
              <w:b w:val="0"/>
              <w:noProof/>
              <w:color w:val="auto"/>
              <w:sz w:val="22"/>
              <w:lang w:val="en-AU" w:eastAsia="en-AU"/>
            </w:rPr>
          </w:pPr>
          <w:hyperlink w:anchor="_Toc124657512" w:history="1">
            <w:r w:rsidR="00D66984" w:rsidRPr="006C2FE6">
              <w:rPr>
                <w:rStyle w:val="Hyperlink"/>
                <w:noProof/>
              </w:rPr>
              <w:t>2</w:t>
            </w:r>
            <w:r w:rsidR="00D66984">
              <w:rPr>
                <w:rFonts w:asciiTheme="minorHAnsi" w:eastAsiaTheme="minorEastAsia" w:hAnsiTheme="minorHAnsi"/>
                <w:b w:val="0"/>
                <w:noProof/>
                <w:color w:val="auto"/>
                <w:sz w:val="22"/>
                <w:lang w:val="en-AU" w:eastAsia="en-AU"/>
              </w:rPr>
              <w:tab/>
            </w:r>
            <w:r w:rsidR="00D66984" w:rsidRPr="006C2FE6">
              <w:rPr>
                <w:rStyle w:val="Hyperlink"/>
                <w:noProof/>
              </w:rPr>
              <w:t>Data Preparation</w:t>
            </w:r>
            <w:r w:rsidR="00D66984">
              <w:rPr>
                <w:noProof/>
                <w:webHidden/>
              </w:rPr>
              <w:tab/>
            </w:r>
            <w:r w:rsidR="00D66984">
              <w:rPr>
                <w:noProof/>
                <w:webHidden/>
              </w:rPr>
              <w:fldChar w:fldCharType="begin"/>
            </w:r>
            <w:r w:rsidR="00D66984">
              <w:rPr>
                <w:noProof/>
                <w:webHidden/>
              </w:rPr>
              <w:instrText xml:space="preserve"> PAGEREF _Toc124657512 \h </w:instrText>
            </w:r>
            <w:r w:rsidR="00D66984">
              <w:rPr>
                <w:noProof/>
                <w:webHidden/>
              </w:rPr>
            </w:r>
            <w:r w:rsidR="00D66984">
              <w:rPr>
                <w:noProof/>
                <w:webHidden/>
              </w:rPr>
              <w:fldChar w:fldCharType="separate"/>
            </w:r>
            <w:r w:rsidR="00D66984">
              <w:rPr>
                <w:noProof/>
                <w:webHidden/>
              </w:rPr>
              <w:t>8</w:t>
            </w:r>
            <w:r w:rsidR="00D66984">
              <w:rPr>
                <w:noProof/>
                <w:webHidden/>
              </w:rPr>
              <w:fldChar w:fldCharType="end"/>
            </w:r>
          </w:hyperlink>
        </w:p>
        <w:p w14:paraId="1148B1A0" w14:textId="73B2BA10" w:rsidR="00D66984" w:rsidRDefault="009A2A35">
          <w:pPr>
            <w:pStyle w:val="TOC2"/>
            <w:tabs>
              <w:tab w:val="left" w:pos="880"/>
              <w:tab w:val="right" w:leader="dot" w:pos="9322"/>
            </w:tabs>
            <w:rPr>
              <w:rFonts w:asciiTheme="minorHAnsi" w:eastAsiaTheme="minorEastAsia" w:hAnsiTheme="minorHAnsi"/>
              <w:noProof/>
              <w:color w:val="auto"/>
              <w:lang w:val="en-AU" w:eastAsia="en-AU"/>
            </w:rPr>
          </w:pPr>
          <w:hyperlink w:anchor="_Toc124657513" w:history="1">
            <w:r w:rsidR="00D66984" w:rsidRPr="006C2FE6">
              <w:rPr>
                <w:rStyle w:val="Hyperlink"/>
                <w:noProof/>
              </w:rPr>
              <w:t>2.1</w:t>
            </w:r>
            <w:r w:rsidR="00D66984">
              <w:rPr>
                <w:rFonts w:asciiTheme="minorHAnsi" w:eastAsiaTheme="minorEastAsia" w:hAnsiTheme="minorHAnsi"/>
                <w:noProof/>
                <w:color w:val="auto"/>
                <w:lang w:val="en-AU" w:eastAsia="en-AU"/>
              </w:rPr>
              <w:tab/>
            </w:r>
            <w:r w:rsidR="00D66984" w:rsidRPr="006C2FE6">
              <w:rPr>
                <w:rStyle w:val="Hyperlink"/>
                <w:noProof/>
              </w:rPr>
              <w:t>Overview</w:t>
            </w:r>
            <w:r w:rsidR="00D66984">
              <w:rPr>
                <w:noProof/>
                <w:webHidden/>
              </w:rPr>
              <w:tab/>
            </w:r>
            <w:r w:rsidR="00D66984">
              <w:rPr>
                <w:noProof/>
                <w:webHidden/>
              </w:rPr>
              <w:fldChar w:fldCharType="begin"/>
            </w:r>
            <w:r w:rsidR="00D66984">
              <w:rPr>
                <w:noProof/>
                <w:webHidden/>
              </w:rPr>
              <w:instrText xml:space="preserve"> PAGEREF _Toc124657513 \h </w:instrText>
            </w:r>
            <w:r w:rsidR="00D66984">
              <w:rPr>
                <w:noProof/>
                <w:webHidden/>
              </w:rPr>
            </w:r>
            <w:r w:rsidR="00D66984">
              <w:rPr>
                <w:noProof/>
                <w:webHidden/>
              </w:rPr>
              <w:fldChar w:fldCharType="separate"/>
            </w:r>
            <w:r w:rsidR="00D66984">
              <w:rPr>
                <w:noProof/>
                <w:webHidden/>
              </w:rPr>
              <w:t>8</w:t>
            </w:r>
            <w:r w:rsidR="00D66984">
              <w:rPr>
                <w:noProof/>
                <w:webHidden/>
              </w:rPr>
              <w:fldChar w:fldCharType="end"/>
            </w:r>
          </w:hyperlink>
        </w:p>
        <w:p w14:paraId="2CD301B8" w14:textId="44556FB6" w:rsidR="00D66984" w:rsidRDefault="009A2A35">
          <w:pPr>
            <w:pStyle w:val="TOC2"/>
            <w:tabs>
              <w:tab w:val="left" w:pos="880"/>
              <w:tab w:val="right" w:leader="dot" w:pos="9322"/>
            </w:tabs>
            <w:rPr>
              <w:rFonts w:asciiTheme="minorHAnsi" w:eastAsiaTheme="minorEastAsia" w:hAnsiTheme="minorHAnsi"/>
              <w:noProof/>
              <w:color w:val="auto"/>
              <w:lang w:val="en-AU" w:eastAsia="en-AU"/>
            </w:rPr>
          </w:pPr>
          <w:hyperlink w:anchor="_Toc124657514" w:history="1">
            <w:r w:rsidR="00D66984" w:rsidRPr="006C2FE6">
              <w:rPr>
                <w:rStyle w:val="Hyperlink"/>
                <w:noProof/>
              </w:rPr>
              <w:t>2.2</w:t>
            </w:r>
            <w:r w:rsidR="00D66984">
              <w:rPr>
                <w:rFonts w:asciiTheme="minorHAnsi" w:eastAsiaTheme="minorEastAsia" w:hAnsiTheme="minorHAnsi"/>
                <w:noProof/>
                <w:color w:val="auto"/>
                <w:lang w:val="en-AU" w:eastAsia="en-AU"/>
              </w:rPr>
              <w:tab/>
            </w:r>
            <w:r w:rsidR="00D66984" w:rsidRPr="006C2FE6">
              <w:rPr>
                <w:rStyle w:val="Hyperlink"/>
                <w:noProof/>
              </w:rPr>
              <w:t>Record trimming</w:t>
            </w:r>
            <w:r w:rsidR="00D66984">
              <w:rPr>
                <w:noProof/>
                <w:webHidden/>
              </w:rPr>
              <w:tab/>
            </w:r>
            <w:r w:rsidR="00D66984">
              <w:rPr>
                <w:noProof/>
                <w:webHidden/>
              </w:rPr>
              <w:fldChar w:fldCharType="begin"/>
            </w:r>
            <w:r w:rsidR="00D66984">
              <w:rPr>
                <w:noProof/>
                <w:webHidden/>
              </w:rPr>
              <w:instrText xml:space="preserve"> PAGEREF _Toc124657514 \h </w:instrText>
            </w:r>
            <w:r w:rsidR="00D66984">
              <w:rPr>
                <w:noProof/>
                <w:webHidden/>
              </w:rPr>
            </w:r>
            <w:r w:rsidR="00D66984">
              <w:rPr>
                <w:noProof/>
                <w:webHidden/>
              </w:rPr>
              <w:fldChar w:fldCharType="separate"/>
            </w:r>
            <w:r w:rsidR="00D66984">
              <w:rPr>
                <w:noProof/>
                <w:webHidden/>
              </w:rPr>
              <w:t>8</w:t>
            </w:r>
            <w:r w:rsidR="00D66984">
              <w:rPr>
                <w:noProof/>
                <w:webHidden/>
              </w:rPr>
              <w:fldChar w:fldCharType="end"/>
            </w:r>
          </w:hyperlink>
        </w:p>
        <w:p w14:paraId="35F5CB55" w14:textId="70F726AB" w:rsidR="00D66984" w:rsidRDefault="009A2A35">
          <w:pPr>
            <w:pStyle w:val="TOC1"/>
            <w:tabs>
              <w:tab w:val="left" w:pos="440"/>
              <w:tab w:val="right" w:leader="dot" w:pos="9322"/>
            </w:tabs>
            <w:rPr>
              <w:rFonts w:asciiTheme="minorHAnsi" w:eastAsiaTheme="minorEastAsia" w:hAnsiTheme="minorHAnsi"/>
              <w:b w:val="0"/>
              <w:noProof/>
              <w:color w:val="auto"/>
              <w:sz w:val="22"/>
              <w:lang w:val="en-AU" w:eastAsia="en-AU"/>
            </w:rPr>
          </w:pPr>
          <w:hyperlink w:anchor="_Toc124657515" w:history="1">
            <w:r w:rsidR="00D66984" w:rsidRPr="006C2FE6">
              <w:rPr>
                <w:rStyle w:val="Hyperlink"/>
                <w:noProof/>
              </w:rPr>
              <w:t>3</w:t>
            </w:r>
            <w:r w:rsidR="00D66984">
              <w:rPr>
                <w:rFonts w:asciiTheme="minorHAnsi" w:eastAsiaTheme="minorEastAsia" w:hAnsiTheme="minorHAnsi"/>
                <w:b w:val="0"/>
                <w:noProof/>
                <w:color w:val="auto"/>
                <w:sz w:val="22"/>
                <w:lang w:val="en-AU" w:eastAsia="en-AU"/>
              </w:rPr>
              <w:tab/>
            </w:r>
            <w:r w:rsidR="00D66984" w:rsidRPr="006C2FE6">
              <w:rPr>
                <w:rStyle w:val="Hyperlink"/>
                <w:noProof/>
              </w:rPr>
              <w:t>ADRG Intervention Hierarchy Review</w:t>
            </w:r>
            <w:r w:rsidR="00D66984">
              <w:rPr>
                <w:noProof/>
                <w:webHidden/>
              </w:rPr>
              <w:tab/>
            </w:r>
            <w:r w:rsidR="00D66984">
              <w:rPr>
                <w:noProof/>
                <w:webHidden/>
              </w:rPr>
              <w:fldChar w:fldCharType="begin"/>
            </w:r>
            <w:r w:rsidR="00D66984">
              <w:rPr>
                <w:noProof/>
                <w:webHidden/>
              </w:rPr>
              <w:instrText xml:space="preserve"> PAGEREF _Toc124657515 \h </w:instrText>
            </w:r>
            <w:r w:rsidR="00D66984">
              <w:rPr>
                <w:noProof/>
                <w:webHidden/>
              </w:rPr>
            </w:r>
            <w:r w:rsidR="00D66984">
              <w:rPr>
                <w:noProof/>
                <w:webHidden/>
              </w:rPr>
              <w:fldChar w:fldCharType="separate"/>
            </w:r>
            <w:r w:rsidR="00D66984">
              <w:rPr>
                <w:noProof/>
                <w:webHidden/>
              </w:rPr>
              <w:t>11</w:t>
            </w:r>
            <w:r w:rsidR="00D66984">
              <w:rPr>
                <w:noProof/>
                <w:webHidden/>
              </w:rPr>
              <w:fldChar w:fldCharType="end"/>
            </w:r>
          </w:hyperlink>
        </w:p>
        <w:p w14:paraId="31864D67" w14:textId="3C5F7EDC" w:rsidR="00D66984" w:rsidRDefault="009A2A35">
          <w:pPr>
            <w:pStyle w:val="TOC2"/>
            <w:tabs>
              <w:tab w:val="left" w:pos="880"/>
              <w:tab w:val="right" w:leader="dot" w:pos="9322"/>
            </w:tabs>
            <w:rPr>
              <w:rFonts w:asciiTheme="minorHAnsi" w:eastAsiaTheme="minorEastAsia" w:hAnsiTheme="minorHAnsi"/>
              <w:noProof/>
              <w:color w:val="auto"/>
              <w:lang w:val="en-AU" w:eastAsia="en-AU"/>
            </w:rPr>
          </w:pPr>
          <w:hyperlink w:anchor="_Toc124657516" w:history="1">
            <w:r w:rsidR="00D66984" w:rsidRPr="006C2FE6">
              <w:rPr>
                <w:rStyle w:val="Hyperlink"/>
                <w:noProof/>
              </w:rPr>
              <w:t>3.1</w:t>
            </w:r>
            <w:r w:rsidR="00D66984">
              <w:rPr>
                <w:rFonts w:asciiTheme="minorHAnsi" w:eastAsiaTheme="minorEastAsia" w:hAnsiTheme="minorHAnsi"/>
                <w:noProof/>
                <w:color w:val="auto"/>
                <w:lang w:val="en-AU" w:eastAsia="en-AU"/>
              </w:rPr>
              <w:tab/>
            </w:r>
            <w:r w:rsidR="00D66984" w:rsidRPr="006C2FE6">
              <w:rPr>
                <w:rStyle w:val="Hyperlink"/>
                <w:noProof/>
              </w:rPr>
              <w:t>Overview</w:t>
            </w:r>
            <w:r w:rsidR="00D66984">
              <w:rPr>
                <w:noProof/>
                <w:webHidden/>
              </w:rPr>
              <w:tab/>
            </w:r>
            <w:r w:rsidR="00D66984">
              <w:rPr>
                <w:noProof/>
                <w:webHidden/>
              </w:rPr>
              <w:fldChar w:fldCharType="begin"/>
            </w:r>
            <w:r w:rsidR="00D66984">
              <w:rPr>
                <w:noProof/>
                <w:webHidden/>
              </w:rPr>
              <w:instrText xml:space="preserve"> PAGEREF _Toc124657516 \h </w:instrText>
            </w:r>
            <w:r w:rsidR="00D66984">
              <w:rPr>
                <w:noProof/>
                <w:webHidden/>
              </w:rPr>
            </w:r>
            <w:r w:rsidR="00D66984">
              <w:rPr>
                <w:noProof/>
                <w:webHidden/>
              </w:rPr>
              <w:fldChar w:fldCharType="separate"/>
            </w:r>
            <w:r w:rsidR="00D66984">
              <w:rPr>
                <w:noProof/>
                <w:webHidden/>
              </w:rPr>
              <w:t>11</w:t>
            </w:r>
            <w:r w:rsidR="00D66984">
              <w:rPr>
                <w:noProof/>
                <w:webHidden/>
              </w:rPr>
              <w:fldChar w:fldCharType="end"/>
            </w:r>
          </w:hyperlink>
        </w:p>
        <w:p w14:paraId="085433E0" w14:textId="5331B9DA" w:rsidR="00D66984" w:rsidRDefault="009A2A35">
          <w:pPr>
            <w:pStyle w:val="TOC2"/>
            <w:tabs>
              <w:tab w:val="left" w:pos="880"/>
              <w:tab w:val="right" w:leader="dot" w:pos="9322"/>
            </w:tabs>
            <w:rPr>
              <w:rFonts w:asciiTheme="minorHAnsi" w:eastAsiaTheme="minorEastAsia" w:hAnsiTheme="minorHAnsi"/>
              <w:noProof/>
              <w:color w:val="auto"/>
              <w:lang w:val="en-AU" w:eastAsia="en-AU"/>
            </w:rPr>
          </w:pPr>
          <w:hyperlink w:anchor="_Toc124657517" w:history="1">
            <w:r w:rsidR="00D66984" w:rsidRPr="006C2FE6">
              <w:rPr>
                <w:rStyle w:val="Hyperlink"/>
                <w:noProof/>
              </w:rPr>
              <w:t>3.2</w:t>
            </w:r>
            <w:r w:rsidR="00D66984">
              <w:rPr>
                <w:rFonts w:asciiTheme="minorHAnsi" w:eastAsiaTheme="minorEastAsia" w:hAnsiTheme="minorHAnsi"/>
                <w:noProof/>
                <w:color w:val="auto"/>
                <w:lang w:val="en-AU" w:eastAsia="en-AU"/>
              </w:rPr>
              <w:tab/>
            </w:r>
            <w:r w:rsidR="00D66984" w:rsidRPr="006C2FE6">
              <w:rPr>
                <w:rStyle w:val="Hyperlink"/>
                <w:noProof/>
              </w:rPr>
              <w:t>Methodology</w:t>
            </w:r>
            <w:r w:rsidR="00D66984">
              <w:rPr>
                <w:noProof/>
                <w:webHidden/>
              </w:rPr>
              <w:tab/>
            </w:r>
            <w:r w:rsidR="00D66984">
              <w:rPr>
                <w:noProof/>
                <w:webHidden/>
              </w:rPr>
              <w:fldChar w:fldCharType="begin"/>
            </w:r>
            <w:r w:rsidR="00D66984">
              <w:rPr>
                <w:noProof/>
                <w:webHidden/>
              </w:rPr>
              <w:instrText xml:space="preserve"> PAGEREF _Toc124657517 \h </w:instrText>
            </w:r>
            <w:r w:rsidR="00D66984">
              <w:rPr>
                <w:noProof/>
                <w:webHidden/>
              </w:rPr>
            </w:r>
            <w:r w:rsidR="00D66984">
              <w:rPr>
                <w:noProof/>
                <w:webHidden/>
              </w:rPr>
              <w:fldChar w:fldCharType="separate"/>
            </w:r>
            <w:r w:rsidR="00D66984">
              <w:rPr>
                <w:noProof/>
                <w:webHidden/>
              </w:rPr>
              <w:t>12</w:t>
            </w:r>
            <w:r w:rsidR="00D66984">
              <w:rPr>
                <w:noProof/>
                <w:webHidden/>
              </w:rPr>
              <w:fldChar w:fldCharType="end"/>
            </w:r>
          </w:hyperlink>
        </w:p>
        <w:p w14:paraId="2156C87B" w14:textId="7B2E82C2" w:rsidR="00D66984" w:rsidRDefault="009A2A35">
          <w:pPr>
            <w:pStyle w:val="TOC2"/>
            <w:tabs>
              <w:tab w:val="left" w:pos="880"/>
              <w:tab w:val="right" w:leader="dot" w:pos="9322"/>
            </w:tabs>
            <w:rPr>
              <w:rFonts w:asciiTheme="minorHAnsi" w:eastAsiaTheme="minorEastAsia" w:hAnsiTheme="minorHAnsi"/>
              <w:noProof/>
              <w:color w:val="auto"/>
              <w:lang w:val="en-AU" w:eastAsia="en-AU"/>
            </w:rPr>
          </w:pPr>
          <w:hyperlink w:anchor="_Toc124657518" w:history="1">
            <w:r w:rsidR="00D66984" w:rsidRPr="006C2FE6">
              <w:rPr>
                <w:rStyle w:val="Hyperlink"/>
                <w:noProof/>
              </w:rPr>
              <w:t>3.3</w:t>
            </w:r>
            <w:r w:rsidR="00D66984">
              <w:rPr>
                <w:rFonts w:asciiTheme="minorHAnsi" w:eastAsiaTheme="minorEastAsia" w:hAnsiTheme="minorHAnsi"/>
                <w:noProof/>
                <w:color w:val="auto"/>
                <w:lang w:val="en-AU" w:eastAsia="en-AU"/>
              </w:rPr>
              <w:tab/>
            </w:r>
            <w:r w:rsidR="00D66984" w:rsidRPr="006C2FE6">
              <w:rPr>
                <w:rStyle w:val="Hyperlink"/>
                <w:noProof/>
              </w:rPr>
              <w:t>Results</w:t>
            </w:r>
            <w:r w:rsidR="00D66984">
              <w:rPr>
                <w:noProof/>
                <w:webHidden/>
              </w:rPr>
              <w:tab/>
            </w:r>
            <w:r w:rsidR="00D66984">
              <w:rPr>
                <w:noProof/>
                <w:webHidden/>
              </w:rPr>
              <w:fldChar w:fldCharType="begin"/>
            </w:r>
            <w:r w:rsidR="00D66984">
              <w:rPr>
                <w:noProof/>
                <w:webHidden/>
              </w:rPr>
              <w:instrText xml:space="preserve"> PAGEREF _Toc124657518 \h </w:instrText>
            </w:r>
            <w:r w:rsidR="00D66984">
              <w:rPr>
                <w:noProof/>
                <w:webHidden/>
              </w:rPr>
            </w:r>
            <w:r w:rsidR="00D66984">
              <w:rPr>
                <w:noProof/>
                <w:webHidden/>
              </w:rPr>
              <w:fldChar w:fldCharType="separate"/>
            </w:r>
            <w:r w:rsidR="00D66984">
              <w:rPr>
                <w:noProof/>
                <w:webHidden/>
              </w:rPr>
              <w:t>13</w:t>
            </w:r>
            <w:r w:rsidR="00D66984">
              <w:rPr>
                <w:noProof/>
                <w:webHidden/>
              </w:rPr>
              <w:fldChar w:fldCharType="end"/>
            </w:r>
          </w:hyperlink>
        </w:p>
        <w:p w14:paraId="1955E1B1" w14:textId="118986FF" w:rsidR="00D66984" w:rsidRDefault="009A2A35">
          <w:pPr>
            <w:pStyle w:val="TOC1"/>
            <w:tabs>
              <w:tab w:val="left" w:pos="440"/>
              <w:tab w:val="right" w:leader="dot" w:pos="9322"/>
            </w:tabs>
            <w:rPr>
              <w:rFonts w:asciiTheme="minorHAnsi" w:eastAsiaTheme="minorEastAsia" w:hAnsiTheme="minorHAnsi"/>
              <w:b w:val="0"/>
              <w:noProof/>
              <w:color w:val="auto"/>
              <w:sz w:val="22"/>
              <w:lang w:val="en-AU" w:eastAsia="en-AU"/>
            </w:rPr>
          </w:pPr>
          <w:hyperlink w:anchor="_Toc124657519" w:history="1">
            <w:r w:rsidR="00D66984" w:rsidRPr="006C2FE6">
              <w:rPr>
                <w:rStyle w:val="Hyperlink"/>
                <w:noProof/>
              </w:rPr>
              <w:t>4</w:t>
            </w:r>
            <w:r w:rsidR="00D66984">
              <w:rPr>
                <w:rFonts w:asciiTheme="minorHAnsi" w:eastAsiaTheme="minorEastAsia" w:hAnsiTheme="minorHAnsi"/>
                <w:b w:val="0"/>
                <w:noProof/>
                <w:color w:val="auto"/>
                <w:sz w:val="22"/>
                <w:lang w:val="en-AU" w:eastAsia="en-AU"/>
              </w:rPr>
              <w:tab/>
            </w:r>
            <w:r w:rsidR="00D66984" w:rsidRPr="006C2FE6">
              <w:rPr>
                <w:rStyle w:val="Hyperlink"/>
                <w:noProof/>
              </w:rPr>
              <w:t>Episode Clinical Complexity</w:t>
            </w:r>
            <w:r w:rsidR="00D66984">
              <w:rPr>
                <w:noProof/>
                <w:webHidden/>
              </w:rPr>
              <w:tab/>
            </w:r>
            <w:r w:rsidR="00D66984">
              <w:rPr>
                <w:noProof/>
                <w:webHidden/>
              </w:rPr>
              <w:fldChar w:fldCharType="begin"/>
            </w:r>
            <w:r w:rsidR="00D66984">
              <w:rPr>
                <w:noProof/>
                <w:webHidden/>
              </w:rPr>
              <w:instrText xml:space="preserve"> PAGEREF _Toc124657519 \h </w:instrText>
            </w:r>
            <w:r w:rsidR="00D66984">
              <w:rPr>
                <w:noProof/>
                <w:webHidden/>
              </w:rPr>
            </w:r>
            <w:r w:rsidR="00D66984">
              <w:rPr>
                <w:noProof/>
                <w:webHidden/>
              </w:rPr>
              <w:fldChar w:fldCharType="separate"/>
            </w:r>
            <w:r w:rsidR="00D66984">
              <w:rPr>
                <w:noProof/>
                <w:webHidden/>
              </w:rPr>
              <w:t>14</w:t>
            </w:r>
            <w:r w:rsidR="00D66984">
              <w:rPr>
                <w:noProof/>
                <w:webHidden/>
              </w:rPr>
              <w:fldChar w:fldCharType="end"/>
            </w:r>
          </w:hyperlink>
        </w:p>
        <w:p w14:paraId="0EBFEFF6" w14:textId="30B4F5C3" w:rsidR="00D66984" w:rsidRDefault="009A2A35">
          <w:pPr>
            <w:pStyle w:val="TOC2"/>
            <w:tabs>
              <w:tab w:val="left" w:pos="880"/>
              <w:tab w:val="right" w:leader="dot" w:pos="9322"/>
            </w:tabs>
            <w:rPr>
              <w:rFonts w:asciiTheme="minorHAnsi" w:eastAsiaTheme="minorEastAsia" w:hAnsiTheme="minorHAnsi"/>
              <w:noProof/>
              <w:color w:val="auto"/>
              <w:lang w:val="en-AU" w:eastAsia="en-AU"/>
            </w:rPr>
          </w:pPr>
          <w:hyperlink w:anchor="_Toc124657520" w:history="1">
            <w:r w:rsidR="00D66984" w:rsidRPr="006C2FE6">
              <w:rPr>
                <w:rStyle w:val="Hyperlink"/>
                <w:noProof/>
              </w:rPr>
              <w:t>4.1</w:t>
            </w:r>
            <w:r w:rsidR="00D66984">
              <w:rPr>
                <w:rFonts w:asciiTheme="minorHAnsi" w:eastAsiaTheme="minorEastAsia" w:hAnsiTheme="minorHAnsi"/>
                <w:noProof/>
                <w:color w:val="auto"/>
                <w:lang w:val="en-AU" w:eastAsia="en-AU"/>
              </w:rPr>
              <w:tab/>
            </w:r>
            <w:r w:rsidR="00D66984" w:rsidRPr="006C2FE6">
              <w:rPr>
                <w:rStyle w:val="Hyperlink"/>
                <w:noProof/>
              </w:rPr>
              <w:t>Overview</w:t>
            </w:r>
            <w:r w:rsidR="00D66984">
              <w:rPr>
                <w:noProof/>
                <w:webHidden/>
              </w:rPr>
              <w:tab/>
            </w:r>
            <w:r w:rsidR="00D66984">
              <w:rPr>
                <w:noProof/>
                <w:webHidden/>
              </w:rPr>
              <w:fldChar w:fldCharType="begin"/>
            </w:r>
            <w:r w:rsidR="00D66984">
              <w:rPr>
                <w:noProof/>
                <w:webHidden/>
              </w:rPr>
              <w:instrText xml:space="preserve"> PAGEREF _Toc124657520 \h </w:instrText>
            </w:r>
            <w:r w:rsidR="00D66984">
              <w:rPr>
                <w:noProof/>
                <w:webHidden/>
              </w:rPr>
            </w:r>
            <w:r w:rsidR="00D66984">
              <w:rPr>
                <w:noProof/>
                <w:webHidden/>
              </w:rPr>
              <w:fldChar w:fldCharType="separate"/>
            </w:r>
            <w:r w:rsidR="00D66984">
              <w:rPr>
                <w:noProof/>
                <w:webHidden/>
              </w:rPr>
              <w:t>14</w:t>
            </w:r>
            <w:r w:rsidR="00D66984">
              <w:rPr>
                <w:noProof/>
                <w:webHidden/>
              </w:rPr>
              <w:fldChar w:fldCharType="end"/>
            </w:r>
          </w:hyperlink>
        </w:p>
        <w:p w14:paraId="74656DBB" w14:textId="02BE6E38" w:rsidR="00D66984" w:rsidRDefault="009A2A35">
          <w:pPr>
            <w:pStyle w:val="TOC2"/>
            <w:tabs>
              <w:tab w:val="left" w:pos="880"/>
              <w:tab w:val="right" w:leader="dot" w:pos="9322"/>
            </w:tabs>
            <w:rPr>
              <w:rFonts w:asciiTheme="minorHAnsi" w:eastAsiaTheme="minorEastAsia" w:hAnsiTheme="minorHAnsi"/>
              <w:noProof/>
              <w:color w:val="auto"/>
              <w:lang w:val="en-AU" w:eastAsia="en-AU"/>
            </w:rPr>
          </w:pPr>
          <w:hyperlink w:anchor="_Toc124657521" w:history="1">
            <w:r w:rsidR="00D66984" w:rsidRPr="006C2FE6">
              <w:rPr>
                <w:rStyle w:val="Hyperlink"/>
                <w:noProof/>
              </w:rPr>
              <w:t>4.2</w:t>
            </w:r>
            <w:r w:rsidR="00D66984">
              <w:rPr>
                <w:rFonts w:asciiTheme="minorHAnsi" w:eastAsiaTheme="minorEastAsia" w:hAnsiTheme="minorHAnsi"/>
                <w:noProof/>
                <w:color w:val="auto"/>
                <w:lang w:val="en-AU" w:eastAsia="en-AU"/>
              </w:rPr>
              <w:tab/>
            </w:r>
            <w:r w:rsidR="00D66984" w:rsidRPr="006C2FE6">
              <w:rPr>
                <w:rStyle w:val="Hyperlink"/>
                <w:noProof/>
              </w:rPr>
              <w:t>Diagnosis exclusions</w:t>
            </w:r>
            <w:r w:rsidR="00D66984">
              <w:rPr>
                <w:noProof/>
                <w:webHidden/>
              </w:rPr>
              <w:tab/>
            </w:r>
            <w:r w:rsidR="00D66984">
              <w:rPr>
                <w:noProof/>
                <w:webHidden/>
              </w:rPr>
              <w:fldChar w:fldCharType="begin"/>
            </w:r>
            <w:r w:rsidR="00D66984">
              <w:rPr>
                <w:noProof/>
                <w:webHidden/>
              </w:rPr>
              <w:instrText xml:space="preserve"> PAGEREF _Toc124657521 \h </w:instrText>
            </w:r>
            <w:r w:rsidR="00D66984">
              <w:rPr>
                <w:noProof/>
                <w:webHidden/>
              </w:rPr>
            </w:r>
            <w:r w:rsidR="00D66984">
              <w:rPr>
                <w:noProof/>
                <w:webHidden/>
              </w:rPr>
              <w:fldChar w:fldCharType="separate"/>
            </w:r>
            <w:r w:rsidR="00D66984">
              <w:rPr>
                <w:noProof/>
                <w:webHidden/>
              </w:rPr>
              <w:t>15</w:t>
            </w:r>
            <w:r w:rsidR="00D66984">
              <w:rPr>
                <w:noProof/>
                <w:webHidden/>
              </w:rPr>
              <w:fldChar w:fldCharType="end"/>
            </w:r>
          </w:hyperlink>
        </w:p>
        <w:p w14:paraId="722F9611" w14:textId="1A3159F4" w:rsidR="00D66984" w:rsidRDefault="009A2A35">
          <w:pPr>
            <w:pStyle w:val="TOC2"/>
            <w:tabs>
              <w:tab w:val="left" w:pos="880"/>
              <w:tab w:val="right" w:leader="dot" w:pos="9322"/>
            </w:tabs>
            <w:rPr>
              <w:rFonts w:asciiTheme="minorHAnsi" w:eastAsiaTheme="minorEastAsia" w:hAnsiTheme="minorHAnsi"/>
              <w:noProof/>
              <w:color w:val="auto"/>
              <w:lang w:val="en-AU" w:eastAsia="en-AU"/>
            </w:rPr>
          </w:pPr>
          <w:hyperlink w:anchor="_Toc124657522" w:history="1">
            <w:r w:rsidR="00D66984" w:rsidRPr="006C2FE6">
              <w:rPr>
                <w:rStyle w:val="Hyperlink"/>
                <w:noProof/>
              </w:rPr>
              <w:t>4.3</w:t>
            </w:r>
            <w:r w:rsidR="00D66984">
              <w:rPr>
                <w:rFonts w:asciiTheme="minorHAnsi" w:eastAsiaTheme="minorEastAsia" w:hAnsiTheme="minorHAnsi"/>
                <w:noProof/>
                <w:color w:val="auto"/>
                <w:lang w:val="en-AU" w:eastAsia="en-AU"/>
              </w:rPr>
              <w:tab/>
            </w:r>
            <w:r w:rsidR="00D66984" w:rsidRPr="006C2FE6">
              <w:rPr>
                <w:rStyle w:val="Hyperlink"/>
                <w:noProof/>
              </w:rPr>
              <w:t>Geometric mean cost model</w:t>
            </w:r>
            <w:r w:rsidR="00D66984">
              <w:rPr>
                <w:noProof/>
                <w:webHidden/>
              </w:rPr>
              <w:tab/>
            </w:r>
            <w:r w:rsidR="00D66984">
              <w:rPr>
                <w:noProof/>
                <w:webHidden/>
              </w:rPr>
              <w:fldChar w:fldCharType="begin"/>
            </w:r>
            <w:r w:rsidR="00D66984">
              <w:rPr>
                <w:noProof/>
                <w:webHidden/>
              </w:rPr>
              <w:instrText xml:space="preserve"> PAGEREF _Toc124657522 \h </w:instrText>
            </w:r>
            <w:r w:rsidR="00D66984">
              <w:rPr>
                <w:noProof/>
                <w:webHidden/>
              </w:rPr>
            </w:r>
            <w:r w:rsidR="00D66984">
              <w:rPr>
                <w:noProof/>
                <w:webHidden/>
              </w:rPr>
              <w:fldChar w:fldCharType="separate"/>
            </w:r>
            <w:r w:rsidR="00D66984">
              <w:rPr>
                <w:noProof/>
                <w:webHidden/>
              </w:rPr>
              <w:t>15</w:t>
            </w:r>
            <w:r w:rsidR="00D66984">
              <w:rPr>
                <w:noProof/>
                <w:webHidden/>
              </w:rPr>
              <w:fldChar w:fldCharType="end"/>
            </w:r>
          </w:hyperlink>
        </w:p>
        <w:p w14:paraId="269D0330" w14:textId="3E9F49B7" w:rsidR="00D66984" w:rsidRDefault="009A2A35">
          <w:pPr>
            <w:pStyle w:val="TOC2"/>
            <w:tabs>
              <w:tab w:val="left" w:pos="880"/>
              <w:tab w:val="right" w:leader="dot" w:pos="9322"/>
            </w:tabs>
            <w:rPr>
              <w:rFonts w:asciiTheme="minorHAnsi" w:eastAsiaTheme="minorEastAsia" w:hAnsiTheme="minorHAnsi"/>
              <w:noProof/>
              <w:color w:val="auto"/>
              <w:lang w:val="en-AU" w:eastAsia="en-AU"/>
            </w:rPr>
          </w:pPr>
          <w:hyperlink w:anchor="_Toc124657523" w:history="1">
            <w:r w:rsidR="00D66984" w:rsidRPr="006C2FE6">
              <w:rPr>
                <w:rStyle w:val="Hyperlink"/>
                <w:noProof/>
              </w:rPr>
              <w:t>4.4</w:t>
            </w:r>
            <w:r w:rsidR="00D66984">
              <w:rPr>
                <w:rFonts w:asciiTheme="minorHAnsi" w:eastAsiaTheme="minorEastAsia" w:hAnsiTheme="minorHAnsi"/>
                <w:noProof/>
                <w:color w:val="auto"/>
                <w:lang w:val="en-AU" w:eastAsia="en-AU"/>
              </w:rPr>
              <w:tab/>
            </w:r>
            <w:r w:rsidR="00D66984" w:rsidRPr="006C2FE6">
              <w:rPr>
                <w:rStyle w:val="Hyperlink"/>
                <w:noProof/>
              </w:rPr>
              <w:t>DCL</w:t>
            </w:r>
            <w:r w:rsidR="00D66984">
              <w:rPr>
                <w:noProof/>
                <w:webHidden/>
              </w:rPr>
              <w:tab/>
            </w:r>
            <w:r w:rsidR="00D66984">
              <w:rPr>
                <w:noProof/>
                <w:webHidden/>
              </w:rPr>
              <w:fldChar w:fldCharType="begin"/>
            </w:r>
            <w:r w:rsidR="00D66984">
              <w:rPr>
                <w:noProof/>
                <w:webHidden/>
              </w:rPr>
              <w:instrText xml:space="preserve"> PAGEREF _Toc124657523 \h </w:instrText>
            </w:r>
            <w:r w:rsidR="00D66984">
              <w:rPr>
                <w:noProof/>
                <w:webHidden/>
              </w:rPr>
            </w:r>
            <w:r w:rsidR="00D66984">
              <w:rPr>
                <w:noProof/>
                <w:webHidden/>
              </w:rPr>
              <w:fldChar w:fldCharType="separate"/>
            </w:r>
            <w:r w:rsidR="00D66984">
              <w:rPr>
                <w:noProof/>
                <w:webHidden/>
              </w:rPr>
              <w:t>18</w:t>
            </w:r>
            <w:r w:rsidR="00D66984">
              <w:rPr>
                <w:noProof/>
                <w:webHidden/>
              </w:rPr>
              <w:fldChar w:fldCharType="end"/>
            </w:r>
          </w:hyperlink>
        </w:p>
        <w:p w14:paraId="70900966" w14:textId="267C1ABB" w:rsidR="00D66984" w:rsidRDefault="009A2A35">
          <w:pPr>
            <w:pStyle w:val="TOC3"/>
            <w:tabs>
              <w:tab w:val="right" w:leader="dot" w:pos="9322"/>
            </w:tabs>
            <w:rPr>
              <w:rFonts w:asciiTheme="minorHAnsi" w:eastAsiaTheme="minorEastAsia" w:hAnsiTheme="minorHAnsi"/>
              <w:noProof/>
              <w:color w:val="auto"/>
              <w:lang w:val="en-AU" w:eastAsia="en-AU"/>
            </w:rPr>
          </w:pPr>
          <w:hyperlink w:anchor="_Toc124657524" w:history="1">
            <w:r w:rsidR="00D66984" w:rsidRPr="006C2FE6">
              <w:rPr>
                <w:rStyle w:val="Hyperlink"/>
                <w:noProof/>
              </w:rPr>
              <w:t>Aggregation principles</w:t>
            </w:r>
            <w:r w:rsidR="00D66984">
              <w:rPr>
                <w:noProof/>
                <w:webHidden/>
              </w:rPr>
              <w:tab/>
            </w:r>
            <w:r w:rsidR="00D66984">
              <w:rPr>
                <w:noProof/>
                <w:webHidden/>
              </w:rPr>
              <w:fldChar w:fldCharType="begin"/>
            </w:r>
            <w:r w:rsidR="00D66984">
              <w:rPr>
                <w:noProof/>
                <w:webHidden/>
              </w:rPr>
              <w:instrText xml:space="preserve"> PAGEREF _Toc124657524 \h </w:instrText>
            </w:r>
            <w:r w:rsidR="00D66984">
              <w:rPr>
                <w:noProof/>
                <w:webHidden/>
              </w:rPr>
            </w:r>
            <w:r w:rsidR="00D66984">
              <w:rPr>
                <w:noProof/>
                <w:webHidden/>
              </w:rPr>
              <w:fldChar w:fldCharType="separate"/>
            </w:r>
            <w:r w:rsidR="00D66984">
              <w:rPr>
                <w:noProof/>
                <w:webHidden/>
              </w:rPr>
              <w:t>18</w:t>
            </w:r>
            <w:r w:rsidR="00D66984">
              <w:rPr>
                <w:noProof/>
                <w:webHidden/>
              </w:rPr>
              <w:fldChar w:fldCharType="end"/>
            </w:r>
          </w:hyperlink>
        </w:p>
        <w:p w14:paraId="60C57A66" w14:textId="246715FF" w:rsidR="00D66984" w:rsidRDefault="009A2A35">
          <w:pPr>
            <w:pStyle w:val="TOC3"/>
            <w:tabs>
              <w:tab w:val="right" w:leader="dot" w:pos="9322"/>
            </w:tabs>
            <w:rPr>
              <w:rFonts w:asciiTheme="minorHAnsi" w:eastAsiaTheme="minorEastAsia" w:hAnsiTheme="minorHAnsi"/>
              <w:noProof/>
              <w:color w:val="auto"/>
              <w:lang w:val="en-AU" w:eastAsia="en-AU"/>
            </w:rPr>
          </w:pPr>
          <w:hyperlink w:anchor="_Toc124657525" w:history="1">
            <w:r w:rsidR="00D66984" w:rsidRPr="006C2FE6">
              <w:rPr>
                <w:rStyle w:val="Hyperlink"/>
                <w:noProof/>
              </w:rPr>
              <w:t>DCL derivation process</w:t>
            </w:r>
            <w:r w:rsidR="00D66984">
              <w:rPr>
                <w:noProof/>
                <w:webHidden/>
              </w:rPr>
              <w:tab/>
            </w:r>
            <w:r w:rsidR="00D66984">
              <w:rPr>
                <w:noProof/>
                <w:webHidden/>
              </w:rPr>
              <w:fldChar w:fldCharType="begin"/>
            </w:r>
            <w:r w:rsidR="00D66984">
              <w:rPr>
                <w:noProof/>
                <w:webHidden/>
              </w:rPr>
              <w:instrText xml:space="preserve"> PAGEREF _Toc124657525 \h </w:instrText>
            </w:r>
            <w:r w:rsidR="00D66984">
              <w:rPr>
                <w:noProof/>
                <w:webHidden/>
              </w:rPr>
            </w:r>
            <w:r w:rsidR="00D66984">
              <w:rPr>
                <w:noProof/>
                <w:webHidden/>
              </w:rPr>
              <w:fldChar w:fldCharType="separate"/>
            </w:r>
            <w:r w:rsidR="00D66984">
              <w:rPr>
                <w:noProof/>
                <w:webHidden/>
              </w:rPr>
              <w:t>19</w:t>
            </w:r>
            <w:r w:rsidR="00D66984">
              <w:rPr>
                <w:noProof/>
                <w:webHidden/>
              </w:rPr>
              <w:fldChar w:fldCharType="end"/>
            </w:r>
          </w:hyperlink>
        </w:p>
        <w:p w14:paraId="12F58E13" w14:textId="38F83F59" w:rsidR="00D66984" w:rsidRDefault="009A2A35">
          <w:pPr>
            <w:pStyle w:val="TOC2"/>
            <w:tabs>
              <w:tab w:val="left" w:pos="880"/>
              <w:tab w:val="right" w:leader="dot" w:pos="9322"/>
            </w:tabs>
            <w:rPr>
              <w:rFonts w:asciiTheme="minorHAnsi" w:eastAsiaTheme="minorEastAsia" w:hAnsiTheme="minorHAnsi"/>
              <w:noProof/>
              <w:color w:val="auto"/>
              <w:lang w:val="en-AU" w:eastAsia="en-AU"/>
            </w:rPr>
          </w:pPr>
          <w:hyperlink w:anchor="_Toc124657526" w:history="1">
            <w:r w:rsidR="00D66984" w:rsidRPr="006C2FE6">
              <w:rPr>
                <w:rStyle w:val="Hyperlink"/>
                <w:noProof/>
              </w:rPr>
              <w:t>4.5</w:t>
            </w:r>
            <w:r w:rsidR="00D66984">
              <w:rPr>
                <w:rFonts w:asciiTheme="minorHAnsi" w:eastAsiaTheme="minorEastAsia" w:hAnsiTheme="minorHAnsi"/>
                <w:noProof/>
                <w:color w:val="auto"/>
                <w:lang w:val="en-AU" w:eastAsia="en-AU"/>
              </w:rPr>
              <w:tab/>
            </w:r>
            <w:r w:rsidR="00D66984" w:rsidRPr="006C2FE6">
              <w:rPr>
                <w:rStyle w:val="Hyperlink"/>
                <w:noProof/>
              </w:rPr>
              <w:t>ECCS decay factor</w:t>
            </w:r>
            <w:r w:rsidR="00D66984">
              <w:rPr>
                <w:noProof/>
                <w:webHidden/>
              </w:rPr>
              <w:tab/>
            </w:r>
            <w:r w:rsidR="00D66984">
              <w:rPr>
                <w:noProof/>
                <w:webHidden/>
              </w:rPr>
              <w:fldChar w:fldCharType="begin"/>
            </w:r>
            <w:r w:rsidR="00D66984">
              <w:rPr>
                <w:noProof/>
                <w:webHidden/>
              </w:rPr>
              <w:instrText xml:space="preserve"> PAGEREF _Toc124657526 \h </w:instrText>
            </w:r>
            <w:r w:rsidR="00D66984">
              <w:rPr>
                <w:noProof/>
                <w:webHidden/>
              </w:rPr>
            </w:r>
            <w:r w:rsidR="00D66984">
              <w:rPr>
                <w:noProof/>
                <w:webHidden/>
              </w:rPr>
              <w:fldChar w:fldCharType="separate"/>
            </w:r>
            <w:r w:rsidR="00D66984">
              <w:rPr>
                <w:noProof/>
                <w:webHidden/>
              </w:rPr>
              <w:t>20</w:t>
            </w:r>
            <w:r w:rsidR="00D66984">
              <w:rPr>
                <w:noProof/>
                <w:webHidden/>
              </w:rPr>
              <w:fldChar w:fldCharType="end"/>
            </w:r>
          </w:hyperlink>
        </w:p>
        <w:p w14:paraId="71581B68" w14:textId="7BB037B4" w:rsidR="00D66984" w:rsidRDefault="009A2A35">
          <w:pPr>
            <w:pStyle w:val="TOC1"/>
            <w:tabs>
              <w:tab w:val="left" w:pos="440"/>
              <w:tab w:val="right" w:leader="dot" w:pos="9322"/>
            </w:tabs>
            <w:rPr>
              <w:rFonts w:asciiTheme="minorHAnsi" w:eastAsiaTheme="minorEastAsia" w:hAnsiTheme="minorHAnsi"/>
              <w:b w:val="0"/>
              <w:noProof/>
              <w:color w:val="auto"/>
              <w:sz w:val="22"/>
              <w:lang w:val="en-AU" w:eastAsia="en-AU"/>
            </w:rPr>
          </w:pPr>
          <w:hyperlink w:anchor="_Toc124657527" w:history="1">
            <w:r w:rsidR="00D66984" w:rsidRPr="006C2FE6">
              <w:rPr>
                <w:rStyle w:val="Hyperlink"/>
                <w:noProof/>
              </w:rPr>
              <w:t>5</w:t>
            </w:r>
            <w:r w:rsidR="00D66984">
              <w:rPr>
                <w:rFonts w:asciiTheme="minorHAnsi" w:eastAsiaTheme="minorEastAsia" w:hAnsiTheme="minorHAnsi"/>
                <w:b w:val="0"/>
                <w:noProof/>
                <w:color w:val="auto"/>
                <w:sz w:val="22"/>
                <w:lang w:val="en-AU" w:eastAsia="en-AU"/>
              </w:rPr>
              <w:tab/>
            </w:r>
            <w:r w:rsidR="00D66984" w:rsidRPr="006C2FE6">
              <w:rPr>
                <w:rStyle w:val="Hyperlink"/>
                <w:noProof/>
              </w:rPr>
              <w:t>ADRG Splitting Review</w:t>
            </w:r>
            <w:r w:rsidR="00D66984">
              <w:rPr>
                <w:noProof/>
                <w:webHidden/>
              </w:rPr>
              <w:tab/>
            </w:r>
            <w:r w:rsidR="00D66984">
              <w:rPr>
                <w:noProof/>
                <w:webHidden/>
              </w:rPr>
              <w:fldChar w:fldCharType="begin"/>
            </w:r>
            <w:r w:rsidR="00D66984">
              <w:rPr>
                <w:noProof/>
                <w:webHidden/>
              </w:rPr>
              <w:instrText xml:space="preserve"> PAGEREF _Toc124657527 \h </w:instrText>
            </w:r>
            <w:r w:rsidR="00D66984">
              <w:rPr>
                <w:noProof/>
                <w:webHidden/>
              </w:rPr>
            </w:r>
            <w:r w:rsidR="00D66984">
              <w:rPr>
                <w:noProof/>
                <w:webHidden/>
              </w:rPr>
              <w:fldChar w:fldCharType="separate"/>
            </w:r>
            <w:r w:rsidR="00D66984">
              <w:rPr>
                <w:noProof/>
                <w:webHidden/>
              </w:rPr>
              <w:t>22</w:t>
            </w:r>
            <w:r w:rsidR="00D66984">
              <w:rPr>
                <w:noProof/>
                <w:webHidden/>
              </w:rPr>
              <w:fldChar w:fldCharType="end"/>
            </w:r>
          </w:hyperlink>
        </w:p>
        <w:p w14:paraId="5C2060F0" w14:textId="7B442CB8" w:rsidR="00D66984" w:rsidRDefault="009A2A35">
          <w:pPr>
            <w:pStyle w:val="TOC2"/>
            <w:tabs>
              <w:tab w:val="left" w:pos="880"/>
              <w:tab w:val="right" w:leader="dot" w:pos="9322"/>
            </w:tabs>
            <w:rPr>
              <w:rFonts w:asciiTheme="minorHAnsi" w:eastAsiaTheme="minorEastAsia" w:hAnsiTheme="minorHAnsi"/>
              <w:noProof/>
              <w:color w:val="auto"/>
              <w:lang w:val="en-AU" w:eastAsia="en-AU"/>
            </w:rPr>
          </w:pPr>
          <w:hyperlink w:anchor="_Toc124657528" w:history="1">
            <w:r w:rsidR="00D66984" w:rsidRPr="006C2FE6">
              <w:rPr>
                <w:rStyle w:val="Hyperlink"/>
                <w:noProof/>
              </w:rPr>
              <w:t>5.1</w:t>
            </w:r>
            <w:r w:rsidR="00D66984">
              <w:rPr>
                <w:rFonts w:asciiTheme="minorHAnsi" w:eastAsiaTheme="minorEastAsia" w:hAnsiTheme="minorHAnsi"/>
                <w:noProof/>
                <w:color w:val="auto"/>
                <w:lang w:val="en-AU" w:eastAsia="en-AU"/>
              </w:rPr>
              <w:tab/>
            </w:r>
            <w:r w:rsidR="00D66984" w:rsidRPr="006C2FE6">
              <w:rPr>
                <w:rStyle w:val="Hyperlink"/>
                <w:noProof/>
              </w:rPr>
              <w:t>Overview</w:t>
            </w:r>
            <w:r w:rsidR="00D66984">
              <w:rPr>
                <w:noProof/>
                <w:webHidden/>
              </w:rPr>
              <w:tab/>
            </w:r>
            <w:r w:rsidR="00D66984">
              <w:rPr>
                <w:noProof/>
                <w:webHidden/>
              </w:rPr>
              <w:fldChar w:fldCharType="begin"/>
            </w:r>
            <w:r w:rsidR="00D66984">
              <w:rPr>
                <w:noProof/>
                <w:webHidden/>
              </w:rPr>
              <w:instrText xml:space="preserve"> PAGEREF _Toc124657528 \h </w:instrText>
            </w:r>
            <w:r w:rsidR="00D66984">
              <w:rPr>
                <w:noProof/>
                <w:webHidden/>
              </w:rPr>
            </w:r>
            <w:r w:rsidR="00D66984">
              <w:rPr>
                <w:noProof/>
                <w:webHidden/>
              </w:rPr>
              <w:fldChar w:fldCharType="separate"/>
            </w:r>
            <w:r w:rsidR="00D66984">
              <w:rPr>
                <w:noProof/>
                <w:webHidden/>
              </w:rPr>
              <w:t>22</w:t>
            </w:r>
            <w:r w:rsidR="00D66984">
              <w:rPr>
                <w:noProof/>
                <w:webHidden/>
              </w:rPr>
              <w:fldChar w:fldCharType="end"/>
            </w:r>
          </w:hyperlink>
        </w:p>
        <w:p w14:paraId="6133B047" w14:textId="5DF6DC0F" w:rsidR="00D66984" w:rsidRDefault="009A2A35">
          <w:pPr>
            <w:pStyle w:val="TOC2"/>
            <w:tabs>
              <w:tab w:val="left" w:pos="880"/>
              <w:tab w:val="right" w:leader="dot" w:pos="9322"/>
            </w:tabs>
            <w:rPr>
              <w:rFonts w:asciiTheme="minorHAnsi" w:eastAsiaTheme="minorEastAsia" w:hAnsiTheme="minorHAnsi"/>
              <w:noProof/>
              <w:color w:val="auto"/>
              <w:lang w:val="en-AU" w:eastAsia="en-AU"/>
            </w:rPr>
          </w:pPr>
          <w:hyperlink w:anchor="_Toc124657529" w:history="1">
            <w:r w:rsidR="00D66984" w:rsidRPr="006C2FE6">
              <w:rPr>
                <w:rStyle w:val="Hyperlink"/>
                <w:noProof/>
              </w:rPr>
              <w:t>5.2</w:t>
            </w:r>
            <w:r w:rsidR="00D66984">
              <w:rPr>
                <w:rFonts w:asciiTheme="minorHAnsi" w:eastAsiaTheme="minorEastAsia" w:hAnsiTheme="minorHAnsi"/>
                <w:noProof/>
                <w:color w:val="auto"/>
                <w:lang w:val="en-AU" w:eastAsia="en-AU"/>
              </w:rPr>
              <w:tab/>
            </w:r>
            <w:r w:rsidR="00D66984" w:rsidRPr="006C2FE6">
              <w:rPr>
                <w:rStyle w:val="Hyperlink"/>
                <w:noProof/>
              </w:rPr>
              <w:t>New ADRGs</w:t>
            </w:r>
            <w:r w:rsidR="00D66984">
              <w:rPr>
                <w:noProof/>
                <w:webHidden/>
              </w:rPr>
              <w:tab/>
            </w:r>
            <w:r w:rsidR="00D66984">
              <w:rPr>
                <w:noProof/>
                <w:webHidden/>
              </w:rPr>
              <w:fldChar w:fldCharType="begin"/>
            </w:r>
            <w:r w:rsidR="00D66984">
              <w:rPr>
                <w:noProof/>
                <w:webHidden/>
              </w:rPr>
              <w:instrText xml:space="preserve"> PAGEREF _Toc124657529 \h </w:instrText>
            </w:r>
            <w:r w:rsidR="00D66984">
              <w:rPr>
                <w:noProof/>
                <w:webHidden/>
              </w:rPr>
            </w:r>
            <w:r w:rsidR="00D66984">
              <w:rPr>
                <w:noProof/>
                <w:webHidden/>
              </w:rPr>
              <w:fldChar w:fldCharType="separate"/>
            </w:r>
            <w:r w:rsidR="00D66984">
              <w:rPr>
                <w:noProof/>
                <w:webHidden/>
              </w:rPr>
              <w:t>24</w:t>
            </w:r>
            <w:r w:rsidR="00D66984">
              <w:rPr>
                <w:noProof/>
                <w:webHidden/>
              </w:rPr>
              <w:fldChar w:fldCharType="end"/>
            </w:r>
          </w:hyperlink>
        </w:p>
        <w:p w14:paraId="16FE6C83" w14:textId="255BA42C" w:rsidR="00D66984" w:rsidRDefault="009A2A35">
          <w:pPr>
            <w:pStyle w:val="TOC2"/>
            <w:tabs>
              <w:tab w:val="left" w:pos="880"/>
              <w:tab w:val="right" w:leader="dot" w:pos="9322"/>
            </w:tabs>
            <w:rPr>
              <w:rFonts w:asciiTheme="minorHAnsi" w:eastAsiaTheme="minorEastAsia" w:hAnsiTheme="minorHAnsi"/>
              <w:noProof/>
              <w:color w:val="auto"/>
              <w:lang w:val="en-AU" w:eastAsia="en-AU"/>
            </w:rPr>
          </w:pPr>
          <w:hyperlink w:anchor="_Toc124657530" w:history="1">
            <w:r w:rsidR="00D66984" w:rsidRPr="006C2FE6">
              <w:rPr>
                <w:rStyle w:val="Hyperlink"/>
                <w:noProof/>
              </w:rPr>
              <w:t>5.3</w:t>
            </w:r>
            <w:r w:rsidR="00D66984">
              <w:rPr>
                <w:rFonts w:asciiTheme="minorHAnsi" w:eastAsiaTheme="minorEastAsia" w:hAnsiTheme="minorHAnsi"/>
                <w:noProof/>
                <w:color w:val="auto"/>
                <w:lang w:val="en-AU" w:eastAsia="en-AU"/>
              </w:rPr>
              <w:tab/>
            </w:r>
            <w:r w:rsidR="00D66984" w:rsidRPr="006C2FE6">
              <w:rPr>
                <w:rStyle w:val="Hyperlink"/>
                <w:noProof/>
              </w:rPr>
              <w:t>ADRGs using administrative variables</w:t>
            </w:r>
            <w:r w:rsidR="00D66984">
              <w:rPr>
                <w:noProof/>
                <w:webHidden/>
              </w:rPr>
              <w:tab/>
            </w:r>
            <w:r w:rsidR="00D66984">
              <w:rPr>
                <w:noProof/>
                <w:webHidden/>
              </w:rPr>
              <w:fldChar w:fldCharType="begin"/>
            </w:r>
            <w:r w:rsidR="00D66984">
              <w:rPr>
                <w:noProof/>
                <w:webHidden/>
              </w:rPr>
              <w:instrText xml:space="preserve"> PAGEREF _Toc124657530 \h </w:instrText>
            </w:r>
            <w:r w:rsidR="00D66984">
              <w:rPr>
                <w:noProof/>
                <w:webHidden/>
              </w:rPr>
            </w:r>
            <w:r w:rsidR="00D66984">
              <w:rPr>
                <w:noProof/>
                <w:webHidden/>
              </w:rPr>
              <w:fldChar w:fldCharType="separate"/>
            </w:r>
            <w:r w:rsidR="00D66984">
              <w:rPr>
                <w:noProof/>
                <w:webHidden/>
              </w:rPr>
              <w:t>24</w:t>
            </w:r>
            <w:r w:rsidR="00D66984">
              <w:rPr>
                <w:noProof/>
                <w:webHidden/>
              </w:rPr>
              <w:fldChar w:fldCharType="end"/>
            </w:r>
          </w:hyperlink>
        </w:p>
        <w:p w14:paraId="39959377" w14:textId="606317DF" w:rsidR="00D66984" w:rsidRDefault="009A2A35">
          <w:pPr>
            <w:pStyle w:val="TOC2"/>
            <w:tabs>
              <w:tab w:val="left" w:pos="880"/>
              <w:tab w:val="right" w:leader="dot" w:pos="9322"/>
            </w:tabs>
            <w:rPr>
              <w:rFonts w:asciiTheme="minorHAnsi" w:eastAsiaTheme="minorEastAsia" w:hAnsiTheme="minorHAnsi"/>
              <w:noProof/>
              <w:color w:val="auto"/>
              <w:lang w:val="en-AU" w:eastAsia="en-AU"/>
            </w:rPr>
          </w:pPr>
          <w:hyperlink w:anchor="_Toc124657531" w:history="1">
            <w:r w:rsidR="00D66984" w:rsidRPr="006C2FE6">
              <w:rPr>
                <w:rStyle w:val="Hyperlink"/>
                <w:noProof/>
              </w:rPr>
              <w:t>5.4</w:t>
            </w:r>
            <w:r w:rsidR="00D66984">
              <w:rPr>
                <w:rFonts w:asciiTheme="minorHAnsi" w:eastAsiaTheme="minorEastAsia" w:hAnsiTheme="minorHAnsi"/>
                <w:noProof/>
                <w:color w:val="auto"/>
                <w:lang w:val="en-AU" w:eastAsia="en-AU"/>
              </w:rPr>
              <w:tab/>
            </w:r>
            <w:r w:rsidR="00D66984" w:rsidRPr="006C2FE6">
              <w:rPr>
                <w:rStyle w:val="Hyperlink"/>
                <w:noProof/>
              </w:rPr>
              <w:t>ADRGs with manual splits to support stability</w:t>
            </w:r>
            <w:r w:rsidR="00D66984">
              <w:rPr>
                <w:noProof/>
                <w:webHidden/>
              </w:rPr>
              <w:tab/>
            </w:r>
            <w:r w:rsidR="00D66984">
              <w:rPr>
                <w:noProof/>
                <w:webHidden/>
              </w:rPr>
              <w:fldChar w:fldCharType="begin"/>
            </w:r>
            <w:r w:rsidR="00D66984">
              <w:rPr>
                <w:noProof/>
                <w:webHidden/>
              </w:rPr>
              <w:instrText xml:space="preserve"> PAGEREF _Toc124657531 \h </w:instrText>
            </w:r>
            <w:r w:rsidR="00D66984">
              <w:rPr>
                <w:noProof/>
                <w:webHidden/>
              </w:rPr>
            </w:r>
            <w:r w:rsidR="00D66984">
              <w:rPr>
                <w:noProof/>
                <w:webHidden/>
              </w:rPr>
              <w:fldChar w:fldCharType="separate"/>
            </w:r>
            <w:r w:rsidR="00D66984">
              <w:rPr>
                <w:noProof/>
                <w:webHidden/>
              </w:rPr>
              <w:t>25</w:t>
            </w:r>
            <w:r w:rsidR="00D66984">
              <w:rPr>
                <w:noProof/>
                <w:webHidden/>
              </w:rPr>
              <w:fldChar w:fldCharType="end"/>
            </w:r>
          </w:hyperlink>
        </w:p>
        <w:p w14:paraId="3A4706B6" w14:textId="1E96979B" w:rsidR="00D66984" w:rsidRDefault="009A2A35">
          <w:pPr>
            <w:pStyle w:val="TOC2"/>
            <w:tabs>
              <w:tab w:val="left" w:pos="880"/>
              <w:tab w:val="right" w:leader="dot" w:pos="9322"/>
            </w:tabs>
            <w:rPr>
              <w:rFonts w:asciiTheme="minorHAnsi" w:eastAsiaTheme="minorEastAsia" w:hAnsiTheme="minorHAnsi"/>
              <w:noProof/>
              <w:color w:val="auto"/>
              <w:lang w:val="en-AU" w:eastAsia="en-AU"/>
            </w:rPr>
          </w:pPr>
          <w:hyperlink w:anchor="_Toc124657532" w:history="1">
            <w:r w:rsidR="00D66984" w:rsidRPr="006C2FE6">
              <w:rPr>
                <w:rStyle w:val="Hyperlink"/>
                <w:noProof/>
              </w:rPr>
              <w:t>5.5</w:t>
            </w:r>
            <w:r w:rsidR="00D66984">
              <w:rPr>
                <w:rFonts w:asciiTheme="minorHAnsi" w:eastAsiaTheme="minorEastAsia" w:hAnsiTheme="minorHAnsi"/>
                <w:noProof/>
                <w:color w:val="auto"/>
                <w:lang w:val="en-AU" w:eastAsia="en-AU"/>
              </w:rPr>
              <w:tab/>
            </w:r>
            <w:r w:rsidR="00D66984" w:rsidRPr="006C2FE6">
              <w:rPr>
                <w:rStyle w:val="Hyperlink"/>
                <w:noProof/>
              </w:rPr>
              <w:t>ADRGs with manual splits due to failure to select an optimum threshold</w:t>
            </w:r>
            <w:r w:rsidR="00D66984">
              <w:rPr>
                <w:noProof/>
                <w:webHidden/>
              </w:rPr>
              <w:tab/>
            </w:r>
            <w:r w:rsidR="00D66984">
              <w:rPr>
                <w:noProof/>
                <w:webHidden/>
              </w:rPr>
              <w:fldChar w:fldCharType="begin"/>
            </w:r>
            <w:r w:rsidR="00D66984">
              <w:rPr>
                <w:noProof/>
                <w:webHidden/>
              </w:rPr>
              <w:instrText xml:space="preserve"> PAGEREF _Toc124657532 \h </w:instrText>
            </w:r>
            <w:r w:rsidR="00D66984">
              <w:rPr>
                <w:noProof/>
                <w:webHidden/>
              </w:rPr>
            </w:r>
            <w:r w:rsidR="00D66984">
              <w:rPr>
                <w:noProof/>
                <w:webHidden/>
              </w:rPr>
              <w:fldChar w:fldCharType="separate"/>
            </w:r>
            <w:r w:rsidR="00D66984">
              <w:rPr>
                <w:noProof/>
                <w:webHidden/>
              </w:rPr>
              <w:t>26</w:t>
            </w:r>
            <w:r w:rsidR="00D66984">
              <w:rPr>
                <w:noProof/>
                <w:webHidden/>
              </w:rPr>
              <w:fldChar w:fldCharType="end"/>
            </w:r>
          </w:hyperlink>
        </w:p>
        <w:p w14:paraId="51D93CB9" w14:textId="490984F7" w:rsidR="00D66984" w:rsidRDefault="009A2A35">
          <w:pPr>
            <w:pStyle w:val="TOC2"/>
            <w:tabs>
              <w:tab w:val="left" w:pos="880"/>
              <w:tab w:val="right" w:leader="dot" w:pos="9322"/>
            </w:tabs>
            <w:rPr>
              <w:rFonts w:asciiTheme="minorHAnsi" w:eastAsiaTheme="minorEastAsia" w:hAnsiTheme="minorHAnsi"/>
              <w:noProof/>
              <w:color w:val="auto"/>
              <w:lang w:val="en-AU" w:eastAsia="en-AU"/>
            </w:rPr>
          </w:pPr>
          <w:hyperlink w:anchor="_Toc124657533" w:history="1">
            <w:r w:rsidR="00D66984" w:rsidRPr="006C2FE6">
              <w:rPr>
                <w:rStyle w:val="Hyperlink"/>
                <w:noProof/>
              </w:rPr>
              <w:t>5.6</w:t>
            </w:r>
            <w:r w:rsidR="00D66984">
              <w:rPr>
                <w:rFonts w:asciiTheme="minorHAnsi" w:eastAsiaTheme="minorEastAsia" w:hAnsiTheme="minorHAnsi"/>
                <w:noProof/>
                <w:color w:val="auto"/>
                <w:lang w:val="en-AU" w:eastAsia="en-AU"/>
              </w:rPr>
              <w:tab/>
            </w:r>
            <w:r w:rsidR="00D66984" w:rsidRPr="006C2FE6">
              <w:rPr>
                <w:rStyle w:val="Hyperlink"/>
                <w:noProof/>
              </w:rPr>
              <w:t>ADRGs with same number of splits as V10.0</w:t>
            </w:r>
            <w:r w:rsidR="00D66984">
              <w:rPr>
                <w:noProof/>
                <w:webHidden/>
              </w:rPr>
              <w:tab/>
            </w:r>
            <w:r w:rsidR="00D66984">
              <w:rPr>
                <w:noProof/>
                <w:webHidden/>
              </w:rPr>
              <w:fldChar w:fldCharType="begin"/>
            </w:r>
            <w:r w:rsidR="00D66984">
              <w:rPr>
                <w:noProof/>
                <w:webHidden/>
              </w:rPr>
              <w:instrText xml:space="preserve"> PAGEREF _Toc124657533 \h </w:instrText>
            </w:r>
            <w:r w:rsidR="00D66984">
              <w:rPr>
                <w:noProof/>
                <w:webHidden/>
              </w:rPr>
            </w:r>
            <w:r w:rsidR="00D66984">
              <w:rPr>
                <w:noProof/>
                <w:webHidden/>
              </w:rPr>
              <w:fldChar w:fldCharType="separate"/>
            </w:r>
            <w:r w:rsidR="00D66984">
              <w:rPr>
                <w:noProof/>
                <w:webHidden/>
              </w:rPr>
              <w:t>27</w:t>
            </w:r>
            <w:r w:rsidR="00D66984">
              <w:rPr>
                <w:noProof/>
                <w:webHidden/>
              </w:rPr>
              <w:fldChar w:fldCharType="end"/>
            </w:r>
          </w:hyperlink>
        </w:p>
        <w:p w14:paraId="15FB5F6C" w14:textId="11769F48" w:rsidR="00D66984" w:rsidRDefault="009A2A35">
          <w:pPr>
            <w:pStyle w:val="TOC2"/>
            <w:tabs>
              <w:tab w:val="left" w:pos="880"/>
              <w:tab w:val="right" w:leader="dot" w:pos="9322"/>
            </w:tabs>
            <w:rPr>
              <w:rFonts w:asciiTheme="minorHAnsi" w:eastAsiaTheme="minorEastAsia" w:hAnsiTheme="minorHAnsi"/>
              <w:noProof/>
              <w:color w:val="auto"/>
              <w:lang w:val="en-AU" w:eastAsia="en-AU"/>
            </w:rPr>
          </w:pPr>
          <w:hyperlink w:anchor="_Toc124657534" w:history="1">
            <w:r w:rsidR="00D66984" w:rsidRPr="006C2FE6">
              <w:rPr>
                <w:rStyle w:val="Hyperlink"/>
                <w:noProof/>
              </w:rPr>
              <w:t>5.7</w:t>
            </w:r>
            <w:r w:rsidR="00D66984">
              <w:rPr>
                <w:rFonts w:asciiTheme="minorHAnsi" w:eastAsiaTheme="minorEastAsia" w:hAnsiTheme="minorHAnsi"/>
                <w:noProof/>
                <w:color w:val="auto"/>
                <w:lang w:val="en-AU" w:eastAsia="en-AU"/>
              </w:rPr>
              <w:tab/>
            </w:r>
            <w:r w:rsidR="00D66984" w:rsidRPr="006C2FE6">
              <w:rPr>
                <w:rStyle w:val="Hyperlink"/>
                <w:noProof/>
              </w:rPr>
              <w:t>ADRGs with different number of splits to V10.0</w:t>
            </w:r>
            <w:r w:rsidR="00D66984">
              <w:rPr>
                <w:noProof/>
                <w:webHidden/>
              </w:rPr>
              <w:tab/>
            </w:r>
            <w:r w:rsidR="00D66984">
              <w:rPr>
                <w:noProof/>
                <w:webHidden/>
              </w:rPr>
              <w:fldChar w:fldCharType="begin"/>
            </w:r>
            <w:r w:rsidR="00D66984">
              <w:rPr>
                <w:noProof/>
                <w:webHidden/>
              </w:rPr>
              <w:instrText xml:space="preserve"> PAGEREF _Toc124657534 \h </w:instrText>
            </w:r>
            <w:r w:rsidR="00D66984">
              <w:rPr>
                <w:noProof/>
                <w:webHidden/>
              </w:rPr>
            </w:r>
            <w:r w:rsidR="00D66984">
              <w:rPr>
                <w:noProof/>
                <w:webHidden/>
              </w:rPr>
              <w:fldChar w:fldCharType="separate"/>
            </w:r>
            <w:r w:rsidR="00D66984">
              <w:rPr>
                <w:noProof/>
                <w:webHidden/>
              </w:rPr>
              <w:t>27</w:t>
            </w:r>
            <w:r w:rsidR="00D66984">
              <w:rPr>
                <w:noProof/>
                <w:webHidden/>
              </w:rPr>
              <w:fldChar w:fldCharType="end"/>
            </w:r>
          </w:hyperlink>
        </w:p>
        <w:p w14:paraId="67888062" w14:textId="5D9A9770" w:rsidR="00D66984" w:rsidRDefault="009A2A35">
          <w:pPr>
            <w:pStyle w:val="TOC1"/>
            <w:tabs>
              <w:tab w:val="right" w:leader="dot" w:pos="9322"/>
            </w:tabs>
            <w:rPr>
              <w:rFonts w:asciiTheme="minorHAnsi" w:eastAsiaTheme="minorEastAsia" w:hAnsiTheme="minorHAnsi"/>
              <w:b w:val="0"/>
              <w:noProof/>
              <w:color w:val="auto"/>
              <w:sz w:val="22"/>
              <w:lang w:val="en-AU" w:eastAsia="en-AU"/>
            </w:rPr>
          </w:pPr>
          <w:hyperlink w:anchor="_Toc124657535" w:history="1">
            <w:r w:rsidR="00D66984" w:rsidRPr="006C2FE6">
              <w:rPr>
                <w:rStyle w:val="Hyperlink"/>
                <w:noProof/>
              </w:rPr>
              <w:t>Appendix A: Diagnosis Exclusions</w:t>
            </w:r>
            <w:r w:rsidR="00D66984">
              <w:rPr>
                <w:noProof/>
                <w:webHidden/>
              </w:rPr>
              <w:tab/>
            </w:r>
            <w:r w:rsidR="00D66984">
              <w:rPr>
                <w:noProof/>
                <w:webHidden/>
              </w:rPr>
              <w:fldChar w:fldCharType="begin"/>
            </w:r>
            <w:r w:rsidR="00D66984">
              <w:rPr>
                <w:noProof/>
                <w:webHidden/>
              </w:rPr>
              <w:instrText xml:space="preserve"> PAGEREF _Toc124657535 \h </w:instrText>
            </w:r>
            <w:r w:rsidR="00D66984">
              <w:rPr>
                <w:noProof/>
                <w:webHidden/>
              </w:rPr>
            </w:r>
            <w:r w:rsidR="00D66984">
              <w:rPr>
                <w:noProof/>
                <w:webHidden/>
              </w:rPr>
              <w:fldChar w:fldCharType="separate"/>
            </w:r>
            <w:r w:rsidR="00D66984">
              <w:rPr>
                <w:noProof/>
                <w:webHidden/>
              </w:rPr>
              <w:t>29</w:t>
            </w:r>
            <w:r w:rsidR="00D66984">
              <w:rPr>
                <w:noProof/>
                <w:webHidden/>
              </w:rPr>
              <w:fldChar w:fldCharType="end"/>
            </w:r>
          </w:hyperlink>
        </w:p>
        <w:p w14:paraId="7AB21ABF" w14:textId="5A2A15CC" w:rsidR="00D66984" w:rsidRDefault="009A2A35">
          <w:pPr>
            <w:pStyle w:val="TOC1"/>
            <w:tabs>
              <w:tab w:val="right" w:leader="dot" w:pos="9322"/>
            </w:tabs>
            <w:rPr>
              <w:rFonts w:asciiTheme="minorHAnsi" w:eastAsiaTheme="minorEastAsia" w:hAnsiTheme="minorHAnsi"/>
              <w:b w:val="0"/>
              <w:noProof/>
              <w:color w:val="auto"/>
              <w:sz w:val="22"/>
              <w:lang w:val="en-AU" w:eastAsia="en-AU"/>
            </w:rPr>
          </w:pPr>
          <w:hyperlink w:anchor="_Toc124657536" w:history="1">
            <w:r w:rsidR="00D66984" w:rsidRPr="006C2FE6">
              <w:rPr>
                <w:rStyle w:val="Hyperlink"/>
                <w:noProof/>
              </w:rPr>
              <w:t>Appendix B: Aggregation Calculations</w:t>
            </w:r>
            <w:r w:rsidR="00D66984">
              <w:rPr>
                <w:noProof/>
                <w:webHidden/>
              </w:rPr>
              <w:tab/>
            </w:r>
            <w:r w:rsidR="00D66984">
              <w:rPr>
                <w:noProof/>
                <w:webHidden/>
              </w:rPr>
              <w:fldChar w:fldCharType="begin"/>
            </w:r>
            <w:r w:rsidR="00D66984">
              <w:rPr>
                <w:noProof/>
                <w:webHidden/>
              </w:rPr>
              <w:instrText xml:space="preserve"> PAGEREF _Toc124657536 \h </w:instrText>
            </w:r>
            <w:r w:rsidR="00D66984">
              <w:rPr>
                <w:noProof/>
                <w:webHidden/>
              </w:rPr>
            </w:r>
            <w:r w:rsidR="00D66984">
              <w:rPr>
                <w:noProof/>
                <w:webHidden/>
              </w:rPr>
              <w:fldChar w:fldCharType="separate"/>
            </w:r>
            <w:r w:rsidR="00D66984">
              <w:rPr>
                <w:noProof/>
                <w:webHidden/>
              </w:rPr>
              <w:t>31</w:t>
            </w:r>
            <w:r w:rsidR="00D66984">
              <w:rPr>
                <w:noProof/>
                <w:webHidden/>
              </w:rPr>
              <w:fldChar w:fldCharType="end"/>
            </w:r>
          </w:hyperlink>
        </w:p>
        <w:p w14:paraId="3DC94D5E" w14:textId="1DB907DA" w:rsidR="000E76C9" w:rsidRDefault="000E76C9">
          <w:r w:rsidRPr="000E76C9">
            <w:rPr>
              <w:rFonts w:cs="Arial"/>
              <w:b/>
              <w:bCs/>
              <w:noProof/>
            </w:rPr>
            <w:fldChar w:fldCharType="end"/>
          </w:r>
        </w:p>
      </w:sdtContent>
    </w:sdt>
    <w:p w14:paraId="5D466DF8" w14:textId="77777777" w:rsidR="00B326E6" w:rsidRDefault="00B326E6">
      <w:pPr>
        <w:spacing w:line="259" w:lineRule="auto"/>
        <w:rPr>
          <w:rFonts w:eastAsiaTheme="majorEastAsia" w:cstheme="majorBidi"/>
          <w:b/>
          <w:sz w:val="72"/>
          <w:szCs w:val="32"/>
        </w:rPr>
        <w:sectPr w:rsidR="00B326E6" w:rsidSect="002261C0">
          <w:pgSz w:w="11906" w:h="16838" w:code="9"/>
          <w:pgMar w:top="2041" w:right="1440" w:bottom="1021" w:left="1134" w:header="680" w:footer="510" w:gutter="0"/>
          <w:cols w:space="708"/>
          <w:docGrid w:linePitch="360"/>
        </w:sectPr>
      </w:pPr>
    </w:p>
    <w:p w14:paraId="6A0E1810" w14:textId="77777777" w:rsidR="00BA1762" w:rsidRPr="00BC28A9" w:rsidRDefault="00BA1762" w:rsidP="00BA1762">
      <w:pPr>
        <w:pStyle w:val="Heading1"/>
        <w:numPr>
          <w:ilvl w:val="0"/>
          <w:numId w:val="0"/>
        </w:numPr>
      </w:pPr>
      <w:bookmarkStart w:id="0" w:name="_Toc536175644"/>
      <w:bookmarkStart w:id="1" w:name="_Toc100842981"/>
      <w:bookmarkStart w:id="2" w:name="_Toc124657503"/>
      <w:r w:rsidRPr="00BC28A9">
        <w:lastRenderedPageBreak/>
        <w:t>Acronyms and Abbreviations</w:t>
      </w:r>
      <w:bookmarkEnd w:id="0"/>
      <w:bookmarkEnd w:id="1"/>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9"/>
        <w:gridCol w:w="6343"/>
      </w:tblGrid>
      <w:tr w:rsidR="00BA1762" w:rsidRPr="00BC28A9" w14:paraId="68857D2F" w14:textId="77777777" w:rsidTr="00BA1762">
        <w:trPr>
          <w:trHeight w:val="607"/>
        </w:trPr>
        <w:tc>
          <w:tcPr>
            <w:tcW w:w="3085" w:type="dxa"/>
          </w:tcPr>
          <w:p w14:paraId="39BDFAF3" w14:textId="77777777" w:rsidR="00BA1762" w:rsidRPr="00BC28A9" w:rsidRDefault="00BA1762" w:rsidP="00A36751">
            <w:r w:rsidRPr="00BC28A9">
              <w:t>ACHI</w:t>
            </w:r>
          </w:p>
        </w:tc>
        <w:tc>
          <w:tcPr>
            <w:tcW w:w="6576" w:type="dxa"/>
          </w:tcPr>
          <w:p w14:paraId="48510DA6" w14:textId="77777777" w:rsidR="00BA1762" w:rsidRPr="00BC28A9" w:rsidRDefault="00BA1762" w:rsidP="00A36751">
            <w:r w:rsidRPr="00BC28A9">
              <w:t>Australian Classification of Health Interventions</w:t>
            </w:r>
          </w:p>
        </w:tc>
      </w:tr>
      <w:tr w:rsidR="00BA1762" w:rsidRPr="00BC28A9" w14:paraId="002E5E7F" w14:textId="77777777" w:rsidTr="00BA1762">
        <w:trPr>
          <w:trHeight w:val="607"/>
        </w:trPr>
        <w:tc>
          <w:tcPr>
            <w:tcW w:w="3085" w:type="dxa"/>
          </w:tcPr>
          <w:p w14:paraId="642052C8" w14:textId="77777777" w:rsidR="00BA1762" w:rsidRPr="00BC28A9" w:rsidRDefault="00BA1762" w:rsidP="00A36751">
            <w:r w:rsidRPr="00BC28A9">
              <w:t>ADRG</w:t>
            </w:r>
          </w:p>
        </w:tc>
        <w:tc>
          <w:tcPr>
            <w:tcW w:w="6576" w:type="dxa"/>
          </w:tcPr>
          <w:p w14:paraId="4714B346" w14:textId="77777777" w:rsidR="00BA1762" w:rsidRPr="00BC28A9" w:rsidRDefault="00BA1762" w:rsidP="00A36751">
            <w:r w:rsidRPr="00BC28A9">
              <w:t>Adjacent Diagnosis Related Groups</w:t>
            </w:r>
          </w:p>
        </w:tc>
      </w:tr>
      <w:tr w:rsidR="00BA1762" w:rsidRPr="00BC28A9" w14:paraId="097EF9ED" w14:textId="77777777" w:rsidTr="00BA1762">
        <w:trPr>
          <w:trHeight w:val="607"/>
        </w:trPr>
        <w:tc>
          <w:tcPr>
            <w:tcW w:w="3085" w:type="dxa"/>
          </w:tcPr>
          <w:p w14:paraId="0DEBEE5B" w14:textId="77777777" w:rsidR="00BA1762" w:rsidRPr="00BC28A9" w:rsidRDefault="00BA1762" w:rsidP="00A36751">
            <w:r w:rsidRPr="00BC28A9">
              <w:t>APC NMDS</w:t>
            </w:r>
          </w:p>
        </w:tc>
        <w:tc>
          <w:tcPr>
            <w:tcW w:w="6576" w:type="dxa"/>
          </w:tcPr>
          <w:p w14:paraId="2F23BFB9" w14:textId="77777777" w:rsidR="00BA1762" w:rsidRPr="00BC28A9" w:rsidRDefault="00BA1762" w:rsidP="00A36751">
            <w:r w:rsidRPr="00BC28A9">
              <w:t>Admitted Patient Care National Minimum Dataset</w:t>
            </w:r>
          </w:p>
        </w:tc>
      </w:tr>
      <w:tr w:rsidR="00BA1762" w:rsidRPr="00BC28A9" w14:paraId="38043ACD" w14:textId="77777777" w:rsidTr="00BA1762">
        <w:trPr>
          <w:trHeight w:val="607"/>
        </w:trPr>
        <w:tc>
          <w:tcPr>
            <w:tcW w:w="3085" w:type="dxa"/>
          </w:tcPr>
          <w:p w14:paraId="6746BD5B" w14:textId="77777777" w:rsidR="00BA1762" w:rsidRPr="00BC28A9" w:rsidRDefault="00BA1762" w:rsidP="00A36751">
            <w:r>
              <w:t>CCAG</w:t>
            </w:r>
          </w:p>
        </w:tc>
        <w:tc>
          <w:tcPr>
            <w:tcW w:w="6576" w:type="dxa"/>
          </w:tcPr>
          <w:p w14:paraId="1FDB381C" w14:textId="77777777" w:rsidR="00BA1762" w:rsidRPr="00BC28A9" w:rsidRDefault="00BA1762" w:rsidP="00A36751">
            <w:r>
              <w:t>Classifications Clinical Advisory Group</w:t>
            </w:r>
          </w:p>
        </w:tc>
      </w:tr>
      <w:tr w:rsidR="00BA1762" w:rsidRPr="00BC28A9" w14:paraId="58EA3823" w14:textId="77777777" w:rsidTr="00BA1762">
        <w:trPr>
          <w:trHeight w:val="607"/>
        </w:trPr>
        <w:tc>
          <w:tcPr>
            <w:tcW w:w="3085" w:type="dxa"/>
          </w:tcPr>
          <w:p w14:paraId="15509FE5" w14:textId="77777777" w:rsidR="00BA1762" w:rsidRPr="00BC28A9" w:rsidRDefault="00BA1762" w:rsidP="00A36751">
            <w:r w:rsidRPr="00BC28A9">
              <w:t>CDC</w:t>
            </w:r>
          </w:p>
        </w:tc>
        <w:tc>
          <w:tcPr>
            <w:tcW w:w="6576" w:type="dxa"/>
          </w:tcPr>
          <w:p w14:paraId="5112CA5D" w14:textId="77777777" w:rsidR="00BA1762" w:rsidRPr="00BC28A9" w:rsidRDefault="00BA1762" w:rsidP="00A36751">
            <w:r w:rsidRPr="00BC28A9">
              <w:t>Coherent Diagnosis Classes</w:t>
            </w:r>
          </w:p>
        </w:tc>
      </w:tr>
      <w:tr w:rsidR="00BA1762" w:rsidRPr="00BC28A9" w14:paraId="207D6797" w14:textId="77777777" w:rsidTr="00BA1762">
        <w:trPr>
          <w:trHeight w:val="607"/>
        </w:trPr>
        <w:tc>
          <w:tcPr>
            <w:tcW w:w="3085" w:type="dxa"/>
          </w:tcPr>
          <w:p w14:paraId="2C787533" w14:textId="77777777" w:rsidR="00BA1762" w:rsidRPr="00BC28A9" w:rsidRDefault="00BA1762" w:rsidP="00A36751">
            <w:r w:rsidRPr="00BC28A9">
              <w:t>DCL</w:t>
            </w:r>
          </w:p>
        </w:tc>
        <w:tc>
          <w:tcPr>
            <w:tcW w:w="6576" w:type="dxa"/>
          </w:tcPr>
          <w:p w14:paraId="2435013E" w14:textId="77777777" w:rsidR="00BA1762" w:rsidRPr="00BC28A9" w:rsidRDefault="00BA1762" w:rsidP="00A36751">
            <w:r w:rsidRPr="00BC28A9">
              <w:t>Diagnosis Complexity Level</w:t>
            </w:r>
          </w:p>
        </w:tc>
      </w:tr>
      <w:tr w:rsidR="00BA1762" w:rsidRPr="00BC28A9" w14:paraId="12CCA4AB" w14:textId="77777777" w:rsidTr="00BA1762">
        <w:trPr>
          <w:trHeight w:val="607"/>
        </w:trPr>
        <w:tc>
          <w:tcPr>
            <w:tcW w:w="3085" w:type="dxa"/>
          </w:tcPr>
          <w:p w14:paraId="05FBCAF3" w14:textId="77777777" w:rsidR="00BA1762" w:rsidRPr="00BC28A9" w:rsidRDefault="00BA1762" w:rsidP="00A36751">
            <w:r w:rsidRPr="00BC28A9">
              <w:t>DRG</w:t>
            </w:r>
          </w:p>
        </w:tc>
        <w:tc>
          <w:tcPr>
            <w:tcW w:w="6576" w:type="dxa"/>
          </w:tcPr>
          <w:p w14:paraId="27A57D82" w14:textId="77777777" w:rsidR="00BA1762" w:rsidRPr="00BC28A9" w:rsidRDefault="00BA1762" w:rsidP="00A36751">
            <w:r w:rsidRPr="00BC28A9">
              <w:t>Diagnosis Related Groups</w:t>
            </w:r>
          </w:p>
        </w:tc>
      </w:tr>
      <w:tr w:rsidR="00BA1762" w:rsidRPr="00BC28A9" w14:paraId="3E9F0532" w14:textId="77777777" w:rsidTr="00BA1762">
        <w:trPr>
          <w:trHeight w:val="607"/>
        </w:trPr>
        <w:tc>
          <w:tcPr>
            <w:tcW w:w="3085" w:type="dxa"/>
          </w:tcPr>
          <w:p w14:paraId="4FD5EFB0" w14:textId="77777777" w:rsidR="00BA1762" w:rsidRPr="00BC28A9" w:rsidRDefault="00BA1762" w:rsidP="00A36751">
            <w:r>
              <w:t>DTG</w:t>
            </w:r>
          </w:p>
        </w:tc>
        <w:tc>
          <w:tcPr>
            <w:tcW w:w="6576" w:type="dxa"/>
          </w:tcPr>
          <w:p w14:paraId="5D591C49" w14:textId="77777777" w:rsidR="00BA1762" w:rsidRPr="00BC28A9" w:rsidRDefault="00BA1762" w:rsidP="00A36751">
            <w:r>
              <w:t>DRG Technical Group</w:t>
            </w:r>
          </w:p>
        </w:tc>
      </w:tr>
      <w:tr w:rsidR="00BA1762" w:rsidRPr="00BC28A9" w14:paraId="2A99F39F" w14:textId="77777777" w:rsidTr="00BA1762">
        <w:trPr>
          <w:trHeight w:val="607"/>
        </w:trPr>
        <w:tc>
          <w:tcPr>
            <w:tcW w:w="3085" w:type="dxa"/>
          </w:tcPr>
          <w:p w14:paraId="75971F7C" w14:textId="77777777" w:rsidR="00BA1762" w:rsidRPr="00BC28A9" w:rsidRDefault="00BA1762" w:rsidP="00A36751">
            <w:r w:rsidRPr="00BC28A9">
              <w:t>ECC</w:t>
            </w:r>
          </w:p>
        </w:tc>
        <w:tc>
          <w:tcPr>
            <w:tcW w:w="6576" w:type="dxa"/>
          </w:tcPr>
          <w:p w14:paraId="419FCD76" w14:textId="77777777" w:rsidR="00BA1762" w:rsidRPr="00BC28A9" w:rsidRDefault="00BA1762" w:rsidP="00A36751">
            <w:r w:rsidRPr="00BC28A9">
              <w:t>Episode Clinical Complexity</w:t>
            </w:r>
          </w:p>
        </w:tc>
      </w:tr>
      <w:tr w:rsidR="00BA1762" w:rsidRPr="00BC28A9" w14:paraId="74A8C616" w14:textId="77777777" w:rsidTr="00BA1762">
        <w:trPr>
          <w:trHeight w:val="607"/>
        </w:trPr>
        <w:tc>
          <w:tcPr>
            <w:tcW w:w="3085" w:type="dxa"/>
          </w:tcPr>
          <w:p w14:paraId="6F23E6BD" w14:textId="77777777" w:rsidR="00BA1762" w:rsidRPr="00BC28A9" w:rsidRDefault="00BA1762" w:rsidP="00A36751">
            <w:r w:rsidRPr="00BC28A9">
              <w:t>ECCS</w:t>
            </w:r>
          </w:p>
        </w:tc>
        <w:tc>
          <w:tcPr>
            <w:tcW w:w="6576" w:type="dxa"/>
          </w:tcPr>
          <w:p w14:paraId="4F57C18B" w14:textId="77777777" w:rsidR="00BA1762" w:rsidRPr="00BC28A9" w:rsidRDefault="00BA1762" w:rsidP="00A36751">
            <w:r w:rsidRPr="00BC28A9">
              <w:t>Episode Clinical Complexity Score</w:t>
            </w:r>
          </w:p>
        </w:tc>
      </w:tr>
      <w:tr w:rsidR="00BA1762" w:rsidRPr="00BC28A9" w14:paraId="35587616" w14:textId="77777777" w:rsidTr="00BA1762">
        <w:trPr>
          <w:trHeight w:val="607"/>
        </w:trPr>
        <w:tc>
          <w:tcPr>
            <w:tcW w:w="3085" w:type="dxa"/>
          </w:tcPr>
          <w:p w14:paraId="09C43CF8" w14:textId="77777777" w:rsidR="00BA1762" w:rsidRPr="00BC28A9" w:rsidRDefault="00BA1762" w:rsidP="00A36751">
            <w:r w:rsidRPr="00BC28A9">
              <w:t>GIs</w:t>
            </w:r>
          </w:p>
        </w:tc>
        <w:tc>
          <w:tcPr>
            <w:tcW w:w="6576" w:type="dxa"/>
          </w:tcPr>
          <w:p w14:paraId="4863BD0D" w14:textId="77777777" w:rsidR="00BA1762" w:rsidRPr="00BC28A9" w:rsidRDefault="00BA1762" w:rsidP="00A36751">
            <w:r w:rsidRPr="00BC28A9">
              <w:t>General Interventions</w:t>
            </w:r>
          </w:p>
        </w:tc>
      </w:tr>
      <w:tr w:rsidR="00BA1762" w:rsidRPr="00BC28A9" w14:paraId="398638D5" w14:textId="77777777" w:rsidTr="00BA1762">
        <w:trPr>
          <w:trHeight w:val="607"/>
        </w:trPr>
        <w:tc>
          <w:tcPr>
            <w:tcW w:w="3085" w:type="dxa"/>
          </w:tcPr>
          <w:p w14:paraId="1DB70615" w14:textId="77777777" w:rsidR="00BA1762" w:rsidRPr="00BC28A9" w:rsidRDefault="00BA1762" w:rsidP="00A36751">
            <w:r w:rsidRPr="00BC28A9">
              <w:t>ICD-10-AM</w:t>
            </w:r>
          </w:p>
        </w:tc>
        <w:tc>
          <w:tcPr>
            <w:tcW w:w="6576" w:type="dxa"/>
          </w:tcPr>
          <w:p w14:paraId="1171102D" w14:textId="77777777" w:rsidR="00BA1762" w:rsidRPr="00BC28A9" w:rsidRDefault="00BA1762" w:rsidP="00A36751">
            <w:r w:rsidRPr="00BC28A9">
              <w:t>International Statistical Classification of Diseases and Related Health Problems, Tenth Revision, Australian Modification</w:t>
            </w:r>
          </w:p>
        </w:tc>
      </w:tr>
      <w:tr w:rsidR="00BA1762" w:rsidRPr="00BC28A9" w14:paraId="725CC476" w14:textId="77777777" w:rsidTr="00BA1762">
        <w:trPr>
          <w:trHeight w:val="607"/>
        </w:trPr>
        <w:tc>
          <w:tcPr>
            <w:tcW w:w="3085" w:type="dxa"/>
          </w:tcPr>
          <w:p w14:paraId="6D3F1CD7" w14:textId="7B7067E5" w:rsidR="00BA1762" w:rsidRPr="00BC28A9" w:rsidRDefault="00E94871" w:rsidP="00A36751">
            <w:r>
              <w:t>IHACPA</w:t>
            </w:r>
          </w:p>
        </w:tc>
        <w:tc>
          <w:tcPr>
            <w:tcW w:w="6576" w:type="dxa"/>
          </w:tcPr>
          <w:p w14:paraId="29425FAA" w14:textId="4778AC22" w:rsidR="00BA1762" w:rsidRPr="00BC28A9" w:rsidRDefault="00E94871" w:rsidP="00A36751">
            <w:r>
              <w:t>Independent Health and Aged Care Pricing Authority</w:t>
            </w:r>
          </w:p>
        </w:tc>
      </w:tr>
      <w:tr w:rsidR="00BA1762" w:rsidRPr="00BC28A9" w14:paraId="079C2399" w14:textId="77777777" w:rsidTr="00BA1762">
        <w:trPr>
          <w:trHeight w:val="607"/>
        </w:trPr>
        <w:tc>
          <w:tcPr>
            <w:tcW w:w="3085" w:type="dxa"/>
          </w:tcPr>
          <w:p w14:paraId="6BE9DC8C" w14:textId="77777777" w:rsidR="00BA1762" w:rsidRPr="00BC28A9" w:rsidRDefault="00BA1762" w:rsidP="00A36751">
            <w:r w:rsidRPr="00BC28A9">
              <w:t>LOS</w:t>
            </w:r>
          </w:p>
        </w:tc>
        <w:tc>
          <w:tcPr>
            <w:tcW w:w="6576" w:type="dxa"/>
          </w:tcPr>
          <w:p w14:paraId="05BEE677" w14:textId="77777777" w:rsidR="00BA1762" w:rsidRPr="00BC28A9" w:rsidRDefault="00BA1762" w:rsidP="00A36751">
            <w:r w:rsidRPr="00BC28A9">
              <w:t>Length of Stay</w:t>
            </w:r>
          </w:p>
        </w:tc>
      </w:tr>
      <w:tr w:rsidR="00BA1762" w:rsidRPr="00BC28A9" w14:paraId="586BF803" w14:textId="77777777" w:rsidTr="00BA1762">
        <w:trPr>
          <w:trHeight w:val="607"/>
        </w:trPr>
        <w:tc>
          <w:tcPr>
            <w:tcW w:w="3085" w:type="dxa"/>
          </w:tcPr>
          <w:p w14:paraId="0C0E592F" w14:textId="77777777" w:rsidR="00BA1762" w:rsidRPr="00BC28A9" w:rsidRDefault="00BA1762" w:rsidP="00A36751">
            <w:r w:rsidRPr="00BC28A9">
              <w:t>MDC</w:t>
            </w:r>
          </w:p>
        </w:tc>
        <w:tc>
          <w:tcPr>
            <w:tcW w:w="6576" w:type="dxa"/>
          </w:tcPr>
          <w:p w14:paraId="1D80272F" w14:textId="77777777" w:rsidR="00BA1762" w:rsidRPr="00BC28A9" w:rsidRDefault="00BA1762" w:rsidP="00A36751">
            <w:r w:rsidRPr="00BC28A9">
              <w:t>Major Diagnostic Category</w:t>
            </w:r>
          </w:p>
        </w:tc>
      </w:tr>
      <w:tr w:rsidR="00BA1762" w:rsidRPr="00BC28A9" w14:paraId="767E6A7C" w14:textId="77777777" w:rsidTr="00BA1762">
        <w:trPr>
          <w:trHeight w:val="607"/>
        </w:trPr>
        <w:tc>
          <w:tcPr>
            <w:tcW w:w="3085" w:type="dxa"/>
          </w:tcPr>
          <w:p w14:paraId="41165EEF" w14:textId="77777777" w:rsidR="00BA1762" w:rsidRPr="00BC28A9" w:rsidRDefault="00BA1762" w:rsidP="00A36751">
            <w:r w:rsidRPr="00BC28A9">
              <w:t>NEP</w:t>
            </w:r>
          </w:p>
        </w:tc>
        <w:tc>
          <w:tcPr>
            <w:tcW w:w="6576" w:type="dxa"/>
          </w:tcPr>
          <w:p w14:paraId="1244DA7B" w14:textId="77777777" w:rsidR="00BA1762" w:rsidRPr="00BC28A9" w:rsidRDefault="00BA1762" w:rsidP="00A36751">
            <w:r w:rsidRPr="00BC28A9">
              <w:t>National Efficient Price</w:t>
            </w:r>
          </w:p>
        </w:tc>
      </w:tr>
      <w:tr w:rsidR="00BA1762" w:rsidRPr="00BC28A9" w14:paraId="790544E6" w14:textId="77777777" w:rsidTr="00BA1762">
        <w:trPr>
          <w:trHeight w:val="607"/>
        </w:trPr>
        <w:tc>
          <w:tcPr>
            <w:tcW w:w="3085" w:type="dxa"/>
          </w:tcPr>
          <w:p w14:paraId="6AC81406" w14:textId="77777777" w:rsidR="00BA1762" w:rsidRPr="00BC28A9" w:rsidRDefault="00BA1762" w:rsidP="00A36751">
            <w:r w:rsidRPr="00BC28A9">
              <w:t>NHCDC</w:t>
            </w:r>
          </w:p>
        </w:tc>
        <w:tc>
          <w:tcPr>
            <w:tcW w:w="6576" w:type="dxa"/>
          </w:tcPr>
          <w:p w14:paraId="18B5297C" w14:textId="77777777" w:rsidR="00BA1762" w:rsidRPr="00BC28A9" w:rsidRDefault="00BA1762" w:rsidP="00A36751">
            <w:r w:rsidRPr="00BC28A9">
              <w:t>National Hospital Cost Data Collection</w:t>
            </w:r>
          </w:p>
        </w:tc>
      </w:tr>
      <w:tr w:rsidR="00BA1762" w:rsidRPr="00BC28A9" w14:paraId="11514E3A" w14:textId="77777777" w:rsidTr="00BA1762">
        <w:trPr>
          <w:trHeight w:val="607"/>
        </w:trPr>
        <w:tc>
          <w:tcPr>
            <w:tcW w:w="3085" w:type="dxa"/>
          </w:tcPr>
          <w:p w14:paraId="5A311700" w14:textId="77777777" w:rsidR="00BA1762" w:rsidRPr="00BC28A9" w:rsidRDefault="00BA1762" w:rsidP="00A36751">
            <w:r w:rsidRPr="00BC28A9">
              <w:t>RID</w:t>
            </w:r>
          </w:p>
        </w:tc>
        <w:tc>
          <w:tcPr>
            <w:tcW w:w="6576" w:type="dxa"/>
          </w:tcPr>
          <w:p w14:paraId="284C4720" w14:textId="77777777" w:rsidR="00BA1762" w:rsidRPr="00BC28A9" w:rsidRDefault="00BA1762" w:rsidP="00A36751">
            <w:r w:rsidRPr="00BC28A9">
              <w:t>Reduction in Deviance</w:t>
            </w:r>
          </w:p>
        </w:tc>
      </w:tr>
    </w:tbl>
    <w:p w14:paraId="54C9DA57" w14:textId="77777777" w:rsidR="00BA1762" w:rsidRPr="00BC28A9" w:rsidRDefault="00BA1762" w:rsidP="00412D3E">
      <w:pPr>
        <w:pStyle w:val="Heading1"/>
        <w:numPr>
          <w:ilvl w:val="0"/>
          <w:numId w:val="8"/>
        </w:numPr>
        <w:ind w:left="567" w:hanging="567"/>
      </w:pPr>
      <w:bookmarkStart w:id="3" w:name="_Toc534624593"/>
      <w:bookmarkStart w:id="4" w:name="_Toc534632862"/>
      <w:bookmarkStart w:id="5" w:name="_Toc100842982"/>
      <w:bookmarkStart w:id="6" w:name="_Toc124657504"/>
      <w:r w:rsidRPr="00BC28A9">
        <w:lastRenderedPageBreak/>
        <w:t>Introduction</w:t>
      </w:r>
      <w:bookmarkEnd w:id="3"/>
      <w:bookmarkEnd w:id="4"/>
      <w:bookmarkEnd w:id="5"/>
      <w:bookmarkEnd w:id="6"/>
    </w:p>
    <w:p w14:paraId="5ECA227B" w14:textId="77777777" w:rsidR="00BA1762" w:rsidRPr="00BC28A9" w:rsidRDefault="00BA1762" w:rsidP="00BA1762">
      <w:pPr>
        <w:pStyle w:val="Heading2"/>
        <w:numPr>
          <w:ilvl w:val="1"/>
          <w:numId w:val="11"/>
        </w:numPr>
      </w:pPr>
      <w:bookmarkStart w:id="7" w:name="_Toc93403679"/>
      <w:bookmarkStart w:id="8" w:name="_Toc100842983"/>
      <w:bookmarkStart w:id="9" w:name="_Toc124657505"/>
      <w:bookmarkStart w:id="10" w:name="_Toc534624594"/>
      <w:r w:rsidRPr="00BC28A9">
        <w:t>AR-DRG classification</w:t>
      </w:r>
      <w:bookmarkEnd w:id="7"/>
      <w:bookmarkEnd w:id="8"/>
      <w:bookmarkEnd w:id="9"/>
      <w:r w:rsidRPr="00BC28A9">
        <w:t xml:space="preserve"> </w:t>
      </w:r>
    </w:p>
    <w:p w14:paraId="0B99B196" w14:textId="224EAA57" w:rsidR="00BA1762" w:rsidRPr="00BC28A9" w:rsidRDefault="00BA1762" w:rsidP="00BA1762">
      <w:r w:rsidRPr="00BC28A9">
        <w:t xml:space="preserve">The </w:t>
      </w:r>
      <w:r w:rsidR="003967C9" w:rsidRPr="003967C9">
        <w:rPr>
          <w:b/>
          <w:bCs/>
        </w:rPr>
        <w:t>Independent</w:t>
      </w:r>
      <w:r w:rsidR="00E94871" w:rsidRPr="00FC6567">
        <w:rPr>
          <w:b/>
          <w:bCs/>
        </w:rPr>
        <w:t xml:space="preserve"> Health and Aged Care Pricing Authority (IHACPA)</w:t>
      </w:r>
      <w:r w:rsidR="00E94871">
        <w:t xml:space="preserve"> </w:t>
      </w:r>
      <w:r w:rsidRPr="00BC28A9">
        <w:t xml:space="preserve">is responsible for the development of the Australian Refined Diagnosis Related Groups (AR-DRG) classification. The classification </w:t>
      </w:r>
      <w:proofErr w:type="spellStart"/>
      <w:r w:rsidRPr="00BC28A9">
        <w:t>categorises</w:t>
      </w:r>
      <w:proofErr w:type="spellEnd"/>
      <w:r w:rsidRPr="00BC28A9">
        <w:t xml:space="preserve"> similar episodes of admitted</w:t>
      </w:r>
      <w:r>
        <w:t xml:space="preserve"> acute</w:t>
      </w:r>
      <w:r w:rsidRPr="00BC28A9">
        <w:t xml:space="preserve"> care based on clinical and administrative information. </w:t>
      </w:r>
    </w:p>
    <w:p w14:paraId="223E865C" w14:textId="77777777" w:rsidR="00BA1762" w:rsidRPr="00BC28A9" w:rsidRDefault="00BA1762" w:rsidP="00BA1762">
      <w:r w:rsidRPr="00BC28A9">
        <w:t xml:space="preserve">The AR-DRG classification is underpinned by the International Statistical Classification of Diseases and Related Health Problems, Tenth Revision, Australian Modification (ICD-10-AM), the Australian Classification of Health Interventions (ACHI) and the Australian Coding Standards (ACS); collectively known as ICD-10-AM/ACHI/ACS. </w:t>
      </w:r>
    </w:p>
    <w:p w14:paraId="53B53A1B" w14:textId="77777777" w:rsidR="00BA1762" w:rsidRPr="00BC28A9" w:rsidRDefault="00BA1762" w:rsidP="00BA1762">
      <w:r w:rsidRPr="00BC28A9">
        <w:t>The AR-DRG classification is underpinned by data coded using ICD-10-AM/ACHI/ACS along with other routinely collected information to classify admitted acute episodes of care in public and private hospitals across Australia. Other routinely collected information used by the AR-DRG classification includes age, sex, separation mode, length of stay, newborn admission weight, hours of mechanical ventilation and same</w:t>
      </w:r>
      <w:r>
        <w:t>-</w:t>
      </w:r>
      <w:r w:rsidRPr="00BC28A9">
        <w:t xml:space="preserve">day status. </w:t>
      </w:r>
    </w:p>
    <w:p w14:paraId="6A8310F9" w14:textId="77777777" w:rsidR="00BA1762" w:rsidRPr="00BC28A9" w:rsidRDefault="00BA1762" w:rsidP="00BA1762">
      <w:r w:rsidRPr="00BC28A9">
        <w:t>The AR-DRG classification provides a clinically meaningful way of relating the number and types of admitted patients to the resources required by the health service to provide those services. This mechanism enables activity based funding (ABF) of admitted</w:t>
      </w:r>
      <w:r>
        <w:t xml:space="preserve"> acute</w:t>
      </w:r>
      <w:r w:rsidRPr="00BC28A9">
        <w:t xml:space="preserve"> hospital services.</w:t>
      </w:r>
    </w:p>
    <w:p w14:paraId="412F0144" w14:textId="2EA62482" w:rsidR="00BA1762" w:rsidRDefault="00BA1762" w:rsidP="00BA1762">
      <w:r w:rsidRPr="00BC28A9">
        <w:t>While the AR-DRG classification is instrumental to ABF, it is also used for many other purposes, including benchmarking, epidemiology, facilitation of payment of services in the private health sector, health service planning and performance management.</w:t>
      </w:r>
    </w:p>
    <w:p w14:paraId="63060CCE" w14:textId="36D190EA" w:rsidR="004B7E50" w:rsidRDefault="004B7E50" w:rsidP="004B7E50">
      <w:r>
        <w:t>AR-DRG V11.0 was released in mid-2022. In late 2022, IHAPCA identified an anomaly regarding AR-DRG V11.0 data preparation resulting in the cost data for admitted mental health care episodes for 2017</w:t>
      </w:r>
      <w:r w:rsidR="002F0F52" w:rsidRPr="00BC28A9">
        <w:t>–</w:t>
      </w:r>
      <w:r>
        <w:t>18 and 2018</w:t>
      </w:r>
      <w:r w:rsidR="002F0F52" w:rsidRPr="00BC28A9">
        <w:t>–</w:t>
      </w:r>
      <w:r>
        <w:t>19 not being included in the data preparation process. IHACPA has conducted analysis of the anomaly which does not demonstrate a material impact on the performance of AR-DRG V11.0 and ha</w:t>
      </w:r>
      <w:r w:rsidR="002F0F52">
        <w:t>s</w:t>
      </w:r>
      <w:r>
        <w:t xml:space="preserve"> minimal impact on jurisdictions. Following consultation with IHACPA advisory committees which indicated a preference to remediate the anomaly, IHACPA has recalculated the AR-DRG V11.0 complexity model and revised the AR-DRG V11.0 classification in January 2023. AR-DRG V11.0 is anticipated to be used to price episodes of admitted acute patient care from 1 July 2023.</w:t>
      </w:r>
    </w:p>
    <w:p w14:paraId="43505B41" w14:textId="77777777" w:rsidR="00BA1762" w:rsidRPr="00BC28A9" w:rsidRDefault="00BA1762" w:rsidP="00BA1762">
      <w:pPr>
        <w:pStyle w:val="Heading2"/>
        <w:numPr>
          <w:ilvl w:val="1"/>
          <w:numId w:val="11"/>
        </w:numPr>
        <w:spacing w:before="360" w:after="120" w:line="260" w:lineRule="atLeast"/>
        <w:contextualSpacing/>
      </w:pPr>
      <w:bookmarkStart w:id="11" w:name="_Toc124151750"/>
      <w:bookmarkStart w:id="12" w:name="_Toc100842984"/>
      <w:bookmarkStart w:id="13" w:name="_Toc124657506"/>
      <w:bookmarkEnd w:id="11"/>
      <w:r w:rsidRPr="00BC28A9">
        <w:t>Purpose</w:t>
      </w:r>
      <w:bookmarkEnd w:id="12"/>
      <w:bookmarkEnd w:id="13"/>
    </w:p>
    <w:p w14:paraId="7CC9A660" w14:textId="77777777" w:rsidR="00BA1762" w:rsidRPr="00BC28A9" w:rsidRDefault="00BA1762" w:rsidP="00C42708">
      <w:r w:rsidRPr="00BC28A9">
        <w:t>This document details the methodology and technical specifications used in the development of AR-DRG V11.0, including:</w:t>
      </w:r>
    </w:p>
    <w:p w14:paraId="5F00A1F1" w14:textId="77777777" w:rsidR="00BA1762" w:rsidRPr="00BC28A9" w:rsidRDefault="00BA1762" w:rsidP="00C42708">
      <w:pPr>
        <w:pStyle w:val="ListBullet"/>
        <w:numPr>
          <w:ilvl w:val="0"/>
          <w:numId w:val="6"/>
        </w:numPr>
        <w:spacing w:before="0" w:after="160" w:line="288" w:lineRule="auto"/>
        <w:ind w:left="714" w:hanging="357"/>
      </w:pPr>
      <w:r w:rsidRPr="00BC28A9">
        <w:t xml:space="preserve">data preparation and modification </w:t>
      </w:r>
    </w:p>
    <w:p w14:paraId="36517823" w14:textId="77777777" w:rsidR="00BA1762" w:rsidRPr="00BC28A9" w:rsidRDefault="00BA1762" w:rsidP="00C42708">
      <w:pPr>
        <w:pStyle w:val="ListBullet"/>
        <w:numPr>
          <w:ilvl w:val="0"/>
          <w:numId w:val="6"/>
        </w:numPr>
        <w:spacing w:before="0" w:after="160" w:line="288" w:lineRule="auto"/>
        <w:ind w:left="714" w:hanging="357"/>
      </w:pPr>
      <w:r w:rsidRPr="00BC28A9">
        <w:lastRenderedPageBreak/>
        <w:t>adjacent DRG (ADRG) intervention hierarchy review</w:t>
      </w:r>
    </w:p>
    <w:p w14:paraId="6E7AAB88" w14:textId="77777777" w:rsidR="00BA1762" w:rsidRPr="00BC28A9" w:rsidRDefault="00BA1762" w:rsidP="00C42708">
      <w:pPr>
        <w:pStyle w:val="ListBullet"/>
        <w:numPr>
          <w:ilvl w:val="0"/>
          <w:numId w:val="6"/>
        </w:numPr>
        <w:spacing w:before="0" w:after="160" w:line="288" w:lineRule="auto"/>
        <w:ind w:left="714" w:hanging="357"/>
      </w:pPr>
      <w:r w:rsidRPr="00BC28A9">
        <w:t>derivation of the Episode Clinical Complexity Score (ECCS)</w:t>
      </w:r>
    </w:p>
    <w:p w14:paraId="731371EB" w14:textId="77777777" w:rsidR="00BA1762" w:rsidRPr="00BC28A9" w:rsidRDefault="00BA1762" w:rsidP="00C42708">
      <w:pPr>
        <w:pStyle w:val="ListBullet"/>
        <w:numPr>
          <w:ilvl w:val="0"/>
          <w:numId w:val="6"/>
        </w:numPr>
        <w:spacing w:before="0" w:after="160" w:line="288" w:lineRule="auto"/>
        <w:ind w:left="714" w:hanging="357"/>
      </w:pPr>
      <w:r w:rsidRPr="00BC28A9">
        <w:t>ADRG splitting review.</w:t>
      </w:r>
      <w:bookmarkEnd w:id="10"/>
    </w:p>
    <w:p w14:paraId="4C064BC4" w14:textId="77777777" w:rsidR="00BA1762" w:rsidRPr="00BC28A9" w:rsidRDefault="00BA1762" w:rsidP="00BA1762">
      <w:pPr>
        <w:pStyle w:val="Heading2"/>
        <w:numPr>
          <w:ilvl w:val="1"/>
          <w:numId w:val="11"/>
        </w:numPr>
        <w:spacing w:before="360" w:after="120" w:line="260" w:lineRule="atLeast"/>
        <w:contextualSpacing/>
      </w:pPr>
      <w:bookmarkStart w:id="14" w:name="_Toc93403682"/>
      <w:bookmarkStart w:id="15" w:name="_Toc100842985"/>
      <w:bookmarkStart w:id="16" w:name="_Toc124657507"/>
      <w:r w:rsidRPr="00BC28A9">
        <w:t>Additional resources for AR-DRG V11.0</w:t>
      </w:r>
      <w:bookmarkEnd w:id="14"/>
      <w:bookmarkEnd w:id="15"/>
      <w:bookmarkEnd w:id="16"/>
    </w:p>
    <w:p w14:paraId="289580BC" w14:textId="77777777" w:rsidR="00BA1762" w:rsidRPr="00BC28A9" w:rsidRDefault="00BA1762" w:rsidP="00BA1762">
      <w:r w:rsidRPr="00BC28A9">
        <w:t xml:space="preserve">In addition to the </w:t>
      </w:r>
      <w:r w:rsidRPr="00BC28A9">
        <w:rPr>
          <w:i/>
        </w:rPr>
        <w:t>AR-DRG V11.0 Technical Specifications</w:t>
      </w:r>
      <w:r w:rsidRPr="00BC28A9">
        <w:t xml:space="preserve">, other resources have been developed to support the use and implementation of AR-DRG V11.0. </w:t>
      </w:r>
    </w:p>
    <w:p w14:paraId="0A7880AB" w14:textId="77777777" w:rsidR="00BA1762" w:rsidRPr="00BC28A9" w:rsidRDefault="00BA1762" w:rsidP="00BA1762">
      <w:pPr>
        <w:pStyle w:val="Heading3"/>
        <w:numPr>
          <w:ilvl w:val="2"/>
          <w:numId w:val="11"/>
        </w:numPr>
        <w:spacing w:before="240" w:after="120" w:line="240" w:lineRule="auto"/>
        <w:contextualSpacing/>
      </w:pPr>
      <w:bookmarkStart w:id="17" w:name="_Toc124657508"/>
      <w:r w:rsidRPr="00BC28A9">
        <w:t>AR-DRG V11.0 Final Report</w:t>
      </w:r>
      <w:bookmarkEnd w:id="17"/>
    </w:p>
    <w:p w14:paraId="4BECE7D4" w14:textId="77777777" w:rsidR="00BA1762" w:rsidRPr="00BC28A9" w:rsidRDefault="00BA1762" w:rsidP="00BA1762">
      <w:r w:rsidRPr="00BC28A9">
        <w:t xml:space="preserve">The </w:t>
      </w:r>
      <w:r w:rsidRPr="00BC28A9">
        <w:rPr>
          <w:i/>
        </w:rPr>
        <w:t>AR-DRG V11.0 Final Report</w:t>
      </w:r>
      <w:r w:rsidRPr="00BC28A9">
        <w:t xml:space="preserve"> outlines the refinement process, analysis undertaken and the rationale for changes for V11.0. Several enhancements were also investigated for V11.0 but, after analysis and consultation with stakeholders, were not progressed.</w:t>
      </w:r>
    </w:p>
    <w:p w14:paraId="5A868356" w14:textId="77777777" w:rsidR="00BA1762" w:rsidRPr="00BC28A9" w:rsidRDefault="00BA1762" w:rsidP="00BA1762">
      <w:pPr>
        <w:pStyle w:val="Heading3"/>
        <w:numPr>
          <w:ilvl w:val="2"/>
          <w:numId w:val="11"/>
        </w:numPr>
        <w:spacing w:before="240" w:after="120" w:line="240" w:lineRule="auto"/>
        <w:contextualSpacing/>
      </w:pPr>
      <w:bookmarkStart w:id="18" w:name="_Toc124657509"/>
      <w:r w:rsidRPr="00BC28A9">
        <w:t>AR-DRG V11.0 Definitions Manual</w:t>
      </w:r>
      <w:bookmarkEnd w:id="18"/>
    </w:p>
    <w:p w14:paraId="7569537B" w14:textId="77777777" w:rsidR="00BA1762" w:rsidRPr="00BC28A9" w:rsidRDefault="00BA1762" w:rsidP="00BA1762">
      <w:r w:rsidRPr="00BC28A9">
        <w:t xml:space="preserve">The </w:t>
      </w:r>
      <w:r w:rsidRPr="00BC28A9">
        <w:rPr>
          <w:i/>
        </w:rPr>
        <w:t>AR-DRG Definitions Manual</w:t>
      </w:r>
      <w:r w:rsidRPr="00BC28A9">
        <w:t xml:space="preserve"> is a set of reference documents that details the definition logic for the DRG process performed by the grouper. The manual provides documentation of how particular episodes of care group to DRGs. </w:t>
      </w:r>
    </w:p>
    <w:p w14:paraId="64B47C55" w14:textId="3EE97FAE" w:rsidR="00BA1762" w:rsidRPr="00BC28A9" w:rsidRDefault="00BA1762" w:rsidP="00BA1762">
      <w:r w:rsidRPr="00BC28A9">
        <w:t xml:space="preserve">While the manual assists with the identification of likely DRG assignments for individual episodes, they are not a substitute for the grouping software that is provided by various vendors under </w:t>
      </w:r>
      <w:proofErr w:type="spellStart"/>
      <w:r w:rsidRPr="00BC28A9">
        <w:t>licence</w:t>
      </w:r>
      <w:proofErr w:type="spellEnd"/>
      <w:r w:rsidRPr="00BC28A9">
        <w:t xml:space="preserve"> from</w:t>
      </w:r>
      <w:r w:rsidR="00F65966">
        <w:t xml:space="preserve"> IHACPA</w:t>
      </w:r>
      <w:r w:rsidRPr="00BC28A9">
        <w:t>.</w:t>
      </w:r>
    </w:p>
    <w:p w14:paraId="7B12C362" w14:textId="77777777" w:rsidR="00BA1762" w:rsidRPr="00BC28A9" w:rsidRDefault="00BA1762" w:rsidP="00BA1762">
      <w:pPr>
        <w:pStyle w:val="Heading3"/>
        <w:numPr>
          <w:ilvl w:val="2"/>
          <w:numId w:val="11"/>
        </w:numPr>
        <w:spacing w:before="240" w:after="120" w:line="240" w:lineRule="auto"/>
        <w:contextualSpacing/>
      </w:pPr>
      <w:bookmarkStart w:id="19" w:name="_Toc124657510"/>
      <w:r w:rsidRPr="00BC28A9">
        <w:t>AR-DRG Descriptions File</w:t>
      </w:r>
      <w:bookmarkEnd w:id="19"/>
    </w:p>
    <w:p w14:paraId="19DE8622" w14:textId="1ED41945" w:rsidR="00BA1762" w:rsidRPr="00BC28A9" w:rsidRDefault="00BA1762" w:rsidP="00BA1762">
      <w:r w:rsidRPr="00BC28A9">
        <w:t xml:space="preserve">The </w:t>
      </w:r>
      <w:r w:rsidRPr="00BC28A9">
        <w:rPr>
          <w:i/>
        </w:rPr>
        <w:t>AR-DRG V11.0 Descriptions</w:t>
      </w:r>
      <w:r w:rsidRPr="00BC28A9">
        <w:t xml:space="preserve"> can be found on the </w:t>
      </w:r>
      <w:r w:rsidR="00F65966">
        <w:t xml:space="preserve">IHACPA </w:t>
      </w:r>
      <w:r w:rsidRPr="00BC28A9">
        <w:t xml:space="preserve">website. This includes a full listing of long and short descriptions for </w:t>
      </w:r>
      <w:r>
        <w:t>Major Diagnostic Categories (</w:t>
      </w:r>
      <w:r w:rsidRPr="00BC28A9">
        <w:t>MDCs</w:t>
      </w:r>
      <w:r>
        <w:t>)</w:t>
      </w:r>
      <w:r w:rsidRPr="00BC28A9">
        <w:t>, ADRGs and DRGs.</w:t>
      </w:r>
    </w:p>
    <w:p w14:paraId="08CC7FD3" w14:textId="77777777" w:rsidR="00BA1762" w:rsidRPr="00BC28A9" w:rsidRDefault="00BA1762" w:rsidP="00BA1762">
      <w:pPr>
        <w:pStyle w:val="Heading3"/>
        <w:numPr>
          <w:ilvl w:val="2"/>
          <w:numId w:val="11"/>
        </w:numPr>
        <w:spacing w:before="240" w:after="120" w:line="240" w:lineRule="auto"/>
        <w:contextualSpacing/>
      </w:pPr>
      <w:bookmarkStart w:id="20" w:name="_Toc124657511"/>
      <w:r w:rsidRPr="00BC28A9">
        <w:t>ICD-10-AM/ACHI/ACS Twelfth Edition</w:t>
      </w:r>
      <w:bookmarkEnd w:id="20"/>
    </w:p>
    <w:p w14:paraId="185D6E57" w14:textId="77777777" w:rsidR="0076544F" w:rsidRDefault="00BA1762" w:rsidP="00BA1762">
      <w:pPr>
        <w:sectPr w:rsidR="0076544F" w:rsidSect="002261C0">
          <w:pgSz w:w="11906" w:h="16838" w:code="9"/>
          <w:pgMar w:top="2041" w:right="1440" w:bottom="1021" w:left="1134" w:header="680" w:footer="510" w:gutter="0"/>
          <w:cols w:space="708"/>
          <w:docGrid w:linePitch="360"/>
        </w:sectPr>
      </w:pPr>
      <w:r w:rsidRPr="00BC28A9">
        <w:t>AR-DRG V11.0 was designed based on the ICD-10-AM/ACHI/ACS Twelfth Edition classification system to classify diseases and interventions for admitted patient care.</w:t>
      </w:r>
    </w:p>
    <w:p w14:paraId="1F7D56D9" w14:textId="77777777" w:rsidR="00BA1762" w:rsidRPr="00BC28A9" w:rsidRDefault="00BA1762" w:rsidP="00412D3E">
      <w:pPr>
        <w:pStyle w:val="Heading1"/>
        <w:spacing w:after="1080" w:line="240" w:lineRule="auto"/>
        <w:ind w:left="567" w:hanging="567"/>
        <w:contextualSpacing/>
      </w:pPr>
      <w:bookmarkStart w:id="21" w:name="_Toc534624598"/>
      <w:bookmarkStart w:id="22" w:name="_Toc100842986"/>
      <w:bookmarkStart w:id="23" w:name="_Toc124657512"/>
      <w:r w:rsidRPr="00BC28A9">
        <w:lastRenderedPageBreak/>
        <w:t>Data Preparation</w:t>
      </w:r>
      <w:bookmarkEnd w:id="21"/>
      <w:bookmarkEnd w:id="22"/>
      <w:bookmarkEnd w:id="23"/>
    </w:p>
    <w:p w14:paraId="26798F09" w14:textId="77777777" w:rsidR="00BA1762" w:rsidRPr="00BC28A9" w:rsidRDefault="00BA1762" w:rsidP="00BA1762">
      <w:pPr>
        <w:pStyle w:val="Heading2"/>
        <w:spacing w:before="360" w:after="120" w:line="260" w:lineRule="atLeast"/>
        <w:contextualSpacing/>
      </w:pPr>
      <w:bookmarkStart w:id="24" w:name="_Toc534624599"/>
      <w:bookmarkStart w:id="25" w:name="_Toc100842987"/>
      <w:bookmarkStart w:id="26" w:name="_Toc124657513"/>
      <w:r w:rsidRPr="00BC28A9">
        <w:t>Overview</w:t>
      </w:r>
      <w:bookmarkEnd w:id="24"/>
      <w:bookmarkEnd w:id="25"/>
      <w:bookmarkEnd w:id="26"/>
    </w:p>
    <w:p w14:paraId="20711BB2" w14:textId="520365F2" w:rsidR="00BA1762" w:rsidRDefault="00BA1762" w:rsidP="00C42708">
      <w:r>
        <w:t>T</w:t>
      </w:r>
      <w:r w:rsidRPr="00BC28A9">
        <w:t xml:space="preserve">he complexity model for AR-DRG V11.0 was developed using the public hospital Admitted Patient Care National Minimum Dataset (APC NMDS) and the National Hospital Cost Data Collection (NHCDC) from 2015–16 to 2018–19. </w:t>
      </w:r>
    </w:p>
    <w:p w14:paraId="676ACCE1" w14:textId="167F8158" w:rsidR="0001105C" w:rsidRPr="00BC28A9" w:rsidRDefault="0001105C" w:rsidP="00C42708">
      <w:r>
        <w:t xml:space="preserve">AR-DRG V11.0 was released in mid-2022. In late 2022, IHAPCA identified an anomaly </w:t>
      </w:r>
      <w:r w:rsidR="00113B31">
        <w:t xml:space="preserve">with </w:t>
      </w:r>
      <w:r>
        <w:t>AR-DRG V11.0 data preparation resulting in the cost data for admitted mental health care episodes for 2017</w:t>
      </w:r>
      <w:r w:rsidR="009A4658" w:rsidRPr="00BC28A9">
        <w:t>–</w:t>
      </w:r>
      <w:r>
        <w:t>18 and 2018</w:t>
      </w:r>
      <w:r w:rsidR="009A4658" w:rsidRPr="00BC28A9">
        <w:t>–</w:t>
      </w:r>
      <w:r>
        <w:t xml:space="preserve">19 not being included in the data preparation process. </w:t>
      </w:r>
      <w:r w:rsidR="00113B31">
        <w:t xml:space="preserve">Analysis of the anomaly </w:t>
      </w:r>
      <w:r>
        <w:t>demonstrate</w:t>
      </w:r>
      <w:r w:rsidR="00113B31">
        <w:t>s</w:t>
      </w:r>
      <w:r>
        <w:t xml:space="preserve"> </w:t>
      </w:r>
      <w:r w:rsidR="00113B31">
        <w:t xml:space="preserve">no </w:t>
      </w:r>
      <w:r>
        <w:t>material impact on the performance of AR-DRG V11.0 and minimal impact on jurisdictions. Following consultation with IHACPA advisory committees which indicated a preference to remediate the anomaly, IHACPA has revised the AR-DRG V11.0 classification in January 2023.</w:t>
      </w:r>
    </w:p>
    <w:p w14:paraId="2E4043D2" w14:textId="77777777" w:rsidR="00BA1762" w:rsidRPr="00BC28A9" w:rsidRDefault="00BA1762" w:rsidP="00C42708">
      <w:pPr>
        <w:pStyle w:val="ListBullet"/>
        <w:spacing w:before="0" w:after="160" w:line="288" w:lineRule="auto"/>
      </w:pPr>
      <w:r w:rsidRPr="00BC28A9">
        <w:t xml:space="preserve">Diagnosis and intervention codes were mapped to the same edition to allow data to be compared across multiple years. Data was compared using the Eleventh Edition of ICD-10-AM and ACHI. </w:t>
      </w:r>
    </w:p>
    <w:p w14:paraId="7276A60E" w14:textId="77777777" w:rsidR="00BA1762" w:rsidRPr="00BC28A9" w:rsidRDefault="00BA1762" w:rsidP="00C42708">
      <w:pPr>
        <w:pStyle w:val="ListBullet"/>
        <w:spacing w:before="0" w:after="160" w:line="288" w:lineRule="auto"/>
      </w:pPr>
      <w:r>
        <w:t>C</w:t>
      </w:r>
      <w:r w:rsidRPr="00BC28A9">
        <w:t xml:space="preserve">ost </w:t>
      </w:r>
      <w:r>
        <w:t xml:space="preserve">data </w:t>
      </w:r>
      <w:r w:rsidRPr="00BC28A9">
        <w:t>from 2015–16 to</w:t>
      </w:r>
      <w:r>
        <w:t xml:space="preserve"> </w:t>
      </w:r>
      <w:r w:rsidRPr="00BC28A9">
        <w:t>201</w:t>
      </w:r>
      <w:r>
        <w:t>7</w:t>
      </w:r>
      <w:r w:rsidRPr="00BC28A9">
        <w:t>–1</w:t>
      </w:r>
      <w:r>
        <w:t>8</w:t>
      </w:r>
      <w:r w:rsidRPr="00BC28A9">
        <w:t xml:space="preserve"> was inflated to </w:t>
      </w:r>
      <w:r>
        <w:t xml:space="preserve">be comparable to </w:t>
      </w:r>
      <w:r w:rsidRPr="00BC28A9">
        <w:t>2018–19 utilising the National Efficient Price (NEP) inflation rate from NEP 2018–19 of 1.6% to NEP 2020–21 of 2.1%</w:t>
      </w:r>
      <w:r>
        <w:rPr>
          <w:rStyle w:val="FootnoteReference"/>
        </w:rPr>
        <w:footnoteReference w:id="1"/>
      </w:r>
      <w:r w:rsidRPr="00BC28A9">
        <w:t>.</w:t>
      </w:r>
    </w:p>
    <w:p w14:paraId="4CCD4DF6" w14:textId="77777777" w:rsidR="00BA1762" w:rsidRPr="00BC28A9" w:rsidRDefault="00BA1762" w:rsidP="00BA1762">
      <w:pPr>
        <w:pStyle w:val="Heading2"/>
        <w:spacing w:before="360" w:after="120" w:line="260" w:lineRule="atLeast"/>
        <w:contextualSpacing/>
      </w:pPr>
      <w:bookmarkStart w:id="27" w:name="_Toc534624600"/>
      <w:bookmarkStart w:id="28" w:name="_Toc100842988"/>
      <w:bookmarkStart w:id="29" w:name="_Toc124657514"/>
      <w:r w:rsidRPr="00BC28A9">
        <w:t>Record trimming</w:t>
      </w:r>
      <w:bookmarkEnd w:id="27"/>
      <w:bookmarkEnd w:id="28"/>
      <w:bookmarkEnd w:id="29"/>
    </w:p>
    <w:p w14:paraId="7B34BF57" w14:textId="77777777" w:rsidR="00BA1762" w:rsidRPr="00BC28A9" w:rsidRDefault="00BA1762" w:rsidP="00C42708">
      <w:pPr>
        <w:pStyle w:val="ListBullet"/>
        <w:spacing w:before="0" w:after="160" w:line="288" w:lineRule="auto"/>
      </w:pPr>
      <w:r>
        <w:t>T</w:t>
      </w:r>
      <w:r w:rsidRPr="00BC28A9">
        <w:t xml:space="preserve">o develop a robust complexity model within the AR-DRG classification, data preparation steps were required to ensure only episodes of a certain quality were included in the modelling dataset. </w:t>
      </w:r>
    </w:p>
    <w:p w14:paraId="319D58CE" w14:textId="77777777" w:rsidR="00BA1762" w:rsidRPr="00BC28A9" w:rsidRDefault="00BA1762" w:rsidP="00C42708">
      <w:pPr>
        <w:pStyle w:val="ListBullet"/>
        <w:spacing w:before="0" w:after="160" w:line="288" w:lineRule="auto"/>
      </w:pPr>
      <w:r w:rsidRPr="00BC28A9">
        <w:t xml:space="preserve">Various episode trimming measures were undertaken to assess the activity and cost information. </w:t>
      </w:r>
      <w:r w:rsidRPr="00DE1EAF">
        <w:rPr>
          <w:b/>
          <w:bCs/>
        </w:rPr>
        <w:t>Table 1</w:t>
      </w:r>
      <w:r w:rsidRPr="00BC28A9">
        <w:t xml:space="preserve"> summarises the trimming stages and the number of episodes trimmed; the following notes correspond to the </w:t>
      </w:r>
      <w:r w:rsidRPr="00BC28A9">
        <w:rPr>
          <w:i/>
        </w:rPr>
        <w:t>Episode trimming stage</w:t>
      </w:r>
      <w:r w:rsidRPr="00BC28A9">
        <w:t xml:space="preserve"> column in Table 1: </w:t>
      </w:r>
    </w:p>
    <w:p w14:paraId="7C649566" w14:textId="77777777" w:rsidR="00BA1762" w:rsidRPr="00BC28A9" w:rsidRDefault="00BA1762" w:rsidP="00C42708">
      <w:pPr>
        <w:pStyle w:val="ListParagraph"/>
        <w:numPr>
          <w:ilvl w:val="0"/>
          <w:numId w:val="15"/>
        </w:numPr>
        <w:ind w:left="426" w:hanging="426"/>
        <w:contextualSpacing w:val="0"/>
        <w:rPr>
          <w:lang w:val="en-AU"/>
        </w:rPr>
      </w:pPr>
      <w:r w:rsidRPr="00BC28A9">
        <w:rPr>
          <w:rStyle w:val="ListParagraph2Char"/>
          <w:rFonts w:eastAsiaTheme="minorHAnsi"/>
          <w:lang w:val="en-AU"/>
        </w:rPr>
        <w:t xml:space="preserve">The initial episode activity information has been sourced from a combination of the </w:t>
      </w:r>
      <w:r>
        <w:rPr>
          <w:rStyle w:val="ListParagraph2Char"/>
          <w:rFonts w:eastAsiaTheme="minorHAnsi"/>
          <w:lang w:val="en-AU"/>
        </w:rPr>
        <w:br/>
      </w:r>
      <w:r w:rsidRPr="00BC28A9">
        <w:rPr>
          <w:rStyle w:val="ListParagraph2Char"/>
          <w:rFonts w:eastAsiaTheme="minorHAnsi"/>
          <w:lang w:val="en-AU"/>
        </w:rPr>
        <w:t>APC NMDS and NHCDC data for each corresponding financial year</w:t>
      </w:r>
      <w:r w:rsidRPr="00BC28A9">
        <w:rPr>
          <w:lang w:val="en-AU"/>
        </w:rPr>
        <w:t xml:space="preserve">. </w:t>
      </w:r>
    </w:p>
    <w:p w14:paraId="39C45D98" w14:textId="3491C996" w:rsidR="00BA1762" w:rsidRPr="00BC28A9" w:rsidRDefault="00BA1762" w:rsidP="00C42708">
      <w:pPr>
        <w:pStyle w:val="ListParagraph"/>
        <w:numPr>
          <w:ilvl w:val="0"/>
          <w:numId w:val="15"/>
        </w:numPr>
        <w:ind w:left="426" w:hanging="426"/>
        <w:contextualSpacing w:val="0"/>
        <w:rPr>
          <w:lang w:val="en-AU"/>
        </w:rPr>
      </w:pPr>
      <w:r w:rsidRPr="00BC28A9">
        <w:rPr>
          <w:lang w:val="en-AU"/>
        </w:rPr>
        <w:t xml:space="preserve">A total of </w:t>
      </w:r>
      <w:r w:rsidR="008108ED">
        <w:rPr>
          <w:lang w:val="en-AU"/>
        </w:rPr>
        <w:t xml:space="preserve">1,329,072 </w:t>
      </w:r>
      <w:r w:rsidRPr="00BC28A9">
        <w:rPr>
          <w:lang w:val="en-AU"/>
        </w:rPr>
        <w:t xml:space="preserve">episodes were trimmed due to invalid or contradictory information, including: </w:t>
      </w:r>
    </w:p>
    <w:p w14:paraId="3D476DA8" w14:textId="77777777" w:rsidR="00BA1762" w:rsidRPr="00BC28A9" w:rsidRDefault="00BA1762" w:rsidP="00C42708">
      <w:pPr>
        <w:pStyle w:val="ListParagraph"/>
        <w:numPr>
          <w:ilvl w:val="1"/>
          <w:numId w:val="16"/>
        </w:numPr>
        <w:ind w:left="851" w:hanging="425"/>
        <w:contextualSpacing w:val="0"/>
        <w:rPr>
          <w:lang w:val="en-AU"/>
        </w:rPr>
      </w:pPr>
      <w:r w:rsidRPr="00BC28A9">
        <w:rPr>
          <w:lang w:val="en-AU"/>
        </w:rPr>
        <w:lastRenderedPageBreak/>
        <w:t>episodes with invalid ICD-10-AM or ACHI (diagnosis or intervention) codes</w:t>
      </w:r>
    </w:p>
    <w:p w14:paraId="78468CE9" w14:textId="77777777" w:rsidR="00BA1762" w:rsidRPr="00BC28A9" w:rsidRDefault="00BA1762" w:rsidP="00C42708">
      <w:pPr>
        <w:pStyle w:val="ListParagraph"/>
        <w:numPr>
          <w:ilvl w:val="1"/>
          <w:numId w:val="16"/>
        </w:numPr>
        <w:ind w:left="851" w:hanging="425"/>
        <w:contextualSpacing w:val="0"/>
        <w:rPr>
          <w:lang w:val="en-AU"/>
        </w:rPr>
      </w:pPr>
      <w:r w:rsidRPr="00BC28A9">
        <w:rPr>
          <w:lang w:val="en-AU"/>
        </w:rPr>
        <w:t>episodes with care type</w:t>
      </w:r>
      <w:r w:rsidRPr="00BC28A9">
        <w:rPr>
          <w:rStyle w:val="FootnoteReference"/>
          <w:lang w:val="en-AU"/>
        </w:rPr>
        <w:footnoteReference w:id="2"/>
      </w:r>
      <w:r w:rsidRPr="00BC28A9">
        <w:rPr>
          <w:lang w:val="en-AU"/>
        </w:rPr>
        <w:t xml:space="preserve"> other than Acute care (01), Newborn care (07) or Mental health care (11)</w:t>
      </w:r>
    </w:p>
    <w:p w14:paraId="4598C067" w14:textId="77777777" w:rsidR="00BA1762" w:rsidRPr="00BC28A9" w:rsidRDefault="00BA1762" w:rsidP="00C42708">
      <w:pPr>
        <w:pStyle w:val="ListParagraph"/>
        <w:numPr>
          <w:ilvl w:val="1"/>
          <w:numId w:val="16"/>
        </w:numPr>
        <w:ind w:left="851" w:hanging="425"/>
        <w:contextualSpacing w:val="0"/>
        <w:rPr>
          <w:lang w:val="en-AU"/>
        </w:rPr>
      </w:pPr>
      <w:r w:rsidRPr="00BC28A9">
        <w:rPr>
          <w:lang w:val="en-AU"/>
        </w:rPr>
        <w:t>episodes with invalid or contradictory birth date, admission date and separation date</w:t>
      </w:r>
    </w:p>
    <w:p w14:paraId="101A0FB4" w14:textId="77777777" w:rsidR="00BA1762" w:rsidRPr="00BC28A9" w:rsidRDefault="00BA1762" w:rsidP="00C42708">
      <w:pPr>
        <w:pStyle w:val="ListParagraph"/>
        <w:numPr>
          <w:ilvl w:val="1"/>
          <w:numId w:val="16"/>
        </w:numPr>
        <w:ind w:left="851" w:hanging="425"/>
        <w:contextualSpacing w:val="0"/>
        <w:rPr>
          <w:lang w:val="en-AU"/>
        </w:rPr>
      </w:pPr>
      <w:r w:rsidRPr="00BC28A9">
        <w:rPr>
          <w:lang w:val="en-AU"/>
        </w:rPr>
        <w:t>newborn episodes with missing or contradictory qualified days</w:t>
      </w:r>
    </w:p>
    <w:p w14:paraId="52D92F87" w14:textId="77777777" w:rsidR="00BA1762" w:rsidRPr="00BC28A9" w:rsidRDefault="00BA1762" w:rsidP="00C42708">
      <w:pPr>
        <w:pStyle w:val="ListParagraph"/>
        <w:numPr>
          <w:ilvl w:val="1"/>
          <w:numId w:val="16"/>
        </w:numPr>
        <w:ind w:left="851" w:hanging="425"/>
        <w:contextualSpacing w:val="0"/>
        <w:rPr>
          <w:lang w:val="en-AU"/>
        </w:rPr>
      </w:pPr>
      <w:r w:rsidRPr="00BC28A9">
        <w:rPr>
          <w:lang w:val="en-AU"/>
        </w:rPr>
        <w:t>episodes with error DRGs in AR-DRG V10.0</w:t>
      </w:r>
    </w:p>
    <w:p w14:paraId="71011E4A" w14:textId="77777777" w:rsidR="00BA1762" w:rsidRPr="00BC28A9" w:rsidRDefault="00BA1762" w:rsidP="00C42708">
      <w:pPr>
        <w:pStyle w:val="ListParagraph"/>
        <w:numPr>
          <w:ilvl w:val="1"/>
          <w:numId w:val="16"/>
        </w:numPr>
        <w:ind w:left="851" w:hanging="425"/>
        <w:contextualSpacing w:val="0"/>
        <w:rPr>
          <w:lang w:val="en-AU"/>
        </w:rPr>
      </w:pPr>
      <w:r w:rsidRPr="00BC28A9">
        <w:rPr>
          <w:lang w:val="en-AU"/>
        </w:rPr>
        <w:t>episodes with invalid costs.</w:t>
      </w:r>
    </w:p>
    <w:p w14:paraId="52F3EB54" w14:textId="57EF574F" w:rsidR="00BA1762" w:rsidRPr="00BC28A9" w:rsidRDefault="00BA1762" w:rsidP="00C42708">
      <w:pPr>
        <w:pStyle w:val="ListParagraph"/>
        <w:numPr>
          <w:ilvl w:val="0"/>
          <w:numId w:val="15"/>
        </w:numPr>
        <w:ind w:left="426" w:hanging="426"/>
        <w:contextualSpacing w:val="0"/>
        <w:rPr>
          <w:lang w:val="en-AU"/>
        </w:rPr>
      </w:pPr>
      <w:r w:rsidRPr="00BC28A9">
        <w:rPr>
          <w:lang w:val="en-AU"/>
        </w:rPr>
        <w:t xml:space="preserve">A total of </w:t>
      </w:r>
      <w:r w:rsidR="008108ED">
        <w:rPr>
          <w:lang w:val="en-AU"/>
        </w:rPr>
        <w:t xml:space="preserve">136,305 </w:t>
      </w:r>
      <w:r w:rsidRPr="00BC28A9">
        <w:rPr>
          <w:lang w:val="en-AU"/>
        </w:rPr>
        <w:t xml:space="preserve">‘work in progress’ episodes were trimmed and represent episodes with admission dates earlier than the start of the corresponding financial year. </w:t>
      </w:r>
    </w:p>
    <w:p w14:paraId="7297C576" w14:textId="13F5470C" w:rsidR="00BA1762" w:rsidRPr="00BC28A9" w:rsidRDefault="00BA1762" w:rsidP="00C42708">
      <w:pPr>
        <w:pStyle w:val="ListParagraph"/>
        <w:numPr>
          <w:ilvl w:val="0"/>
          <w:numId w:val="15"/>
        </w:numPr>
        <w:ind w:left="426" w:hanging="426"/>
        <w:contextualSpacing w:val="0"/>
        <w:rPr>
          <w:lang w:val="en-AU"/>
        </w:rPr>
      </w:pPr>
      <w:r w:rsidRPr="00BC28A9">
        <w:rPr>
          <w:lang w:val="en-AU"/>
        </w:rPr>
        <w:t xml:space="preserve">The sample was further reduced by </w:t>
      </w:r>
      <w:r w:rsidR="008108ED">
        <w:rPr>
          <w:lang w:val="en-AU"/>
        </w:rPr>
        <w:t xml:space="preserve">4,552 </w:t>
      </w:r>
      <w:r w:rsidRPr="00BC28A9">
        <w:rPr>
          <w:lang w:val="en-AU"/>
        </w:rPr>
        <w:t xml:space="preserve">by removing episodes from hospitals with fewer than 100 costed episodes. </w:t>
      </w:r>
    </w:p>
    <w:p w14:paraId="437F38CD" w14:textId="43B34690" w:rsidR="00BA1762" w:rsidRPr="00BC28A9" w:rsidRDefault="00BA1762" w:rsidP="00C42708">
      <w:pPr>
        <w:pStyle w:val="ListParagraph"/>
        <w:numPr>
          <w:ilvl w:val="0"/>
          <w:numId w:val="15"/>
        </w:numPr>
        <w:ind w:left="426" w:hanging="426"/>
        <w:contextualSpacing w:val="0"/>
        <w:rPr>
          <w:lang w:val="en-AU"/>
        </w:rPr>
      </w:pPr>
      <w:r w:rsidRPr="00BC28A9">
        <w:rPr>
          <w:lang w:val="en-AU"/>
        </w:rPr>
        <w:t xml:space="preserve">Hospital and DRG combinations with extremely high or low cost to funding ratios were also trimmed from the patient level modelling. </w:t>
      </w:r>
      <w:r>
        <w:rPr>
          <w:lang w:val="en-AU"/>
        </w:rPr>
        <w:t xml:space="preserve">A total of </w:t>
      </w:r>
      <w:r w:rsidR="008108ED">
        <w:rPr>
          <w:lang w:val="en-AU"/>
        </w:rPr>
        <w:t xml:space="preserve">25,623 </w:t>
      </w:r>
      <w:r>
        <w:rPr>
          <w:lang w:val="en-AU"/>
        </w:rPr>
        <w:t>episodes were removed at this stage.</w:t>
      </w:r>
    </w:p>
    <w:p w14:paraId="02B2F0E9" w14:textId="4FA6ECC9" w:rsidR="00BA1762" w:rsidRPr="00BC28A9" w:rsidRDefault="00BA1762" w:rsidP="00C42708">
      <w:pPr>
        <w:pStyle w:val="ListParagraph"/>
        <w:numPr>
          <w:ilvl w:val="0"/>
          <w:numId w:val="15"/>
        </w:numPr>
        <w:ind w:left="426" w:hanging="426"/>
        <w:contextualSpacing w:val="0"/>
        <w:rPr>
          <w:lang w:val="en-AU"/>
        </w:rPr>
      </w:pPr>
      <w:r w:rsidRPr="00BC28A9">
        <w:rPr>
          <w:lang w:val="en-AU"/>
        </w:rPr>
        <w:t xml:space="preserve">The sample was further reduced by </w:t>
      </w:r>
      <w:r w:rsidR="008108ED">
        <w:rPr>
          <w:lang w:val="en-AU"/>
        </w:rPr>
        <w:t xml:space="preserve">27,996 </w:t>
      </w:r>
      <w:r w:rsidRPr="00BC28A9">
        <w:rPr>
          <w:lang w:val="en-AU"/>
        </w:rPr>
        <w:t xml:space="preserve">by removing episodes with total in-scope cost (excluding depreciations and Emergency Department costs) of $23 or less. </w:t>
      </w:r>
    </w:p>
    <w:p w14:paraId="25D0C55B" w14:textId="51D6B921" w:rsidR="00BA1762" w:rsidRPr="00BC28A9" w:rsidRDefault="00BA1762" w:rsidP="00C42708">
      <w:pPr>
        <w:pStyle w:val="ListParagraph"/>
        <w:numPr>
          <w:ilvl w:val="0"/>
          <w:numId w:val="15"/>
        </w:numPr>
        <w:ind w:left="426" w:hanging="426"/>
        <w:contextualSpacing w:val="0"/>
        <w:rPr>
          <w:lang w:val="en-AU"/>
        </w:rPr>
      </w:pPr>
      <w:r w:rsidRPr="00BC28A9">
        <w:rPr>
          <w:lang w:val="en-AU"/>
        </w:rPr>
        <w:t xml:space="preserve">The remaining sample was then analysed using AR-DRG V10.0, and observations with extreme outlier costs were identified and removed. This was done by ranking observations by cost and identifying those values that recorded an extreme increase in cost over 200 per cent (or a decrease in cost over 75 per cent) from the previous observation. In total, </w:t>
      </w:r>
      <w:r w:rsidR="00530986">
        <w:rPr>
          <w:lang w:val="en-AU"/>
        </w:rPr>
        <w:t xml:space="preserve">266 </w:t>
      </w:r>
      <w:r w:rsidRPr="00BC28A9">
        <w:rPr>
          <w:lang w:val="en-AU"/>
        </w:rPr>
        <w:t xml:space="preserve">episodes were removed at this stage. </w:t>
      </w:r>
    </w:p>
    <w:p w14:paraId="552FFC11" w14:textId="76B26E56" w:rsidR="00BA1762" w:rsidRPr="00BC28A9" w:rsidRDefault="00BA1762" w:rsidP="00C42708">
      <w:pPr>
        <w:pStyle w:val="ListParagraph"/>
        <w:numPr>
          <w:ilvl w:val="0"/>
          <w:numId w:val="15"/>
        </w:numPr>
        <w:ind w:left="426" w:hanging="426"/>
        <w:contextualSpacing w:val="0"/>
        <w:rPr>
          <w:lang w:val="en-AU"/>
        </w:rPr>
      </w:pPr>
      <w:r w:rsidRPr="00BC28A9">
        <w:rPr>
          <w:lang w:val="en-AU"/>
        </w:rPr>
        <w:t xml:space="preserve">The final stage of extreme outlier identification was undertaken by first deriving a preliminary regression model using length of stay (LOS) and AR-DRG V10.0 and analysing the resulting cost ratios. Following this, another </w:t>
      </w:r>
      <w:r w:rsidR="00530986">
        <w:rPr>
          <w:lang w:val="en-AU"/>
        </w:rPr>
        <w:t>1,242</w:t>
      </w:r>
      <w:r w:rsidRPr="00BC28A9">
        <w:rPr>
          <w:lang w:val="en-AU"/>
        </w:rPr>
        <w:t xml:space="preserve"> individual episodes with extremely high or </w:t>
      </w:r>
      <w:proofErr w:type="gramStart"/>
      <w:r w:rsidRPr="00BC28A9">
        <w:rPr>
          <w:lang w:val="en-AU"/>
        </w:rPr>
        <w:t>low cost</w:t>
      </w:r>
      <w:proofErr w:type="gramEnd"/>
      <w:r w:rsidRPr="00BC28A9">
        <w:rPr>
          <w:lang w:val="en-AU"/>
        </w:rPr>
        <w:t xml:space="preserve"> ratios were removed. </w:t>
      </w:r>
    </w:p>
    <w:p w14:paraId="2CE5F803" w14:textId="64C08D60" w:rsidR="00BA1762" w:rsidRPr="00BC28A9" w:rsidRDefault="00BA1762" w:rsidP="00C42708">
      <w:pPr>
        <w:pStyle w:val="ListParagraph"/>
        <w:numPr>
          <w:ilvl w:val="0"/>
          <w:numId w:val="15"/>
        </w:numPr>
        <w:ind w:left="426" w:hanging="426"/>
        <w:contextualSpacing w:val="0"/>
        <w:rPr>
          <w:lang w:val="en-AU"/>
        </w:rPr>
      </w:pPr>
      <w:r w:rsidRPr="00BC28A9">
        <w:rPr>
          <w:lang w:val="en-AU"/>
        </w:rPr>
        <w:t xml:space="preserve">The resulting sample of </w:t>
      </w:r>
      <w:r w:rsidR="00530986">
        <w:rPr>
          <w:lang w:val="en-AU"/>
        </w:rPr>
        <w:t xml:space="preserve">23,570,064 </w:t>
      </w:r>
      <w:r w:rsidRPr="00BC28A9">
        <w:rPr>
          <w:lang w:val="en-AU"/>
        </w:rPr>
        <w:t>episodes was identified for use in AR-DRG V11.0 development.</w:t>
      </w:r>
    </w:p>
    <w:p w14:paraId="73A91122" w14:textId="77777777" w:rsidR="003A12CA" w:rsidRDefault="003A12CA">
      <w:pPr>
        <w:spacing w:line="259" w:lineRule="auto"/>
        <w:rPr>
          <w:rFonts w:eastAsia="Times New Roman" w:cs="Times New Roman"/>
          <w:b/>
          <w:bCs/>
          <w:color w:val="auto"/>
          <w:sz w:val="18"/>
          <w:szCs w:val="18"/>
          <w:lang w:val="en-AU" w:eastAsia="en-AU"/>
        </w:rPr>
      </w:pPr>
      <w:bookmarkStart w:id="30" w:name="_Ref536778979"/>
      <w:r>
        <w:br w:type="page"/>
      </w:r>
    </w:p>
    <w:p w14:paraId="0D684AC8" w14:textId="0E8A88A6" w:rsidR="00BA1762" w:rsidRPr="00C42708" w:rsidRDefault="00BA1762" w:rsidP="00283621">
      <w:pPr>
        <w:pStyle w:val="Caption"/>
      </w:pPr>
      <w:r w:rsidRPr="00C42708">
        <w:lastRenderedPageBreak/>
        <w:t>Table</w:t>
      </w:r>
      <w:bookmarkEnd w:id="30"/>
      <w:r w:rsidRPr="00C42708">
        <w:rPr>
          <w:noProof/>
        </w:rPr>
        <w:t xml:space="preserve"> 1</w:t>
      </w:r>
      <w:r w:rsidRPr="00C42708">
        <w:t>: Number of episodes trimmed at each data preparation stage</w:t>
      </w:r>
    </w:p>
    <w:tbl>
      <w:tblPr>
        <w:tblW w:w="5110" w:type="pct"/>
        <w:tblLayout w:type="fixed"/>
        <w:tblLook w:val="04A0" w:firstRow="1" w:lastRow="0" w:firstColumn="1" w:lastColumn="0" w:noHBand="0" w:noVBand="1"/>
      </w:tblPr>
      <w:tblGrid>
        <w:gridCol w:w="312"/>
        <w:gridCol w:w="2629"/>
        <w:gridCol w:w="1303"/>
        <w:gridCol w:w="1305"/>
        <w:gridCol w:w="1305"/>
        <w:gridCol w:w="1303"/>
        <w:gridCol w:w="1370"/>
      </w:tblGrid>
      <w:tr w:rsidR="00552F40" w:rsidRPr="00C42708" w14:paraId="6D04B4B8" w14:textId="77777777" w:rsidTr="0076544F">
        <w:trPr>
          <w:trHeight w:val="420"/>
          <w:tblHeader/>
        </w:trPr>
        <w:tc>
          <w:tcPr>
            <w:tcW w:w="1543" w:type="pct"/>
            <w:gridSpan w:val="2"/>
            <w:tcBorders>
              <w:top w:val="single" w:sz="4" w:space="0" w:color="auto"/>
              <w:left w:val="single" w:sz="4" w:space="0" w:color="auto"/>
              <w:bottom w:val="single" w:sz="4" w:space="0" w:color="auto"/>
              <w:right w:val="nil"/>
            </w:tcBorders>
            <w:shd w:val="clear" w:color="auto" w:fill="104F99" w:themeFill="accent2"/>
            <w:noWrap/>
            <w:vAlign w:val="bottom"/>
            <w:hideMark/>
          </w:tcPr>
          <w:p w14:paraId="75099D44" w14:textId="77777777" w:rsidR="00BA1762" w:rsidRPr="00C42708" w:rsidRDefault="00BA1762" w:rsidP="00C42708">
            <w:pPr>
              <w:rPr>
                <w:rFonts w:cs="Arial"/>
                <w:b/>
                <w:bCs/>
                <w:color w:val="FFFFFF" w:themeColor="accent6"/>
              </w:rPr>
            </w:pPr>
            <w:r w:rsidRPr="00C42708">
              <w:rPr>
                <w:rFonts w:cs="Arial"/>
                <w:b/>
                <w:bCs/>
                <w:color w:val="FFFFFF" w:themeColor="accent6"/>
              </w:rPr>
              <w:t>Episode trimming stage</w:t>
            </w:r>
          </w:p>
        </w:tc>
        <w:tc>
          <w:tcPr>
            <w:tcW w:w="684" w:type="pct"/>
            <w:tcBorders>
              <w:top w:val="single" w:sz="4" w:space="0" w:color="auto"/>
              <w:left w:val="nil"/>
              <w:bottom w:val="single" w:sz="4" w:space="0" w:color="auto"/>
              <w:right w:val="nil"/>
            </w:tcBorders>
            <w:shd w:val="clear" w:color="auto" w:fill="104F99" w:themeFill="accent2"/>
            <w:noWrap/>
            <w:vAlign w:val="center"/>
            <w:hideMark/>
          </w:tcPr>
          <w:p w14:paraId="0CE325E7" w14:textId="77777777" w:rsidR="00BA1762" w:rsidRPr="00C42708" w:rsidRDefault="00BA1762" w:rsidP="00C42708">
            <w:pPr>
              <w:jc w:val="right"/>
              <w:rPr>
                <w:rFonts w:cs="Arial"/>
                <w:b/>
                <w:bCs/>
                <w:color w:val="FFFFFF" w:themeColor="accent6"/>
              </w:rPr>
            </w:pPr>
            <w:r w:rsidRPr="00C42708">
              <w:rPr>
                <w:rFonts w:cs="Arial"/>
                <w:b/>
                <w:bCs/>
                <w:color w:val="FFFFFF" w:themeColor="accent6"/>
              </w:rPr>
              <w:t>2015</w:t>
            </w:r>
            <w:r w:rsidRPr="00C42708">
              <w:rPr>
                <w:rFonts w:cs="Arial"/>
                <w:b/>
                <w:color w:val="FFFFFF" w:themeColor="accent6"/>
              </w:rPr>
              <w:t>–</w:t>
            </w:r>
            <w:r w:rsidRPr="00C42708">
              <w:rPr>
                <w:rFonts w:cs="Arial"/>
                <w:b/>
                <w:bCs/>
                <w:color w:val="FFFFFF" w:themeColor="accent6"/>
              </w:rPr>
              <w:t>16</w:t>
            </w:r>
          </w:p>
        </w:tc>
        <w:tc>
          <w:tcPr>
            <w:tcW w:w="685" w:type="pct"/>
            <w:tcBorders>
              <w:top w:val="single" w:sz="4" w:space="0" w:color="auto"/>
              <w:left w:val="nil"/>
              <w:bottom w:val="single" w:sz="4" w:space="0" w:color="auto"/>
              <w:right w:val="nil"/>
            </w:tcBorders>
            <w:shd w:val="clear" w:color="auto" w:fill="104F99" w:themeFill="accent2"/>
            <w:noWrap/>
            <w:vAlign w:val="center"/>
            <w:hideMark/>
          </w:tcPr>
          <w:p w14:paraId="0131CD7D" w14:textId="77777777" w:rsidR="00BA1762" w:rsidRPr="00C42708" w:rsidRDefault="00BA1762" w:rsidP="00C42708">
            <w:pPr>
              <w:jc w:val="right"/>
              <w:rPr>
                <w:rFonts w:cs="Arial"/>
                <w:b/>
                <w:bCs/>
                <w:color w:val="FFFFFF" w:themeColor="accent6"/>
              </w:rPr>
            </w:pPr>
            <w:r w:rsidRPr="00C42708">
              <w:rPr>
                <w:rFonts w:cs="Arial"/>
                <w:b/>
                <w:bCs/>
                <w:color w:val="FFFFFF" w:themeColor="accent6"/>
              </w:rPr>
              <w:t>2016</w:t>
            </w:r>
            <w:r w:rsidRPr="00C42708">
              <w:rPr>
                <w:rFonts w:cs="Arial"/>
                <w:b/>
                <w:color w:val="FFFFFF" w:themeColor="accent6"/>
              </w:rPr>
              <w:t>–</w:t>
            </w:r>
            <w:r w:rsidRPr="00C42708">
              <w:rPr>
                <w:rFonts w:cs="Arial"/>
                <w:b/>
                <w:bCs/>
                <w:color w:val="FFFFFF" w:themeColor="accent6"/>
              </w:rPr>
              <w:t>17</w:t>
            </w:r>
          </w:p>
        </w:tc>
        <w:tc>
          <w:tcPr>
            <w:tcW w:w="685" w:type="pct"/>
            <w:tcBorders>
              <w:top w:val="single" w:sz="4" w:space="0" w:color="auto"/>
              <w:left w:val="nil"/>
              <w:bottom w:val="single" w:sz="4" w:space="0" w:color="auto"/>
              <w:right w:val="nil"/>
            </w:tcBorders>
            <w:shd w:val="clear" w:color="auto" w:fill="104F99" w:themeFill="accent2"/>
            <w:noWrap/>
            <w:vAlign w:val="center"/>
            <w:hideMark/>
          </w:tcPr>
          <w:p w14:paraId="6EA4DB38" w14:textId="77777777" w:rsidR="00BA1762" w:rsidRPr="00C42708" w:rsidRDefault="00BA1762" w:rsidP="00C42708">
            <w:pPr>
              <w:jc w:val="right"/>
              <w:rPr>
                <w:rFonts w:cs="Arial"/>
                <w:b/>
                <w:bCs/>
                <w:color w:val="FFFFFF" w:themeColor="accent6"/>
              </w:rPr>
            </w:pPr>
            <w:r w:rsidRPr="00C42708">
              <w:rPr>
                <w:rFonts w:cs="Arial"/>
                <w:b/>
                <w:bCs/>
                <w:color w:val="FFFFFF" w:themeColor="accent6"/>
              </w:rPr>
              <w:t>2017</w:t>
            </w:r>
            <w:r w:rsidRPr="00C42708">
              <w:rPr>
                <w:rFonts w:cs="Arial"/>
                <w:b/>
                <w:color w:val="FFFFFF" w:themeColor="accent6"/>
              </w:rPr>
              <w:t>–</w:t>
            </w:r>
            <w:r w:rsidRPr="00C42708">
              <w:rPr>
                <w:rFonts w:cs="Arial"/>
                <w:b/>
                <w:bCs/>
                <w:color w:val="FFFFFF" w:themeColor="accent6"/>
              </w:rPr>
              <w:t>18</w:t>
            </w:r>
          </w:p>
        </w:tc>
        <w:tc>
          <w:tcPr>
            <w:tcW w:w="684" w:type="pct"/>
            <w:tcBorders>
              <w:top w:val="single" w:sz="4" w:space="0" w:color="auto"/>
              <w:left w:val="nil"/>
              <w:bottom w:val="single" w:sz="4" w:space="0" w:color="auto"/>
              <w:right w:val="nil"/>
            </w:tcBorders>
            <w:shd w:val="clear" w:color="auto" w:fill="104F99" w:themeFill="accent2"/>
            <w:noWrap/>
            <w:vAlign w:val="center"/>
            <w:hideMark/>
          </w:tcPr>
          <w:p w14:paraId="457AF6FE" w14:textId="77777777" w:rsidR="00BA1762" w:rsidRPr="00C42708" w:rsidRDefault="00BA1762" w:rsidP="00C42708">
            <w:pPr>
              <w:jc w:val="right"/>
              <w:rPr>
                <w:rFonts w:cs="Arial"/>
                <w:b/>
                <w:bCs/>
                <w:color w:val="FFFFFF" w:themeColor="accent6"/>
              </w:rPr>
            </w:pPr>
            <w:r w:rsidRPr="00C42708">
              <w:rPr>
                <w:rFonts w:cs="Arial"/>
                <w:b/>
                <w:bCs/>
                <w:color w:val="FFFFFF" w:themeColor="accent6"/>
              </w:rPr>
              <w:t>2018</w:t>
            </w:r>
            <w:r w:rsidRPr="00C42708">
              <w:rPr>
                <w:rFonts w:cs="Arial"/>
                <w:b/>
                <w:color w:val="FFFFFF" w:themeColor="accent6"/>
              </w:rPr>
              <w:t>–</w:t>
            </w:r>
            <w:r w:rsidRPr="00C42708">
              <w:rPr>
                <w:rFonts w:cs="Arial"/>
                <w:b/>
                <w:bCs/>
                <w:color w:val="FFFFFF" w:themeColor="accent6"/>
              </w:rPr>
              <w:t>19</w:t>
            </w:r>
          </w:p>
        </w:tc>
        <w:tc>
          <w:tcPr>
            <w:tcW w:w="719" w:type="pct"/>
            <w:tcBorders>
              <w:top w:val="single" w:sz="4" w:space="0" w:color="auto"/>
              <w:left w:val="nil"/>
              <w:bottom w:val="single" w:sz="4" w:space="0" w:color="auto"/>
              <w:right w:val="single" w:sz="4" w:space="0" w:color="auto"/>
            </w:tcBorders>
            <w:shd w:val="clear" w:color="auto" w:fill="104F99" w:themeFill="accent2"/>
            <w:noWrap/>
            <w:vAlign w:val="center"/>
            <w:hideMark/>
          </w:tcPr>
          <w:p w14:paraId="19625933" w14:textId="77777777" w:rsidR="00BA1762" w:rsidRPr="00C42708" w:rsidRDefault="00BA1762" w:rsidP="00C42708">
            <w:pPr>
              <w:jc w:val="right"/>
              <w:rPr>
                <w:rFonts w:cs="Arial"/>
                <w:b/>
                <w:bCs/>
                <w:color w:val="FFFFFF" w:themeColor="accent6"/>
              </w:rPr>
            </w:pPr>
            <w:r w:rsidRPr="00C42708">
              <w:rPr>
                <w:rFonts w:cs="Arial"/>
                <w:b/>
                <w:bCs/>
                <w:color w:val="FFFFFF" w:themeColor="accent6"/>
              </w:rPr>
              <w:t>Total</w:t>
            </w:r>
          </w:p>
        </w:tc>
      </w:tr>
      <w:tr w:rsidR="00BA1762" w:rsidRPr="00C42708" w14:paraId="61EA8379" w14:textId="77777777" w:rsidTr="00A36751">
        <w:trPr>
          <w:trHeight w:val="285"/>
        </w:trPr>
        <w:tc>
          <w:tcPr>
            <w:tcW w:w="1543" w:type="pct"/>
            <w:gridSpan w:val="2"/>
            <w:tcBorders>
              <w:top w:val="single" w:sz="4" w:space="0" w:color="auto"/>
              <w:left w:val="single" w:sz="4" w:space="0" w:color="auto"/>
              <w:bottom w:val="single" w:sz="4" w:space="0" w:color="auto"/>
              <w:right w:val="nil"/>
            </w:tcBorders>
            <w:shd w:val="clear" w:color="auto" w:fill="auto"/>
            <w:noWrap/>
            <w:hideMark/>
          </w:tcPr>
          <w:p w14:paraId="6895E3B6" w14:textId="77777777" w:rsidR="00BA1762" w:rsidRPr="00C42708" w:rsidRDefault="00BA1762" w:rsidP="00002CC5">
            <w:pPr>
              <w:ind w:left="317"/>
              <w:rPr>
                <w:rFonts w:cs="Arial"/>
                <w:color w:val="000000"/>
              </w:rPr>
            </w:pPr>
            <w:r w:rsidRPr="00C42708">
              <w:rPr>
                <w:rFonts w:cs="Arial"/>
                <w:color w:val="000000"/>
              </w:rPr>
              <w:t>(a) Initial episode-level cost sample of admitted acute records</w:t>
            </w:r>
          </w:p>
        </w:tc>
        <w:tc>
          <w:tcPr>
            <w:tcW w:w="684" w:type="pct"/>
            <w:tcBorders>
              <w:top w:val="nil"/>
              <w:left w:val="nil"/>
              <w:bottom w:val="single" w:sz="4" w:space="0" w:color="auto"/>
              <w:right w:val="nil"/>
            </w:tcBorders>
            <w:shd w:val="clear" w:color="auto" w:fill="auto"/>
            <w:noWrap/>
            <w:vAlign w:val="center"/>
            <w:hideMark/>
          </w:tcPr>
          <w:p w14:paraId="594DBA79" w14:textId="77777777" w:rsidR="00BA1762" w:rsidRPr="00C42708" w:rsidRDefault="00BA1762" w:rsidP="00C42708">
            <w:pPr>
              <w:jc w:val="right"/>
              <w:rPr>
                <w:rFonts w:cs="Arial"/>
                <w:color w:val="000000"/>
              </w:rPr>
            </w:pPr>
            <w:r w:rsidRPr="00C42708">
              <w:rPr>
                <w:rFonts w:cs="Arial"/>
                <w:color w:val="000000"/>
              </w:rPr>
              <w:t>5,882,349</w:t>
            </w:r>
          </w:p>
        </w:tc>
        <w:tc>
          <w:tcPr>
            <w:tcW w:w="685" w:type="pct"/>
            <w:tcBorders>
              <w:top w:val="nil"/>
              <w:left w:val="nil"/>
              <w:bottom w:val="single" w:sz="4" w:space="0" w:color="auto"/>
              <w:right w:val="nil"/>
            </w:tcBorders>
            <w:shd w:val="clear" w:color="auto" w:fill="auto"/>
            <w:noWrap/>
            <w:vAlign w:val="center"/>
            <w:hideMark/>
          </w:tcPr>
          <w:p w14:paraId="15F78961" w14:textId="77777777" w:rsidR="00BA1762" w:rsidRPr="00C42708" w:rsidRDefault="00BA1762" w:rsidP="00C42708">
            <w:pPr>
              <w:jc w:val="right"/>
              <w:rPr>
                <w:rFonts w:cs="Arial"/>
                <w:color w:val="000000"/>
              </w:rPr>
            </w:pPr>
            <w:r w:rsidRPr="00C42708">
              <w:rPr>
                <w:rFonts w:cs="Arial"/>
                <w:color w:val="000000"/>
              </w:rPr>
              <w:t>6,202,798</w:t>
            </w:r>
          </w:p>
        </w:tc>
        <w:tc>
          <w:tcPr>
            <w:tcW w:w="685" w:type="pct"/>
            <w:tcBorders>
              <w:top w:val="nil"/>
              <w:left w:val="nil"/>
              <w:bottom w:val="single" w:sz="4" w:space="0" w:color="auto"/>
              <w:right w:val="nil"/>
            </w:tcBorders>
            <w:shd w:val="clear" w:color="auto" w:fill="auto"/>
            <w:noWrap/>
            <w:vAlign w:val="center"/>
            <w:hideMark/>
          </w:tcPr>
          <w:p w14:paraId="545E0469" w14:textId="363FDA58" w:rsidR="00BA1762" w:rsidRPr="00C42708" w:rsidRDefault="001A4B10" w:rsidP="00C42708">
            <w:pPr>
              <w:jc w:val="right"/>
              <w:rPr>
                <w:rFonts w:cs="Arial"/>
                <w:color w:val="000000"/>
              </w:rPr>
            </w:pPr>
            <w:r w:rsidRPr="00C42708">
              <w:rPr>
                <w:rFonts w:cs="Arial"/>
                <w:color w:val="000000"/>
              </w:rPr>
              <w:t>6,410,054</w:t>
            </w:r>
          </w:p>
        </w:tc>
        <w:tc>
          <w:tcPr>
            <w:tcW w:w="684" w:type="pct"/>
            <w:tcBorders>
              <w:top w:val="nil"/>
              <w:left w:val="nil"/>
              <w:bottom w:val="single" w:sz="4" w:space="0" w:color="auto"/>
              <w:right w:val="nil"/>
            </w:tcBorders>
            <w:shd w:val="clear" w:color="auto" w:fill="auto"/>
            <w:noWrap/>
            <w:vAlign w:val="center"/>
            <w:hideMark/>
          </w:tcPr>
          <w:p w14:paraId="35DC167F" w14:textId="77777777" w:rsidR="00BA1762" w:rsidRPr="00C42708" w:rsidRDefault="00BA1762" w:rsidP="00C42708">
            <w:pPr>
              <w:jc w:val="right"/>
              <w:rPr>
                <w:rFonts w:cs="Arial"/>
                <w:color w:val="000000"/>
              </w:rPr>
            </w:pPr>
            <w:r w:rsidRPr="00C42708">
              <w:rPr>
                <w:rFonts w:cs="Arial"/>
                <w:color w:val="000000"/>
              </w:rPr>
              <w:t>6,599,919</w:t>
            </w:r>
          </w:p>
        </w:tc>
        <w:tc>
          <w:tcPr>
            <w:tcW w:w="719" w:type="pct"/>
            <w:tcBorders>
              <w:top w:val="nil"/>
              <w:left w:val="nil"/>
              <w:bottom w:val="single" w:sz="4" w:space="0" w:color="auto"/>
              <w:right w:val="single" w:sz="4" w:space="0" w:color="auto"/>
            </w:tcBorders>
            <w:shd w:val="clear" w:color="auto" w:fill="auto"/>
            <w:noWrap/>
            <w:vAlign w:val="center"/>
            <w:hideMark/>
          </w:tcPr>
          <w:p w14:paraId="5757E49F" w14:textId="4AA83A9C" w:rsidR="00BA1762" w:rsidRPr="00C42708" w:rsidRDefault="001A4B10" w:rsidP="00C42708">
            <w:pPr>
              <w:jc w:val="right"/>
              <w:rPr>
                <w:rFonts w:cs="Arial"/>
                <w:b/>
                <w:color w:val="000000"/>
              </w:rPr>
            </w:pPr>
            <w:r w:rsidRPr="00C42708">
              <w:rPr>
                <w:rFonts w:cs="Arial"/>
                <w:b/>
                <w:color w:val="000000"/>
              </w:rPr>
              <w:t>25,095,120</w:t>
            </w:r>
          </w:p>
        </w:tc>
      </w:tr>
      <w:tr w:rsidR="00BA1762" w:rsidRPr="00C42708" w14:paraId="18F4F252" w14:textId="77777777" w:rsidTr="00A36751">
        <w:trPr>
          <w:trHeight w:val="285"/>
        </w:trPr>
        <w:tc>
          <w:tcPr>
            <w:tcW w:w="1543" w:type="pct"/>
            <w:gridSpan w:val="2"/>
            <w:tcBorders>
              <w:top w:val="single" w:sz="4" w:space="0" w:color="auto"/>
              <w:left w:val="single" w:sz="4" w:space="0" w:color="auto"/>
              <w:bottom w:val="single" w:sz="4" w:space="0" w:color="auto"/>
              <w:right w:val="nil"/>
            </w:tcBorders>
            <w:shd w:val="clear" w:color="auto" w:fill="auto"/>
            <w:noWrap/>
            <w:hideMark/>
          </w:tcPr>
          <w:p w14:paraId="7CC29F61" w14:textId="32DD47F1" w:rsidR="00BA1762" w:rsidRPr="00C42708" w:rsidRDefault="00BA1762" w:rsidP="00002CC5">
            <w:pPr>
              <w:ind w:left="317"/>
              <w:rPr>
                <w:rFonts w:cs="Arial"/>
                <w:color w:val="000000"/>
              </w:rPr>
            </w:pPr>
            <w:r w:rsidRPr="00C42708">
              <w:rPr>
                <w:rFonts w:cs="Arial"/>
                <w:bCs/>
                <w:i/>
                <w:iCs/>
                <w:color w:val="000000"/>
              </w:rPr>
              <w:t>LESS</w:t>
            </w:r>
            <w:r w:rsidRPr="00C42708">
              <w:rPr>
                <w:rFonts w:cs="Arial"/>
                <w:color w:val="000000"/>
              </w:rPr>
              <w:t xml:space="preserve"> Total trimmed episodes</w:t>
            </w:r>
          </w:p>
        </w:tc>
        <w:tc>
          <w:tcPr>
            <w:tcW w:w="684" w:type="pct"/>
            <w:tcBorders>
              <w:top w:val="nil"/>
              <w:left w:val="nil"/>
              <w:bottom w:val="single" w:sz="4" w:space="0" w:color="auto"/>
              <w:right w:val="nil"/>
            </w:tcBorders>
            <w:shd w:val="clear" w:color="auto" w:fill="auto"/>
            <w:noWrap/>
            <w:vAlign w:val="center"/>
            <w:hideMark/>
          </w:tcPr>
          <w:p w14:paraId="5169580E" w14:textId="77777777" w:rsidR="00BA1762" w:rsidRPr="00C42708" w:rsidRDefault="00BA1762" w:rsidP="00C42708">
            <w:pPr>
              <w:jc w:val="right"/>
              <w:rPr>
                <w:rFonts w:cs="Arial"/>
                <w:color w:val="FFFFFF" w:themeColor="accent6"/>
              </w:rPr>
            </w:pPr>
            <w:r w:rsidRPr="00C42708">
              <w:rPr>
                <w:rFonts w:cs="Arial"/>
                <w:color w:val="000000"/>
              </w:rPr>
              <w:t>-476,257</w:t>
            </w:r>
          </w:p>
        </w:tc>
        <w:tc>
          <w:tcPr>
            <w:tcW w:w="685" w:type="pct"/>
            <w:tcBorders>
              <w:top w:val="nil"/>
              <w:left w:val="nil"/>
              <w:bottom w:val="single" w:sz="4" w:space="0" w:color="auto"/>
              <w:right w:val="nil"/>
            </w:tcBorders>
            <w:shd w:val="clear" w:color="auto" w:fill="auto"/>
            <w:noWrap/>
            <w:vAlign w:val="center"/>
            <w:hideMark/>
          </w:tcPr>
          <w:p w14:paraId="5163E8D4" w14:textId="77777777" w:rsidR="00BA1762" w:rsidRPr="00C42708" w:rsidRDefault="00BA1762" w:rsidP="00C42708">
            <w:pPr>
              <w:jc w:val="right"/>
              <w:rPr>
                <w:rFonts w:cs="Arial"/>
                <w:color w:val="000000"/>
              </w:rPr>
            </w:pPr>
            <w:r w:rsidRPr="00C42708">
              <w:rPr>
                <w:rFonts w:cs="Arial"/>
                <w:color w:val="000000"/>
              </w:rPr>
              <w:t>-421,242</w:t>
            </w:r>
          </w:p>
        </w:tc>
        <w:tc>
          <w:tcPr>
            <w:tcW w:w="685" w:type="pct"/>
            <w:tcBorders>
              <w:top w:val="nil"/>
              <w:left w:val="nil"/>
              <w:bottom w:val="single" w:sz="4" w:space="0" w:color="auto"/>
              <w:right w:val="nil"/>
            </w:tcBorders>
            <w:shd w:val="clear" w:color="auto" w:fill="auto"/>
            <w:noWrap/>
            <w:vAlign w:val="center"/>
            <w:hideMark/>
          </w:tcPr>
          <w:p w14:paraId="00E7DB65" w14:textId="6E1DB726" w:rsidR="00BA1762" w:rsidRPr="00C42708" w:rsidRDefault="001A4B10" w:rsidP="00C42708">
            <w:pPr>
              <w:jc w:val="right"/>
              <w:rPr>
                <w:rFonts w:cs="Arial"/>
                <w:color w:val="000000"/>
              </w:rPr>
            </w:pPr>
            <w:r w:rsidRPr="00C42708">
              <w:rPr>
                <w:rFonts w:cs="Arial"/>
                <w:color w:val="000000"/>
              </w:rPr>
              <w:t>-318,373</w:t>
            </w:r>
          </w:p>
        </w:tc>
        <w:tc>
          <w:tcPr>
            <w:tcW w:w="684" w:type="pct"/>
            <w:tcBorders>
              <w:top w:val="nil"/>
              <w:left w:val="nil"/>
              <w:bottom w:val="single" w:sz="4" w:space="0" w:color="auto"/>
              <w:right w:val="nil"/>
            </w:tcBorders>
            <w:shd w:val="clear" w:color="auto" w:fill="auto"/>
            <w:noWrap/>
            <w:vAlign w:val="center"/>
            <w:hideMark/>
          </w:tcPr>
          <w:p w14:paraId="59D86504" w14:textId="05081B67" w:rsidR="00BA1762" w:rsidRPr="00C42708" w:rsidRDefault="001A4B10" w:rsidP="00C42708">
            <w:pPr>
              <w:jc w:val="right"/>
              <w:rPr>
                <w:rFonts w:cs="Arial"/>
                <w:color w:val="000000"/>
              </w:rPr>
            </w:pPr>
            <w:r w:rsidRPr="00C42708">
              <w:rPr>
                <w:rFonts w:cs="Arial"/>
                <w:color w:val="000000"/>
              </w:rPr>
              <w:t>-309,184</w:t>
            </w:r>
          </w:p>
        </w:tc>
        <w:tc>
          <w:tcPr>
            <w:tcW w:w="719" w:type="pct"/>
            <w:tcBorders>
              <w:top w:val="nil"/>
              <w:left w:val="nil"/>
              <w:bottom w:val="single" w:sz="4" w:space="0" w:color="auto"/>
              <w:right w:val="single" w:sz="4" w:space="0" w:color="auto"/>
            </w:tcBorders>
            <w:shd w:val="clear" w:color="auto" w:fill="auto"/>
            <w:noWrap/>
            <w:vAlign w:val="center"/>
            <w:hideMark/>
          </w:tcPr>
          <w:p w14:paraId="5DA8348D" w14:textId="230FF5CB" w:rsidR="00BA1762" w:rsidRPr="00C42708" w:rsidRDefault="001A4B10" w:rsidP="00C42708">
            <w:pPr>
              <w:jc w:val="right"/>
              <w:rPr>
                <w:rFonts w:cs="Arial"/>
                <w:b/>
                <w:color w:val="000000"/>
              </w:rPr>
            </w:pPr>
            <w:r w:rsidRPr="00C42708">
              <w:rPr>
                <w:rFonts w:cs="Arial"/>
                <w:b/>
                <w:color w:val="000000"/>
              </w:rPr>
              <w:t>-1,525,056</w:t>
            </w:r>
          </w:p>
        </w:tc>
      </w:tr>
      <w:tr w:rsidR="00BA1762" w:rsidRPr="00C42708" w14:paraId="2E133F88" w14:textId="77777777" w:rsidTr="00A36751">
        <w:trPr>
          <w:trHeight w:val="570"/>
        </w:trPr>
        <w:tc>
          <w:tcPr>
            <w:tcW w:w="163" w:type="pct"/>
            <w:tcBorders>
              <w:top w:val="nil"/>
              <w:left w:val="single" w:sz="4" w:space="0" w:color="auto"/>
              <w:bottom w:val="nil"/>
              <w:right w:val="nil"/>
            </w:tcBorders>
            <w:shd w:val="clear" w:color="auto" w:fill="auto"/>
            <w:noWrap/>
            <w:hideMark/>
          </w:tcPr>
          <w:p w14:paraId="0800F940" w14:textId="77777777" w:rsidR="00BA1762" w:rsidRPr="00C42708" w:rsidRDefault="00BA1762" w:rsidP="00C42708">
            <w:pPr>
              <w:rPr>
                <w:rFonts w:cs="Arial"/>
                <w:color w:val="000000"/>
              </w:rPr>
            </w:pPr>
            <w:r w:rsidRPr="00C42708">
              <w:rPr>
                <w:rFonts w:cs="Arial"/>
                <w:color w:val="000000"/>
              </w:rPr>
              <w:t> </w:t>
            </w:r>
          </w:p>
        </w:tc>
        <w:tc>
          <w:tcPr>
            <w:tcW w:w="1380" w:type="pct"/>
            <w:tcBorders>
              <w:top w:val="nil"/>
              <w:left w:val="nil"/>
              <w:bottom w:val="single" w:sz="4" w:space="0" w:color="auto"/>
              <w:right w:val="nil"/>
            </w:tcBorders>
            <w:shd w:val="clear" w:color="auto" w:fill="auto"/>
            <w:hideMark/>
          </w:tcPr>
          <w:p w14:paraId="2866CE57" w14:textId="77777777" w:rsidR="00BA1762" w:rsidRPr="00C42708" w:rsidRDefault="00BA1762" w:rsidP="00C42708">
            <w:pPr>
              <w:rPr>
                <w:rFonts w:cs="Arial"/>
                <w:color w:val="000000"/>
              </w:rPr>
            </w:pPr>
            <w:r w:rsidRPr="00C42708">
              <w:rPr>
                <w:rFonts w:cs="Arial"/>
                <w:color w:val="000000"/>
              </w:rPr>
              <w:t xml:space="preserve">(b) Records with invalid or contradictory information </w:t>
            </w:r>
          </w:p>
        </w:tc>
        <w:tc>
          <w:tcPr>
            <w:tcW w:w="684" w:type="pct"/>
            <w:tcBorders>
              <w:top w:val="nil"/>
              <w:left w:val="nil"/>
              <w:bottom w:val="single" w:sz="4" w:space="0" w:color="auto"/>
              <w:right w:val="nil"/>
            </w:tcBorders>
            <w:shd w:val="clear" w:color="auto" w:fill="auto"/>
            <w:noWrap/>
            <w:vAlign w:val="center"/>
            <w:hideMark/>
          </w:tcPr>
          <w:p w14:paraId="0B069B07" w14:textId="77777777" w:rsidR="00BA1762" w:rsidRPr="00C42708" w:rsidRDefault="00BA1762" w:rsidP="00C42708">
            <w:pPr>
              <w:jc w:val="right"/>
              <w:rPr>
                <w:rFonts w:cs="Arial"/>
                <w:color w:val="000000"/>
              </w:rPr>
            </w:pPr>
            <w:r w:rsidRPr="00C42708">
              <w:rPr>
                <w:rFonts w:cs="Arial"/>
                <w:color w:val="000000"/>
              </w:rPr>
              <w:t>-428,762</w:t>
            </w:r>
          </w:p>
        </w:tc>
        <w:tc>
          <w:tcPr>
            <w:tcW w:w="685" w:type="pct"/>
            <w:tcBorders>
              <w:top w:val="nil"/>
              <w:left w:val="nil"/>
              <w:bottom w:val="single" w:sz="4" w:space="0" w:color="auto"/>
              <w:right w:val="nil"/>
            </w:tcBorders>
            <w:shd w:val="clear" w:color="auto" w:fill="auto"/>
            <w:noWrap/>
            <w:vAlign w:val="center"/>
            <w:hideMark/>
          </w:tcPr>
          <w:p w14:paraId="17761098" w14:textId="77777777" w:rsidR="00BA1762" w:rsidRPr="00C42708" w:rsidRDefault="00BA1762" w:rsidP="00C42708">
            <w:pPr>
              <w:jc w:val="right"/>
              <w:rPr>
                <w:rFonts w:cs="Arial"/>
                <w:color w:val="000000"/>
              </w:rPr>
            </w:pPr>
            <w:r w:rsidRPr="00C42708">
              <w:rPr>
                <w:rFonts w:cs="Arial"/>
                <w:color w:val="000000"/>
              </w:rPr>
              <w:t>-374,566</w:t>
            </w:r>
          </w:p>
        </w:tc>
        <w:tc>
          <w:tcPr>
            <w:tcW w:w="685" w:type="pct"/>
            <w:tcBorders>
              <w:top w:val="nil"/>
              <w:left w:val="nil"/>
              <w:bottom w:val="single" w:sz="4" w:space="0" w:color="auto"/>
              <w:right w:val="nil"/>
            </w:tcBorders>
            <w:shd w:val="clear" w:color="auto" w:fill="auto"/>
            <w:noWrap/>
            <w:vAlign w:val="center"/>
            <w:hideMark/>
          </w:tcPr>
          <w:p w14:paraId="276761C6" w14:textId="36552924" w:rsidR="00BA1762" w:rsidRPr="00C42708" w:rsidRDefault="001A4B10" w:rsidP="00C42708">
            <w:pPr>
              <w:jc w:val="right"/>
              <w:rPr>
                <w:rFonts w:cs="Arial"/>
                <w:color w:val="000000"/>
              </w:rPr>
            </w:pPr>
            <w:r w:rsidRPr="00C42708">
              <w:rPr>
                <w:rFonts w:cs="Arial"/>
                <w:color w:val="000000"/>
              </w:rPr>
              <w:t>-268,209</w:t>
            </w:r>
          </w:p>
        </w:tc>
        <w:tc>
          <w:tcPr>
            <w:tcW w:w="684" w:type="pct"/>
            <w:tcBorders>
              <w:top w:val="nil"/>
              <w:left w:val="nil"/>
              <w:bottom w:val="single" w:sz="4" w:space="0" w:color="auto"/>
              <w:right w:val="nil"/>
            </w:tcBorders>
            <w:shd w:val="clear" w:color="auto" w:fill="auto"/>
            <w:noWrap/>
            <w:vAlign w:val="center"/>
            <w:hideMark/>
          </w:tcPr>
          <w:p w14:paraId="441EB881" w14:textId="7C180CFC" w:rsidR="00BA1762" w:rsidRPr="00C42708" w:rsidRDefault="001A4B10" w:rsidP="00C42708">
            <w:pPr>
              <w:jc w:val="right"/>
              <w:rPr>
                <w:rFonts w:cs="Arial"/>
                <w:color w:val="000000"/>
              </w:rPr>
            </w:pPr>
            <w:r w:rsidRPr="00C42708">
              <w:rPr>
                <w:rFonts w:cs="Arial"/>
                <w:color w:val="000000"/>
              </w:rPr>
              <w:t>-257,535</w:t>
            </w:r>
          </w:p>
        </w:tc>
        <w:tc>
          <w:tcPr>
            <w:tcW w:w="719" w:type="pct"/>
            <w:tcBorders>
              <w:top w:val="nil"/>
              <w:left w:val="nil"/>
              <w:bottom w:val="single" w:sz="4" w:space="0" w:color="auto"/>
              <w:right w:val="single" w:sz="4" w:space="0" w:color="auto"/>
            </w:tcBorders>
            <w:shd w:val="clear" w:color="auto" w:fill="auto"/>
            <w:noWrap/>
            <w:vAlign w:val="center"/>
            <w:hideMark/>
          </w:tcPr>
          <w:p w14:paraId="699902F4" w14:textId="41B7279E" w:rsidR="00BA1762" w:rsidRPr="00C42708" w:rsidRDefault="001A4B10" w:rsidP="00C42708">
            <w:pPr>
              <w:jc w:val="right"/>
              <w:rPr>
                <w:rFonts w:cs="Arial"/>
                <w:b/>
                <w:color w:val="000000"/>
              </w:rPr>
            </w:pPr>
            <w:r w:rsidRPr="00C42708">
              <w:rPr>
                <w:rFonts w:cs="Arial"/>
                <w:b/>
                <w:color w:val="000000"/>
              </w:rPr>
              <w:t>-1,329,072</w:t>
            </w:r>
          </w:p>
        </w:tc>
      </w:tr>
      <w:tr w:rsidR="00BA1762" w:rsidRPr="00C42708" w14:paraId="7D9F8ACB" w14:textId="77777777" w:rsidTr="00A36751">
        <w:trPr>
          <w:trHeight w:val="285"/>
        </w:trPr>
        <w:tc>
          <w:tcPr>
            <w:tcW w:w="163" w:type="pct"/>
            <w:tcBorders>
              <w:top w:val="single" w:sz="4" w:space="0" w:color="auto"/>
              <w:left w:val="single" w:sz="4" w:space="0" w:color="auto"/>
              <w:bottom w:val="nil"/>
              <w:right w:val="nil"/>
            </w:tcBorders>
            <w:shd w:val="clear" w:color="auto" w:fill="auto"/>
            <w:noWrap/>
            <w:hideMark/>
          </w:tcPr>
          <w:p w14:paraId="337905AB" w14:textId="77777777" w:rsidR="00BA1762" w:rsidRPr="00C42708" w:rsidRDefault="00BA1762" w:rsidP="00C42708">
            <w:pPr>
              <w:rPr>
                <w:rFonts w:cs="Arial"/>
                <w:color w:val="000000"/>
              </w:rPr>
            </w:pPr>
            <w:r w:rsidRPr="00C42708">
              <w:rPr>
                <w:rFonts w:cs="Arial"/>
                <w:color w:val="000000"/>
              </w:rPr>
              <w:t> </w:t>
            </w:r>
          </w:p>
        </w:tc>
        <w:tc>
          <w:tcPr>
            <w:tcW w:w="1380" w:type="pct"/>
            <w:tcBorders>
              <w:top w:val="nil"/>
              <w:left w:val="nil"/>
              <w:bottom w:val="single" w:sz="4" w:space="0" w:color="auto"/>
              <w:right w:val="nil"/>
            </w:tcBorders>
            <w:shd w:val="clear" w:color="auto" w:fill="auto"/>
            <w:hideMark/>
          </w:tcPr>
          <w:p w14:paraId="44DB52FA" w14:textId="77777777" w:rsidR="00BA1762" w:rsidRPr="00C42708" w:rsidRDefault="00BA1762" w:rsidP="00C42708">
            <w:pPr>
              <w:rPr>
                <w:rFonts w:cs="Arial"/>
                <w:color w:val="000000"/>
              </w:rPr>
            </w:pPr>
            <w:r w:rsidRPr="00C42708">
              <w:rPr>
                <w:rFonts w:cs="Arial"/>
                <w:color w:val="000000"/>
              </w:rPr>
              <w:t>(c) Records that are 'Work in Progress'</w:t>
            </w:r>
          </w:p>
        </w:tc>
        <w:tc>
          <w:tcPr>
            <w:tcW w:w="684" w:type="pct"/>
            <w:tcBorders>
              <w:top w:val="nil"/>
              <w:left w:val="nil"/>
              <w:bottom w:val="single" w:sz="4" w:space="0" w:color="auto"/>
              <w:right w:val="nil"/>
            </w:tcBorders>
            <w:shd w:val="clear" w:color="auto" w:fill="auto"/>
            <w:noWrap/>
            <w:vAlign w:val="center"/>
            <w:hideMark/>
          </w:tcPr>
          <w:p w14:paraId="2D0B2334" w14:textId="77777777" w:rsidR="00BA1762" w:rsidRPr="00C42708" w:rsidRDefault="00BA1762" w:rsidP="00C42708">
            <w:pPr>
              <w:jc w:val="right"/>
              <w:rPr>
                <w:rFonts w:cs="Arial"/>
                <w:color w:val="000000"/>
              </w:rPr>
            </w:pPr>
            <w:r w:rsidRPr="00C42708">
              <w:rPr>
                <w:rFonts w:cs="Arial"/>
                <w:color w:val="000000"/>
              </w:rPr>
              <w:t>-32,843</w:t>
            </w:r>
          </w:p>
        </w:tc>
        <w:tc>
          <w:tcPr>
            <w:tcW w:w="685" w:type="pct"/>
            <w:tcBorders>
              <w:top w:val="nil"/>
              <w:left w:val="nil"/>
              <w:bottom w:val="single" w:sz="4" w:space="0" w:color="auto"/>
              <w:right w:val="nil"/>
            </w:tcBorders>
            <w:shd w:val="clear" w:color="auto" w:fill="auto"/>
            <w:noWrap/>
            <w:vAlign w:val="center"/>
            <w:hideMark/>
          </w:tcPr>
          <w:p w14:paraId="1F524853" w14:textId="77777777" w:rsidR="00BA1762" w:rsidRPr="00C42708" w:rsidRDefault="00BA1762" w:rsidP="00C42708">
            <w:pPr>
              <w:jc w:val="right"/>
              <w:rPr>
                <w:rFonts w:cs="Arial"/>
                <w:color w:val="000000"/>
              </w:rPr>
            </w:pPr>
            <w:r w:rsidRPr="00C42708">
              <w:rPr>
                <w:rFonts w:cs="Arial"/>
                <w:color w:val="000000"/>
              </w:rPr>
              <w:t>-34,290</w:t>
            </w:r>
          </w:p>
        </w:tc>
        <w:tc>
          <w:tcPr>
            <w:tcW w:w="685" w:type="pct"/>
            <w:tcBorders>
              <w:top w:val="nil"/>
              <w:left w:val="nil"/>
              <w:bottom w:val="single" w:sz="4" w:space="0" w:color="auto"/>
              <w:right w:val="nil"/>
            </w:tcBorders>
            <w:shd w:val="clear" w:color="auto" w:fill="auto"/>
            <w:noWrap/>
            <w:vAlign w:val="center"/>
            <w:hideMark/>
          </w:tcPr>
          <w:p w14:paraId="32AD681A" w14:textId="2A77ACD8" w:rsidR="00BA1762" w:rsidRPr="00C42708" w:rsidRDefault="001A4B10" w:rsidP="00C42708">
            <w:pPr>
              <w:jc w:val="right"/>
              <w:rPr>
                <w:rFonts w:cs="Arial"/>
                <w:color w:val="000000"/>
              </w:rPr>
            </w:pPr>
            <w:r w:rsidRPr="00C42708">
              <w:rPr>
                <w:rFonts w:cs="Arial"/>
                <w:color w:val="000000"/>
              </w:rPr>
              <w:t>-34,217</w:t>
            </w:r>
          </w:p>
        </w:tc>
        <w:tc>
          <w:tcPr>
            <w:tcW w:w="684" w:type="pct"/>
            <w:tcBorders>
              <w:top w:val="nil"/>
              <w:left w:val="nil"/>
              <w:bottom w:val="single" w:sz="4" w:space="0" w:color="auto"/>
              <w:right w:val="nil"/>
            </w:tcBorders>
            <w:shd w:val="clear" w:color="auto" w:fill="auto"/>
            <w:noWrap/>
            <w:vAlign w:val="center"/>
            <w:hideMark/>
          </w:tcPr>
          <w:p w14:paraId="417F8004" w14:textId="4C2EA925" w:rsidR="00BA1762" w:rsidRPr="00C42708" w:rsidRDefault="001A4B10" w:rsidP="00C42708">
            <w:pPr>
              <w:jc w:val="right"/>
              <w:rPr>
                <w:rFonts w:cs="Arial"/>
                <w:color w:val="000000"/>
              </w:rPr>
            </w:pPr>
            <w:r w:rsidRPr="00C42708">
              <w:rPr>
                <w:rFonts w:cs="Arial"/>
                <w:color w:val="000000"/>
              </w:rPr>
              <w:t>-34,955</w:t>
            </w:r>
          </w:p>
        </w:tc>
        <w:tc>
          <w:tcPr>
            <w:tcW w:w="719" w:type="pct"/>
            <w:tcBorders>
              <w:top w:val="nil"/>
              <w:left w:val="nil"/>
              <w:bottom w:val="single" w:sz="4" w:space="0" w:color="auto"/>
              <w:right w:val="single" w:sz="4" w:space="0" w:color="auto"/>
            </w:tcBorders>
            <w:shd w:val="clear" w:color="auto" w:fill="auto"/>
            <w:noWrap/>
            <w:vAlign w:val="center"/>
            <w:hideMark/>
          </w:tcPr>
          <w:p w14:paraId="535EF9BC" w14:textId="351BBFA4" w:rsidR="00BA1762" w:rsidRPr="00C42708" w:rsidRDefault="001A4B10" w:rsidP="00C42708">
            <w:pPr>
              <w:jc w:val="right"/>
              <w:rPr>
                <w:rFonts w:cs="Arial"/>
                <w:b/>
                <w:color w:val="000000"/>
              </w:rPr>
            </w:pPr>
            <w:r w:rsidRPr="00C42708">
              <w:rPr>
                <w:rFonts w:cs="Arial"/>
                <w:b/>
                <w:color w:val="000000"/>
              </w:rPr>
              <w:t>-136,305</w:t>
            </w:r>
          </w:p>
        </w:tc>
      </w:tr>
      <w:tr w:rsidR="00BA1762" w:rsidRPr="00C42708" w14:paraId="2100C623" w14:textId="77777777" w:rsidTr="00A36751">
        <w:trPr>
          <w:trHeight w:val="570"/>
        </w:trPr>
        <w:tc>
          <w:tcPr>
            <w:tcW w:w="163" w:type="pct"/>
            <w:tcBorders>
              <w:top w:val="single" w:sz="4" w:space="0" w:color="auto"/>
              <w:left w:val="single" w:sz="4" w:space="0" w:color="auto"/>
              <w:bottom w:val="nil"/>
              <w:right w:val="nil"/>
            </w:tcBorders>
            <w:shd w:val="clear" w:color="auto" w:fill="auto"/>
            <w:noWrap/>
            <w:hideMark/>
          </w:tcPr>
          <w:p w14:paraId="6C9C845B" w14:textId="77777777" w:rsidR="00BA1762" w:rsidRPr="00C42708" w:rsidRDefault="00BA1762" w:rsidP="00C42708">
            <w:pPr>
              <w:rPr>
                <w:rFonts w:cs="Arial"/>
                <w:color w:val="000000"/>
              </w:rPr>
            </w:pPr>
            <w:r w:rsidRPr="00C42708">
              <w:rPr>
                <w:rFonts w:cs="Arial"/>
                <w:color w:val="000000"/>
              </w:rPr>
              <w:t> </w:t>
            </w:r>
          </w:p>
        </w:tc>
        <w:tc>
          <w:tcPr>
            <w:tcW w:w="1380" w:type="pct"/>
            <w:tcBorders>
              <w:top w:val="nil"/>
              <w:left w:val="nil"/>
              <w:bottom w:val="single" w:sz="4" w:space="0" w:color="auto"/>
              <w:right w:val="nil"/>
            </w:tcBorders>
            <w:shd w:val="clear" w:color="auto" w:fill="auto"/>
            <w:hideMark/>
          </w:tcPr>
          <w:p w14:paraId="4B8E8594" w14:textId="77777777" w:rsidR="00BA1762" w:rsidRPr="00C42708" w:rsidRDefault="00BA1762" w:rsidP="00C42708">
            <w:pPr>
              <w:rPr>
                <w:rFonts w:cs="Arial"/>
                <w:color w:val="000000"/>
              </w:rPr>
            </w:pPr>
            <w:r w:rsidRPr="00C42708">
              <w:rPr>
                <w:rFonts w:cs="Arial"/>
                <w:color w:val="000000"/>
              </w:rPr>
              <w:t>(d) Records from hospitals with fewer than 100 costed episodes</w:t>
            </w:r>
          </w:p>
        </w:tc>
        <w:tc>
          <w:tcPr>
            <w:tcW w:w="684" w:type="pct"/>
            <w:tcBorders>
              <w:top w:val="nil"/>
              <w:left w:val="nil"/>
              <w:bottom w:val="single" w:sz="4" w:space="0" w:color="auto"/>
              <w:right w:val="nil"/>
            </w:tcBorders>
            <w:shd w:val="clear" w:color="auto" w:fill="auto"/>
            <w:noWrap/>
            <w:vAlign w:val="center"/>
            <w:hideMark/>
          </w:tcPr>
          <w:p w14:paraId="35A7559C" w14:textId="77777777" w:rsidR="00BA1762" w:rsidRPr="00C42708" w:rsidRDefault="00BA1762" w:rsidP="00C42708">
            <w:pPr>
              <w:jc w:val="right"/>
              <w:rPr>
                <w:rFonts w:cs="Arial"/>
                <w:color w:val="000000"/>
              </w:rPr>
            </w:pPr>
            <w:r w:rsidRPr="00C42708">
              <w:rPr>
                <w:rFonts w:cs="Arial"/>
                <w:color w:val="000000"/>
              </w:rPr>
              <w:t>-973</w:t>
            </w:r>
          </w:p>
        </w:tc>
        <w:tc>
          <w:tcPr>
            <w:tcW w:w="685" w:type="pct"/>
            <w:tcBorders>
              <w:top w:val="nil"/>
              <w:left w:val="nil"/>
              <w:bottom w:val="single" w:sz="4" w:space="0" w:color="auto"/>
              <w:right w:val="nil"/>
            </w:tcBorders>
            <w:shd w:val="clear" w:color="auto" w:fill="auto"/>
            <w:noWrap/>
            <w:vAlign w:val="center"/>
            <w:hideMark/>
          </w:tcPr>
          <w:p w14:paraId="6F8C0927" w14:textId="77777777" w:rsidR="00BA1762" w:rsidRPr="00C42708" w:rsidRDefault="00BA1762" w:rsidP="00C42708">
            <w:pPr>
              <w:jc w:val="right"/>
              <w:rPr>
                <w:rFonts w:cs="Arial"/>
                <w:color w:val="000000"/>
              </w:rPr>
            </w:pPr>
            <w:r w:rsidRPr="00C42708">
              <w:rPr>
                <w:rFonts w:cs="Arial"/>
                <w:color w:val="000000"/>
              </w:rPr>
              <w:t>-1,220</w:t>
            </w:r>
          </w:p>
        </w:tc>
        <w:tc>
          <w:tcPr>
            <w:tcW w:w="685" w:type="pct"/>
            <w:tcBorders>
              <w:top w:val="nil"/>
              <w:left w:val="nil"/>
              <w:bottom w:val="single" w:sz="4" w:space="0" w:color="auto"/>
              <w:right w:val="nil"/>
            </w:tcBorders>
            <w:shd w:val="clear" w:color="auto" w:fill="auto"/>
            <w:noWrap/>
            <w:vAlign w:val="center"/>
            <w:hideMark/>
          </w:tcPr>
          <w:p w14:paraId="6A4801F2" w14:textId="0493D032" w:rsidR="00BA1762" w:rsidRPr="00C42708" w:rsidRDefault="001A4B10" w:rsidP="00C42708">
            <w:pPr>
              <w:jc w:val="right"/>
              <w:rPr>
                <w:rFonts w:cs="Arial"/>
                <w:color w:val="000000"/>
              </w:rPr>
            </w:pPr>
            <w:r w:rsidRPr="00C42708">
              <w:rPr>
                <w:rFonts w:cs="Arial"/>
                <w:color w:val="000000"/>
              </w:rPr>
              <w:t>-1,077</w:t>
            </w:r>
          </w:p>
        </w:tc>
        <w:tc>
          <w:tcPr>
            <w:tcW w:w="684" w:type="pct"/>
            <w:tcBorders>
              <w:top w:val="nil"/>
              <w:left w:val="nil"/>
              <w:bottom w:val="single" w:sz="4" w:space="0" w:color="auto"/>
              <w:right w:val="nil"/>
            </w:tcBorders>
            <w:shd w:val="clear" w:color="auto" w:fill="auto"/>
            <w:noWrap/>
            <w:vAlign w:val="center"/>
            <w:hideMark/>
          </w:tcPr>
          <w:p w14:paraId="677F8697" w14:textId="35A6CAEF" w:rsidR="00BA1762" w:rsidRPr="00C42708" w:rsidRDefault="001A4B10" w:rsidP="00C42708">
            <w:pPr>
              <w:jc w:val="right"/>
              <w:rPr>
                <w:rFonts w:cs="Arial"/>
                <w:color w:val="000000"/>
              </w:rPr>
            </w:pPr>
            <w:r w:rsidRPr="00C42708">
              <w:rPr>
                <w:rFonts w:cs="Arial"/>
                <w:color w:val="000000"/>
              </w:rPr>
              <w:t>-1,282</w:t>
            </w:r>
          </w:p>
        </w:tc>
        <w:tc>
          <w:tcPr>
            <w:tcW w:w="719" w:type="pct"/>
            <w:tcBorders>
              <w:top w:val="nil"/>
              <w:left w:val="nil"/>
              <w:bottom w:val="single" w:sz="4" w:space="0" w:color="auto"/>
              <w:right w:val="single" w:sz="4" w:space="0" w:color="auto"/>
            </w:tcBorders>
            <w:shd w:val="clear" w:color="auto" w:fill="auto"/>
            <w:noWrap/>
            <w:vAlign w:val="center"/>
            <w:hideMark/>
          </w:tcPr>
          <w:p w14:paraId="225B3B5B" w14:textId="5AC3F236" w:rsidR="00BA1762" w:rsidRPr="00C42708" w:rsidRDefault="001A4B10" w:rsidP="00C42708">
            <w:pPr>
              <w:jc w:val="right"/>
              <w:rPr>
                <w:rFonts w:cs="Arial"/>
                <w:b/>
                <w:color w:val="000000"/>
              </w:rPr>
            </w:pPr>
            <w:r w:rsidRPr="00C42708">
              <w:rPr>
                <w:rFonts w:cs="Arial"/>
                <w:b/>
                <w:color w:val="000000"/>
              </w:rPr>
              <w:t>-4,552</w:t>
            </w:r>
          </w:p>
        </w:tc>
      </w:tr>
      <w:tr w:rsidR="00BA1762" w:rsidRPr="00C42708" w14:paraId="6007162B" w14:textId="77777777" w:rsidTr="00A36751">
        <w:trPr>
          <w:trHeight w:val="285"/>
        </w:trPr>
        <w:tc>
          <w:tcPr>
            <w:tcW w:w="163" w:type="pct"/>
            <w:tcBorders>
              <w:top w:val="single" w:sz="4" w:space="0" w:color="auto"/>
              <w:left w:val="single" w:sz="4" w:space="0" w:color="auto"/>
              <w:bottom w:val="nil"/>
              <w:right w:val="nil"/>
            </w:tcBorders>
            <w:shd w:val="clear" w:color="auto" w:fill="auto"/>
            <w:noWrap/>
            <w:hideMark/>
          </w:tcPr>
          <w:p w14:paraId="35BDE968" w14:textId="77777777" w:rsidR="00BA1762" w:rsidRPr="00C42708" w:rsidRDefault="00BA1762" w:rsidP="00C42708">
            <w:pPr>
              <w:rPr>
                <w:rFonts w:cs="Arial"/>
                <w:color w:val="000000"/>
              </w:rPr>
            </w:pPr>
            <w:r w:rsidRPr="00C42708">
              <w:rPr>
                <w:rFonts w:cs="Arial"/>
                <w:color w:val="000000"/>
              </w:rPr>
              <w:t> </w:t>
            </w:r>
          </w:p>
        </w:tc>
        <w:tc>
          <w:tcPr>
            <w:tcW w:w="1380" w:type="pct"/>
            <w:tcBorders>
              <w:top w:val="nil"/>
              <w:left w:val="nil"/>
              <w:bottom w:val="single" w:sz="4" w:space="0" w:color="auto"/>
              <w:right w:val="nil"/>
            </w:tcBorders>
            <w:shd w:val="clear" w:color="auto" w:fill="auto"/>
            <w:hideMark/>
          </w:tcPr>
          <w:p w14:paraId="51B01991" w14:textId="77777777" w:rsidR="00BA1762" w:rsidRPr="00C42708" w:rsidRDefault="00BA1762" w:rsidP="00C42708">
            <w:pPr>
              <w:rPr>
                <w:rFonts w:cs="Arial"/>
                <w:color w:val="000000"/>
              </w:rPr>
            </w:pPr>
            <w:r w:rsidRPr="00C42708">
              <w:rPr>
                <w:rFonts w:cs="Arial"/>
                <w:color w:val="000000"/>
              </w:rPr>
              <w:t>(e) Records with hospital-DRG extreme costs</w:t>
            </w:r>
          </w:p>
        </w:tc>
        <w:tc>
          <w:tcPr>
            <w:tcW w:w="684" w:type="pct"/>
            <w:tcBorders>
              <w:top w:val="nil"/>
              <w:left w:val="nil"/>
              <w:bottom w:val="single" w:sz="4" w:space="0" w:color="auto"/>
              <w:right w:val="nil"/>
            </w:tcBorders>
            <w:shd w:val="clear" w:color="auto" w:fill="auto"/>
            <w:noWrap/>
            <w:vAlign w:val="center"/>
            <w:hideMark/>
          </w:tcPr>
          <w:p w14:paraId="6BD1A0E5" w14:textId="77777777" w:rsidR="00BA1762" w:rsidRPr="00C42708" w:rsidRDefault="00BA1762" w:rsidP="00C42708">
            <w:pPr>
              <w:jc w:val="right"/>
              <w:rPr>
                <w:rFonts w:cs="Arial"/>
                <w:color w:val="000000"/>
              </w:rPr>
            </w:pPr>
            <w:r w:rsidRPr="00C42708">
              <w:rPr>
                <w:rFonts w:cs="Arial"/>
                <w:color w:val="000000"/>
              </w:rPr>
              <w:t>-3,772</w:t>
            </w:r>
          </w:p>
        </w:tc>
        <w:tc>
          <w:tcPr>
            <w:tcW w:w="685" w:type="pct"/>
            <w:tcBorders>
              <w:top w:val="nil"/>
              <w:left w:val="nil"/>
              <w:bottom w:val="single" w:sz="4" w:space="0" w:color="auto"/>
              <w:right w:val="nil"/>
            </w:tcBorders>
            <w:shd w:val="clear" w:color="auto" w:fill="auto"/>
            <w:noWrap/>
            <w:vAlign w:val="center"/>
            <w:hideMark/>
          </w:tcPr>
          <w:p w14:paraId="64166D7F" w14:textId="77777777" w:rsidR="00BA1762" w:rsidRPr="00C42708" w:rsidRDefault="00BA1762" w:rsidP="00C42708">
            <w:pPr>
              <w:jc w:val="right"/>
              <w:rPr>
                <w:rFonts w:cs="Arial"/>
                <w:color w:val="000000"/>
              </w:rPr>
            </w:pPr>
            <w:r w:rsidRPr="00C42708">
              <w:rPr>
                <w:rFonts w:cs="Arial"/>
                <w:color w:val="000000"/>
              </w:rPr>
              <w:t>-4,150</w:t>
            </w:r>
          </w:p>
        </w:tc>
        <w:tc>
          <w:tcPr>
            <w:tcW w:w="685" w:type="pct"/>
            <w:tcBorders>
              <w:top w:val="nil"/>
              <w:left w:val="nil"/>
              <w:bottom w:val="single" w:sz="4" w:space="0" w:color="auto"/>
              <w:right w:val="nil"/>
            </w:tcBorders>
            <w:shd w:val="clear" w:color="auto" w:fill="auto"/>
            <w:noWrap/>
            <w:vAlign w:val="center"/>
            <w:hideMark/>
          </w:tcPr>
          <w:p w14:paraId="4B73882A" w14:textId="2A2FF515" w:rsidR="00BA1762" w:rsidRPr="00C42708" w:rsidRDefault="001A4B10" w:rsidP="00C42708">
            <w:pPr>
              <w:jc w:val="right"/>
              <w:rPr>
                <w:rFonts w:cs="Arial"/>
                <w:color w:val="000000"/>
              </w:rPr>
            </w:pPr>
            <w:r w:rsidRPr="00C42708">
              <w:rPr>
                <w:rFonts w:cs="Arial"/>
                <w:color w:val="000000"/>
              </w:rPr>
              <w:t>-8,743</w:t>
            </w:r>
          </w:p>
        </w:tc>
        <w:tc>
          <w:tcPr>
            <w:tcW w:w="684" w:type="pct"/>
            <w:tcBorders>
              <w:top w:val="nil"/>
              <w:left w:val="nil"/>
              <w:bottom w:val="single" w:sz="4" w:space="0" w:color="auto"/>
              <w:right w:val="nil"/>
            </w:tcBorders>
            <w:shd w:val="clear" w:color="auto" w:fill="auto"/>
            <w:noWrap/>
            <w:vAlign w:val="center"/>
            <w:hideMark/>
          </w:tcPr>
          <w:p w14:paraId="2A3B83BC" w14:textId="0CD9FCF3" w:rsidR="00BA1762" w:rsidRPr="00C42708" w:rsidRDefault="001A4B10" w:rsidP="00C42708">
            <w:pPr>
              <w:jc w:val="right"/>
              <w:rPr>
                <w:rFonts w:cs="Arial"/>
                <w:color w:val="000000"/>
              </w:rPr>
            </w:pPr>
            <w:r w:rsidRPr="00C42708">
              <w:rPr>
                <w:rFonts w:cs="Arial"/>
                <w:color w:val="000000"/>
              </w:rPr>
              <w:t>-8,958</w:t>
            </w:r>
          </w:p>
        </w:tc>
        <w:tc>
          <w:tcPr>
            <w:tcW w:w="719" w:type="pct"/>
            <w:tcBorders>
              <w:top w:val="nil"/>
              <w:left w:val="nil"/>
              <w:bottom w:val="single" w:sz="4" w:space="0" w:color="auto"/>
              <w:right w:val="single" w:sz="4" w:space="0" w:color="auto"/>
            </w:tcBorders>
            <w:shd w:val="clear" w:color="auto" w:fill="auto"/>
            <w:noWrap/>
            <w:vAlign w:val="center"/>
            <w:hideMark/>
          </w:tcPr>
          <w:p w14:paraId="483979EB" w14:textId="21C9B359" w:rsidR="00BA1762" w:rsidRPr="00C42708" w:rsidRDefault="001A4B10" w:rsidP="00C42708">
            <w:pPr>
              <w:jc w:val="right"/>
              <w:rPr>
                <w:rFonts w:cs="Arial"/>
                <w:b/>
                <w:color w:val="000000"/>
              </w:rPr>
            </w:pPr>
            <w:r w:rsidRPr="00C42708">
              <w:rPr>
                <w:rFonts w:cs="Arial"/>
                <w:b/>
                <w:color w:val="000000"/>
              </w:rPr>
              <w:t>-25,623</w:t>
            </w:r>
          </w:p>
        </w:tc>
      </w:tr>
      <w:tr w:rsidR="00BA1762" w:rsidRPr="00C42708" w14:paraId="37C46F66" w14:textId="77777777" w:rsidTr="00A36751">
        <w:trPr>
          <w:trHeight w:val="285"/>
        </w:trPr>
        <w:tc>
          <w:tcPr>
            <w:tcW w:w="163" w:type="pct"/>
            <w:tcBorders>
              <w:top w:val="single" w:sz="4" w:space="0" w:color="auto"/>
              <w:left w:val="single" w:sz="4" w:space="0" w:color="auto"/>
              <w:bottom w:val="nil"/>
              <w:right w:val="nil"/>
            </w:tcBorders>
            <w:shd w:val="clear" w:color="auto" w:fill="auto"/>
            <w:noWrap/>
            <w:hideMark/>
          </w:tcPr>
          <w:p w14:paraId="0AEA5BBF" w14:textId="77777777" w:rsidR="00BA1762" w:rsidRPr="00C42708" w:rsidRDefault="00BA1762" w:rsidP="00C42708">
            <w:pPr>
              <w:rPr>
                <w:rFonts w:cs="Arial"/>
                <w:color w:val="000000"/>
              </w:rPr>
            </w:pPr>
            <w:r w:rsidRPr="00C42708">
              <w:rPr>
                <w:rFonts w:cs="Arial"/>
                <w:color w:val="000000"/>
              </w:rPr>
              <w:t> </w:t>
            </w:r>
          </w:p>
        </w:tc>
        <w:tc>
          <w:tcPr>
            <w:tcW w:w="1380" w:type="pct"/>
            <w:tcBorders>
              <w:top w:val="nil"/>
              <w:left w:val="nil"/>
              <w:bottom w:val="single" w:sz="4" w:space="0" w:color="auto"/>
              <w:right w:val="nil"/>
            </w:tcBorders>
            <w:shd w:val="clear" w:color="auto" w:fill="auto"/>
            <w:hideMark/>
          </w:tcPr>
          <w:p w14:paraId="5BCE65FB" w14:textId="77777777" w:rsidR="00BA1762" w:rsidRPr="00C42708" w:rsidRDefault="00BA1762" w:rsidP="00C42708">
            <w:pPr>
              <w:rPr>
                <w:rFonts w:cs="Arial"/>
                <w:color w:val="000000"/>
              </w:rPr>
            </w:pPr>
            <w:r w:rsidRPr="00C42708">
              <w:rPr>
                <w:rFonts w:cs="Arial"/>
                <w:color w:val="000000"/>
              </w:rPr>
              <w:t>(f) Records with costs lower than $23</w:t>
            </w:r>
          </w:p>
        </w:tc>
        <w:tc>
          <w:tcPr>
            <w:tcW w:w="684" w:type="pct"/>
            <w:tcBorders>
              <w:top w:val="nil"/>
              <w:left w:val="nil"/>
              <w:bottom w:val="single" w:sz="4" w:space="0" w:color="auto"/>
              <w:right w:val="nil"/>
            </w:tcBorders>
            <w:shd w:val="clear" w:color="auto" w:fill="auto"/>
            <w:noWrap/>
            <w:vAlign w:val="center"/>
            <w:hideMark/>
          </w:tcPr>
          <w:p w14:paraId="182B45D9" w14:textId="77777777" w:rsidR="00BA1762" w:rsidRPr="00C42708" w:rsidRDefault="00BA1762" w:rsidP="00C42708">
            <w:pPr>
              <w:jc w:val="right"/>
              <w:rPr>
                <w:rFonts w:cs="Arial"/>
                <w:color w:val="000000"/>
              </w:rPr>
            </w:pPr>
            <w:r w:rsidRPr="00C42708">
              <w:rPr>
                <w:rFonts w:cs="Arial"/>
                <w:color w:val="000000"/>
              </w:rPr>
              <w:t>-9,536</w:t>
            </w:r>
          </w:p>
        </w:tc>
        <w:tc>
          <w:tcPr>
            <w:tcW w:w="685" w:type="pct"/>
            <w:tcBorders>
              <w:top w:val="nil"/>
              <w:left w:val="nil"/>
              <w:bottom w:val="single" w:sz="4" w:space="0" w:color="auto"/>
              <w:right w:val="nil"/>
            </w:tcBorders>
            <w:shd w:val="clear" w:color="auto" w:fill="auto"/>
            <w:noWrap/>
            <w:vAlign w:val="center"/>
            <w:hideMark/>
          </w:tcPr>
          <w:p w14:paraId="4F234C61" w14:textId="77777777" w:rsidR="00BA1762" w:rsidRPr="00C42708" w:rsidRDefault="00BA1762" w:rsidP="00C42708">
            <w:pPr>
              <w:jc w:val="right"/>
              <w:rPr>
                <w:rFonts w:cs="Arial"/>
                <w:color w:val="000000"/>
              </w:rPr>
            </w:pPr>
            <w:r w:rsidRPr="00C42708">
              <w:rPr>
                <w:rFonts w:cs="Arial"/>
                <w:color w:val="000000"/>
              </w:rPr>
              <w:t>-6,742</w:t>
            </w:r>
          </w:p>
        </w:tc>
        <w:tc>
          <w:tcPr>
            <w:tcW w:w="685" w:type="pct"/>
            <w:tcBorders>
              <w:top w:val="nil"/>
              <w:left w:val="nil"/>
              <w:bottom w:val="single" w:sz="4" w:space="0" w:color="auto"/>
              <w:right w:val="nil"/>
            </w:tcBorders>
            <w:shd w:val="clear" w:color="auto" w:fill="auto"/>
            <w:noWrap/>
            <w:vAlign w:val="center"/>
            <w:hideMark/>
          </w:tcPr>
          <w:p w14:paraId="18360812" w14:textId="51F2123B" w:rsidR="00BA1762" w:rsidRPr="00C42708" w:rsidRDefault="001A4B10" w:rsidP="00C42708">
            <w:pPr>
              <w:jc w:val="right"/>
              <w:rPr>
                <w:rFonts w:cs="Arial"/>
                <w:color w:val="000000"/>
              </w:rPr>
            </w:pPr>
            <w:r w:rsidRPr="00C42708">
              <w:rPr>
                <w:rFonts w:cs="Arial"/>
                <w:color w:val="000000"/>
              </w:rPr>
              <w:t>-5,721</w:t>
            </w:r>
          </w:p>
        </w:tc>
        <w:tc>
          <w:tcPr>
            <w:tcW w:w="684" w:type="pct"/>
            <w:tcBorders>
              <w:top w:val="nil"/>
              <w:left w:val="nil"/>
              <w:bottom w:val="single" w:sz="4" w:space="0" w:color="auto"/>
              <w:right w:val="nil"/>
            </w:tcBorders>
            <w:shd w:val="clear" w:color="auto" w:fill="auto"/>
            <w:noWrap/>
            <w:vAlign w:val="center"/>
            <w:hideMark/>
          </w:tcPr>
          <w:p w14:paraId="6BE0646A" w14:textId="4EB2446A" w:rsidR="00BA1762" w:rsidRPr="00C42708" w:rsidRDefault="001A4B10" w:rsidP="00C42708">
            <w:pPr>
              <w:jc w:val="right"/>
              <w:rPr>
                <w:rFonts w:cs="Arial"/>
                <w:color w:val="000000"/>
              </w:rPr>
            </w:pPr>
            <w:r w:rsidRPr="00C42708">
              <w:rPr>
                <w:rFonts w:cs="Arial"/>
                <w:color w:val="000000"/>
              </w:rPr>
              <w:t>-5,997</w:t>
            </w:r>
          </w:p>
        </w:tc>
        <w:tc>
          <w:tcPr>
            <w:tcW w:w="719" w:type="pct"/>
            <w:tcBorders>
              <w:top w:val="nil"/>
              <w:left w:val="nil"/>
              <w:bottom w:val="single" w:sz="4" w:space="0" w:color="auto"/>
              <w:right w:val="single" w:sz="4" w:space="0" w:color="auto"/>
            </w:tcBorders>
            <w:shd w:val="clear" w:color="auto" w:fill="auto"/>
            <w:noWrap/>
            <w:vAlign w:val="center"/>
            <w:hideMark/>
          </w:tcPr>
          <w:p w14:paraId="1A793A76" w14:textId="27F76E53" w:rsidR="00BA1762" w:rsidRPr="00C42708" w:rsidRDefault="001A4B10" w:rsidP="00C42708">
            <w:pPr>
              <w:jc w:val="right"/>
              <w:rPr>
                <w:rFonts w:cs="Arial"/>
                <w:b/>
                <w:color w:val="000000"/>
              </w:rPr>
            </w:pPr>
            <w:r w:rsidRPr="00C42708">
              <w:rPr>
                <w:rFonts w:cs="Arial"/>
                <w:b/>
                <w:color w:val="000000"/>
              </w:rPr>
              <w:t>-27,996</w:t>
            </w:r>
          </w:p>
        </w:tc>
      </w:tr>
      <w:tr w:rsidR="00BA1762" w:rsidRPr="00C42708" w14:paraId="1566F11D" w14:textId="77777777" w:rsidTr="00A36751">
        <w:trPr>
          <w:trHeight w:val="285"/>
        </w:trPr>
        <w:tc>
          <w:tcPr>
            <w:tcW w:w="163" w:type="pct"/>
            <w:tcBorders>
              <w:top w:val="single" w:sz="4" w:space="0" w:color="auto"/>
              <w:left w:val="single" w:sz="4" w:space="0" w:color="auto"/>
              <w:bottom w:val="nil"/>
              <w:right w:val="nil"/>
            </w:tcBorders>
            <w:shd w:val="clear" w:color="auto" w:fill="auto"/>
            <w:noWrap/>
            <w:hideMark/>
          </w:tcPr>
          <w:p w14:paraId="05F26E2E" w14:textId="77777777" w:rsidR="00BA1762" w:rsidRPr="00C42708" w:rsidRDefault="00BA1762" w:rsidP="00C42708">
            <w:pPr>
              <w:rPr>
                <w:rFonts w:cs="Arial"/>
                <w:color w:val="000000"/>
              </w:rPr>
            </w:pPr>
            <w:r w:rsidRPr="00C42708">
              <w:rPr>
                <w:rFonts w:cs="Arial"/>
                <w:color w:val="000000"/>
              </w:rPr>
              <w:t> </w:t>
            </w:r>
          </w:p>
        </w:tc>
        <w:tc>
          <w:tcPr>
            <w:tcW w:w="1380" w:type="pct"/>
            <w:tcBorders>
              <w:top w:val="nil"/>
              <w:left w:val="nil"/>
              <w:bottom w:val="single" w:sz="4" w:space="0" w:color="auto"/>
              <w:right w:val="nil"/>
            </w:tcBorders>
            <w:shd w:val="clear" w:color="auto" w:fill="auto"/>
            <w:hideMark/>
          </w:tcPr>
          <w:p w14:paraId="4079912F" w14:textId="77777777" w:rsidR="00BA1762" w:rsidRPr="00C42708" w:rsidRDefault="00BA1762" w:rsidP="00C42708">
            <w:pPr>
              <w:rPr>
                <w:rFonts w:cs="Arial"/>
                <w:color w:val="000000"/>
              </w:rPr>
            </w:pPr>
            <w:r w:rsidRPr="00C42708">
              <w:rPr>
                <w:rFonts w:cs="Arial"/>
                <w:color w:val="000000"/>
              </w:rPr>
              <w:t>(g) Records with extreme outlier costs</w:t>
            </w:r>
          </w:p>
        </w:tc>
        <w:tc>
          <w:tcPr>
            <w:tcW w:w="684" w:type="pct"/>
            <w:tcBorders>
              <w:top w:val="nil"/>
              <w:left w:val="nil"/>
              <w:bottom w:val="single" w:sz="4" w:space="0" w:color="auto"/>
              <w:right w:val="nil"/>
            </w:tcBorders>
            <w:shd w:val="clear" w:color="auto" w:fill="auto"/>
            <w:noWrap/>
            <w:vAlign w:val="center"/>
            <w:hideMark/>
          </w:tcPr>
          <w:p w14:paraId="12C393F0" w14:textId="77777777" w:rsidR="00BA1762" w:rsidRPr="00C42708" w:rsidRDefault="00BA1762" w:rsidP="00C42708">
            <w:pPr>
              <w:jc w:val="right"/>
              <w:rPr>
                <w:rFonts w:cs="Arial"/>
                <w:color w:val="000000"/>
              </w:rPr>
            </w:pPr>
            <w:r w:rsidRPr="00C42708">
              <w:rPr>
                <w:rFonts w:cs="Arial"/>
                <w:color w:val="000000"/>
              </w:rPr>
              <w:t>-65</w:t>
            </w:r>
          </w:p>
        </w:tc>
        <w:tc>
          <w:tcPr>
            <w:tcW w:w="685" w:type="pct"/>
            <w:tcBorders>
              <w:top w:val="nil"/>
              <w:left w:val="nil"/>
              <w:bottom w:val="single" w:sz="4" w:space="0" w:color="auto"/>
              <w:right w:val="nil"/>
            </w:tcBorders>
            <w:shd w:val="clear" w:color="auto" w:fill="auto"/>
            <w:noWrap/>
            <w:vAlign w:val="center"/>
            <w:hideMark/>
          </w:tcPr>
          <w:p w14:paraId="740F2C2F" w14:textId="77777777" w:rsidR="00BA1762" w:rsidRPr="00C42708" w:rsidRDefault="00BA1762" w:rsidP="00C42708">
            <w:pPr>
              <w:jc w:val="right"/>
              <w:rPr>
                <w:rFonts w:cs="Arial"/>
                <w:color w:val="000000"/>
              </w:rPr>
            </w:pPr>
            <w:r w:rsidRPr="00C42708">
              <w:rPr>
                <w:rFonts w:cs="Arial"/>
                <w:color w:val="000000"/>
              </w:rPr>
              <w:t>-73</w:t>
            </w:r>
          </w:p>
        </w:tc>
        <w:tc>
          <w:tcPr>
            <w:tcW w:w="685" w:type="pct"/>
            <w:tcBorders>
              <w:top w:val="nil"/>
              <w:left w:val="nil"/>
              <w:bottom w:val="single" w:sz="4" w:space="0" w:color="auto"/>
              <w:right w:val="nil"/>
            </w:tcBorders>
            <w:shd w:val="clear" w:color="auto" w:fill="auto"/>
            <w:noWrap/>
            <w:vAlign w:val="center"/>
            <w:hideMark/>
          </w:tcPr>
          <w:p w14:paraId="051F0AA7" w14:textId="5A503B7F" w:rsidR="00BA1762" w:rsidRPr="00C42708" w:rsidRDefault="001A4B10" w:rsidP="00C42708">
            <w:pPr>
              <w:jc w:val="right"/>
              <w:rPr>
                <w:rFonts w:cs="Arial"/>
                <w:color w:val="000000"/>
              </w:rPr>
            </w:pPr>
            <w:r w:rsidRPr="00C42708">
              <w:rPr>
                <w:rFonts w:cs="Arial"/>
                <w:color w:val="000000"/>
              </w:rPr>
              <w:t>-60</w:t>
            </w:r>
          </w:p>
        </w:tc>
        <w:tc>
          <w:tcPr>
            <w:tcW w:w="684" w:type="pct"/>
            <w:tcBorders>
              <w:top w:val="nil"/>
              <w:left w:val="nil"/>
              <w:bottom w:val="single" w:sz="4" w:space="0" w:color="auto"/>
              <w:right w:val="nil"/>
            </w:tcBorders>
            <w:shd w:val="clear" w:color="auto" w:fill="auto"/>
            <w:noWrap/>
            <w:vAlign w:val="center"/>
            <w:hideMark/>
          </w:tcPr>
          <w:p w14:paraId="12E85AA6" w14:textId="53074CB4" w:rsidR="00BA1762" w:rsidRPr="00C42708" w:rsidRDefault="001A4B10" w:rsidP="00C42708">
            <w:pPr>
              <w:jc w:val="right"/>
              <w:rPr>
                <w:rFonts w:cs="Arial"/>
                <w:color w:val="000000"/>
              </w:rPr>
            </w:pPr>
            <w:r w:rsidRPr="00C42708">
              <w:rPr>
                <w:rFonts w:cs="Arial"/>
                <w:color w:val="000000"/>
              </w:rPr>
              <w:t>-68</w:t>
            </w:r>
          </w:p>
        </w:tc>
        <w:tc>
          <w:tcPr>
            <w:tcW w:w="719" w:type="pct"/>
            <w:tcBorders>
              <w:top w:val="nil"/>
              <w:left w:val="nil"/>
              <w:bottom w:val="single" w:sz="4" w:space="0" w:color="auto"/>
              <w:right w:val="single" w:sz="4" w:space="0" w:color="auto"/>
            </w:tcBorders>
            <w:shd w:val="clear" w:color="auto" w:fill="auto"/>
            <w:noWrap/>
            <w:vAlign w:val="center"/>
            <w:hideMark/>
          </w:tcPr>
          <w:p w14:paraId="76EA4BB2" w14:textId="5A167FDD" w:rsidR="00BA1762" w:rsidRPr="00C42708" w:rsidRDefault="001A4B10" w:rsidP="00C42708">
            <w:pPr>
              <w:jc w:val="right"/>
              <w:rPr>
                <w:rFonts w:cs="Arial"/>
                <w:b/>
                <w:color w:val="000000"/>
              </w:rPr>
            </w:pPr>
            <w:r w:rsidRPr="00C42708">
              <w:rPr>
                <w:rFonts w:cs="Arial"/>
                <w:b/>
                <w:color w:val="000000"/>
              </w:rPr>
              <w:t>-266</w:t>
            </w:r>
          </w:p>
        </w:tc>
      </w:tr>
      <w:tr w:rsidR="00BA1762" w:rsidRPr="00C42708" w14:paraId="116CEDD1" w14:textId="77777777" w:rsidTr="00A36751">
        <w:trPr>
          <w:trHeight w:val="570"/>
        </w:trPr>
        <w:tc>
          <w:tcPr>
            <w:tcW w:w="163" w:type="pct"/>
            <w:tcBorders>
              <w:top w:val="single" w:sz="4" w:space="0" w:color="auto"/>
              <w:left w:val="single" w:sz="4" w:space="0" w:color="auto"/>
              <w:bottom w:val="single" w:sz="4" w:space="0" w:color="auto"/>
              <w:right w:val="nil"/>
            </w:tcBorders>
            <w:shd w:val="clear" w:color="auto" w:fill="auto"/>
            <w:noWrap/>
            <w:hideMark/>
          </w:tcPr>
          <w:p w14:paraId="293CAC58" w14:textId="77777777" w:rsidR="00BA1762" w:rsidRPr="00C42708" w:rsidRDefault="00BA1762" w:rsidP="00C42708">
            <w:pPr>
              <w:rPr>
                <w:rFonts w:cs="Arial"/>
                <w:color w:val="000000"/>
              </w:rPr>
            </w:pPr>
            <w:r w:rsidRPr="00C42708">
              <w:rPr>
                <w:rFonts w:cs="Arial"/>
                <w:color w:val="000000"/>
              </w:rPr>
              <w:t> </w:t>
            </w:r>
          </w:p>
        </w:tc>
        <w:tc>
          <w:tcPr>
            <w:tcW w:w="1380" w:type="pct"/>
            <w:tcBorders>
              <w:top w:val="nil"/>
              <w:left w:val="nil"/>
              <w:bottom w:val="single" w:sz="4" w:space="0" w:color="auto"/>
              <w:right w:val="nil"/>
            </w:tcBorders>
            <w:shd w:val="clear" w:color="auto" w:fill="auto"/>
            <w:hideMark/>
          </w:tcPr>
          <w:p w14:paraId="17AC7866" w14:textId="77777777" w:rsidR="00BA1762" w:rsidRPr="00C42708" w:rsidRDefault="00BA1762" w:rsidP="00C42708">
            <w:pPr>
              <w:rPr>
                <w:rFonts w:cs="Arial"/>
                <w:color w:val="000000"/>
              </w:rPr>
            </w:pPr>
            <w:r w:rsidRPr="00C42708">
              <w:rPr>
                <w:rFonts w:cs="Arial"/>
                <w:color w:val="000000"/>
              </w:rPr>
              <w:t xml:space="preserve">(h) Extremely high or low cost ratios removed after deriving the preliminary regression model </w:t>
            </w:r>
          </w:p>
        </w:tc>
        <w:tc>
          <w:tcPr>
            <w:tcW w:w="684" w:type="pct"/>
            <w:tcBorders>
              <w:top w:val="nil"/>
              <w:left w:val="nil"/>
              <w:bottom w:val="single" w:sz="4" w:space="0" w:color="auto"/>
              <w:right w:val="nil"/>
            </w:tcBorders>
            <w:shd w:val="clear" w:color="auto" w:fill="auto"/>
            <w:noWrap/>
            <w:vAlign w:val="center"/>
            <w:hideMark/>
          </w:tcPr>
          <w:p w14:paraId="4E939F05" w14:textId="77777777" w:rsidR="00BA1762" w:rsidRPr="00C42708" w:rsidRDefault="00BA1762" w:rsidP="00C42708">
            <w:pPr>
              <w:jc w:val="right"/>
              <w:rPr>
                <w:rFonts w:cs="Arial"/>
                <w:color w:val="000000"/>
              </w:rPr>
            </w:pPr>
            <w:r w:rsidRPr="00C42708">
              <w:rPr>
                <w:rFonts w:cs="Arial"/>
                <w:color w:val="000000"/>
              </w:rPr>
              <w:t>-306</w:t>
            </w:r>
          </w:p>
        </w:tc>
        <w:tc>
          <w:tcPr>
            <w:tcW w:w="685" w:type="pct"/>
            <w:tcBorders>
              <w:top w:val="nil"/>
              <w:left w:val="nil"/>
              <w:bottom w:val="single" w:sz="4" w:space="0" w:color="auto"/>
              <w:right w:val="nil"/>
            </w:tcBorders>
            <w:shd w:val="clear" w:color="auto" w:fill="auto"/>
            <w:noWrap/>
            <w:vAlign w:val="center"/>
            <w:hideMark/>
          </w:tcPr>
          <w:p w14:paraId="104864FA" w14:textId="77777777" w:rsidR="00BA1762" w:rsidRPr="00C42708" w:rsidRDefault="00BA1762" w:rsidP="00C42708">
            <w:pPr>
              <w:jc w:val="right"/>
              <w:rPr>
                <w:rFonts w:cs="Arial"/>
                <w:color w:val="000000"/>
              </w:rPr>
            </w:pPr>
            <w:r w:rsidRPr="00C42708">
              <w:rPr>
                <w:rFonts w:cs="Arial"/>
                <w:color w:val="000000"/>
              </w:rPr>
              <w:t>-201</w:t>
            </w:r>
          </w:p>
        </w:tc>
        <w:tc>
          <w:tcPr>
            <w:tcW w:w="685" w:type="pct"/>
            <w:tcBorders>
              <w:top w:val="nil"/>
              <w:left w:val="nil"/>
              <w:bottom w:val="single" w:sz="4" w:space="0" w:color="auto"/>
              <w:right w:val="nil"/>
            </w:tcBorders>
            <w:shd w:val="clear" w:color="auto" w:fill="auto"/>
            <w:noWrap/>
            <w:vAlign w:val="center"/>
            <w:hideMark/>
          </w:tcPr>
          <w:p w14:paraId="44567C59" w14:textId="2C341F66" w:rsidR="00BA1762" w:rsidRPr="00C42708" w:rsidRDefault="001A4B10" w:rsidP="00C42708">
            <w:pPr>
              <w:jc w:val="right"/>
              <w:rPr>
                <w:rFonts w:cs="Arial"/>
                <w:color w:val="000000"/>
              </w:rPr>
            </w:pPr>
            <w:r w:rsidRPr="00C42708">
              <w:rPr>
                <w:rFonts w:cs="Arial"/>
                <w:color w:val="000000"/>
              </w:rPr>
              <w:t>-346</w:t>
            </w:r>
          </w:p>
        </w:tc>
        <w:tc>
          <w:tcPr>
            <w:tcW w:w="684" w:type="pct"/>
            <w:tcBorders>
              <w:top w:val="nil"/>
              <w:left w:val="nil"/>
              <w:bottom w:val="single" w:sz="4" w:space="0" w:color="auto"/>
              <w:right w:val="nil"/>
            </w:tcBorders>
            <w:shd w:val="clear" w:color="auto" w:fill="auto"/>
            <w:noWrap/>
            <w:vAlign w:val="center"/>
            <w:hideMark/>
          </w:tcPr>
          <w:p w14:paraId="44ED3EA5" w14:textId="66A544EC" w:rsidR="00BA1762" w:rsidRPr="00C42708" w:rsidRDefault="001A4B10" w:rsidP="00C42708">
            <w:pPr>
              <w:jc w:val="right"/>
              <w:rPr>
                <w:rFonts w:cs="Arial"/>
                <w:color w:val="000000"/>
              </w:rPr>
            </w:pPr>
            <w:r w:rsidRPr="00C42708">
              <w:rPr>
                <w:rFonts w:cs="Arial"/>
                <w:color w:val="000000"/>
              </w:rPr>
              <w:t>-389</w:t>
            </w:r>
          </w:p>
        </w:tc>
        <w:tc>
          <w:tcPr>
            <w:tcW w:w="719" w:type="pct"/>
            <w:tcBorders>
              <w:top w:val="nil"/>
              <w:left w:val="nil"/>
              <w:bottom w:val="single" w:sz="4" w:space="0" w:color="auto"/>
              <w:right w:val="single" w:sz="4" w:space="0" w:color="auto"/>
            </w:tcBorders>
            <w:shd w:val="clear" w:color="auto" w:fill="auto"/>
            <w:noWrap/>
            <w:vAlign w:val="center"/>
            <w:hideMark/>
          </w:tcPr>
          <w:p w14:paraId="5C891163" w14:textId="6D520CC4" w:rsidR="00BA1762" w:rsidRPr="00C42708" w:rsidRDefault="001A4B10" w:rsidP="00C42708">
            <w:pPr>
              <w:jc w:val="right"/>
              <w:rPr>
                <w:rFonts w:cs="Arial"/>
                <w:b/>
                <w:color w:val="000000"/>
              </w:rPr>
            </w:pPr>
            <w:r w:rsidRPr="00C42708">
              <w:rPr>
                <w:rFonts w:cs="Arial"/>
                <w:b/>
                <w:color w:val="000000"/>
              </w:rPr>
              <w:t>-1,242</w:t>
            </w:r>
          </w:p>
        </w:tc>
      </w:tr>
      <w:tr w:rsidR="00BA1762" w:rsidRPr="00C42708" w14:paraId="5734820D" w14:textId="77777777" w:rsidTr="00A36751">
        <w:trPr>
          <w:trHeight w:val="285"/>
        </w:trPr>
        <w:tc>
          <w:tcPr>
            <w:tcW w:w="1543" w:type="pct"/>
            <w:gridSpan w:val="2"/>
            <w:tcBorders>
              <w:top w:val="single" w:sz="4" w:space="0" w:color="auto"/>
              <w:left w:val="single" w:sz="4" w:space="0" w:color="auto"/>
              <w:bottom w:val="single" w:sz="4" w:space="0" w:color="auto"/>
              <w:right w:val="nil"/>
            </w:tcBorders>
            <w:shd w:val="clear" w:color="auto" w:fill="auto"/>
            <w:noWrap/>
            <w:hideMark/>
          </w:tcPr>
          <w:p w14:paraId="1AEC1F27" w14:textId="77777777" w:rsidR="00BA1762" w:rsidRPr="00C42708" w:rsidRDefault="00BA1762" w:rsidP="006A704E">
            <w:pPr>
              <w:ind w:left="317"/>
              <w:rPr>
                <w:rFonts w:cs="Arial"/>
                <w:color w:val="000000"/>
              </w:rPr>
            </w:pPr>
            <w:r w:rsidRPr="00C42708">
              <w:rPr>
                <w:rFonts w:cs="Arial"/>
                <w:color w:val="000000"/>
              </w:rPr>
              <w:t>(</w:t>
            </w:r>
            <w:proofErr w:type="spellStart"/>
            <w:r w:rsidRPr="00C42708">
              <w:rPr>
                <w:rFonts w:cs="Arial"/>
                <w:color w:val="000000"/>
              </w:rPr>
              <w:t>i</w:t>
            </w:r>
            <w:proofErr w:type="spellEnd"/>
            <w:r w:rsidRPr="00C42708">
              <w:rPr>
                <w:rFonts w:cs="Arial"/>
                <w:color w:val="000000"/>
              </w:rPr>
              <w:t>) Resulting sample size of episodes</w:t>
            </w:r>
          </w:p>
        </w:tc>
        <w:tc>
          <w:tcPr>
            <w:tcW w:w="684" w:type="pct"/>
            <w:tcBorders>
              <w:top w:val="nil"/>
              <w:left w:val="nil"/>
              <w:bottom w:val="single" w:sz="4" w:space="0" w:color="auto"/>
              <w:right w:val="nil"/>
            </w:tcBorders>
            <w:shd w:val="clear" w:color="auto" w:fill="auto"/>
            <w:noWrap/>
            <w:vAlign w:val="center"/>
            <w:hideMark/>
          </w:tcPr>
          <w:p w14:paraId="6F73E5CB" w14:textId="77777777" w:rsidR="00BA1762" w:rsidRPr="00C42708" w:rsidRDefault="00BA1762" w:rsidP="00C42708">
            <w:pPr>
              <w:jc w:val="right"/>
              <w:rPr>
                <w:rFonts w:cs="Arial"/>
                <w:color w:val="000000"/>
              </w:rPr>
            </w:pPr>
            <w:r w:rsidRPr="00C42708">
              <w:rPr>
                <w:rFonts w:cs="Arial"/>
                <w:color w:val="000000"/>
              </w:rPr>
              <w:t>5,406,092</w:t>
            </w:r>
          </w:p>
        </w:tc>
        <w:tc>
          <w:tcPr>
            <w:tcW w:w="685" w:type="pct"/>
            <w:tcBorders>
              <w:top w:val="nil"/>
              <w:left w:val="nil"/>
              <w:bottom w:val="single" w:sz="4" w:space="0" w:color="auto"/>
              <w:right w:val="nil"/>
            </w:tcBorders>
            <w:shd w:val="clear" w:color="auto" w:fill="auto"/>
            <w:noWrap/>
            <w:vAlign w:val="center"/>
            <w:hideMark/>
          </w:tcPr>
          <w:p w14:paraId="4C4399A7" w14:textId="77777777" w:rsidR="00BA1762" w:rsidRPr="00C42708" w:rsidRDefault="00BA1762" w:rsidP="00C42708">
            <w:pPr>
              <w:jc w:val="right"/>
              <w:rPr>
                <w:rFonts w:cs="Arial"/>
                <w:color w:val="000000"/>
              </w:rPr>
            </w:pPr>
            <w:r w:rsidRPr="00C42708">
              <w:rPr>
                <w:rFonts w:cs="Arial"/>
                <w:color w:val="000000"/>
              </w:rPr>
              <w:t>5,781,556</w:t>
            </w:r>
          </w:p>
        </w:tc>
        <w:tc>
          <w:tcPr>
            <w:tcW w:w="685" w:type="pct"/>
            <w:tcBorders>
              <w:top w:val="nil"/>
              <w:left w:val="nil"/>
              <w:bottom w:val="single" w:sz="4" w:space="0" w:color="auto"/>
              <w:right w:val="nil"/>
            </w:tcBorders>
            <w:shd w:val="clear" w:color="auto" w:fill="auto"/>
            <w:noWrap/>
            <w:vAlign w:val="center"/>
            <w:hideMark/>
          </w:tcPr>
          <w:p w14:paraId="586A6DB7" w14:textId="7FC09EC7" w:rsidR="00BA1762" w:rsidRPr="00C42708" w:rsidRDefault="001A4B10" w:rsidP="00C42708">
            <w:pPr>
              <w:jc w:val="right"/>
              <w:rPr>
                <w:rFonts w:cs="Arial"/>
                <w:color w:val="000000"/>
              </w:rPr>
            </w:pPr>
            <w:r w:rsidRPr="00C42708">
              <w:rPr>
                <w:rFonts w:cs="Arial"/>
                <w:color w:val="000000"/>
              </w:rPr>
              <w:t>6,091,681</w:t>
            </w:r>
          </w:p>
        </w:tc>
        <w:tc>
          <w:tcPr>
            <w:tcW w:w="684" w:type="pct"/>
            <w:tcBorders>
              <w:top w:val="nil"/>
              <w:left w:val="nil"/>
              <w:bottom w:val="single" w:sz="4" w:space="0" w:color="auto"/>
              <w:right w:val="nil"/>
            </w:tcBorders>
            <w:shd w:val="clear" w:color="auto" w:fill="auto"/>
            <w:noWrap/>
            <w:vAlign w:val="center"/>
            <w:hideMark/>
          </w:tcPr>
          <w:p w14:paraId="05FFDB5A" w14:textId="1B9847EF" w:rsidR="00BA1762" w:rsidRPr="00C42708" w:rsidRDefault="001A4B10" w:rsidP="00C42708">
            <w:pPr>
              <w:jc w:val="right"/>
              <w:rPr>
                <w:rFonts w:cs="Arial"/>
                <w:color w:val="000000"/>
              </w:rPr>
            </w:pPr>
            <w:r w:rsidRPr="00C42708">
              <w:rPr>
                <w:rFonts w:cs="Arial"/>
                <w:color w:val="000000"/>
              </w:rPr>
              <w:t>6,290,735</w:t>
            </w:r>
          </w:p>
        </w:tc>
        <w:tc>
          <w:tcPr>
            <w:tcW w:w="719" w:type="pct"/>
            <w:tcBorders>
              <w:top w:val="nil"/>
              <w:left w:val="nil"/>
              <w:bottom w:val="single" w:sz="4" w:space="0" w:color="auto"/>
              <w:right w:val="single" w:sz="4" w:space="0" w:color="auto"/>
            </w:tcBorders>
            <w:shd w:val="clear" w:color="auto" w:fill="auto"/>
            <w:noWrap/>
            <w:vAlign w:val="center"/>
            <w:hideMark/>
          </w:tcPr>
          <w:p w14:paraId="438EC551" w14:textId="3C0C573E" w:rsidR="00BA1762" w:rsidRPr="00C42708" w:rsidRDefault="001A4B10" w:rsidP="00C42708">
            <w:pPr>
              <w:jc w:val="right"/>
              <w:rPr>
                <w:rFonts w:cs="Arial"/>
                <w:b/>
                <w:color w:val="000000"/>
              </w:rPr>
            </w:pPr>
            <w:r w:rsidRPr="00C42708">
              <w:rPr>
                <w:rFonts w:cs="Arial"/>
                <w:b/>
                <w:color w:val="000000"/>
              </w:rPr>
              <w:t>23,570,064</w:t>
            </w:r>
          </w:p>
        </w:tc>
      </w:tr>
    </w:tbl>
    <w:p w14:paraId="591D1FA4" w14:textId="77777777" w:rsidR="00552F40" w:rsidRDefault="00552F40">
      <w:pPr>
        <w:spacing w:line="259" w:lineRule="auto"/>
        <w:rPr>
          <w:rFonts w:eastAsiaTheme="majorEastAsia" w:cstheme="majorBidi"/>
          <w:b/>
          <w:sz w:val="72"/>
          <w:szCs w:val="32"/>
        </w:rPr>
        <w:sectPr w:rsidR="00552F40" w:rsidSect="002261C0">
          <w:pgSz w:w="11906" w:h="16838" w:code="9"/>
          <w:pgMar w:top="2041" w:right="1440" w:bottom="1021" w:left="1134" w:header="680" w:footer="510" w:gutter="0"/>
          <w:cols w:space="708"/>
          <w:docGrid w:linePitch="360"/>
        </w:sectPr>
      </w:pPr>
    </w:p>
    <w:p w14:paraId="1DD1EAB5" w14:textId="77777777" w:rsidR="00BA1762" w:rsidRPr="00BC28A9" w:rsidRDefault="00BA1762" w:rsidP="00412D3E">
      <w:pPr>
        <w:pStyle w:val="Heading1"/>
        <w:spacing w:after="1080" w:line="240" w:lineRule="auto"/>
        <w:ind w:left="567" w:hanging="567"/>
        <w:contextualSpacing/>
      </w:pPr>
      <w:bookmarkStart w:id="31" w:name="_Toc100842989"/>
      <w:bookmarkStart w:id="32" w:name="_Toc124657515"/>
      <w:r w:rsidRPr="00BC28A9">
        <w:lastRenderedPageBreak/>
        <w:t>ADRG Intervention Hierarchy Review</w:t>
      </w:r>
      <w:bookmarkEnd w:id="31"/>
      <w:bookmarkEnd w:id="32"/>
    </w:p>
    <w:p w14:paraId="1925ED2B" w14:textId="77777777" w:rsidR="00BA1762" w:rsidRPr="00BC28A9" w:rsidRDefault="00BA1762" w:rsidP="00BA1762">
      <w:pPr>
        <w:pStyle w:val="Heading2"/>
        <w:spacing w:before="360" w:after="120" w:line="260" w:lineRule="atLeast"/>
        <w:contextualSpacing/>
      </w:pPr>
      <w:bookmarkStart w:id="33" w:name="_Toc100842990"/>
      <w:bookmarkStart w:id="34" w:name="_Toc124657516"/>
      <w:r w:rsidRPr="00BC28A9">
        <w:t>Overview</w:t>
      </w:r>
      <w:bookmarkEnd w:id="33"/>
      <w:bookmarkEnd w:id="34"/>
    </w:p>
    <w:p w14:paraId="5F0842C7" w14:textId="77777777" w:rsidR="00BA1762" w:rsidRPr="00BC28A9" w:rsidRDefault="00BA1762" w:rsidP="00C42708">
      <w:r w:rsidRPr="00BC28A9">
        <w:t xml:space="preserve">ADRGs are listed in a specific hierarchical order within an MDC; generally, each MDC consists of an intervention partition and a medical partition. The hierarchy of the intervention partition is important as episodes have the potential to meet multiple intervention ADRG </w:t>
      </w:r>
      <w:r>
        <w:t>principles</w:t>
      </w:r>
      <w:r w:rsidRPr="00BC28A9">
        <w:t>. The intervention hierarchy ensures that episodes are assigned in an order based on the intervention hierarchy principles.</w:t>
      </w:r>
    </w:p>
    <w:p w14:paraId="5AF6BEAB" w14:textId="77777777" w:rsidR="00BA1762" w:rsidRPr="00BC28A9" w:rsidRDefault="00BA1762" w:rsidP="00C42708">
      <w:r w:rsidRPr="00BC28A9">
        <w:t xml:space="preserve">The intervention hierarchy principles used to assess and inform changes to the intervention hierarchy for AR-DRG V11.0 are outlined in </w:t>
      </w:r>
      <w:r w:rsidRPr="00DE1EAF">
        <w:rPr>
          <w:b/>
          <w:bCs/>
        </w:rPr>
        <w:t>Table 2</w:t>
      </w:r>
      <w:r w:rsidRPr="00BC28A9">
        <w:t>.</w:t>
      </w:r>
    </w:p>
    <w:p w14:paraId="46FD9DB5" w14:textId="77777777" w:rsidR="00BA1762" w:rsidRPr="00C42708" w:rsidRDefault="00BA1762" w:rsidP="00283621">
      <w:pPr>
        <w:pStyle w:val="Caption"/>
      </w:pPr>
      <w:r w:rsidRPr="00C42708">
        <w:t>Table 2: Intervention hierarchy principles</w:t>
      </w:r>
    </w:p>
    <w:tbl>
      <w:tblPr>
        <w:tblStyle w:val="ListTable3-Accent11"/>
        <w:tblW w:w="0" w:type="auto"/>
        <w:tblLook w:val="04A0" w:firstRow="1" w:lastRow="0" w:firstColumn="1" w:lastColumn="0" w:noHBand="0" w:noVBand="1"/>
      </w:tblPr>
      <w:tblGrid>
        <w:gridCol w:w="2325"/>
        <w:gridCol w:w="6997"/>
      </w:tblGrid>
      <w:tr w:rsidR="00552F40" w:rsidRPr="00552F40" w14:paraId="62334BE7" w14:textId="77777777" w:rsidTr="00552F40">
        <w:trPr>
          <w:cnfStyle w:val="100000000000" w:firstRow="1" w:lastRow="0" w:firstColumn="0" w:lastColumn="0" w:oddVBand="0" w:evenVBand="0" w:oddHBand="0" w:evenHBand="0" w:firstRowFirstColumn="0" w:firstRowLastColumn="0" w:lastRowFirstColumn="0" w:lastRowLastColumn="0"/>
          <w:trHeight w:val="420"/>
        </w:trPr>
        <w:tc>
          <w:tcPr>
            <w:cnfStyle w:val="001000000100" w:firstRow="0" w:lastRow="0" w:firstColumn="1" w:lastColumn="0" w:oddVBand="0" w:evenVBand="0" w:oddHBand="0" w:evenHBand="0" w:firstRowFirstColumn="1" w:firstRowLastColumn="0" w:lastRowFirstColumn="0" w:lastRowLastColumn="0"/>
            <w:tcW w:w="2376" w:type="dxa"/>
            <w:shd w:val="clear" w:color="auto" w:fill="104F99" w:themeFill="accent2"/>
          </w:tcPr>
          <w:p w14:paraId="0A97FEB3" w14:textId="77777777" w:rsidR="00BA1762" w:rsidRPr="00552F40" w:rsidRDefault="00BA1762" w:rsidP="00C42708">
            <w:pPr>
              <w:spacing w:after="160"/>
              <w:rPr>
                <w:color w:val="FFFFFF" w:themeColor="accent6"/>
                <w:sz w:val="22"/>
                <w:szCs w:val="22"/>
              </w:rPr>
            </w:pPr>
            <w:r w:rsidRPr="00552F40">
              <w:rPr>
                <w:color w:val="FFFFFF" w:themeColor="accent6"/>
                <w:sz w:val="22"/>
                <w:szCs w:val="22"/>
              </w:rPr>
              <w:t>Principle</w:t>
            </w:r>
          </w:p>
        </w:tc>
        <w:tc>
          <w:tcPr>
            <w:tcW w:w="7285" w:type="dxa"/>
            <w:shd w:val="clear" w:color="auto" w:fill="104F99" w:themeFill="accent2"/>
          </w:tcPr>
          <w:p w14:paraId="0412D99F" w14:textId="77777777" w:rsidR="00BA1762" w:rsidRPr="00552F40" w:rsidRDefault="00BA1762" w:rsidP="00C42708">
            <w:pPr>
              <w:spacing w:after="160"/>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552F40">
              <w:rPr>
                <w:color w:val="FFFFFF" w:themeColor="accent6"/>
                <w:sz w:val="22"/>
                <w:szCs w:val="22"/>
              </w:rPr>
              <w:t>Description</w:t>
            </w:r>
          </w:p>
        </w:tc>
      </w:tr>
      <w:tr w:rsidR="00BA1762" w:rsidRPr="00552F40" w14:paraId="74886496" w14:textId="77777777" w:rsidTr="00552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14:paraId="64F3BE06" w14:textId="77777777" w:rsidR="00BA1762" w:rsidRPr="00552F40" w:rsidRDefault="00BA1762" w:rsidP="00C42708">
            <w:pPr>
              <w:spacing w:after="160"/>
              <w:rPr>
                <w:b w:val="0"/>
                <w:sz w:val="22"/>
                <w:szCs w:val="22"/>
              </w:rPr>
            </w:pPr>
            <w:r w:rsidRPr="00552F40">
              <w:rPr>
                <w:b w:val="0"/>
                <w:sz w:val="22"/>
                <w:szCs w:val="22"/>
              </w:rPr>
              <w:t xml:space="preserve">1 Cost </w:t>
            </w:r>
          </w:p>
        </w:tc>
        <w:tc>
          <w:tcPr>
            <w:tcW w:w="7285" w:type="dxa"/>
            <w:shd w:val="clear" w:color="auto" w:fill="auto"/>
          </w:tcPr>
          <w:p w14:paraId="75CDD59A" w14:textId="77777777" w:rsidR="00BA1762" w:rsidRPr="00552F40" w:rsidRDefault="00BA1762" w:rsidP="00C42708">
            <w:pPr>
              <w:spacing w:after="160"/>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Intervention ADRGs must be sorted from high to low cost with decisions based on both mean and median cost.</w:t>
            </w:r>
            <w:r w:rsidRPr="00552F40" w:rsidDel="00965F25">
              <w:rPr>
                <w:sz w:val="22"/>
                <w:szCs w:val="22"/>
              </w:rPr>
              <w:t xml:space="preserve"> </w:t>
            </w:r>
          </w:p>
        </w:tc>
      </w:tr>
      <w:tr w:rsidR="00BA1762" w:rsidRPr="00552F40" w14:paraId="125DAC30" w14:textId="77777777" w:rsidTr="00552F40">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14:paraId="2F87C135" w14:textId="77777777" w:rsidR="00BA1762" w:rsidRPr="00552F40" w:rsidRDefault="00BA1762" w:rsidP="00C42708">
            <w:pPr>
              <w:spacing w:after="160"/>
              <w:rPr>
                <w:b w:val="0"/>
                <w:sz w:val="22"/>
                <w:szCs w:val="22"/>
              </w:rPr>
            </w:pPr>
            <w:r w:rsidRPr="00552F40">
              <w:rPr>
                <w:b w:val="0"/>
                <w:sz w:val="22"/>
                <w:szCs w:val="22"/>
              </w:rPr>
              <w:t xml:space="preserve">2 Specificity </w:t>
            </w:r>
          </w:p>
        </w:tc>
        <w:tc>
          <w:tcPr>
            <w:tcW w:w="7285" w:type="dxa"/>
            <w:shd w:val="clear" w:color="auto" w:fill="auto"/>
          </w:tcPr>
          <w:p w14:paraId="060BEBB1" w14:textId="77777777" w:rsidR="00BA1762" w:rsidRPr="00552F40" w:rsidRDefault="00BA1762" w:rsidP="00C42708">
            <w:pPr>
              <w:spacing w:after="160"/>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 xml:space="preserve">Intervention ADRGs must be sorted from specific to non-specific ADRGs and before ADRG 801 </w:t>
            </w:r>
            <w:r w:rsidRPr="00552F40">
              <w:rPr>
                <w:i/>
                <w:sz w:val="22"/>
                <w:szCs w:val="22"/>
              </w:rPr>
              <w:t>General Interventions (GIs) Unrelated to Principal Diagnosis</w:t>
            </w:r>
            <w:r w:rsidRPr="00552F40">
              <w:rPr>
                <w:sz w:val="22"/>
                <w:szCs w:val="22"/>
              </w:rPr>
              <w:t>. This principle may override the cost principle.</w:t>
            </w:r>
          </w:p>
        </w:tc>
      </w:tr>
      <w:tr w:rsidR="00BA1762" w:rsidRPr="00552F40" w14:paraId="6796D400" w14:textId="77777777" w:rsidTr="00552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14:paraId="2EA35A79" w14:textId="77777777" w:rsidR="00BA1762" w:rsidRPr="00552F40" w:rsidRDefault="00BA1762" w:rsidP="00C42708">
            <w:pPr>
              <w:spacing w:after="160"/>
              <w:rPr>
                <w:b w:val="0"/>
                <w:sz w:val="22"/>
                <w:szCs w:val="22"/>
              </w:rPr>
            </w:pPr>
            <w:r w:rsidRPr="00552F40">
              <w:rPr>
                <w:b w:val="0"/>
                <w:sz w:val="22"/>
                <w:szCs w:val="22"/>
              </w:rPr>
              <w:t>3 Intervention type</w:t>
            </w:r>
          </w:p>
        </w:tc>
        <w:tc>
          <w:tcPr>
            <w:tcW w:w="7285" w:type="dxa"/>
            <w:shd w:val="clear" w:color="auto" w:fill="auto"/>
          </w:tcPr>
          <w:p w14:paraId="4BD28DCD" w14:textId="77777777" w:rsidR="00BA1762" w:rsidRPr="00552F40" w:rsidRDefault="00BA1762" w:rsidP="00C42708">
            <w:pPr>
              <w:spacing w:after="160"/>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 xml:space="preserve">Intervention ADRGs must be sorted </w:t>
            </w:r>
            <w:proofErr w:type="gramStart"/>
            <w:r w:rsidRPr="00552F40">
              <w:rPr>
                <w:sz w:val="22"/>
                <w:szCs w:val="22"/>
              </w:rPr>
              <w:t>from the initial definitive intervention,</w:t>
            </w:r>
            <w:proofErr w:type="gramEnd"/>
            <w:r w:rsidRPr="00552F40">
              <w:rPr>
                <w:sz w:val="22"/>
                <w:szCs w:val="22"/>
              </w:rPr>
              <w:t xml:space="preserve"> to follow-up and supportive interventions and from major to minor or other interventions. This principle may override the cost principle.</w:t>
            </w:r>
          </w:p>
        </w:tc>
      </w:tr>
      <w:tr w:rsidR="00BA1762" w:rsidRPr="00552F40" w14:paraId="7C7A0BAE" w14:textId="77777777" w:rsidTr="00552F40">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14:paraId="204FFEBC" w14:textId="77777777" w:rsidR="00BA1762" w:rsidRPr="00552F40" w:rsidRDefault="00BA1762" w:rsidP="00C42708">
            <w:pPr>
              <w:spacing w:after="160"/>
              <w:rPr>
                <w:b w:val="0"/>
                <w:sz w:val="22"/>
                <w:szCs w:val="22"/>
              </w:rPr>
            </w:pPr>
            <w:r w:rsidRPr="00552F40">
              <w:rPr>
                <w:b w:val="0"/>
                <w:sz w:val="22"/>
                <w:szCs w:val="22"/>
              </w:rPr>
              <w:t>4 Treatment type</w:t>
            </w:r>
          </w:p>
        </w:tc>
        <w:tc>
          <w:tcPr>
            <w:tcW w:w="7285" w:type="dxa"/>
            <w:shd w:val="clear" w:color="auto" w:fill="auto"/>
          </w:tcPr>
          <w:p w14:paraId="37EC3A01" w14:textId="77777777" w:rsidR="00BA1762" w:rsidRPr="00552F40" w:rsidRDefault="00BA1762" w:rsidP="00C42708">
            <w:pPr>
              <w:spacing w:after="160"/>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Intervention ADRGs must be sorted from treatment to diagnostic interventions. This principle may override the cost principle.</w:t>
            </w:r>
          </w:p>
        </w:tc>
      </w:tr>
    </w:tbl>
    <w:p w14:paraId="711F11D0" w14:textId="77777777" w:rsidR="00BA1762" w:rsidRPr="00BC28A9" w:rsidRDefault="00BA1762" w:rsidP="00C42708">
      <w:pPr>
        <w:spacing w:before="120"/>
      </w:pPr>
      <w:r w:rsidRPr="00BC28A9">
        <w:t xml:space="preserve">The intervention hierarchy principles apply only to the intervention partition of MDCs. The majority of the medical partition criteria are based on principal diagnosis, so the medical ADRGs are mutually exclusive and will only meet the criteria for one medical ADRG. Therefore, review of the medical partition hierarchy is not required. </w:t>
      </w:r>
    </w:p>
    <w:p w14:paraId="4FFB3F4A" w14:textId="77777777" w:rsidR="00BA1762" w:rsidRPr="00BC28A9" w:rsidRDefault="00BA1762" w:rsidP="00BA1762">
      <w:pPr>
        <w:spacing w:after="0" w:line="240" w:lineRule="auto"/>
        <w:rPr>
          <w:rFonts w:asciiTheme="majorHAnsi" w:hAnsiTheme="majorHAnsi"/>
          <w:b/>
          <w:sz w:val="28"/>
          <w:szCs w:val="44"/>
        </w:rPr>
      </w:pPr>
      <w:r w:rsidRPr="00BC28A9">
        <w:br w:type="page"/>
      </w:r>
    </w:p>
    <w:p w14:paraId="74B7D4EB" w14:textId="77777777" w:rsidR="00BA1762" w:rsidRPr="00BC28A9" w:rsidRDefault="00BA1762" w:rsidP="00BA1762">
      <w:pPr>
        <w:pStyle w:val="Heading2"/>
        <w:spacing w:before="360" w:after="120" w:line="260" w:lineRule="atLeast"/>
        <w:contextualSpacing/>
      </w:pPr>
      <w:bookmarkStart w:id="35" w:name="_Toc100842991"/>
      <w:bookmarkStart w:id="36" w:name="_Toc124657517"/>
      <w:r w:rsidRPr="00BC28A9">
        <w:lastRenderedPageBreak/>
        <w:t>Methodology</w:t>
      </w:r>
      <w:bookmarkEnd w:id="35"/>
      <w:bookmarkEnd w:id="36"/>
      <w:r w:rsidRPr="00BC28A9">
        <w:t xml:space="preserve"> </w:t>
      </w:r>
    </w:p>
    <w:p w14:paraId="4B702FCF" w14:textId="77777777" w:rsidR="00BA1762" w:rsidRPr="00BC28A9" w:rsidRDefault="00BA1762" w:rsidP="00C42708">
      <w:r w:rsidRPr="00BC28A9">
        <w:t xml:space="preserve">The process undertaken to perform the ADRG intervention hierarchy review is outlined in </w:t>
      </w:r>
      <w:r w:rsidRPr="00DE1EAF">
        <w:rPr>
          <w:b/>
          <w:bCs/>
        </w:rPr>
        <w:t>Table 3</w:t>
      </w:r>
      <w:r w:rsidRPr="00BC28A9">
        <w:t>.</w:t>
      </w:r>
    </w:p>
    <w:p w14:paraId="29E6FC88" w14:textId="77777777" w:rsidR="00BA1762" w:rsidRPr="00C42708" w:rsidRDefault="00BA1762" w:rsidP="00283621">
      <w:pPr>
        <w:pStyle w:val="Caption"/>
      </w:pPr>
      <w:r w:rsidRPr="00C42708">
        <w:t>Table 3: ADRG intervention hierarchy methodology</w:t>
      </w:r>
    </w:p>
    <w:tbl>
      <w:tblPr>
        <w:tblStyle w:val="ListTable3-Accent11"/>
        <w:tblW w:w="0" w:type="auto"/>
        <w:tblLayout w:type="fixed"/>
        <w:tblLook w:val="04A0" w:firstRow="1" w:lastRow="0" w:firstColumn="1" w:lastColumn="0" w:noHBand="0" w:noVBand="1"/>
      </w:tblPr>
      <w:tblGrid>
        <w:gridCol w:w="392"/>
        <w:gridCol w:w="2551"/>
        <w:gridCol w:w="6718"/>
      </w:tblGrid>
      <w:tr w:rsidR="00552F40" w:rsidRPr="00552F40" w14:paraId="58C1A22E" w14:textId="77777777" w:rsidTr="00552F40">
        <w:trPr>
          <w:cnfStyle w:val="100000000000" w:firstRow="1" w:lastRow="0" w:firstColumn="0" w:lastColumn="0" w:oddVBand="0" w:evenVBand="0" w:oddHBand="0" w:evenHBand="0" w:firstRowFirstColumn="0" w:firstRowLastColumn="0" w:lastRowFirstColumn="0" w:lastRowLastColumn="0"/>
          <w:trHeight w:val="420"/>
          <w:tblHeader/>
        </w:trPr>
        <w:tc>
          <w:tcPr>
            <w:cnfStyle w:val="001000000100" w:firstRow="0" w:lastRow="0" w:firstColumn="1" w:lastColumn="0" w:oddVBand="0" w:evenVBand="0" w:oddHBand="0" w:evenHBand="0" w:firstRowFirstColumn="1" w:firstRowLastColumn="0" w:lastRowFirstColumn="0" w:lastRowLastColumn="0"/>
            <w:tcW w:w="2943" w:type="dxa"/>
            <w:gridSpan w:val="2"/>
            <w:shd w:val="clear" w:color="auto" w:fill="104F99" w:themeFill="accent2"/>
          </w:tcPr>
          <w:p w14:paraId="1D72A934" w14:textId="77777777" w:rsidR="00BA1762" w:rsidRPr="00552F40" w:rsidRDefault="00BA1762" w:rsidP="00C42708">
            <w:pPr>
              <w:spacing w:after="160"/>
              <w:rPr>
                <w:color w:val="FFFFFF" w:themeColor="accent6"/>
                <w:sz w:val="22"/>
                <w:szCs w:val="22"/>
              </w:rPr>
            </w:pPr>
            <w:r w:rsidRPr="00552F40">
              <w:rPr>
                <w:color w:val="FFFFFF" w:themeColor="accent6"/>
                <w:sz w:val="22"/>
                <w:szCs w:val="22"/>
              </w:rPr>
              <w:t>Stages</w:t>
            </w:r>
          </w:p>
        </w:tc>
        <w:tc>
          <w:tcPr>
            <w:tcW w:w="6718" w:type="dxa"/>
            <w:shd w:val="clear" w:color="auto" w:fill="104F99" w:themeFill="accent2"/>
          </w:tcPr>
          <w:p w14:paraId="52D1E16B" w14:textId="77777777" w:rsidR="00BA1762" w:rsidRPr="00552F40" w:rsidRDefault="00BA1762" w:rsidP="00C42708">
            <w:pPr>
              <w:spacing w:after="160"/>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552F40">
              <w:rPr>
                <w:color w:val="FFFFFF" w:themeColor="accent6"/>
                <w:sz w:val="22"/>
                <w:szCs w:val="22"/>
              </w:rPr>
              <w:t>Description</w:t>
            </w:r>
          </w:p>
        </w:tc>
      </w:tr>
      <w:tr w:rsidR="00BA1762" w:rsidRPr="00552F40" w14:paraId="52C91869" w14:textId="77777777" w:rsidTr="00552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1777B686" w14:textId="77777777" w:rsidR="00BA1762" w:rsidRPr="00552F40" w:rsidRDefault="00BA1762" w:rsidP="00C42708">
            <w:pPr>
              <w:spacing w:after="160"/>
              <w:rPr>
                <w:b w:val="0"/>
                <w:sz w:val="22"/>
                <w:szCs w:val="22"/>
              </w:rPr>
            </w:pPr>
            <w:r w:rsidRPr="00552F40">
              <w:rPr>
                <w:b w:val="0"/>
                <w:sz w:val="22"/>
                <w:szCs w:val="22"/>
              </w:rPr>
              <w:t>1</w:t>
            </w:r>
          </w:p>
        </w:tc>
        <w:tc>
          <w:tcPr>
            <w:tcW w:w="2551" w:type="dxa"/>
            <w:shd w:val="clear" w:color="auto" w:fill="auto"/>
          </w:tcPr>
          <w:p w14:paraId="66A1F72A" w14:textId="77777777" w:rsidR="00BA1762" w:rsidRPr="00552F40" w:rsidRDefault="00BA1762" w:rsidP="00C42708">
            <w:pPr>
              <w:spacing w:after="160"/>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Initial intervention ADRG groupings</w:t>
            </w:r>
          </w:p>
        </w:tc>
        <w:tc>
          <w:tcPr>
            <w:tcW w:w="6718" w:type="dxa"/>
            <w:shd w:val="clear" w:color="auto" w:fill="auto"/>
          </w:tcPr>
          <w:p w14:paraId="6E93E0D8" w14:textId="77777777" w:rsidR="00BA1762" w:rsidRPr="00552F40" w:rsidRDefault="00BA1762" w:rsidP="00C42708">
            <w:pPr>
              <w:spacing w:after="160"/>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 xml:space="preserve">This stage involves grouping the intervention partition ADRGs in small coherent groups and ordering them according to principles of specificity, intervention and treatment type. </w:t>
            </w:r>
          </w:p>
          <w:p w14:paraId="3A25AF76" w14:textId="77777777" w:rsidR="00BA1762" w:rsidRPr="00552F40" w:rsidRDefault="00BA1762" w:rsidP="00C42708">
            <w:pPr>
              <w:spacing w:after="160"/>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For example, grouping more specific ADRGs ahead of less specific ADRGs.</w:t>
            </w:r>
          </w:p>
        </w:tc>
      </w:tr>
      <w:tr w:rsidR="00BA1762" w:rsidRPr="00552F40" w14:paraId="4624BC3B" w14:textId="77777777" w:rsidTr="00552F40">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07BA461F" w14:textId="77777777" w:rsidR="00BA1762" w:rsidRPr="00552F40" w:rsidRDefault="00BA1762" w:rsidP="00C42708">
            <w:pPr>
              <w:spacing w:after="160"/>
              <w:rPr>
                <w:b w:val="0"/>
                <w:sz w:val="22"/>
                <w:szCs w:val="22"/>
              </w:rPr>
            </w:pPr>
            <w:r w:rsidRPr="00552F40">
              <w:rPr>
                <w:b w:val="0"/>
                <w:sz w:val="22"/>
                <w:szCs w:val="22"/>
              </w:rPr>
              <w:t>2</w:t>
            </w:r>
          </w:p>
        </w:tc>
        <w:tc>
          <w:tcPr>
            <w:tcW w:w="2551" w:type="dxa"/>
            <w:shd w:val="clear" w:color="auto" w:fill="auto"/>
          </w:tcPr>
          <w:p w14:paraId="1020BBCD" w14:textId="77777777" w:rsidR="00BA1762" w:rsidRPr="00552F40" w:rsidRDefault="00BA1762" w:rsidP="00C42708">
            <w:pPr>
              <w:spacing w:after="160"/>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 xml:space="preserve">Cost simulation </w:t>
            </w:r>
          </w:p>
        </w:tc>
        <w:tc>
          <w:tcPr>
            <w:tcW w:w="6718" w:type="dxa"/>
            <w:shd w:val="clear" w:color="auto" w:fill="auto"/>
          </w:tcPr>
          <w:p w14:paraId="52D16536" w14:textId="77777777" w:rsidR="00BA1762" w:rsidRPr="00552F40" w:rsidRDefault="00BA1762" w:rsidP="00C42708">
            <w:pPr>
              <w:spacing w:after="160"/>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 xml:space="preserve">Episodes have the potential to meet multiple intervention ADRG criteria. To ensure optimal ordering of ADRGs by their cost profile, all possible ADRG outcomes and ordering are simulated within the initial groupings created in stage one. </w:t>
            </w:r>
          </w:p>
        </w:tc>
      </w:tr>
      <w:tr w:rsidR="00BA1762" w:rsidRPr="00552F40" w14:paraId="0ADB6A28" w14:textId="77777777" w:rsidTr="00552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0A5607B1" w14:textId="77777777" w:rsidR="00BA1762" w:rsidRPr="00552F40" w:rsidRDefault="00BA1762" w:rsidP="00C42708">
            <w:pPr>
              <w:spacing w:after="160"/>
              <w:rPr>
                <w:b w:val="0"/>
                <w:sz w:val="22"/>
                <w:szCs w:val="22"/>
              </w:rPr>
            </w:pPr>
            <w:r w:rsidRPr="00552F40">
              <w:rPr>
                <w:b w:val="0"/>
                <w:sz w:val="22"/>
                <w:szCs w:val="22"/>
              </w:rPr>
              <w:t>3</w:t>
            </w:r>
          </w:p>
        </w:tc>
        <w:tc>
          <w:tcPr>
            <w:tcW w:w="2551" w:type="dxa"/>
            <w:shd w:val="clear" w:color="auto" w:fill="auto"/>
          </w:tcPr>
          <w:p w14:paraId="2171C621" w14:textId="77777777" w:rsidR="00BA1762" w:rsidRPr="00552F40" w:rsidRDefault="00BA1762" w:rsidP="00C42708">
            <w:pPr>
              <w:spacing w:after="160"/>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ADRG ordering within initial groups</w:t>
            </w:r>
          </w:p>
        </w:tc>
        <w:tc>
          <w:tcPr>
            <w:tcW w:w="6718" w:type="dxa"/>
            <w:shd w:val="clear" w:color="auto" w:fill="auto"/>
          </w:tcPr>
          <w:p w14:paraId="24CA95A4" w14:textId="77777777" w:rsidR="00BA1762" w:rsidRPr="00552F40" w:rsidRDefault="00BA1762" w:rsidP="00C42708">
            <w:pPr>
              <w:spacing w:after="160"/>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 xml:space="preserve">The ADRG with the highest mean cost within an initial group is selected as the first ADRG in the hierarchy within that initial group. Episodes meeting the criteria of that ADRG are removed from the sample and stage two is repeated without these episodes. This is an iterative process and is repeated until the ordering of all ADRGs are determined. </w:t>
            </w:r>
          </w:p>
        </w:tc>
      </w:tr>
      <w:tr w:rsidR="00BA1762" w:rsidRPr="00552F40" w14:paraId="6ADA2791" w14:textId="77777777" w:rsidTr="00552F40">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1E842F24" w14:textId="77777777" w:rsidR="00BA1762" w:rsidRPr="00552F40" w:rsidRDefault="00BA1762" w:rsidP="00C42708">
            <w:pPr>
              <w:spacing w:after="160"/>
              <w:rPr>
                <w:b w:val="0"/>
                <w:sz w:val="22"/>
                <w:szCs w:val="22"/>
              </w:rPr>
            </w:pPr>
            <w:r w:rsidRPr="00552F40">
              <w:rPr>
                <w:b w:val="0"/>
                <w:sz w:val="22"/>
                <w:szCs w:val="22"/>
              </w:rPr>
              <w:t>4</w:t>
            </w:r>
          </w:p>
        </w:tc>
        <w:tc>
          <w:tcPr>
            <w:tcW w:w="2551" w:type="dxa"/>
            <w:shd w:val="clear" w:color="auto" w:fill="auto"/>
          </w:tcPr>
          <w:p w14:paraId="50112ACE" w14:textId="77777777" w:rsidR="00BA1762" w:rsidRPr="00552F40" w:rsidRDefault="00BA1762" w:rsidP="00C42708">
            <w:pPr>
              <w:spacing w:after="160"/>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Stability evaluation</w:t>
            </w:r>
          </w:p>
        </w:tc>
        <w:tc>
          <w:tcPr>
            <w:tcW w:w="6718" w:type="dxa"/>
            <w:shd w:val="clear" w:color="auto" w:fill="auto"/>
          </w:tcPr>
          <w:p w14:paraId="3DA3F98D" w14:textId="77777777" w:rsidR="00BA1762" w:rsidRPr="00552F40" w:rsidRDefault="00BA1762" w:rsidP="00C42708">
            <w:pPr>
              <w:spacing w:after="160"/>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The final stage is to assess the changes using median cost and the reasonableness of the ordering relative to the previous version of AR-DRGs to determine if the change is justified. For AR-DRG V11.0, the changes were assessed against V10.0.</w:t>
            </w:r>
          </w:p>
          <w:p w14:paraId="56A97275" w14:textId="77777777" w:rsidR="00BA1762" w:rsidRPr="00552F40" w:rsidRDefault="00BA1762" w:rsidP="00C42708">
            <w:pPr>
              <w:spacing w:after="160"/>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For example, if the proposed changes suggested that two ADRGs should change sequence due to the differential in mean cost, the following stability measures must both be met to ensure the change is significant:</w:t>
            </w:r>
          </w:p>
          <w:p w14:paraId="3D98E359" w14:textId="77777777" w:rsidR="00BA1762" w:rsidRPr="00552F40" w:rsidRDefault="00BA1762" w:rsidP="00C42708">
            <w:pPr>
              <w:pStyle w:val="ListParagraph"/>
              <w:numPr>
                <w:ilvl w:val="1"/>
                <w:numId w:val="16"/>
              </w:numPr>
              <w:spacing w:after="160"/>
              <w:ind w:left="342"/>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both the mean and median cost suggest that the change in position is warranted and</w:t>
            </w:r>
          </w:p>
          <w:p w14:paraId="2D5695F0" w14:textId="77777777" w:rsidR="00BA1762" w:rsidRPr="00552F40" w:rsidRDefault="00BA1762" w:rsidP="00C42708">
            <w:pPr>
              <w:pStyle w:val="ListParagraph"/>
              <w:numPr>
                <w:ilvl w:val="1"/>
                <w:numId w:val="16"/>
              </w:numPr>
              <w:spacing w:after="160"/>
              <w:ind w:left="342"/>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the cost differential for both mean and median cost is significant (larger than $1,000).</w:t>
            </w:r>
          </w:p>
          <w:p w14:paraId="6DC2F266" w14:textId="77777777" w:rsidR="00BA1762" w:rsidRPr="00552F40" w:rsidRDefault="00BA1762" w:rsidP="00C42708">
            <w:pPr>
              <w:spacing w:after="160"/>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Otherwise, the same ordering should be maintained in accordance with the previous version.</w:t>
            </w:r>
          </w:p>
        </w:tc>
      </w:tr>
    </w:tbl>
    <w:p w14:paraId="4E2CD0E6" w14:textId="77777777" w:rsidR="00BA1762" w:rsidRPr="00BC28A9" w:rsidRDefault="00BA1762" w:rsidP="00C42708">
      <w:pPr>
        <w:spacing w:before="120"/>
      </w:pPr>
      <w:r w:rsidRPr="00BC28A9">
        <w:t>The above methodology was an iterative process and was repeated until all proposed changes relative to AR-DRG V10.0 were understood and justified.</w:t>
      </w:r>
    </w:p>
    <w:p w14:paraId="2856DEB3" w14:textId="77777777" w:rsidR="00BA1762" w:rsidRPr="00BC28A9" w:rsidRDefault="00BA1762" w:rsidP="00BA1762">
      <w:pPr>
        <w:spacing w:after="0" w:line="240" w:lineRule="auto"/>
        <w:rPr>
          <w:rFonts w:asciiTheme="majorHAnsi" w:hAnsiTheme="majorHAnsi"/>
          <w:b/>
          <w:sz w:val="28"/>
          <w:szCs w:val="44"/>
        </w:rPr>
      </w:pPr>
      <w:r w:rsidRPr="00BC28A9">
        <w:br w:type="page"/>
      </w:r>
    </w:p>
    <w:p w14:paraId="27AA3605" w14:textId="77777777" w:rsidR="00BA1762" w:rsidRPr="00BC28A9" w:rsidRDefault="00BA1762" w:rsidP="00BA1762">
      <w:pPr>
        <w:pStyle w:val="Heading2"/>
        <w:spacing w:before="360" w:after="120" w:line="260" w:lineRule="atLeast"/>
        <w:contextualSpacing/>
      </w:pPr>
      <w:bookmarkStart w:id="37" w:name="_Toc100842992"/>
      <w:bookmarkStart w:id="38" w:name="_Toc124657518"/>
      <w:r w:rsidRPr="00BC28A9">
        <w:lastRenderedPageBreak/>
        <w:t>Results</w:t>
      </w:r>
      <w:bookmarkEnd w:id="37"/>
      <w:bookmarkEnd w:id="38"/>
    </w:p>
    <w:p w14:paraId="47E7321C" w14:textId="77777777" w:rsidR="00BA1762" w:rsidRPr="00BC28A9" w:rsidRDefault="00BA1762" w:rsidP="00C42708">
      <w:r w:rsidRPr="00BC28A9">
        <w:t xml:space="preserve">The ADRG intervention hierarchy review for AR-DRG V11.0 resulted in no change to the current intervention hierarchy. For the three new ADRGs in AD-DRG V11.0, the positions in the intervention hierarchy are outlined in </w:t>
      </w:r>
      <w:r w:rsidRPr="00DE1EAF">
        <w:rPr>
          <w:b/>
          <w:bCs/>
        </w:rPr>
        <w:t>Table 4</w:t>
      </w:r>
      <w:r w:rsidRPr="00BC28A9">
        <w:t>.</w:t>
      </w:r>
    </w:p>
    <w:p w14:paraId="0B7A4347" w14:textId="77777777" w:rsidR="00BA1762" w:rsidRPr="00C42708" w:rsidRDefault="00BA1762" w:rsidP="00283621">
      <w:pPr>
        <w:pStyle w:val="Caption"/>
      </w:pPr>
      <w:r w:rsidRPr="00C42708">
        <w:t>Table 4: Positions of new ADRGs in intervention hierarchy of AR-DRG V11.0</w:t>
      </w:r>
    </w:p>
    <w:tbl>
      <w:tblPr>
        <w:tblStyle w:val="ListTable3-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3364"/>
        <w:gridCol w:w="2609"/>
      </w:tblGrid>
      <w:tr w:rsidR="00552F40" w:rsidRPr="00552F40" w14:paraId="49F04433" w14:textId="77777777" w:rsidTr="00552F4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397" w:type="dxa"/>
            <w:shd w:val="clear" w:color="auto" w:fill="104F99" w:themeFill="accent2"/>
            <w:vAlign w:val="center"/>
          </w:tcPr>
          <w:p w14:paraId="6C73ABDE" w14:textId="77777777" w:rsidR="00BA1762" w:rsidRPr="00552F40" w:rsidRDefault="00BA1762" w:rsidP="00C42708">
            <w:pPr>
              <w:spacing w:after="160"/>
              <w:rPr>
                <w:color w:val="FFFFFF" w:themeColor="accent6"/>
                <w:sz w:val="22"/>
                <w:szCs w:val="22"/>
              </w:rPr>
            </w:pPr>
            <w:r w:rsidRPr="00552F40">
              <w:rPr>
                <w:color w:val="FFFFFF" w:themeColor="accent6"/>
                <w:sz w:val="22"/>
                <w:szCs w:val="22"/>
              </w:rPr>
              <w:t>MDC</w:t>
            </w:r>
          </w:p>
        </w:tc>
        <w:tc>
          <w:tcPr>
            <w:tcW w:w="3402" w:type="dxa"/>
            <w:shd w:val="clear" w:color="auto" w:fill="104F99" w:themeFill="accent2"/>
            <w:vAlign w:val="center"/>
          </w:tcPr>
          <w:p w14:paraId="2C9562E1" w14:textId="77777777" w:rsidR="00BA1762" w:rsidRPr="00552F40" w:rsidRDefault="00BA1762" w:rsidP="00C42708">
            <w:pPr>
              <w:spacing w:after="160"/>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552F40">
              <w:rPr>
                <w:color w:val="FFFFFF" w:themeColor="accent6"/>
                <w:sz w:val="22"/>
                <w:szCs w:val="22"/>
              </w:rPr>
              <w:t>ADRG</w:t>
            </w:r>
          </w:p>
        </w:tc>
        <w:tc>
          <w:tcPr>
            <w:tcW w:w="2636" w:type="dxa"/>
            <w:shd w:val="clear" w:color="auto" w:fill="104F99" w:themeFill="accent2"/>
            <w:vAlign w:val="center"/>
          </w:tcPr>
          <w:p w14:paraId="79FF15B2" w14:textId="77777777" w:rsidR="00BA1762" w:rsidRPr="00552F40" w:rsidRDefault="00BA1762" w:rsidP="00C42708">
            <w:pPr>
              <w:spacing w:after="160"/>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552F40">
              <w:rPr>
                <w:color w:val="FFFFFF" w:themeColor="accent6"/>
                <w:sz w:val="22"/>
                <w:szCs w:val="22"/>
              </w:rPr>
              <w:t>Position in intervention hierarchy</w:t>
            </w:r>
          </w:p>
        </w:tc>
      </w:tr>
      <w:tr w:rsidR="00BA1762" w:rsidRPr="00552F40" w14:paraId="57244CBE" w14:textId="77777777" w:rsidTr="00552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vAlign w:val="center"/>
          </w:tcPr>
          <w:p w14:paraId="21754028" w14:textId="77777777" w:rsidR="00BA1762" w:rsidRPr="00552F40" w:rsidRDefault="00BA1762" w:rsidP="00C42708">
            <w:pPr>
              <w:spacing w:after="160"/>
              <w:rPr>
                <w:b w:val="0"/>
                <w:sz w:val="22"/>
                <w:szCs w:val="22"/>
              </w:rPr>
            </w:pPr>
            <w:r w:rsidRPr="00552F40">
              <w:rPr>
                <w:b w:val="0"/>
                <w:sz w:val="22"/>
                <w:szCs w:val="22"/>
              </w:rPr>
              <w:t xml:space="preserve">01 </w:t>
            </w:r>
            <w:r w:rsidRPr="00552F40">
              <w:rPr>
                <w:b w:val="0"/>
                <w:i/>
                <w:sz w:val="22"/>
                <w:szCs w:val="22"/>
              </w:rPr>
              <w:t>Diseases and Disorders of the Nervous System</w:t>
            </w:r>
          </w:p>
        </w:tc>
        <w:tc>
          <w:tcPr>
            <w:tcW w:w="3402" w:type="dxa"/>
            <w:shd w:val="clear" w:color="auto" w:fill="auto"/>
            <w:vAlign w:val="center"/>
          </w:tcPr>
          <w:p w14:paraId="2A2AFA07" w14:textId="77777777" w:rsidR="00BA1762" w:rsidRPr="00552F40" w:rsidRDefault="00BA1762" w:rsidP="00C42708">
            <w:pPr>
              <w:tabs>
                <w:tab w:val="left" w:pos="1815"/>
              </w:tabs>
              <w:spacing w:after="160"/>
              <w:cnfStyle w:val="000000100000" w:firstRow="0" w:lastRow="0" w:firstColumn="0" w:lastColumn="0" w:oddVBand="0" w:evenVBand="0" w:oddHBand="1" w:evenHBand="0" w:firstRowFirstColumn="0" w:firstRowLastColumn="0" w:lastRowFirstColumn="0" w:lastRowLastColumn="0"/>
              <w:rPr>
                <w:sz w:val="22"/>
                <w:szCs w:val="22"/>
              </w:rPr>
            </w:pPr>
            <w:r w:rsidRPr="00552F40">
              <w:rPr>
                <w:iCs/>
                <w:sz w:val="22"/>
                <w:szCs w:val="22"/>
              </w:rPr>
              <w:t>B08</w:t>
            </w:r>
            <w:r w:rsidRPr="00552F40">
              <w:rPr>
                <w:i/>
                <w:iCs/>
                <w:sz w:val="22"/>
                <w:szCs w:val="22"/>
              </w:rPr>
              <w:t xml:space="preserve"> Endovascular Clot Retrieval </w:t>
            </w:r>
          </w:p>
        </w:tc>
        <w:tc>
          <w:tcPr>
            <w:tcW w:w="2636" w:type="dxa"/>
            <w:shd w:val="clear" w:color="auto" w:fill="auto"/>
            <w:vAlign w:val="center"/>
          </w:tcPr>
          <w:p w14:paraId="4DC69A8F" w14:textId="77777777" w:rsidR="00BA1762" w:rsidRPr="00552F40" w:rsidRDefault="00BA1762" w:rsidP="00C42708">
            <w:pPr>
              <w:tabs>
                <w:tab w:val="left" w:pos="1815"/>
              </w:tabs>
              <w:spacing w:after="160"/>
              <w:cnfStyle w:val="000000100000" w:firstRow="0" w:lastRow="0" w:firstColumn="0" w:lastColumn="0" w:oddVBand="0" w:evenVBand="0" w:oddHBand="1" w:evenHBand="0" w:firstRowFirstColumn="0" w:firstRowLastColumn="0" w:lastRowFirstColumn="0" w:lastRowLastColumn="0"/>
              <w:rPr>
                <w:iCs/>
                <w:sz w:val="22"/>
                <w:szCs w:val="22"/>
              </w:rPr>
            </w:pPr>
            <w:r w:rsidRPr="00552F40">
              <w:rPr>
                <w:iCs/>
                <w:sz w:val="22"/>
                <w:szCs w:val="22"/>
              </w:rPr>
              <w:t>2</w:t>
            </w:r>
          </w:p>
        </w:tc>
      </w:tr>
      <w:tr w:rsidR="00BA1762" w:rsidRPr="00552F40" w14:paraId="735C9AF7" w14:textId="77777777" w:rsidTr="00552F40">
        <w:tc>
          <w:tcPr>
            <w:cnfStyle w:val="001000000000" w:firstRow="0" w:lastRow="0" w:firstColumn="1" w:lastColumn="0" w:oddVBand="0" w:evenVBand="0" w:oddHBand="0" w:evenHBand="0" w:firstRowFirstColumn="0" w:firstRowLastColumn="0" w:lastRowFirstColumn="0" w:lastRowLastColumn="0"/>
            <w:tcW w:w="3397" w:type="dxa"/>
            <w:shd w:val="clear" w:color="auto" w:fill="auto"/>
            <w:vAlign w:val="center"/>
          </w:tcPr>
          <w:p w14:paraId="26A10B56" w14:textId="77777777" w:rsidR="00BA1762" w:rsidRPr="00552F40" w:rsidRDefault="00BA1762" w:rsidP="00C42708">
            <w:pPr>
              <w:pStyle w:val="Default"/>
              <w:spacing w:after="160" w:line="288" w:lineRule="auto"/>
              <w:rPr>
                <w:b w:val="0"/>
                <w:color w:val="auto"/>
                <w:sz w:val="22"/>
                <w:szCs w:val="22"/>
                <w:lang w:val="en-AU"/>
              </w:rPr>
            </w:pPr>
            <w:r w:rsidRPr="00552F40">
              <w:rPr>
                <w:b w:val="0"/>
                <w:color w:val="auto"/>
                <w:sz w:val="22"/>
                <w:szCs w:val="22"/>
                <w:lang w:val="en-AU"/>
              </w:rPr>
              <w:t xml:space="preserve">05 </w:t>
            </w:r>
            <w:r w:rsidRPr="00552F40">
              <w:rPr>
                <w:b w:val="0"/>
                <w:i/>
                <w:color w:val="auto"/>
                <w:sz w:val="22"/>
                <w:szCs w:val="22"/>
                <w:lang w:val="en-AU"/>
              </w:rPr>
              <w:t>Diseases and Disorders of the Circulatory System</w:t>
            </w:r>
          </w:p>
        </w:tc>
        <w:tc>
          <w:tcPr>
            <w:tcW w:w="3402" w:type="dxa"/>
            <w:shd w:val="clear" w:color="auto" w:fill="auto"/>
            <w:vAlign w:val="center"/>
          </w:tcPr>
          <w:p w14:paraId="0B3CB4D1" w14:textId="77777777" w:rsidR="00BA1762" w:rsidRPr="00552F40" w:rsidRDefault="00BA1762" w:rsidP="00C42708">
            <w:pPr>
              <w:spacing w:after="160"/>
              <w:cnfStyle w:val="000000000000" w:firstRow="0" w:lastRow="0" w:firstColumn="0" w:lastColumn="0" w:oddVBand="0" w:evenVBand="0" w:oddHBand="0" w:evenHBand="0" w:firstRowFirstColumn="0" w:firstRowLastColumn="0" w:lastRowFirstColumn="0" w:lastRowLastColumn="0"/>
              <w:rPr>
                <w:sz w:val="22"/>
                <w:szCs w:val="22"/>
              </w:rPr>
            </w:pPr>
            <w:r w:rsidRPr="00552F40">
              <w:rPr>
                <w:iCs/>
                <w:sz w:val="22"/>
                <w:szCs w:val="22"/>
              </w:rPr>
              <w:t>F25</w:t>
            </w:r>
            <w:r w:rsidRPr="00552F40">
              <w:rPr>
                <w:i/>
                <w:iCs/>
                <w:sz w:val="22"/>
                <w:szCs w:val="22"/>
              </w:rPr>
              <w:t xml:space="preserve"> </w:t>
            </w:r>
            <w:r w:rsidRPr="00552F40">
              <w:rPr>
                <w:i/>
                <w:sz w:val="22"/>
                <w:szCs w:val="22"/>
              </w:rPr>
              <w:t xml:space="preserve">Percutaneous Heart Valve Replacement with </w:t>
            </w:r>
            <w:proofErr w:type="spellStart"/>
            <w:r w:rsidRPr="00552F40">
              <w:rPr>
                <w:i/>
                <w:sz w:val="22"/>
                <w:szCs w:val="22"/>
              </w:rPr>
              <w:t>Bioprosthesis</w:t>
            </w:r>
            <w:proofErr w:type="spellEnd"/>
          </w:p>
        </w:tc>
        <w:tc>
          <w:tcPr>
            <w:tcW w:w="2636" w:type="dxa"/>
            <w:shd w:val="clear" w:color="auto" w:fill="auto"/>
            <w:vAlign w:val="center"/>
          </w:tcPr>
          <w:p w14:paraId="32F16FD9" w14:textId="77777777" w:rsidR="00BA1762" w:rsidRPr="00552F40" w:rsidRDefault="00BA1762" w:rsidP="00C42708">
            <w:pPr>
              <w:spacing w:after="160"/>
              <w:cnfStyle w:val="000000000000" w:firstRow="0" w:lastRow="0" w:firstColumn="0" w:lastColumn="0" w:oddVBand="0" w:evenVBand="0" w:oddHBand="0" w:evenHBand="0" w:firstRowFirstColumn="0" w:firstRowLastColumn="0" w:lastRowFirstColumn="0" w:lastRowLastColumn="0"/>
              <w:rPr>
                <w:iCs/>
                <w:sz w:val="22"/>
                <w:szCs w:val="22"/>
              </w:rPr>
            </w:pPr>
            <w:r w:rsidRPr="00552F40">
              <w:rPr>
                <w:iCs/>
                <w:sz w:val="22"/>
                <w:szCs w:val="22"/>
              </w:rPr>
              <w:t>13</w:t>
            </w:r>
          </w:p>
        </w:tc>
      </w:tr>
      <w:tr w:rsidR="00BA1762" w:rsidRPr="00552F40" w14:paraId="5BE51134" w14:textId="77777777" w:rsidTr="00552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vAlign w:val="center"/>
          </w:tcPr>
          <w:p w14:paraId="42B1EC58" w14:textId="77777777" w:rsidR="00BA1762" w:rsidRPr="00552F40" w:rsidRDefault="00BA1762" w:rsidP="00C42708">
            <w:pPr>
              <w:pStyle w:val="Default"/>
              <w:spacing w:after="160" w:line="288" w:lineRule="auto"/>
              <w:rPr>
                <w:b w:val="0"/>
                <w:color w:val="auto"/>
                <w:sz w:val="22"/>
                <w:szCs w:val="22"/>
                <w:lang w:val="en-AU"/>
              </w:rPr>
            </w:pPr>
            <w:r w:rsidRPr="00552F40">
              <w:rPr>
                <w:b w:val="0"/>
                <w:color w:val="auto"/>
                <w:sz w:val="22"/>
                <w:szCs w:val="22"/>
                <w:lang w:val="en-AU"/>
              </w:rPr>
              <w:t xml:space="preserve">06 </w:t>
            </w:r>
            <w:r w:rsidRPr="00552F40">
              <w:rPr>
                <w:b w:val="0"/>
                <w:i/>
                <w:color w:val="auto"/>
                <w:sz w:val="22"/>
                <w:szCs w:val="22"/>
                <w:lang w:val="en-AU"/>
              </w:rPr>
              <w:t>Diseases and Disorders of the Digestive System</w:t>
            </w:r>
          </w:p>
        </w:tc>
        <w:tc>
          <w:tcPr>
            <w:tcW w:w="3402" w:type="dxa"/>
            <w:shd w:val="clear" w:color="auto" w:fill="auto"/>
            <w:vAlign w:val="center"/>
          </w:tcPr>
          <w:p w14:paraId="3EC4B420" w14:textId="77777777" w:rsidR="00BA1762" w:rsidRPr="00552F40" w:rsidRDefault="00BA1762" w:rsidP="00C42708">
            <w:pPr>
              <w:spacing w:after="160"/>
              <w:cnfStyle w:val="000000100000" w:firstRow="0" w:lastRow="0" w:firstColumn="0" w:lastColumn="0" w:oddVBand="0" w:evenVBand="0" w:oddHBand="1" w:evenHBand="0" w:firstRowFirstColumn="0" w:firstRowLastColumn="0" w:lastRowFirstColumn="0" w:lastRowLastColumn="0"/>
              <w:rPr>
                <w:i/>
                <w:iCs/>
                <w:sz w:val="22"/>
                <w:szCs w:val="22"/>
              </w:rPr>
            </w:pPr>
            <w:r w:rsidRPr="00552F40">
              <w:rPr>
                <w:iCs/>
                <w:sz w:val="22"/>
                <w:szCs w:val="22"/>
              </w:rPr>
              <w:t>G13</w:t>
            </w:r>
            <w:r w:rsidRPr="00552F40">
              <w:rPr>
                <w:i/>
                <w:iCs/>
                <w:sz w:val="22"/>
                <w:szCs w:val="22"/>
              </w:rPr>
              <w:t xml:space="preserve"> </w:t>
            </w:r>
            <w:r w:rsidRPr="00552F40">
              <w:rPr>
                <w:i/>
                <w:sz w:val="22"/>
                <w:szCs w:val="22"/>
              </w:rPr>
              <w:t>Peritonectomy for Gastrointestinal Disorders</w:t>
            </w:r>
          </w:p>
        </w:tc>
        <w:tc>
          <w:tcPr>
            <w:tcW w:w="2636" w:type="dxa"/>
            <w:shd w:val="clear" w:color="auto" w:fill="auto"/>
            <w:vAlign w:val="center"/>
          </w:tcPr>
          <w:p w14:paraId="1B3F0665" w14:textId="77777777" w:rsidR="00BA1762" w:rsidRPr="00552F40" w:rsidRDefault="00BA1762" w:rsidP="00C42708">
            <w:pPr>
              <w:spacing w:after="160"/>
              <w:cnfStyle w:val="000000100000" w:firstRow="0" w:lastRow="0" w:firstColumn="0" w:lastColumn="0" w:oddVBand="0" w:evenVBand="0" w:oddHBand="1" w:evenHBand="0" w:firstRowFirstColumn="0" w:firstRowLastColumn="0" w:lastRowFirstColumn="0" w:lastRowLastColumn="0"/>
              <w:rPr>
                <w:iCs/>
                <w:sz w:val="22"/>
                <w:szCs w:val="22"/>
              </w:rPr>
            </w:pPr>
            <w:r w:rsidRPr="00552F40">
              <w:rPr>
                <w:iCs/>
                <w:sz w:val="22"/>
                <w:szCs w:val="22"/>
              </w:rPr>
              <w:t>1</w:t>
            </w:r>
          </w:p>
        </w:tc>
      </w:tr>
    </w:tbl>
    <w:p w14:paraId="76FB280E" w14:textId="77777777" w:rsidR="00283621" w:rsidRDefault="00283621">
      <w:pPr>
        <w:spacing w:line="259" w:lineRule="auto"/>
        <w:rPr>
          <w:rFonts w:eastAsiaTheme="majorEastAsia" w:cstheme="majorBidi"/>
          <w:b/>
          <w:sz w:val="72"/>
          <w:szCs w:val="32"/>
        </w:rPr>
        <w:sectPr w:rsidR="00283621" w:rsidSect="002261C0">
          <w:pgSz w:w="11906" w:h="16838" w:code="9"/>
          <w:pgMar w:top="2041" w:right="1440" w:bottom="1021" w:left="1134" w:header="680" w:footer="510" w:gutter="0"/>
          <w:cols w:space="708"/>
          <w:docGrid w:linePitch="360"/>
        </w:sectPr>
      </w:pPr>
    </w:p>
    <w:p w14:paraId="0A2A24F2" w14:textId="77777777" w:rsidR="00BA1762" w:rsidRPr="00BC28A9" w:rsidRDefault="00BA1762" w:rsidP="00412D3E">
      <w:pPr>
        <w:pStyle w:val="Heading1"/>
        <w:spacing w:after="1080" w:line="240" w:lineRule="auto"/>
        <w:ind w:left="567" w:hanging="567"/>
        <w:contextualSpacing/>
      </w:pPr>
      <w:bookmarkStart w:id="39" w:name="_Toc100842993"/>
      <w:bookmarkStart w:id="40" w:name="_Toc124657519"/>
      <w:r w:rsidRPr="00BC28A9">
        <w:lastRenderedPageBreak/>
        <w:t>Episode Clinical Complexity</w:t>
      </w:r>
      <w:bookmarkEnd w:id="39"/>
      <w:bookmarkEnd w:id="40"/>
      <w:r w:rsidRPr="00BC28A9">
        <w:t xml:space="preserve"> </w:t>
      </w:r>
    </w:p>
    <w:p w14:paraId="0DD81F53" w14:textId="77777777" w:rsidR="00BA1762" w:rsidRPr="00BC28A9" w:rsidRDefault="00BA1762" w:rsidP="00BA1762">
      <w:pPr>
        <w:pStyle w:val="Heading2"/>
        <w:spacing w:before="360" w:after="120" w:line="260" w:lineRule="atLeast"/>
        <w:contextualSpacing/>
      </w:pPr>
      <w:bookmarkStart w:id="41" w:name="_Toc534624602"/>
      <w:bookmarkStart w:id="42" w:name="_Toc100842994"/>
      <w:bookmarkStart w:id="43" w:name="_Toc124657520"/>
      <w:r w:rsidRPr="00BC28A9">
        <w:t>Overview</w:t>
      </w:r>
      <w:bookmarkEnd w:id="41"/>
      <w:bookmarkEnd w:id="42"/>
      <w:bookmarkEnd w:id="43"/>
    </w:p>
    <w:p w14:paraId="37366A9A" w14:textId="77777777" w:rsidR="00BA1762" w:rsidRPr="00BC28A9" w:rsidRDefault="00BA1762" w:rsidP="00C42708">
      <w:r w:rsidRPr="00BC28A9">
        <w:t xml:space="preserve">AR-DRG V8.0 introduced a new methodology for determining clinical complexity known as the Episode Clinical Complexity (ECC) Model. The ECC Model assigns an ECCS, to each episode and quantifies relative levels of resource </w:t>
      </w:r>
      <w:proofErr w:type="spellStart"/>
      <w:r w:rsidRPr="00BC28A9">
        <w:t>utilisation</w:t>
      </w:r>
      <w:proofErr w:type="spellEnd"/>
      <w:r w:rsidRPr="00BC28A9">
        <w:t xml:space="preserve"> within each ADRG and is used to split ADRGs into different DRG</w:t>
      </w:r>
      <w:r>
        <w:t>s</w:t>
      </w:r>
      <w:r w:rsidRPr="00BC28A9">
        <w:t xml:space="preserve"> </w:t>
      </w:r>
      <w:r>
        <w:t xml:space="preserve">based on </w:t>
      </w:r>
      <w:r w:rsidRPr="00BC28A9">
        <w:t xml:space="preserve">resource homogeneity. </w:t>
      </w:r>
    </w:p>
    <w:p w14:paraId="3DA4594E" w14:textId="77777777" w:rsidR="00BA1762" w:rsidRPr="00BC28A9" w:rsidRDefault="00BA1762" w:rsidP="00C42708">
      <w:r w:rsidRPr="00BC28A9">
        <w:t xml:space="preserve">The process of deriving an ECCS for each episode begins by assigning a Diagnosis Complexity Level (DCL) value to each diagnosis reported for the episode. DCLs are integers that quantify levels of resource </w:t>
      </w:r>
      <w:proofErr w:type="spellStart"/>
      <w:r w:rsidRPr="00BC28A9">
        <w:t>utilisation</w:t>
      </w:r>
      <w:proofErr w:type="spellEnd"/>
      <w:r w:rsidRPr="00BC28A9">
        <w:t xml:space="preserve"> associated with each diagnosis, relative to levels within the ADRG to which the episode belongs. DCL values are assigned to principal diagnosis and additional diagnosis codes and range between zero and five. </w:t>
      </w:r>
    </w:p>
    <w:p w14:paraId="6502EA7D" w14:textId="77777777" w:rsidR="00BA1762" w:rsidRPr="00BC28A9" w:rsidRDefault="00BA1762" w:rsidP="00C42708">
      <w:r w:rsidRPr="00BC28A9">
        <w:t xml:space="preserve">It should be noted that DCLs measure relative resource </w:t>
      </w:r>
      <w:proofErr w:type="spellStart"/>
      <w:r w:rsidRPr="00BC28A9">
        <w:t>utilisation</w:t>
      </w:r>
      <w:proofErr w:type="spellEnd"/>
      <w:r w:rsidRPr="00BC28A9">
        <w:t xml:space="preserve"> within an ADRG. Therefore, a DCL of zero indicates that the diagnosis is not associated with higher resource </w:t>
      </w:r>
      <w:proofErr w:type="spellStart"/>
      <w:r w:rsidRPr="00BC28A9">
        <w:t>utilisation</w:t>
      </w:r>
      <w:proofErr w:type="spellEnd"/>
      <w:r w:rsidRPr="00BC28A9">
        <w:t xml:space="preserve"> relative to the average level of the ADRG and does not mean that the diagnosis is associated with nil resource use. Approximately 11,000 diagnosis codes have a DCL with a non-zero value in AR</w:t>
      </w:r>
      <w:r w:rsidRPr="00BC28A9">
        <w:noBreakHyphen/>
        <w:t>DRG V11.0, i.e.</w:t>
      </w:r>
      <w:r>
        <w:t>,</w:t>
      </w:r>
      <w:r w:rsidRPr="00BC28A9">
        <w:t xml:space="preserve"> they contribute to the complexity of an episode of care.</w:t>
      </w:r>
    </w:p>
    <w:p w14:paraId="3BEA9F7E" w14:textId="77777777" w:rsidR="00BA1762" w:rsidRPr="00BC28A9" w:rsidRDefault="00BA1762" w:rsidP="00C42708">
      <w:r w:rsidRPr="00BC28A9">
        <w:t xml:space="preserve">The components used in the ECCS are detailed in </w:t>
      </w:r>
      <w:r w:rsidRPr="00DE1EAF">
        <w:rPr>
          <w:b/>
          <w:bCs/>
        </w:rPr>
        <w:t>Table 5</w:t>
      </w:r>
      <w:r w:rsidRPr="00BC28A9">
        <w:t xml:space="preserve">. </w:t>
      </w:r>
    </w:p>
    <w:p w14:paraId="32F575B2" w14:textId="77777777" w:rsidR="00BA1762" w:rsidRPr="00C42708" w:rsidRDefault="00BA1762" w:rsidP="00283621">
      <w:pPr>
        <w:pStyle w:val="Caption"/>
      </w:pPr>
      <w:bookmarkStart w:id="44" w:name="_Ref536779063"/>
      <w:r w:rsidRPr="00C42708">
        <w:t xml:space="preserve">Table </w:t>
      </w:r>
      <w:bookmarkEnd w:id="44"/>
      <w:r w:rsidRPr="00C42708">
        <w:t>5: ECCS components</w:t>
      </w:r>
    </w:p>
    <w:tbl>
      <w:tblPr>
        <w:tblStyle w:val="ListTable3-Accent11"/>
        <w:tblW w:w="0" w:type="auto"/>
        <w:tblLook w:val="04A0" w:firstRow="1" w:lastRow="0" w:firstColumn="1" w:lastColumn="0" w:noHBand="0" w:noVBand="1"/>
      </w:tblPr>
      <w:tblGrid>
        <w:gridCol w:w="2462"/>
        <w:gridCol w:w="6860"/>
      </w:tblGrid>
      <w:tr w:rsidR="00552F40" w:rsidRPr="00552F40" w14:paraId="4ED11489" w14:textId="77777777" w:rsidTr="00552F40">
        <w:trPr>
          <w:cnfStyle w:val="100000000000" w:firstRow="1" w:lastRow="0" w:firstColumn="0" w:lastColumn="0" w:oddVBand="0" w:evenVBand="0" w:oddHBand="0" w:evenHBand="0" w:firstRowFirstColumn="0" w:firstRowLastColumn="0" w:lastRowFirstColumn="0" w:lastRowLastColumn="0"/>
          <w:trHeight w:val="420"/>
        </w:trPr>
        <w:tc>
          <w:tcPr>
            <w:cnfStyle w:val="001000000100" w:firstRow="0" w:lastRow="0" w:firstColumn="1" w:lastColumn="0" w:oddVBand="0" w:evenVBand="0" w:oddHBand="0" w:evenHBand="0" w:firstRowFirstColumn="1" w:firstRowLastColumn="0" w:lastRowFirstColumn="0" w:lastRowLastColumn="0"/>
            <w:tcW w:w="2518" w:type="dxa"/>
            <w:shd w:val="clear" w:color="auto" w:fill="104F99" w:themeFill="accent2"/>
          </w:tcPr>
          <w:p w14:paraId="0DB10E1A" w14:textId="77777777" w:rsidR="00BA1762" w:rsidRPr="00552F40" w:rsidRDefault="00BA1762" w:rsidP="00C42708">
            <w:pPr>
              <w:spacing w:after="160"/>
              <w:rPr>
                <w:color w:val="FFFFFF" w:themeColor="accent6"/>
                <w:sz w:val="22"/>
                <w:szCs w:val="22"/>
              </w:rPr>
            </w:pPr>
            <w:r w:rsidRPr="00552F40">
              <w:rPr>
                <w:color w:val="FFFFFF" w:themeColor="accent6"/>
                <w:sz w:val="22"/>
                <w:szCs w:val="22"/>
              </w:rPr>
              <w:t>Component</w:t>
            </w:r>
          </w:p>
        </w:tc>
        <w:tc>
          <w:tcPr>
            <w:tcW w:w="7143" w:type="dxa"/>
            <w:shd w:val="clear" w:color="auto" w:fill="104F99" w:themeFill="accent2"/>
          </w:tcPr>
          <w:p w14:paraId="5C76A627" w14:textId="77777777" w:rsidR="00BA1762" w:rsidRPr="00552F40" w:rsidRDefault="00BA1762" w:rsidP="00C42708">
            <w:pPr>
              <w:spacing w:after="160"/>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552F40">
              <w:rPr>
                <w:color w:val="FFFFFF" w:themeColor="accent6"/>
                <w:sz w:val="22"/>
                <w:szCs w:val="22"/>
              </w:rPr>
              <w:t>Description</w:t>
            </w:r>
          </w:p>
        </w:tc>
      </w:tr>
      <w:tr w:rsidR="00BA1762" w:rsidRPr="00552F40" w14:paraId="4997A332" w14:textId="77777777" w:rsidTr="00552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460DBAF7" w14:textId="77777777" w:rsidR="00BA1762" w:rsidRPr="00552F40" w:rsidRDefault="00BA1762" w:rsidP="00C42708">
            <w:pPr>
              <w:spacing w:after="160"/>
              <w:rPr>
                <w:b w:val="0"/>
                <w:sz w:val="22"/>
                <w:szCs w:val="22"/>
              </w:rPr>
            </w:pPr>
            <w:r w:rsidRPr="00552F40">
              <w:rPr>
                <w:b w:val="0"/>
                <w:sz w:val="22"/>
                <w:szCs w:val="22"/>
              </w:rPr>
              <w:t>Diagnosis exclusions</w:t>
            </w:r>
          </w:p>
        </w:tc>
        <w:tc>
          <w:tcPr>
            <w:tcW w:w="7143" w:type="dxa"/>
            <w:shd w:val="clear" w:color="auto" w:fill="auto"/>
            <w:vAlign w:val="center"/>
          </w:tcPr>
          <w:p w14:paraId="17CA5E7D" w14:textId="77777777" w:rsidR="00BA1762" w:rsidRPr="00552F40" w:rsidRDefault="00BA1762" w:rsidP="00C42708">
            <w:pPr>
              <w:spacing w:after="160"/>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This stage defines the scope of the complexity model in terms of diagnoses considered relevant for DRG classification purposes. Those diagnoses not identified as in-scope are called exclusions, some of which are excluded unconditionally, and others are excluded conditionally (i.e., some diagnoses are excluded in circumstances where another diagnosis is present in the same episode).</w:t>
            </w:r>
          </w:p>
        </w:tc>
      </w:tr>
      <w:tr w:rsidR="00BA1762" w:rsidRPr="00552F40" w14:paraId="037D52C4" w14:textId="77777777" w:rsidTr="00552F40">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595CA16F" w14:textId="77777777" w:rsidR="00BA1762" w:rsidRPr="00552F40" w:rsidRDefault="00BA1762" w:rsidP="00C42708">
            <w:pPr>
              <w:spacing w:after="160"/>
              <w:rPr>
                <w:b w:val="0"/>
                <w:sz w:val="22"/>
                <w:szCs w:val="22"/>
              </w:rPr>
            </w:pPr>
            <w:r w:rsidRPr="00552F40">
              <w:rPr>
                <w:b w:val="0"/>
                <w:sz w:val="22"/>
                <w:szCs w:val="22"/>
              </w:rPr>
              <w:t xml:space="preserve">Geometric mean cost model </w:t>
            </w:r>
          </w:p>
        </w:tc>
        <w:tc>
          <w:tcPr>
            <w:tcW w:w="7143" w:type="dxa"/>
            <w:shd w:val="clear" w:color="auto" w:fill="auto"/>
            <w:vAlign w:val="center"/>
          </w:tcPr>
          <w:p w14:paraId="51AA0B38" w14:textId="77777777" w:rsidR="00BA1762" w:rsidRPr="00552F40" w:rsidRDefault="00BA1762" w:rsidP="00C42708">
            <w:pPr>
              <w:spacing w:after="160"/>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 xml:space="preserve">A geometric mean cost model is used to estimate the ADRG costs by diagnosis count which assumes the diminishing returns for multiple diagnoses. This is the foundation model from which the diagnosis complexity level weights are derived. </w:t>
            </w:r>
          </w:p>
        </w:tc>
      </w:tr>
      <w:tr w:rsidR="00BA1762" w:rsidRPr="00552F40" w14:paraId="17035FFE" w14:textId="77777777" w:rsidTr="00552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79DCE07F" w14:textId="77777777" w:rsidR="00BA1762" w:rsidRPr="00552F40" w:rsidRDefault="00BA1762" w:rsidP="00C42708">
            <w:pPr>
              <w:spacing w:after="160"/>
              <w:rPr>
                <w:b w:val="0"/>
                <w:sz w:val="22"/>
                <w:szCs w:val="22"/>
              </w:rPr>
            </w:pPr>
            <w:r w:rsidRPr="00552F40">
              <w:rPr>
                <w:b w:val="0"/>
                <w:sz w:val="22"/>
                <w:szCs w:val="22"/>
              </w:rPr>
              <w:t>DCL</w:t>
            </w:r>
          </w:p>
        </w:tc>
        <w:tc>
          <w:tcPr>
            <w:tcW w:w="7143" w:type="dxa"/>
            <w:shd w:val="clear" w:color="auto" w:fill="auto"/>
            <w:vAlign w:val="center"/>
          </w:tcPr>
          <w:p w14:paraId="299D6A4A" w14:textId="77777777" w:rsidR="00BA1762" w:rsidRPr="00552F40" w:rsidRDefault="00BA1762" w:rsidP="00C42708">
            <w:pPr>
              <w:spacing w:after="160"/>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 xml:space="preserve">DCL weights represent the relative costs associated with each diagnosis within the context of a specific ADRG. The weights are </w:t>
            </w:r>
            <w:r w:rsidRPr="00552F40">
              <w:rPr>
                <w:sz w:val="22"/>
                <w:szCs w:val="22"/>
              </w:rPr>
              <w:lastRenderedPageBreak/>
              <w:t>calculated for every combination of diagnosis and ADRG, which results in approximately 6.8 million different combinations (400 ADRGs by 17,015 diagnoses).</w:t>
            </w:r>
          </w:p>
        </w:tc>
      </w:tr>
      <w:tr w:rsidR="00BA1762" w:rsidRPr="00552F40" w14:paraId="7CD3AE98" w14:textId="77777777" w:rsidTr="00552F40">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77865535" w14:textId="77777777" w:rsidR="00BA1762" w:rsidRPr="00552F40" w:rsidRDefault="00BA1762" w:rsidP="00C42708">
            <w:pPr>
              <w:spacing w:after="160"/>
              <w:rPr>
                <w:b w:val="0"/>
                <w:sz w:val="22"/>
                <w:szCs w:val="22"/>
              </w:rPr>
            </w:pPr>
            <w:r w:rsidRPr="00552F40">
              <w:rPr>
                <w:b w:val="0"/>
                <w:sz w:val="22"/>
                <w:szCs w:val="22"/>
              </w:rPr>
              <w:lastRenderedPageBreak/>
              <w:t xml:space="preserve">ECCS decay factor </w:t>
            </w:r>
          </w:p>
        </w:tc>
        <w:tc>
          <w:tcPr>
            <w:tcW w:w="7143" w:type="dxa"/>
            <w:shd w:val="clear" w:color="auto" w:fill="auto"/>
            <w:vAlign w:val="center"/>
          </w:tcPr>
          <w:p w14:paraId="777FCC75" w14:textId="77777777" w:rsidR="00BA1762" w:rsidRPr="00552F40" w:rsidRDefault="00BA1762" w:rsidP="00C42708">
            <w:pPr>
              <w:spacing w:after="160"/>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 xml:space="preserve">The ECCS decay factor is the final component required to calculate an episode ECCS. It represents the decay component that adjusts for the diminished contribution of multiple diagnoses in relation to </w:t>
            </w:r>
            <w:r w:rsidRPr="00552F40">
              <w:rPr>
                <w:rFonts w:cs="Arial"/>
                <w:sz w:val="22"/>
                <w:szCs w:val="22"/>
              </w:rPr>
              <w:t>their individual contribution.</w:t>
            </w:r>
          </w:p>
        </w:tc>
      </w:tr>
    </w:tbl>
    <w:p w14:paraId="5FDDF46E" w14:textId="77777777" w:rsidR="00BA1762" w:rsidRPr="00BC28A9" w:rsidRDefault="00BA1762" w:rsidP="00BA1762">
      <w:pPr>
        <w:pStyle w:val="Heading2"/>
        <w:spacing w:before="360" w:after="120" w:line="260" w:lineRule="atLeast"/>
        <w:contextualSpacing/>
      </w:pPr>
      <w:bookmarkStart w:id="45" w:name="_Toc534624603"/>
      <w:bookmarkStart w:id="46" w:name="_Toc100842995"/>
      <w:bookmarkStart w:id="47" w:name="_Toc124657521"/>
      <w:r w:rsidRPr="00BC28A9">
        <w:t xml:space="preserve">Diagnosis </w:t>
      </w:r>
      <w:bookmarkEnd w:id="45"/>
      <w:r w:rsidRPr="00BC28A9">
        <w:t>exclusions</w:t>
      </w:r>
      <w:bookmarkEnd w:id="46"/>
      <w:bookmarkEnd w:id="47"/>
    </w:p>
    <w:p w14:paraId="60F6F980" w14:textId="77777777" w:rsidR="00BA1762" w:rsidRDefault="00BA1762" w:rsidP="00C42708">
      <w:pPr>
        <w:pStyle w:val="Default"/>
        <w:spacing w:after="160" w:line="288" w:lineRule="auto"/>
        <w:rPr>
          <w:sz w:val="22"/>
          <w:szCs w:val="22"/>
          <w:lang w:val="en-AU"/>
        </w:rPr>
      </w:pPr>
      <w:r w:rsidRPr="00BC28A9">
        <w:rPr>
          <w:sz w:val="22"/>
          <w:szCs w:val="22"/>
          <w:lang w:val="en-AU"/>
        </w:rPr>
        <w:t xml:space="preserve">A number of diagnosis codes are excluded from consideration in the AR-DRG V11.0 ECC Model based on guiding principles for diagnosis exclusions from the complexity model as specified in the </w:t>
      </w:r>
      <w:r w:rsidRPr="00BC28A9">
        <w:rPr>
          <w:i/>
          <w:sz w:val="22"/>
          <w:szCs w:val="22"/>
          <w:lang w:val="en-AU"/>
        </w:rPr>
        <w:t>Governance Framework for the Development of the Admitted Care Classifications</w:t>
      </w:r>
      <w:r w:rsidRPr="00BC28A9">
        <w:rPr>
          <w:rStyle w:val="FootnoteReference"/>
          <w:i/>
          <w:lang w:val="en-AU"/>
        </w:rPr>
        <w:footnoteReference w:id="3"/>
      </w:r>
      <w:r w:rsidRPr="00BC28A9">
        <w:rPr>
          <w:sz w:val="22"/>
          <w:szCs w:val="22"/>
          <w:lang w:val="en-AU"/>
        </w:rPr>
        <w:t xml:space="preserve">. </w:t>
      </w:r>
    </w:p>
    <w:p w14:paraId="7DCE7FA9" w14:textId="77777777" w:rsidR="00BA1762" w:rsidRDefault="00BA1762" w:rsidP="00C42708">
      <w:pPr>
        <w:pStyle w:val="Default"/>
        <w:spacing w:after="160" w:line="288" w:lineRule="auto"/>
        <w:rPr>
          <w:sz w:val="22"/>
          <w:szCs w:val="22"/>
          <w:lang w:val="en-AU"/>
        </w:rPr>
      </w:pPr>
      <w:r w:rsidRPr="00BC28A9">
        <w:rPr>
          <w:sz w:val="22"/>
          <w:szCs w:val="22"/>
          <w:lang w:val="en-AU"/>
        </w:rPr>
        <w:t xml:space="preserve">These guiding principles characterise the scope of the </w:t>
      </w:r>
      <w:r>
        <w:rPr>
          <w:sz w:val="22"/>
          <w:szCs w:val="22"/>
          <w:lang w:val="en-AU"/>
        </w:rPr>
        <w:t>ECC M</w:t>
      </w:r>
      <w:r w:rsidRPr="00BC28A9">
        <w:rPr>
          <w:sz w:val="22"/>
          <w:szCs w:val="22"/>
          <w:lang w:val="en-AU"/>
        </w:rPr>
        <w:t>odel in terms of diagnoses considered relevant for classification purposes. Diagnosis codes identified as not being in</w:t>
      </w:r>
      <w:r>
        <w:rPr>
          <w:sz w:val="22"/>
          <w:szCs w:val="22"/>
          <w:lang w:val="en-AU"/>
        </w:rPr>
        <w:noBreakHyphen/>
      </w:r>
      <w:r w:rsidRPr="00BC28A9">
        <w:rPr>
          <w:sz w:val="22"/>
          <w:szCs w:val="22"/>
          <w:lang w:val="en-AU"/>
        </w:rPr>
        <w:t>scope are called exclusions</w:t>
      </w:r>
      <w:r>
        <w:rPr>
          <w:sz w:val="22"/>
          <w:szCs w:val="22"/>
          <w:lang w:val="en-AU"/>
        </w:rPr>
        <w:t>. Exclusions may be considered unconditional (i.e., diagnosis codes are always excluded)</w:t>
      </w:r>
      <w:r w:rsidRPr="00BC28A9">
        <w:rPr>
          <w:sz w:val="22"/>
          <w:szCs w:val="22"/>
          <w:lang w:val="en-AU"/>
        </w:rPr>
        <w:t xml:space="preserve"> and others are excluded conditionally (i.e.</w:t>
      </w:r>
      <w:r>
        <w:rPr>
          <w:sz w:val="22"/>
          <w:szCs w:val="22"/>
          <w:lang w:val="en-AU"/>
        </w:rPr>
        <w:t>,</w:t>
      </w:r>
      <w:r w:rsidRPr="00BC28A9">
        <w:rPr>
          <w:sz w:val="22"/>
          <w:szCs w:val="22"/>
          <w:lang w:val="en-AU"/>
        </w:rPr>
        <w:t xml:space="preserve"> some diagnos</w:t>
      </w:r>
      <w:r>
        <w:rPr>
          <w:sz w:val="22"/>
          <w:szCs w:val="22"/>
          <w:lang w:val="en-AU"/>
        </w:rPr>
        <w:t>i</w:t>
      </w:r>
      <w:r w:rsidRPr="00BC28A9">
        <w:rPr>
          <w:sz w:val="22"/>
          <w:szCs w:val="22"/>
          <w:lang w:val="en-AU"/>
        </w:rPr>
        <w:t>s</w:t>
      </w:r>
      <w:r>
        <w:rPr>
          <w:sz w:val="22"/>
          <w:szCs w:val="22"/>
          <w:lang w:val="en-AU"/>
        </w:rPr>
        <w:t xml:space="preserve"> codes</w:t>
      </w:r>
      <w:r w:rsidRPr="00BC28A9">
        <w:rPr>
          <w:sz w:val="22"/>
          <w:szCs w:val="22"/>
          <w:lang w:val="en-AU"/>
        </w:rPr>
        <w:t xml:space="preserve"> are excluded in circumstances where another diagnosis </w:t>
      </w:r>
      <w:r>
        <w:rPr>
          <w:sz w:val="22"/>
          <w:szCs w:val="22"/>
          <w:lang w:val="en-AU"/>
        </w:rPr>
        <w:t xml:space="preserve">code </w:t>
      </w:r>
      <w:r w:rsidRPr="00BC28A9">
        <w:rPr>
          <w:sz w:val="22"/>
          <w:szCs w:val="22"/>
          <w:lang w:val="en-AU"/>
        </w:rPr>
        <w:t>is present in the same episode</w:t>
      </w:r>
      <w:r>
        <w:rPr>
          <w:sz w:val="22"/>
          <w:szCs w:val="22"/>
          <w:lang w:val="en-AU"/>
        </w:rPr>
        <w:t xml:space="preserve"> of care</w:t>
      </w:r>
      <w:r w:rsidRPr="00BC28A9">
        <w:rPr>
          <w:sz w:val="22"/>
          <w:szCs w:val="22"/>
          <w:lang w:val="en-AU"/>
        </w:rPr>
        <w:t xml:space="preserve">). </w:t>
      </w:r>
    </w:p>
    <w:p w14:paraId="76046044" w14:textId="2288D189" w:rsidR="00BA1762" w:rsidRPr="00BC28A9" w:rsidRDefault="00BA1762" w:rsidP="00C42708">
      <w:pPr>
        <w:pStyle w:val="Default"/>
        <w:spacing w:after="160" w:line="288" w:lineRule="auto"/>
        <w:rPr>
          <w:sz w:val="22"/>
          <w:szCs w:val="22"/>
          <w:lang w:val="en-AU"/>
        </w:rPr>
      </w:pPr>
      <w:r>
        <w:rPr>
          <w:sz w:val="22"/>
          <w:szCs w:val="22"/>
          <w:lang w:val="en-AU"/>
        </w:rPr>
        <w:t>Excluded diagnosis codes</w:t>
      </w:r>
      <w:r w:rsidRPr="00BC28A9">
        <w:rPr>
          <w:sz w:val="22"/>
          <w:szCs w:val="22"/>
          <w:lang w:val="en-AU"/>
        </w:rPr>
        <w:t xml:space="preserve"> are removed from the data prior to the development of the ECC Model. More information with regards to the guiding principles and diagnosis exclusions in AR</w:t>
      </w:r>
      <w:r>
        <w:rPr>
          <w:sz w:val="22"/>
          <w:szCs w:val="22"/>
          <w:lang w:val="en-AU"/>
        </w:rPr>
        <w:noBreakHyphen/>
      </w:r>
      <w:r w:rsidRPr="00BC28A9">
        <w:rPr>
          <w:sz w:val="22"/>
          <w:szCs w:val="22"/>
          <w:lang w:val="en-AU"/>
        </w:rPr>
        <w:t xml:space="preserve">DRG V11.0 are provided </w:t>
      </w:r>
      <w:r w:rsidR="000D1DE1" w:rsidRPr="00BC28A9">
        <w:rPr>
          <w:sz w:val="22"/>
          <w:szCs w:val="22"/>
          <w:lang w:val="en-AU"/>
        </w:rPr>
        <w:t xml:space="preserve">in </w:t>
      </w:r>
      <w:r w:rsidR="000D1DE1" w:rsidRPr="000D1DE1">
        <w:rPr>
          <w:sz w:val="22"/>
          <w:szCs w:val="22"/>
          <w:u w:val="single"/>
          <w:lang w:val="en-AU"/>
        </w:rPr>
        <w:t>Appendix</w:t>
      </w:r>
      <w:r w:rsidR="000D1DE1">
        <w:rPr>
          <w:sz w:val="22"/>
          <w:szCs w:val="22"/>
          <w:u w:val="single"/>
          <w:lang w:val="en-AU"/>
        </w:rPr>
        <w:t xml:space="preserve"> A: Diagnosis Exclusions</w:t>
      </w:r>
      <w:r w:rsidRPr="00BC28A9">
        <w:rPr>
          <w:sz w:val="22"/>
          <w:szCs w:val="22"/>
          <w:lang w:val="en-AU"/>
        </w:rPr>
        <w:t xml:space="preserve">. </w:t>
      </w:r>
    </w:p>
    <w:p w14:paraId="20EE03DF" w14:textId="77777777" w:rsidR="00BA1762" w:rsidRPr="00BC28A9" w:rsidRDefault="00BA1762" w:rsidP="00BA1762">
      <w:pPr>
        <w:pStyle w:val="Heading2"/>
        <w:spacing w:before="360" w:after="120" w:line="260" w:lineRule="atLeast"/>
        <w:contextualSpacing/>
      </w:pPr>
      <w:bookmarkStart w:id="48" w:name="_Geometric_mean_cost"/>
      <w:bookmarkStart w:id="49" w:name="_Ref531100561"/>
      <w:bookmarkStart w:id="50" w:name="_Ref532299160"/>
      <w:bookmarkStart w:id="51" w:name="_Toc534624604"/>
      <w:bookmarkStart w:id="52" w:name="_Ref536783417"/>
      <w:bookmarkStart w:id="53" w:name="_Toc100842996"/>
      <w:bookmarkStart w:id="54" w:name="_Toc124657522"/>
      <w:bookmarkEnd w:id="48"/>
      <w:r w:rsidRPr="00BC28A9">
        <w:t xml:space="preserve">Geometric mean cost </w:t>
      </w:r>
      <w:bookmarkEnd w:id="49"/>
      <w:bookmarkEnd w:id="50"/>
      <w:bookmarkEnd w:id="51"/>
      <w:r w:rsidRPr="00BC28A9">
        <w:t>model</w:t>
      </w:r>
      <w:bookmarkEnd w:id="52"/>
      <w:bookmarkEnd w:id="53"/>
      <w:bookmarkEnd w:id="54"/>
      <w:r w:rsidRPr="00BC28A9">
        <w:t xml:space="preserve"> </w:t>
      </w:r>
    </w:p>
    <w:p w14:paraId="66173C87" w14:textId="77777777" w:rsidR="00BA1762" w:rsidRPr="00BC28A9" w:rsidRDefault="00BA1762" w:rsidP="00BA1762">
      <w:r w:rsidRPr="00BC28A9">
        <w:t>A geometric mean cost model is used to estimate the ADRG costs by diagnosis count and assumes diminishing returns for multiple diagnoses through a decay factor. Each ADRG geometric mean cost model is defined as:</w:t>
      </w:r>
    </w:p>
    <w:p w14:paraId="247A01ED" w14:textId="77777777" w:rsidR="00BA1762" w:rsidRPr="00BC28A9" w:rsidRDefault="009A2A35" w:rsidP="00BA1762">
      <m:oMathPara>
        <m:oMath>
          <m:sSub>
            <m:sSubPr>
              <m:ctrlPr>
                <w:rPr>
                  <w:rFonts w:ascii="Cambria Math" w:hAnsi="Cambria Math"/>
                  <w:i/>
                </w:rPr>
              </m:ctrlPr>
            </m:sSubPr>
            <m:e>
              <m:r>
                <w:rPr>
                  <w:rFonts w:ascii="Cambria Math" w:hAnsi="Cambria Math"/>
                </w:rPr>
                <m:t>C</m:t>
              </m:r>
            </m:e>
            <m:sub>
              <m:r>
                <w:rPr>
                  <w:rFonts w:ascii="Cambria Math" w:hAnsi="Cambria Math"/>
                </w:rPr>
                <m:t>i</m:t>
              </m:r>
            </m:sub>
          </m:sSub>
          <m:d>
            <m:dPr>
              <m:ctrlPr>
                <w:rPr>
                  <w:rFonts w:ascii="Cambria Math" w:hAnsi="Cambria Math"/>
                  <w:i/>
                </w:rPr>
              </m:ctrlPr>
            </m:dPr>
            <m:e>
              <m:r>
                <w:rPr>
                  <w:rFonts w:ascii="Cambria Math" w:hAnsi="Cambria Math"/>
                </w:rPr>
                <m:t>A</m:t>
              </m:r>
            </m:e>
          </m:d>
          <m:r>
            <w:rPr>
              <w:rFonts w:ascii="Cambria Math" w:hAnsi="Cambria Math"/>
            </w:rPr>
            <m:t>=a×b×</m:t>
          </m:r>
          <m:sSup>
            <m:sSupPr>
              <m:ctrlPr>
                <w:rPr>
                  <w:rFonts w:ascii="Cambria Math" w:hAnsi="Cambria Math"/>
                  <w:i/>
                </w:rPr>
              </m:ctrlPr>
            </m:sSupPr>
            <m:e>
              <m:r>
                <w:rPr>
                  <w:rFonts w:ascii="Cambria Math" w:hAnsi="Cambria Math"/>
                </w:rPr>
                <m:t>b</m:t>
              </m:r>
            </m:e>
            <m:sup>
              <m:r>
                <w:rPr>
                  <w:rFonts w:ascii="Cambria Math" w:hAnsi="Cambria Math"/>
                </w:rPr>
                <m:t>r</m:t>
              </m:r>
            </m:sup>
          </m:sSup>
          <m:r>
            <w:rPr>
              <w:rFonts w:ascii="Cambria Math" w:hAnsi="Cambria Math"/>
            </w:rPr>
            <m:t>×</m:t>
          </m:r>
          <m:sSup>
            <m:sSupPr>
              <m:ctrlPr>
                <w:rPr>
                  <w:rFonts w:ascii="Cambria Math" w:hAnsi="Cambria Math"/>
                  <w:i/>
                </w:rPr>
              </m:ctrlPr>
            </m:sSupPr>
            <m:e>
              <m:r>
                <w:rPr>
                  <w:rFonts w:ascii="Cambria Math" w:hAnsi="Cambria Math"/>
                </w:rPr>
                <m:t>b</m:t>
              </m:r>
            </m:e>
            <m:sup>
              <m:sSup>
                <m:sSupPr>
                  <m:ctrlPr>
                    <w:rPr>
                      <w:rFonts w:ascii="Cambria Math" w:hAnsi="Cambria Math"/>
                      <w:i/>
                    </w:rPr>
                  </m:ctrlPr>
                </m:sSupPr>
                <m:e>
                  <m:r>
                    <w:rPr>
                      <w:rFonts w:ascii="Cambria Math" w:hAnsi="Cambria Math"/>
                    </w:rPr>
                    <m:t>r</m:t>
                  </m:r>
                </m:e>
                <m:sup>
                  <m:r>
                    <w:rPr>
                      <w:rFonts w:ascii="Cambria Math" w:hAnsi="Cambria Math"/>
                    </w:rPr>
                    <m:t>2</m:t>
                  </m:r>
                </m:sup>
              </m:sSup>
            </m:sup>
          </m:sSup>
          <m:r>
            <w:rPr>
              <w:rFonts w:ascii="Cambria Math" w:hAnsi="Cambria Math"/>
            </w:rPr>
            <m:t>×…..×</m:t>
          </m:r>
          <m:sSup>
            <m:sSupPr>
              <m:ctrlPr>
                <w:rPr>
                  <w:rFonts w:ascii="Cambria Math" w:hAnsi="Cambria Math"/>
                  <w:i/>
                </w:rPr>
              </m:ctrlPr>
            </m:sSupPr>
            <m:e>
              <m:r>
                <w:rPr>
                  <w:rFonts w:ascii="Cambria Math" w:hAnsi="Cambria Math"/>
                </w:rPr>
                <m:t>b</m:t>
              </m:r>
            </m:e>
            <m:sup>
              <m:sSup>
                <m:sSupPr>
                  <m:ctrlPr>
                    <w:rPr>
                      <w:rFonts w:ascii="Cambria Math" w:hAnsi="Cambria Math"/>
                      <w:i/>
                    </w:rPr>
                  </m:ctrlPr>
                </m:sSupPr>
                <m:e>
                  <m:r>
                    <w:rPr>
                      <w:rFonts w:ascii="Cambria Math" w:hAnsi="Cambria Math"/>
                    </w:rPr>
                    <m:t>r</m:t>
                  </m:r>
                </m:e>
                <m:sup>
                  <m:r>
                    <w:rPr>
                      <w:rFonts w:ascii="Cambria Math" w:hAnsi="Cambria Math"/>
                    </w:rPr>
                    <m:t>i-1</m:t>
                  </m:r>
                </m:sup>
              </m:sSup>
            </m:sup>
          </m:sSup>
          <m:r>
            <w:rPr>
              <w:rFonts w:ascii="Cambria Math" w:hAnsi="Cambria Math"/>
            </w:rPr>
            <m:t>=a×</m:t>
          </m:r>
          <m:sSup>
            <m:sSupPr>
              <m:ctrlPr>
                <w:rPr>
                  <w:rFonts w:ascii="Cambria Math" w:hAnsi="Cambria Math"/>
                  <w:i/>
                </w:rPr>
              </m:ctrlPr>
            </m:sSupPr>
            <m:e>
              <m:r>
                <w:rPr>
                  <w:rFonts w:ascii="Cambria Math" w:hAnsi="Cambria Math"/>
                </w:rPr>
                <m:t>b</m:t>
              </m:r>
            </m:e>
            <m:sup>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r</m:t>
                      </m:r>
                    </m:e>
                    <m:sup>
                      <m:r>
                        <w:rPr>
                          <w:rFonts w:ascii="Cambria Math" w:hAnsi="Cambria Math"/>
                        </w:rPr>
                        <m:t>i</m:t>
                      </m:r>
                    </m:sup>
                  </m:sSup>
                </m:num>
                <m:den>
                  <m:r>
                    <w:rPr>
                      <w:rFonts w:ascii="Cambria Math" w:hAnsi="Cambria Math"/>
                    </w:rPr>
                    <m:t>1-r</m:t>
                  </m:r>
                </m:den>
              </m:f>
            </m:sup>
          </m:sSup>
        </m:oMath>
      </m:oMathPara>
    </w:p>
    <w:p w14:paraId="77A8B6BD" w14:textId="77777777" w:rsidR="00BA1762" w:rsidRPr="00BC28A9" w:rsidRDefault="00BA1762" w:rsidP="00BA1762">
      <w:pPr>
        <w:ind w:left="1644"/>
      </w:pPr>
      <w:r w:rsidRPr="00BC28A9">
        <w:rPr>
          <w:i/>
        </w:rPr>
        <w:t>Where</w:t>
      </w:r>
      <w:r w:rsidRPr="00BC28A9">
        <w:t>:</w:t>
      </w:r>
    </w:p>
    <w:p w14:paraId="1E77621B" w14:textId="77777777" w:rsidR="00BA1762" w:rsidRPr="00BC28A9" w:rsidRDefault="00BA1762" w:rsidP="00BA1762">
      <w:pPr>
        <w:jc w:val="center"/>
      </w:pPr>
      <m:oMathPara>
        <m:oMath>
          <m:r>
            <w:rPr>
              <w:rFonts w:ascii="Cambria Math" w:hAnsi="Cambria Math"/>
            </w:rPr>
            <m:t xml:space="preserve">a=base Cost </m:t>
          </m:r>
          <m:r>
            <m:rPr>
              <m:sty m:val="p"/>
            </m:rPr>
            <w:rPr>
              <w:rFonts w:ascii="Cambria Math" w:hAnsi="Cambria Math"/>
            </w:rPr>
            <w:br/>
          </m:r>
        </m:oMath>
        <m:oMath>
          <m:r>
            <w:rPr>
              <w:rFonts w:ascii="Cambria Math" w:hAnsi="Cambria Math"/>
            </w:rPr>
            <m:t xml:space="preserve">b=change parameter </m:t>
          </m:r>
          <m:r>
            <m:rPr>
              <m:sty m:val="p"/>
            </m:rPr>
            <w:rPr>
              <w:rFonts w:ascii="Cambria Math" w:hAnsi="Cambria Math"/>
            </w:rPr>
            <w:br/>
          </m:r>
        </m:oMath>
        <m:oMath>
          <m:r>
            <w:rPr>
              <w:rFonts w:ascii="Cambria Math" w:hAnsi="Cambria Math"/>
            </w:rPr>
            <m:t>r=decay factor</m:t>
          </m:r>
          <m:r>
            <m:rPr>
              <m:sty m:val="p"/>
            </m:rPr>
            <w:rPr>
              <w:rFonts w:ascii="Cambria Math" w:hAnsi="Cambria Math"/>
            </w:rPr>
            <w:br/>
          </m:r>
        </m:oMath>
        <m:oMath>
          <m:r>
            <w:rPr>
              <w:rFonts w:ascii="Cambria Math" w:hAnsi="Cambria Math"/>
            </w:rPr>
            <m:t>i=number of diagnosis codes</m:t>
          </m:r>
          <m:r>
            <m:rPr>
              <m:sty m:val="p"/>
            </m:rPr>
            <w:br/>
          </m:r>
        </m:oMath>
        <m:oMath>
          <m:r>
            <w:rPr>
              <w:rFonts w:ascii="Cambria Math" w:hAnsi="Cambria Math"/>
            </w:rPr>
            <m:t>A=ADRG</m:t>
          </m:r>
        </m:oMath>
      </m:oMathPara>
    </w:p>
    <w:p w14:paraId="64FB5995" w14:textId="77777777" w:rsidR="00BA1762" w:rsidRDefault="00BA1762" w:rsidP="00BA1762">
      <w:r w:rsidRPr="00BC28A9">
        <w:t xml:space="preserve">A least squares best fit is </w:t>
      </w:r>
      <w:proofErr w:type="spellStart"/>
      <w:r w:rsidRPr="00BC28A9">
        <w:t>utilised</w:t>
      </w:r>
      <w:proofErr w:type="spellEnd"/>
      <w:r w:rsidRPr="00BC28A9">
        <w:t xml:space="preserve"> to determine the optimum parameters for each ADRG geometric mean model. To </w:t>
      </w:r>
      <w:proofErr w:type="spellStart"/>
      <w:r w:rsidRPr="00BC28A9">
        <w:t>minimise</w:t>
      </w:r>
      <w:proofErr w:type="spellEnd"/>
      <w:r w:rsidRPr="00BC28A9">
        <w:t xml:space="preserve"> the influence of high leverage observations the estimation </w:t>
      </w:r>
      <w:r w:rsidRPr="00BC28A9">
        <w:lastRenderedPageBreak/>
        <w:t xml:space="preserve">of </w:t>
      </w:r>
      <m:oMath>
        <m:sSub>
          <m:sSubPr>
            <m:ctrlPr>
              <w:rPr>
                <w:rFonts w:ascii="Cambria Math" w:hAnsi="Cambria Math"/>
                <w:i/>
              </w:rPr>
            </m:ctrlPr>
          </m:sSubPr>
          <m:e>
            <m:r>
              <w:rPr>
                <w:rFonts w:ascii="Cambria Math" w:hAnsi="Cambria Math"/>
              </w:rPr>
              <m:t>C</m:t>
            </m:r>
          </m:e>
          <m:sub>
            <m:r>
              <w:rPr>
                <w:rFonts w:ascii="Cambria Math" w:hAnsi="Cambria Math"/>
              </w:rPr>
              <m:t>i</m:t>
            </m:r>
          </m:sub>
        </m:sSub>
        <m:d>
          <m:dPr>
            <m:ctrlPr>
              <w:rPr>
                <w:rFonts w:ascii="Cambria Math" w:hAnsi="Cambria Math"/>
                <w:i/>
              </w:rPr>
            </m:ctrlPr>
          </m:dPr>
          <m:e>
            <m:r>
              <w:rPr>
                <w:rFonts w:ascii="Cambria Math" w:hAnsi="Cambria Math"/>
              </w:rPr>
              <m:t>A</m:t>
            </m:r>
          </m:e>
        </m:d>
      </m:oMath>
      <w:r w:rsidRPr="00BC28A9">
        <w:t xml:space="preserve"> model parameters are restricted to episodes containing less than or equal to 20 diagnos</w:t>
      </w:r>
      <w:r>
        <w:t>is codes</w:t>
      </w:r>
      <w:r w:rsidRPr="00BC28A9">
        <w:t xml:space="preserve">. </w:t>
      </w:r>
    </w:p>
    <w:p w14:paraId="19A896AD" w14:textId="407BC0F0" w:rsidR="00BA1762" w:rsidRPr="00BC28A9" w:rsidRDefault="00BA1762" w:rsidP="00BA1762">
      <w:r>
        <w:rPr>
          <w:b/>
          <w:bCs/>
        </w:rPr>
        <w:t xml:space="preserve">Table </w:t>
      </w:r>
      <w:r w:rsidRPr="00DE1EAF">
        <w:rPr>
          <w:b/>
          <w:bCs/>
        </w:rPr>
        <w:t>6</w:t>
      </w:r>
      <w:r w:rsidRPr="00BC28A9">
        <w:t xml:space="preserve"> provides a breakdown of the calculations for ADRG B78 </w:t>
      </w:r>
      <w:r w:rsidRPr="00BC28A9">
        <w:rPr>
          <w:i/>
        </w:rPr>
        <w:t>Intracranial Injuries</w:t>
      </w:r>
      <w:r w:rsidRPr="00BC28A9">
        <w:t>, which has assumed the base cost (a) of</w:t>
      </w:r>
      <w:r w:rsidR="0095117D">
        <w:t>$983</w:t>
      </w:r>
      <w:r w:rsidRPr="00BC28A9">
        <w:t>, a change parameter (b) of 1.49 and a decay factor (r) of 90 per cent.</w:t>
      </w:r>
    </w:p>
    <w:p w14:paraId="3D3342D6" w14:textId="77777777" w:rsidR="00BA1762" w:rsidRPr="000D1DE1" w:rsidRDefault="00BA1762" w:rsidP="00283621">
      <w:pPr>
        <w:pStyle w:val="Caption"/>
      </w:pPr>
      <w:bookmarkStart w:id="55" w:name="_Ref536779137"/>
      <w:r w:rsidRPr="000D1DE1">
        <w:t xml:space="preserve">Table </w:t>
      </w:r>
      <w:bookmarkEnd w:id="55"/>
      <w:r w:rsidRPr="000D1DE1">
        <w:t>6: Illustrative example for the geometric mean cost model</w:t>
      </w:r>
    </w:p>
    <w:tbl>
      <w:tblPr>
        <w:tblStyle w:val="ListTable3-Accent11"/>
        <w:tblW w:w="9661" w:type="dxa"/>
        <w:tblLayout w:type="fixed"/>
        <w:tblLook w:val="04A0" w:firstRow="1" w:lastRow="0" w:firstColumn="1" w:lastColumn="0" w:noHBand="0" w:noVBand="1"/>
      </w:tblPr>
      <w:tblGrid>
        <w:gridCol w:w="1838"/>
        <w:gridCol w:w="3821"/>
        <w:gridCol w:w="4002"/>
      </w:tblGrid>
      <w:tr w:rsidR="00552F40" w:rsidRPr="003A12CA" w14:paraId="34E07AD4" w14:textId="77777777" w:rsidTr="00552F40">
        <w:trPr>
          <w:cnfStyle w:val="100000000000" w:firstRow="1" w:lastRow="0" w:firstColumn="0" w:lastColumn="0" w:oddVBand="0" w:evenVBand="0" w:oddHBand="0" w:evenHBand="0" w:firstRowFirstColumn="0" w:firstRowLastColumn="0" w:lastRowFirstColumn="0" w:lastRowLastColumn="0"/>
          <w:trHeight w:val="420"/>
          <w:tblHeader/>
        </w:trPr>
        <w:tc>
          <w:tcPr>
            <w:cnfStyle w:val="001000000100" w:firstRow="0" w:lastRow="0" w:firstColumn="1" w:lastColumn="0" w:oddVBand="0" w:evenVBand="0" w:oddHBand="0" w:evenHBand="0" w:firstRowFirstColumn="1" w:firstRowLastColumn="0" w:lastRowFirstColumn="0" w:lastRowLastColumn="0"/>
            <w:tcW w:w="1838" w:type="dxa"/>
            <w:shd w:val="clear" w:color="auto" w:fill="104F99" w:themeFill="accent2"/>
            <w:vAlign w:val="center"/>
          </w:tcPr>
          <w:p w14:paraId="7297EFC5" w14:textId="77777777" w:rsidR="00BA1762" w:rsidRPr="00C106DB" w:rsidRDefault="00BA1762" w:rsidP="00A36751">
            <w:pPr>
              <w:rPr>
                <w:rFonts w:cs="Arial"/>
                <w:color w:val="FFFFFF" w:themeColor="accent6"/>
                <w:sz w:val="22"/>
                <w:szCs w:val="22"/>
              </w:rPr>
            </w:pPr>
            <w:r w:rsidRPr="00C106DB">
              <w:rPr>
                <w:rFonts w:cs="Arial"/>
                <w:color w:val="FFFFFF" w:themeColor="accent6"/>
                <w:sz w:val="22"/>
                <w:szCs w:val="22"/>
              </w:rPr>
              <w:t>Number of diagnosis codes</w:t>
            </w:r>
          </w:p>
        </w:tc>
        <w:tc>
          <w:tcPr>
            <w:tcW w:w="3821" w:type="dxa"/>
            <w:shd w:val="clear" w:color="auto" w:fill="104F99" w:themeFill="accent2"/>
            <w:vAlign w:val="center"/>
          </w:tcPr>
          <w:p w14:paraId="49D64536" w14:textId="77777777" w:rsidR="00BA1762" w:rsidRPr="00C106DB" w:rsidRDefault="00BA1762" w:rsidP="00A36751">
            <w:pPr>
              <w:cnfStyle w:val="100000000000" w:firstRow="1" w:lastRow="0" w:firstColumn="0" w:lastColumn="0" w:oddVBand="0" w:evenVBand="0" w:oddHBand="0" w:evenHBand="0" w:firstRowFirstColumn="0" w:firstRowLastColumn="0" w:lastRowFirstColumn="0" w:lastRowLastColumn="0"/>
              <w:rPr>
                <w:rFonts w:cs="Arial"/>
                <w:color w:val="FFFFFF" w:themeColor="accent6"/>
                <w:sz w:val="22"/>
                <w:szCs w:val="22"/>
              </w:rPr>
            </w:pPr>
            <w:r w:rsidRPr="00C106DB">
              <w:rPr>
                <w:rFonts w:cs="Arial"/>
                <w:color w:val="FFFFFF" w:themeColor="accent6"/>
                <w:sz w:val="22"/>
                <w:szCs w:val="22"/>
              </w:rPr>
              <w:t>Equation</w:t>
            </w:r>
          </w:p>
        </w:tc>
        <w:tc>
          <w:tcPr>
            <w:tcW w:w="4002" w:type="dxa"/>
            <w:shd w:val="clear" w:color="auto" w:fill="104F99" w:themeFill="accent2"/>
            <w:vAlign w:val="center"/>
          </w:tcPr>
          <w:p w14:paraId="3C2A1125" w14:textId="77777777" w:rsidR="00BA1762" w:rsidRPr="00C106DB" w:rsidRDefault="00BA1762" w:rsidP="00A36751">
            <w:pPr>
              <w:cnfStyle w:val="100000000000" w:firstRow="1" w:lastRow="0" w:firstColumn="0" w:lastColumn="0" w:oddVBand="0" w:evenVBand="0" w:oddHBand="0" w:evenHBand="0" w:firstRowFirstColumn="0" w:firstRowLastColumn="0" w:lastRowFirstColumn="0" w:lastRowLastColumn="0"/>
              <w:rPr>
                <w:rFonts w:cs="Arial"/>
                <w:color w:val="FFFFFF" w:themeColor="accent6"/>
                <w:sz w:val="22"/>
                <w:szCs w:val="22"/>
              </w:rPr>
            </w:pPr>
            <w:r w:rsidRPr="00C106DB">
              <w:rPr>
                <w:rFonts w:cs="Arial"/>
                <w:color w:val="FFFFFF" w:themeColor="accent6"/>
                <w:sz w:val="22"/>
                <w:szCs w:val="22"/>
              </w:rPr>
              <w:t>Interpretation</w:t>
            </w:r>
          </w:p>
        </w:tc>
      </w:tr>
      <w:tr w:rsidR="00BA1762" w:rsidRPr="003A12CA" w14:paraId="38DF60FC" w14:textId="77777777" w:rsidTr="00552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14:paraId="22D4EE4F" w14:textId="77777777" w:rsidR="00BA1762" w:rsidRPr="003A12CA" w:rsidRDefault="00BA1762" w:rsidP="00A36751">
            <w:pPr>
              <w:rPr>
                <w:rFonts w:cs="Arial"/>
                <w:b w:val="0"/>
                <w:sz w:val="22"/>
                <w:szCs w:val="22"/>
              </w:rPr>
            </w:pPr>
            <w:r w:rsidRPr="003A12CA">
              <w:rPr>
                <w:rFonts w:cs="Arial"/>
                <w:sz w:val="22"/>
                <w:szCs w:val="22"/>
              </w:rPr>
              <w:t>1</w:t>
            </w:r>
          </w:p>
        </w:tc>
        <w:tc>
          <w:tcPr>
            <w:tcW w:w="3821" w:type="dxa"/>
            <w:shd w:val="clear" w:color="auto" w:fill="auto"/>
            <w:vAlign w:val="center"/>
          </w:tcPr>
          <w:p w14:paraId="5DC717A0" w14:textId="766F2598" w:rsidR="00BA1762" w:rsidRPr="003A12CA" w:rsidRDefault="009A2A35" w:rsidP="00A36751">
            <w:pPr>
              <w:cnfStyle w:val="000000100000" w:firstRow="0" w:lastRow="0" w:firstColumn="0" w:lastColumn="0" w:oddVBand="0" w:evenVBand="0" w:oddHBand="1" w:evenHBand="0" w:firstRowFirstColumn="0" w:firstRowLastColumn="0" w:lastRowFirstColumn="0" w:lastRowLastColumn="0"/>
              <w:rPr>
                <w:rFonts w:cs="Arial"/>
                <w:sz w:val="22"/>
                <w:szCs w:val="22"/>
              </w:rPr>
            </w:pPr>
            <m:oMathPara>
              <m:oMath>
                <m:sSub>
                  <m:sSubPr>
                    <m:ctrlPr>
                      <w:rPr>
                        <w:rFonts w:ascii="Cambria Math" w:hAnsi="Cambria Math" w:cs="Arial"/>
                        <w:sz w:val="22"/>
                        <w:szCs w:val="22"/>
                      </w:rPr>
                    </m:ctrlPr>
                  </m:sSubPr>
                  <m:e>
                    <m:r>
                      <w:rPr>
                        <w:rFonts w:ascii="Cambria Math" w:hAnsi="Cambria Math" w:cs="Arial"/>
                        <w:sz w:val="22"/>
                        <w:szCs w:val="22"/>
                      </w:rPr>
                      <m:t>C</m:t>
                    </m:r>
                  </m:e>
                  <m:sub>
                    <m:r>
                      <m:rPr>
                        <m:sty m:val="p"/>
                      </m:rPr>
                      <w:rPr>
                        <w:rFonts w:ascii="Cambria Math" w:hAnsi="Cambria Math" w:cs="Arial"/>
                        <w:sz w:val="22"/>
                        <w:szCs w:val="22"/>
                      </w:rPr>
                      <m:t>1</m:t>
                    </m:r>
                  </m:sub>
                </m:sSub>
                <m:r>
                  <m:rPr>
                    <m:sty m:val="p"/>
                  </m:rPr>
                  <w:rPr>
                    <w:rFonts w:ascii="Cambria Math" w:hAnsi="Cambria Math" w:cs="Arial"/>
                    <w:sz w:val="22"/>
                    <w:szCs w:val="22"/>
                  </w:rPr>
                  <m:t>=</m:t>
                </m:r>
                <m:r>
                  <w:rPr>
                    <w:rFonts w:ascii="Cambria Math" w:hAnsi="Cambria Math" w:cs="Arial"/>
                    <w:sz w:val="22"/>
                    <w:szCs w:val="22"/>
                  </w:rPr>
                  <m:t>a</m:t>
                </m:r>
                <m:r>
                  <m:rPr>
                    <m:sty m:val="p"/>
                  </m:rPr>
                  <w:rPr>
                    <w:rFonts w:ascii="Cambria Math" w:hAnsi="Cambria Math" w:cs="Arial"/>
                    <w:sz w:val="22"/>
                    <w:szCs w:val="22"/>
                  </w:rPr>
                  <m:t>×</m:t>
                </m:r>
                <m:r>
                  <w:rPr>
                    <w:rFonts w:ascii="Cambria Math" w:hAnsi="Cambria Math" w:cs="Arial"/>
                    <w:sz w:val="22"/>
                    <w:szCs w:val="22"/>
                  </w:rPr>
                  <m:t>b</m:t>
                </m:r>
                <m:r>
                  <m:rPr>
                    <m:sty m:val="p"/>
                  </m:rPr>
                  <w:rPr>
                    <w:rFonts w:ascii="Cambria Math" w:hAnsi="Cambria Math" w:cs="Arial"/>
                    <w:sz w:val="22"/>
                    <w:szCs w:val="22"/>
                  </w:rPr>
                  <m:t>=</m:t>
                </m:r>
                <m:r>
                  <m:rPr>
                    <m:sty m:val="p"/>
                  </m:rPr>
                  <w:rPr>
                    <w:rFonts w:ascii="Cambria Math" w:hAnsi="Cambria Math" w:cs="Arial"/>
                  </w:rPr>
                  <m:t>$983×1.49=$1,465</m:t>
                </m:r>
              </m:oMath>
            </m:oMathPara>
          </w:p>
        </w:tc>
        <w:tc>
          <w:tcPr>
            <w:tcW w:w="4002" w:type="dxa"/>
            <w:shd w:val="clear" w:color="auto" w:fill="auto"/>
          </w:tcPr>
          <w:p w14:paraId="39E2478B" w14:textId="210234AD" w:rsidR="00BA1762" w:rsidRPr="003A12CA" w:rsidRDefault="00BA1762" w:rsidP="00A36751">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3A12CA">
              <w:rPr>
                <w:rFonts w:cs="Arial"/>
                <w:sz w:val="22"/>
                <w:szCs w:val="22"/>
              </w:rPr>
              <w:t xml:space="preserve">ADRG B78 episodes with one diagnosis code (principal diagnosis) will have an estimated cost of </w:t>
            </w:r>
            <w:r w:rsidR="0095117D" w:rsidRPr="003A12CA">
              <w:rPr>
                <w:rFonts w:cs="Arial"/>
                <w:sz w:val="22"/>
                <w:szCs w:val="22"/>
              </w:rPr>
              <w:t>$1,465</w:t>
            </w:r>
          </w:p>
        </w:tc>
      </w:tr>
      <w:tr w:rsidR="00BA1762" w:rsidRPr="003A12CA" w14:paraId="1C91CF86" w14:textId="77777777" w:rsidTr="00552F40">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14:paraId="6C9873F1" w14:textId="77777777" w:rsidR="00BA1762" w:rsidRPr="003A12CA" w:rsidRDefault="00BA1762" w:rsidP="00A36751">
            <w:pPr>
              <w:rPr>
                <w:rFonts w:cs="Arial"/>
                <w:b w:val="0"/>
                <w:sz w:val="22"/>
                <w:szCs w:val="22"/>
              </w:rPr>
            </w:pPr>
            <w:r w:rsidRPr="003A12CA">
              <w:rPr>
                <w:rFonts w:cs="Arial"/>
                <w:sz w:val="22"/>
                <w:szCs w:val="22"/>
              </w:rPr>
              <w:t>2</w:t>
            </w:r>
          </w:p>
        </w:tc>
        <w:tc>
          <w:tcPr>
            <w:tcW w:w="3821" w:type="dxa"/>
            <w:shd w:val="clear" w:color="auto" w:fill="auto"/>
            <w:vAlign w:val="center"/>
          </w:tcPr>
          <w:p w14:paraId="2FA4E0EF" w14:textId="77777777" w:rsidR="00BA1762" w:rsidRPr="003A12CA" w:rsidRDefault="009A2A35" w:rsidP="00A36751">
            <w:pPr>
              <w:cnfStyle w:val="000000000000" w:firstRow="0" w:lastRow="0" w:firstColumn="0" w:lastColumn="0" w:oddVBand="0" w:evenVBand="0" w:oddHBand="0" w:evenHBand="0" w:firstRowFirstColumn="0" w:firstRowLastColumn="0" w:lastRowFirstColumn="0" w:lastRowLastColumn="0"/>
              <w:rPr>
                <w:rFonts w:cs="Arial"/>
                <w:sz w:val="22"/>
                <w:szCs w:val="22"/>
              </w:rPr>
            </w:pPr>
            <m:oMathPara>
              <m:oMath>
                <m:sSub>
                  <m:sSubPr>
                    <m:ctrlPr>
                      <w:rPr>
                        <w:rFonts w:ascii="Cambria Math" w:hAnsi="Cambria Math" w:cs="Arial"/>
                        <w:sz w:val="22"/>
                        <w:szCs w:val="22"/>
                      </w:rPr>
                    </m:ctrlPr>
                  </m:sSubPr>
                  <m:e>
                    <m:r>
                      <w:rPr>
                        <w:rFonts w:ascii="Cambria Math" w:hAnsi="Cambria Math" w:cs="Arial"/>
                        <w:sz w:val="22"/>
                        <w:szCs w:val="22"/>
                      </w:rPr>
                      <m:t>C</m:t>
                    </m:r>
                  </m:e>
                  <m:sub>
                    <m:r>
                      <m:rPr>
                        <m:sty m:val="p"/>
                      </m:rPr>
                      <w:rPr>
                        <w:rFonts w:ascii="Cambria Math" w:hAnsi="Cambria Math" w:cs="Arial"/>
                        <w:sz w:val="22"/>
                        <w:szCs w:val="22"/>
                      </w:rPr>
                      <m:t>2</m:t>
                    </m:r>
                  </m:sub>
                </m:sSub>
                <m:r>
                  <m:rPr>
                    <m:sty m:val="p"/>
                  </m:rPr>
                  <w:rPr>
                    <w:rFonts w:ascii="Cambria Math" w:hAnsi="Cambria Math" w:cs="Arial"/>
                    <w:sz w:val="22"/>
                    <w:szCs w:val="22"/>
                  </w:rPr>
                  <m:t>=</m:t>
                </m:r>
                <m:r>
                  <w:rPr>
                    <w:rFonts w:ascii="Cambria Math" w:hAnsi="Cambria Math" w:cs="Arial"/>
                    <w:sz w:val="22"/>
                    <w:szCs w:val="22"/>
                  </w:rPr>
                  <m:t>a</m:t>
                </m:r>
                <m:r>
                  <m:rPr>
                    <m:sty m:val="p"/>
                  </m:rPr>
                  <w:rPr>
                    <w:rFonts w:ascii="Cambria Math" w:hAnsi="Cambria Math" w:cs="Arial"/>
                    <w:sz w:val="22"/>
                    <w:szCs w:val="22"/>
                  </w:rPr>
                  <m:t>×</m:t>
                </m:r>
                <m:r>
                  <w:rPr>
                    <w:rFonts w:ascii="Cambria Math" w:hAnsi="Cambria Math" w:cs="Arial"/>
                    <w:sz w:val="22"/>
                    <w:szCs w:val="22"/>
                  </w:rPr>
                  <m:t>b</m:t>
                </m:r>
                <m:r>
                  <m:rPr>
                    <m:sty m:val="p"/>
                  </m:rPr>
                  <w:rPr>
                    <w:rFonts w:ascii="Cambria Math" w:hAnsi="Cambria Math" w:cs="Arial"/>
                    <w:sz w:val="22"/>
                    <w:szCs w:val="22"/>
                  </w:rPr>
                  <m:t>×</m:t>
                </m:r>
                <m:sSup>
                  <m:sSupPr>
                    <m:ctrlPr>
                      <w:rPr>
                        <w:rFonts w:ascii="Cambria Math" w:hAnsi="Cambria Math" w:cs="Arial"/>
                        <w:sz w:val="22"/>
                        <w:szCs w:val="22"/>
                      </w:rPr>
                    </m:ctrlPr>
                  </m:sSupPr>
                  <m:e>
                    <m:r>
                      <w:rPr>
                        <w:rFonts w:ascii="Cambria Math" w:hAnsi="Cambria Math" w:cs="Arial"/>
                        <w:sz w:val="22"/>
                        <w:szCs w:val="22"/>
                      </w:rPr>
                      <m:t>b</m:t>
                    </m:r>
                  </m:e>
                  <m:sup>
                    <m:r>
                      <w:rPr>
                        <w:rFonts w:ascii="Cambria Math" w:hAnsi="Cambria Math" w:cs="Arial"/>
                        <w:sz w:val="22"/>
                        <w:szCs w:val="22"/>
                      </w:rPr>
                      <m:t>r</m:t>
                    </m:r>
                  </m:sup>
                </m:sSup>
              </m:oMath>
            </m:oMathPara>
          </w:p>
          <w:p w14:paraId="6355F861" w14:textId="6CAB9F72" w:rsidR="00BA1762" w:rsidRPr="003A12CA" w:rsidRDefault="00BA1762" w:rsidP="00A36751">
            <w:pPr>
              <w:cnfStyle w:val="000000000000" w:firstRow="0" w:lastRow="0" w:firstColumn="0" w:lastColumn="0" w:oddVBand="0" w:evenVBand="0" w:oddHBand="0" w:evenHBand="0" w:firstRowFirstColumn="0" w:firstRowLastColumn="0" w:lastRowFirstColumn="0" w:lastRowLastColumn="0"/>
              <w:rPr>
                <w:rFonts w:cs="Arial"/>
                <w:sz w:val="22"/>
                <w:szCs w:val="22"/>
              </w:rPr>
            </w:pPr>
            <m:oMathPara>
              <m:oMath>
                <m:r>
                  <m:rPr>
                    <m:sty m:val="p"/>
                  </m:rPr>
                  <w:rPr>
                    <w:rFonts w:ascii="Cambria Math" w:hAnsi="Cambria Math" w:cs="Arial"/>
                    <w:sz w:val="22"/>
                    <w:szCs w:val="22"/>
                  </w:rPr>
                  <m:t>=</m:t>
                </m:r>
                <m:r>
                  <m:rPr>
                    <m:sty m:val="p"/>
                  </m:rPr>
                  <w:rPr>
                    <w:rFonts w:ascii="Cambria Math" w:hAnsi="Cambria Math" w:cs="Arial"/>
                  </w:rPr>
                  <m:t>$983×1.49×</m:t>
                </m:r>
                <m:sSup>
                  <m:sSupPr>
                    <m:ctrlPr>
                      <w:rPr>
                        <w:rFonts w:ascii="Cambria Math" w:hAnsi="Cambria Math" w:cs="Arial"/>
                        <w:sz w:val="22"/>
                        <w:szCs w:val="22"/>
                      </w:rPr>
                    </m:ctrlPr>
                  </m:sSupPr>
                  <m:e>
                    <m:r>
                      <m:rPr>
                        <m:sty m:val="p"/>
                      </m:rPr>
                      <w:rPr>
                        <w:rFonts w:ascii="Cambria Math" w:hAnsi="Cambria Math" w:cs="Arial"/>
                        <w:sz w:val="22"/>
                        <w:szCs w:val="22"/>
                      </w:rPr>
                      <m:t>1.49</m:t>
                    </m:r>
                  </m:e>
                  <m:sup>
                    <m:r>
                      <m:rPr>
                        <m:sty m:val="p"/>
                      </m:rPr>
                      <w:rPr>
                        <w:rFonts w:ascii="Cambria Math" w:hAnsi="Cambria Math" w:cs="Arial"/>
                        <w:sz w:val="22"/>
                        <w:szCs w:val="22"/>
                      </w:rPr>
                      <m:t>0.9</m:t>
                    </m:r>
                  </m:sup>
                </m:sSup>
              </m:oMath>
            </m:oMathPara>
          </w:p>
          <w:p w14:paraId="74268CFB" w14:textId="11AF7577" w:rsidR="00BA1762" w:rsidRPr="003A12CA" w:rsidRDefault="00BA1762" w:rsidP="00A36751">
            <w:pPr>
              <w:cnfStyle w:val="000000000000" w:firstRow="0" w:lastRow="0" w:firstColumn="0" w:lastColumn="0" w:oddVBand="0" w:evenVBand="0" w:oddHBand="0" w:evenHBand="0" w:firstRowFirstColumn="0" w:firstRowLastColumn="0" w:lastRowFirstColumn="0" w:lastRowLastColumn="0"/>
              <w:rPr>
                <w:rFonts w:cs="Arial"/>
                <w:sz w:val="22"/>
                <w:szCs w:val="22"/>
              </w:rPr>
            </w:pPr>
            <m:oMathPara>
              <m:oMath>
                <m:r>
                  <m:rPr>
                    <m:sty m:val="p"/>
                  </m:rPr>
                  <w:rPr>
                    <w:rFonts w:ascii="Cambria Math" w:hAnsi="Cambria Math" w:cs="Arial"/>
                    <w:sz w:val="22"/>
                    <w:szCs w:val="22"/>
                  </w:rPr>
                  <m:t>=</m:t>
                </m:r>
                <m:r>
                  <m:rPr>
                    <m:sty m:val="p"/>
                  </m:rPr>
                  <w:rPr>
                    <w:rFonts w:ascii="Cambria Math" w:hAnsi="Cambria Math" w:cs="Arial"/>
                  </w:rPr>
                  <m:t>$1,465×1.43=$2,097</m:t>
                </m:r>
              </m:oMath>
            </m:oMathPara>
          </w:p>
        </w:tc>
        <w:tc>
          <w:tcPr>
            <w:tcW w:w="4002" w:type="dxa"/>
            <w:shd w:val="clear" w:color="auto" w:fill="auto"/>
          </w:tcPr>
          <w:p w14:paraId="05FB8108" w14:textId="77777777" w:rsidR="00BA1762" w:rsidRPr="003A12CA" w:rsidRDefault="00BA1762" w:rsidP="00A3675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3A12CA">
              <w:rPr>
                <w:rFonts w:cs="Arial"/>
                <w:sz w:val="22"/>
                <w:szCs w:val="22"/>
              </w:rPr>
              <w:t xml:space="preserve">ADRG B78 episodes with two diagnosis codes are estimated to be 43 per cent more expensive than episodes with only a principal diagnosis. </w:t>
            </w:r>
          </w:p>
        </w:tc>
      </w:tr>
      <w:tr w:rsidR="00BA1762" w:rsidRPr="003A12CA" w14:paraId="61DD35B5" w14:textId="77777777" w:rsidTr="00552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14:paraId="20D30353" w14:textId="77777777" w:rsidR="00BA1762" w:rsidRPr="003A12CA" w:rsidRDefault="00BA1762" w:rsidP="00A36751">
            <w:pPr>
              <w:rPr>
                <w:rFonts w:cs="Arial"/>
                <w:b w:val="0"/>
                <w:sz w:val="22"/>
                <w:szCs w:val="22"/>
              </w:rPr>
            </w:pPr>
            <w:r w:rsidRPr="003A12CA">
              <w:rPr>
                <w:rFonts w:cs="Arial"/>
                <w:sz w:val="22"/>
                <w:szCs w:val="22"/>
              </w:rPr>
              <w:t>3</w:t>
            </w:r>
          </w:p>
        </w:tc>
        <w:tc>
          <w:tcPr>
            <w:tcW w:w="3821" w:type="dxa"/>
            <w:shd w:val="clear" w:color="auto" w:fill="auto"/>
            <w:vAlign w:val="center"/>
          </w:tcPr>
          <w:p w14:paraId="5A33511B" w14:textId="77777777" w:rsidR="00BA1762" w:rsidRPr="003A12CA" w:rsidRDefault="009A2A35" w:rsidP="00A36751">
            <w:pPr>
              <w:cnfStyle w:val="000000100000" w:firstRow="0" w:lastRow="0" w:firstColumn="0" w:lastColumn="0" w:oddVBand="0" w:evenVBand="0" w:oddHBand="1" w:evenHBand="0" w:firstRowFirstColumn="0" w:firstRowLastColumn="0" w:lastRowFirstColumn="0" w:lastRowLastColumn="0"/>
              <w:rPr>
                <w:rFonts w:cs="Arial"/>
                <w:sz w:val="22"/>
                <w:szCs w:val="22"/>
              </w:rPr>
            </w:pPr>
            <m:oMathPara>
              <m:oMath>
                <m:sSub>
                  <m:sSubPr>
                    <m:ctrlPr>
                      <w:rPr>
                        <w:rFonts w:ascii="Cambria Math" w:hAnsi="Cambria Math" w:cs="Arial"/>
                        <w:sz w:val="22"/>
                        <w:szCs w:val="22"/>
                      </w:rPr>
                    </m:ctrlPr>
                  </m:sSubPr>
                  <m:e>
                    <m:r>
                      <w:rPr>
                        <w:rFonts w:ascii="Cambria Math" w:hAnsi="Cambria Math" w:cs="Arial"/>
                        <w:sz w:val="22"/>
                        <w:szCs w:val="22"/>
                      </w:rPr>
                      <m:t>C</m:t>
                    </m:r>
                  </m:e>
                  <m:sub>
                    <m:r>
                      <m:rPr>
                        <m:sty m:val="p"/>
                      </m:rPr>
                      <w:rPr>
                        <w:rFonts w:ascii="Cambria Math" w:hAnsi="Cambria Math" w:cs="Arial"/>
                        <w:sz w:val="22"/>
                        <w:szCs w:val="22"/>
                      </w:rPr>
                      <m:t>3</m:t>
                    </m:r>
                  </m:sub>
                </m:sSub>
                <m:r>
                  <m:rPr>
                    <m:sty m:val="p"/>
                  </m:rPr>
                  <w:rPr>
                    <w:rFonts w:ascii="Cambria Math" w:hAnsi="Cambria Math" w:cs="Arial"/>
                    <w:sz w:val="22"/>
                    <w:szCs w:val="22"/>
                  </w:rPr>
                  <m:t>=</m:t>
                </m:r>
                <m:r>
                  <w:rPr>
                    <w:rFonts w:ascii="Cambria Math" w:hAnsi="Cambria Math" w:cs="Arial"/>
                    <w:sz w:val="22"/>
                    <w:szCs w:val="22"/>
                  </w:rPr>
                  <m:t>a</m:t>
                </m:r>
                <m:r>
                  <m:rPr>
                    <m:sty m:val="p"/>
                  </m:rPr>
                  <w:rPr>
                    <w:rFonts w:ascii="Cambria Math" w:hAnsi="Cambria Math" w:cs="Arial"/>
                    <w:sz w:val="22"/>
                    <w:szCs w:val="22"/>
                  </w:rPr>
                  <m:t>×</m:t>
                </m:r>
                <m:r>
                  <w:rPr>
                    <w:rFonts w:ascii="Cambria Math" w:hAnsi="Cambria Math" w:cs="Arial"/>
                    <w:sz w:val="22"/>
                    <w:szCs w:val="22"/>
                  </w:rPr>
                  <m:t>b</m:t>
                </m:r>
                <m:r>
                  <m:rPr>
                    <m:sty m:val="p"/>
                  </m:rPr>
                  <w:rPr>
                    <w:rFonts w:ascii="Cambria Math" w:hAnsi="Cambria Math" w:cs="Arial"/>
                    <w:sz w:val="22"/>
                    <w:szCs w:val="22"/>
                  </w:rPr>
                  <m:t>×</m:t>
                </m:r>
                <m:sSup>
                  <m:sSupPr>
                    <m:ctrlPr>
                      <w:rPr>
                        <w:rFonts w:ascii="Cambria Math" w:hAnsi="Cambria Math" w:cs="Arial"/>
                        <w:sz w:val="22"/>
                        <w:szCs w:val="22"/>
                      </w:rPr>
                    </m:ctrlPr>
                  </m:sSupPr>
                  <m:e>
                    <m:r>
                      <w:rPr>
                        <w:rFonts w:ascii="Cambria Math" w:hAnsi="Cambria Math" w:cs="Arial"/>
                        <w:sz w:val="22"/>
                        <w:szCs w:val="22"/>
                      </w:rPr>
                      <m:t>b</m:t>
                    </m:r>
                  </m:e>
                  <m:sup>
                    <m:r>
                      <w:rPr>
                        <w:rFonts w:ascii="Cambria Math" w:hAnsi="Cambria Math" w:cs="Arial"/>
                        <w:sz w:val="22"/>
                        <w:szCs w:val="22"/>
                      </w:rPr>
                      <m:t>r</m:t>
                    </m:r>
                  </m:sup>
                </m:sSup>
                <m:r>
                  <m:rPr>
                    <m:sty m:val="p"/>
                  </m:rPr>
                  <w:rPr>
                    <w:rFonts w:ascii="Cambria Math" w:hAnsi="Cambria Math" w:cs="Arial"/>
                    <w:sz w:val="22"/>
                    <w:szCs w:val="22"/>
                  </w:rPr>
                  <m:t>×</m:t>
                </m:r>
                <m:sSup>
                  <m:sSupPr>
                    <m:ctrlPr>
                      <w:rPr>
                        <w:rFonts w:ascii="Cambria Math" w:hAnsi="Cambria Math" w:cs="Arial"/>
                        <w:sz w:val="22"/>
                        <w:szCs w:val="22"/>
                      </w:rPr>
                    </m:ctrlPr>
                  </m:sSupPr>
                  <m:e>
                    <m:r>
                      <w:rPr>
                        <w:rFonts w:ascii="Cambria Math" w:hAnsi="Cambria Math" w:cs="Arial"/>
                        <w:sz w:val="22"/>
                        <w:szCs w:val="22"/>
                      </w:rPr>
                      <m:t>b</m:t>
                    </m:r>
                  </m:e>
                  <m:sup>
                    <m:sSup>
                      <m:sSupPr>
                        <m:ctrlPr>
                          <w:rPr>
                            <w:rFonts w:ascii="Cambria Math" w:hAnsi="Cambria Math" w:cs="Arial"/>
                            <w:sz w:val="22"/>
                            <w:szCs w:val="22"/>
                          </w:rPr>
                        </m:ctrlPr>
                      </m:sSupPr>
                      <m:e>
                        <m:r>
                          <w:rPr>
                            <w:rFonts w:ascii="Cambria Math" w:hAnsi="Cambria Math" w:cs="Arial"/>
                          </w:rPr>
                          <m:t>r</m:t>
                        </m:r>
                      </m:e>
                      <m:sup>
                        <m:r>
                          <m:rPr>
                            <m:sty m:val="p"/>
                          </m:rPr>
                          <w:rPr>
                            <w:rFonts w:ascii="Cambria Math" w:hAnsi="Cambria Math" w:cs="Arial"/>
                          </w:rPr>
                          <m:t>2</m:t>
                        </m:r>
                      </m:sup>
                    </m:sSup>
                  </m:sup>
                </m:sSup>
              </m:oMath>
            </m:oMathPara>
          </w:p>
          <w:p w14:paraId="7DBB5D5C" w14:textId="133A12A0" w:rsidR="00BA1762" w:rsidRPr="003A12CA" w:rsidRDefault="00BA1762" w:rsidP="00A36751">
            <w:pPr>
              <w:cnfStyle w:val="000000100000" w:firstRow="0" w:lastRow="0" w:firstColumn="0" w:lastColumn="0" w:oddVBand="0" w:evenVBand="0" w:oddHBand="1" w:evenHBand="0" w:firstRowFirstColumn="0" w:firstRowLastColumn="0" w:lastRowFirstColumn="0" w:lastRowLastColumn="0"/>
              <w:rPr>
                <w:rFonts w:cs="Arial"/>
                <w:sz w:val="22"/>
                <w:szCs w:val="22"/>
              </w:rPr>
            </w:pPr>
            <m:oMathPara>
              <m:oMath>
                <m:r>
                  <m:rPr>
                    <m:sty m:val="p"/>
                  </m:rPr>
                  <w:rPr>
                    <w:rFonts w:ascii="Cambria Math" w:hAnsi="Cambria Math" w:cs="Arial"/>
                    <w:sz w:val="22"/>
                    <w:szCs w:val="22"/>
                  </w:rPr>
                  <m:t>=</m:t>
                </m:r>
                <m:r>
                  <m:rPr>
                    <m:sty m:val="p"/>
                  </m:rPr>
                  <w:rPr>
                    <w:rFonts w:ascii="Cambria Math" w:hAnsi="Cambria Math" w:cs="Arial"/>
                  </w:rPr>
                  <m:t>$983×1.49×</m:t>
                </m:r>
                <m:sSup>
                  <m:sSupPr>
                    <m:ctrlPr>
                      <w:rPr>
                        <w:rFonts w:ascii="Cambria Math" w:hAnsi="Cambria Math" w:cs="Arial"/>
                        <w:sz w:val="22"/>
                        <w:szCs w:val="22"/>
                      </w:rPr>
                    </m:ctrlPr>
                  </m:sSupPr>
                  <m:e>
                    <m:r>
                      <m:rPr>
                        <m:sty m:val="p"/>
                      </m:rPr>
                      <w:rPr>
                        <w:rFonts w:ascii="Cambria Math" w:hAnsi="Cambria Math" w:cs="Arial"/>
                        <w:sz w:val="22"/>
                        <w:szCs w:val="22"/>
                      </w:rPr>
                      <m:t>1.49</m:t>
                    </m:r>
                  </m:e>
                  <m:sup>
                    <m:r>
                      <m:rPr>
                        <m:sty m:val="p"/>
                      </m:rPr>
                      <w:rPr>
                        <w:rFonts w:ascii="Cambria Math" w:hAnsi="Cambria Math" w:cs="Arial"/>
                        <w:sz w:val="22"/>
                        <w:szCs w:val="22"/>
                      </w:rPr>
                      <m:t>0.9</m:t>
                    </m:r>
                  </m:sup>
                </m:sSup>
                <m:r>
                  <m:rPr>
                    <m:sty m:val="p"/>
                  </m:rPr>
                  <w:rPr>
                    <w:rFonts w:ascii="Cambria Math" w:hAnsi="Cambria Math" w:cs="Arial"/>
                    <w:sz w:val="22"/>
                    <w:szCs w:val="22"/>
                  </w:rPr>
                  <m:t>×</m:t>
                </m:r>
                <m:sSup>
                  <m:sSupPr>
                    <m:ctrlPr>
                      <w:rPr>
                        <w:rFonts w:ascii="Cambria Math" w:hAnsi="Cambria Math" w:cs="Arial"/>
                        <w:sz w:val="22"/>
                        <w:szCs w:val="22"/>
                      </w:rPr>
                    </m:ctrlPr>
                  </m:sSupPr>
                  <m:e>
                    <m:r>
                      <m:rPr>
                        <m:sty m:val="p"/>
                      </m:rPr>
                      <w:rPr>
                        <w:rFonts w:ascii="Cambria Math" w:hAnsi="Cambria Math" w:cs="Arial"/>
                        <w:sz w:val="22"/>
                        <w:szCs w:val="22"/>
                      </w:rPr>
                      <m:t>1.49</m:t>
                    </m:r>
                  </m:e>
                  <m:sup>
                    <m:sSup>
                      <m:sSupPr>
                        <m:ctrlPr>
                          <w:rPr>
                            <w:rFonts w:ascii="Cambria Math" w:hAnsi="Cambria Math" w:cs="Arial"/>
                            <w:sz w:val="22"/>
                            <w:szCs w:val="22"/>
                          </w:rPr>
                        </m:ctrlPr>
                      </m:sSupPr>
                      <m:e>
                        <m:r>
                          <m:rPr>
                            <m:sty m:val="p"/>
                          </m:rPr>
                          <w:rPr>
                            <w:rFonts w:ascii="Cambria Math" w:hAnsi="Cambria Math" w:cs="Arial"/>
                          </w:rPr>
                          <m:t>0.9</m:t>
                        </m:r>
                      </m:e>
                      <m:sup>
                        <m:r>
                          <m:rPr>
                            <m:sty m:val="p"/>
                          </m:rPr>
                          <w:rPr>
                            <w:rFonts w:ascii="Cambria Math" w:hAnsi="Cambria Math" w:cs="Arial"/>
                          </w:rPr>
                          <m:t>2</m:t>
                        </m:r>
                      </m:sup>
                    </m:sSup>
                  </m:sup>
                </m:sSup>
              </m:oMath>
            </m:oMathPara>
          </w:p>
          <w:p w14:paraId="17F9897C" w14:textId="515705FA" w:rsidR="00BA1762" w:rsidRPr="003A12CA" w:rsidRDefault="00BA1762" w:rsidP="00A36751">
            <w:pPr>
              <w:cnfStyle w:val="000000100000" w:firstRow="0" w:lastRow="0" w:firstColumn="0" w:lastColumn="0" w:oddVBand="0" w:evenVBand="0" w:oddHBand="1" w:evenHBand="0" w:firstRowFirstColumn="0" w:firstRowLastColumn="0" w:lastRowFirstColumn="0" w:lastRowLastColumn="0"/>
              <w:rPr>
                <w:rFonts w:cs="Arial"/>
                <w:sz w:val="22"/>
                <w:szCs w:val="22"/>
              </w:rPr>
            </w:pPr>
            <m:oMathPara>
              <m:oMath>
                <m:r>
                  <m:rPr>
                    <m:sty m:val="p"/>
                  </m:rPr>
                  <w:rPr>
                    <w:rFonts w:ascii="Cambria Math" w:hAnsi="Cambria Math" w:cs="Arial"/>
                    <w:sz w:val="22"/>
                    <w:szCs w:val="22"/>
                  </w:rPr>
                  <m:t>=</m:t>
                </m:r>
                <m:r>
                  <m:rPr>
                    <m:sty m:val="p"/>
                  </m:rPr>
                  <w:rPr>
                    <w:rFonts w:ascii="Cambria Math" w:hAnsi="Cambria Math" w:cs="Arial"/>
                  </w:rPr>
                  <m:t>$1,465×1.43×1.38=$2,897</m:t>
                </m:r>
              </m:oMath>
            </m:oMathPara>
          </w:p>
        </w:tc>
        <w:tc>
          <w:tcPr>
            <w:tcW w:w="4002" w:type="dxa"/>
            <w:shd w:val="clear" w:color="auto" w:fill="auto"/>
          </w:tcPr>
          <w:p w14:paraId="5B1C25A6" w14:textId="77777777" w:rsidR="00BA1762" w:rsidRPr="003A12CA" w:rsidRDefault="00BA1762" w:rsidP="00A36751">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3A12CA">
              <w:rPr>
                <w:rFonts w:cs="Arial"/>
                <w:sz w:val="22"/>
                <w:szCs w:val="22"/>
              </w:rPr>
              <w:t xml:space="preserve">ADRG B78 episodes with three diagnosis codes are estimated to be 38 per cent more expensive relative to episodes with two diagnosis codes. </w:t>
            </w:r>
          </w:p>
        </w:tc>
      </w:tr>
    </w:tbl>
    <w:p w14:paraId="7E6249E0" w14:textId="7EC6F76F" w:rsidR="00BA1762" w:rsidRDefault="00BA1762" w:rsidP="000D1DE1">
      <w:pPr>
        <w:spacing w:before="120"/>
      </w:pPr>
      <w:r w:rsidRPr="00BC28A9">
        <w:t xml:space="preserve">The above table illustrates the diminishing returns for </w:t>
      </w:r>
      <w:r>
        <w:t>each</w:t>
      </w:r>
      <w:r w:rsidRPr="00BC28A9">
        <w:t xml:space="preserve"> additional diagnosis</w:t>
      </w:r>
      <w:r>
        <w:t xml:space="preserve"> code</w:t>
      </w:r>
      <w:r w:rsidRPr="00BC28A9">
        <w:t xml:space="preserve"> assigned to an episode. Episodes with only one diagnosis </w:t>
      </w:r>
      <w:r>
        <w:t xml:space="preserve">code (i.e., a principal diagnosis code only) </w:t>
      </w:r>
      <w:r w:rsidRPr="00BC28A9">
        <w:t xml:space="preserve">are estimated to be </w:t>
      </w:r>
      <w:r w:rsidR="001F7000">
        <w:t>$1,465</w:t>
      </w:r>
      <w:r w:rsidRPr="00BC28A9">
        <w:t xml:space="preserve">, whilst increasing the diagnosis </w:t>
      </w:r>
      <w:r>
        <w:t xml:space="preserve">code </w:t>
      </w:r>
      <w:r w:rsidRPr="00BC28A9">
        <w:t xml:space="preserve">count to two will increase the cost by 43 per cent, increasing to three by 38 per cent and so on. </w:t>
      </w:r>
      <w:r w:rsidRPr="00DE1EAF">
        <w:rPr>
          <w:b/>
          <w:bCs/>
        </w:rPr>
        <w:t>Figure 1</w:t>
      </w:r>
      <w:r w:rsidRPr="00BC28A9">
        <w:t xml:space="preserve"> provides the actual versus expected cost by number of diagnosis</w:t>
      </w:r>
      <w:r>
        <w:t xml:space="preserve"> codes</w:t>
      </w:r>
      <w:r w:rsidRPr="00BC28A9">
        <w:t xml:space="preserve"> for ADRG B78 episodes over the period 2015</w:t>
      </w:r>
      <w:r w:rsidR="00002CC5" w:rsidRPr="00BC28A9">
        <w:t>–</w:t>
      </w:r>
      <w:r w:rsidRPr="00BC28A9">
        <w:t>16 to 2018</w:t>
      </w:r>
      <w:r w:rsidR="00002CC5" w:rsidRPr="00BC28A9">
        <w:t>–</w:t>
      </w:r>
      <w:r w:rsidRPr="00BC28A9">
        <w:t>19.</w:t>
      </w:r>
    </w:p>
    <w:p w14:paraId="1BB91083" w14:textId="77777777" w:rsidR="00BA1762" w:rsidRDefault="00BA1762" w:rsidP="00BA1762">
      <w:pPr>
        <w:spacing w:after="0" w:line="240" w:lineRule="auto"/>
      </w:pPr>
      <w:r>
        <w:br w:type="page"/>
      </w:r>
    </w:p>
    <w:p w14:paraId="25BB2811" w14:textId="73FA3F4C" w:rsidR="00BA1762" w:rsidRDefault="00BA1762" w:rsidP="00283621">
      <w:pPr>
        <w:pStyle w:val="Caption"/>
      </w:pPr>
      <w:bookmarkStart w:id="56" w:name="_Ref532911771"/>
      <w:r w:rsidRPr="00283621">
        <w:lastRenderedPageBreak/>
        <w:t xml:space="preserve">Figure </w:t>
      </w:r>
      <w:bookmarkEnd w:id="56"/>
      <w:r w:rsidRPr="00283621">
        <w:rPr>
          <w:noProof/>
        </w:rPr>
        <w:t>1</w:t>
      </w:r>
      <w:r w:rsidRPr="00283621">
        <w:t xml:space="preserve"> ADRG B78 </w:t>
      </w:r>
      <w:r w:rsidRPr="00283621">
        <w:rPr>
          <w:i/>
        </w:rPr>
        <w:t>Intracranial Injuries</w:t>
      </w:r>
      <w:r w:rsidRPr="00283621">
        <w:t xml:space="preserve"> actual versus predicted</w:t>
      </w:r>
    </w:p>
    <w:p w14:paraId="625B4B61" w14:textId="613E7E4F" w:rsidR="00283621" w:rsidRPr="00283621" w:rsidRDefault="00283621" w:rsidP="00283621">
      <w:pPr>
        <w:rPr>
          <w:lang w:val="en-AU" w:eastAsia="en-AU"/>
        </w:rPr>
      </w:pPr>
      <w:r>
        <w:rPr>
          <w:noProof/>
          <w:lang w:val="en-AU" w:eastAsia="en-AU"/>
        </w:rPr>
        <w:drawing>
          <wp:inline distT="0" distB="0" distL="0" distR="0" wp14:anchorId="0EC7B50B" wp14:editId="0FAC54D1">
            <wp:extent cx="6437630" cy="4279900"/>
            <wp:effectExtent l="0" t="0" r="127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7630" cy="4279900"/>
                    </a:xfrm>
                    <a:prstGeom prst="rect">
                      <a:avLst/>
                    </a:prstGeom>
                    <a:noFill/>
                  </pic:spPr>
                </pic:pic>
              </a:graphicData>
            </a:graphic>
          </wp:inline>
        </w:drawing>
      </w:r>
    </w:p>
    <w:p w14:paraId="57D1BFD9" w14:textId="4771F755" w:rsidR="00BA1762" w:rsidRPr="000D1DE1" w:rsidRDefault="00BA1762" w:rsidP="00BA1762">
      <w:pPr>
        <w:rPr>
          <w:color w:val="auto"/>
        </w:rPr>
      </w:pPr>
      <w:r w:rsidRPr="000D1DE1">
        <w:rPr>
          <w:b/>
          <w:bCs/>
          <w:color w:val="auto"/>
        </w:rPr>
        <w:t>Figure 2</w:t>
      </w:r>
      <w:r w:rsidRPr="000D1DE1">
        <w:rPr>
          <w:color w:val="auto"/>
        </w:rPr>
        <w:t xml:space="preserve"> provides the distribution of the change parameters and decay factors adopted from the geometric mean cost model. </w:t>
      </w:r>
    </w:p>
    <w:p w14:paraId="24B9C50B" w14:textId="2B555BA0" w:rsidR="00BA1762" w:rsidRPr="000D1DE1" w:rsidRDefault="00BA1762" w:rsidP="00283621">
      <w:pPr>
        <w:pStyle w:val="Caption"/>
      </w:pPr>
      <w:bookmarkStart w:id="57" w:name="_Ref532913422"/>
      <w:r w:rsidRPr="00283621">
        <w:t>Figure 2</w:t>
      </w:r>
      <w:bookmarkEnd w:id="57"/>
      <w:r w:rsidRPr="00283621">
        <w:t>: ADRG distribution of change parameters (b) and decay factors (r)</w:t>
      </w:r>
    </w:p>
    <w:p w14:paraId="05C90F57" w14:textId="3245545C" w:rsidR="00BA1762" w:rsidRPr="00BC28A9" w:rsidRDefault="00283621" w:rsidP="00BA1762">
      <w:r>
        <w:rPr>
          <w:noProof/>
        </w:rPr>
        <w:drawing>
          <wp:inline distT="0" distB="0" distL="0" distR="0" wp14:anchorId="610E6A2D" wp14:editId="67D2A57E">
            <wp:extent cx="6686550" cy="21914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18946" cy="2202113"/>
                    </a:xfrm>
                    <a:prstGeom prst="rect">
                      <a:avLst/>
                    </a:prstGeom>
                    <a:noFill/>
                  </pic:spPr>
                </pic:pic>
              </a:graphicData>
            </a:graphic>
          </wp:inline>
        </w:drawing>
      </w:r>
    </w:p>
    <w:p w14:paraId="0D5E3601" w14:textId="77777777" w:rsidR="00BA1762" w:rsidRPr="00BC28A9" w:rsidRDefault="00BA1762" w:rsidP="000D1DE1">
      <w:r w:rsidRPr="00BC28A9">
        <w:t xml:space="preserve">The above figure illustrates that: </w:t>
      </w:r>
    </w:p>
    <w:p w14:paraId="724A7D15" w14:textId="77777777" w:rsidR="00BA1762" w:rsidRPr="00BC28A9" w:rsidRDefault="00BA1762" w:rsidP="000D1DE1">
      <w:pPr>
        <w:pStyle w:val="ListBullet"/>
        <w:numPr>
          <w:ilvl w:val="0"/>
          <w:numId w:val="17"/>
        </w:numPr>
        <w:spacing w:before="0" w:after="160" w:line="288" w:lineRule="auto"/>
        <w:ind w:left="714" w:hanging="357"/>
      </w:pPr>
      <w:r>
        <w:t>a</w:t>
      </w:r>
      <w:r w:rsidRPr="00BC28A9">
        <w:t>pproximately 49 per cent of the ADRGs have adopted a change parameter between 1.1 and 1.3</w:t>
      </w:r>
      <w:r>
        <w:t>;</w:t>
      </w:r>
      <w:r w:rsidRPr="00BC28A9">
        <w:t xml:space="preserve"> </w:t>
      </w:r>
      <w:r>
        <w:t xml:space="preserve">that is, </w:t>
      </w:r>
      <w:r w:rsidRPr="00BC28A9">
        <w:t>the cost increases from approximately 10 to 30 per cent with each additional diagnosis</w:t>
      </w:r>
      <w:r>
        <w:t xml:space="preserve"> code</w:t>
      </w:r>
      <w:r w:rsidRPr="00BC28A9">
        <w:t xml:space="preserve"> </w:t>
      </w:r>
    </w:p>
    <w:p w14:paraId="2EAD7BBA" w14:textId="77777777" w:rsidR="00BA1762" w:rsidRPr="00BC28A9" w:rsidRDefault="00BA1762" w:rsidP="000D1DE1">
      <w:pPr>
        <w:pStyle w:val="ListBullet"/>
        <w:numPr>
          <w:ilvl w:val="0"/>
          <w:numId w:val="17"/>
        </w:numPr>
        <w:spacing w:before="0" w:after="160" w:line="288" w:lineRule="auto"/>
        <w:ind w:left="714" w:hanging="357"/>
      </w:pPr>
      <w:r>
        <w:lastRenderedPageBreak/>
        <w:t>a</w:t>
      </w:r>
      <w:r w:rsidRPr="00BC28A9">
        <w:t>pproximately 28 per cent of the ADRGs have adopted a decay factor of one. That is, there was no evidence of diminishing return for each additional diagnosis</w:t>
      </w:r>
      <w:r>
        <w:t xml:space="preserve"> code</w:t>
      </w:r>
      <w:r w:rsidRPr="00BC28A9">
        <w:t xml:space="preserve">. </w:t>
      </w:r>
    </w:p>
    <w:p w14:paraId="50705407" w14:textId="77777777" w:rsidR="00BA1762" w:rsidRPr="00BC28A9" w:rsidRDefault="00BA1762" w:rsidP="000D1DE1">
      <w:r w:rsidRPr="00BC28A9">
        <w:t xml:space="preserve">This model provides a prediction of the episode cost based on the ADRG, number of </w:t>
      </w:r>
      <w:r>
        <w:t>diagnosi</w:t>
      </w:r>
      <w:r w:rsidRPr="00BC28A9">
        <w:t>s</w:t>
      </w:r>
      <w:r>
        <w:t xml:space="preserve"> codes</w:t>
      </w:r>
      <w:r w:rsidRPr="00BC28A9">
        <w:t xml:space="preserve"> and the diminishing return for </w:t>
      </w:r>
      <w:r>
        <w:t>each</w:t>
      </w:r>
      <w:r w:rsidRPr="00BC28A9">
        <w:t xml:space="preserve"> additional diagnosis</w:t>
      </w:r>
      <w:r>
        <w:t xml:space="preserve"> code</w:t>
      </w:r>
      <w:r w:rsidRPr="00BC28A9">
        <w:t xml:space="preserve">. The predicted cost for each episode based on the geometric model is then compared to the actual cost to derive the relative DCL weights. </w:t>
      </w:r>
    </w:p>
    <w:p w14:paraId="005478FF" w14:textId="77777777" w:rsidR="00BA1762" w:rsidRPr="00BC28A9" w:rsidRDefault="00BA1762" w:rsidP="00BA1762">
      <w:pPr>
        <w:pStyle w:val="Heading2"/>
        <w:spacing w:before="360" w:after="120" w:line="260" w:lineRule="atLeast"/>
        <w:contextualSpacing/>
      </w:pPr>
      <w:bookmarkStart w:id="58" w:name="_Ref536783341"/>
      <w:bookmarkStart w:id="59" w:name="_Toc100842997"/>
      <w:bookmarkStart w:id="60" w:name="_Toc124657523"/>
      <w:r w:rsidRPr="00BC28A9">
        <w:t>DCL</w:t>
      </w:r>
      <w:bookmarkEnd w:id="58"/>
      <w:bookmarkEnd w:id="59"/>
      <w:bookmarkEnd w:id="60"/>
      <w:r w:rsidRPr="00BC28A9">
        <w:t xml:space="preserve"> </w:t>
      </w:r>
    </w:p>
    <w:p w14:paraId="43B28A0E" w14:textId="77777777" w:rsidR="00BA1762" w:rsidRPr="00BC28A9" w:rsidRDefault="00BA1762" w:rsidP="00BA1762">
      <w:r w:rsidRPr="00BC28A9">
        <w:t xml:space="preserve">The next stage within the complexity model is the estimation of DCL weights which represent the relative costs associated with each diagnosis within the context of a specific ADRG. DCL weights are calculated for every combination of diagnosis and ADRG, which results in approximately 6.8 million different combinations (400 ADRGs multiplied by 17,015 </w:t>
      </w:r>
      <w:r>
        <w:t>valid diagnosis codes</w:t>
      </w:r>
      <w:r w:rsidRPr="00BC28A9">
        <w:t xml:space="preserve">) with values ranging between zero and five. </w:t>
      </w:r>
      <w:r>
        <w:rPr>
          <w:b/>
          <w:bCs/>
        </w:rPr>
        <w:t xml:space="preserve">Figure </w:t>
      </w:r>
      <w:r w:rsidRPr="00DE1EAF">
        <w:rPr>
          <w:b/>
          <w:bCs/>
        </w:rPr>
        <w:t>3</w:t>
      </w:r>
      <w:r w:rsidRPr="00BC28A9">
        <w:t xml:space="preserve"> illustrates the DCL array. </w:t>
      </w:r>
    </w:p>
    <w:p w14:paraId="33671680" w14:textId="77777777" w:rsidR="00BA1762" w:rsidRPr="000D1DE1" w:rsidRDefault="00BA1762" w:rsidP="00283621">
      <w:pPr>
        <w:pStyle w:val="Caption"/>
      </w:pPr>
      <w:bookmarkStart w:id="61" w:name="_Ref531256665"/>
      <w:r w:rsidRPr="000D1DE1">
        <w:t>Figure</w:t>
      </w:r>
      <w:bookmarkEnd w:id="61"/>
      <w:r w:rsidRPr="000D1DE1">
        <w:rPr>
          <w:noProof/>
        </w:rPr>
        <w:t xml:space="preserve"> 3</w:t>
      </w:r>
      <w:r w:rsidRPr="000D1DE1">
        <w:t>: Illustration of DCL array</w:t>
      </w:r>
    </w:p>
    <w:p w14:paraId="14D70571" w14:textId="77777777" w:rsidR="00BA1762" w:rsidRPr="00BC28A9" w:rsidRDefault="00BA1762" w:rsidP="00BA1762">
      <w:r w:rsidRPr="00BC28A9">
        <w:rPr>
          <w:noProof/>
          <w:lang w:val="en-US"/>
        </w:rPr>
        <w:drawing>
          <wp:inline distT="0" distB="0" distL="0" distR="0" wp14:anchorId="5DF85906" wp14:editId="1B7C2308">
            <wp:extent cx="5638800" cy="200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38800" cy="2000250"/>
                    </a:xfrm>
                    <a:prstGeom prst="rect">
                      <a:avLst/>
                    </a:prstGeom>
                  </pic:spPr>
                </pic:pic>
              </a:graphicData>
            </a:graphic>
          </wp:inline>
        </w:drawing>
      </w:r>
    </w:p>
    <w:p w14:paraId="17F88AD5" w14:textId="77777777" w:rsidR="00BA1762" w:rsidRPr="00BC28A9" w:rsidRDefault="00BA1762" w:rsidP="00BA1762">
      <w:pPr>
        <w:pStyle w:val="Heading3"/>
        <w:numPr>
          <w:ilvl w:val="0"/>
          <w:numId w:val="0"/>
        </w:numPr>
      </w:pPr>
      <w:bookmarkStart w:id="62" w:name="_Toc534624607"/>
      <w:bookmarkStart w:id="63" w:name="_Toc124657524"/>
      <w:r w:rsidRPr="00BC28A9">
        <w:t xml:space="preserve">Aggregation </w:t>
      </w:r>
      <w:bookmarkEnd w:id="62"/>
      <w:r w:rsidRPr="00BC28A9">
        <w:t>principles</w:t>
      </w:r>
      <w:bookmarkEnd w:id="63"/>
      <w:r w:rsidRPr="00BC28A9">
        <w:t xml:space="preserve"> </w:t>
      </w:r>
    </w:p>
    <w:p w14:paraId="34F2CB7F" w14:textId="77777777" w:rsidR="00BA1762" w:rsidRPr="00BC28A9" w:rsidRDefault="00BA1762" w:rsidP="00BA1762">
      <w:r w:rsidRPr="00BC28A9">
        <w:t>The level of precision of the DCLs needs to be balanced against sample variation and stability over time</w:t>
      </w:r>
      <w:r>
        <w:t>. To achieve this</w:t>
      </w:r>
      <w:r w:rsidRPr="00BC28A9">
        <w:t>, the in-scope diagnosis codes are combined into coherent diagnosis classes (CDCs) that are based on the medical ADRGs</w:t>
      </w:r>
      <w:r>
        <w:t>. I</w:t>
      </w:r>
      <w:r w:rsidRPr="00BC28A9">
        <w:t xml:space="preserve">n-scope diagnosis codes that </w:t>
      </w:r>
      <w:r>
        <w:t xml:space="preserve">are unacceptable </w:t>
      </w:r>
      <w:r w:rsidRPr="00BC28A9">
        <w:t xml:space="preserve">principal diagnosis </w:t>
      </w:r>
      <w:r>
        <w:t xml:space="preserve">codes, that do not have a </w:t>
      </w:r>
      <w:r w:rsidRPr="00BC28A9">
        <w:t>medical ADRG</w:t>
      </w:r>
      <w:r>
        <w:t>,</w:t>
      </w:r>
      <w:r w:rsidRPr="00BC28A9">
        <w:t xml:space="preserve"> are assigned to a clinically appropriate CDC.</w:t>
      </w:r>
    </w:p>
    <w:p w14:paraId="617590DD" w14:textId="77777777" w:rsidR="00BA1762" w:rsidRPr="00BC28A9" w:rsidRDefault="00BA1762" w:rsidP="00BA1762">
      <w:pPr>
        <w:rPr>
          <w:rFonts w:eastAsiaTheme="minorEastAsia"/>
        </w:rPr>
      </w:pPr>
      <w:r w:rsidRPr="00BC28A9">
        <w:t>The optimum level of precision for the DCL is at the three-character code category within the CDC, provided that there is an adequate sample size (</w:t>
      </w:r>
      <w:proofErr w:type="gramStart"/>
      <w:r w:rsidRPr="00BC28A9">
        <w:t>i.e.</w:t>
      </w:r>
      <w:proofErr w:type="gramEnd"/>
      <w:r w:rsidRPr="00BC28A9">
        <w:rPr>
          <w:rFonts w:eastAsiaTheme="minorEastAsia"/>
        </w:rPr>
        <w:t xml:space="preserve"> all codes that belong to the same three character code category and CDC are assigned the same DCL). If specific combinations of CDC and three-character codes do not meet the sample size threshold of 100 episodes, further aggregation principles are applied </w:t>
      </w:r>
      <w:r>
        <w:rPr>
          <w:rFonts w:eastAsiaTheme="minorEastAsia"/>
        </w:rPr>
        <w:t xml:space="preserve">until </w:t>
      </w:r>
      <w:r w:rsidRPr="00BC28A9">
        <w:rPr>
          <w:rFonts w:eastAsiaTheme="minorEastAsia"/>
        </w:rPr>
        <w:t xml:space="preserve">the sample size threshold is reached. </w:t>
      </w:r>
      <w:r w:rsidRPr="00DE1EAF">
        <w:rPr>
          <w:rFonts w:eastAsiaTheme="minorEastAsia"/>
          <w:b/>
          <w:bCs/>
        </w:rPr>
        <w:t>Table 7</w:t>
      </w:r>
      <w:r w:rsidRPr="00BC28A9">
        <w:rPr>
          <w:rFonts w:eastAsiaTheme="minorEastAsia"/>
        </w:rPr>
        <w:t xml:space="preserve"> illustrates the further aggregation principles applied.</w:t>
      </w:r>
    </w:p>
    <w:p w14:paraId="4EF7C944" w14:textId="77777777" w:rsidR="0023544F" w:rsidRDefault="0023544F">
      <w:pPr>
        <w:spacing w:line="259" w:lineRule="auto"/>
        <w:rPr>
          <w:rFonts w:eastAsia="Times New Roman" w:cs="Times New Roman"/>
          <w:b/>
          <w:bCs/>
          <w:color w:val="auto"/>
          <w:sz w:val="18"/>
          <w:szCs w:val="18"/>
          <w:lang w:val="en-AU" w:eastAsia="en-AU"/>
        </w:rPr>
      </w:pPr>
      <w:bookmarkStart w:id="64" w:name="_Ref536779182"/>
      <w:r>
        <w:br w:type="page"/>
      </w:r>
    </w:p>
    <w:p w14:paraId="7643644B" w14:textId="289749D2" w:rsidR="00BA1762" w:rsidRPr="000D1DE1" w:rsidRDefault="00BA1762" w:rsidP="00283621">
      <w:pPr>
        <w:pStyle w:val="Caption"/>
      </w:pPr>
      <w:r w:rsidRPr="000D1DE1">
        <w:lastRenderedPageBreak/>
        <w:t xml:space="preserve">Table </w:t>
      </w:r>
      <w:bookmarkEnd w:id="64"/>
      <w:r w:rsidRPr="000D1DE1">
        <w:t>7: Aggregation hierarchy for DCL calculations</w:t>
      </w:r>
    </w:p>
    <w:tbl>
      <w:tblPr>
        <w:tblStyle w:val="ListTable3-Accent11"/>
        <w:tblW w:w="9322" w:type="dxa"/>
        <w:tblLook w:val="04A0" w:firstRow="1" w:lastRow="0" w:firstColumn="1" w:lastColumn="0" w:noHBand="0" w:noVBand="1"/>
      </w:tblPr>
      <w:tblGrid>
        <w:gridCol w:w="4077"/>
        <w:gridCol w:w="1134"/>
        <w:gridCol w:w="1417"/>
        <w:gridCol w:w="1276"/>
        <w:gridCol w:w="1418"/>
      </w:tblGrid>
      <w:tr w:rsidR="00552F40" w:rsidRPr="00552F40" w14:paraId="2F5B0A92" w14:textId="77777777" w:rsidTr="00552F40">
        <w:trPr>
          <w:cnfStyle w:val="100000000000" w:firstRow="1" w:lastRow="0" w:firstColumn="0" w:lastColumn="0" w:oddVBand="0" w:evenVBand="0" w:oddHBand="0" w:evenHBand="0" w:firstRowFirstColumn="0" w:firstRowLastColumn="0" w:lastRowFirstColumn="0" w:lastRowLastColumn="0"/>
          <w:trHeight w:val="420"/>
        </w:trPr>
        <w:tc>
          <w:tcPr>
            <w:cnfStyle w:val="001000000100" w:firstRow="0" w:lastRow="0" w:firstColumn="1" w:lastColumn="0" w:oddVBand="0" w:evenVBand="0" w:oddHBand="0" w:evenHBand="0" w:firstRowFirstColumn="1" w:firstRowLastColumn="0" w:lastRowFirstColumn="0" w:lastRowLastColumn="0"/>
            <w:tcW w:w="4077" w:type="dxa"/>
            <w:shd w:val="clear" w:color="auto" w:fill="104F99" w:themeFill="accent2"/>
            <w:vAlign w:val="center"/>
          </w:tcPr>
          <w:p w14:paraId="126B94AC" w14:textId="77777777" w:rsidR="00BA1762" w:rsidRPr="00552F40" w:rsidRDefault="00BA1762" w:rsidP="00A36751">
            <w:pPr>
              <w:rPr>
                <w:color w:val="FFFFFF" w:themeColor="accent6"/>
                <w:sz w:val="22"/>
                <w:szCs w:val="22"/>
              </w:rPr>
            </w:pPr>
            <w:r w:rsidRPr="00552F40">
              <w:rPr>
                <w:color w:val="FFFFFF" w:themeColor="accent6"/>
                <w:sz w:val="22"/>
                <w:szCs w:val="22"/>
              </w:rPr>
              <w:t>Precision Level</w:t>
            </w:r>
          </w:p>
        </w:tc>
        <w:tc>
          <w:tcPr>
            <w:tcW w:w="1134" w:type="dxa"/>
            <w:shd w:val="clear" w:color="auto" w:fill="104F99" w:themeFill="accent2"/>
            <w:vAlign w:val="center"/>
          </w:tcPr>
          <w:p w14:paraId="4433550A" w14:textId="77777777" w:rsidR="00BA1762" w:rsidRPr="00552F40" w:rsidRDefault="00BA1762" w:rsidP="00A36751">
            <w:pPr>
              <w:jc w:val="center"/>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552F40">
              <w:rPr>
                <w:color w:val="FFFFFF" w:themeColor="accent6"/>
                <w:sz w:val="22"/>
                <w:szCs w:val="22"/>
              </w:rPr>
              <w:t>ADRG</w:t>
            </w:r>
          </w:p>
        </w:tc>
        <w:tc>
          <w:tcPr>
            <w:tcW w:w="1417" w:type="dxa"/>
            <w:shd w:val="clear" w:color="auto" w:fill="104F99" w:themeFill="accent2"/>
            <w:vAlign w:val="center"/>
          </w:tcPr>
          <w:p w14:paraId="00523036" w14:textId="77777777" w:rsidR="00BA1762" w:rsidRPr="00552F40" w:rsidRDefault="00BA1762" w:rsidP="00A36751">
            <w:pPr>
              <w:jc w:val="center"/>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552F40">
              <w:rPr>
                <w:color w:val="FFFFFF" w:themeColor="accent6"/>
                <w:sz w:val="22"/>
                <w:szCs w:val="22"/>
              </w:rPr>
              <w:t>MDC by partition</w:t>
            </w:r>
          </w:p>
        </w:tc>
        <w:tc>
          <w:tcPr>
            <w:tcW w:w="1276" w:type="dxa"/>
            <w:shd w:val="clear" w:color="auto" w:fill="104F99" w:themeFill="accent2"/>
            <w:vAlign w:val="center"/>
          </w:tcPr>
          <w:p w14:paraId="6C103758" w14:textId="77777777" w:rsidR="00BA1762" w:rsidRPr="00552F40" w:rsidRDefault="00BA1762" w:rsidP="00A36751">
            <w:pPr>
              <w:jc w:val="center"/>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552F40">
              <w:rPr>
                <w:color w:val="FFFFFF" w:themeColor="accent6"/>
                <w:sz w:val="22"/>
                <w:szCs w:val="22"/>
              </w:rPr>
              <w:t>MDC</w:t>
            </w:r>
          </w:p>
        </w:tc>
        <w:tc>
          <w:tcPr>
            <w:tcW w:w="1418" w:type="dxa"/>
            <w:shd w:val="clear" w:color="auto" w:fill="104F99" w:themeFill="accent2"/>
            <w:vAlign w:val="center"/>
          </w:tcPr>
          <w:p w14:paraId="45281FDC" w14:textId="77777777" w:rsidR="00BA1762" w:rsidRPr="00552F40" w:rsidRDefault="00BA1762" w:rsidP="00A36751">
            <w:pPr>
              <w:jc w:val="center"/>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552F40">
              <w:rPr>
                <w:color w:val="FFFFFF" w:themeColor="accent6"/>
                <w:sz w:val="22"/>
                <w:szCs w:val="22"/>
              </w:rPr>
              <w:t>All ADRGs</w:t>
            </w:r>
          </w:p>
        </w:tc>
      </w:tr>
      <w:tr w:rsidR="00BA1762" w:rsidRPr="00552F40" w14:paraId="16E24A28" w14:textId="77777777" w:rsidTr="00552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vAlign w:val="bottom"/>
          </w:tcPr>
          <w:p w14:paraId="52B16019" w14:textId="77777777" w:rsidR="00BA1762" w:rsidRPr="00552F40" w:rsidRDefault="00BA1762" w:rsidP="00A36751">
            <w:pPr>
              <w:rPr>
                <w:b w:val="0"/>
                <w:sz w:val="22"/>
                <w:szCs w:val="22"/>
              </w:rPr>
            </w:pPr>
            <w:r w:rsidRPr="00552F40">
              <w:rPr>
                <w:b w:val="0"/>
                <w:sz w:val="22"/>
                <w:szCs w:val="22"/>
              </w:rPr>
              <w:t>Three character category within CDC</w:t>
            </w:r>
          </w:p>
        </w:tc>
        <w:tc>
          <w:tcPr>
            <w:tcW w:w="1134" w:type="dxa"/>
            <w:shd w:val="clear" w:color="auto" w:fill="auto"/>
          </w:tcPr>
          <w:p w14:paraId="79C08FD9" w14:textId="078D1802" w:rsidR="00BA1762" w:rsidRPr="00552F40" w:rsidRDefault="00BA1762" w:rsidP="00A36751">
            <w:pPr>
              <w:jc w:val="center"/>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1</w:t>
            </w:r>
          </w:p>
        </w:tc>
        <w:tc>
          <w:tcPr>
            <w:tcW w:w="1417" w:type="dxa"/>
            <w:shd w:val="clear" w:color="auto" w:fill="auto"/>
          </w:tcPr>
          <w:p w14:paraId="6B5B5FD5" w14:textId="77777777" w:rsidR="00BA1762" w:rsidRPr="00552F40" w:rsidRDefault="00BA1762" w:rsidP="00A36751">
            <w:pPr>
              <w:jc w:val="center"/>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6</w:t>
            </w:r>
          </w:p>
        </w:tc>
        <w:tc>
          <w:tcPr>
            <w:tcW w:w="1276" w:type="dxa"/>
            <w:shd w:val="clear" w:color="auto" w:fill="auto"/>
          </w:tcPr>
          <w:p w14:paraId="2B784CB7" w14:textId="77777777" w:rsidR="00BA1762" w:rsidRPr="00552F40" w:rsidRDefault="00BA1762" w:rsidP="00A36751">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418" w:type="dxa"/>
            <w:shd w:val="clear" w:color="auto" w:fill="auto"/>
          </w:tcPr>
          <w:p w14:paraId="4123D655" w14:textId="77777777" w:rsidR="00BA1762" w:rsidRPr="00552F40" w:rsidRDefault="00BA1762" w:rsidP="00A36751">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BA1762" w:rsidRPr="00552F40" w14:paraId="645DF4DE" w14:textId="77777777" w:rsidTr="00552F40">
        <w:tc>
          <w:tcPr>
            <w:cnfStyle w:val="001000000000" w:firstRow="0" w:lastRow="0" w:firstColumn="1" w:lastColumn="0" w:oddVBand="0" w:evenVBand="0" w:oddHBand="0" w:evenHBand="0" w:firstRowFirstColumn="0" w:firstRowLastColumn="0" w:lastRowFirstColumn="0" w:lastRowLastColumn="0"/>
            <w:tcW w:w="4077" w:type="dxa"/>
            <w:shd w:val="clear" w:color="auto" w:fill="auto"/>
            <w:vAlign w:val="bottom"/>
          </w:tcPr>
          <w:p w14:paraId="02439AC1" w14:textId="77777777" w:rsidR="00BA1762" w:rsidRPr="00552F40" w:rsidRDefault="00BA1762" w:rsidP="00A36751">
            <w:pPr>
              <w:rPr>
                <w:b w:val="0"/>
                <w:sz w:val="22"/>
                <w:szCs w:val="22"/>
              </w:rPr>
            </w:pPr>
            <w:r w:rsidRPr="00552F40">
              <w:rPr>
                <w:b w:val="0"/>
                <w:sz w:val="22"/>
                <w:szCs w:val="22"/>
              </w:rPr>
              <w:t xml:space="preserve">Code block within CDC </w:t>
            </w:r>
          </w:p>
        </w:tc>
        <w:tc>
          <w:tcPr>
            <w:tcW w:w="1134" w:type="dxa"/>
            <w:shd w:val="clear" w:color="auto" w:fill="auto"/>
          </w:tcPr>
          <w:p w14:paraId="769496C2" w14:textId="77777777" w:rsidR="00BA1762" w:rsidRPr="00552F40" w:rsidRDefault="00BA1762" w:rsidP="00A36751">
            <w:pPr>
              <w:jc w:val="center"/>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2</w:t>
            </w:r>
          </w:p>
        </w:tc>
        <w:tc>
          <w:tcPr>
            <w:tcW w:w="1417" w:type="dxa"/>
            <w:shd w:val="clear" w:color="auto" w:fill="auto"/>
          </w:tcPr>
          <w:p w14:paraId="3D68769B" w14:textId="04D816D7" w:rsidR="00BA1762" w:rsidRPr="00552F40" w:rsidRDefault="0023544F" w:rsidP="00A36751">
            <w:pPr>
              <w:jc w:val="center"/>
              <w:cnfStyle w:val="000000000000" w:firstRow="0" w:lastRow="0" w:firstColumn="0" w:lastColumn="0" w:oddVBand="0" w:evenVBand="0" w:oddHBand="0" w:evenHBand="0" w:firstRowFirstColumn="0" w:firstRowLastColumn="0" w:lastRowFirstColumn="0" w:lastRowLastColumn="0"/>
              <w:rPr>
                <w:sz w:val="22"/>
                <w:szCs w:val="22"/>
              </w:rPr>
            </w:pPr>
            <w:r w:rsidRPr="00552F40">
              <w:rPr>
                <w:noProof/>
                <w:lang w:val="en-US"/>
              </w:rPr>
              <mc:AlternateContent>
                <mc:Choice Requires="wpg">
                  <w:drawing>
                    <wp:anchor distT="0" distB="0" distL="114300" distR="114300" simplePos="0" relativeHeight="251659264" behindDoc="0" locked="0" layoutInCell="1" allowOverlap="1" wp14:anchorId="0458BA4F" wp14:editId="120BEEF2">
                      <wp:simplePos x="0" y="0"/>
                      <wp:positionH relativeFrom="column">
                        <wp:posOffset>-205105</wp:posOffset>
                      </wp:positionH>
                      <wp:positionV relativeFrom="paragraph">
                        <wp:posOffset>-161925</wp:posOffset>
                      </wp:positionV>
                      <wp:extent cx="2514600" cy="914400"/>
                      <wp:effectExtent l="57150" t="0" r="76200" b="57150"/>
                      <wp:wrapNone/>
                      <wp:docPr id="25" name="Group 25"/>
                      <wp:cNvGraphicFramePr/>
                      <a:graphic xmlns:a="http://schemas.openxmlformats.org/drawingml/2006/main">
                        <a:graphicData uri="http://schemas.microsoft.com/office/word/2010/wordprocessingGroup">
                          <wpg:wgp>
                            <wpg:cNvGrpSpPr/>
                            <wpg:grpSpPr>
                              <a:xfrm>
                                <a:off x="0" y="0"/>
                                <a:ext cx="2514600" cy="914400"/>
                                <a:chOff x="0" y="0"/>
                                <a:chExt cx="2995860" cy="1336693"/>
                              </a:xfrm>
                            </wpg:grpSpPr>
                            <wps:wsp>
                              <wps:cNvPr id="13" name="Straight Arrow Connector 13"/>
                              <wps:cNvCnPr/>
                              <wps:spPr>
                                <a:xfrm>
                                  <a:off x="0" y="21142"/>
                                  <a:ext cx="12700" cy="1295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1125821" y="0"/>
                                  <a:ext cx="12700" cy="1295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2193502" y="898543"/>
                                  <a:ext cx="9525"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2986335" y="893257"/>
                                  <a:ext cx="9525"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flipV="1">
                                  <a:off x="10571" y="0"/>
                                  <a:ext cx="1113121" cy="12954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flipV="1">
                                  <a:off x="1146964" y="909114"/>
                                  <a:ext cx="1046538" cy="380559"/>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flipV="1">
                                  <a:off x="2204074" y="898543"/>
                                  <a:ext cx="783308" cy="417999"/>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3FBC9DA" id="Group 25" o:spid="_x0000_s1026" style="position:absolute;margin-left:-16.15pt;margin-top:-12.75pt;width:198pt;height:1in;z-index:251659264;mso-width-relative:margin;mso-height-relative:margin" coordsize="29958,1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">
                      <v:shapetype id="_x0000_t32" coordsize="21600,21600" o:spt="32" o:oned="t" path="m,l21600,21600e" filled="f">
                        <v:path arrowok="t" fillok="f" o:connecttype="none"/>
                        <o:lock v:ext="edit" shapetype="t"/>
                      </v:shapetype>
                      <v:shape id="Straight Arrow Connector 13" o:spid="_x0000_s1027" type="#_x0000_t32" style="position:absolute;top:211;width:127;height:12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" strokecolor="#15272f [3204]" strokeweight=".5pt">
                        <v:stroke endarrow="block" joinstyle="miter"/>
                      </v:shape>
                      <v:shape id="Straight Arrow Connector 18" o:spid="_x0000_s1028" type="#_x0000_t32" style="position:absolute;left:11258;width:127;height:12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" strokecolor="#15272f [3204]" strokeweight=".5pt">
                        <v:stroke endarrow="block" joinstyle="miter"/>
                      </v:shape>
                      <v:shape id="Straight Arrow Connector 20" o:spid="_x0000_s1029" type="#_x0000_t32" style="position:absolute;left:21935;top:8985;width:95;height:4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" strokecolor="#15272f [3204]" strokeweight=".5pt">
                        <v:stroke endarrow="block" joinstyle="miter"/>
                      </v:shape>
                      <v:shape id="Straight Arrow Connector 21" o:spid="_x0000_s1030" type="#_x0000_t32" style="position:absolute;left:29863;top:8932;width:95;height:4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" strokecolor="#15272f [3204]" strokeweight=".5pt">
                        <v:stroke endarrow="block" joinstyle="miter"/>
                      </v:shape>
                      <v:line id="Straight Connector 22" o:spid="_x0000_s1031" style="position:absolute;flip:y;visibility:visible;mso-wrap-style:square" from="105,0" to="11236,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" strokecolor="#15272f [3204]" strokeweight=".5pt">
                        <v:stroke dashstyle="dash" joinstyle="miter"/>
                      </v:line>
                      <v:line id="Straight Connector 23" o:spid="_x0000_s1032" style="position:absolute;flip:y;visibility:visible;mso-wrap-style:square" from="11469,9091" to="21935,1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" strokecolor="#15272f [3204]" strokeweight=".5pt">
                        <v:stroke dashstyle="dash" joinstyle="miter"/>
                      </v:line>
                      <v:line id="Straight Connector 24" o:spid="_x0000_s1033" style="position:absolute;flip:y;visibility:visible;mso-wrap-style:square" from="22040,8985" to="29873,1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" strokecolor="#15272f [3204]" strokeweight=".5pt">
                        <v:stroke dashstyle="dash" joinstyle="miter"/>
                      </v:line>
                    </v:group>
                  </w:pict>
                </mc:Fallback>
              </mc:AlternateContent>
            </w:r>
            <w:r w:rsidR="00BA1762" w:rsidRPr="00552F40">
              <w:rPr>
                <w:sz w:val="22"/>
                <w:szCs w:val="22"/>
              </w:rPr>
              <w:t>7</w:t>
            </w:r>
          </w:p>
        </w:tc>
        <w:tc>
          <w:tcPr>
            <w:tcW w:w="1276" w:type="dxa"/>
            <w:shd w:val="clear" w:color="auto" w:fill="auto"/>
          </w:tcPr>
          <w:p w14:paraId="6B9AF8E4" w14:textId="77777777" w:rsidR="00BA1762" w:rsidRPr="00552F40" w:rsidRDefault="00BA1762" w:rsidP="00A36751">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418" w:type="dxa"/>
            <w:shd w:val="clear" w:color="auto" w:fill="auto"/>
          </w:tcPr>
          <w:p w14:paraId="334B21D7" w14:textId="77777777" w:rsidR="00BA1762" w:rsidRPr="00552F40" w:rsidRDefault="00BA1762" w:rsidP="00A36751">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BA1762" w:rsidRPr="00552F40" w14:paraId="30AEC813" w14:textId="77777777" w:rsidTr="00552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vAlign w:val="bottom"/>
          </w:tcPr>
          <w:p w14:paraId="0387D898" w14:textId="77777777" w:rsidR="00BA1762" w:rsidRPr="00552F40" w:rsidRDefault="00BA1762" w:rsidP="00A36751">
            <w:pPr>
              <w:rPr>
                <w:b w:val="0"/>
                <w:sz w:val="22"/>
                <w:szCs w:val="22"/>
              </w:rPr>
            </w:pPr>
            <w:r w:rsidRPr="00552F40">
              <w:rPr>
                <w:b w:val="0"/>
                <w:sz w:val="22"/>
                <w:szCs w:val="22"/>
              </w:rPr>
              <w:t>Code section within CDC</w:t>
            </w:r>
          </w:p>
        </w:tc>
        <w:tc>
          <w:tcPr>
            <w:tcW w:w="1134" w:type="dxa"/>
            <w:shd w:val="clear" w:color="auto" w:fill="auto"/>
          </w:tcPr>
          <w:p w14:paraId="0D8D00EF" w14:textId="77777777" w:rsidR="00BA1762" w:rsidRPr="00552F40" w:rsidRDefault="00BA1762" w:rsidP="00A36751">
            <w:pPr>
              <w:jc w:val="center"/>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3</w:t>
            </w:r>
          </w:p>
        </w:tc>
        <w:tc>
          <w:tcPr>
            <w:tcW w:w="1417" w:type="dxa"/>
            <w:shd w:val="clear" w:color="auto" w:fill="auto"/>
          </w:tcPr>
          <w:p w14:paraId="75698FC3" w14:textId="77777777" w:rsidR="00BA1762" w:rsidRPr="00552F40" w:rsidRDefault="00BA1762" w:rsidP="00A36751">
            <w:pPr>
              <w:jc w:val="center"/>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8</w:t>
            </w:r>
          </w:p>
        </w:tc>
        <w:tc>
          <w:tcPr>
            <w:tcW w:w="1276" w:type="dxa"/>
            <w:shd w:val="clear" w:color="auto" w:fill="auto"/>
          </w:tcPr>
          <w:p w14:paraId="6DBD1BDB" w14:textId="77777777" w:rsidR="00BA1762" w:rsidRPr="00552F40" w:rsidRDefault="00BA1762" w:rsidP="00A36751">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418" w:type="dxa"/>
            <w:shd w:val="clear" w:color="auto" w:fill="auto"/>
          </w:tcPr>
          <w:p w14:paraId="0AE28FAE" w14:textId="77777777" w:rsidR="00BA1762" w:rsidRPr="00552F40" w:rsidRDefault="00BA1762" w:rsidP="00A36751">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BA1762" w:rsidRPr="00552F40" w14:paraId="6BC24816" w14:textId="77777777" w:rsidTr="00552F40">
        <w:tc>
          <w:tcPr>
            <w:cnfStyle w:val="001000000000" w:firstRow="0" w:lastRow="0" w:firstColumn="1" w:lastColumn="0" w:oddVBand="0" w:evenVBand="0" w:oddHBand="0" w:evenHBand="0" w:firstRowFirstColumn="0" w:firstRowLastColumn="0" w:lastRowFirstColumn="0" w:lastRowLastColumn="0"/>
            <w:tcW w:w="4077" w:type="dxa"/>
            <w:shd w:val="clear" w:color="auto" w:fill="auto"/>
            <w:vAlign w:val="bottom"/>
          </w:tcPr>
          <w:p w14:paraId="3C3E4DC8" w14:textId="77777777" w:rsidR="00BA1762" w:rsidRPr="00552F40" w:rsidRDefault="00BA1762" w:rsidP="00A36751">
            <w:pPr>
              <w:rPr>
                <w:b w:val="0"/>
                <w:sz w:val="22"/>
                <w:szCs w:val="22"/>
              </w:rPr>
            </w:pPr>
            <w:r w:rsidRPr="00552F40">
              <w:rPr>
                <w:b w:val="0"/>
                <w:sz w:val="22"/>
                <w:szCs w:val="22"/>
              </w:rPr>
              <w:t>Code chapter within CDC</w:t>
            </w:r>
          </w:p>
        </w:tc>
        <w:tc>
          <w:tcPr>
            <w:tcW w:w="1134" w:type="dxa"/>
            <w:shd w:val="clear" w:color="auto" w:fill="auto"/>
          </w:tcPr>
          <w:p w14:paraId="3D3AB312" w14:textId="77777777" w:rsidR="00BA1762" w:rsidRPr="00552F40" w:rsidRDefault="00BA1762" w:rsidP="00A36751">
            <w:pPr>
              <w:jc w:val="center"/>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4</w:t>
            </w:r>
          </w:p>
        </w:tc>
        <w:tc>
          <w:tcPr>
            <w:tcW w:w="1417" w:type="dxa"/>
            <w:shd w:val="clear" w:color="auto" w:fill="auto"/>
          </w:tcPr>
          <w:p w14:paraId="0FF482F9" w14:textId="015173B5" w:rsidR="00BA1762" w:rsidRPr="00552F40" w:rsidRDefault="00BA1762" w:rsidP="00A36751">
            <w:pPr>
              <w:jc w:val="center"/>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9</w:t>
            </w:r>
          </w:p>
        </w:tc>
        <w:tc>
          <w:tcPr>
            <w:tcW w:w="1276" w:type="dxa"/>
            <w:shd w:val="clear" w:color="auto" w:fill="auto"/>
          </w:tcPr>
          <w:p w14:paraId="32513E3C" w14:textId="39EE44F4" w:rsidR="00BA1762" w:rsidRPr="00552F40" w:rsidRDefault="00BA1762" w:rsidP="00A36751">
            <w:pPr>
              <w:jc w:val="center"/>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11</w:t>
            </w:r>
          </w:p>
        </w:tc>
        <w:tc>
          <w:tcPr>
            <w:tcW w:w="1418" w:type="dxa"/>
            <w:shd w:val="clear" w:color="auto" w:fill="auto"/>
          </w:tcPr>
          <w:p w14:paraId="71CD4AFA" w14:textId="77777777" w:rsidR="00BA1762" w:rsidRPr="00552F40" w:rsidRDefault="00BA1762" w:rsidP="00A36751">
            <w:pPr>
              <w:jc w:val="center"/>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13</w:t>
            </w:r>
          </w:p>
        </w:tc>
      </w:tr>
      <w:tr w:rsidR="00BA1762" w:rsidRPr="00552F40" w14:paraId="48F8F112" w14:textId="77777777" w:rsidTr="00552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vAlign w:val="bottom"/>
          </w:tcPr>
          <w:p w14:paraId="17546A28" w14:textId="77777777" w:rsidR="00BA1762" w:rsidRPr="00552F40" w:rsidRDefault="00BA1762" w:rsidP="00A36751">
            <w:pPr>
              <w:rPr>
                <w:b w:val="0"/>
                <w:sz w:val="22"/>
                <w:szCs w:val="22"/>
              </w:rPr>
            </w:pPr>
            <w:r w:rsidRPr="00552F40">
              <w:rPr>
                <w:b w:val="0"/>
                <w:sz w:val="22"/>
                <w:szCs w:val="22"/>
              </w:rPr>
              <w:t>CDC</w:t>
            </w:r>
          </w:p>
        </w:tc>
        <w:tc>
          <w:tcPr>
            <w:tcW w:w="1134" w:type="dxa"/>
            <w:shd w:val="clear" w:color="auto" w:fill="auto"/>
          </w:tcPr>
          <w:p w14:paraId="1C79453E" w14:textId="77777777" w:rsidR="00BA1762" w:rsidRPr="00552F40" w:rsidRDefault="00BA1762" w:rsidP="00A36751">
            <w:pPr>
              <w:jc w:val="center"/>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5</w:t>
            </w:r>
          </w:p>
        </w:tc>
        <w:tc>
          <w:tcPr>
            <w:tcW w:w="1417" w:type="dxa"/>
            <w:shd w:val="clear" w:color="auto" w:fill="auto"/>
          </w:tcPr>
          <w:p w14:paraId="736224A7" w14:textId="77777777" w:rsidR="00BA1762" w:rsidRPr="00552F40" w:rsidRDefault="00BA1762" w:rsidP="00A36751">
            <w:pPr>
              <w:jc w:val="center"/>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10</w:t>
            </w:r>
          </w:p>
        </w:tc>
        <w:tc>
          <w:tcPr>
            <w:tcW w:w="1276" w:type="dxa"/>
            <w:shd w:val="clear" w:color="auto" w:fill="auto"/>
          </w:tcPr>
          <w:p w14:paraId="1724FF4D" w14:textId="77777777" w:rsidR="00BA1762" w:rsidRPr="00552F40" w:rsidRDefault="00BA1762" w:rsidP="00A36751">
            <w:pPr>
              <w:jc w:val="center"/>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12</w:t>
            </w:r>
          </w:p>
        </w:tc>
        <w:tc>
          <w:tcPr>
            <w:tcW w:w="1418" w:type="dxa"/>
            <w:shd w:val="clear" w:color="auto" w:fill="auto"/>
          </w:tcPr>
          <w:p w14:paraId="0162DE5B" w14:textId="77777777" w:rsidR="00BA1762" w:rsidRPr="00552F40" w:rsidRDefault="00BA1762" w:rsidP="00A36751">
            <w:pPr>
              <w:jc w:val="center"/>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14</w:t>
            </w:r>
          </w:p>
        </w:tc>
      </w:tr>
    </w:tbl>
    <w:p w14:paraId="1145193C" w14:textId="77777777" w:rsidR="00BA1762" w:rsidRPr="00BC28A9" w:rsidRDefault="00BA1762" w:rsidP="000D1DE1">
      <w:pPr>
        <w:spacing w:before="120"/>
      </w:pPr>
      <w:r w:rsidRPr="00BC28A9">
        <w:t xml:space="preserve">The above table illustrates that if the first level of precision (three-character code within the CDC within the ADRG) does not meet the sample size criteria of 100 episodes, it progresses to the second level (code block within the CDC within the ADRG). The process continues to the fourteenth level of precision within the CDC across all ADRGs. </w:t>
      </w:r>
    </w:p>
    <w:p w14:paraId="22E5BBA3" w14:textId="77777777" w:rsidR="00BA1762" w:rsidRPr="00BC28A9" w:rsidRDefault="00BA1762" w:rsidP="00BA1762">
      <w:r>
        <w:rPr>
          <w:b/>
          <w:bCs/>
        </w:rPr>
        <w:t xml:space="preserve">Table </w:t>
      </w:r>
      <w:r w:rsidRPr="00DE1EAF">
        <w:rPr>
          <w:b/>
          <w:bCs/>
        </w:rPr>
        <w:t>8</w:t>
      </w:r>
      <w:r w:rsidRPr="00BC28A9">
        <w:t xml:space="preserve"> shows the DCL aggregation profile for AR-DRG V11.0.</w:t>
      </w:r>
    </w:p>
    <w:p w14:paraId="625C0F77" w14:textId="77777777" w:rsidR="00BA1762" w:rsidRPr="000D1DE1" w:rsidRDefault="00BA1762" w:rsidP="00283621">
      <w:pPr>
        <w:pStyle w:val="Caption"/>
      </w:pPr>
      <w:bookmarkStart w:id="65" w:name="_Ref536779217"/>
      <w:r w:rsidRPr="000D1DE1">
        <w:t xml:space="preserve">Table </w:t>
      </w:r>
      <w:bookmarkEnd w:id="65"/>
      <w:r w:rsidRPr="000D1DE1">
        <w:t>8: DCL aggregation profile for AR-DRG V11.0</w:t>
      </w:r>
    </w:p>
    <w:tbl>
      <w:tblPr>
        <w:tblStyle w:val="ListTable3-Accent11"/>
        <w:tblW w:w="9582" w:type="dxa"/>
        <w:tblLook w:val="04A0" w:firstRow="1" w:lastRow="0" w:firstColumn="1" w:lastColumn="0" w:noHBand="0" w:noVBand="1"/>
      </w:tblPr>
      <w:tblGrid>
        <w:gridCol w:w="3912"/>
        <w:gridCol w:w="1134"/>
        <w:gridCol w:w="1134"/>
        <w:gridCol w:w="1134"/>
        <w:gridCol w:w="1134"/>
        <w:gridCol w:w="1134"/>
      </w:tblGrid>
      <w:tr w:rsidR="008873A8" w:rsidRPr="00552F40" w14:paraId="1D41FE2F" w14:textId="77777777" w:rsidTr="00552F40">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3912" w:type="dxa"/>
            <w:shd w:val="clear" w:color="auto" w:fill="104F99" w:themeFill="accent2"/>
            <w:hideMark/>
          </w:tcPr>
          <w:p w14:paraId="00CA2B5D" w14:textId="77777777" w:rsidR="00BA1762" w:rsidRPr="00552F40" w:rsidRDefault="00BA1762" w:rsidP="00A36751">
            <w:pPr>
              <w:spacing w:before="80" w:after="80" w:line="240" w:lineRule="auto"/>
              <w:rPr>
                <w:rFonts w:cs="Arial"/>
                <w:color w:val="FFFFFF" w:themeColor="accent6"/>
                <w:sz w:val="22"/>
                <w:szCs w:val="22"/>
              </w:rPr>
            </w:pPr>
            <w:r w:rsidRPr="00552F40">
              <w:rPr>
                <w:rFonts w:cs="Arial"/>
                <w:color w:val="FFFFFF" w:themeColor="accent6"/>
                <w:sz w:val="22"/>
                <w:szCs w:val="22"/>
              </w:rPr>
              <w:t>Precision Level</w:t>
            </w:r>
          </w:p>
        </w:tc>
        <w:tc>
          <w:tcPr>
            <w:tcW w:w="1134" w:type="dxa"/>
            <w:shd w:val="clear" w:color="auto" w:fill="104F99" w:themeFill="accent2"/>
            <w:hideMark/>
          </w:tcPr>
          <w:p w14:paraId="66EE4E2C" w14:textId="77777777" w:rsidR="00BA1762" w:rsidRPr="00552F40" w:rsidRDefault="00BA1762" w:rsidP="00A36751">
            <w:pPr>
              <w:spacing w:before="80" w:after="80"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themeColor="accent6"/>
                <w:sz w:val="22"/>
                <w:szCs w:val="22"/>
              </w:rPr>
            </w:pPr>
            <w:r w:rsidRPr="00552F40">
              <w:rPr>
                <w:rFonts w:cs="Arial"/>
                <w:color w:val="FFFFFF" w:themeColor="accent6"/>
                <w:sz w:val="22"/>
                <w:szCs w:val="22"/>
              </w:rPr>
              <w:t>ADRG</w:t>
            </w:r>
          </w:p>
        </w:tc>
        <w:tc>
          <w:tcPr>
            <w:tcW w:w="1134" w:type="dxa"/>
            <w:shd w:val="clear" w:color="auto" w:fill="104F99" w:themeFill="accent2"/>
            <w:hideMark/>
          </w:tcPr>
          <w:p w14:paraId="5F39E173" w14:textId="77777777" w:rsidR="00BA1762" w:rsidRPr="00552F40" w:rsidRDefault="00BA1762" w:rsidP="00A36751">
            <w:pPr>
              <w:spacing w:before="80" w:after="80"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themeColor="accent6"/>
                <w:sz w:val="22"/>
                <w:szCs w:val="22"/>
              </w:rPr>
            </w:pPr>
            <w:r w:rsidRPr="00552F40">
              <w:rPr>
                <w:rFonts w:cs="Arial"/>
                <w:color w:val="FFFFFF" w:themeColor="accent6"/>
                <w:sz w:val="22"/>
                <w:szCs w:val="22"/>
              </w:rPr>
              <w:t>MDC by Partition</w:t>
            </w:r>
          </w:p>
        </w:tc>
        <w:tc>
          <w:tcPr>
            <w:tcW w:w="1134" w:type="dxa"/>
            <w:shd w:val="clear" w:color="auto" w:fill="104F99" w:themeFill="accent2"/>
            <w:hideMark/>
          </w:tcPr>
          <w:p w14:paraId="4A8ADA8F" w14:textId="77777777" w:rsidR="00BA1762" w:rsidRPr="00552F40" w:rsidRDefault="00BA1762" w:rsidP="00A36751">
            <w:pPr>
              <w:spacing w:before="80" w:after="80"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themeColor="accent6"/>
                <w:sz w:val="22"/>
                <w:szCs w:val="22"/>
              </w:rPr>
            </w:pPr>
            <w:r w:rsidRPr="00552F40">
              <w:rPr>
                <w:rFonts w:cs="Arial"/>
                <w:color w:val="FFFFFF" w:themeColor="accent6"/>
                <w:sz w:val="22"/>
                <w:szCs w:val="22"/>
              </w:rPr>
              <w:t>MDC</w:t>
            </w:r>
          </w:p>
        </w:tc>
        <w:tc>
          <w:tcPr>
            <w:tcW w:w="1134" w:type="dxa"/>
            <w:shd w:val="clear" w:color="auto" w:fill="104F99" w:themeFill="accent2"/>
            <w:hideMark/>
          </w:tcPr>
          <w:p w14:paraId="4BEF7B5D" w14:textId="77777777" w:rsidR="00BA1762" w:rsidRPr="00552F40" w:rsidRDefault="00BA1762" w:rsidP="00A36751">
            <w:pPr>
              <w:spacing w:before="80" w:after="80"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themeColor="accent6"/>
                <w:sz w:val="22"/>
                <w:szCs w:val="22"/>
              </w:rPr>
            </w:pPr>
            <w:r w:rsidRPr="00552F40">
              <w:rPr>
                <w:rFonts w:cs="Arial"/>
                <w:color w:val="FFFFFF" w:themeColor="accent6"/>
                <w:sz w:val="22"/>
                <w:szCs w:val="22"/>
              </w:rPr>
              <w:t>All ADRGs</w:t>
            </w:r>
          </w:p>
        </w:tc>
        <w:tc>
          <w:tcPr>
            <w:tcW w:w="1134" w:type="dxa"/>
            <w:shd w:val="clear" w:color="auto" w:fill="104F99" w:themeFill="accent2"/>
            <w:hideMark/>
          </w:tcPr>
          <w:p w14:paraId="3D5C6957" w14:textId="77777777" w:rsidR="00BA1762" w:rsidRPr="00552F40" w:rsidRDefault="00BA1762" w:rsidP="00A36751">
            <w:pPr>
              <w:spacing w:before="80" w:after="80"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themeColor="accent6"/>
                <w:sz w:val="22"/>
                <w:szCs w:val="22"/>
              </w:rPr>
            </w:pPr>
            <w:r w:rsidRPr="00552F40">
              <w:rPr>
                <w:rFonts w:cs="Arial"/>
                <w:color w:val="FFFFFF" w:themeColor="accent6"/>
                <w:sz w:val="22"/>
                <w:szCs w:val="22"/>
              </w:rPr>
              <w:t>Total</w:t>
            </w:r>
          </w:p>
        </w:tc>
      </w:tr>
      <w:tr w:rsidR="008873A8" w:rsidRPr="00552F40" w14:paraId="70956229" w14:textId="77777777" w:rsidTr="00552F4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912" w:type="dxa"/>
            <w:shd w:val="clear" w:color="auto" w:fill="auto"/>
            <w:vAlign w:val="center"/>
            <w:hideMark/>
          </w:tcPr>
          <w:p w14:paraId="07C100CF" w14:textId="77777777" w:rsidR="00BA1762" w:rsidRPr="00552F40" w:rsidRDefault="00BA1762" w:rsidP="00A36751">
            <w:pPr>
              <w:spacing w:line="240" w:lineRule="auto"/>
              <w:rPr>
                <w:rFonts w:cs="Arial"/>
                <w:b w:val="0"/>
                <w:color w:val="000000"/>
                <w:sz w:val="22"/>
                <w:szCs w:val="22"/>
                <w:lang w:eastAsia="en-US"/>
              </w:rPr>
            </w:pPr>
            <w:r w:rsidRPr="00552F40">
              <w:rPr>
                <w:rFonts w:cs="Arial"/>
                <w:b w:val="0"/>
                <w:color w:val="000000"/>
                <w:sz w:val="22"/>
                <w:szCs w:val="22"/>
                <w:lang w:eastAsia="en-US"/>
              </w:rPr>
              <w:t>Three Character category within CDC</w:t>
            </w:r>
          </w:p>
        </w:tc>
        <w:tc>
          <w:tcPr>
            <w:tcW w:w="1134" w:type="dxa"/>
            <w:shd w:val="clear" w:color="auto" w:fill="auto"/>
            <w:vAlign w:val="center"/>
            <w:hideMark/>
          </w:tcPr>
          <w:p w14:paraId="1248AD5D" w14:textId="320F5D4E" w:rsidR="00BA1762" w:rsidRPr="00552F40" w:rsidRDefault="008873A8" w:rsidP="00A36751">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 w:val="22"/>
                <w:szCs w:val="22"/>
                <w:lang w:eastAsia="en-US"/>
              </w:rPr>
            </w:pPr>
            <w:r>
              <w:rPr>
                <w:rFonts w:cs="Arial"/>
                <w:color w:val="000000"/>
                <w:sz w:val="22"/>
                <w:szCs w:val="22"/>
                <w:lang w:eastAsia="en-US"/>
              </w:rPr>
              <w:t>4.21%</w:t>
            </w:r>
          </w:p>
        </w:tc>
        <w:tc>
          <w:tcPr>
            <w:tcW w:w="1134" w:type="dxa"/>
            <w:shd w:val="clear" w:color="auto" w:fill="auto"/>
            <w:vAlign w:val="center"/>
            <w:hideMark/>
          </w:tcPr>
          <w:p w14:paraId="092F8A0D" w14:textId="127B361B" w:rsidR="00BA1762" w:rsidRPr="00552F40" w:rsidRDefault="008873A8" w:rsidP="00A36751">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 w:val="22"/>
                <w:szCs w:val="22"/>
                <w:lang w:eastAsia="en-US"/>
              </w:rPr>
            </w:pPr>
            <w:r>
              <w:rPr>
                <w:rFonts w:cs="Arial"/>
                <w:color w:val="000000"/>
                <w:sz w:val="22"/>
                <w:szCs w:val="22"/>
                <w:lang w:eastAsia="en-US"/>
              </w:rPr>
              <w:t>12.12%</w:t>
            </w:r>
          </w:p>
        </w:tc>
        <w:tc>
          <w:tcPr>
            <w:tcW w:w="1134" w:type="dxa"/>
            <w:shd w:val="clear" w:color="auto" w:fill="auto"/>
            <w:vAlign w:val="center"/>
            <w:hideMark/>
          </w:tcPr>
          <w:p w14:paraId="7FCFD036" w14:textId="77777777" w:rsidR="00BA1762" w:rsidRPr="00552F40" w:rsidRDefault="00BA1762" w:rsidP="00A36751">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 w:val="22"/>
                <w:szCs w:val="22"/>
                <w:lang w:eastAsia="en-US"/>
              </w:rPr>
            </w:pPr>
            <w:r w:rsidRPr="00552F40">
              <w:rPr>
                <w:rFonts w:cs="Arial"/>
                <w:color w:val="000000"/>
                <w:sz w:val="22"/>
                <w:szCs w:val="22"/>
                <w:lang w:eastAsia="en-US"/>
              </w:rPr>
              <w:t> </w:t>
            </w:r>
          </w:p>
        </w:tc>
        <w:tc>
          <w:tcPr>
            <w:tcW w:w="1134" w:type="dxa"/>
            <w:shd w:val="clear" w:color="auto" w:fill="auto"/>
            <w:vAlign w:val="center"/>
            <w:hideMark/>
          </w:tcPr>
          <w:p w14:paraId="6273B05C" w14:textId="77777777" w:rsidR="00BA1762" w:rsidRPr="00552F40" w:rsidRDefault="00BA1762" w:rsidP="00A36751">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 w:val="22"/>
                <w:szCs w:val="22"/>
                <w:lang w:eastAsia="en-US"/>
              </w:rPr>
            </w:pPr>
            <w:r w:rsidRPr="00552F40">
              <w:rPr>
                <w:rFonts w:cs="Arial"/>
                <w:color w:val="000000"/>
                <w:sz w:val="22"/>
                <w:szCs w:val="22"/>
                <w:lang w:eastAsia="en-US"/>
              </w:rPr>
              <w:t> </w:t>
            </w:r>
          </w:p>
        </w:tc>
        <w:tc>
          <w:tcPr>
            <w:tcW w:w="1134" w:type="dxa"/>
            <w:shd w:val="clear" w:color="auto" w:fill="auto"/>
            <w:vAlign w:val="center"/>
            <w:hideMark/>
          </w:tcPr>
          <w:p w14:paraId="0B41A64C" w14:textId="1BD76933" w:rsidR="00BA1762" w:rsidRPr="00552F40" w:rsidRDefault="008873A8" w:rsidP="00A36751">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b/>
                <w:color w:val="000000"/>
                <w:sz w:val="22"/>
                <w:szCs w:val="22"/>
                <w:lang w:eastAsia="en-US"/>
              </w:rPr>
            </w:pPr>
            <w:r>
              <w:rPr>
                <w:rFonts w:cs="Arial"/>
                <w:b/>
                <w:color w:val="000000"/>
                <w:sz w:val="22"/>
                <w:szCs w:val="22"/>
                <w:lang w:eastAsia="en-US"/>
              </w:rPr>
              <w:t>16.32%</w:t>
            </w:r>
          </w:p>
        </w:tc>
      </w:tr>
      <w:tr w:rsidR="008873A8" w:rsidRPr="00552F40" w14:paraId="1A662D1E" w14:textId="77777777" w:rsidTr="00552F40">
        <w:trPr>
          <w:trHeight w:val="315"/>
        </w:trPr>
        <w:tc>
          <w:tcPr>
            <w:cnfStyle w:val="001000000000" w:firstRow="0" w:lastRow="0" w:firstColumn="1" w:lastColumn="0" w:oddVBand="0" w:evenVBand="0" w:oddHBand="0" w:evenHBand="0" w:firstRowFirstColumn="0" w:firstRowLastColumn="0" w:lastRowFirstColumn="0" w:lastRowLastColumn="0"/>
            <w:tcW w:w="3912" w:type="dxa"/>
            <w:shd w:val="clear" w:color="auto" w:fill="auto"/>
            <w:vAlign w:val="center"/>
            <w:hideMark/>
          </w:tcPr>
          <w:p w14:paraId="2DE3B3B6" w14:textId="77777777" w:rsidR="00BA1762" w:rsidRPr="00552F40" w:rsidRDefault="00BA1762" w:rsidP="00A36751">
            <w:pPr>
              <w:spacing w:line="240" w:lineRule="auto"/>
              <w:rPr>
                <w:rFonts w:cs="Arial"/>
                <w:b w:val="0"/>
                <w:color w:val="000000"/>
                <w:sz w:val="22"/>
                <w:szCs w:val="22"/>
                <w:lang w:eastAsia="en-US"/>
              </w:rPr>
            </w:pPr>
            <w:r w:rsidRPr="00552F40">
              <w:rPr>
                <w:rFonts w:cs="Arial"/>
                <w:b w:val="0"/>
                <w:color w:val="000000"/>
                <w:sz w:val="22"/>
                <w:szCs w:val="22"/>
                <w:lang w:eastAsia="en-US"/>
              </w:rPr>
              <w:t xml:space="preserve">Code Block within CDC </w:t>
            </w:r>
          </w:p>
        </w:tc>
        <w:tc>
          <w:tcPr>
            <w:tcW w:w="1134" w:type="dxa"/>
            <w:shd w:val="clear" w:color="auto" w:fill="auto"/>
            <w:vAlign w:val="center"/>
            <w:hideMark/>
          </w:tcPr>
          <w:p w14:paraId="1372077D" w14:textId="31EB96A1" w:rsidR="00BA1762" w:rsidRPr="00552F40" w:rsidRDefault="008873A8" w:rsidP="00A36751">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 w:val="22"/>
                <w:szCs w:val="22"/>
                <w:lang w:eastAsia="en-US"/>
              </w:rPr>
            </w:pPr>
            <w:r>
              <w:rPr>
                <w:rFonts w:cs="Arial"/>
                <w:color w:val="000000"/>
                <w:sz w:val="22"/>
                <w:szCs w:val="22"/>
                <w:lang w:eastAsia="en-US"/>
              </w:rPr>
              <w:t>8.41%</w:t>
            </w:r>
          </w:p>
        </w:tc>
        <w:tc>
          <w:tcPr>
            <w:tcW w:w="1134" w:type="dxa"/>
            <w:shd w:val="clear" w:color="auto" w:fill="auto"/>
            <w:vAlign w:val="center"/>
            <w:hideMark/>
          </w:tcPr>
          <w:p w14:paraId="18960CFF" w14:textId="35FE74CE" w:rsidR="00BA1762" w:rsidRPr="00552F40" w:rsidRDefault="008873A8" w:rsidP="00A36751">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 w:val="22"/>
                <w:szCs w:val="22"/>
                <w:lang w:eastAsia="en-US"/>
              </w:rPr>
            </w:pPr>
            <w:r>
              <w:rPr>
                <w:rFonts w:cs="Arial"/>
                <w:color w:val="000000"/>
                <w:sz w:val="22"/>
                <w:szCs w:val="22"/>
                <w:lang w:eastAsia="en-US"/>
              </w:rPr>
              <w:t>13.34%</w:t>
            </w:r>
          </w:p>
        </w:tc>
        <w:tc>
          <w:tcPr>
            <w:tcW w:w="1134" w:type="dxa"/>
            <w:shd w:val="clear" w:color="auto" w:fill="auto"/>
            <w:vAlign w:val="center"/>
            <w:hideMark/>
          </w:tcPr>
          <w:p w14:paraId="4F7D4A28" w14:textId="77777777" w:rsidR="00BA1762" w:rsidRPr="00552F40" w:rsidRDefault="00BA1762" w:rsidP="00A36751">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 w:val="22"/>
                <w:szCs w:val="22"/>
                <w:lang w:eastAsia="en-US"/>
              </w:rPr>
            </w:pPr>
            <w:r w:rsidRPr="00552F40">
              <w:rPr>
                <w:rFonts w:cs="Arial"/>
                <w:color w:val="000000"/>
                <w:sz w:val="22"/>
                <w:szCs w:val="22"/>
                <w:lang w:eastAsia="en-US"/>
              </w:rPr>
              <w:t> </w:t>
            </w:r>
          </w:p>
        </w:tc>
        <w:tc>
          <w:tcPr>
            <w:tcW w:w="1134" w:type="dxa"/>
            <w:shd w:val="clear" w:color="auto" w:fill="auto"/>
            <w:vAlign w:val="center"/>
            <w:hideMark/>
          </w:tcPr>
          <w:p w14:paraId="1492D13A" w14:textId="77777777" w:rsidR="00BA1762" w:rsidRPr="00552F40" w:rsidRDefault="00BA1762" w:rsidP="00A36751">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 w:val="22"/>
                <w:szCs w:val="22"/>
                <w:lang w:eastAsia="en-US"/>
              </w:rPr>
            </w:pPr>
            <w:r w:rsidRPr="00552F40">
              <w:rPr>
                <w:rFonts w:cs="Arial"/>
                <w:color w:val="000000"/>
                <w:sz w:val="22"/>
                <w:szCs w:val="22"/>
                <w:lang w:eastAsia="en-US"/>
              </w:rPr>
              <w:t> </w:t>
            </w:r>
          </w:p>
        </w:tc>
        <w:tc>
          <w:tcPr>
            <w:tcW w:w="1134" w:type="dxa"/>
            <w:shd w:val="clear" w:color="auto" w:fill="auto"/>
            <w:vAlign w:val="center"/>
            <w:hideMark/>
          </w:tcPr>
          <w:p w14:paraId="5F7158BD" w14:textId="7DD3E643" w:rsidR="00BA1762" w:rsidRPr="00552F40" w:rsidRDefault="008873A8" w:rsidP="00A36751">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b/>
                <w:color w:val="000000"/>
                <w:sz w:val="22"/>
                <w:szCs w:val="22"/>
                <w:lang w:eastAsia="en-US"/>
              </w:rPr>
            </w:pPr>
            <w:r>
              <w:rPr>
                <w:rFonts w:cs="Arial"/>
                <w:b/>
                <w:color w:val="000000"/>
                <w:sz w:val="22"/>
                <w:szCs w:val="22"/>
                <w:lang w:eastAsia="en-US"/>
              </w:rPr>
              <w:t>21.75%</w:t>
            </w:r>
          </w:p>
        </w:tc>
      </w:tr>
      <w:tr w:rsidR="008873A8" w:rsidRPr="00552F40" w14:paraId="019F5A11" w14:textId="77777777" w:rsidTr="00552F4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12" w:type="dxa"/>
            <w:shd w:val="clear" w:color="auto" w:fill="auto"/>
            <w:vAlign w:val="center"/>
            <w:hideMark/>
          </w:tcPr>
          <w:p w14:paraId="5CDDA54C" w14:textId="77777777" w:rsidR="00BA1762" w:rsidRPr="00552F40" w:rsidRDefault="00BA1762" w:rsidP="00A36751">
            <w:pPr>
              <w:spacing w:line="240" w:lineRule="auto"/>
              <w:rPr>
                <w:rFonts w:cs="Arial"/>
                <w:b w:val="0"/>
                <w:color w:val="000000"/>
                <w:sz w:val="22"/>
                <w:szCs w:val="22"/>
                <w:lang w:eastAsia="en-US"/>
              </w:rPr>
            </w:pPr>
            <w:r w:rsidRPr="00552F40">
              <w:rPr>
                <w:rFonts w:cs="Arial"/>
                <w:b w:val="0"/>
                <w:color w:val="000000"/>
                <w:sz w:val="22"/>
                <w:szCs w:val="22"/>
                <w:lang w:eastAsia="en-US"/>
              </w:rPr>
              <w:t>Code Section within CDC</w:t>
            </w:r>
          </w:p>
        </w:tc>
        <w:tc>
          <w:tcPr>
            <w:tcW w:w="1134" w:type="dxa"/>
            <w:shd w:val="clear" w:color="auto" w:fill="auto"/>
            <w:vAlign w:val="center"/>
            <w:hideMark/>
          </w:tcPr>
          <w:p w14:paraId="3E1B46CD" w14:textId="453599F7" w:rsidR="00BA1762" w:rsidRPr="00552F40" w:rsidRDefault="008873A8" w:rsidP="00A36751">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 w:val="22"/>
                <w:szCs w:val="22"/>
                <w:lang w:eastAsia="en-US"/>
              </w:rPr>
            </w:pPr>
            <w:r>
              <w:rPr>
                <w:rFonts w:cs="Arial"/>
                <w:color w:val="000000"/>
                <w:sz w:val="22"/>
                <w:szCs w:val="22"/>
                <w:lang w:eastAsia="en-US"/>
              </w:rPr>
              <w:t>4.54%</w:t>
            </w:r>
          </w:p>
        </w:tc>
        <w:tc>
          <w:tcPr>
            <w:tcW w:w="1134" w:type="dxa"/>
            <w:shd w:val="clear" w:color="auto" w:fill="auto"/>
            <w:vAlign w:val="center"/>
            <w:hideMark/>
          </w:tcPr>
          <w:p w14:paraId="3777F96B" w14:textId="34607BDD" w:rsidR="00BA1762" w:rsidRPr="00552F40" w:rsidRDefault="008873A8" w:rsidP="00A36751">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 w:val="22"/>
                <w:szCs w:val="22"/>
                <w:lang w:eastAsia="en-US"/>
              </w:rPr>
            </w:pPr>
            <w:r>
              <w:rPr>
                <w:rFonts w:cs="Arial"/>
                <w:color w:val="000000"/>
                <w:sz w:val="22"/>
                <w:szCs w:val="22"/>
                <w:lang w:eastAsia="en-US"/>
              </w:rPr>
              <w:t>4.05%</w:t>
            </w:r>
          </w:p>
        </w:tc>
        <w:tc>
          <w:tcPr>
            <w:tcW w:w="1134" w:type="dxa"/>
            <w:shd w:val="clear" w:color="auto" w:fill="auto"/>
            <w:vAlign w:val="center"/>
            <w:hideMark/>
          </w:tcPr>
          <w:p w14:paraId="10A85AA3" w14:textId="77777777" w:rsidR="00BA1762" w:rsidRPr="00552F40" w:rsidRDefault="00BA1762" w:rsidP="00A36751">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 w:val="22"/>
                <w:szCs w:val="22"/>
                <w:lang w:eastAsia="en-US"/>
              </w:rPr>
            </w:pPr>
            <w:r w:rsidRPr="00552F40">
              <w:rPr>
                <w:rFonts w:cs="Arial"/>
                <w:color w:val="000000"/>
                <w:sz w:val="22"/>
                <w:szCs w:val="22"/>
                <w:lang w:eastAsia="en-US"/>
              </w:rPr>
              <w:t> </w:t>
            </w:r>
          </w:p>
        </w:tc>
        <w:tc>
          <w:tcPr>
            <w:tcW w:w="1134" w:type="dxa"/>
            <w:shd w:val="clear" w:color="auto" w:fill="auto"/>
            <w:vAlign w:val="center"/>
            <w:hideMark/>
          </w:tcPr>
          <w:p w14:paraId="25A9CDBF" w14:textId="77777777" w:rsidR="00BA1762" w:rsidRPr="00552F40" w:rsidRDefault="00BA1762" w:rsidP="00A36751">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 w:val="22"/>
                <w:szCs w:val="22"/>
                <w:lang w:eastAsia="en-US"/>
              </w:rPr>
            </w:pPr>
            <w:r w:rsidRPr="00552F40">
              <w:rPr>
                <w:rFonts w:cs="Arial"/>
                <w:color w:val="000000"/>
                <w:sz w:val="22"/>
                <w:szCs w:val="22"/>
                <w:lang w:eastAsia="en-US"/>
              </w:rPr>
              <w:t> </w:t>
            </w:r>
          </w:p>
        </w:tc>
        <w:tc>
          <w:tcPr>
            <w:tcW w:w="1134" w:type="dxa"/>
            <w:shd w:val="clear" w:color="auto" w:fill="auto"/>
            <w:vAlign w:val="center"/>
            <w:hideMark/>
          </w:tcPr>
          <w:p w14:paraId="7E46EA81" w14:textId="77777777" w:rsidR="00BA1762" w:rsidRPr="00552F40" w:rsidRDefault="00BA1762" w:rsidP="00A36751">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b/>
                <w:color w:val="000000"/>
                <w:sz w:val="22"/>
                <w:szCs w:val="22"/>
                <w:lang w:eastAsia="en-US"/>
              </w:rPr>
            </w:pPr>
            <w:r w:rsidRPr="00552F40">
              <w:rPr>
                <w:rFonts w:cs="Arial"/>
                <w:b/>
                <w:color w:val="000000"/>
                <w:sz w:val="22"/>
                <w:szCs w:val="22"/>
                <w:lang w:eastAsia="en-US"/>
              </w:rPr>
              <w:t>8.60%</w:t>
            </w:r>
          </w:p>
        </w:tc>
      </w:tr>
      <w:tr w:rsidR="008873A8" w:rsidRPr="00552F40" w14:paraId="15090D57" w14:textId="77777777" w:rsidTr="00552F40">
        <w:trPr>
          <w:trHeight w:val="315"/>
        </w:trPr>
        <w:tc>
          <w:tcPr>
            <w:cnfStyle w:val="001000000000" w:firstRow="0" w:lastRow="0" w:firstColumn="1" w:lastColumn="0" w:oddVBand="0" w:evenVBand="0" w:oddHBand="0" w:evenHBand="0" w:firstRowFirstColumn="0" w:firstRowLastColumn="0" w:lastRowFirstColumn="0" w:lastRowLastColumn="0"/>
            <w:tcW w:w="3912" w:type="dxa"/>
            <w:shd w:val="clear" w:color="auto" w:fill="auto"/>
            <w:vAlign w:val="center"/>
            <w:hideMark/>
          </w:tcPr>
          <w:p w14:paraId="594EF3C0" w14:textId="77777777" w:rsidR="00BA1762" w:rsidRPr="00552F40" w:rsidRDefault="00BA1762" w:rsidP="00A36751">
            <w:pPr>
              <w:spacing w:line="240" w:lineRule="auto"/>
              <w:rPr>
                <w:rFonts w:cs="Arial"/>
                <w:b w:val="0"/>
                <w:color w:val="000000"/>
                <w:sz w:val="22"/>
                <w:szCs w:val="22"/>
                <w:lang w:eastAsia="en-US"/>
              </w:rPr>
            </w:pPr>
            <w:r w:rsidRPr="00552F40">
              <w:rPr>
                <w:rFonts w:cs="Arial"/>
                <w:b w:val="0"/>
                <w:color w:val="000000"/>
                <w:sz w:val="22"/>
                <w:szCs w:val="22"/>
                <w:lang w:eastAsia="en-US"/>
              </w:rPr>
              <w:t>Code Chapter within CDC</w:t>
            </w:r>
          </w:p>
        </w:tc>
        <w:tc>
          <w:tcPr>
            <w:tcW w:w="1134" w:type="dxa"/>
            <w:shd w:val="clear" w:color="auto" w:fill="auto"/>
            <w:vAlign w:val="center"/>
            <w:hideMark/>
          </w:tcPr>
          <w:p w14:paraId="44E9E1B8" w14:textId="747C8CAC" w:rsidR="00BA1762" w:rsidRPr="00552F40" w:rsidRDefault="008873A8" w:rsidP="00A36751">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 w:val="22"/>
                <w:szCs w:val="22"/>
                <w:lang w:eastAsia="en-US"/>
              </w:rPr>
            </w:pPr>
            <w:r>
              <w:rPr>
                <w:rFonts w:cs="Arial"/>
                <w:color w:val="000000"/>
                <w:sz w:val="22"/>
                <w:szCs w:val="22"/>
                <w:lang w:eastAsia="en-US"/>
              </w:rPr>
              <w:t>8.79%</w:t>
            </w:r>
          </w:p>
        </w:tc>
        <w:tc>
          <w:tcPr>
            <w:tcW w:w="1134" w:type="dxa"/>
            <w:shd w:val="clear" w:color="auto" w:fill="auto"/>
            <w:vAlign w:val="center"/>
            <w:hideMark/>
          </w:tcPr>
          <w:p w14:paraId="5B853465" w14:textId="692D95F2" w:rsidR="00BA1762" w:rsidRPr="00552F40" w:rsidRDefault="008873A8" w:rsidP="00A36751">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 w:val="22"/>
                <w:szCs w:val="22"/>
                <w:lang w:eastAsia="en-US"/>
              </w:rPr>
            </w:pPr>
            <w:r>
              <w:rPr>
                <w:rFonts w:cs="Arial"/>
                <w:color w:val="000000"/>
                <w:sz w:val="22"/>
                <w:szCs w:val="22"/>
                <w:lang w:eastAsia="en-US"/>
              </w:rPr>
              <w:t>7.54%</w:t>
            </w:r>
          </w:p>
        </w:tc>
        <w:tc>
          <w:tcPr>
            <w:tcW w:w="1134" w:type="dxa"/>
            <w:shd w:val="clear" w:color="auto" w:fill="auto"/>
            <w:vAlign w:val="center"/>
            <w:hideMark/>
          </w:tcPr>
          <w:p w14:paraId="2037FDC1" w14:textId="14DE61AC" w:rsidR="00BA1762" w:rsidRPr="00552F40" w:rsidRDefault="008873A8" w:rsidP="00A36751">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 w:val="22"/>
                <w:szCs w:val="22"/>
                <w:lang w:eastAsia="en-US"/>
              </w:rPr>
            </w:pPr>
            <w:r>
              <w:rPr>
                <w:rFonts w:cs="Arial"/>
                <w:color w:val="000000"/>
                <w:sz w:val="22"/>
                <w:szCs w:val="22"/>
                <w:lang w:eastAsia="en-US"/>
              </w:rPr>
              <w:t>6.39%</w:t>
            </w:r>
          </w:p>
        </w:tc>
        <w:tc>
          <w:tcPr>
            <w:tcW w:w="1134" w:type="dxa"/>
            <w:shd w:val="clear" w:color="auto" w:fill="auto"/>
            <w:vAlign w:val="center"/>
            <w:hideMark/>
          </w:tcPr>
          <w:p w14:paraId="1F0EA0A5" w14:textId="3255C785" w:rsidR="00BA1762" w:rsidRPr="00552F40" w:rsidRDefault="008873A8" w:rsidP="00A36751">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 w:val="22"/>
                <w:szCs w:val="22"/>
                <w:lang w:eastAsia="en-US"/>
              </w:rPr>
            </w:pPr>
            <w:r>
              <w:rPr>
                <w:rFonts w:cs="Arial"/>
                <w:color w:val="000000"/>
                <w:sz w:val="22"/>
                <w:szCs w:val="22"/>
                <w:lang w:eastAsia="en-US"/>
              </w:rPr>
              <w:t>8.43%</w:t>
            </w:r>
          </w:p>
        </w:tc>
        <w:tc>
          <w:tcPr>
            <w:tcW w:w="1134" w:type="dxa"/>
            <w:shd w:val="clear" w:color="auto" w:fill="auto"/>
            <w:vAlign w:val="center"/>
            <w:hideMark/>
          </w:tcPr>
          <w:p w14:paraId="0F359104" w14:textId="1FD41076" w:rsidR="00BA1762" w:rsidRPr="00552F40" w:rsidRDefault="008873A8" w:rsidP="00A36751">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b/>
                <w:color w:val="000000"/>
                <w:sz w:val="22"/>
                <w:szCs w:val="22"/>
                <w:lang w:eastAsia="en-US"/>
              </w:rPr>
            </w:pPr>
            <w:r>
              <w:rPr>
                <w:rFonts w:cs="Arial"/>
                <w:b/>
                <w:color w:val="000000"/>
                <w:sz w:val="22"/>
                <w:szCs w:val="22"/>
                <w:lang w:eastAsia="en-US"/>
              </w:rPr>
              <w:t>31.14%</w:t>
            </w:r>
          </w:p>
        </w:tc>
      </w:tr>
      <w:tr w:rsidR="008873A8" w:rsidRPr="00552F40" w14:paraId="5EA91303" w14:textId="77777777" w:rsidTr="00552F4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12" w:type="dxa"/>
            <w:shd w:val="clear" w:color="auto" w:fill="auto"/>
            <w:vAlign w:val="center"/>
            <w:hideMark/>
          </w:tcPr>
          <w:p w14:paraId="17516FA4" w14:textId="77777777" w:rsidR="00BA1762" w:rsidRPr="00552F40" w:rsidRDefault="00BA1762" w:rsidP="00A36751">
            <w:pPr>
              <w:spacing w:line="240" w:lineRule="auto"/>
              <w:rPr>
                <w:rFonts w:cs="Arial"/>
                <w:b w:val="0"/>
                <w:color w:val="000000"/>
                <w:sz w:val="22"/>
                <w:szCs w:val="22"/>
                <w:lang w:eastAsia="en-US"/>
              </w:rPr>
            </w:pPr>
            <w:r w:rsidRPr="00552F40">
              <w:rPr>
                <w:rFonts w:cs="Arial"/>
                <w:b w:val="0"/>
                <w:color w:val="000000"/>
                <w:sz w:val="22"/>
                <w:szCs w:val="22"/>
                <w:lang w:eastAsia="en-US"/>
              </w:rPr>
              <w:t>CDC</w:t>
            </w:r>
          </w:p>
        </w:tc>
        <w:tc>
          <w:tcPr>
            <w:tcW w:w="1134" w:type="dxa"/>
            <w:shd w:val="clear" w:color="auto" w:fill="auto"/>
            <w:vAlign w:val="center"/>
            <w:hideMark/>
          </w:tcPr>
          <w:p w14:paraId="2A34A06D" w14:textId="25883BDC" w:rsidR="00BA1762" w:rsidRPr="00552F40" w:rsidRDefault="008873A8" w:rsidP="00A36751">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 w:val="22"/>
                <w:szCs w:val="22"/>
                <w:lang w:eastAsia="en-US"/>
              </w:rPr>
            </w:pPr>
            <w:r>
              <w:rPr>
                <w:rFonts w:cs="Arial"/>
                <w:color w:val="000000"/>
                <w:sz w:val="22"/>
                <w:szCs w:val="22"/>
                <w:lang w:eastAsia="en-US"/>
              </w:rPr>
              <w:t>12.91%</w:t>
            </w:r>
          </w:p>
        </w:tc>
        <w:tc>
          <w:tcPr>
            <w:tcW w:w="1134" w:type="dxa"/>
            <w:shd w:val="clear" w:color="auto" w:fill="auto"/>
            <w:vAlign w:val="center"/>
            <w:hideMark/>
          </w:tcPr>
          <w:p w14:paraId="3FFB31C4" w14:textId="766D3B37" w:rsidR="00BA1762" w:rsidRPr="00552F40" w:rsidRDefault="008873A8" w:rsidP="00A36751">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 w:val="22"/>
                <w:szCs w:val="22"/>
                <w:lang w:eastAsia="en-US"/>
              </w:rPr>
            </w:pPr>
            <w:r>
              <w:rPr>
                <w:rFonts w:cs="Arial"/>
                <w:color w:val="000000"/>
                <w:sz w:val="22"/>
                <w:szCs w:val="22"/>
                <w:lang w:eastAsia="en-US"/>
              </w:rPr>
              <w:t>8.22%</w:t>
            </w:r>
          </w:p>
        </w:tc>
        <w:tc>
          <w:tcPr>
            <w:tcW w:w="1134" w:type="dxa"/>
            <w:shd w:val="clear" w:color="auto" w:fill="auto"/>
            <w:vAlign w:val="center"/>
            <w:hideMark/>
          </w:tcPr>
          <w:p w14:paraId="22B10093" w14:textId="57859415" w:rsidR="00BA1762" w:rsidRPr="00552F40" w:rsidRDefault="008873A8" w:rsidP="00A36751">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 w:val="22"/>
                <w:szCs w:val="22"/>
                <w:lang w:eastAsia="en-US"/>
              </w:rPr>
            </w:pPr>
            <w:r>
              <w:rPr>
                <w:rFonts w:cs="Arial"/>
                <w:color w:val="000000"/>
                <w:sz w:val="22"/>
                <w:szCs w:val="22"/>
                <w:lang w:eastAsia="en-US"/>
              </w:rPr>
              <w:t>1.00%</w:t>
            </w:r>
          </w:p>
        </w:tc>
        <w:tc>
          <w:tcPr>
            <w:tcW w:w="1134" w:type="dxa"/>
            <w:shd w:val="clear" w:color="auto" w:fill="auto"/>
            <w:vAlign w:val="center"/>
            <w:hideMark/>
          </w:tcPr>
          <w:p w14:paraId="7B6FCF1B" w14:textId="77777777" w:rsidR="00BA1762" w:rsidRPr="00552F40" w:rsidRDefault="00BA1762" w:rsidP="00A36751">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 w:val="22"/>
                <w:szCs w:val="22"/>
                <w:lang w:eastAsia="en-US"/>
              </w:rPr>
            </w:pPr>
            <w:r w:rsidRPr="00552F40">
              <w:rPr>
                <w:rFonts w:cs="Arial"/>
                <w:color w:val="000000"/>
                <w:sz w:val="22"/>
                <w:szCs w:val="22"/>
                <w:lang w:eastAsia="en-US"/>
              </w:rPr>
              <w:t>0.06%</w:t>
            </w:r>
          </w:p>
        </w:tc>
        <w:tc>
          <w:tcPr>
            <w:tcW w:w="1134" w:type="dxa"/>
            <w:shd w:val="clear" w:color="auto" w:fill="auto"/>
            <w:vAlign w:val="center"/>
            <w:hideMark/>
          </w:tcPr>
          <w:p w14:paraId="0B69387F" w14:textId="3A8EC112" w:rsidR="00BA1762" w:rsidRPr="00552F40" w:rsidRDefault="008873A8" w:rsidP="00A36751">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b/>
                <w:color w:val="000000"/>
                <w:sz w:val="22"/>
                <w:szCs w:val="22"/>
                <w:lang w:eastAsia="en-US"/>
              </w:rPr>
            </w:pPr>
            <w:r>
              <w:rPr>
                <w:rFonts w:cs="Arial"/>
                <w:b/>
                <w:color w:val="000000"/>
                <w:sz w:val="22"/>
                <w:szCs w:val="22"/>
                <w:lang w:eastAsia="en-US"/>
              </w:rPr>
              <w:t>22.19%</w:t>
            </w:r>
          </w:p>
        </w:tc>
      </w:tr>
      <w:tr w:rsidR="008873A8" w:rsidRPr="00552F40" w14:paraId="65DED4E6" w14:textId="77777777" w:rsidTr="00552F40">
        <w:trPr>
          <w:trHeight w:val="315"/>
        </w:trPr>
        <w:tc>
          <w:tcPr>
            <w:cnfStyle w:val="001000000000" w:firstRow="0" w:lastRow="0" w:firstColumn="1" w:lastColumn="0" w:oddVBand="0" w:evenVBand="0" w:oddHBand="0" w:evenHBand="0" w:firstRowFirstColumn="0" w:firstRowLastColumn="0" w:lastRowFirstColumn="0" w:lastRowLastColumn="0"/>
            <w:tcW w:w="3912" w:type="dxa"/>
            <w:shd w:val="clear" w:color="auto" w:fill="auto"/>
            <w:vAlign w:val="center"/>
            <w:hideMark/>
          </w:tcPr>
          <w:p w14:paraId="174B40BF" w14:textId="77777777" w:rsidR="00BA1762" w:rsidRPr="00552F40" w:rsidRDefault="00BA1762" w:rsidP="00A36751">
            <w:pPr>
              <w:spacing w:line="240" w:lineRule="auto"/>
              <w:rPr>
                <w:rFonts w:cs="Arial"/>
                <w:b w:val="0"/>
                <w:color w:val="000000"/>
                <w:sz w:val="22"/>
                <w:szCs w:val="22"/>
                <w:lang w:eastAsia="en-US"/>
              </w:rPr>
            </w:pPr>
            <w:r w:rsidRPr="00552F40">
              <w:rPr>
                <w:rFonts w:cs="Arial"/>
                <w:b w:val="0"/>
                <w:color w:val="000000"/>
                <w:sz w:val="22"/>
                <w:szCs w:val="22"/>
                <w:lang w:eastAsia="en-US"/>
              </w:rPr>
              <w:t>Total</w:t>
            </w:r>
          </w:p>
        </w:tc>
        <w:tc>
          <w:tcPr>
            <w:tcW w:w="1134" w:type="dxa"/>
            <w:shd w:val="clear" w:color="auto" w:fill="auto"/>
            <w:vAlign w:val="center"/>
            <w:hideMark/>
          </w:tcPr>
          <w:p w14:paraId="3CFF8D05" w14:textId="1191A868" w:rsidR="00BA1762" w:rsidRPr="00552F40" w:rsidRDefault="008873A8" w:rsidP="00A36751">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b/>
                <w:color w:val="000000"/>
                <w:sz w:val="22"/>
                <w:szCs w:val="22"/>
                <w:lang w:eastAsia="en-US"/>
              </w:rPr>
            </w:pPr>
            <w:r>
              <w:rPr>
                <w:rFonts w:cs="Arial"/>
                <w:b/>
                <w:color w:val="000000"/>
                <w:sz w:val="22"/>
                <w:szCs w:val="22"/>
                <w:lang w:eastAsia="en-US"/>
              </w:rPr>
              <w:t>38.86%</w:t>
            </w:r>
          </w:p>
        </w:tc>
        <w:tc>
          <w:tcPr>
            <w:tcW w:w="1134" w:type="dxa"/>
            <w:shd w:val="clear" w:color="auto" w:fill="auto"/>
            <w:vAlign w:val="center"/>
            <w:hideMark/>
          </w:tcPr>
          <w:p w14:paraId="32D1C40C" w14:textId="1BF66198" w:rsidR="00BA1762" w:rsidRPr="00552F40" w:rsidRDefault="008873A8" w:rsidP="00A36751">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b/>
                <w:color w:val="000000"/>
                <w:sz w:val="22"/>
                <w:szCs w:val="22"/>
                <w:lang w:eastAsia="en-US"/>
              </w:rPr>
            </w:pPr>
            <w:r>
              <w:rPr>
                <w:rFonts w:cs="Arial"/>
                <w:b/>
                <w:color w:val="000000"/>
                <w:sz w:val="22"/>
                <w:szCs w:val="22"/>
                <w:lang w:eastAsia="en-US"/>
              </w:rPr>
              <w:t>45.27%</w:t>
            </w:r>
          </w:p>
        </w:tc>
        <w:tc>
          <w:tcPr>
            <w:tcW w:w="1134" w:type="dxa"/>
            <w:shd w:val="clear" w:color="auto" w:fill="auto"/>
            <w:vAlign w:val="center"/>
            <w:hideMark/>
          </w:tcPr>
          <w:p w14:paraId="345AC1EC" w14:textId="560AC674" w:rsidR="00BA1762" w:rsidRPr="00552F40" w:rsidRDefault="008873A8" w:rsidP="00A36751">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b/>
                <w:color w:val="000000"/>
                <w:sz w:val="22"/>
                <w:szCs w:val="22"/>
                <w:lang w:eastAsia="en-US"/>
              </w:rPr>
            </w:pPr>
            <w:r>
              <w:rPr>
                <w:rFonts w:cs="Arial"/>
                <w:b/>
                <w:color w:val="000000"/>
                <w:sz w:val="22"/>
                <w:szCs w:val="22"/>
                <w:lang w:eastAsia="en-US"/>
              </w:rPr>
              <w:t>7.39%</w:t>
            </w:r>
          </w:p>
        </w:tc>
        <w:tc>
          <w:tcPr>
            <w:tcW w:w="1134" w:type="dxa"/>
            <w:shd w:val="clear" w:color="auto" w:fill="auto"/>
            <w:vAlign w:val="center"/>
            <w:hideMark/>
          </w:tcPr>
          <w:p w14:paraId="18CE521A" w14:textId="766C3FDB" w:rsidR="00BA1762" w:rsidRPr="00552F40" w:rsidRDefault="008873A8" w:rsidP="00A36751">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b/>
                <w:color w:val="000000"/>
                <w:sz w:val="22"/>
                <w:szCs w:val="22"/>
                <w:lang w:eastAsia="en-US"/>
              </w:rPr>
            </w:pPr>
            <w:r>
              <w:rPr>
                <w:rFonts w:cs="Arial"/>
                <w:b/>
                <w:color w:val="000000"/>
                <w:sz w:val="22"/>
                <w:szCs w:val="22"/>
                <w:lang w:eastAsia="en-US"/>
              </w:rPr>
              <w:t>8.48%</w:t>
            </w:r>
          </w:p>
        </w:tc>
        <w:tc>
          <w:tcPr>
            <w:tcW w:w="1134" w:type="dxa"/>
            <w:shd w:val="clear" w:color="auto" w:fill="auto"/>
            <w:vAlign w:val="center"/>
            <w:hideMark/>
          </w:tcPr>
          <w:p w14:paraId="3E308158" w14:textId="77777777" w:rsidR="00BA1762" w:rsidRPr="00552F40" w:rsidRDefault="00BA1762" w:rsidP="00A36751">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b/>
                <w:color w:val="000000"/>
                <w:sz w:val="22"/>
                <w:szCs w:val="22"/>
                <w:lang w:eastAsia="en-US"/>
              </w:rPr>
            </w:pPr>
            <w:r w:rsidRPr="00552F40">
              <w:rPr>
                <w:rFonts w:cs="Arial"/>
                <w:b/>
                <w:color w:val="000000"/>
                <w:sz w:val="22"/>
                <w:szCs w:val="22"/>
                <w:lang w:eastAsia="en-US"/>
              </w:rPr>
              <w:t>100.00%</w:t>
            </w:r>
          </w:p>
        </w:tc>
      </w:tr>
    </w:tbl>
    <w:p w14:paraId="309A63C8" w14:textId="77777777" w:rsidR="00BA1762" w:rsidRPr="00BC28A9" w:rsidRDefault="00BA1762" w:rsidP="000D1DE1">
      <w:pPr>
        <w:spacing w:before="120"/>
      </w:pPr>
      <w:r w:rsidRPr="00DE1EAF">
        <w:rPr>
          <w:b/>
          <w:bCs/>
        </w:rPr>
        <w:t>Table 8</w:t>
      </w:r>
      <w:r>
        <w:t xml:space="preserve"> </w:t>
      </w:r>
      <w:r w:rsidRPr="00BC28A9">
        <w:t>illustrates that:</w:t>
      </w:r>
    </w:p>
    <w:p w14:paraId="2DF2BC89" w14:textId="31DAAE18" w:rsidR="00BA1762" w:rsidRPr="00BC28A9" w:rsidRDefault="008873A8" w:rsidP="000D1DE1">
      <w:pPr>
        <w:pStyle w:val="ListBullet"/>
        <w:numPr>
          <w:ilvl w:val="0"/>
          <w:numId w:val="18"/>
        </w:numPr>
        <w:spacing w:after="160" w:line="288" w:lineRule="auto"/>
        <w:ind w:left="714" w:hanging="357"/>
      </w:pPr>
      <w:r>
        <w:t xml:space="preserve">4.21 </w:t>
      </w:r>
      <w:r w:rsidR="00BA1762" w:rsidRPr="00BC28A9">
        <w:t>per cent of derived DCLs are based on the three</w:t>
      </w:r>
      <w:r w:rsidR="00BA1762">
        <w:t>-</w:t>
      </w:r>
      <w:r w:rsidR="00BA1762" w:rsidRPr="00BC28A9">
        <w:t>character code in the CDC within the corresponding ADRG</w:t>
      </w:r>
    </w:p>
    <w:p w14:paraId="5437952E" w14:textId="2D559A2C" w:rsidR="00BA1762" w:rsidRPr="00BC28A9" w:rsidRDefault="008873A8" w:rsidP="000D1DE1">
      <w:pPr>
        <w:pStyle w:val="ListBullet"/>
        <w:numPr>
          <w:ilvl w:val="0"/>
          <w:numId w:val="18"/>
        </w:numPr>
        <w:spacing w:after="160" w:line="288" w:lineRule="auto"/>
        <w:ind w:left="714" w:hanging="357"/>
      </w:pPr>
      <w:r>
        <w:t xml:space="preserve">38.86 </w:t>
      </w:r>
      <w:r w:rsidR="00BA1762" w:rsidRPr="00BC28A9">
        <w:t>per cent of derived DCLs are contained within the ADRG</w:t>
      </w:r>
    </w:p>
    <w:p w14:paraId="7362F580" w14:textId="48086074" w:rsidR="00BA1762" w:rsidRPr="00BC28A9" w:rsidRDefault="008873A8" w:rsidP="000D1DE1">
      <w:pPr>
        <w:pStyle w:val="ListBullet"/>
        <w:numPr>
          <w:ilvl w:val="0"/>
          <w:numId w:val="18"/>
        </w:numPr>
        <w:spacing w:after="160" w:line="288" w:lineRule="auto"/>
        <w:ind w:left="714" w:hanging="357"/>
      </w:pPr>
      <w:r>
        <w:t>45.27</w:t>
      </w:r>
      <w:r w:rsidR="00BA1762" w:rsidRPr="00BC28A9">
        <w:t xml:space="preserve"> per cent of DCLs required aggregation up to the MDC by partition precision level </w:t>
      </w:r>
    </w:p>
    <w:p w14:paraId="36713001" w14:textId="04690D26" w:rsidR="00BA1762" w:rsidRPr="00BC28A9" w:rsidRDefault="008873A8" w:rsidP="000D1DE1">
      <w:pPr>
        <w:pStyle w:val="ListBullet"/>
        <w:numPr>
          <w:ilvl w:val="0"/>
          <w:numId w:val="18"/>
        </w:numPr>
        <w:spacing w:after="160" w:line="288" w:lineRule="auto"/>
        <w:ind w:left="714" w:hanging="357"/>
      </w:pPr>
      <w:r>
        <w:t>15.87</w:t>
      </w:r>
      <w:r w:rsidRPr="00BC28A9">
        <w:t xml:space="preserve"> </w:t>
      </w:r>
      <w:r w:rsidR="00BA1762" w:rsidRPr="00BC28A9">
        <w:t xml:space="preserve">per cent of DCLs required aggregation beyond the MDC by partition precision level. </w:t>
      </w:r>
    </w:p>
    <w:p w14:paraId="2F4B5D9F" w14:textId="77777777" w:rsidR="00BA1762" w:rsidRPr="00BC28A9" w:rsidRDefault="00BA1762" w:rsidP="00BA1762">
      <w:r w:rsidRPr="00BC28A9">
        <w:t xml:space="preserve">These aggregation principles provide a framework to determine the optimum precision level to adopt for each diagnosis and ADRG combination. </w:t>
      </w:r>
    </w:p>
    <w:p w14:paraId="79536CA2" w14:textId="77777777" w:rsidR="00BA1762" w:rsidRPr="00BC28A9" w:rsidRDefault="00BA1762" w:rsidP="00BA1762">
      <w:pPr>
        <w:pStyle w:val="Heading3"/>
        <w:numPr>
          <w:ilvl w:val="0"/>
          <w:numId w:val="0"/>
        </w:numPr>
      </w:pPr>
      <w:bookmarkStart w:id="66" w:name="_Toc124657525"/>
      <w:r w:rsidRPr="00BC28A9">
        <w:t>DCL derivation process</w:t>
      </w:r>
      <w:bookmarkEnd w:id="66"/>
    </w:p>
    <w:p w14:paraId="107B74D2" w14:textId="77777777" w:rsidR="00BA1762" w:rsidRPr="00BC28A9" w:rsidRDefault="00BA1762" w:rsidP="000D1DE1">
      <w:r w:rsidRPr="00DE1EAF">
        <w:rPr>
          <w:b/>
          <w:bCs/>
        </w:rPr>
        <w:t>Table 9</w:t>
      </w:r>
      <w:r w:rsidRPr="00BC28A9">
        <w:t xml:space="preserve"> outlines the steps to derive the DCL for diagnosis ‘x’ in ADRG ‘A’ (i.e.,</w:t>
      </w:r>
      <m:oMath>
        <m:r>
          <w:rPr>
            <w:rFonts w:ascii="Cambria Math" w:hAnsi="Cambria Math"/>
          </w:rPr>
          <m:t>(x,A)</m:t>
        </m:r>
      </m:oMath>
      <w:r w:rsidRPr="00BC28A9">
        <w:t>).</w:t>
      </w:r>
    </w:p>
    <w:p w14:paraId="6B3D5A67" w14:textId="77777777" w:rsidR="00BA1762" w:rsidRPr="000D1DE1" w:rsidRDefault="00BA1762" w:rsidP="00283621">
      <w:pPr>
        <w:pStyle w:val="Caption"/>
      </w:pPr>
      <w:bookmarkStart w:id="67" w:name="_Ref536779262"/>
      <w:r w:rsidRPr="000D1DE1">
        <w:t xml:space="preserve">Table </w:t>
      </w:r>
      <w:bookmarkEnd w:id="67"/>
      <w:r w:rsidRPr="000D1DE1">
        <w:t>9: DCL derivation steps</w:t>
      </w:r>
    </w:p>
    <w:tbl>
      <w:tblPr>
        <w:tblStyle w:val="ListTable3-Accent11"/>
        <w:tblW w:w="10173" w:type="dxa"/>
        <w:tblLook w:val="04A0" w:firstRow="1" w:lastRow="0" w:firstColumn="1" w:lastColumn="0" w:noHBand="0" w:noVBand="1"/>
      </w:tblPr>
      <w:tblGrid>
        <w:gridCol w:w="959"/>
        <w:gridCol w:w="9214"/>
      </w:tblGrid>
      <w:tr w:rsidR="00552F40" w:rsidRPr="00552F40" w14:paraId="17916739" w14:textId="77777777" w:rsidTr="00552F4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59" w:type="dxa"/>
            <w:shd w:val="clear" w:color="auto" w:fill="104F99" w:themeFill="accent2"/>
          </w:tcPr>
          <w:p w14:paraId="2BC21183" w14:textId="77777777" w:rsidR="00BA1762" w:rsidRPr="00552F40" w:rsidRDefault="00BA1762" w:rsidP="000D1DE1">
            <w:pPr>
              <w:spacing w:after="160"/>
              <w:rPr>
                <w:rFonts w:cs="Arial"/>
                <w:color w:val="FFFFFF" w:themeColor="accent6"/>
                <w:sz w:val="22"/>
                <w:szCs w:val="22"/>
              </w:rPr>
            </w:pPr>
            <w:r w:rsidRPr="00552F40">
              <w:rPr>
                <w:rFonts w:cs="Arial"/>
                <w:color w:val="FFFFFF" w:themeColor="accent6"/>
                <w:sz w:val="22"/>
                <w:szCs w:val="22"/>
              </w:rPr>
              <w:lastRenderedPageBreak/>
              <w:t>Step</w:t>
            </w:r>
          </w:p>
        </w:tc>
        <w:tc>
          <w:tcPr>
            <w:tcW w:w="9214" w:type="dxa"/>
            <w:shd w:val="clear" w:color="auto" w:fill="104F99" w:themeFill="accent2"/>
          </w:tcPr>
          <w:p w14:paraId="4F269E3D" w14:textId="77777777" w:rsidR="00BA1762" w:rsidRPr="00552F40" w:rsidRDefault="00BA1762" w:rsidP="000D1DE1">
            <w:pPr>
              <w:spacing w:after="160"/>
              <w:cnfStyle w:val="100000000000" w:firstRow="1" w:lastRow="0" w:firstColumn="0" w:lastColumn="0" w:oddVBand="0" w:evenVBand="0" w:oddHBand="0" w:evenHBand="0" w:firstRowFirstColumn="0" w:firstRowLastColumn="0" w:lastRowFirstColumn="0" w:lastRowLastColumn="0"/>
              <w:rPr>
                <w:rFonts w:cs="Arial"/>
                <w:color w:val="FFFFFF" w:themeColor="accent6"/>
                <w:sz w:val="22"/>
                <w:szCs w:val="22"/>
              </w:rPr>
            </w:pPr>
            <w:r w:rsidRPr="00552F40">
              <w:rPr>
                <w:rFonts w:cs="Arial"/>
                <w:color w:val="FFFFFF" w:themeColor="accent6"/>
                <w:sz w:val="22"/>
                <w:szCs w:val="22"/>
              </w:rPr>
              <w:t>Notation and Description</w:t>
            </w:r>
          </w:p>
        </w:tc>
      </w:tr>
      <w:tr w:rsidR="00BA1762" w:rsidRPr="00552F40" w14:paraId="7A471F90" w14:textId="77777777" w:rsidTr="00552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4031C01C" w14:textId="77777777" w:rsidR="00BA1762" w:rsidRPr="00552F40" w:rsidRDefault="00BA1762" w:rsidP="000D1DE1">
            <w:pPr>
              <w:spacing w:after="160"/>
              <w:rPr>
                <w:rFonts w:cs="Arial"/>
                <w:b w:val="0"/>
                <w:sz w:val="22"/>
                <w:szCs w:val="22"/>
              </w:rPr>
            </w:pPr>
            <w:r w:rsidRPr="00552F40">
              <w:rPr>
                <w:rFonts w:cs="Arial"/>
                <w:b w:val="0"/>
                <w:sz w:val="22"/>
                <w:szCs w:val="22"/>
              </w:rPr>
              <w:t>Step 1</w:t>
            </w:r>
          </w:p>
        </w:tc>
        <w:tc>
          <w:tcPr>
            <w:tcW w:w="9214" w:type="dxa"/>
            <w:shd w:val="clear" w:color="auto" w:fill="auto"/>
          </w:tcPr>
          <w:p w14:paraId="4FA3DA2C"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rFonts w:cs="Arial"/>
                <w:sz w:val="22"/>
                <w:szCs w:val="22"/>
              </w:rPr>
            </w:pPr>
            <m:oMathPara>
              <m:oMathParaPr>
                <m:jc m:val="left"/>
              </m:oMathParaPr>
              <m:oMath>
                <m:r>
                  <w:rPr>
                    <w:rFonts w:ascii="Cambria Math" w:hAnsi="Cambria Math" w:cs="Arial"/>
                    <w:sz w:val="22"/>
                    <w:szCs w:val="22"/>
                  </w:rPr>
                  <m:t>n</m:t>
                </m:r>
                <m:r>
                  <m:rPr>
                    <m:sty m:val="p"/>
                  </m:rPr>
                  <w:rPr>
                    <w:rFonts w:ascii="Cambria Math" w:hAnsi="Cambria Math" w:cs="Arial"/>
                    <w:sz w:val="22"/>
                    <w:szCs w:val="22"/>
                  </w:rPr>
                  <m:t>(</m:t>
                </m:r>
                <m:r>
                  <w:rPr>
                    <w:rFonts w:ascii="Cambria Math" w:hAnsi="Cambria Math" w:cs="Arial"/>
                    <w:sz w:val="22"/>
                    <w:szCs w:val="22"/>
                  </w:rPr>
                  <m:t>x</m:t>
                </m:r>
                <m:r>
                  <m:rPr>
                    <m:sty m:val="p"/>
                  </m:rPr>
                  <w:rPr>
                    <w:rFonts w:ascii="Cambria Math" w:hAnsi="Cambria Math" w:cs="Arial"/>
                    <w:sz w:val="22"/>
                    <w:szCs w:val="22"/>
                  </w:rPr>
                  <m:t>,</m:t>
                </m:r>
                <m:r>
                  <w:rPr>
                    <w:rFonts w:ascii="Cambria Math" w:hAnsi="Cambria Math" w:cs="Arial"/>
                    <w:sz w:val="22"/>
                    <w:szCs w:val="22"/>
                  </w:rPr>
                  <m:t>A</m:t>
                </m:r>
                <m:r>
                  <m:rPr>
                    <m:sty m:val="p"/>
                  </m:rPr>
                  <w:rPr>
                    <w:rFonts w:ascii="Cambria Math" w:hAnsi="Cambria Math" w:cs="Arial"/>
                    <w:sz w:val="22"/>
                    <w:szCs w:val="22"/>
                  </w:rPr>
                  <m:t>)</m:t>
                </m:r>
              </m:oMath>
            </m:oMathPara>
          </w:p>
          <w:p w14:paraId="5BF5A851"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rFonts w:cs="Arial"/>
                <w:sz w:val="22"/>
                <w:szCs w:val="22"/>
              </w:rPr>
            </w:pPr>
            <w:r w:rsidRPr="00552F40">
              <w:rPr>
                <w:rFonts w:cs="Arial"/>
                <w:sz w:val="22"/>
                <w:szCs w:val="22"/>
              </w:rPr>
              <w:t>Identify the cohort of episodes and the required precision level based on the aggregation principles.</w:t>
            </w:r>
          </w:p>
        </w:tc>
      </w:tr>
      <w:tr w:rsidR="00BA1762" w:rsidRPr="00552F40" w14:paraId="36BBAB9F" w14:textId="77777777" w:rsidTr="00552F40">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1592C5FC" w14:textId="77777777" w:rsidR="00BA1762" w:rsidRPr="00552F40" w:rsidRDefault="00BA1762" w:rsidP="000D1DE1">
            <w:pPr>
              <w:spacing w:after="160"/>
              <w:rPr>
                <w:rFonts w:cs="Arial"/>
                <w:b w:val="0"/>
                <w:sz w:val="22"/>
                <w:szCs w:val="22"/>
              </w:rPr>
            </w:pPr>
            <w:r w:rsidRPr="00552F40">
              <w:rPr>
                <w:rFonts w:cs="Arial"/>
                <w:b w:val="0"/>
                <w:sz w:val="22"/>
                <w:szCs w:val="22"/>
              </w:rPr>
              <w:t>Step 2</w:t>
            </w:r>
          </w:p>
        </w:tc>
        <w:tc>
          <w:tcPr>
            <w:tcW w:w="9214" w:type="dxa"/>
            <w:shd w:val="clear" w:color="auto" w:fill="auto"/>
          </w:tcPr>
          <w:p w14:paraId="3AC212F6" w14:textId="77777777"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m:oMathPara>
              <m:oMathParaPr>
                <m:jc m:val="left"/>
              </m:oMathParaPr>
              <m:oMath>
                <m:r>
                  <w:rPr>
                    <w:rFonts w:ascii="Cambria Math" w:hAnsi="Cambria Math" w:cs="Arial"/>
                    <w:sz w:val="22"/>
                    <w:szCs w:val="22"/>
                  </w:rPr>
                  <m:t>p</m:t>
                </m:r>
                <m:r>
                  <m:rPr>
                    <m:sty m:val="p"/>
                  </m:rPr>
                  <w:rPr>
                    <w:rFonts w:ascii="Cambria Math" w:hAnsi="Cambria Math" w:cs="Arial"/>
                    <w:sz w:val="22"/>
                    <w:szCs w:val="22"/>
                  </w:rPr>
                  <m:t>(</m:t>
                </m:r>
                <m:r>
                  <w:rPr>
                    <w:rFonts w:ascii="Cambria Math" w:hAnsi="Cambria Math" w:cs="Arial"/>
                    <w:sz w:val="22"/>
                    <w:szCs w:val="22"/>
                  </w:rPr>
                  <m:t>x</m:t>
                </m:r>
                <m:r>
                  <m:rPr>
                    <m:sty m:val="p"/>
                  </m:rPr>
                  <w:rPr>
                    <w:rFonts w:ascii="Cambria Math" w:hAnsi="Cambria Math" w:cs="Arial"/>
                    <w:sz w:val="22"/>
                    <w:szCs w:val="22"/>
                  </w:rPr>
                  <m:t>,</m:t>
                </m:r>
                <m:r>
                  <w:rPr>
                    <w:rFonts w:ascii="Cambria Math" w:hAnsi="Cambria Math" w:cs="Arial"/>
                    <w:sz w:val="22"/>
                    <w:szCs w:val="22"/>
                  </w:rPr>
                  <m:t>A</m:t>
                </m:r>
                <m:r>
                  <m:rPr>
                    <m:sty m:val="p"/>
                  </m:rPr>
                  <w:rPr>
                    <w:rFonts w:ascii="Cambria Math" w:hAnsi="Cambria Math" w:cs="Arial"/>
                    <w:sz w:val="22"/>
                    <w:szCs w:val="22"/>
                  </w:rPr>
                  <m:t>)</m:t>
                </m:r>
              </m:oMath>
            </m:oMathPara>
          </w:p>
          <w:p w14:paraId="425E4CF8" w14:textId="77777777"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w:r w:rsidRPr="00552F40">
              <w:rPr>
                <w:rFonts w:cs="Arial"/>
                <w:sz w:val="22"/>
                <w:szCs w:val="22"/>
              </w:rPr>
              <w:t>Predict the cost for each episode based on the geometric mean model. (Section 4.3)</w:t>
            </w:r>
            <w:hyperlink w:anchor="_Geometric_mean_cost" w:history="1"/>
            <w:r w:rsidRPr="00552F40">
              <w:rPr>
                <w:rFonts w:cs="Arial"/>
                <w:sz w:val="22"/>
                <w:szCs w:val="22"/>
              </w:rPr>
              <w:t xml:space="preserve"> for the cohort of episodes identified in the previous step.</w:t>
            </w:r>
          </w:p>
        </w:tc>
      </w:tr>
      <w:tr w:rsidR="00BA1762" w:rsidRPr="00552F40" w14:paraId="343E4762" w14:textId="77777777" w:rsidTr="00552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58B3D152" w14:textId="77777777" w:rsidR="00BA1762" w:rsidRPr="00552F40" w:rsidRDefault="00BA1762" w:rsidP="000D1DE1">
            <w:pPr>
              <w:spacing w:after="160"/>
              <w:rPr>
                <w:rFonts w:cs="Arial"/>
                <w:b w:val="0"/>
                <w:sz w:val="22"/>
                <w:szCs w:val="22"/>
              </w:rPr>
            </w:pPr>
            <w:r w:rsidRPr="00552F40">
              <w:rPr>
                <w:rFonts w:cs="Arial"/>
                <w:b w:val="0"/>
                <w:sz w:val="22"/>
                <w:szCs w:val="22"/>
              </w:rPr>
              <w:t>Step 3</w:t>
            </w:r>
          </w:p>
        </w:tc>
        <w:tc>
          <w:tcPr>
            <w:tcW w:w="9214" w:type="dxa"/>
            <w:shd w:val="clear" w:color="auto" w:fill="auto"/>
          </w:tcPr>
          <w:p w14:paraId="05721979" w14:textId="77777777" w:rsidR="00BA1762" w:rsidRPr="00552F40" w:rsidRDefault="009A2A35" w:rsidP="000D1DE1">
            <w:pPr>
              <w:spacing w:after="160"/>
              <w:cnfStyle w:val="000000100000" w:firstRow="0" w:lastRow="0" w:firstColumn="0" w:lastColumn="0" w:oddVBand="0" w:evenVBand="0" w:oddHBand="1" w:evenHBand="0" w:firstRowFirstColumn="0" w:firstRowLastColumn="0" w:lastRowFirstColumn="0" w:lastRowLastColumn="0"/>
              <w:rPr>
                <w:rFonts w:cs="Arial"/>
                <w:sz w:val="22"/>
                <w:szCs w:val="22"/>
              </w:rPr>
            </w:pPr>
            <m:oMath>
              <m:func>
                <m:funcPr>
                  <m:ctrlPr>
                    <w:rPr>
                      <w:rFonts w:ascii="Cambria Math" w:hAnsi="Cambria Math" w:cs="Arial"/>
                      <w:sz w:val="22"/>
                      <w:szCs w:val="22"/>
                    </w:rPr>
                  </m:ctrlPr>
                </m:funcPr>
                <m:fName>
                  <m:r>
                    <m:rPr>
                      <m:sty m:val="p"/>
                    </m:rPr>
                    <w:rPr>
                      <w:rFonts w:ascii="Cambria Math" w:hAnsi="Cambria Math" w:cs="Arial"/>
                      <w:sz w:val="22"/>
                      <w:szCs w:val="22"/>
                    </w:rPr>
                    <m:t>ln</m:t>
                  </m:r>
                </m:fName>
                <m:e>
                  <m:d>
                    <m:dPr>
                      <m:ctrlPr>
                        <w:rPr>
                          <w:rFonts w:ascii="Cambria Math" w:hAnsi="Cambria Math" w:cs="Arial"/>
                          <w:sz w:val="22"/>
                          <w:szCs w:val="22"/>
                        </w:rPr>
                      </m:ctrlPr>
                    </m:dPr>
                    <m:e>
                      <m:r>
                        <w:rPr>
                          <w:rFonts w:ascii="Cambria Math" w:hAnsi="Cambria Math" w:cs="Arial"/>
                          <w:sz w:val="22"/>
                          <w:szCs w:val="22"/>
                        </w:rPr>
                        <m:t>cost</m:t>
                      </m:r>
                    </m:e>
                  </m:d>
                </m:e>
              </m:func>
              <m:r>
                <m:rPr>
                  <m:sty m:val="p"/>
                </m:rPr>
                <w:rPr>
                  <w:rFonts w:ascii="Cambria Math" w:hAnsi="Cambria Math" w:cs="Arial"/>
                  <w:sz w:val="22"/>
                  <w:szCs w:val="22"/>
                </w:rPr>
                <m:t>-ln⁡(</m:t>
              </m:r>
              <m:r>
                <w:rPr>
                  <w:rFonts w:ascii="Cambria Math" w:hAnsi="Cambria Math" w:cs="Arial"/>
                  <w:sz w:val="22"/>
                  <w:szCs w:val="22"/>
                </w:rPr>
                <m:t>p</m:t>
              </m:r>
              <m:d>
                <m:dPr>
                  <m:ctrlPr>
                    <w:rPr>
                      <w:rFonts w:ascii="Cambria Math" w:hAnsi="Cambria Math" w:cs="Arial"/>
                      <w:sz w:val="22"/>
                      <w:szCs w:val="22"/>
                    </w:rPr>
                  </m:ctrlPr>
                </m:dPr>
                <m:e>
                  <m:r>
                    <w:rPr>
                      <w:rFonts w:ascii="Cambria Math" w:hAnsi="Cambria Math" w:cs="Arial"/>
                      <w:sz w:val="22"/>
                      <w:szCs w:val="22"/>
                    </w:rPr>
                    <m:t>x</m:t>
                  </m:r>
                  <m:r>
                    <m:rPr>
                      <m:sty m:val="p"/>
                    </m:rPr>
                    <w:rPr>
                      <w:rFonts w:ascii="Cambria Math" w:hAnsi="Cambria Math" w:cs="Arial"/>
                      <w:sz w:val="22"/>
                      <w:szCs w:val="22"/>
                    </w:rPr>
                    <m:t>,</m:t>
                  </m:r>
                  <m:r>
                    <w:rPr>
                      <w:rFonts w:ascii="Cambria Math" w:hAnsi="Cambria Math" w:cs="Arial"/>
                      <w:sz w:val="22"/>
                      <w:szCs w:val="22"/>
                    </w:rPr>
                    <m:t>A</m:t>
                  </m:r>
                </m:e>
              </m:d>
              <m:r>
                <m:rPr>
                  <m:sty m:val="p"/>
                </m:rPr>
                <w:rPr>
                  <w:rFonts w:ascii="Cambria Math" w:hAnsi="Cambria Math" w:cs="Arial"/>
                  <w:sz w:val="22"/>
                  <w:szCs w:val="22"/>
                </w:rPr>
                <m:t>)</m:t>
              </m:r>
            </m:oMath>
            <w:r w:rsidR="00BA1762" w:rsidRPr="00552F40">
              <w:rPr>
                <w:rFonts w:cs="Arial"/>
                <w:sz w:val="22"/>
                <w:szCs w:val="22"/>
              </w:rPr>
              <w:t xml:space="preserve"> </w:t>
            </w:r>
          </w:p>
          <w:p w14:paraId="0547F2E7"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rFonts w:cs="Arial"/>
                <w:sz w:val="22"/>
                <w:szCs w:val="22"/>
              </w:rPr>
            </w:pPr>
            <w:r w:rsidRPr="00552F40">
              <w:rPr>
                <w:rFonts w:cs="Arial"/>
                <w:sz w:val="22"/>
                <w:szCs w:val="22"/>
              </w:rPr>
              <w:t>Calculate the log transformed cost differential between actual and predicted costs.</w:t>
            </w:r>
          </w:p>
        </w:tc>
      </w:tr>
      <w:tr w:rsidR="00BA1762" w:rsidRPr="00552F40" w14:paraId="0CAF0A33" w14:textId="77777777" w:rsidTr="00552F40">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54454EAC" w14:textId="77777777" w:rsidR="00BA1762" w:rsidRPr="00552F40" w:rsidRDefault="00BA1762" w:rsidP="000D1DE1">
            <w:pPr>
              <w:spacing w:after="160"/>
              <w:rPr>
                <w:rFonts w:cs="Arial"/>
                <w:b w:val="0"/>
                <w:sz w:val="22"/>
                <w:szCs w:val="22"/>
              </w:rPr>
            </w:pPr>
            <w:r w:rsidRPr="00552F40">
              <w:rPr>
                <w:rFonts w:cs="Arial"/>
                <w:b w:val="0"/>
                <w:sz w:val="22"/>
                <w:szCs w:val="22"/>
              </w:rPr>
              <w:t>Step 4</w:t>
            </w:r>
          </w:p>
        </w:tc>
        <w:tc>
          <w:tcPr>
            <w:tcW w:w="9214" w:type="dxa"/>
            <w:shd w:val="clear" w:color="auto" w:fill="auto"/>
          </w:tcPr>
          <w:p w14:paraId="01E7EEAF" w14:textId="77777777" w:rsidR="00BA1762" w:rsidRPr="00552F40" w:rsidRDefault="009A2A35" w:rsidP="000D1DE1">
            <w:pPr>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m:oMathPara>
              <m:oMathParaPr>
                <m:jc m:val="left"/>
              </m:oMathParaPr>
              <m:oMath>
                <m:acc>
                  <m:accPr>
                    <m:chr m:val="̅"/>
                    <m:ctrlPr>
                      <w:rPr>
                        <w:rFonts w:ascii="Cambria Math" w:hAnsi="Cambria Math" w:cs="Arial"/>
                        <w:sz w:val="22"/>
                        <w:szCs w:val="22"/>
                      </w:rPr>
                    </m:ctrlPr>
                  </m:accPr>
                  <m:e>
                    <m:r>
                      <w:rPr>
                        <w:rFonts w:ascii="Cambria Math" w:hAnsi="Cambria Math" w:cs="Arial"/>
                        <w:sz w:val="22"/>
                        <w:szCs w:val="22"/>
                      </w:rPr>
                      <m:t>C</m:t>
                    </m:r>
                  </m:e>
                </m:acc>
                <m:d>
                  <m:dPr>
                    <m:ctrlPr>
                      <w:rPr>
                        <w:rFonts w:ascii="Cambria Math" w:hAnsi="Cambria Math" w:cs="Arial"/>
                        <w:sz w:val="22"/>
                        <w:szCs w:val="22"/>
                      </w:rPr>
                    </m:ctrlPr>
                  </m:dPr>
                  <m:e>
                    <m:r>
                      <w:rPr>
                        <w:rFonts w:ascii="Cambria Math" w:hAnsi="Cambria Math" w:cs="Arial"/>
                        <w:sz w:val="22"/>
                        <w:szCs w:val="22"/>
                      </w:rPr>
                      <m:t>x</m:t>
                    </m:r>
                    <m:r>
                      <m:rPr>
                        <m:sty m:val="p"/>
                      </m:rPr>
                      <w:rPr>
                        <w:rFonts w:ascii="Cambria Math" w:hAnsi="Cambria Math" w:cs="Arial"/>
                        <w:sz w:val="22"/>
                        <w:szCs w:val="22"/>
                      </w:rPr>
                      <m:t>,</m:t>
                    </m:r>
                    <m:r>
                      <w:rPr>
                        <w:rFonts w:ascii="Cambria Math" w:hAnsi="Cambria Math" w:cs="Arial"/>
                        <w:sz w:val="22"/>
                        <w:szCs w:val="22"/>
                      </w:rPr>
                      <m:t>A</m:t>
                    </m:r>
                  </m:e>
                </m:d>
                <m:r>
                  <m:rPr>
                    <m:sty m:val="p"/>
                  </m:rPr>
                  <w:rPr>
                    <w:rFonts w:ascii="Cambria Math" w:hAnsi="Cambria Math" w:cs="Arial"/>
                    <w:sz w:val="22"/>
                    <w:szCs w:val="22"/>
                  </w:rPr>
                  <m:t>=</m:t>
                </m:r>
                <m:f>
                  <m:fPr>
                    <m:ctrlPr>
                      <w:rPr>
                        <w:rFonts w:ascii="Cambria Math" w:hAnsi="Cambria Math" w:cs="Arial"/>
                        <w:sz w:val="22"/>
                        <w:szCs w:val="22"/>
                      </w:rPr>
                    </m:ctrlPr>
                  </m:fPr>
                  <m:num>
                    <m:nary>
                      <m:naryPr>
                        <m:chr m:val="∑"/>
                        <m:limLoc m:val="undOvr"/>
                        <m:ctrlPr>
                          <w:rPr>
                            <w:rFonts w:ascii="Cambria Math" w:hAnsi="Cambria Math" w:cs="Arial"/>
                            <w:sz w:val="22"/>
                            <w:szCs w:val="22"/>
                          </w:rPr>
                        </m:ctrlPr>
                      </m:naryPr>
                      <m:sub>
                        <m:r>
                          <w:rPr>
                            <w:rFonts w:ascii="Cambria Math" w:hAnsi="Cambria Math" w:cs="Arial"/>
                            <w:sz w:val="22"/>
                            <w:szCs w:val="22"/>
                          </w:rPr>
                          <m:t>j</m:t>
                        </m:r>
                        <m:r>
                          <m:rPr>
                            <m:sty m:val="p"/>
                          </m:rPr>
                          <w:rPr>
                            <w:rFonts w:ascii="Cambria Math" w:hAnsi="Cambria Math" w:cs="Arial"/>
                            <w:sz w:val="22"/>
                            <w:szCs w:val="22"/>
                          </w:rPr>
                          <m:t>=1</m:t>
                        </m:r>
                      </m:sub>
                      <m:sup>
                        <m:r>
                          <w:rPr>
                            <w:rFonts w:ascii="Cambria Math" w:hAnsi="Cambria Math" w:cs="Arial"/>
                            <w:sz w:val="22"/>
                            <w:szCs w:val="22"/>
                          </w:rPr>
                          <m:t>n</m:t>
                        </m:r>
                        <m:r>
                          <m:rPr>
                            <m:sty m:val="p"/>
                          </m:rPr>
                          <w:rPr>
                            <w:rFonts w:ascii="Cambria Math" w:hAnsi="Cambria Math" w:cs="Arial"/>
                            <w:sz w:val="22"/>
                            <w:szCs w:val="22"/>
                          </w:rPr>
                          <m:t>(</m:t>
                        </m:r>
                        <m:r>
                          <w:rPr>
                            <w:rFonts w:ascii="Cambria Math" w:hAnsi="Cambria Math" w:cs="Arial"/>
                            <w:sz w:val="22"/>
                            <w:szCs w:val="22"/>
                          </w:rPr>
                          <m:t>x</m:t>
                        </m:r>
                        <m:r>
                          <m:rPr>
                            <m:sty m:val="p"/>
                          </m:rPr>
                          <w:rPr>
                            <w:rFonts w:ascii="Cambria Math" w:hAnsi="Cambria Math" w:cs="Arial"/>
                            <w:sz w:val="22"/>
                            <w:szCs w:val="22"/>
                          </w:rPr>
                          <m:t>,</m:t>
                        </m:r>
                        <m:r>
                          <w:rPr>
                            <w:rFonts w:ascii="Cambria Math" w:hAnsi="Cambria Math" w:cs="Arial"/>
                            <w:sz w:val="22"/>
                            <w:szCs w:val="22"/>
                          </w:rPr>
                          <m:t>A</m:t>
                        </m:r>
                        <m:r>
                          <m:rPr>
                            <m:sty m:val="p"/>
                          </m:rPr>
                          <w:rPr>
                            <w:rFonts w:ascii="Cambria Math" w:hAnsi="Cambria Math" w:cs="Arial"/>
                            <w:sz w:val="22"/>
                            <w:szCs w:val="22"/>
                          </w:rPr>
                          <m:t>)</m:t>
                        </m:r>
                      </m:sup>
                      <m:e>
                        <m:func>
                          <m:funcPr>
                            <m:ctrlPr>
                              <w:rPr>
                                <w:rFonts w:ascii="Cambria Math" w:hAnsi="Cambria Math" w:cs="Arial"/>
                                <w:sz w:val="22"/>
                                <w:szCs w:val="22"/>
                              </w:rPr>
                            </m:ctrlPr>
                          </m:funcPr>
                          <m:fName>
                            <m:r>
                              <m:rPr>
                                <m:sty m:val="p"/>
                              </m:rPr>
                              <w:rPr>
                                <w:rFonts w:ascii="Cambria Math" w:hAnsi="Cambria Math" w:cs="Arial"/>
                                <w:sz w:val="22"/>
                                <w:szCs w:val="22"/>
                              </w:rPr>
                              <m:t>(ln</m:t>
                            </m:r>
                          </m:fName>
                          <m:e>
                            <m:d>
                              <m:dPr>
                                <m:ctrlPr>
                                  <w:rPr>
                                    <w:rFonts w:ascii="Cambria Math" w:hAnsi="Cambria Math" w:cs="Arial"/>
                                    <w:sz w:val="22"/>
                                    <w:szCs w:val="22"/>
                                  </w:rPr>
                                </m:ctrlPr>
                              </m:dPr>
                              <m:e>
                                <m:r>
                                  <w:rPr>
                                    <w:rFonts w:ascii="Cambria Math" w:hAnsi="Cambria Math" w:cs="Arial"/>
                                    <w:sz w:val="22"/>
                                    <w:szCs w:val="22"/>
                                  </w:rPr>
                                  <m:t>cos</m:t>
                                </m:r>
                                <m:sSub>
                                  <m:sSubPr>
                                    <m:ctrlPr>
                                      <w:rPr>
                                        <w:rFonts w:ascii="Cambria Math" w:hAnsi="Cambria Math" w:cs="Arial"/>
                                        <w:sz w:val="22"/>
                                        <w:szCs w:val="22"/>
                                      </w:rPr>
                                    </m:ctrlPr>
                                  </m:sSubPr>
                                  <m:e>
                                    <m:r>
                                      <w:rPr>
                                        <w:rFonts w:ascii="Cambria Math" w:hAnsi="Cambria Math" w:cs="Arial"/>
                                        <w:sz w:val="22"/>
                                        <w:szCs w:val="22"/>
                                      </w:rPr>
                                      <m:t>t</m:t>
                                    </m:r>
                                  </m:e>
                                  <m:sub>
                                    <m:r>
                                      <w:rPr>
                                        <w:rFonts w:ascii="Cambria Math" w:hAnsi="Cambria Math" w:cs="Arial"/>
                                        <w:sz w:val="22"/>
                                        <w:szCs w:val="22"/>
                                      </w:rPr>
                                      <m:t>j</m:t>
                                    </m:r>
                                  </m:sub>
                                </m:sSub>
                              </m:e>
                            </m:d>
                          </m:e>
                        </m:func>
                        <m:r>
                          <m:rPr>
                            <m:sty m:val="p"/>
                          </m:rPr>
                          <w:rPr>
                            <w:rFonts w:ascii="Cambria Math" w:hAnsi="Cambria Math" w:cs="Arial"/>
                            <w:sz w:val="22"/>
                            <w:szCs w:val="22"/>
                          </w:rPr>
                          <m:t>-ln⁡(</m:t>
                        </m:r>
                        <m:sSub>
                          <m:sSubPr>
                            <m:ctrlPr>
                              <w:rPr>
                                <w:rFonts w:ascii="Cambria Math" w:hAnsi="Cambria Math" w:cs="Arial"/>
                                <w:sz w:val="22"/>
                                <w:szCs w:val="22"/>
                              </w:rPr>
                            </m:ctrlPr>
                          </m:sSubPr>
                          <m:e>
                            <m:r>
                              <w:rPr>
                                <w:rFonts w:ascii="Cambria Math" w:hAnsi="Cambria Math" w:cs="Arial"/>
                                <w:sz w:val="22"/>
                                <w:szCs w:val="22"/>
                              </w:rPr>
                              <m:t>p</m:t>
                            </m:r>
                          </m:e>
                          <m:sub>
                            <m:r>
                              <w:rPr>
                                <w:rFonts w:ascii="Cambria Math" w:hAnsi="Cambria Math" w:cs="Arial"/>
                                <w:sz w:val="22"/>
                                <w:szCs w:val="22"/>
                              </w:rPr>
                              <m:t>j</m:t>
                            </m:r>
                          </m:sub>
                        </m:sSub>
                        <m:d>
                          <m:dPr>
                            <m:ctrlPr>
                              <w:rPr>
                                <w:rFonts w:ascii="Cambria Math" w:hAnsi="Cambria Math" w:cs="Arial"/>
                                <w:sz w:val="22"/>
                                <w:szCs w:val="22"/>
                              </w:rPr>
                            </m:ctrlPr>
                          </m:dPr>
                          <m:e>
                            <m:r>
                              <w:rPr>
                                <w:rFonts w:ascii="Cambria Math" w:hAnsi="Cambria Math" w:cs="Arial"/>
                                <w:sz w:val="22"/>
                                <w:szCs w:val="22"/>
                              </w:rPr>
                              <m:t>x</m:t>
                            </m:r>
                            <m:r>
                              <m:rPr>
                                <m:sty m:val="p"/>
                              </m:rPr>
                              <w:rPr>
                                <w:rFonts w:ascii="Cambria Math" w:hAnsi="Cambria Math" w:cs="Arial"/>
                                <w:sz w:val="22"/>
                                <w:szCs w:val="22"/>
                              </w:rPr>
                              <m:t>,</m:t>
                            </m:r>
                            <m:r>
                              <w:rPr>
                                <w:rFonts w:ascii="Cambria Math" w:hAnsi="Cambria Math" w:cs="Arial"/>
                                <w:sz w:val="22"/>
                                <w:szCs w:val="22"/>
                              </w:rPr>
                              <m:t>A</m:t>
                            </m:r>
                          </m:e>
                        </m:d>
                        <m:r>
                          <m:rPr>
                            <m:sty m:val="p"/>
                          </m:rPr>
                          <w:rPr>
                            <w:rFonts w:ascii="Cambria Math" w:hAnsi="Cambria Math" w:cs="Arial"/>
                            <w:sz w:val="22"/>
                            <w:szCs w:val="22"/>
                          </w:rPr>
                          <m:t>))</m:t>
                        </m:r>
                      </m:e>
                    </m:nary>
                  </m:num>
                  <m:den>
                    <m:r>
                      <w:rPr>
                        <w:rFonts w:ascii="Cambria Math" w:hAnsi="Cambria Math" w:cs="Arial"/>
                        <w:sz w:val="22"/>
                        <w:szCs w:val="22"/>
                      </w:rPr>
                      <m:t>n</m:t>
                    </m:r>
                    <m:r>
                      <m:rPr>
                        <m:sty m:val="p"/>
                      </m:rPr>
                      <w:rPr>
                        <w:rFonts w:ascii="Cambria Math" w:hAnsi="Cambria Math" w:cs="Arial"/>
                        <w:sz w:val="22"/>
                        <w:szCs w:val="22"/>
                      </w:rPr>
                      <m:t>(</m:t>
                    </m:r>
                    <m:r>
                      <w:rPr>
                        <w:rFonts w:ascii="Cambria Math" w:hAnsi="Cambria Math" w:cs="Arial"/>
                        <w:sz w:val="22"/>
                        <w:szCs w:val="22"/>
                      </w:rPr>
                      <m:t>x</m:t>
                    </m:r>
                    <m:r>
                      <m:rPr>
                        <m:sty m:val="p"/>
                      </m:rPr>
                      <w:rPr>
                        <w:rFonts w:ascii="Cambria Math" w:hAnsi="Cambria Math" w:cs="Arial"/>
                        <w:sz w:val="22"/>
                        <w:szCs w:val="22"/>
                      </w:rPr>
                      <m:t>,</m:t>
                    </m:r>
                    <m:r>
                      <w:rPr>
                        <w:rFonts w:ascii="Cambria Math" w:hAnsi="Cambria Math" w:cs="Arial"/>
                        <w:sz w:val="22"/>
                        <w:szCs w:val="22"/>
                      </w:rPr>
                      <m:t>A</m:t>
                    </m:r>
                    <m:r>
                      <m:rPr>
                        <m:sty m:val="p"/>
                      </m:rPr>
                      <w:rPr>
                        <w:rFonts w:ascii="Cambria Math" w:hAnsi="Cambria Math" w:cs="Arial"/>
                        <w:sz w:val="22"/>
                        <w:szCs w:val="22"/>
                      </w:rPr>
                      <m:t>)</m:t>
                    </m:r>
                  </m:den>
                </m:f>
              </m:oMath>
            </m:oMathPara>
          </w:p>
          <w:p w14:paraId="39BC6D04" w14:textId="6EDA77E1"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w:r w:rsidRPr="00552F40">
              <w:rPr>
                <w:rFonts w:cs="Arial"/>
                <w:sz w:val="22"/>
                <w:szCs w:val="22"/>
              </w:rPr>
              <w:t xml:space="preserve">Generally, </w:t>
            </w:r>
            <m:oMath>
              <m:acc>
                <m:accPr>
                  <m:chr m:val="̅"/>
                  <m:ctrlPr>
                    <w:rPr>
                      <w:rFonts w:ascii="Cambria Math" w:hAnsi="Cambria Math" w:cs="Arial"/>
                      <w:i/>
                      <w:sz w:val="22"/>
                      <w:szCs w:val="22"/>
                    </w:rPr>
                  </m:ctrlPr>
                </m:accPr>
                <m:e>
                  <m:r>
                    <w:rPr>
                      <w:rFonts w:ascii="Cambria Math" w:hAnsi="Cambria Math" w:cs="Arial"/>
                      <w:sz w:val="22"/>
                      <w:szCs w:val="22"/>
                    </w:rPr>
                    <m:t>C</m:t>
                  </m:r>
                </m:e>
              </m:acc>
              <m:d>
                <m:dPr>
                  <m:ctrlPr>
                    <w:rPr>
                      <w:rFonts w:ascii="Cambria Math" w:hAnsi="Cambria Math" w:cs="Arial"/>
                      <w:sz w:val="22"/>
                      <w:szCs w:val="22"/>
                    </w:rPr>
                  </m:ctrlPr>
                </m:dPr>
                <m:e>
                  <m:r>
                    <w:rPr>
                      <w:rFonts w:ascii="Cambria Math" w:hAnsi="Cambria Math" w:cs="Arial"/>
                    </w:rPr>
                    <m:t>x</m:t>
                  </m:r>
                  <m:r>
                    <m:rPr>
                      <m:sty m:val="p"/>
                    </m:rPr>
                    <w:rPr>
                      <w:rFonts w:ascii="Cambria Math" w:hAnsi="Cambria Math" w:cs="Arial"/>
                    </w:rPr>
                    <m:t>,</m:t>
                  </m:r>
                  <m:r>
                    <w:rPr>
                      <w:rFonts w:ascii="Cambria Math" w:hAnsi="Cambria Math" w:cs="Arial"/>
                    </w:rPr>
                    <m:t>A</m:t>
                  </m:r>
                </m:e>
              </m:d>
            </m:oMath>
            <w:r w:rsidRPr="003967C9">
              <w:rPr>
                <w:rFonts w:cs="Arial"/>
                <w:sz w:val="22"/>
                <w:szCs w:val="22"/>
              </w:rPr>
              <w:t xml:space="preserve"> is the average log cost differential for the cohort. This is modified to a cumulative cost differential if further aggregation principles are applied. This modification is outlined in </w:t>
            </w:r>
            <w:r w:rsidRPr="003967C9">
              <w:rPr>
                <w:rFonts w:cs="Arial"/>
                <w:u w:val="single"/>
              </w:rPr>
              <w:fldChar w:fldCharType="begin"/>
            </w:r>
            <w:r w:rsidRPr="003967C9">
              <w:rPr>
                <w:rFonts w:cs="Arial"/>
                <w:sz w:val="22"/>
                <w:szCs w:val="22"/>
                <w:u w:val="single"/>
              </w:rPr>
              <w:instrText xml:space="preserve"> REF _Ref343888 \h  \* MERGEFORMAT </w:instrText>
            </w:r>
            <w:r w:rsidRPr="003967C9">
              <w:rPr>
                <w:rFonts w:cs="Arial"/>
                <w:u w:val="single"/>
              </w:rPr>
            </w:r>
            <w:r w:rsidRPr="003967C9">
              <w:rPr>
                <w:rFonts w:cs="Arial"/>
                <w:u w:val="single"/>
              </w:rPr>
              <w:fldChar w:fldCharType="separate"/>
            </w:r>
            <w:r w:rsidR="00023E24" w:rsidRPr="003967C9">
              <w:rPr>
                <w:rFonts w:cs="Arial"/>
                <w:sz w:val="22"/>
                <w:szCs w:val="22"/>
                <w:u w:val="single"/>
              </w:rPr>
              <w:t>Appendix B: Aggregation Calculations</w:t>
            </w:r>
            <w:r w:rsidRPr="003967C9">
              <w:rPr>
                <w:rFonts w:cs="Arial"/>
                <w:u w:val="single"/>
              </w:rPr>
              <w:fldChar w:fldCharType="end"/>
            </w:r>
            <w:r w:rsidRPr="003967C9">
              <w:rPr>
                <w:rFonts w:cs="Arial"/>
                <w:sz w:val="22"/>
                <w:szCs w:val="22"/>
              </w:rPr>
              <w:t>.</w:t>
            </w:r>
          </w:p>
        </w:tc>
      </w:tr>
      <w:tr w:rsidR="00BA1762" w:rsidRPr="00552F40" w14:paraId="5AFC24D8" w14:textId="77777777" w:rsidTr="00552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3227058B" w14:textId="77777777" w:rsidR="00BA1762" w:rsidRPr="00552F40" w:rsidRDefault="00BA1762" w:rsidP="000D1DE1">
            <w:pPr>
              <w:spacing w:after="160"/>
              <w:rPr>
                <w:rFonts w:cs="Arial"/>
                <w:b w:val="0"/>
                <w:sz w:val="22"/>
                <w:szCs w:val="22"/>
              </w:rPr>
            </w:pPr>
            <w:r w:rsidRPr="00552F40">
              <w:rPr>
                <w:rFonts w:cs="Arial"/>
                <w:b w:val="0"/>
                <w:sz w:val="22"/>
                <w:szCs w:val="22"/>
              </w:rPr>
              <w:t>Step 5</w:t>
            </w:r>
          </w:p>
        </w:tc>
        <w:tc>
          <w:tcPr>
            <w:tcW w:w="9214" w:type="dxa"/>
            <w:shd w:val="clear" w:color="auto" w:fill="auto"/>
          </w:tcPr>
          <w:p w14:paraId="1E0C761F" w14:textId="77777777" w:rsidR="00BA1762" w:rsidRPr="00552F40" w:rsidRDefault="009A2A35" w:rsidP="000D1DE1">
            <w:pPr>
              <w:spacing w:after="160"/>
              <w:cnfStyle w:val="000000100000" w:firstRow="0" w:lastRow="0" w:firstColumn="0" w:lastColumn="0" w:oddVBand="0" w:evenVBand="0" w:oddHBand="1" w:evenHBand="0" w:firstRowFirstColumn="0" w:firstRowLastColumn="0" w:lastRowFirstColumn="0" w:lastRowLastColumn="0"/>
              <w:rPr>
                <w:rFonts w:cs="Arial"/>
                <w:sz w:val="22"/>
                <w:szCs w:val="22"/>
              </w:rPr>
            </w:pPr>
            <m:oMathPara>
              <m:oMathParaPr>
                <m:jc m:val="left"/>
              </m:oMathParaPr>
              <m:oMath>
                <m:acc>
                  <m:accPr>
                    <m:chr m:val="̇"/>
                    <m:ctrlPr>
                      <w:rPr>
                        <w:rFonts w:ascii="Cambria Math" w:hAnsi="Cambria Math" w:cs="Arial"/>
                        <w:sz w:val="22"/>
                        <w:szCs w:val="22"/>
                      </w:rPr>
                    </m:ctrlPr>
                  </m:accPr>
                  <m:e>
                    <m:r>
                      <w:rPr>
                        <w:rFonts w:ascii="Cambria Math" w:hAnsi="Cambria Math" w:cs="Arial"/>
                        <w:sz w:val="22"/>
                        <w:szCs w:val="22"/>
                      </w:rPr>
                      <m:t>DCL</m:t>
                    </m:r>
                  </m:e>
                </m:acc>
                <m:d>
                  <m:dPr>
                    <m:ctrlPr>
                      <w:rPr>
                        <w:rFonts w:ascii="Cambria Math" w:hAnsi="Cambria Math" w:cs="Arial"/>
                        <w:sz w:val="22"/>
                        <w:szCs w:val="22"/>
                      </w:rPr>
                    </m:ctrlPr>
                  </m:dPr>
                  <m:e>
                    <m:r>
                      <w:rPr>
                        <w:rFonts w:ascii="Cambria Math" w:hAnsi="Cambria Math" w:cs="Arial"/>
                        <w:sz w:val="22"/>
                        <w:szCs w:val="22"/>
                      </w:rPr>
                      <m:t>x</m:t>
                    </m:r>
                    <m:r>
                      <m:rPr>
                        <m:sty m:val="p"/>
                      </m:rPr>
                      <w:rPr>
                        <w:rFonts w:ascii="Cambria Math" w:hAnsi="Cambria Math" w:cs="Arial"/>
                        <w:sz w:val="22"/>
                        <w:szCs w:val="22"/>
                      </w:rPr>
                      <m:t>,</m:t>
                    </m:r>
                    <m:r>
                      <w:rPr>
                        <w:rFonts w:ascii="Cambria Math" w:hAnsi="Cambria Math" w:cs="Arial"/>
                        <w:sz w:val="22"/>
                        <w:szCs w:val="22"/>
                      </w:rPr>
                      <m:t>A</m:t>
                    </m:r>
                  </m:e>
                </m:d>
              </m:oMath>
            </m:oMathPara>
          </w:p>
          <w:p w14:paraId="5F1C47D2"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rFonts w:cs="Arial"/>
                <w:sz w:val="22"/>
                <w:szCs w:val="22"/>
              </w:rPr>
            </w:pPr>
            <w:r w:rsidRPr="00552F40">
              <w:rPr>
                <w:rFonts w:cs="Arial"/>
                <w:sz w:val="22"/>
                <w:szCs w:val="22"/>
              </w:rPr>
              <w:t xml:space="preserve">The </w:t>
            </w:r>
            <m:oMath>
              <m:acc>
                <m:accPr>
                  <m:chr m:val="̅"/>
                  <m:ctrlPr>
                    <w:rPr>
                      <w:rFonts w:ascii="Cambria Math" w:hAnsi="Cambria Math" w:cs="Arial"/>
                      <w:i/>
                      <w:sz w:val="22"/>
                      <w:szCs w:val="22"/>
                    </w:rPr>
                  </m:ctrlPr>
                </m:accPr>
                <m:e>
                  <m:r>
                    <w:rPr>
                      <w:rFonts w:ascii="Cambria Math" w:hAnsi="Cambria Math" w:cs="Arial"/>
                      <w:sz w:val="22"/>
                      <w:szCs w:val="22"/>
                    </w:rPr>
                    <m:t>C</m:t>
                  </m:r>
                </m:e>
              </m:acc>
              <m:d>
                <m:dPr>
                  <m:ctrlPr>
                    <w:rPr>
                      <w:rFonts w:ascii="Cambria Math" w:hAnsi="Cambria Math" w:cs="Arial"/>
                      <w:sz w:val="22"/>
                      <w:szCs w:val="22"/>
                    </w:rPr>
                  </m:ctrlPr>
                </m:dPr>
                <m:e>
                  <m:r>
                    <w:rPr>
                      <w:rFonts w:ascii="Cambria Math" w:hAnsi="Cambria Math" w:cs="Arial"/>
                      <w:sz w:val="22"/>
                      <w:szCs w:val="22"/>
                    </w:rPr>
                    <m:t>x</m:t>
                  </m:r>
                  <m:r>
                    <m:rPr>
                      <m:sty m:val="p"/>
                    </m:rPr>
                    <w:rPr>
                      <w:rFonts w:ascii="Cambria Math" w:hAnsi="Cambria Math" w:cs="Arial"/>
                      <w:sz w:val="22"/>
                      <w:szCs w:val="22"/>
                    </w:rPr>
                    <m:t>,</m:t>
                  </m:r>
                  <m:r>
                    <w:rPr>
                      <w:rFonts w:ascii="Cambria Math" w:hAnsi="Cambria Math" w:cs="Arial"/>
                      <w:sz w:val="22"/>
                      <w:szCs w:val="22"/>
                    </w:rPr>
                    <m:t>A</m:t>
                  </m:r>
                </m:e>
              </m:d>
            </m:oMath>
            <w:r w:rsidRPr="00552F40">
              <w:rPr>
                <w:rFonts w:cs="Arial"/>
                <w:sz w:val="22"/>
                <w:szCs w:val="22"/>
              </w:rPr>
              <w:t xml:space="preserve"> calculated in step four are then standardised and capped to ensure a reasonable overall ECCS distribution for the ADRG. </w:t>
            </w:r>
          </w:p>
        </w:tc>
      </w:tr>
      <w:tr w:rsidR="00BA1762" w:rsidRPr="00552F40" w14:paraId="4F3704A5" w14:textId="77777777" w:rsidTr="00552F40">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161E5F58" w14:textId="77777777" w:rsidR="00BA1762" w:rsidRPr="00552F40" w:rsidRDefault="00BA1762" w:rsidP="000D1DE1">
            <w:pPr>
              <w:spacing w:after="160"/>
              <w:rPr>
                <w:rFonts w:cs="Arial"/>
                <w:b w:val="0"/>
                <w:sz w:val="22"/>
                <w:szCs w:val="22"/>
              </w:rPr>
            </w:pPr>
            <w:r w:rsidRPr="00552F40">
              <w:rPr>
                <w:rFonts w:cs="Arial"/>
                <w:b w:val="0"/>
                <w:sz w:val="22"/>
                <w:szCs w:val="22"/>
              </w:rPr>
              <w:t>Step 6</w:t>
            </w:r>
          </w:p>
        </w:tc>
        <w:tc>
          <w:tcPr>
            <w:tcW w:w="9214" w:type="dxa"/>
            <w:shd w:val="clear" w:color="auto" w:fill="auto"/>
          </w:tcPr>
          <w:p w14:paraId="263C6386" w14:textId="77777777" w:rsidR="00BA1762" w:rsidRPr="00552F40" w:rsidRDefault="009A2A35" w:rsidP="000D1DE1">
            <w:pPr>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m:oMathPara>
              <m:oMathParaPr>
                <m:jc m:val="left"/>
              </m:oMathParaPr>
              <m:oMath>
                <m:acc>
                  <m:accPr>
                    <m:chr m:val="̈"/>
                    <m:ctrlPr>
                      <w:rPr>
                        <w:rFonts w:ascii="Cambria Math" w:hAnsi="Cambria Math" w:cs="Arial"/>
                        <w:sz w:val="22"/>
                        <w:szCs w:val="22"/>
                      </w:rPr>
                    </m:ctrlPr>
                  </m:accPr>
                  <m:e>
                    <m:r>
                      <w:rPr>
                        <w:rFonts w:ascii="Cambria Math" w:hAnsi="Cambria Math" w:cs="Arial"/>
                        <w:sz w:val="22"/>
                        <w:szCs w:val="22"/>
                      </w:rPr>
                      <m:t>DCL</m:t>
                    </m:r>
                  </m:e>
                </m:acc>
                <m:d>
                  <m:dPr>
                    <m:ctrlPr>
                      <w:rPr>
                        <w:rFonts w:ascii="Cambria Math" w:hAnsi="Cambria Math" w:cs="Arial"/>
                        <w:sz w:val="22"/>
                        <w:szCs w:val="22"/>
                      </w:rPr>
                    </m:ctrlPr>
                  </m:dPr>
                  <m:e>
                    <m:r>
                      <w:rPr>
                        <w:rFonts w:ascii="Cambria Math" w:hAnsi="Cambria Math" w:cs="Arial"/>
                        <w:sz w:val="22"/>
                        <w:szCs w:val="22"/>
                      </w:rPr>
                      <m:t>x</m:t>
                    </m:r>
                    <m:r>
                      <m:rPr>
                        <m:sty m:val="p"/>
                      </m:rPr>
                      <w:rPr>
                        <w:rFonts w:ascii="Cambria Math" w:hAnsi="Cambria Math" w:cs="Arial"/>
                        <w:sz w:val="22"/>
                        <w:szCs w:val="22"/>
                      </w:rPr>
                      <m:t>,</m:t>
                    </m:r>
                    <m:r>
                      <w:rPr>
                        <w:rFonts w:ascii="Cambria Math" w:hAnsi="Cambria Math" w:cs="Arial"/>
                        <w:sz w:val="22"/>
                        <w:szCs w:val="22"/>
                      </w:rPr>
                      <m:t>A</m:t>
                    </m:r>
                  </m:e>
                </m:d>
              </m:oMath>
            </m:oMathPara>
          </w:p>
          <w:p w14:paraId="75C2DA20" w14:textId="77777777"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w:r w:rsidRPr="00552F40">
              <w:rPr>
                <w:rFonts w:cs="Arial"/>
                <w:sz w:val="22"/>
                <w:szCs w:val="22"/>
              </w:rPr>
              <w:t xml:space="preserve">The standardised DCLs are stabilised to the previous AR-DRG version to avoid reacting to small shifts in results. That is, </w:t>
            </w:r>
            <m:oMath>
              <m:acc>
                <m:accPr>
                  <m:chr m:val="̇"/>
                  <m:ctrlPr>
                    <w:rPr>
                      <w:rFonts w:ascii="Cambria Math" w:hAnsi="Cambria Math" w:cs="Arial"/>
                      <w:i/>
                      <w:sz w:val="22"/>
                      <w:szCs w:val="22"/>
                    </w:rPr>
                  </m:ctrlPr>
                </m:accPr>
                <m:e>
                  <m:r>
                    <w:rPr>
                      <w:rFonts w:ascii="Cambria Math" w:hAnsi="Cambria Math" w:cs="Arial"/>
                      <w:sz w:val="22"/>
                      <w:szCs w:val="22"/>
                    </w:rPr>
                    <m:t>DCL</m:t>
                  </m:r>
                </m:e>
              </m:acc>
              <m:d>
                <m:dPr>
                  <m:ctrlPr>
                    <w:rPr>
                      <w:rFonts w:ascii="Cambria Math" w:hAnsi="Cambria Math" w:cs="Arial"/>
                      <w:i/>
                      <w:sz w:val="22"/>
                      <w:szCs w:val="22"/>
                    </w:rPr>
                  </m:ctrlPr>
                </m:dPr>
                <m:e>
                  <m:r>
                    <w:rPr>
                      <w:rFonts w:ascii="Cambria Math" w:hAnsi="Cambria Math" w:cs="Arial"/>
                      <w:sz w:val="22"/>
                      <w:szCs w:val="22"/>
                    </w:rPr>
                    <m:t>x,A</m:t>
                  </m:r>
                </m:e>
              </m:d>
            </m:oMath>
            <w:r w:rsidRPr="00552F40">
              <w:rPr>
                <w:rFonts w:cs="Arial"/>
                <w:sz w:val="22"/>
                <w:szCs w:val="22"/>
              </w:rPr>
              <w:t xml:space="preserve"> would need to shift by a minimum of ±0.2 to constitute a change in a DCL. Once stabilised the DCLs are then rounded to the nearest integer.</w:t>
            </w:r>
          </w:p>
        </w:tc>
      </w:tr>
    </w:tbl>
    <w:p w14:paraId="0CBA1412" w14:textId="77777777" w:rsidR="00BA1762" w:rsidRPr="00BC28A9" w:rsidRDefault="00BA1762" w:rsidP="00BA1762">
      <w:pPr>
        <w:pStyle w:val="Heading2"/>
        <w:spacing w:before="360" w:after="120" w:line="260" w:lineRule="atLeast"/>
        <w:contextualSpacing/>
      </w:pPr>
      <w:bookmarkStart w:id="68" w:name="_Toc534624608"/>
      <w:bookmarkStart w:id="69" w:name="_Toc100842998"/>
      <w:bookmarkStart w:id="70" w:name="_Toc124657526"/>
      <w:r w:rsidRPr="00BC28A9">
        <w:t xml:space="preserve">ECCS decay </w:t>
      </w:r>
      <w:bookmarkEnd w:id="68"/>
      <w:r w:rsidRPr="00BC28A9">
        <w:t>factor</w:t>
      </w:r>
      <w:bookmarkEnd w:id="69"/>
      <w:bookmarkEnd w:id="70"/>
    </w:p>
    <w:p w14:paraId="59A0C01E" w14:textId="77777777" w:rsidR="00BA1762" w:rsidRPr="00BC28A9" w:rsidRDefault="00BA1762" w:rsidP="000D1DE1">
      <w:r w:rsidRPr="00BC28A9">
        <w:t xml:space="preserve">The ECCS decay factor is the final component required to calculate an episode ECCS. It represents the decay component that adjusts for the diminished contribution of multiple diagnoses </w:t>
      </w:r>
      <w:r>
        <w:t>in relation to</w:t>
      </w:r>
      <w:r w:rsidRPr="00BC28A9">
        <w:rPr>
          <w:rFonts w:cs="Arial"/>
        </w:rPr>
        <w:t xml:space="preserve"> their individual contribution. The ECCS of an episode </w:t>
      </w:r>
      <w:r w:rsidRPr="00BC28A9">
        <w:rPr>
          <w:rFonts w:cs="Arial"/>
          <w:i/>
        </w:rPr>
        <w:t>e</w:t>
      </w:r>
      <w:r w:rsidRPr="00BC28A9">
        <w:rPr>
          <w:rFonts w:cs="Arial"/>
        </w:rPr>
        <w:t xml:space="preserve"> in an ADRG </w:t>
      </w:r>
      <w:r w:rsidRPr="00BC28A9">
        <w:rPr>
          <w:rFonts w:cs="Arial"/>
          <w:i/>
        </w:rPr>
        <w:t xml:space="preserve">A </w:t>
      </w:r>
      <w:r w:rsidRPr="00BC28A9">
        <w:rPr>
          <w:rFonts w:cs="Arial"/>
        </w:rPr>
        <w:t xml:space="preserve">with diagnosis listed in descending order of their DCL values as </w:t>
      </w:r>
      <m:oMath>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n</m:t>
            </m:r>
          </m:sub>
        </m:sSub>
      </m:oMath>
      <w:r w:rsidRPr="00BC28A9">
        <w:rPr>
          <w:rFonts w:cs="Arial"/>
        </w:rPr>
        <w:t xml:space="preserve"> </w:t>
      </w:r>
      <w:r w:rsidRPr="00BC28A9">
        <w:rPr>
          <w:rFonts w:cs="Arial"/>
        </w:rPr>
        <w:br/>
        <w:t>(</w:t>
      </w:r>
      <w:proofErr w:type="gramStart"/>
      <w:r w:rsidRPr="00BC28A9">
        <w:rPr>
          <w:rFonts w:cs="Arial"/>
        </w:rPr>
        <w:t>i.e.</w:t>
      </w:r>
      <w:proofErr w:type="gramEnd"/>
      <m:oMath>
        <m:r>
          <m:rPr>
            <m:sty m:val="p"/>
          </m:rPr>
          <w:rPr>
            <w:rFonts w:ascii="Cambria Math" w:hAnsi="Cambria Math"/>
          </w:rPr>
          <m:t xml:space="preserve"> </m:t>
        </m:r>
        <m:acc>
          <m:accPr>
            <m:chr m:val="̈"/>
            <m:ctrlPr>
              <w:rPr>
                <w:rFonts w:ascii="Cambria Math" w:hAnsi="Cambria Math"/>
                <w:i/>
              </w:rPr>
            </m:ctrlPr>
          </m:accPr>
          <m:e>
            <m:r>
              <w:rPr>
                <w:rFonts w:ascii="Cambria Math" w:hAnsi="Cambria Math"/>
              </w:rPr>
              <m:t>DCL</m:t>
            </m:r>
          </m:e>
        </m:acc>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,A</m:t>
            </m:r>
          </m:e>
        </m:d>
        <m:r>
          <w:rPr>
            <w:rFonts w:ascii="Cambria Math" w:hAnsi="Cambria Math"/>
          </w:rPr>
          <m:t>≥</m:t>
        </m:r>
        <m:acc>
          <m:accPr>
            <m:chr m:val="̈"/>
            <m:ctrlPr>
              <w:rPr>
                <w:rFonts w:ascii="Cambria Math" w:hAnsi="Cambria Math"/>
                <w:i/>
              </w:rPr>
            </m:ctrlPr>
          </m:accPr>
          <m:e>
            <m:r>
              <w:rPr>
                <w:rFonts w:ascii="Cambria Math" w:hAnsi="Cambria Math"/>
              </w:rPr>
              <m:t>DCL</m:t>
            </m:r>
          </m:e>
        </m:acc>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,A</m:t>
            </m:r>
          </m:e>
        </m:d>
        <m:r>
          <w:rPr>
            <w:rFonts w:ascii="Cambria Math" w:hAnsi="Cambria Math"/>
          </w:rPr>
          <m:t>≥…≥</m:t>
        </m:r>
        <m:acc>
          <m:accPr>
            <m:chr m:val="̈"/>
            <m:ctrlPr>
              <w:rPr>
                <w:rFonts w:ascii="Cambria Math" w:hAnsi="Cambria Math"/>
                <w:i/>
              </w:rPr>
            </m:ctrlPr>
          </m:accPr>
          <m:e>
            <m:r>
              <w:rPr>
                <w:rFonts w:ascii="Cambria Math" w:hAnsi="Cambria Math"/>
              </w:rPr>
              <m:t>DCL</m:t>
            </m:r>
          </m:e>
        </m:acc>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,A</m:t>
            </m:r>
          </m:e>
        </m:d>
      </m:oMath>
      <w:r w:rsidRPr="00BC28A9">
        <w:t>) is defined as</w:t>
      </w:r>
      <w:r>
        <w:t>:</w:t>
      </w:r>
    </w:p>
    <w:p w14:paraId="06F726FA" w14:textId="77777777" w:rsidR="00BA1762" w:rsidRPr="00BC28A9" w:rsidRDefault="00BA1762" w:rsidP="000D1DE1">
      <w:pPr>
        <w:jc w:val="center"/>
      </w:pPr>
      <m:oMathPara>
        <m:oMathParaPr>
          <m:jc m:val="center"/>
        </m:oMathParaPr>
        <m:oMath>
          <m:r>
            <w:rPr>
              <w:rFonts w:ascii="Cambria Math" w:hAnsi="Cambria Math"/>
            </w:rPr>
            <m:t>ECCS</m:t>
          </m:r>
          <m:d>
            <m:dPr>
              <m:ctrlPr>
                <w:rPr>
                  <w:rFonts w:ascii="Cambria Math" w:hAnsi="Cambria Math"/>
                  <w:i/>
                </w:rPr>
              </m:ctrlPr>
            </m:dPr>
            <m:e>
              <m:r>
                <w:rPr>
                  <w:rFonts w:ascii="Cambria Math" w:hAnsi="Cambria Math"/>
                </w:rPr>
                <m:t>e</m:t>
              </m:r>
            </m:e>
          </m:d>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acc>
                <m:accPr>
                  <m:chr m:val="̈"/>
                  <m:ctrlPr>
                    <w:rPr>
                      <w:rFonts w:ascii="Cambria Math" w:hAnsi="Cambria Math"/>
                      <w:i/>
                    </w:rPr>
                  </m:ctrlPr>
                </m:accPr>
                <m:e>
                  <m:r>
                    <w:rPr>
                      <w:rFonts w:ascii="Cambria Math" w:hAnsi="Cambria Math"/>
                    </w:rPr>
                    <m:t>DCL</m:t>
                  </m:r>
                </m:e>
              </m:acc>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,A</m:t>
                  </m:r>
                </m:e>
              </m:d>
              <m:r>
                <w:rPr>
                  <w:rFonts w:ascii="Cambria Math" w:hAnsi="Cambria Math"/>
                </w:rPr>
                <m:t>×</m:t>
              </m:r>
              <m:sSup>
                <m:sSupPr>
                  <m:ctrlPr>
                    <w:rPr>
                      <w:rFonts w:ascii="Cambria Math" w:hAnsi="Cambria Math"/>
                      <w:i/>
                    </w:rPr>
                  </m:ctrlPr>
                </m:sSupPr>
                <m:e>
                  <m:d>
                    <m:dPr>
                      <m:ctrlPr>
                        <w:rPr>
                          <w:rFonts w:ascii="Cambria Math" w:hAnsi="Cambria Math"/>
                          <w:i/>
                        </w:rPr>
                      </m:ctrlPr>
                    </m:dPr>
                    <m:e>
                      <m:acc>
                        <m:accPr>
                          <m:chr m:val="̃"/>
                          <m:ctrlPr>
                            <w:rPr>
                              <w:rFonts w:ascii="Cambria Math" w:hAnsi="Cambria Math"/>
                              <w:i/>
                            </w:rPr>
                          </m:ctrlPr>
                        </m:accPr>
                        <m:e>
                          <m:r>
                            <w:rPr>
                              <w:rFonts w:ascii="Cambria Math" w:hAnsi="Cambria Math"/>
                            </w:rPr>
                            <m:t>r</m:t>
                          </m:r>
                        </m:e>
                      </m:acc>
                    </m:e>
                  </m:d>
                </m:e>
                <m:sup>
                  <m:r>
                    <w:rPr>
                      <w:rFonts w:ascii="Cambria Math" w:hAnsi="Cambria Math"/>
                    </w:rPr>
                    <m:t>i-1</m:t>
                  </m:r>
                </m:sup>
              </m:sSup>
            </m:e>
          </m:nary>
        </m:oMath>
      </m:oMathPara>
    </w:p>
    <w:p w14:paraId="529F03C2" w14:textId="77777777" w:rsidR="00BA1762" w:rsidRPr="00BC28A9" w:rsidRDefault="00BA1762" w:rsidP="000D1DE1">
      <w:pPr>
        <w:jc w:val="center"/>
      </w:pPr>
      <w:r w:rsidRPr="00BC28A9">
        <w:t xml:space="preserve">Where </w:t>
      </w:r>
      <m:oMath>
        <m:acc>
          <m:accPr>
            <m:chr m:val="̃"/>
            <m:ctrlPr>
              <w:rPr>
                <w:rFonts w:ascii="Cambria Math" w:hAnsi="Cambria Math"/>
                <w:i/>
              </w:rPr>
            </m:ctrlPr>
          </m:accPr>
          <m:e>
            <m:r>
              <w:rPr>
                <w:rFonts w:ascii="Cambria Math" w:hAnsi="Cambria Math"/>
              </w:rPr>
              <m:t>r</m:t>
            </m:r>
          </m:e>
        </m:acc>
        <m:r>
          <w:rPr>
            <w:rFonts w:ascii="Cambria Math" w:hAnsi="Cambria Math"/>
          </w:rPr>
          <m:t>=ECCS Decay Factor</m:t>
        </m:r>
      </m:oMath>
    </w:p>
    <w:p w14:paraId="3960197F" w14:textId="77777777" w:rsidR="00BA1762" w:rsidRPr="00BC28A9" w:rsidRDefault="00BA1762" w:rsidP="000D1DE1">
      <w:r w:rsidRPr="00BC28A9">
        <w:lastRenderedPageBreak/>
        <w:t>Adopting the above definition for all episodes, decay factors (</w:t>
      </w:r>
      <m:oMath>
        <m:acc>
          <m:accPr>
            <m:chr m:val="̃"/>
            <m:ctrlPr>
              <w:rPr>
                <w:rFonts w:ascii="Cambria Math" w:hAnsi="Cambria Math"/>
                <w:i/>
              </w:rPr>
            </m:ctrlPr>
          </m:accPr>
          <m:e>
            <m:r>
              <w:rPr>
                <w:rFonts w:ascii="Cambria Math" w:hAnsi="Cambria Math"/>
              </w:rPr>
              <m:t>r</m:t>
            </m:r>
          </m:e>
        </m:acc>
      </m:oMath>
      <w:r w:rsidRPr="00BC28A9">
        <w:t xml:space="preserve">) between 0.83 and 0.88 were assessed. A decay factor of </w:t>
      </w:r>
      <m:oMath>
        <m:acc>
          <m:accPr>
            <m:chr m:val="̃"/>
            <m:ctrlPr>
              <w:rPr>
                <w:rFonts w:ascii="Cambria Math" w:hAnsi="Cambria Math"/>
                <w:i/>
              </w:rPr>
            </m:ctrlPr>
          </m:accPr>
          <m:e>
            <m:r>
              <w:rPr>
                <w:rFonts w:ascii="Cambria Math" w:hAnsi="Cambria Math"/>
              </w:rPr>
              <m:t>r</m:t>
            </m:r>
          </m:e>
        </m:acc>
        <m:r>
          <w:rPr>
            <w:rFonts w:ascii="Cambria Math" w:hAnsi="Cambria Math"/>
          </w:rPr>
          <m:t>=0.86</m:t>
        </m:r>
      </m:oMath>
      <w:r w:rsidRPr="00BC28A9">
        <w:t xml:space="preserve"> was identified as the best fit with regards to statistical performance. Replacing </w:t>
      </w:r>
      <m:oMath>
        <m:acc>
          <m:accPr>
            <m:chr m:val="̃"/>
            <m:ctrlPr>
              <w:rPr>
                <w:rFonts w:ascii="Cambria Math" w:hAnsi="Cambria Math"/>
                <w:i/>
              </w:rPr>
            </m:ctrlPr>
          </m:accPr>
          <m:e>
            <m:r>
              <w:rPr>
                <w:rFonts w:ascii="Cambria Math" w:hAnsi="Cambria Math"/>
              </w:rPr>
              <m:t>r</m:t>
            </m:r>
          </m:e>
        </m:acc>
      </m:oMath>
      <w:r w:rsidRPr="00BC28A9">
        <w:t xml:space="preserve"> by 0.86 in the above formula, the ECCS of episode </w:t>
      </w:r>
      <w:r w:rsidRPr="00BC28A9">
        <w:rPr>
          <w:rFonts w:cs="Arial"/>
          <w:i/>
        </w:rPr>
        <w:t>e</w:t>
      </w:r>
      <w:r w:rsidRPr="00BC28A9">
        <w:t xml:space="preserve"> becomes: </w:t>
      </w:r>
    </w:p>
    <w:p w14:paraId="36BEE5D1" w14:textId="77777777" w:rsidR="00BA1762" w:rsidRPr="00BC28A9" w:rsidRDefault="00BA1762" w:rsidP="000D1DE1">
      <w:pPr>
        <w:jc w:val="center"/>
      </w:pPr>
      <m:oMathPara>
        <m:oMathParaPr>
          <m:jc m:val="center"/>
        </m:oMathParaPr>
        <m:oMath>
          <m:r>
            <w:rPr>
              <w:rFonts w:ascii="Cambria Math" w:hAnsi="Cambria Math"/>
            </w:rPr>
            <m:t>ECCS</m:t>
          </m:r>
          <m:d>
            <m:dPr>
              <m:ctrlPr>
                <w:rPr>
                  <w:rFonts w:ascii="Cambria Math" w:hAnsi="Cambria Math"/>
                  <w:i/>
                </w:rPr>
              </m:ctrlPr>
            </m:dPr>
            <m:e>
              <m:r>
                <w:rPr>
                  <w:rFonts w:ascii="Cambria Math" w:hAnsi="Cambria Math"/>
                </w:rPr>
                <m:t>e</m:t>
              </m:r>
            </m:e>
          </m:d>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acc>
                <m:accPr>
                  <m:chr m:val="̈"/>
                  <m:ctrlPr>
                    <w:rPr>
                      <w:rFonts w:ascii="Cambria Math" w:hAnsi="Cambria Math"/>
                      <w:i/>
                    </w:rPr>
                  </m:ctrlPr>
                </m:accPr>
                <m:e>
                  <m:r>
                    <w:rPr>
                      <w:rFonts w:ascii="Cambria Math" w:hAnsi="Cambria Math"/>
                    </w:rPr>
                    <m:t>DCL</m:t>
                  </m:r>
                </m:e>
              </m:acc>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,A</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0.86</m:t>
                      </m:r>
                    </m:e>
                  </m:d>
                </m:e>
                <m:sup>
                  <m:r>
                    <w:rPr>
                      <w:rFonts w:ascii="Cambria Math" w:hAnsi="Cambria Math"/>
                    </w:rPr>
                    <m:t>i-1</m:t>
                  </m:r>
                </m:sup>
              </m:sSup>
            </m:e>
          </m:nary>
        </m:oMath>
      </m:oMathPara>
    </w:p>
    <w:p w14:paraId="257A862A" w14:textId="77777777" w:rsidR="00552F40" w:rsidRDefault="00552F40" w:rsidP="00536234">
      <w:pPr>
        <w:rPr>
          <w:rFonts w:eastAsiaTheme="majorEastAsia" w:cstheme="majorBidi"/>
          <w:b/>
          <w:sz w:val="72"/>
          <w:szCs w:val="32"/>
        </w:rPr>
        <w:sectPr w:rsidR="00552F40" w:rsidSect="002261C0">
          <w:pgSz w:w="11906" w:h="16838" w:code="9"/>
          <w:pgMar w:top="2041" w:right="1440" w:bottom="1021" w:left="1134" w:header="680" w:footer="510" w:gutter="0"/>
          <w:cols w:space="708"/>
          <w:docGrid w:linePitch="360"/>
        </w:sectPr>
      </w:pPr>
    </w:p>
    <w:p w14:paraId="44E83822" w14:textId="77777777" w:rsidR="00BA1762" w:rsidRPr="00BC28A9" w:rsidRDefault="00BA1762" w:rsidP="00412D3E">
      <w:pPr>
        <w:pStyle w:val="Heading1"/>
        <w:spacing w:after="1080" w:line="240" w:lineRule="auto"/>
        <w:ind w:left="567" w:hanging="567"/>
        <w:contextualSpacing/>
      </w:pPr>
      <w:bookmarkStart w:id="71" w:name="_Ref534197712"/>
      <w:bookmarkStart w:id="72" w:name="_Toc534624609"/>
      <w:bookmarkStart w:id="73" w:name="_Toc100842999"/>
      <w:bookmarkStart w:id="74" w:name="_Toc124657527"/>
      <w:r w:rsidRPr="00BC28A9">
        <w:lastRenderedPageBreak/>
        <w:t xml:space="preserve">ADRG Splitting </w:t>
      </w:r>
      <w:bookmarkEnd w:id="71"/>
      <w:bookmarkEnd w:id="72"/>
      <w:r w:rsidRPr="00BC28A9">
        <w:t>Review</w:t>
      </w:r>
      <w:bookmarkEnd w:id="73"/>
      <w:bookmarkEnd w:id="74"/>
    </w:p>
    <w:p w14:paraId="1BBE5A14" w14:textId="77777777" w:rsidR="00BA1762" w:rsidRPr="00BC28A9" w:rsidRDefault="00BA1762" w:rsidP="00BA1762">
      <w:pPr>
        <w:pStyle w:val="Heading2"/>
        <w:spacing w:before="360" w:after="120" w:line="260" w:lineRule="atLeast"/>
        <w:contextualSpacing/>
      </w:pPr>
      <w:bookmarkStart w:id="75" w:name="_Overview"/>
      <w:bookmarkStart w:id="76" w:name="_Ref532547437"/>
      <w:bookmarkStart w:id="77" w:name="_Toc534624610"/>
      <w:bookmarkStart w:id="78" w:name="_Toc100843000"/>
      <w:bookmarkStart w:id="79" w:name="_Toc124657528"/>
      <w:bookmarkEnd w:id="75"/>
      <w:r w:rsidRPr="00BC28A9">
        <w:t>Overview</w:t>
      </w:r>
      <w:bookmarkEnd w:id="76"/>
      <w:bookmarkEnd w:id="77"/>
      <w:bookmarkEnd w:id="78"/>
      <w:bookmarkEnd w:id="79"/>
    </w:p>
    <w:p w14:paraId="7092700E" w14:textId="77777777" w:rsidR="00BA1762" w:rsidRPr="00BC28A9" w:rsidRDefault="00BA1762" w:rsidP="000D1DE1">
      <w:r w:rsidRPr="00BC28A9">
        <w:t xml:space="preserve">An episode of care is initially assigned to an ADRG which broadly group episodes with the same diagnosis and intervention profile. The final stage is to subdivide (or ‘split’) each ADRG into individual DRGs based on the ECCS and occasionally other factors such as separation mode, LOS and age. DRG principles specified in the </w:t>
      </w:r>
      <w:r w:rsidRPr="00BC28A9">
        <w:rPr>
          <w:i/>
        </w:rPr>
        <w:t>Governance Framework for the Development of the Admitted Care Classifications</w:t>
      </w:r>
      <w:r w:rsidRPr="00BC28A9">
        <w:t xml:space="preserve"> are used to determine when a complexity split is warranted within an ADRG. These principles are expected to be met for the majority of the ADRGs. While it is optimal that all DRG principles are met, there are some exceptions where ADRGs have been split without satisfying all </w:t>
      </w:r>
      <w:r>
        <w:t>principles</w:t>
      </w:r>
      <w:r w:rsidRPr="00BC28A9">
        <w:t xml:space="preserve">. </w:t>
      </w:r>
    </w:p>
    <w:p w14:paraId="3CE1AB2B" w14:textId="6C43121F" w:rsidR="00BA1762" w:rsidRPr="00BC28A9" w:rsidRDefault="0023544F" w:rsidP="000D1DE1">
      <w:r>
        <w:rPr>
          <w:b/>
          <w:bCs/>
        </w:rPr>
        <w:t xml:space="preserve">Table </w:t>
      </w:r>
      <w:r w:rsidR="00BA1762" w:rsidRPr="00DE1EAF">
        <w:rPr>
          <w:b/>
          <w:bCs/>
        </w:rPr>
        <w:fldChar w:fldCharType="begin"/>
      </w:r>
      <w:r w:rsidR="00BA1762" w:rsidRPr="00DE1EAF">
        <w:rPr>
          <w:b/>
          <w:bCs/>
        </w:rPr>
        <w:instrText xml:space="preserve"> REF _Ref536779284 \h </w:instrText>
      </w:r>
      <w:r w:rsidR="00BA1762">
        <w:rPr>
          <w:b/>
          <w:bCs/>
        </w:rPr>
        <w:instrText xml:space="preserve"> \* MERGEFORMAT </w:instrText>
      </w:r>
      <w:r w:rsidR="00BA1762" w:rsidRPr="00DE1EAF">
        <w:rPr>
          <w:b/>
          <w:bCs/>
        </w:rPr>
      </w:r>
      <w:r w:rsidR="009A2A35">
        <w:rPr>
          <w:b/>
          <w:bCs/>
        </w:rPr>
        <w:fldChar w:fldCharType="separate"/>
      </w:r>
      <w:r w:rsidR="00BA1762" w:rsidRPr="00DE1EAF">
        <w:rPr>
          <w:b/>
          <w:bCs/>
        </w:rPr>
        <w:fldChar w:fldCharType="end"/>
      </w:r>
      <w:r w:rsidR="00BA1762" w:rsidRPr="00DE1EAF">
        <w:rPr>
          <w:b/>
          <w:bCs/>
        </w:rPr>
        <w:t>10</w:t>
      </w:r>
      <w:r w:rsidR="00BA1762" w:rsidRPr="00BC28A9">
        <w:t xml:space="preserve"> outlines the DRG principles used for splitting the ADRGs for AR-DRG V11.0. </w:t>
      </w:r>
    </w:p>
    <w:p w14:paraId="3870619F" w14:textId="77777777" w:rsidR="00BA1762" w:rsidRPr="000D1DE1" w:rsidRDefault="00BA1762" w:rsidP="00283621">
      <w:pPr>
        <w:pStyle w:val="Caption"/>
      </w:pPr>
      <w:bookmarkStart w:id="80" w:name="_Ref536779284"/>
      <w:r w:rsidRPr="000D1DE1">
        <w:t xml:space="preserve">Table </w:t>
      </w:r>
      <w:bookmarkEnd w:id="80"/>
      <w:r w:rsidRPr="000D1DE1">
        <w:t>10: AR-DRG V11.0 DRG principles</w:t>
      </w:r>
    </w:p>
    <w:tbl>
      <w:tblPr>
        <w:tblStyle w:val="ListTable3-Accent1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8036"/>
      </w:tblGrid>
      <w:tr w:rsidR="00552F40" w:rsidRPr="00552F40" w14:paraId="05A087FB" w14:textId="77777777" w:rsidTr="00552F40">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100" w:firstRow="0" w:lastRow="0" w:firstColumn="1" w:lastColumn="0" w:oddVBand="0" w:evenVBand="0" w:oddHBand="0" w:evenHBand="0" w:firstRowFirstColumn="1" w:firstRowLastColumn="0" w:lastRowFirstColumn="0" w:lastRowLastColumn="0"/>
            <w:tcW w:w="690" w:type="pct"/>
            <w:shd w:val="clear" w:color="auto" w:fill="104F99" w:themeFill="accent2"/>
          </w:tcPr>
          <w:p w14:paraId="4A5DD1CD" w14:textId="77777777" w:rsidR="00BA1762" w:rsidRPr="00552F40" w:rsidRDefault="00BA1762" w:rsidP="000D1DE1">
            <w:pPr>
              <w:spacing w:after="160"/>
              <w:rPr>
                <w:color w:val="FFFFFF" w:themeColor="accent6"/>
                <w:sz w:val="22"/>
                <w:szCs w:val="22"/>
              </w:rPr>
            </w:pPr>
            <w:r w:rsidRPr="00552F40">
              <w:rPr>
                <w:color w:val="FFFFFF" w:themeColor="accent6"/>
                <w:sz w:val="22"/>
                <w:szCs w:val="22"/>
              </w:rPr>
              <w:t>Principle</w:t>
            </w:r>
          </w:p>
        </w:tc>
        <w:tc>
          <w:tcPr>
            <w:tcW w:w="4310" w:type="pct"/>
            <w:shd w:val="clear" w:color="auto" w:fill="104F99" w:themeFill="accent2"/>
          </w:tcPr>
          <w:p w14:paraId="0C46726D" w14:textId="77777777" w:rsidR="00BA1762" w:rsidRPr="00552F40" w:rsidRDefault="00BA1762" w:rsidP="000D1DE1">
            <w:pPr>
              <w:spacing w:after="160"/>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552F40">
              <w:rPr>
                <w:color w:val="FFFFFF" w:themeColor="accent6"/>
                <w:sz w:val="22"/>
                <w:szCs w:val="22"/>
              </w:rPr>
              <w:t>Description</w:t>
            </w:r>
          </w:p>
        </w:tc>
      </w:tr>
      <w:tr w:rsidR="00BA1762" w:rsidRPr="00552F40" w14:paraId="210ABB8C" w14:textId="77777777" w:rsidTr="00552F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0" w:type="pct"/>
            <w:shd w:val="clear" w:color="auto" w:fill="auto"/>
          </w:tcPr>
          <w:p w14:paraId="7A8D6D7D" w14:textId="77777777" w:rsidR="00BA1762" w:rsidRPr="00552F40" w:rsidRDefault="00BA1762" w:rsidP="000D1DE1">
            <w:pPr>
              <w:spacing w:after="160"/>
              <w:rPr>
                <w:b w:val="0"/>
                <w:sz w:val="22"/>
                <w:szCs w:val="22"/>
              </w:rPr>
            </w:pPr>
            <w:r w:rsidRPr="00552F40">
              <w:rPr>
                <w:b w:val="0"/>
                <w:sz w:val="22"/>
                <w:szCs w:val="22"/>
              </w:rPr>
              <w:t>1</w:t>
            </w:r>
          </w:p>
        </w:tc>
        <w:tc>
          <w:tcPr>
            <w:tcW w:w="4310" w:type="pct"/>
            <w:shd w:val="clear" w:color="auto" w:fill="auto"/>
          </w:tcPr>
          <w:p w14:paraId="1EAE554A"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A DRG must have at least 200 episodes per year, except for those within an ADRG with a limited number of episodes.</w:t>
            </w:r>
          </w:p>
        </w:tc>
      </w:tr>
      <w:tr w:rsidR="00BA1762" w:rsidRPr="00552F40" w14:paraId="267A2032" w14:textId="77777777" w:rsidTr="00552F40">
        <w:trPr>
          <w:jc w:val="center"/>
        </w:trPr>
        <w:tc>
          <w:tcPr>
            <w:cnfStyle w:val="001000000000" w:firstRow="0" w:lastRow="0" w:firstColumn="1" w:lastColumn="0" w:oddVBand="0" w:evenVBand="0" w:oddHBand="0" w:evenHBand="0" w:firstRowFirstColumn="0" w:firstRowLastColumn="0" w:lastRowFirstColumn="0" w:lastRowLastColumn="0"/>
            <w:tcW w:w="690" w:type="pct"/>
            <w:shd w:val="clear" w:color="auto" w:fill="auto"/>
          </w:tcPr>
          <w:p w14:paraId="33C99E29" w14:textId="77777777" w:rsidR="00BA1762" w:rsidRPr="00552F40" w:rsidRDefault="00BA1762" w:rsidP="000D1DE1">
            <w:pPr>
              <w:spacing w:after="160"/>
              <w:rPr>
                <w:b w:val="0"/>
                <w:sz w:val="22"/>
                <w:szCs w:val="22"/>
              </w:rPr>
            </w:pPr>
            <w:r w:rsidRPr="00552F40">
              <w:rPr>
                <w:b w:val="0"/>
                <w:sz w:val="22"/>
                <w:szCs w:val="22"/>
              </w:rPr>
              <w:t>2</w:t>
            </w:r>
          </w:p>
        </w:tc>
        <w:tc>
          <w:tcPr>
            <w:tcW w:w="4310" w:type="pct"/>
            <w:shd w:val="clear" w:color="auto" w:fill="auto"/>
          </w:tcPr>
          <w:p w14:paraId="58C55C7E" w14:textId="77777777"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A DRG must have a minimum total cost of $1 million per year.</w:t>
            </w:r>
          </w:p>
        </w:tc>
      </w:tr>
      <w:tr w:rsidR="00BA1762" w:rsidRPr="00552F40" w14:paraId="4166A598" w14:textId="77777777" w:rsidTr="00552F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0" w:type="pct"/>
            <w:shd w:val="clear" w:color="auto" w:fill="auto"/>
          </w:tcPr>
          <w:p w14:paraId="3631F083" w14:textId="77777777" w:rsidR="00BA1762" w:rsidRPr="00552F40" w:rsidRDefault="00BA1762" w:rsidP="000D1DE1">
            <w:pPr>
              <w:spacing w:after="160"/>
              <w:rPr>
                <w:b w:val="0"/>
                <w:sz w:val="22"/>
                <w:szCs w:val="22"/>
              </w:rPr>
            </w:pPr>
            <w:r w:rsidRPr="00552F40">
              <w:rPr>
                <w:b w:val="0"/>
                <w:sz w:val="22"/>
                <w:szCs w:val="22"/>
              </w:rPr>
              <w:t>3</w:t>
            </w:r>
          </w:p>
        </w:tc>
        <w:tc>
          <w:tcPr>
            <w:tcW w:w="4310" w:type="pct"/>
            <w:shd w:val="clear" w:color="auto" w:fill="auto"/>
          </w:tcPr>
          <w:p w14:paraId="34E49CF8"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A DRG must have at least 10 per cent of episodes within the ADRG.</w:t>
            </w:r>
            <w:r w:rsidRPr="00552F40" w:rsidDel="00DE28C2">
              <w:rPr>
                <w:sz w:val="22"/>
                <w:szCs w:val="22"/>
              </w:rPr>
              <w:t xml:space="preserve"> </w:t>
            </w:r>
          </w:p>
        </w:tc>
      </w:tr>
      <w:tr w:rsidR="00BA1762" w:rsidRPr="00552F40" w14:paraId="457B2749" w14:textId="77777777" w:rsidTr="00552F40">
        <w:trPr>
          <w:jc w:val="center"/>
        </w:trPr>
        <w:tc>
          <w:tcPr>
            <w:cnfStyle w:val="001000000000" w:firstRow="0" w:lastRow="0" w:firstColumn="1" w:lastColumn="0" w:oddVBand="0" w:evenVBand="0" w:oddHBand="0" w:evenHBand="0" w:firstRowFirstColumn="0" w:firstRowLastColumn="0" w:lastRowFirstColumn="0" w:lastRowLastColumn="0"/>
            <w:tcW w:w="690" w:type="pct"/>
            <w:shd w:val="clear" w:color="auto" w:fill="auto"/>
          </w:tcPr>
          <w:p w14:paraId="19EB8758" w14:textId="77777777" w:rsidR="00BA1762" w:rsidRPr="00552F40" w:rsidRDefault="00BA1762" w:rsidP="000D1DE1">
            <w:pPr>
              <w:spacing w:after="160"/>
              <w:rPr>
                <w:b w:val="0"/>
                <w:sz w:val="22"/>
                <w:szCs w:val="22"/>
              </w:rPr>
            </w:pPr>
            <w:r w:rsidRPr="00552F40">
              <w:rPr>
                <w:b w:val="0"/>
                <w:sz w:val="22"/>
                <w:szCs w:val="22"/>
              </w:rPr>
              <w:t>4</w:t>
            </w:r>
          </w:p>
        </w:tc>
        <w:tc>
          <w:tcPr>
            <w:tcW w:w="4310" w:type="pct"/>
            <w:shd w:val="clear" w:color="auto" w:fill="auto"/>
          </w:tcPr>
          <w:p w14:paraId="7BB40D9D" w14:textId="77777777"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The absolute change in mean cost between consecutive DRGs must be at least $3,700.</w:t>
            </w:r>
          </w:p>
        </w:tc>
      </w:tr>
      <w:tr w:rsidR="00BA1762" w:rsidRPr="00552F40" w14:paraId="5C54A50D" w14:textId="77777777" w:rsidTr="00552F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0" w:type="pct"/>
            <w:shd w:val="clear" w:color="auto" w:fill="auto"/>
          </w:tcPr>
          <w:p w14:paraId="209F010D" w14:textId="77777777" w:rsidR="00BA1762" w:rsidRPr="00552F40" w:rsidRDefault="00BA1762" w:rsidP="000D1DE1">
            <w:pPr>
              <w:spacing w:after="160"/>
              <w:rPr>
                <w:b w:val="0"/>
                <w:sz w:val="22"/>
                <w:szCs w:val="22"/>
              </w:rPr>
            </w:pPr>
            <w:r w:rsidRPr="00552F40">
              <w:rPr>
                <w:b w:val="0"/>
                <w:sz w:val="22"/>
                <w:szCs w:val="22"/>
              </w:rPr>
              <w:t>5</w:t>
            </w:r>
          </w:p>
        </w:tc>
        <w:tc>
          <w:tcPr>
            <w:tcW w:w="4310" w:type="pct"/>
            <w:shd w:val="clear" w:color="auto" w:fill="auto"/>
          </w:tcPr>
          <w:p w14:paraId="0EF807EC"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The relative change in mean cost between consecutive DRGs should be at least 2 times.</w:t>
            </w:r>
          </w:p>
        </w:tc>
      </w:tr>
      <w:tr w:rsidR="00BA1762" w:rsidRPr="00552F40" w14:paraId="0B8D7096" w14:textId="77777777" w:rsidTr="00552F40">
        <w:trPr>
          <w:jc w:val="center"/>
        </w:trPr>
        <w:tc>
          <w:tcPr>
            <w:cnfStyle w:val="001000000000" w:firstRow="0" w:lastRow="0" w:firstColumn="1" w:lastColumn="0" w:oddVBand="0" w:evenVBand="0" w:oddHBand="0" w:evenHBand="0" w:firstRowFirstColumn="0" w:firstRowLastColumn="0" w:lastRowFirstColumn="0" w:lastRowLastColumn="0"/>
            <w:tcW w:w="690" w:type="pct"/>
            <w:shd w:val="clear" w:color="auto" w:fill="auto"/>
          </w:tcPr>
          <w:p w14:paraId="364CC608" w14:textId="77777777" w:rsidR="00BA1762" w:rsidRPr="00552F40" w:rsidRDefault="00BA1762" w:rsidP="000D1DE1">
            <w:pPr>
              <w:spacing w:after="160"/>
              <w:rPr>
                <w:b w:val="0"/>
                <w:sz w:val="22"/>
                <w:szCs w:val="22"/>
              </w:rPr>
            </w:pPr>
            <w:r w:rsidRPr="00552F40">
              <w:rPr>
                <w:b w:val="0"/>
                <w:sz w:val="22"/>
                <w:szCs w:val="22"/>
              </w:rPr>
              <w:t>6</w:t>
            </w:r>
          </w:p>
        </w:tc>
        <w:tc>
          <w:tcPr>
            <w:tcW w:w="4310" w:type="pct"/>
            <w:shd w:val="clear" w:color="auto" w:fill="auto"/>
          </w:tcPr>
          <w:p w14:paraId="3A55E05F" w14:textId="77777777"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There should be an inverse trend between the number of episodes in a DRG and the complexity level of the DRG.</w:t>
            </w:r>
          </w:p>
        </w:tc>
      </w:tr>
    </w:tbl>
    <w:p w14:paraId="4C24D653" w14:textId="77777777" w:rsidR="00BA1762" w:rsidRPr="00BC28A9" w:rsidRDefault="00BA1762" w:rsidP="000D1DE1">
      <w:pPr>
        <w:spacing w:before="120"/>
      </w:pPr>
      <w:r w:rsidRPr="00BC28A9">
        <w:t xml:space="preserve">All ADRGs are then assessed using the ADRG splitting methodology as outlined in </w:t>
      </w:r>
      <w:r w:rsidRPr="00DE1EAF">
        <w:rPr>
          <w:b/>
          <w:bCs/>
        </w:rPr>
        <w:t>Table 11</w:t>
      </w:r>
      <w:r w:rsidRPr="00BC28A9">
        <w:t>.</w:t>
      </w:r>
    </w:p>
    <w:p w14:paraId="5AA0BBBE" w14:textId="77777777" w:rsidR="00BA1762" w:rsidRDefault="00BA1762" w:rsidP="00BA1762">
      <w:pPr>
        <w:spacing w:after="0" w:line="240" w:lineRule="auto"/>
        <w:rPr>
          <w:b/>
          <w:bCs/>
          <w:color w:val="15272F" w:themeColor="accent1"/>
          <w:sz w:val="18"/>
          <w:szCs w:val="18"/>
        </w:rPr>
      </w:pPr>
      <w:r>
        <w:br w:type="page"/>
      </w:r>
    </w:p>
    <w:p w14:paraId="634F5CC3" w14:textId="77777777" w:rsidR="00BA1762" w:rsidRPr="000D1DE1" w:rsidRDefault="00BA1762" w:rsidP="00283621">
      <w:pPr>
        <w:pStyle w:val="Caption"/>
      </w:pPr>
      <w:r w:rsidRPr="000D1DE1">
        <w:lastRenderedPageBreak/>
        <w:t>Table 11: ADRG splitting methodology</w:t>
      </w:r>
    </w:p>
    <w:tbl>
      <w:tblPr>
        <w:tblStyle w:val="ListTable3-Accent1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775"/>
      </w:tblGrid>
      <w:tr w:rsidR="00552F40" w:rsidRPr="00552F40" w14:paraId="7759A5B5" w14:textId="77777777" w:rsidTr="00552F40">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100" w:firstRow="0" w:lastRow="0" w:firstColumn="1" w:lastColumn="0" w:oddVBand="0" w:evenVBand="0" w:oddHBand="0" w:evenHBand="0" w:firstRowFirstColumn="1" w:firstRowLastColumn="0" w:lastRowFirstColumn="0" w:lastRowLastColumn="0"/>
            <w:tcW w:w="1366" w:type="pct"/>
            <w:shd w:val="clear" w:color="auto" w:fill="104F99" w:themeFill="accent2"/>
          </w:tcPr>
          <w:p w14:paraId="76A67E87" w14:textId="77777777" w:rsidR="00BA1762" w:rsidRPr="00552F40" w:rsidRDefault="00BA1762" w:rsidP="000D1DE1">
            <w:pPr>
              <w:spacing w:after="160"/>
              <w:rPr>
                <w:color w:val="FFFFFF" w:themeColor="accent6"/>
                <w:sz w:val="22"/>
                <w:szCs w:val="22"/>
              </w:rPr>
            </w:pPr>
            <w:r w:rsidRPr="00552F40">
              <w:rPr>
                <w:color w:val="FFFFFF" w:themeColor="accent6"/>
                <w:sz w:val="22"/>
                <w:szCs w:val="22"/>
              </w:rPr>
              <w:t>Step</w:t>
            </w:r>
          </w:p>
        </w:tc>
        <w:tc>
          <w:tcPr>
            <w:tcW w:w="3634" w:type="pct"/>
            <w:shd w:val="clear" w:color="auto" w:fill="104F99" w:themeFill="accent2"/>
          </w:tcPr>
          <w:p w14:paraId="6C50EB24" w14:textId="77777777" w:rsidR="00BA1762" w:rsidRPr="00552F40" w:rsidRDefault="00BA1762" w:rsidP="000D1DE1">
            <w:pPr>
              <w:spacing w:after="160"/>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552F40">
              <w:rPr>
                <w:color w:val="FFFFFF" w:themeColor="accent6"/>
                <w:sz w:val="22"/>
                <w:szCs w:val="22"/>
              </w:rPr>
              <w:t>Description</w:t>
            </w:r>
          </w:p>
        </w:tc>
      </w:tr>
      <w:tr w:rsidR="00BA1762" w:rsidRPr="00552F40" w14:paraId="2047C80B" w14:textId="77777777" w:rsidTr="00552F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6" w:type="pct"/>
            <w:shd w:val="clear" w:color="auto" w:fill="auto"/>
          </w:tcPr>
          <w:p w14:paraId="453704AB" w14:textId="77777777" w:rsidR="00BA1762" w:rsidRPr="00552F40" w:rsidRDefault="00BA1762" w:rsidP="000D1DE1">
            <w:pPr>
              <w:spacing w:after="160"/>
              <w:ind w:left="198" w:hanging="198"/>
              <w:rPr>
                <w:b w:val="0"/>
                <w:sz w:val="22"/>
                <w:szCs w:val="22"/>
              </w:rPr>
            </w:pPr>
            <w:r w:rsidRPr="00552F40">
              <w:rPr>
                <w:b w:val="0"/>
                <w:sz w:val="22"/>
                <w:szCs w:val="22"/>
              </w:rPr>
              <w:t>1 Threshold simulation</w:t>
            </w:r>
          </w:p>
        </w:tc>
        <w:tc>
          <w:tcPr>
            <w:tcW w:w="3634" w:type="pct"/>
            <w:shd w:val="clear" w:color="auto" w:fill="auto"/>
          </w:tcPr>
          <w:p w14:paraId="6ABAEDF5" w14:textId="77777777" w:rsidR="00BA1762" w:rsidRPr="00552F40" w:rsidRDefault="00BA1762" w:rsidP="000D1DE1">
            <w:pPr>
              <w:pStyle w:val="ListBullet"/>
              <w:spacing w:before="0" w:after="160" w:line="288" w:lineRule="auto"/>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All possible thresholds were simulated for an ADRG assuming no split, one split, two splits or three splits.</w:t>
            </w:r>
          </w:p>
        </w:tc>
      </w:tr>
      <w:tr w:rsidR="00BA1762" w:rsidRPr="00552F40" w14:paraId="426E8E89" w14:textId="77777777" w:rsidTr="00552F40">
        <w:trPr>
          <w:jc w:val="center"/>
        </w:trPr>
        <w:tc>
          <w:tcPr>
            <w:cnfStyle w:val="001000000000" w:firstRow="0" w:lastRow="0" w:firstColumn="1" w:lastColumn="0" w:oddVBand="0" w:evenVBand="0" w:oddHBand="0" w:evenHBand="0" w:firstRowFirstColumn="0" w:firstRowLastColumn="0" w:lastRowFirstColumn="0" w:lastRowLastColumn="0"/>
            <w:tcW w:w="1366" w:type="pct"/>
            <w:shd w:val="clear" w:color="auto" w:fill="auto"/>
          </w:tcPr>
          <w:p w14:paraId="7CD20105" w14:textId="77777777" w:rsidR="00BA1762" w:rsidRPr="00552F40" w:rsidRDefault="00BA1762" w:rsidP="000D1DE1">
            <w:pPr>
              <w:spacing w:after="160"/>
              <w:ind w:left="198" w:hanging="198"/>
              <w:rPr>
                <w:b w:val="0"/>
                <w:sz w:val="22"/>
                <w:szCs w:val="22"/>
              </w:rPr>
            </w:pPr>
            <w:r w:rsidRPr="00552F40">
              <w:rPr>
                <w:b w:val="0"/>
                <w:sz w:val="22"/>
                <w:szCs w:val="22"/>
              </w:rPr>
              <w:t>2 Selection of optimum simulation</w:t>
            </w:r>
          </w:p>
        </w:tc>
        <w:tc>
          <w:tcPr>
            <w:tcW w:w="3634" w:type="pct"/>
            <w:shd w:val="clear" w:color="auto" w:fill="auto"/>
          </w:tcPr>
          <w:p w14:paraId="1F7E1168" w14:textId="77777777" w:rsidR="00BA1762" w:rsidRPr="00552F40" w:rsidRDefault="00BA1762" w:rsidP="000D1DE1">
            <w:pPr>
              <w:pStyle w:val="ListBullet"/>
              <w:spacing w:before="0" w:after="160" w:line="288" w:lineRule="auto"/>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 xml:space="preserve">An optimum simulation was selected for each number of splits. The optimum simulation is defined as meeting all DRG principles as outlined in Table 10 (except for criterion four and five where it may meet either) </w:t>
            </w:r>
            <w:proofErr w:type="gramStart"/>
            <w:r w:rsidRPr="00552F40">
              <w:rPr>
                <w:sz w:val="22"/>
                <w:szCs w:val="22"/>
              </w:rPr>
              <w:t>and</w:t>
            </w:r>
            <w:proofErr w:type="gramEnd"/>
            <w:r w:rsidRPr="00552F40">
              <w:rPr>
                <w:sz w:val="22"/>
                <w:szCs w:val="22"/>
              </w:rPr>
              <w:t xml:space="preserve"> has the highest reduction in deviance (RID). If there is no simulation meeting all DRG principles for a specific number of splits, there will be no optimum simulation for that number of splits.</w:t>
            </w:r>
          </w:p>
        </w:tc>
      </w:tr>
      <w:tr w:rsidR="00BA1762" w:rsidRPr="00552F40" w14:paraId="2BB49C96" w14:textId="77777777" w:rsidTr="00552F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6" w:type="pct"/>
            <w:shd w:val="clear" w:color="auto" w:fill="auto"/>
          </w:tcPr>
          <w:p w14:paraId="265EE9C0" w14:textId="77777777" w:rsidR="00BA1762" w:rsidRPr="00552F40" w:rsidRDefault="00BA1762" w:rsidP="000D1DE1">
            <w:pPr>
              <w:spacing w:after="160"/>
              <w:ind w:left="198" w:hanging="198"/>
              <w:rPr>
                <w:b w:val="0"/>
                <w:sz w:val="22"/>
                <w:szCs w:val="22"/>
              </w:rPr>
            </w:pPr>
            <w:r w:rsidRPr="00552F40">
              <w:rPr>
                <w:b w:val="0"/>
                <w:sz w:val="22"/>
                <w:szCs w:val="22"/>
              </w:rPr>
              <w:t>3 Selection of modelled split</w:t>
            </w:r>
          </w:p>
        </w:tc>
        <w:tc>
          <w:tcPr>
            <w:tcW w:w="3634" w:type="pct"/>
            <w:shd w:val="clear" w:color="auto" w:fill="auto"/>
          </w:tcPr>
          <w:p w14:paraId="223A2545"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 xml:space="preserve">The preferred simulation was determined by the subsequent increases in RID of the optimum simulations. The minimum increase in RID must be greater than 5 per cent to warrant an additional split. This is referred to as the </w:t>
            </w:r>
            <w:r w:rsidRPr="00552F40">
              <w:rPr>
                <w:b/>
                <w:sz w:val="22"/>
                <w:szCs w:val="22"/>
              </w:rPr>
              <w:t>modelled split</w:t>
            </w:r>
            <w:r w:rsidRPr="00552F40">
              <w:rPr>
                <w:sz w:val="22"/>
                <w:szCs w:val="22"/>
              </w:rPr>
              <w:t>.</w:t>
            </w:r>
          </w:p>
        </w:tc>
      </w:tr>
      <w:tr w:rsidR="00BA1762" w:rsidRPr="00552F40" w14:paraId="373F66BC" w14:textId="77777777" w:rsidTr="00552F40">
        <w:trPr>
          <w:jc w:val="center"/>
        </w:trPr>
        <w:tc>
          <w:tcPr>
            <w:cnfStyle w:val="001000000000" w:firstRow="0" w:lastRow="0" w:firstColumn="1" w:lastColumn="0" w:oddVBand="0" w:evenVBand="0" w:oddHBand="0" w:evenHBand="0" w:firstRowFirstColumn="0" w:firstRowLastColumn="0" w:lastRowFirstColumn="0" w:lastRowLastColumn="0"/>
            <w:tcW w:w="1366" w:type="pct"/>
            <w:shd w:val="clear" w:color="auto" w:fill="auto"/>
          </w:tcPr>
          <w:p w14:paraId="4AE7FC23" w14:textId="77777777" w:rsidR="00BA1762" w:rsidRPr="00552F40" w:rsidRDefault="00BA1762" w:rsidP="000D1DE1">
            <w:pPr>
              <w:spacing w:after="160"/>
              <w:ind w:left="198" w:hanging="198"/>
              <w:rPr>
                <w:b w:val="0"/>
                <w:sz w:val="22"/>
                <w:szCs w:val="22"/>
              </w:rPr>
            </w:pPr>
            <w:r w:rsidRPr="00552F40">
              <w:rPr>
                <w:b w:val="0"/>
                <w:sz w:val="22"/>
                <w:szCs w:val="22"/>
              </w:rPr>
              <w:t>4 Selection of previous split</w:t>
            </w:r>
          </w:p>
        </w:tc>
        <w:tc>
          <w:tcPr>
            <w:tcW w:w="3634" w:type="pct"/>
            <w:shd w:val="clear" w:color="auto" w:fill="auto"/>
          </w:tcPr>
          <w:p w14:paraId="40C095CB" w14:textId="77777777" w:rsidR="00BA1762" w:rsidRPr="00552F40" w:rsidRDefault="00BA1762" w:rsidP="000D1DE1">
            <w:pPr>
              <w:pStyle w:val="ListBullet"/>
              <w:spacing w:before="0" w:after="160" w:line="288" w:lineRule="auto"/>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 xml:space="preserve">The optimum simulation which is equivalent to the same number of splits as AR-DRG V10.0 was also assessed and is referred to as the </w:t>
            </w:r>
            <w:r w:rsidRPr="00552F40">
              <w:rPr>
                <w:rStyle w:val="Strong"/>
                <w:sz w:val="22"/>
                <w:szCs w:val="22"/>
              </w:rPr>
              <w:t>previous split.</w:t>
            </w:r>
          </w:p>
        </w:tc>
      </w:tr>
      <w:tr w:rsidR="00BA1762" w:rsidRPr="00552F40" w14:paraId="0ECA0CF0" w14:textId="77777777" w:rsidTr="00552F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6" w:type="pct"/>
            <w:shd w:val="clear" w:color="auto" w:fill="auto"/>
          </w:tcPr>
          <w:p w14:paraId="165519E9" w14:textId="77777777" w:rsidR="00BA1762" w:rsidRPr="00552F40" w:rsidRDefault="00BA1762" w:rsidP="000D1DE1">
            <w:pPr>
              <w:spacing w:after="160"/>
              <w:ind w:left="198" w:hanging="198"/>
              <w:rPr>
                <w:b w:val="0"/>
                <w:sz w:val="22"/>
                <w:szCs w:val="22"/>
              </w:rPr>
            </w:pPr>
            <w:r w:rsidRPr="00552F40">
              <w:rPr>
                <w:b w:val="0"/>
                <w:sz w:val="22"/>
                <w:szCs w:val="22"/>
              </w:rPr>
              <w:t>5 Final selection</w:t>
            </w:r>
          </w:p>
        </w:tc>
        <w:tc>
          <w:tcPr>
            <w:tcW w:w="3634" w:type="pct"/>
            <w:shd w:val="clear" w:color="auto" w:fill="auto"/>
          </w:tcPr>
          <w:p w14:paraId="59CFAA6D" w14:textId="77777777" w:rsidR="00BA1762" w:rsidRPr="00552F40" w:rsidRDefault="00BA1762" w:rsidP="000D1DE1">
            <w:pPr>
              <w:pStyle w:val="ListBullet"/>
              <w:spacing w:before="0" w:after="160" w:line="288" w:lineRule="auto"/>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 xml:space="preserve">The final selection for each ADRG, was then determined on a case by case basis considering statistical performance, clinical coherence and stability principles. </w:t>
            </w:r>
          </w:p>
        </w:tc>
      </w:tr>
    </w:tbl>
    <w:p w14:paraId="785F17E5" w14:textId="4A49538E" w:rsidR="00BA1762" w:rsidRPr="00BC28A9" w:rsidRDefault="00BA1762" w:rsidP="000D1DE1">
      <w:pPr>
        <w:spacing w:before="120"/>
      </w:pPr>
      <w:r w:rsidRPr="00BC28A9">
        <w:t xml:space="preserve">The case by case assessment of the ADRGs is subdivided into the ADRG categories as outlined in </w:t>
      </w:r>
      <w:r w:rsidR="0023544F" w:rsidRPr="0023544F">
        <w:rPr>
          <w:b/>
          <w:bCs/>
        </w:rPr>
        <w:t xml:space="preserve">Table </w:t>
      </w:r>
      <w:r w:rsidRPr="0023544F">
        <w:rPr>
          <w:b/>
          <w:bCs/>
        </w:rPr>
        <w:t>12</w:t>
      </w:r>
      <w:r w:rsidRPr="00BC28A9">
        <w:t>.</w:t>
      </w:r>
    </w:p>
    <w:p w14:paraId="73249BAF" w14:textId="77777777" w:rsidR="00BA1762" w:rsidRDefault="00BA1762" w:rsidP="00BA1762">
      <w:pPr>
        <w:spacing w:after="0" w:line="240" w:lineRule="auto"/>
        <w:rPr>
          <w:b/>
          <w:bCs/>
          <w:color w:val="15272F" w:themeColor="accent1"/>
          <w:sz w:val="18"/>
          <w:szCs w:val="18"/>
        </w:rPr>
      </w:pPr>
      <w:bookmarkStart w:id="81" w:name="_Ref536779309"/>
      <w:r>
        <w:br w:type="page"/>
      </w:r>
    </w:p>
    <w:p w14:paraId="5E756D34" w14:textId="77777777" w:rsidR="00BA1762" w:rsidRPr="00552F40" w:rsidRDefault="00BA1762" w:rsidP="00283621">
      <w:pPr>
        <w:pStyle w:val="Caption"/>
      </w:pPr>
      <w:r w:rsidRPr="00552F40">
        <w:lastRenderedPageBreak/>
        <w:t xml:space="preserve">Table </w:t>
      </w:r>
      <w:bookmarkEnd w:id="81"/>
      <w:r w:rsidRPr="00552F40">
        <w:t>12: AR-DRG V11.0 ADRG breakdown</w:t>
      </w:r>
    </w:p>
    <w:tbl>
      <w:tblPr>
        <w:tblW w:w="8466" w:type="dxa"/>
        <w:jc w:val="center"/>
        <w:tblLook w:val="04A0" w:firstRow="1" w:lastRow="0" w:firstColumn="1" w:lastColumn="0" w:noHBand="0" w:noVBand="1"/>
      </w:tblPr>
      <w:tblGrid>
        <w:gridCol w:w="278"/>
        <w:gridCol w:w="5954"/>
        <w:gridCol w:w="2234"/>
      </w:tblGrid>
      <w:tr w:rsidR="00552F40" w:rsidRPr="00552F40" w14:paraId="41EC7EC2" w14:textId="77777777" w:rsidTr="00552F40">
        <w:trPr>
          <w:trHeight w:val="300"/>
          <w:tblHeader/>
          <w:jc w:val="center"/>
        </w:trPr>
        <w:tc>
          <w:tcPr>
            <w:tcW w:w="6232" w:type="dxa"/>
            <w:gridSpan w:val="2"/>
            <w:tcBorders>
              <w:top w:val="single" w:sz="4" w:space="0" w:color="auto"/>
              <w:left w:val="single" w:sz="4" w:space="0" w:color="auto"/>
              <w:right w:val="nil"/>
            </w:tcBorders>
            <w:shd w:val="clear" w:color="auto" w:fill="104F99" w:themeFill="accent2"/>
            <w:noWrap/>
            <w:vAlign w:val="center"/>
            <w:hideMark/>
          </w:tcPr>
          <w:p w14:paraId="59EB3BA1" w14:textId="77777777" w:rsidR="00BA1762" w:rsidRPr="00552F40" w:rsidRDefault="00BA1762" w:rsidP="00A36751">
            <w:pPr>
              <w:rPr>
                <w:rFonts w:cs="Arial"/>
                <w:color w:val="FFFFFF" w:themeColor="accent6"/>
              </w:rPr>
            </w:pPr>
            <w:r w:rsidRPr="00552F40">
              <w:rPr>
                <w:rFonts w:cs="Arial"/>
                <w:b/>
                <w:color w:val="FFFFFF" w:themeColor="accent6"/>
              </w:rPr>
              <w:t>Categories</w:t>
            </w:r>
          </w:p>
        </w:tc>
        <w:tc>
          <w:tcPr>
            <w:tcW w:w="2234" w:type="dxa"/>
            <w:tcBorders>
              <w:top w:val="single" w:sz="4" w:space="0" w:color="auto"/>
              <w:left w:val="nil"/>
              <w:right w:val="single" w:sz="4" w:space="0" w:color="auto"/>
            </w:tcBorders>
            <w:shd w:val="clear" w:color="auto" w:fill="104F99" w:themeFill="accent2"/>
            <w:noWrap/>
            <w:vAlign w:val="center"/>
            <w:hideMark/>
          </w:tcPr>
          <w:p w14:paraId="305B843A" w14:textId="77777777" w:rsidR="00BA1762" w:rsidRPr="00552F40" w:rsidRDefault="00BA1762" w:rsidP="00A36751">
            <w:pPr>
              <w:jc w:val="center"/>
              <w:rPr>
                <w:rFonts w:cs="Arial"/>
                <w:color w:val="FFFFFF" w:themeColor="accent6"/>
              </w:rPr>
            </w:pPr>
            <w:r w:rsidRPr="00552F40">
              <w:rPr>
                <w:rFonts w:cs="Arial"/>
                <w:b/>
                <w:color w:val="FFFFFF" w:themeColor="accent6"/>
              </w:rPr>
              <w:t>Number of ADRGs</w:t>
            </w:r>
          </w:p>
        </w:tc>
      </w:tr>
      <w:tr w:rsidR="00BA1762" w:rsidRPr="00BC28A9" w14:paraId="62641DBE" w14:textId="77777777" w:rsidTr="00A36751">
        <w:trPr>
          <w:trHeight w:val="300"/>
          <w:jc w:val="center"/>
        </w:trPr>
        <w:tc>
          <w:tcPr>
            <w:tcW w:w="6232" w:type="dxa"/>
            <w:gridSpan w:val="2"/>
            <w:tcBorders>
              <w:top w:val="nil"/>
              <w:left w:val="single" w:sz="4" w:space="0" w:color="auto"/>
              <w:bottom w:val="single" w:sz="4" w:space="0" w:color="auto"/>
              <w:right w:val="nil"/>
            </w:tcBorders>
            <w:shd w:val="clear" w:color="auto" w:fill="auto"/>
            <w:noWrap/>
            <w:vAlign w:val="center"/>
            <w:hideMark/>
          </w:tcPr>
          <w:p w14:paraId="28C7C294" w14:textId="77777777" w:rsidR="00BA1762" w:rsidRPr="00326F03" w:rsidRDefault="00BA1762" w:rsidP="00A36751">
            <w:pPr>
              <w:rPr>
                <w:rFonts w:cs="Arial"/>
              </w:rPr>
            </w:pPr>
            <w:r w:rsidRPr="00326F03">
              <w:rPr>
                <w:rFonts w:cs="Arial"/>
              </w:rPr>
              <w:t>New ADRGs</w:t>
            </w:r>
          </w:p>
        </w:tc>
        <w:tc>
          <w:tcPr>
            <w:tcW w:w="2234" w:type="dxa"/>
            <w:tcBorders>
              <w:top w:val="nil"/>
              <w:left w:val="nil"/>
              <w:bottom w:val="single" w:sz="4" w:space="0" w:color="auto"/>
              <w:right w:val="single" w:sz="4" w:space="0" w:color="auto"/>
            </w:tcBorders>
            <w:shd w:val="clear" w:color="auto" w:fill="auto"/>
            <w:noWrap/>
            <w:vAlign w:val="center"/>
            <w:hideMark/>
          </w:tcPr>
          <w:p w14:paraId="12806309" w14:textId="77777777" w:rsidR="00BA1762" w:rsidRPr="00326F03" w:rsidRDefault="00BA1762" w:rsidP="00A36751">
            <w:pPr>
              <w:jc w:val="center"/>
              <w:rPr>
                <w:rFonts w:cs="Arial"/>
              </w:rPr>
            </w:pPr>
            <w:r w:rsidRPr="00326F03">
              <w:rPr>
                <w:rFonts w:cs="Arial"/>
              </w:rPr>
              <w:t>3</w:t>
            </w:r>
          </w:p>
        </w:tc>
      </w:tr>
      <w:tr w:rsidR="00BA1762" w:rsidRPr="00BC28A9" w14:paraId="67EC3CB0" w14:textId="77777777" w:rsidTr="00A36751">
        <w:trPr>
          <w:trHeight w:val="300"/>
          <w:jc w:val="center"/>
        </w:trPr>
        <w:tc>
          <w:tcPr>
            <w:tcW w:w="6232" w:type="dxa"/>
            <w:gridSpan w:val="2"/>
            <w:tcBorders>
              <w:top w:val="single" w:sz="4" w:space="0" w:color="auto"/>
              <w:left w:val="single" w:sz="4" w:space="0" w:color="auto"/>
              <w:bottom w:val="dashed" w:sz="4" w:space="0" w:color="auto"/>
              <w:right w:val="nil"/>
            </w:tcBorders>
            <w:shd w:val="clear" w:color="auto" w:fill="auto"/>
            <w:noWrap/>
            <w:vAlign w:val="center"/>
            <w:hideMark/>
          </w:tcPr>
          <w:p w14:paraId="35D5FB2F" w14:textId="77777777" w:rsidR="00BA1762" w:rsidRPr="00326F03" w:rsidRDefault="00BA1762" w:rsidP="00A36751">
            <w:pPr>
              <w:rPr>
                <w:rFonts w:cs="Arial"/>
              </w:rPr>
            </w:pPr>
            <w:r w:rsidRPr="00326F03">
              <w:rPr>
                <w:rFonts w:cs="Arial"/>
              </w:rPr>
              <w:t>Comparable ADRGs</w:t>
            </w:r>
          </w:p>
        </w:tc>
        <w:tc>
          <w:tcPr>
            <w:tcW w:w="2234" w:type="dxa"/>
            <w:tcBorders>
              <w:top w:val="single" w:sz="4" w:space="0" w:color="auto"/>
              <w:left w:val="nil"/>
              <w:bottom w:val="dashed" w:sz="4" w:space="0" w:color="auto"/>
              <w:right w:val="single" w:sz="4" w:space="0" w:color="auto"/>
            </w:tcBorders>
            <w:shd w:val="clear" w:color="auto" w:fill="auto"/>
            <w:noWrap/>
            <w:vAlign w:val="center"/>
            <w:hideMark/>
          </w:tcPr>
          <w:p w14:paraId="6D1208E5" w14:textId="77777777" w:rsidR="00BA1762" w:rsidRPr="00326F03" w:rsidRDefault="00BA1762" w:rsidP="00A36751">
            <w:pPr>
              <w:jc w:val="center"/>
              <w:rPr>
                <w:rFonts w:cs="Arial"/>
              </w:rPr>
            </w:pPr>
          </w:p>
        </w:tc>
      </w:tr>
      <w:tr w:rsidR="00BA1762" w:rsidRPr="00BC28A9" w14:paraId="015DE157" w14:textId="77777777" w:rsidTr="00A36751">
        <w:trPr>
          <w:trHeight w:val="300"/>
          <w:jc w:val="center"/>
        </w:trPr>
        <w:tc>
          <w:tcPr>
            <w:tcW w:w="278" w:type="dxa"/>
            <w:tcBorders>
              <w:top w:val="dashed" w:sz="4" w:space="0" w:color="auto"/>
              <w:left w:val="single" w:sz="4" w:space="0" w:color="auto"/>
              <w:bottom w:val="dashed" w:sz="4" w:space="0" w:color="auto"/>
              <w:right w:val="nil"/>
            </w:tcBorders>
            <w:shd w:val="clear" w:color="auto" w:fill="auto"/>
            <w:noWrap/>
            <w:vAlign w:val="center"/>
          </w:tcPr>
          <w:p w14:paraId="6CE123BF" w14:textId="77777777" w:rsidR="00BA1762" w:rsidRPr="00326F03" w:rsidRDefault="00BA1762" w:rsidP="00A36751">
            <w:pPr>
              <w:rPr>
                <w:rFonts w:cs="Arial"/>
              </w:rPr>
            </w:pPr>
          </w:p>
        </w:tc>
        <w:tc>
          <w:tcPr>
            <w:tcW w:w="5954" w:type="dxa"/>
            <w:tcBorders>
              <w:top w:val="dashed" w:sz="4" w:space="0" w:color="auto"/>
              <w:left w:val="nil"/>
              <w:bottom w:val="dashed" w:sz="4" w:space="0" w:color="auto"/>
              <w:right w:val="nil"/>
            </w:tcBorders>
            <w:shd w:val="clear" w:color="auto" w:fill="auto"/>
            <w:noWrap/>
            <w:vAlign w:val="center"/>
          </w:tcPr>
          <w:p w14:paraId="1425413D" w14:textId="77777777" w:rsidR="00BA1762" w:rsidRPr="00326F03" w:rsidRDefault="00BA1762" w:rsidP="00A36751">
            <w:pPr>
              <w:rPr>
                <w:rFonts w:cs="Arial"/>
              </w:rPr>
            </w:pPr>
            <w:r w:rsidRPr="00326F03">
              <w:rPr>
                <w:rFonts w:cs="Arial"/>
              </w:rPr>
              <w:t>ADRGs with same number of splits as V10.0</w:t>
            </w:r>
          </w:p>
        </w:tc>
        <w:tc>
          <w:tcPr>
            <w:tcW w:w="2234" w:type="dxa"/>
            <w:tcBorders>
              <w:top w:val="dashed" w:sz="4" w:space="0" w:color="auto"/>
              <w:left w:val="nil"/>
              <w:bottom w:val="dashed" w:sz="4" w:space="0" w:color="auto"/>
              <w:right w:val="single" w:sz="4" w:space="0" w:color="auto"/>
            </w:tcBorders>
            <w:shd w:val="clear" w:color="auto" w:fill="auto"/>
            <w:noWrap/>
            <w:vAlign w:val="center"/>
          </w:tcPr>
          <w:p w14:paraId="74447588" w14:textId="77777777" w:rsidR="00BA1762" w:rsidRPr="00326F03" w:rsidRDefault="00BA1762" w:rsidP="00A36751">
            <w:pPr>
              <w:jc w:val="center"/>
              <w:rPr>
                <w:rFonts w:cs="Arial"/>
              </w:rPr>
            </w:pPr>
            <w:r>
              <w:rPr>
                <w:rFonts w:cs="Arial"/>
                <w:color w:val="000000"/>
              </w:rPr>
              <w:t>396</w:t>
            </w:r>
          </w:p>
        </w:tc>
      </w:tr>
      <w:tr w:rsidR="00BA1762" w:rsidRPr="00BC28A9" w14:paraId="5D4AA356" w14:textId="77777777" w:rsidTr="00A36751">
        <w:trPr>
          <w:trHeight w:val="300"/>
          <w:jc w:val="center"/>
        </w:trPr>
        <w:tc>
          <w:tcPr>
            <w:tcW w:w="278" w:type="dxa"/>
            <w:tcBorders>
              <w:top w:val="dashed" w:sz="4" w:space="0" w:color="auto"/>
              <w:left w:val="single" w:sz="4" w:space="0" w:color="auto"/>
              <w:bottom w:val="dashed" w:sz="4" w:space="0" w:color="auto"/>
              <w:right w:val="nil"/>
            </w:tcBorders>
            <w:shd w:val="clear" w:color="auto" w:fill="auto"/>
            <w:noWrap/>
            <w:vAlign w:val="center"/>
          </w:tcPr>
          <w:p w14:paraId="099A6EB2" w14:textId="77777777" w:rsidR="00BA1762" w:rsidRPr="00326F03" w:rsidRDefault="00BA1762" w:rsidP="00A36751">
            <w:pPr>
              <w:rPr>
                <w:rFonts w:cs="Arial"/>
              </w:rPr>
            </w:pPr>
          </w:p>
        </w:tc>
        <w:tc>
          <w:tcPr>
            <w:tcW w:w="5954" w:type="dxa"/>
            <w:tcBorders>
              <w:top w:val="dashed" w:sz="4" w:space="0" w:color="auto"/>
              <w:left w:val="nil"/>
              <w:bottom w:val="dashed" w:sz="4" w:space="0" w:color="auto"/>
              <w:right w:val="nil"/>
            </w:tcBorders>
            <w:shd w:val="clear" w:color="auto" w:fill="auto"/>
            <w:noWrap/>
            <w:vAlign w:val="center"/>
          </w:tcPr>
          <w:p w14:paraId="04955CF7" w14:textId="77777777" w:rsidR="00BA1762" w:rsidRPr="00326F03" w:rsidRDefault="00BA1762" w:rsidP="00A36751">
            <w:pPr>
              <w:ind w:left="461"/>
              <w:rPr>
                <w:rFonts w:cs="Arial"/>
              </w:rPr>
            </w:pPr>
            <w:r w:rsidRPr="00326F03">
              <w:rPr>
                <w:rFonts w:cs="Arial"/>
              </w:rPr>
              <w:t>Error ADRGs (960, 961 and 963)</w:t>
            </w:r>
          </w:p>
        </w:tc>
        <w:tc>
          <w:tcPr>
            <w:tcW w:w="2234" w:type="dxa"/>
            <w:tcBorders>
              <w:top w:val="dashed" w:sz="4" w:space="0" w:color="auto"/>
              <w:left w:val="nil"/>
              <w:bottom w:val="dashed" w:sz="4" w:space="0" w:color="auto"/>
              <w:right w:val="single" w:sz="4" w:space="0" w:color="auto"/>
            </w:tcBorders>
            <w:shd w:val="clear" w:color="auto" w:fill="auto"/>
            <w:noWrap/>
            <w:vAlign w:val="center"/>
          </w:tcPr>
          <w:p w14:paraId="711C147B" w14:textId="77777777" w:rsidR="00BA1762" w:rsidRPr="00326F03" w:rsidRDefault="00BA1762" w:rsidP="00A36751">
            <w:pPr>
              <w:jc w:val="center"/>
              <w:rPr>
                <w:rFonts w:cs="Arial"/>
              </w:rPr>
            </w:pPr>
            <w:r>
              <w:rPr>
                <w:rFonts w:cs="Arial"/>
                <w:color w:val="000000"/>
              </w:rPr>
              <w:t>3</w:t>
            </w:r>
          </w:p>
        </w:tc>
      </w:tr>
      <w:tr w:rsidR="00BA1762" w:rsidRPr="00BC28A9" w14:paraId="5071460E" w14:textId="77777777" w:rsidTr="00A36751">
        <w:trPr>
          <w:trHeight w:val="300"/>
          <w:jc w:val="center"/>
        </w:trPr>
        <w:tc>
          <w:tcPr>
            <w:tcW w:w="278" w:type="dxa"/>
            <w:tcBorders>
              <w:top w:val="dashed" w:sz="4" w:space="0" w:color="auto"/>
              <w:left w:val="single" w:sz="4" w:space="0" w:color="auto"/>
              <w:bottom w:val="dashed" w:sz="4" w:space="0" w:color="auto"/>
              <w:right w:val="nil"/>
            </w:tcBorders>
            <w:shd w:val="clear" w:color="auto" w:fill="auto"/>
            <w:noWrap/>
            <w:vAlign w:val="center"/>
          </w:tcPr>
          <w:p w14:paraId="13690B03" w14:textId="77777777" w:rsidR="00BA1762" w:rsidRPr="00326F03" w:rsidRDefault="00BA1762" w:rsidP="00A36751">
            <w:pPr>
              <w:rPr>
                <w:rFonts w:cs="Arial"/>
              </w:rPr>
            </w:pPr>
          </w:p>
        </w:tc>
        <w:tc>
          <w:tcPr>
            <w:tcW w:w="5954" w:type="dxa"/>
            <w:tcBorders>
              <w:top w:val="dashed" w:sz="4" w:space="0" w:color="auto"/>
              <w:left w:val="nil"/>
              <w:bottom w:val="dashed" w:sz="4" w:space="0" w:color="auto"/>
              <w:right w:val="nil"/>
            </w:tcBorders>
            <w:shd w:val="clear" w:color="auto" w:fill="auto"/>
            <w:noWrap/>
            <w:vAlign w:val="center"/>
          </w:tcPr>
          <w:p w14:paraId="3FD833BA" w14:textId="77777777" w:rsidR="00BA1762" w:rsidRPr="00326F03" w:rsidRDefault="00BA1762" w:rsidP="00A36751">
            <w:pPr>
              <w:ind w:left="461"/>
              <w:rPr>
                <w:rFonts w:cs="Arial"/>
              </w:rPr>
            </w:pPr>
            <w:r w:rsidRPr="00326F03">
              <w:rPr>
                <w:rFonts w:cs="Arial"/>
              </w:rPr>
              <w:t>ADRGs with GIs unrelated to principal diagnosis (801)</w:t>
            </w:r>
          </w:p>
        </w:tc>
        <w:tc>
          <w:tcPr>
            <w:tcW w:w="2234" w:type="dxa"/>
            <w:tcBorders>
              <w:top w:val="dashed" w:sz="4" w:space="0" w:color="auto"/>
              <w:left w:val="nil"/>
              <w:bottom w:val="dashed" w:sz="4" w:space="0" w:color="auto"/>
              <w:right w:val="single" w:sz="4" w:space="0" w:color="auto"/>
            </w:tcBorders>
            <w:shd w:val="clear" w:color="auto" w:fill="auto"/>
            <w:noWrap/>
            <w:vAlign w:val="center"/>
          </w:tcPr>
          <w:p w14:paraId="644544E7" w14:textId="77777777" w:rsidR="00BA1762" w:rsidRPr="00326F03" w:rsidRDefault="00BA1762" w:rsidP="00A36751">
            <w:pPr>
              <w:jc w:val="center"/>
              <w:rPr>
                <w:rFonts w:cs="Arial"/>
              </w:rPr>
            </w:pPr>
            <w:r>
              <w:rPr>
                <w:rFonts w:cs="Arial"/>
                <w:color w:val="000000"/>
              </w:rPr>
              <w:t>1</w:t>
            </w:r>
          </w:p>
        </w:tc>
      </w:tr>
      <w:tr w:rsidR="00BA1762" w:rsidRPr="00BC28A9" w14:paraId="751B6098" w14:textId="77777777" w:rsidTr="00A36751">
        <w:trPr>
          <w:trHeight w:val="300"/>
          <w:jc w:val="center"/>
        </w:trPr>
        <w:tc>
          <w:tcPr>
            <w:tcW w:w="278" w:type="dxa"/>
            <w:tcBorders>
              <w:top w:val="dashed" w:sz="4" w:space="0" w:color="auto"/>
              <w:left w:val="single" w:sz="4" w:space="0" w:color="auto"/>
              <w:bottom w:val="dashed" w:sz="4" w:space="0" w:color="auto"/>
              <w:right w:val="nil"/>
            </w:tcBorders>
            <w:shd w:val="clear" w:color="auto" w:fill="auto"/>
            <w:noWrap/>
            <w:vAlign w:val="center"/>
          </w:tcPr>
          <w:p w14:paraId="249975C2" w14:textId="77777777" w:rsidR="00BA1762" w:rsidRPr="00326F03" w:rsidRDefault="00BA1762" w:rsidP="00A36751">
            <w:pPr>
              <w:rPr>
                <w:rFonts w:cs="Arial"/>
              </w:rPr>
            </w:pPr>
          </w:p>
        </w:tc>
        <w:tc>
          <w:tcPr>
            <w:tcW w:w="5954" w:type="dxa"/>
            <w:tcBorders>
              <w:top w:val="dashed" w:sz="4" w:space="0" w:color="auto"/>
              <w:left w:val="nil"/>
              <w:bottom w:val="dashed" w:sz="4" w:space="0" w:color="auto"/>
              <w:right w:val="nil"/>
            </w:tcBorders>
            <w:shd w:val="clear" w:color="auto" w:fill="auto"/>
            <w:noWrap/>
            <w:vAlign w:val="center"/>
          </w:tcPr>
          <w:p w14:paraId="2E4751D1" w14:textId="77777777" w:rsidR="00BA1762" w:rsidRPr="00326F03" w:rsidRDefault="00BA1762" w:rsidP="00A36751">
            <w:pPr>
              <w:ind w:left="461"/>
              <w:rPr>
                <w:rFonts w:cs="Arial"/>
              </w:rPr>
            </w:pPr>
            <w:r w:rsidRPr="00326F03">
              <w:rPr>
                <w:rFonts w:cs="Arial"/>
              </w:rPr>
              <w:t>ADRGs using administrative variables</w:t>
            </w:r>
          </w:p>
        </w:tc>
        <w:tc>
          <w:tcPr>
            <w:tcW w:w="2234" w:type="dxa"/>
            <w:tcBorders>
              <w:top w:val="dashed" w:sz="4" w:space="0" w:color="auto"/>
              <w:left w:val="nil"/>
              <w:bottom w:val="dashed" w:sz="4" w:space="0" w:color="auto"/>
              <w:right w:val="single" w:sz="4" w:space="0" w:color="auto"/>
            </w:tcBorders>
            <w:shd w:val="clear" w:color="auto" w:fill="auto"/>
            <w:noWrap/>
            <w:vAlign w:val="center"/>
          </w:tcPr>
          <w:p w14:paraId="011A9D90" w14:textId="77777777" w:rsidR="00BA1762" w:rsidRPr="00326F03" w:rsidRDefault="00BA1762" w:rsidP="00A36751">
            <w:pPr>
              <w:jc w:val="center"/>
              <w:rPr>
                <w:rFonts w:cs="Arial"/>
              </w:rPr>
            </w:pPr>
            <w:r>
              <w:rPr>
                <w:rFonts w:cs="Arial"/>
                <w:color w:val="000000"/>
              </w:rPr>
              <w:t>6</w:t>
            </w:r>
          </w:p>
        </w:tc>
      </w:tr>
      <w:tr w:rsidR="00BA1762" w:rsidRPr="00BC28A9" w14:paraId="62962985" w14:textId="77777777" w:rsidTr="00A36751">
        <w:trPr>
          <w:trHeight w:val="300"/>
          <w:jc w:val="center"/>
        </w:trPr>
        <w:tc>
          <w:tcPr>
            <w:tcW w:w="278" w:type="dxa"/>
            <w:tcBorders>
              <w:top w:val="dashed" w:sz="4" w:space="0" w:color="auto"/>
              <w:left w:val="single" w:sz="4" w:space="0" w:color="auto"/>
              <w:bottom w:val="dashed" w:sz="4" w:space="0" w:color="auto"/>
              <w:right w:val="nil"/>
            </w:tcBorders>
            <w:shd w:val="clear" w:color="auto" w:fill="auto"/>
            <w:noWrap/>
            <w:vAlign w:val="center"/>
          </w:tcPr>
          <w:p w14:paraId="3655ABC5" w14:textId="77777777" w:rsidR="00BA1762" w:rsidRPr="00326F03" w:rsidRDefault="00BA1762" w:rsidP="00A36751">
            <w:pPr>
              <w:rPr>
                <w:rFonts w:cs="Arial"/>
              </w:rPr>
            </w:pPr>
          </w:p>
        </w:tc>
        <w:tc>
          <w:tcPr>
            <w:tcW w:w="5954" w:type="dxa"/>
            <w:tcBorders>
              <w:top w:val="dashed" w:sz="4" w:space="0" w:color="auto"/>
              <w:left w:val="nil"/>
              <w:bottom w:val="dashed" w:sz="4" w:space="0" w:color="auto"/>
              <w:right w:val="nil"/>
            </w:tcBorders>
            <w:shd w:val="clear" w:color="auto" w:fill="auto"/>
            <w:noWrap/>
            <w:vAlign w:val="center"/>
          </w:tcPr>
          <w:p w14:paraId="0FAB7006" w14:textId="77777777" w:rsidR="00BA1762" w:rsidRPr="00326F03" w:rsidRDefault="00BA1762" w:rsidP="00A36751">
            <w:pPr>
              <w:ind w:left="461"/>
              <w:rPr>
                <w:rFonts w:cs="Arial"/>
              </w:rPr>
            </w:pPr>
            <w:r w:rsidRPr="00326F03">
              <w:rPr>
                <w:rFonts w:cs="Arial"/>
              </w:rPr>
              <w:t>ADRGs with manual splits to support stability</w:t>
            </w:r>
          </w:p>
        </w:tc>
        <w:tc>
          <w:tcPr>
            <w:tcW w:w="2234" w:type="dxa"/>
            <w:tcBorders>
              <w:top w:val="dashed" w:sz="4" w:space="0" w:color="auto"/>
              <w:left w:val="nil"/>
              <w:bottom w:val="dashed" w:sz="4" w:space="0" w:color="auto"/>
              <w:right w:val="single" w:sz="4" w:space="0" w:color="auto"/>
            </w:tcBorders>
            <w:shd w:val="clear" w:color="auto" w:fill="auto"/>
            <w:noWrap/>
            <w:vAlign w:val="center"/>
          </w:tcPr>
          <w:p w14:paraId="3EF54649" w14:textId="77777777" w:rsidR="00BA1762" w:rsidRPr="00326F03" w:rsidRDefault="00BA1762" w:rsidP="00A36751">
            <w:pPr>
              <w:jc w:val="center"/>
              <w:rPr>
                <w:rFonts w:cs="Arial"/>
              </w:rPr>
            </w:pPr>
            <w:r>
              <w:rPr>
                <w:rFonts w:cs="Arial"/>
                <w:color w:val="000000"/>
              </w:rPr>
              <w:t>8</w:t>
            </w:r>
          </w:p>
        </w:tc>
      </w:tr>
      <w:tr w:rsidR="00BA1762" w:rsidRPr="00BC28A9" w14:paraId="46BEC2BF" w14:textId="77777777" w:rsidTr="00A36751">
        <w:trPr>
          <w:trHeight w:val="300"/>
          <w:jc w:val="center"/>
        </w:trPr>
        <w:tc>
          <w:tcPr>
            <w:tcW w:w="278" w:type="dxa"/>
            <w:tcBorders>
              <w:top w:val="dashed" w:sz="4" w:space="0" w:color="auto"/>
              <w:left w:val="single" w:sz="4" w:space="0" w:color="auto"/>
              <w:bottom w:val="dashed" w:sz="4" w:space="0" w:color="auto"/>
              <w:right w:val="nil"/>
            </w:tcBorders>
            <w:shd w:val="clear" w:color="auto" w:fill="auto"/>
            <w:noWrap/>
            <w:vAlign w:val="center"/>
          </w:tcPr>
          <w:p w14:paraId="35C3CCB4" w14:textId="77777777" w:rsidR="00BA1762" w:rsidRPr="00326F03" w:rsidRDefault="00BA1762" w:rsidP="00A36751">
            <w:pPr>
              <w:rPr>
                <w:rFonts w:cs="Arial"/>
              </w:rPr>
            </w:pPr>
          </w:p>
        </w:tc>
        <w:tc>
          <w:tcPr>
            <w:tcW w:w="5954" w:type="dxa"/>
            <w:tcBorders>
              <w:top w:val="dashed" w:sz="4" w:space="0" w:color="auto"/>
              <w:left w:val="nil"/>
              <w:bottom w:val="dashed" w:sz="4" w:space="0" w:color="auto"/>
              <w:right w:val="nil"/>
            </w:tcBorders>
            <w:shd w:val="clear" w:color="auto" w:fill="auto"/>
            <w:noWrap/>
            <w:vAlign w:val="center"/>
          </w:tcPr>
          <w:p w14:paraId="3390D2C2" w14:textId="77777777" w:rsidR="00BA1762" w:rsidRPr="00326F03" w:rsidRDefault="00BA1762" w:rsidP="00A36751">
            <w:pPr>
              <w:ind w:left="461"/>
              <w:rPr>
                <w:rFonts w:cs="Arial"/>
              </w:rPr>
            </w:pPr>
            <w:r w:rsidRPr="00326F03">
              <w:rPr>
                <w:rFonts w:cs="Arial"/>
              </w:rPr>
              <w:t>ADRGs with manual splits due to failure to select an optimum threshold</w:t>
            </w:r>
          </w:p>
        </w:tc>
        <w:tc>
          <w:tcPr>
            <w:tcW w:w="2234" w:type="dxa"/>
            <w:tcBorders>
              <w:top w:val="dashed" w:sz="4" w:space="0" w:color="auto"/>
              <w:left w:val="nil"/>
              <w:bottom w:val="dashed" w:sz="4" w:space="0" w:color="auto"/>
              <w:right w:val="single" w:sz="4" w:space="0" w:color="auto"/>
            </w:tcBorders>
            <w:shd w:val="clear" w:color="auto" w:fill="auto"/>
            <w:noWrap/>
            <w:vAlign w:val="center"/>
          </w:tcPr>
          <w:p w14:paraId="55F22D40" w14:textId="77777777" w:rsidR="00BA1762" w:rsidRPr="00326F03" w:rsidRDefault="00BA1762" w:rsidP="00A36751">
            <w:pPr>
              <w:jc w:val="center"/>
              <w:rPr>
                <w:rFonts w:cs="Arial"/>
              </w:rPr>
            </w:pPr>
            <w:r>
              <w:rPr>
                <w:rFonts w:cs="Arial"/>
                <w:color w:val="000000"/>
              </w:rPr>
              <w:t>17</w:t>
            </w:r>
          </w:p>
        </w:tc>
      </w:tr>
      <w:tr w:rsidR="00BA1762" w:rsidRPr="00BC28A9" w14:paraId="12341A51" w14:textId="77777777" w:rsidTr="00A36751">
        <w:trPr>
          <w:trHeight w:val="300"/>
          <w:jc w:val="center"/>
        </w:trPr>
        <w:tc>
          <w:tcPr>
            <w:tcW w:w="278" w:type="dxa"/>
            <w:tcBorders>
              <w:top w:val="dashed" w:sz="4" w:space="0" w:color="auto"/>
              <w:left w:val="single" w:sz="4" w:space="0" w:color="auto"/>
              <w:bottom w:val="dashed" w:sz="4" w:space="0" w:color="auto"/>
              <w:right w:val="nil"/>
            </w:tcBorders>
            <w:shd w:val="clear" w:color="auto" w:fill="auto"/>
            <w:noWrap/>
            <w:vAlign w:val="center"/>
            <w:hideMark/>
          </w:tcPr>
          <w:p w14:paraId="1F41F2B4" w14:textId="77777777" w:rsidR="00BA1762" w:rsidRPr="00326F03" w:rsidRDefault="00BA1762" w:rsidP="00A36751">
            <w:pPr>
              <w:rPr>
                <w:rFonts w:cs="Arial"/>
              </w:rPr>
            </w:pPr>
          </w:p>
        </w:tc>
        <w:tc>
          <w:tcPr>
            <w:tcW w:w="5954" w:type="dxa"/>
            <w:tcBorders>
              <w:top w:val="dashed" w:sz="4" w:space="0" w:color="auto"/>
              <w:left w:val="nil"/>
              <w:bottom w:val="dashed" w:sz="4" w:space="0" w:color="auto"/>
              <w:right w:val="nil"/>
            </w:tcBorders>
            <w:shd w:val="clear" w:color="auto" w:fill="auto"/>
            <w:noWrap/>
            <w:vAlign w:val="center"/>
            <w:hideMark/>
          </w:tcPr>
          <w:p w14:paraId="4008AAA6" w14:textId="77777777" w:rsidR="00BA1762" w:rsidRPr="00326F03" w:rsidRDefault="00BA1762" w:rsidP="00A36751">
            <w:pPr>
              <w:ind w:left="461"/>
              <w:rPr>
                <w:rFonts w:cs="Arial"/>
              </w:rPr>
            </w:pPr>
            <w:r w:rsidRPr="00326F03">
              <w:rPr>
                <w:rFonts w:cs="Arial"/>
              </w:rPr>
              <w:t>Other ADRGs with same number of splits as V10.0</w:t>
            </w:r>
          </w:p>
        </w:tc>
        <w:tc>
          <w:tcPr>
            <w:tcW w:w="2234" w:type="dxa"/>
            <w:tcBorders>
              <w:top w:val="dashed" w:sz="4" w:space="0" w:color="auto"/>
              <w:left w:val="nil"/>
              <w:bottom w:val="dashed" w:sz="4" w:space="0" w:color="auto"/>
              <w:right w:val="single" w:sz="4" w:space="0" w:color="auto"/>
            </w:tcBorders>
            <w:shd w:val="clear" w:color="auto" w:fill="auto"/>
            <w:noWrap/>
            <w:vAlign w:val="center"/>
            <w:hideMark/>
          </w:tcPr>
          <w:p w14:paraId="2787722E" w14:textId="77777777" w:rsidR="00BA1762" w:rsidRPr="00326F03" w:rsidRDefault="00BA1762" w:rsidP="00A36751">
            <w:pPr>
              <w:jc w:val="center"/>
              <w:rPr>
                <w:rFonts w:cs="Arial"/>
              </w:rPr>
            </w:pPr>
            <w:r>
              <w:rPr>
                <w:rFonts w:cs="Arial"/>
                <w:color w:val="000000"/>
              </w:rPr>
              <w:t>361</w:t>
            </w:r>
          </w:p>
        </w:tc>
      </w:tr>
      <w:tr w:rsidR="00BA1762" w:rsidRPr="00BC28A9" w14:paraId="1DFD2C93" w14:textId="77777777" w:rsidTr="00A36751">
        <w:trPr>
          <w:trHeight w:val="300"/>
          <w:jc w:val="center"/>
        </w:trPr>
        <w:tc>
          <w:tcPr>
            <w:tcW w:w="278" w:type="dxa"/>
            <w:tcBorders>
              <w:top w:val="dashed" w:sz="4" w:space="0" w:color="auto"/>
              <w:left w:val="single" w:sz="4" w:space="0" w:color="auto"/>
              <w:bottom w:val="single" w:sz="4" w:space="0" w:color="auto"/>
              <w:right w:val="nil"/>
            </w:tcBorders>
            <w:shd w:val="clear" w:color="auto" w:fill="auto"/>
            <w:noWrap/>
            <w:vAlign w:val="center"/>
            <w:hideMark/>
          </w:tcPr>
          <w:p w14:paraId="73E25377" w14:textId="77777777" w:rsidR="00BA1762" w:rsidRPr="00326F03" w:rsidRDefault="00BA1762" w:rsidP="00A36751">
            <w:pPr>
              <w:rPr>
                <w:rFonts w:cs="Arial"/>
              </w:rPr>
            </w:pPr>
          </w:p>
        </w:tc>
        <w:tc>
          <w:tcPr>
            <w:tcW w:w="5954" w:type="dxa"/>
            <w:tcBorders>
              <w:top w:val="dashed" w:sz="4" w:space="0" w:color="auto"/>
              <w:left w:val="nil"/>
              <w:bottom w:val="single" w:sz="4" w:space="0" w:color="auto"/>
              <w:right w:val="nil"/>
            </w:tcBorders>
            <w:shd w:val="clear" w:color="auto" w:fill="auto"/>
            <w:noWrap/>
            <w:vAlign w:val="center"/>
            <w:hideMark/>
          </w:tcPr>
          <w:p w14:paraId="4CA8E55B" w14:textId="77777777" w:rsidR="00BA1762" w:rsidRPr="00326F03" w:rsidRDefault="00BA1762" w:rsidP="00A36751">
            <w:pPr>
              <w:rPr>
                <w:rFonts w:cs="Arial"/>
              </w:rPr>
            </w:pPr>
            <w:r w:rsidRPr="00326F03">
              <w:rPr>
                <w:rFonts w:cs="Arial"/>
              </w:rPr>
              <w:t>ADRG with different number of splits to V10.0</w:t>
            </w:r>
          </w:p>
        </w:tc>
        <w:tc>
          <w:tcPr>
            <w:tcW w:w="2234" w:type="dxa"/>
            <w:tcBorders>
              <w:top w:val="dashed" w:sz="4" w:space="0" w:color="auto"/>
              <w:left w:val="nil"/>
              <w:bottom w:val="single" w:sz="4" w:space="0" w:color="auto"/>
              <w:right w:val="single" w:sz="4" w:space="0" w:color="auto"/>
            </w:tcBorders>
            <w:shd w:val="clear" w:color="auto" w:fill="auto"/>
            <w:noWrap/>
            <w:vAlign w:val="center"/>
            <w:hideMark/>
          </w:tcPr>
          <w:p w14:paraId="0673A7E8" w14:textId="77777777" w:rsidR="00BA1762" w:rsidRPr="00326F03" w:rsidRDefault="00BA1762" w:rsidP="00A36751">
            <w:pPr>
              <w:jc w:val="center"/>
              <w:rPr>
                <w:rFonts w:cs="Arial"/>
              </w:rPr>
            </w:pPr>
            <w:r>
              <w:rPr>
                <w:rFonts w:cs="Arial"/>
                <w:color w:val="000000"/>
              </w:rPr>
              <w:t>1</w:t>
            </w:r>
          </w:p>
        </w:tc>
      </w:tr>
      <w:tr w:rsidR="00BA1762" w:rsidRPr="00BC28A9" w14:paraId="1D3983F4" w14:textId="77777777" w:rsidTr="00A36751">
        <w:trPr>
          <w:trHeight w:val="300"/>
          <w:jc w:val="center"/>
        </w:trPr>
        <w:tc>
          <w:tcPr>
            <w:tcW w:w="623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4A3CD36" w14:textId="77777777" w:rsidR="00BA1762" w:rsidRPr="00326F03" w:rsidRDefault="00BA1762" w:rsidP="00A36751">
            <w:pPr>
              <w:rPr>
                <w:rFonts w:cs="Arial"/>
              </w:rPr>
            </w:pPr>
            <w:r w:rsidRPr="00326F03">
              <w:rPr>
                <w:rFonts w:cs="Arial"/>
              </w:rPr>
              <w:t>Total</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6B0440DE" w14:textId="77777777" w:rsidR="00BA1762" w:rsidRPr="00326F03" w:rsidRDefault="00BA1762" w:rsidP="00A36751">
            <w:pPr>
              <w:jc w:val="center"/>
              <w:rPr>
                <w:rFonts w:cs="Arial"/>
              </w:rPr>
            </w:pPr>
            <w:r w:rsidRPr="00326F03">
              <w:rPr>
                <w:rFonts w:cs="Arial"/>
              </w:rPr>
              <w:t>400</w:t>
            </w:r>
          </w:p>
        </w:tc>
      </w:tr>
    </w:tbl>
    <w:p w14:paraId="4287F27F" w14:textId="77777777" w:rsidR="00BA1762" w:rsidRPr="00BC28A9" w:rsidRDefault="00BA1762" w:rsidP="00BA1762">
      <w:pPr>
        <w:pStyle w:val="Heading2"/>
        <w:spacing w:before="360" w:after="120" w:line="260" w:lineRule="atLeast"/>
        <w:contextualSpacing/>
      </w:pPr>
      <w:bookmarkStart w:id="82" w:name="_Toc534624611"/>
      <w:bookmarkStart w:id="83" w:name="_Toc100843001"/>
      <w:bookmarkStart w:id="84" w:name="_Toc124657529"/>
      <w:r w:rsidRPr="00BC28A9">
        <w:t>New ADRGs</w:t>
      </w:r>
      <w:bookmarkEnd w:id="82"/>
      <w:bookmarkEnd w:id="83"/>
      <w:bookmarkEnd w:id="84"/>
    </w:p>
    <w:p w14:paraId="746EB738" w14:textId="77777777" w:rsidR="00BA1762" w:rsidRPr="00BC28A9" w:rsidRDefault="00BA1762" w:rsidP="000D1DE1">
      <w:r w:rsidRPr="00BC28A9">
        <w:t>AR-DRG V11.0 has three new ADRGs:</w:t>
      </w:r>
    </w:p>
    <w:p w14:paraId="5677CB50" w14:textId="77777777" w:rsidR="00BA1762" w:rsidRPr="00BC28A9" w:rsidRDefault="00BA1762" w:rsidP="000D1DE1">
      <w:pPr>
        <w:pStyle w:val="ListParagraph"/>
        <w:numPr>
          <w:ilvl w:val="0"/>
          <w:numId w:val="14"/>
        </w:numPr>
        <w:ind w:left="714" w:hanging="357"/>
        <w:contextualSpacing w:val="0"/>
        <w:rPr>
          <w:lang w:val="en-AU"/>
        </w:rPr>
      </w:pPr>
      <w:r w:rsidRPr="00BC28A9">
        <w:rPr>
          <w:lang w:val="en-AU"/>
        </w:rPr>
        <w:t xml:space="preserve">B08 </w:t>
      </w:r>
      <w:r w:rsidRPr="00BC28A9">
        <w:rPr>
          <w:i/>
          <w:lang w:val="en-AU"/>
        </w:rPr>
        <w:t>Endovascular Clot Retrieval</w:t>
      </w:r>
      <w:r w:rsidRPr="00BC28A9">
        <w:rPr>
          <w:lang w:val="en-AU"/>
        </w:rPr>
        <w:t xml:space="preserve"> </w:t>
      </w:r>
    </w:p>
    <w:p w14:paraId="4CBFB286" w14:textId="77777777" w:rsidR="00BA1762" w:rsidRPr="00BC28A9" w:rsidRDefault="00BA1762" w:rsidP="000D1DE1">
      <w:pPr>
        <w:pStyle w:val="ListParagraph"/>
        <w:numPr>
          <w:ilvl w:val="0"/>
          <w:numId w:val="14"/>
        </w:numPr>
        <w:ind w:left="714" w:hanging="357"/>
        <w:contextualSpacing w:val="0"/>
        <w:rPr>
          <w:lang w:val="en-AU"/>
        </w:rPr>
      </w:pPr>
      <w:r w:rsidRPr="00BC28A9">
        <w:rPr>
          <w:lang w:val="en-AU"/>
        </w:rPr>
        <w:t xml:space="preserve">F25 </w:t>
      </w:r>
      <w:r w:rsidRPr="00BC28A9">
        <w:rPr>
          <w:i/>
          <w:lang w:val="en-AU"/>
        </w:rPr>
        <w:t xml:space="preserve">Percutaneous Hear Valve Replacement with </w:t>
      </w:r>
      <w:proofErr w:type="spellStart"/>
      <w:r w:rsidRPr="00BC28A9">
        <w:rPr>
          <w:i/>
          <w:lang w:val="en-AU"/>
        </w:rPr>
        <w:t>Bioprosthesis</w:t>
      </w:r>
      <w:proofErr w:type="spellEnd"/>
    </w:p>
    <w:p w14:paraId="71309F2F" w14:textId="77777777" w:rsidR="00BA1762" w:rsidRPr="00BC28A9" w:rsidRDefault="00BA1762" w:rsidP="000D1DE1">
      <w:pPr>
        <w:pStyle w:val="ListParagraph"/>
        <w:numPr>
          <w:ilvl w:val="0"/>
          <w:numId w:val="14"/>
        </w:numPr>
        <w:ind w:left="714" w:hanging="357"/>
        <w:contextualSpacing w:val="0"/>
        <w:rPr>
          <w:lang w:val="en-AU"/>
        </w:rPr>
      </w:pPr>
      <w:r w:rsidRPr="00BC28A9">
        <w:rPr>
          <w:lang w:val="en-AU"/>
        </w:rPr>
        <w:t xml:space="preserve">G13 </w:t>
      </w:r>
      <w:r w:rsidRPr="00BC28A9">
        <w:rPr>
          <w:i/>
          <w:lang w:val="en-AU"/>
        </w:rPr>
        <w:t>Peritonectomy for Gastrointestinal Disorders</w:t>
      </w:r>
      <w:r w:rsidRPr="00BC28A9">
        <w:rPr>
          <w:lang w:val="en-AU"/>
        </w:rPr>
        <w:t>.</w:t>
      </w:r>
    </w:p>
    <w:p w14:paraId="7157CC7A" w14:textId="77777777" w:rsidR="00BA1762" w:rsidRPr="00BC28A9" w:rsidRDefault="00BA1762" w:rsidP="000D1DE1">
      <w:r w:rsidRPr="00BC28A9">
        <w:t xml:space="preserve">As there are no previous splits to compare for the new ADRGs the stability principles do not </w:t>
      </w:r>
      <w:proofErr w:type="gramStart"/>
      <w:r w:rsidRPr="00BC28A9">
        <w:t>apply</w:t>
      </w:r>
      <w:proofErr w:type="gramEnd"/>
      <w:r w:rsidRPr="00BC28A9">
        <w:t xml:space="preserve"> and assessment was primarily based on statistical performance and clinical coherence principles.</w:t>
      </w:r>
    </w:p>
    <w:p w14:paraId="504C4EA5" w14:textId="77777777" w:rsidR="00BA1762" w:rsidRPr="00BC28A9" w:rsidRDefault="00BA1762" w:rsidP="00BA1762">
      <w:pPr>
        <w:pStyle w:val="Heading2"/>
        <w:spacing w:before="360" w:after="120" w:line="260" w:lineRule="atLeast"/>
        <w:contextualSpacing/>
      </w:pPr>
      <w:bookmarkStart w:id="85" w:name="_Toc534624612"/>
      <w:bookmarkStart w:id="86" w:name="_Toc100843002"/>
      <w:bookmarkStart w:id="87" w:name="_Toc124657530"/>
      <w:r w:rsidRPr="00BC28A9">
        <w:t>ADRGs</w:t>
      </w:r>
      <w:bookmarkEnd w:id="85"/>
      <w:r w:rsidRPr="00BC28A9">
        <w:t xml:space="preserve"> using administrative variables</w:t>
      </w:r>
      <w:bookmarkEnd w:id="86"/>
      <w:bookmarkEnd w:id="87"/>
    </w:p>
    <w:p w14:paraId="1A71E031" w14:textId="77777777" w:rsidR="00BA1762" w:rsidRPr="00BC28A9" w:rsidRDefault="00BA1762" w:rsidP="000D1DE1">
      <w:r w:rsidRPr="00BC28A9">
        <w:t xml:space="preserve">In AR-DRG V11.0, there are six ADRGs that use administrative variables to determine their end classes (DRGs) as listed in </w:t>
      </w:r>
      <w:r w:rsidRPr="00DE1EAF">
        <w:rPr>
          <w:b/>
          <w:bCs/>
        </w:rPr>
        <w:t>Table 13</w:t>
      </w:r>
      <w:r w:rsidRPr="00BC28A9">
        <w:t xml:space="preserve">. These administrative variables include separation mode, LOS and age. The splitting methodology was modified </w:t>
      </w:r>
      <w:r>
        <w:t>for</w:t>
      </w:r>
      <w:r w:rsidRPr="00BC28A9">
        <w:t xml:space="preserve"> these ADRGs, as the incorporation of administrative variables has been maintained.</w:t>
      </w:r>
    </w:p>
    <w:p w14:paraId="1DB27FE2" w14:textId="77777777" w:rsidR="00BA1762" w:rsidRDefault="00BA1762" w:rsidP="00536234">
      <w:pPr>
        <w:rPr>
          <w:b/>
          <w:bCs/>
          <w:color w:val="15272F" w:themeColor="accent1"/>
          <w:sz w:val="18"/>
          <w:szCs w:val="18"/>
        </w:rPr>
      </w:pPr>
      <w:r>
        <w:br w:type="page"/>
      </w:r>
    </w:p>
    <w:p w14:paraId="63E0D0E6" w14:textId="77777777" w:rsidR="00BA1762" w:rsidRPr="000D1DE1" w:rsidRDefault="00BA1762" w:rsidP="00283621">
      <w:pPr>
        <w:pStyle w:val="Caption"/>
      </w:pPr>
      <w:r w:rsidRPr="000D1DE1">
        <w:lastRenderedPageBreak/>
        <w:t>Table 13: ADRGs using administrative variables</w:t>
      </w:r>
    </w:p>
    <w:tbl>
      <w:tblPr>
        <w:tblStyle w:val="ListTable3-Accent11"/>
        <w:tblW w:w="0" w:type="auto"/>
        <w:tblLook w:val="04A0" w:firstRow="1" w:lastRow="0" w:firstColumn="1" w:lastColumn="0" w:noHBand="0" w:noVBand="1"/>
      </w:tblPr>
      <w:tblGrid>
        <w:gridCol w:w="814"/>
        <w:gridCol w:w="2144"/>
        <w:gridCol w:w="1954"/>
        <w:gridCol w:w="4410"/>
      </w:tblGrid>
      <w:tr w:rsidR="00552F40" w:rsidRPr="00552F40" w14:paraId="196D4902" w14:textId="77777777" w:rsidTr="00552F40">
        <w:trPr>
          <w:cnfStyle w:val="100000000000" w:firstRow="1" w:lastRow="0" w:firstColumn="0" w:lastColumn="0" w:oddVBand="0" w:evenVBand="0" w:oddHBand="0" w:evenHBand="0" w:firstRowFirstColumn="0" w:firstRowLastColumn="0" w:lastRowFirstColumn="0" w:lastRowLastColumn="0"/>
          <w:trHeight w:val="420"/>
        </w:trPr>
        <w:tc>
          <w:tcPr>
            <w:cnfStyle w:val="001000000100" w:firstRow="0" w:lastRow="0" w:firstColumn="1" w:lastColumn="0" w:oddVBand="0" w:evenVBand="0" w:oddHBand="0" w:evenHBand="0" w:firstRowFirstColumn="1" w:firstRowLastColumn="0" w:lastRowFirstColumn="0" w:lastRowLastColumn="0"/>
            <w:tcW w:w="2978" w:type="dxa"/>
            <w:gridSpan w:val="2"/>
            <w:shd w:val="clear" w:color="auto" w:fill="104F99" w:themeFill="accent2"/>
          </w:tcPr>
          <w:p w14:paraId="42BAF28D" w14:textId="77777777" w:rsidR="00BA1762" w:rsidRPr="00552F40" w:rsidRDefault="00BA1762" w:rsidP="000D1DE1">
            <w:pPr>
              <w:spacing w:after="160"/>
              <w:rPr>
                <w:color w:val="FFFFFF" w:themeColor="accent6"/>
                <w:sz w:val="22"/>
                <w:szCs w:val="22"/>
              </w:rPr>
            </w:pPr>
            <w:r w:rsidRPr="00552F40">
              <w:rPr>
                <w:color w:val="FFFFFF" w:themeColor="accent6"/>
                <w:sz w:val="22"/>
                <w:szCs w:val="22"/>
              </w:rPr>
              <w:t>ADRG   Description</w:t>
            </w:r>
          </w:p>
        </w:tc>
        <w:tc>
          <w:tcPr>
            <w:tcW w:w="1986" w:type="dxa"/>
            <w:shd w:val="clear" w:color="auto" w:fill="104F99" w:themeFill="accent2"/>
          </w:tcPr>
          <w:p w14:paraId="18F7F3C0" w14:textId="77777777" w:rsidR="00BA1762" w:rsidRPr="00552F40" w:rsidRDefault="00BA1762" w:rsidP="000D1DE1">
            <w:pPr>
              <w:spacing w:after="160"/>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p>
        </w:tc>
        <w:tc>
          <w:tcPr>
            <w:tcW w:w="4471" w:type="dxa"/>
            <w:shd w:val="clear" w:color="auto" w:fill="104F99" w:themeFill="accent2"/>
          </w:tcPr>
          <w:p w14:paraId="7B4ECF22" w14:textId="77777777" w:rsidR="00BA1762" w:rsidRPr="00552F40" w:rsidRDefault="00BA1762" w:rsidP="000D1DE1">
            <w:pPr>
              <w:spacing w:after="160"/>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552F40">
              <w:rPr>
                <w:color w:val="FFFFFF" w:themeColor="accent6"/>
                <w:sz w:val="22"/>
                <w:szCs w:val="22"/>
              </w:rPr>
              <w:t>Administrative variables</w:t>
            </w:r>
          </w:p>
        </w:tc>
      </w:tr>
      <w:tr w:rsidR="00BA1762" w:rsidRPr="00552F40" w14:paraId="06A4D55D" w14:textId="77777777" w:rsidTr="00552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4" w:type="dxa"/>
            <w:shd w:val="clear" w:color="auto" w:fill="auto"/>
          </w:tcPr>
          <w:p w14:paraId="10969CBC" w14:textId="77777777" w:rsidR="00BA1762" w:rsidRPr="00552F40" w:rsidRDefault="00BA1762" w:rsidP="000D1DE1">
            <w:pPr>
              <w:spacing w:after="160"/>
              <w:rPr>
                <w:b w:val="0"/>
                <w:sz w:val="22"/>
                <w:szCs w:val="22"/>
              </w:rPr>
            </w:pPr>
            <w:r w:rsidRPr="00552F40">
              <w:rPr>
                <w:b w:val="0"/>
                <w:sz w:val="22"/>
                <w:szCs w:val="22"/>
              </w:rPr>
              <w:t>B70</w:t>
            </w:r>
          </w:p>
        </w:tc>
        <w:tc>
          <w:tcPr>
            <w:tcW w:w="4150" w:type="dxa"/>
            <w:gridSpan w:val="2"/>
            <w:shd w:val="clear" w:color="auto" w:fill="auto"/>
          </w:tcPr>
          <w:p w14:paraId="7D0784F3"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sz w:val="22"/>
                <w:szCs w:val="22"/>
              </w:rPr>
            </w:pPr>
            <w:r w:rsidRPr="00552F40">
              <w:rPr>
                <w:i/>
                <w:sz w:val="22"/>
                <w:szCs w:val="22"/>
              </w:rPr>
              <w:t>Stroke and Other Cerebrovascular Disorders</w:t>
            </w:r>
          </w:p>
        </w:tc>
        <w:tc>
          <w:tcPr>
            <w:tcW w:w="4471" w:type="dxa"/>
            <w:shd w:val="clear" w:color="auto" w:fill="auto"/>
          </w:tcPr>
          <w:p w14:paraId="2484685F"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Maintained two splits and the use of separation mode and LOS to provide an extra split.</w:t>
            </w:r>
          </w:p>
        </w:tc>
      </w:tr>
      <w:tr w:rsidR="00BA1762" w:rsidRPr="00552F40" w14:paraId="2F41F7C4" w14:textId="77777777" w:rsidTr="00552F40">
        <w:tc>
          <w:tcPr>
            <w:cnfStyle w:val="001000000000" w:firstRow="0" w:lastRow="0" w:firstColumn="1" w:lastColumn="0" w:oddVBand="0" w:evenVBand="0" w:oddHBand="0" w:evenHBand="0" w:firstRowFirstColumn="0" w:firstRowLastColumn="0" w:lastRowFirstColumn="0" w:lastRowLastColumn="0"/>
            <w:tcW w:w="814" w:type="dxa"/>
            <w:shd w:val="clear" w:color="auto" w:fill="auto"/>
          </w:tcPr>
          <w:p w14:paraId="7C9A03E2" w14:textId="77777777" w:rsidR="00BA1762" w:rsidRPr="00552F40" w:rsidRDefault="00BA1762" w:rsidP="000D1DE1">
            <w:pPr>
              <w:rPr>
                <w:b w:val="0"/>
                <w:sz w:val="22"/>
                <w:szCs w:val="22"/>
              </w:rPr>
            </w:pPr>
            <w:r w:rsidRPr="00552F40">
              <w:rPr>
                <w:b w:val="0"/>
                <w:sz w:val="22"/>
                <w:szCs w:val="22"/>
              </w:rPr>
              <w:t>B78</w:t>
            </w:r>
          </w:p>
        </w:tc>
        <w:tc>
          <w:tcPr>
            <w:tcW w:w="4150" w:type="dxa"/>
            <w:gridSpan w:val="2"/>
            <w:shd w:val="clear" w:color="auto" w:fill="auto"/>
          </w:tcPr>
          <w:p w14:paraId="3B93F0A9" w14:textId="77777777" w:rsidR="00BA1762" w:rsidRPr="00552F40" w:rsidRDefault="00BA1762" w:rsidP="000D1DE1">
            <w:pPr>
              <w:cnfStyle w:val="000000000000" w:firstRow="0" w:lastRow="0" w:firstColumn="0" w:lastColumn="0" w:oddVBand="0" w:evenVBand="0" w:oddHBand="0" w:evenHBand="0" w:firstRowFirstColumn="0" w:firstRowLastColumn="0" w:lastRowFirstColumn="0" w:lastRowLastColumn="0"/>
              <w:rPr>
                <w:sz w:val="22"/>
                <w:szCs w:val="22"/>
              </w:rPr>
            </w:pPr>
            <w:r w:rsidRPr="00552F40">
              <w:rPr>
                <w:i/>
                <w:sz w:val="22"/>
                <w:szCs w:val="22"/>
              </w:rPr>
              <w:t>Intracranial Injuries</w:t>
            </w:r>
          </w:p>
        </w:tc>
        <w:tc>
          <w:tcPr>
            <w:tcW w:w="4471" w:type="dxa"/>
            <w:shd w:val="clear" w:color="auto" w:fill="auto"/>
          </w:tcPr>
          <w:p w14:paraId="35844B1A" w14:textId="77777777" w:rsidR="00BA1762" w:rsidRPr="00552F40" w:rsidRDefault="00BA1762" w:rsidP="000D1DE1">
            <w:pPr>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Maintained one split and the use of separation mode and LOS to provide an extra split.</w:t>
            </w:r>
          </w:p>
        </w:tc>
      </w:tr>
      <w:tr w:rsidR="00BA1762" w:rsidRPr="00552F40" w14:paraId="477B1631" w14:textId="77777777" w:rsidTr="00552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4" w:type="dxa"/>
            <w:shd w:val="clear" w:color="auto" w:fill="auto"/>
          </w:tcPr>
          <w:p w14:paraId="10CAF372" w14:textId="77777777" w:rsidR="00BA1762" w:rsidRPr="00552F40" w:rsidRDefault="00BA1762" w:rsidP="000D1DE1">
            <w:pPr>
              <w:spacing w:after="160"/>
              <w:rPr>
                <w:b w:val="0"/>
                <w:sz w:val="22"/>
                <w:szCs w:val="22"/>
              </w:rPr>
            </w:pPr>
            <w:r w:rsidRPr="00552F40">
              <w:rPr>
                <w:b w:val="0"/>
                <w:sz w:val="22"/>
                <w:szCs w:val="22"/>
              </w:rPr>
              <w:t>F60</w:t>
            </w:r>
          </w:p>
        </w:tc>
        <w:tc>
          <w:tcPr>
            <w:tcW w:w="4150" w:type="dxa"/>
            <w:gridSpan w:val="2"/>
            <w:shd w:val="clear" w:color="auto" w:fill="auto"/>
          </w:tcPr>
          <w:p w14:paraId="54EA1CB4"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sz w:val="22"/>
                <w:szCs w:val="22"/>
              </w:rPr>
            </w:pPr>
            <w:r w:rsidRPr="00552F40">
              <w:rPr>
                <w:i/>
                <w:sz w:val="22"/>
                <w:szCs w:val="22"/>
              </w:rPr>
              <w:t>Circulatory Disorders, Admitted for AMI without Invasive Cardiac Investigative Intervention</w:t>
            </w:r>
          </w:p>
        </w:tc>
        <w:tc>
          <w:tcPr>
            <w:tcW w:w="4471" w:type="dxa"/>
            <w:shd w:val="clear" w:color="auto" w:fill="auto"/>
          </w:tcPr>
          <w:p w14:paraId="345BF963"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Maintained one split solely based on the use of separation mode and LOS.</w:t>
            </w:r>
          </w:p>
        </w:tc>
      </w:tr>
      <w:tr w:rsidR="00BA1762" w:rsidRPr="00552F40" w14:paraId="4BE82FEC" w14:textId="77777777" w:rsidTr="00552F40">
        <w:tc>
          <w:tcPr>
            <w:cnfStyle w:val="001000000000" w:firstRow="0" w:lastRow="0" w:firstColumn="1" w:lastColumn="0" w:oddVBand="0" w:evenVBand="0" w:oddHBand="0" w:evenHBand="0" w:firstRowFirstColumn="0" w:firstRowLastColumn="0" w:lastRowFirstColumn="0" w:lastRowLastColumn="0"/>
            <w:tcW w:w="814" w:type="dxa"/>
            <w:shd w:val="clear" w:color="auto" w:fill="auto"/>
          </w:tcPr>
          <w:p w14:paraId="580F3DBA" w14:textId="77777777" w:rsidR="00BA1762" w:rsidRPr="00552F40" w:rsidRDefault="00BA1762" w:rsidP="000D1DE1">
            <w:pPr>
              <w:spacing w:after="160"/>
              <w:rPr>
                <w:b w:val="0"/>
                <w:sz w:val="22"/>
                <w:szCs w:val="22"/>
              </w:rPr>
            </w:pPr>
            <w:r w:rsidRPr="00552F40">
              <w:rPr>
                <w:b w:val="0"/>
                <w:sz w:val="22"/>
                <w:szCs w:val="22"/>
              </w:rPr>
              <w:t>F62</w:t>
            </w:r>
          </w:p>
        </w:tc>
        <w:tc>
          <w:tcPr>
            <w:tcW w:w="4150" w:type="dxa"/>
            <w:gridSpan w:val="2"/>
            <w:shd w:val="clear" w:color="auto" w:fill="auto"/>
          </w:tcPr>
          <w:p w14:paraId="5BBFDFEF" w14:textId="77777777"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sz w:val="22"/>
                <w:szCs w:val="22"/>
              </w:rPr>
            </w:pPr>
            <w:r w:rsidRPr="00552F40">
              <w:rPr>
                <w:i/>
                <w:sz w:val="22"/>
                <w:szCs w:val="22"/>
              </w:rPr>
              <w:t>Heart Failure and Shock</w:t>
            </w:r>
          </w:p>
        </w:tc>
        <w:tc>
          <w:tcPr>
            <w:tcW w:w="4471" w:type="dxa"/>
            <w:shd w:val="clear" w:color="auto" w:fill="auto"/>
          </w:tcPr>
          <w:p w14:paraId="6AFECC15" w14:textId="77777777"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Maintained one split and the use of separation mode and LOS to provide an extra split.</w:t>
            </w:r>
          </w:p>
        </w:tc>
      </w:tr>
      <w:tr w:rsidR="00BA1762" w:rsidRPr="00552F40" w14:paraId="7865AF66" w14:textId="77777777" w:rsidTr="00552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4" w:type="dxa"/>
            <w:shd w:val="clear" w:color="auto" w:fill="auto"/>
          </w:tcPr>
          <w:p w14:paraId="258358F6" w14:textId="77777777" w:rsidR="00BA1762" w:rsidRPr="00552F40" w:rsidRDefault="00BA1762" w:rsidP="000D1DE1">
            <w:pPr>
              <w:spacing w:after="160"/>
              <w:rPr>
                <w:b w:val="0"/>
                <w:sz w:val="22"/>
                <w:szCs w:val="22"/>
              </w:rPr>
            </w:pPr>
            <w:r w:rsidRPr="00552F40">
              <w:rPr>
                <w:b w:val="0"/>
                <w:sz w:val="22"/>
                <w:szCs w:val="22"/>
              </w:rPr>
              <w:t>L10</w:t>
            </w:r>
          </w:p>
        </w:tc>
        <w:tc>
          <w:tcPr>
            <w:tcW w:w="4150" w:type="dxa"/>
            <w:gridSpan w:val="2"/>
            <w:shd w:val="clear" w:color="auto" w:fill="auto"/>
          </w:tcPr>
          <w:p w14:paraId="3AF8A23F"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sz w:val="22"/>
                <w:szCs w:val="22"/>
              </w:rPr>
            </w:pPr>
            <w:r w:rsidRPr="00552F40">
              <w:rPr>
                <w:i/>
                <w:sz w:val="22"/>
                <w:szCs w:val="22"/>
              </w:rPr>
              <w:t>Kidney Transplantation</w:t>
            </w:r>
          </w:p>
        </w:tc>
        <w:tc>
          <w:tcPr>
            <w:tcW w:w="4471" w:type="dxa"/>
            <w:shd w:val="clear" w:color="auto" w:fill="auto"/>
          </w:tcPr>
          <w:p w14:paraId="6F750C4C"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Maintained one split based on ECCS and age.</w:t>
            </w:r>
          </w:p>
        </w:tc>
      </w:tr>
      <w:tr w:rsidR="00BA1762" w:rsidRPr="00552F40" w14:paraId="0043A377" w14:textId="77777777" w:rsidTr="00552F40">
        <w:tc>
          <w:tcPr>
            <w:cnfStyle w:val="001000000000" w:firstRow="0" w:lastRow="0" w:firstColumn="1" w:lastColumn="0" w:oddVBand="0" w:evenVBand="0" w:oddHBand="0" w:evenHBand="0" w:firstRowFirstColumn="0" w:firstRowLastColumn="0" w:lastRowFirstColumn="0" w:lastRowLastColumn="0"/>
            <w:tcW w:w="814" w:type="dxa"/>
            <w:shd w:val="clear" w:color="auto" w:fill="auto"/>
          </w:tcPr>
          <w:p w14:paraId="7006DC8E" w14:textId="77777777" w:rsidR="00BA1762" w:rsidRPr="00552F40" w:rsidRDefault="00BA1762" w:rsidP="000D1DE1">
            <w:pPr>
              <w:spacing w:after="160"/>
              <w:rPr>
                <w:b w:val="0"/>
                <w:sz w:val="22"/>
                <w:szCs w:val="22"/>
              </w:rPr>
            </w:pPr>
            <w:r w:rsidRPr="00552F40">
              <w:rPr>
                <w:b w:val="0"/>
                <w:sz w:val="22"/>
                <w:szCs w:val="22"/>
              </w:rPr>
              <w:t>R05</w:t>
            </w:r>
          </w:p>
        </w:tc>
        <w:tc>
          <w:tcPr>
            <w:tcW w:w="4150" w:type="dxa"/>
            <w:gridSpan w:val="2"/>
            <w:shd w:val="clear" w:color="auto" w:fill="auto"/>
          </w:tcPr>
          <w:p w14:paraId="52482135" w14:textId="77777777"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sz w:val="22"/>
                <w:szCs w:val="22"/>
              </w:rPr>
            </w:pPr>
            <w:r w:rsidRPr="00552F40">
              <w:rPr>
                <w:i/>
                <w:sz w:val="22"/>
                <w:szCs w:val="22"/>
              </w:rPr>
              <w:t>Other Haematopoietic Stem Cell Transplantation</w:t>
            </w:r>
          </w:p>
        </w:tc>
        <w:tc>
          <w:tcPr>
            <w:tcW w:w="4471" w:type="dxa"/>
            <w:shd w:val="clear" w:color="auto" w:fill="auto"/>
          </w:tcPr>
          <w:p w14:paraId="342EBE34" w14:textId="77777777"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Maintained one split based on ECCS and age.</w:t>
            </w:r>
          </w:p>
        </w:tc>
      </w:tr>
    </w:tbl>
    <w:p w14:paraId="3DE2C627" w14:textId="77777777" w:rsidR="00BA1762" w:rsidRPr="00BC28A9" w:rsidRDefault="00BA1762" w:rsidP="00BA1762">
      <w:pPr>
        <w:pStyle w:val="Heading2"/>
        <w:spacing w:before="360" w:after="120" w:line="260" w:lineRule="atLeast"/>
        <w:contextualSpacing/>
      </w:pPr>
      <w:bookmarkStart w:id="88" w:name="_Toc100843003"/>
      <w:bookmarkStart w:id="89" w:name="_Toc124657531"/>
      <w:bookmarkStart w:id="90" w:name="_Toc534624613"/>
      <w:r w:rsidRPr="00BC28A9">
        <w:t>ADRGs with manual splits to support stability</w:t>
      </w:r>
      <w:bookmarkEnd w:id="88"/>
      <w:bookmarkEnd w:id="89"/>
    </w:p>
    <w:p w14:paraId="3FD8894E" w14:textId="69EB0CB8" w:rsidR="00BA1762" w:rsidRPr="00BC28A9" w:rsidRDefault="00BA1762" w:rsidP="000D1DE1">
      <w:r w:rsidRPr="00BC28A9">
        <w:t xml:space="preserve">Stability principles have been adopted to ensure there is strong evidence in the data before </w:t>
      </w:r>
      <w:r>
        <w:t>the number of splits or</w:t>
      </w:r>
      <w:r w:rsidRPr="00BC28A9">
        <w:t xml:space="preserve"> </w:t>
      </w:r>
      <w:r>
        <w:t>splitting points are</w:t>
      </w:r>
      <w:r w:rsidRPr="00BC28A9">
        <w:t xml:space="preserve"> changed. If a V10.0 split only marginally fails to meet one of the DRG principles in </w:t>
      </w:r>
      <w:r w:rsidRPr="00DE1EAF">
        <w:rPr>
          <w:b/>
          <w:bCs/>
        </w:rPr>
        <w:t>Table</w:t>
      </w:r>
      <w:r w:rsidR="0023544F">
        <w:rPr>
          <w:b/>
          <w:bCs/>
        </w:rPr>
        <w:t xml:space="preserve"> </w:t>
      </w:r>
      <w:r w:rsidRPr="00DE1EAF">
        <w:rPr>
          <w:b/>
          <w:bCs/>
        </w:rPr>
        <w:t>10</w:t>
      </w:r>
      <w:r w:rsidRPr="00BC28A9">
        <w:t xml:space="preserve"> and still has relatively good statistical performance, it is recommended that the V10.0 split be retained for stability.</w:t>
      </w:r>
    </w:p>
    <w:p w14:paraId="711853F8" w14:textId="77777777" w:rsidR="00BA1762" w:rsidRPr="00BC28A9" w:rsidRDefault="00BA1762" w:rsidP="000D1DE1">
      <w:r w:rsidRPr="00DE1EAF">
        <w:rPr>
          <w:b/>
          <w:bCs/>
        </w:rPr>
        <w:t>Table 14</w:t>
      </w:r>
      <w:r w:rsidRPr="00BC28A9">
        <w:t xml:space="preserve"> outlines the </w:t>
      </w:r>
      <w:r>
        <w:t>eight</w:t>
      </w:r>
      <w:r w:rsidRPr="00BC28A9">
        <w:t xml:space="preserve"> ADRGs with manual splits to support stability.</w:t>
      </w:r>
    </w:p>
    <w:p w14:paraId="4D5A3ABE" w14:textId="77777777" w:rsidR="00BA1762" w:rsidRPr="000D1DE1" w:rsidRDefault="00BA1762" w:rsidP="00283621">
      <w:pPr>
        <w:pStyle w:val="Caption"/>
      </w:pPr>
      <w:r w:rsidRPr="000D1DE1">
        <w:t>Table 14: ADRGs with manual splits to support stability</w:t>
      </w:r>
    </w:p>
    <w:tbl>
      <w:tblPr>
        <w:tblStyle w:val="ListTable3-Accent11"/>
        <w:tblW w:w="5000" w:type="pct"/>
        <w:tblLook w:val="04A0" w:firstRow="1" w:lastRow="0" w:firstColumn="1" w:lastColumn="0" w:noHBand="0" w:noVBand="1"/>
      </w:tblPr>
      <w:tblGrid>
        <w:gridCol w:w="874"/>
        <w:gridCol w:w="5696"/>
        <w:gridCol w:w="2752"/>
      </w:tblGrid>
      <w:tr w:rsidR="00552F40" w:rsidRPr="00552F40" w14:paraId="48C1A815" w14:textId="77777777" w:rsidTr="00552F40">
        <w:trPr>
          <w:cnfStyle w:val="100000000000" w:firstRow="1" w:lastRow="0" w:firstColumn="0" w:lastColumn="0" w:oddVBand="0" w:evenVBand="0" w:oddHBand="0" w:evenHBand="0" w:firstRowFirstColumn="0" w:firstRowLastColumn="0" w:lastRowFirstColumn="0" w:lastRowLastColumn="0"/>
          <w:trHeight w:val="420"/>
          <w:tblHeader/>
        </w:trPr>
        <w:tc>
          <w:tcPr>
            <w:cnfStyle w:val="001000000100" w:firstRow="0" w:lastRow="0" w:firstColumn="1" w:lastColumn="0" w:oddVBand="0" w:evenVBand="0" w:oddHBand="0" w:evenHBand="0" w:firstRowFirstColumn="1" w:firstRowLastColumn="0" w:lastRowFirstColumn="0" w:lastRowLastColumn="0"/>
            <w:tcW w:w="469" w:type="pct"/>
            <w:shd w:val="clear" w:color="auto" w:fill="104F99" w:themeFill="accent2"/>
          </w:tcPr>
          <w:p w14:paraId="198C695C" w14:textId="77777777" w:rsidR="00BA1762" w:rsidRPr="00552F40" w:rsidRDefault="00BA1762" w:rsidP="000D1DE1">
            <w:pPr>
              <w:spacing w:after="160"/>
              <w:rPr>
                <w:color w:val="FFFFFF" w:themeColor="accent6"/>
                <w:sz w:val="22"/>
                <w:szCs w:val="22"/>
              </w:rPr>
            </w:pPr>
            <w:r w:rsidRPr="00552F40">
              <w:rPr>
                <w:color w:val="FFFFFF" w:themeColor="accent6"/>
                <w:sz w:val="22"/>
                <w:szCs w:val="22"/>
              </w:rPr>
              <w:t>ADRG</w:t>
            </w:r>
          </w:p>
        </w:tc>
        <w:tc>
          <w:tcPr>
            <w:tcW w:w="3055" w:type="pct"/>
            <w:shd w:val="clear" w:color="auto" w:fill="104F99" w:themeFill="accent2"/>
          </w:tcPr>
          <w:p w14:paraId="3AB2BC33" w14:textId="77777777" w:rsidR="00BA1762" w:rsidRPr="00552F40" w:rsidRDefault="00BA1762" w:rsidP="000D1DE1">
            <w:pPr>
              <w:spacing w:after="160"/>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552F40">
              <w:rPr>
                <w:color w:val="FFFFFF" w:themeColor="accent6"/>
                <w:sz w:val="22"/>
                <w:szCs w:val="22"/>
              </w:rPr>
              <w:t>Description</w:t>
            </w:r>
          </w:p>
        </w:tc>
        <w:tc>
          <w:tcPr>
            <w:tcW w:w="1476" w:type="pct"/>
            <w:shd w:val="clear" w:color="auto" w:fill="104F99" w:themeFill="accent2"/>
          </w:tcPr>
          <w:p w14:paraId="75EAB8D5" w14:textId="77777777" w:rsidR="00BA1762" w:rsidRPr="00552F40" w:rsidRDefault="00BA1762" w:rsidP="000D1DE1">
            <w:pPr>
              <w:spacing w:after="160"/>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552F40">
              <w:rPr>
                <w:color w:val="FFFFFF" w:themeColor="accent6"/>
                <w:sz w:val="22"/>
                <w:szCs w:val="22"/>
              </w:rPr>
              <w:t>Marginally failed principle</w:t>
            </w:r>
          </w:p>
        </w:tc>
      </w:tr>
      <w:tr w:rsidR="00BA1762" w:rsidRPr="00552F40" w14:paraId="30C12DEC" w14:textId="77777777" w:rsidTr="00552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 w:type="pct"/>
            <w:shd w:val="clear" w:color="auto" w:fill="auto"/>
          </w:tcPr>
          <w:p w14:paraId="485A0C43" w14:textId="77777777" w:rsidR="00BA1762" w:rsidRPr="00552F40" w:rsidRDefault="00BA1762" w:rsidP="000D1DE1">
            <w:pPr>
              <w:spacing w:after="160"/>
              <w:rPr>
                <w:b w:val="0"/>
                <w:sz w:val="22"/>
                <w:szCs w:val="22"/>
              </w:rPr>
            </w:pPr>
            <w:r w:rsidRPr="00552F40">
              <w:rPr>
                <w:b w:val="0"/>
                <w:sz w:val="22"/>
                <w:szCs w:val="22"/>
              </w:rPr>
              <w:t>A14</w:t>
            </w:r>
          </w:p>
        </w:tc>
        <w:tc>
          <w:tcPr>
            <w:tcW w:w="3055" w:type="pct"/>
            <w:shd w:val="clear" w:color="auto" w:fill="auto"/>
          </w:tcPr>
          <w:p w14:paraId="41954FFD"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i/>
                <w:sz w:val="22"/>
                <w:szCs w:val="22"/>
              </w:rPr>
            </w:pPr>
            <w:r w:rsidRPr="00552F40">
              <w:rPr>
                <w:i/>
                <w:sz w:val="22"/>
                <w:szCs w:val="22"/>
              </w:rPr>
              <w:t>Ventilation &gt;= 96 Hours and &lt; 336 Hours</w:t>
            </w:r>
          </w:p>
        </w:tc>
        <w:tc>
          <w:tcPr>
            <w:tcW w:w="1476" w:type="pct"/>
            <w:shd w:val="clear" w:color="auto" w:fill="auto"/>
          </w:tcPr>
          <w:p w14:paraId="182A7B19"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Principle 6</w:t>
            </w:r>
          </w:p>
        </w:tc>
      </w:tr>
      <w:tr w:rsidR="00BA1762" w:rsidRPr="00552F40" w14:paraId="4991CD12" w14:textId="77777777" w:rsidTr="00552F40">
        <w:tc>
          <w:tcPr>
            <w:cnfStyle w:val="001000000000" w:firstRow="0" w:lastRow="0" w:firstColumn="1" w:lastColumn="0" w:oddVBand="0" w:evenVBand="0" w:oddHBand="0" w:evenHBand="0" w:firstRowFirstColumn="0" w:firstRowLastColumn="0" w:lastRowFirstColumn="0" w:lastRowLastColumn="0"/>
            <w:tcW w:w="469" w:type="pct"/>
            <w:shd w:val="clear" w:color="auto" w:fill="auto"/>
          </w:tcPr>
          <w:p w14:paraId="7E0B8747" w14:textId="77777777" w:rsidR="00BA1762" w:rsidRPr="00552F40" w:rsidRDefault="00BA1762" w:rsidP="000D1DE1">
            <w:pPr>
              <w:spacing w:after="160"/>
              <w:rPr>
                <w:b w:val="0"/>
                <w:sz w:val="22"/>
                <w:szCs w:val="22"/>
              </w:rPr>
            </w:pPr>
            <w:r w:rsidRPr="00552F40">
              <w:rPr>
                <w:b w:val="0"/>
                <w:sz w:val="22"/>
                <w:szCs w:val="22"/>
              </w:rPr>
              <w:t>B83</w:t>
            </w:r>
          </w:p>
        </w:tc>
        <w:tc>
          <w:tcPr>
            <w:tcW w:w="3055" w:type="pct"/>
            <w:shd w:val="clear" w:color="auto" w:fill="auto"/>
          </w:tcPr>
          <w:p w14:paraId="1B51B91D" w14:textId="77777777"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i/>
                <w:sz w:val="22"/>
                <w:szCs w:val="22"/>
              </w:rPr>
            </w:pPr>
            <w:r w:rsidRPr="00552F40">
              <w:rPr>
                <w:i/>
                <w:sz w:val="22"/>
                <w:szCs w:val="22"/>
              </w:rPr>
              <w:t>Acute Paraplegia and Quadriplegia and Spinal Cord Conditions</w:t>
            </w:r>
          </w:p>
        </w:tc>
        <w:tc>
          <w:tcPr>
            <w:tcW w:w="1476" w:type="pct"/>
            <w:shd w:val="clear" w:color="auto" w:fill="auto"/>
          </w:tcPr>
          <w:p w14:paraId="29374D00" w14:textId="77777777"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Principle 6</w:t>
            </w:r>
          </w:p>
        </w:tc>
      </w:tr>
      <w:tr w:rsidR="00BA1762" w:rsidRPr="00552F40" w14:paraId="4C3529D0" w14:textId="77777777" w:rsidTr="00552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 w:type="pct"/>
            <w:shd w:val="clear" w:color="auto" w:fill="auto"/>
          </w:tcPr>
          <w:p w14:paraId="7974FDBB" w14:textId="77777777" w:rsidR="00BA1762" w:rsidRPr="00552F40" w:rsidRDefault="00BA1762" w:rsidP="000D1DE1">
            <w:pPr>
              <w:spacing w:after="160"/>
              <w:rPr>
                <w:b w:val="0"/>
                <w:sz w:val="22"/>
                <w:szCs w:val="22"/>
              </w:rPr>
            </w:pPr>
            <w:r w:rsidRPr="00552F40">
              <w:rPr>
                <w:b w:val="0"/>
                <w:sz w:val="22"/>
                <w:szCs w:val="22"/>
              </w:rPr>
              <w:t>C15</w:t>
            </w:r>
          </w:p>
        </w:tc>
        <w:tc>
          <w:tcPr>
            <w:tcW w:w="3055" w:type="pct"/>
            <w:shd w:val="clear" w:color="auto" w:fill="auto"/>
          </w:tcPr>
          <w:p w14:paraId="1836F91B"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i/>
                <w:sz w:val="22"/>
                <w:szCs w:val="22"/>
              </w:rPr>
            </w:pPr>
            <w:r w:rsidRPr="00552F40">
              <w:rPr>
                <w:i/>
                <w:sz w:val="22"/>
                <w:szCs w:val="22"/>
              </w:rPr>
              <w:t>Glaucoma and Complex Cataract Interventions</w:t>
            </w:r>
          </w:p>
        </w:tc>
        <w:tc>
          <w:tcPr>
            <w:tcW w:w="1476" w:type="pct"/>
            <w:shd w:val="clear" w:color="auto" w:fill="auto"/>
          </w:tcPr>
          <w:p w14:paraId="0FFF3231"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Principle 3</w:t>
            </w:r>
          </w:p>
        </w:tc>
      </w:tr>
      <w:tr w:rsidR="00BA1762" w:rsidRPr="00552F40" w14:paraId="3E73A735" w14:textId="77777777" w:rsidTr="00552F40">
        <w:tc>
          <w:tcPr>
            <w:cnfStyle w:val="001000000000" w:firstRow="0" w:lastRow="0" w:firstColumn="1" w:lastColumn="0" w:oddVBand="0" w:evenVBand="0" w:oddHBand="0" w:evenHBand="0" w:firstRowFirstColumn="0" w:firstRowLastColumn="0" w:lastRowFirstColumn="0" w:lastRowLastColumn="0"/>
            <w:tcW w:w="469" w:type="pct"/>
            <w:shd w:val="clear" w:color="auto" w:fill="auto"/>
          </w:tcPr>
          <w:p w14:paraId="2E91EA41" w14:textId="77777777" w:rsidR="00BA1762" w:rsidRPr="00552F40" w:rsidRDefault="00BA1762" w:rsidP="000D1DE1">
            <w:pPr>
              <w:spacing w:after="160"/>
              <w:rPr>
                <w:b w:val="0"/>
                <w:sz w:val="22"/>
                <w:szCs w:val="22"/>
              </w:rPr>
            </w:pPr>
            <w:r w:rsidRPr="00552F40">
              <w:rPr>
                <w:b w:val="0"/>
                <w:sz w:val="22"/>
                <w:szCs w:val="22"/>
              </w:rPr>
              <w:t>E63</w:t>
            </w:r>
          </w:p>
        </w:tc>
        <w:tc>
          <w:tcPr>
            <w:tcW w:w="3055" w:type="pct"/>
            <w:shd w:val="clear" w:color="auto" w:fill="auto"/>
          </w:tcPr>
          <w:p w14:paraId="2ED4835A" w14:textId="77777777"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i/>
                <w:sz w:val="22"/>
                <w:szCs w:val="22"/>
              </w:rPr>
            </w:pPr>
            <w:r w:rsidRPr="00552F40">
              <w:rPr>
                <w:i/>
                <w:sz w:val="22"/>
                <w:szCs w:val="22"/>
              </w:rPr>
              <w:t>Sleep Apnoea</w:t>
            </w:r>
          </w:p>
        </w:tc>
        <w:tc>
          <w:tcPr>
            <w:tcW w:w="1476" w:type="pct"/>
            <w:shd w:val="clear" w:color="auto" w:fill="auto"/>
          </w:tcPr>
          <w:p w14:paraId="29BFCEF7" w14:textId="77777777"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Principle 3</w:t>
            </w:r>
          </w:p>
        </w:tc>
      </w:tr>
      <w:tr w:rsidR="00BA1762" w:rsidRPr="00552F40" w14:paraId="4F9ED702" w14:textId="77777777" w:rsidTr="00552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 w:type="pct"/>
            <w:shd w:val="clear" w:color="auto" w:fill="auto"/>
          </w:tcPr>
          <w:p w14:paraId="75E26F0C" w14:textId="77777777" w:rsidR="00BA1762" w:rsidRPr="00552F40" w:rsidRDefault="00BA1762" w:rsidP="000D1DE1">
            <w:pPr>
              <w:spacing w:after="160"/>
              <w:rPr>
                <w:b w:val="0"/>
                <w:sz w:val="22"/>
                <w:szCs w:val="22"/>
              </w:rPr>
            </w:pPr>
            <w:r w:rsidRPr="00552F40">
              <w:rPr>
                <w:b w:val="0"/>
                <w:sz w:val="22"/>
                <w:szCs w:val="22"/>
              </w:rPr>
              <w:t>G47</w:t>
            </w:r>
          </w:p>
        </w:tc>
        <w:tc>
          <w:tcPr>
            <w:tcW w:w="3055" w:type="pct"/>
            <w:shd w:val="clear" w:color="auto" w:fill="auto"/>
          </w:tcPr>
          <w:p w14:paraId="0ACB148D"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i/>
                <w:sz w:val="22"/>
                <w:szCs w:val="22"/>
              </w:rPr>
            </w:pPr>
            <w:r w:rsidRPr="00552F40">
              <w:rPr>
                <w:i/>
                <w:sz w:val="22"/>
                <w:szCs w:val="22"/>
              </w:rPr>
              <w:t>Gastroscopy</w:t>
            </w:r>
          </w:p>
        </w:tc>
        <w:tc>
          <w:tcPr>
            <w:tcW w:w="1476" w:type="pct"/>
            <w:shd w:val="clear" w:color="auto" w:fill="auto"/>
          </w:tcPr>
          <w:p w14:paraId="2BE01BFF"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Principle 5</w:t>
            </w:r>
          </w:p>
        </w:tc>
      </w:tr>
      <w:tr w:rsidR="00BA1762" w:rsidRPr="00552F40" w14:paraId="3C33C69A" w14:textId="77777777" w:rsidTr="00552F40">
        <w:tc>
          <w:tcPr>
            <w:cnfStyle w:val="001000000000" w:firstRow="0" w:lastRow="0" w:firstColumn="1" w:lastColumn="0" w:oddVBand="0" w:evenVBand="0" w:oddHBand="0" w:evenHBand="0" w:firstRowFirstColumn="0" w:firstRowLastColumn="0" w:lastRowFirstColumn="0" w:lastRowLastColumn="0"/>
            <w:tcW w:w="469" w:type="pct"/>
            <w:shd w:val="clear" w:color="auto" w:fill="auto"/>
          </w:tcPr>
          <w:p w14:paraId="1BAB4B9C" w14:textId="77777777" w:rsidR="00BA1762" w:rsidRPr="00552F40" w:rsidRDefault="00BA1762" w:rsidP="000D1DE1">
            <w:pPr>
              <w:spacing w:after="160"/>
              <w:rPr>
                <w:b w:val="0"/>
                <w:sz w:val="22"/>
                <w:szCs w:val="22"/>
              </w:rPr>
            </w:pPr>
            <w:r w:rsidRPr="00552F40">
              <w:rPr>
                <w:b w:val="0"/>
                <w:sz w:val="22"/>
                <w:szCs w:val="22"/>
              </w:rPr>
              <w:t>I75</w:t>
            </w:r>
          </w:p>
        </w:tc>
        <w:tc>
          <w:tcPr>
            <w:tcW w:w="3055" w:type="pct"/>
            <w:shd w:val="clear" w:color="auto" w:fill="auto"/>
          </w:tcPr>
          <w:p w14:paraId="15805805" w14:textId="77777777"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i/>
                <w:sz w:val="22"/>
                <w:szCs w:val="22"/>
              </w:rPr>
            </w:pPr>
            <w:r w:rsidRPr="00552F40">
              <w:rPr>
                <w:i/>
                <w:sz w:val="22"/>
                <w:szCs w:val="22"/>
              </w:rPr>
              <w:t>Injuries to Shoulder, Arm, Elbow, Knee, Leg and Ankle</w:t>
            </w:r>
          </w:p>
        </w:tc>
        <w:tc>
          <w:tcPr>
            <w:tcW w:w="1476" w:type="pct"/>
            <w:shd w:val="clear" w:color="auto" w:fill="auto"/>
          </w:tcPr>
          <w:p w14:paraId="77BD8211" w14:textId="77777777"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Principle 6</w:t>
            </w:r>
          </w:p>
        </w:tc>
      </w:tr>
      <w:tr w:rsidR="00BA1762" w:rsidRPr="00552F40" w14:paraId="4A857167" w14:textId="77777777" w:rsidTr="00552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 w:type="pct"/>
            <w:shd w:val="clear" w:color="auto" w:fill="auto"/>
          </w:tcPr>
          <w:p w14:paraId="2956E8AC" w14:textId="77777777" w:rsidR="00BA1762" w:rsidRPr="00552F40" w:rsidRDefault="00BA1762" w:rsidP="000D1DE1">
            <w:pPr>
              <w:spacing w:after="160"/>
              <w:rPr>
                <w:b w:val="0"/>
                <w:sz w:val="22"/>
                <w:szCs w:val="22"/>
              </w:rPr>
            </w:pPr>
            <w:r w:rsidRPr="00552F40">
              <w:rPr>
                <w:b w:val="0"/>
                <w:sz w:val="22"/>
                <w:szCs w:val="22"/>
              </w:rPr>
              <w:lastRenderedPageBreak/>
              <w:t>L09</w:t>
            </w:r>
          </w:p>
        </w:tc>
        <w:tc>
          <w:tcPr>
            <w:tcW w:w="3055" w:type="pct"/>
            <w:shd w:val="clear" w:color="auto" w:fill="auto"/>
          </w:tcPr>
          <w:p w14:paraId="0628E974"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i/>
                <w:sz w:val="22"/>
                <w:szCs w:val="22"/>
              </w:rPr>
            </w:pPr>
            <w:r w:rsidRPr="00552F40">
              <w:rPr>
                <w:i/>
                <w:sz w:val="22"/>
                <w:szCs w:val="22"/>
              </w:rPr>
              <w:t>Other Interventions for Kidney and Urinary Tract Disorders</w:t>
            </w:r>
          </w:p>
        </w:tc>
        <w:tc>
          <w:tcPr>
            <w:tcW w:w="1476" w:type="pct"/>
            <w:shd w:val="clear" w:color="auto" w:fill="auto"/>
          </w:tcPr>
          <w:p w14:paraId="6A90A7E2"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Principle 3</w:t>
            </w:r>
          </w:p>
        </w:tc>
      </w:tr>
      <w:tr w:rsidR="00BA1762" w:rsidRPr="00552F40" w14:paraId="0FF12A7D" w14:textId="77777777" w:rsidTr="00552F40">
        <w:tc>
          <w:tcPr>
            <w:cnfStyle w:val="001000000000" w:firstRow="0" w:lastRow="0" w:firstColumn="1" w:lastColumn="0" w:oddVBand="0" w:evenVBand="0" w:oddHBand="0" w:evenHBand="0" w:firstRowFirstColumn="0" w:firstRowLastColumn="0" w:lastRowFirstColumn="0" w:lastRowLastColumn="0"/>
            <w:tcW w:w="469" w:type="pct"/>
            <w:shd w:val="clear" w:color="auto" w:fill="auto"/>
          </w:tcPr>
          <w:p w14:paraId="7C5C5042" w14:textId="77777777" w:rsidR="00BA1762" w:rsidRPr="00552F40" w:rsidRDefault="00BA1762" w:rsidP="000D1DE1">
            <w:pPr>
              <w:spacing w:after="160"/>
              <w:rPr>
                <w:b w:val="0"/>
                <w:sz w:val="22"/>
                <w:szCs w:val="22"/>
              </w:rPr>
            </w:pPr>
            <w:r w:rsidRPr="00552F40">
              <w:rPr>
                <w:b w:val="0"/>
                <w:sz w:val="22"/>
                <w:szCs w:val="22"/>
              </w:rPr>
              <w:t>Y02</w:t>
            </w:r>
          </w:p>
        </w:tc>
        <w:tc>
          <w:tcPr>
            <w:tcW w:w="3055" w:type="pct"/>
            <w:shd w:val="clear" w:color="auto" w:fill="auto"/>
          </w:tcPr>
          <w:p w14:paraId="7C7FFDFE" w14:textId="77777777"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i/>
                <w:sz w:val="22"/>
                <w:szCs w:val="22"/>
              </w:rPr>
            </w:pPr>
            <w:r w:rsidRPr="00552F40">
              <w:rPr>
                <w:i/>
                <w:sz w:val="22"/>
                <w:szCs w:val="22"/>
              </w:rPr>
              <w:t>Skin Grafts for Other Burns</w:t>
            </w:r>
          </w:p>
        </w:tc>
        <w:tc>
          <w:tcPr>
            <w:tcW w:w="1476" w:type="pct"/>
            <w:shd w:val="clear" w:color="auto" w:fill="auto"/>
          </w:tcPr>
          <w:p w14:paraId="553FE997" w14:textId="77777777"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Principle 3</w:t>
            </w:r>
          </w:p>
        </w:tc>
      </w:tr>
    </w:tbl>
    <w:p w14:paraId="31F7AEB7" w14:textId="77777777" w:rsidR="00BA1762" w:rsidRPr="00BC28A9" w:rsidRDefault="00BA1762" w:rsidP="00BA1762">
      <w:pPr>
        <w:pStyle w:val="Heading2"/>
        <w:spacing w:before="360" w:after="120" w:line="260" w:lineRule="atLeast"/>
        <w:contextualSpacing/>
      </w:pPr>
      <w:bookmarkStart w:id="91" w:name="_Toc100843004"/>
      <w:bookmarkStart w:id="92" w:name="_Toc124657532"/>
      <w:r w:rsidRPr="00BC28A9">
        <w:t>ADRGs with manual splits due to failure to select an optimum threshold</w:t>
      </w:r>
      <w:bookmarkEnd w:id="91"/>
      <w:bookmarkEnd w:id="92"/>
    </w:p>
    <w:p w14:paraId="05F669E4" w14:textId="77777777" w:rsidR="00BA1762" w:rsidRPr="00BC28A9" w:rsidRDefault="00BA1762" w:rsidP="000D1DE1">
      <w:pPr>
        <w:pStyle w:val="ListBullet"/>
        <w:spacing w:before="0" w:after="160" w:line="288" w:lineRule="auto"/>
      </w:pPr>
      <w:r w:rsidRPr="00BC28A9">
        <w:t xml:space="preserve">There </w:t>
      </w:r>
      <w:r>
        <w:t>were</w:t>
      </w:r>
      <w:r w:rsidRPr="00BC28A9">
        <w:t xml:space="preserve"> a small number of ADRGs where the selection principles outlined in </w:t>
      </w:r>
      <w:r w:rsidRPr="00DE1EAF">
        <w:rPr>
          <w:b/>
          <w:bCs/>
        </w:rPr>
        <w:t>Table 10</w:t>
      </w:r>
      <w:r w:rsidRPr="00BC28A9">
        <w:t xml:space="preserve"> were not appropriate, and the splitting methodology </w:t>
      </w:r>
      <w:r>
        <w:t>was</w:t>
      </w:r>
      <w:r w:rsidRPr="00BC28A9">
        <w:t xml:space="preserve"> not able to select an optimum threshold. In most cases, these ADRGs satisfy the majority of the DRG principles outlined in </w:t>
      </w:r>
      <w:r w:rsidRPr="00DE1EAF">
        <w:rPr>
          <w:b/>
          <w:bCs/>
        </w:rPr>
        <w:t>Table 10</w:t>
      </w:r>
      <w:r w:rsidRPr="00BC28A9">
        <w:t xml:space="preserve">, however failed to meet one or two </w:t>
      </w:r>
      <w:r>
        <w:t>principles</w:t>
      </w:r>
      <w:r w:rsidRPr="00BC28A9">
        <w:t xml:space="preserve">. These ADRGs require manual splits </w:t>
      </w:r>
      <w:r>
        <w:t>for</w:t>
      </w:r>
      <w:r w:rsidRPr="00BC28A9">
        <w:t xml:space="preserve"> the following reasons:</w:t>
      </w:r>
    </w:p>
    <w:p w14:paraId="59490746" w14:textId="77777777" w:rsidR="00BA1762" w:rsidRPr="00BC28A9" w:rsidRDefault="00BA1762" w:rsidP="000D1DE1">
      <w:pPr>
        <w:pStyle w:val="ListBullet"/>
        <w:numPr>
          <w:ilvl w:val="0"/>
          <w:numId w:val="20"/>
        </w:numPr>
        <w:spacing w:before="0" w:after="160" w:line="288" w:lineRule="auto"/>
        <w:ind w:left="714" w:hanging="357"/>
      </w:pPr>
      <w:r>
        <w:t>t</w:t>
      </w:r>
      <w:r w:rsidRPr="00BC28A9">
        <w:t xml:space="preserve">he threshold in </w:t>
      </w:r>
      <w:r>
        <w:t>principle</w:t>
      </w:r>
      <w:r w:rsidRPr="00BC28A9">
        <w:t xml:space="preserve"> one (minimum of 200 episodes per category) was relaxed for ADRGs with low sample size but large cost variation (e.g., F03 </w:t>
      </w:r>
      <w:r w:rsidRPr="00BC28A9">
        <w:rPr>
          <w:i/>
        </w:rPr>
        <w:t xml:space="preserve">Cardiac Valve Interventions </w:t>
      </w:r>
      <w:r>
        <w:rPr>
          <w:i/>
        </w:rPr>
        <w:t>w</w:t>
      </w:r>
      <w:r w:rsidRPr="00BC28A9">
        <w:rPr>
          <w:i/>
        </w:rPr>
        <w:t xml:space="preserve">ith CPB Pump </w:t>
      </w:r>
      <w:r>
        <w:rPr>
          <w:i/>
        </w:rPr>
        <w:t>w</w:t>
      </w:r>
      <w:r w:rsidRPr="00BC28A9">
        <w:rPr>
          <w:i/>
        </w:rPr>
        <w:t>ith Invasive Cardiac Investigation</w:t>
      </w:r>
      <w:r w:rsidRPr="00BC28A9">
        <w:t>)</w:t>
      </w:r>
    </w:p>
    <w:p w14:paraId="61A8F227" w14:textId="77777777" w:rsidR="00BA1762" w:rsidRPr="00BC28A9" w:rsidRDefault="00BA1762" w:rsidP="000D1DE1">
      <w:pPr>
        <w:pStyle w:val="ListBullet"/>
        <w:numPr>
          <w:ilvl w:val="0"/>
          <w:numId w:val="20"/>
        </w:numPr>
        <w:spacing w:before="0" w:after="160" w:line="288" w:lineRule="auto"/>
        <w:ind w:left="714" w:hanging="357"/>
      </w:pPr>
      <w:r>
        <w:t xml:space="preserve">principles </w:t>
      </w:r>
      <w:r w:rsidRPr="00BC28A9">
        <w:t xml:space="preserve">four or five were not required to be met for ADRGs with high sample size but low cost variation (e.g., O60 </w:t>
      </w:r>
      <w:r w:rsidRPr="00BC28A9">
        <w:rPr>
          <w:i/>
        </w:rPr>
        <w:t>Vaginal Delivery</w:t>
      </w:r>
      <w:r w:rsidRPr="00BC28A9">
        <w:t>);</w:t>
      </w:r>
    </w:p>
    <w:p w14:paraId="295EA753" w14:textId="77777777" w:rsidR="00BA1762" w:rsidRPr="00BC28A9" w:rsidRDefault="00BA1762" w:rsidP="000D1DE1">
      <w:pPr>
        <w:pStyle w:val="ListBullet"/>
        <w:numPr>
          <w:ilvl w:val="0"/>
          <w:numId w:val="20"/>
        </w:numPr>
        <w:spacing w:before="0" w:after="160" w:line="288" w:lineRule="auto"/>
        <w:ind w:left="714" w:hanging="357"/>
      </w:pPr>
      <w:r>
        <w:t xml:space="preserve">principle </w:t>
      </w:r>
      <w:r w:rsidRPr="00BC28A9">
        <w:t xml:space="preserve">six was not required to be met for ADRGs with differing complexity profiles (e.g., A15 </w:t>
      </w:r>
      <w:r w:rsidRPr="00BC28A9">
        <w:rPr>
          <w:i/>
        </w:rPr>
        <w:t>Tracheostomy</w:t>
      </w:r>
      <w:r w:rsidRPr="00BC28A9">
        <w:t>).</w:t>
      </w:r>
    </w:p>
    <w:p w14:paraId="2F45D6DF" w14:textId="77777777" w:rsidR="00BA1762" w:rsidRDefault="00BA1762" w:rsidP="000D1DE1">
      <w:r w:rsidRPr="00DE1EAF">
        <w:rPr>
          <w:b/>
          <w:bCs/>
        </w:rPr>
        <w:t>Table 15</w:t>
      </w:r>
      <w:r w:rsidRPr="00BC28A9">
        <w:t xml:space="preserve"> provides the list of 17 ADRG </w:t>
      </w:r>
      <w:r>
        <w:t>with manual splits due to failure to select an optimum threshold</w:t>
      </w:r>
      <w:r w:rsidRPr="00BC28A9">
        <w:t xml:space="preserve"> and specifies the corresponding selection principles that were relaxed.</w:t>
      </w:r>
    </w:p>
    <w:p w14:paraId="2550F9F0" w14:textId="77777777" w:rsidR="00BA1762" w:rsidRPr="000D1DE1" w:rsidRDefault="00BA1762" w:rsidP="00283621">
      <w:pPr>
        <w:pStyle w:val="Caption"/>
      </w:pPr>
      <w:r w:rsidRPr="000D1DE1">
        <w:t>Table 15: ADRGs with manual splits due to failure to select an optimum threshold</w:t>
      </w:r>
    </w:p>
    <w:tbl>
      <w:tblPr>
        <w:tblStyle w:val="ListTable3-Accent11"/>
        <w:tblW w:w="9481" w:type="dxa"/>
        <w:tblLook w:val="04A0" w:firstRow="1" w:lastRow="0" w:firstColumn="1" w:lastColumn="0" w:noHBand="0" w:noVBand="1"/>
      </w:tblPr>
      <w:tblGrid>
        <w:gridCol w:w="864"/>
        <w:gridCol w:w="6236"/>
        <w:gridCol w:w="2381"/>
      </w:tblGrid>
      <w:tr w:rsidR="00552F40" w:rsidRPr="00552F40" w14:paraId="53193BC3" w14:textId="77777777" w:rsidTr="00552F40">
        <w:trPr>
          <w:cnfStyle w:val="100000000000" w:firstRow="1" w:lastRow="0" w:firstColumn="0" w:lastColumn="0" w:oddVBand="0" w:evenVBand="0" w:oddHBand="0" w:evenHBand="0" w:firstRowFirstColumn="0" w:firstRowLastColumn="0" w:lastRowFirstColumn="0" w:lastRowLastColumn="0"/>
          <w:trHeight w:val="420"/>
          <w:tblHeader/>
        </w:trPr>
        <w:tc>
          <w:tcPr>
            <w:cnfStyle w:val="001000000100" w:firstRow="0" w:lastRow="0" w:firstColumn="1" w:lastColumn="0" w:oddVBand="0" w:evenVBand="0" w:oddHBand="0" w:evenHBand="0" w:firstRowFirstColumn="1" w:firstRowLastColumn="0" w:lastRowFirstColumn="0" w:lastRowLastColumn="0"/>
            <w:tcW w:w="864" w:type="dxa"/>
            <w:shd w:val="clear" w:color="auto" w:fill="104F99" w:themeFill="accent2"/>
            <w:noWrap/>
            <w:hideMark/>
          </w:tcPr>
          <w:p w14:paraId="2E912642" w14:textId="77777777" w:rsidR="00BA1762" w:rsidRPr="00552F40" w:rsidRDefault="00BA1762" w:rsidP="000D1DE1">
            <w:pPr>
              <w:spacing w:after="160"/>
              <w:rPr>
                <w:rFonts w:cs="Arial"/>
                <w:color w:val="FFFFFF" w:themeColor="accent6"/>
                <w:sz w:val="22"/>
                <w:szCs w:val="22"/>
              </w:rPr>
            </w:pPr>
            <w:r w:rsidRPr="00552F40">
              <w:rPr>
                <w:rFonts w:cs="Arial"/>
                <w:color w:val="FFFFFF" w:themeColor="accent6"/>
                <w:sz w:val="22"/>
                <w:szCs w:val="22"/>
              </w:rPr>
              <w:t>ADRG</w:t>
            </w:r>
          </w:p>
        </w:tc>
        <w:tc>
          <w:tcPr>
            <w:tcW w:w="6236" w:type="dxa"/>
            <w:shd w:val="clear" w:color="auto" w:fill="104F99" w:themeFill="accent2"/>
            <w:noWrap/>
            <w:hideMark/>
          </w:tcPr>
          <w:p w14:paraId="1175830D" w14:textId="77777777" w:rsidR="00BA1762" w:rsidRPr="00552F40" w:rsidRDefault="00BA1762" w:rsidP="000D1DE1">
            <w:pPr>
              <w:spacing w:after="160"/>
              <w:cnfStyle w:val="100000000000" w:firstRow="1" w:lastRow="0" w:firstColumn="0" w:lastColumn="0" w:oddVBand="0" w:evenVBand="0" w:oddHBand="0" w:evenHBand="0" w:firstRowFirstColumn="0" w:firstRowLastColumn="0" w:lastRowFirstColumn="0" w:lastRowLastColumn="0"/>
              <w:rPr>
                <w:rFonts w:cs="Arial"/>
                <w:color w:val="FFFFFF" w:themeColor="accent6"/>
                <w:sz w:val="22"/>
                <w:szCs w:val="22"/>
              </w:rPr>
            </w:pPr>
            <w:r w:rsidRPr="00552F40">
              <w:rPr>
                <w:rFonts w:cs="Arial"/>
                <w:color w:val="FFFFFF" w:themeColor="accent6"/>
                <w:sz w:val="22"/>
                <w:szCs w:val="22"/>
              </w:rPr>
              <w:t>Description</w:t>
            </w:r>
          </w:p>
        </w:tc>
        <w:tc>
          <w:tcPr>
            <w:tcW w:w="2381" w:type="dxa"/>
            <w:shd w:val="clear" w:color="auto" w:fill="104F99" w:themeFill="accent2"/>
            <w:noWrap/>
            <w:hideMark/>
          </w:tcPr>
          <w:p w14:paraId="643151BA" w14:textId="77777777" w:rsidR="00BA1762" w:rsidRPr="00552F40" w:rsidRDefault="00BA1762" w:rsidP="000D1DE1">
            <w:pPr>
              <w:spacing w:after="160"/>
              <w:cnfStyle w:val="100000000000" w:firstRow="1" w:lastRow="0" w:firstColumn="0" w:lastColumn="0" w:oddVBand="0" w:evenVBand="0" w:oddHBand="0" w:evenHBand="0" w:firstRowFirstColumn="0" w:firstRowLastColumn="0" w:lastRowFirstColumn="0" w:lastRowLastColumn="0"/>
              <w:rPr>
                <w:rFonts w:cs="Arial"/>
                <w:color w:val="FFFFFF" w:themeColor="accent6"/>
                <w:sz w:val="22"/>
                <w:szCs w:val="22"/>
              </w:rPr>
            </w:pPr>
            <w:r w:rsidRPr="00552F40">
              <w:rPr>
                <w:rFonts w:cs="Arial"/>
                <w:color w:val="FFFFFF" w:themeColor="accent6"/>
                <w:sz w:val="22"/>
                <w:szCs w:val="22"/>
              </w:rPr>
              <w:t>Failed principle(s)</w:t>
            </w:r>
          </w:p>
        </w:tc>
      </w:tr>
      <w:tr w:rsidR="00BA1762" w:rsidRPr="00552F40" w14:paraId="5100AD95" w14:textId="77777777" w:rsidTr="00552F4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64" w:type="dxa"/>
            <w:shd w:val="clear" w:color="auto" w:fill="auto"/>
            <w:noWrap/>
            <w:hideMark/>
          </w:tcPr>
          <w:p w14:paraId="0A1696F6" w14:textId="77777777" w:rsidR="00BA1762" w:rsidRPr="00552F40" w:rsidRDefault="00BA1762" w:rsidP="000D1DE1">
            <w:pPr>
              <w:spacing w:after="160"/>
              <w:rPr>
                <w:rFonts w:cs="Arial"/>
                <w:b w:val="0"/>
                <w:sz w:val="22"/>
                <w:szCs w:val="22"/>
              </w:rPr>
            </w:pPr>
            <w:r w:rsidRPr="00552F40">
              <w:rPr>
                <w:rFonts w:cs="Arial"/>
                <w:b w:val="0"/>
                <w:sz w:val="22"/>
                <w:szCs w:val="22"/>
              </w:rPr>
              <w:t>A15</w:t>
            </w:r>
          </w:p>
        </w:tc>
        <w:tc>
          <w:tcPr>
            <w:tcW w:w="6236" w:type="dxa"/>
            <w:hideMark/>
          </w:tcPr>
          <w:p w14:paraId="1FAA1D28"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rFonts w:cs="Arial"/>
                <w:sz w:val="22"/>
                <w:szCs w:val="22"/>
              </w:rPr>
            </w:pPr>
            <w:r w:rsidRPr="00552F40">
              <w:rPr>
                <w:rFonts w:cs="Arial"/>
                <w:i/>
                <w:sz w:val="22"/>
                <w:szCs w:val="22"/>
              </w:rPr>
              <w:t>Tracheostomy</w:t>
            </w:r>
          </w:p>
        </w:tc>
        <w:tc>
          <w:tcPr>
            <w:tcW w:w="2381" w:type="dxa"/>
            <w:hideMark/>
          </w:tcPr>
          <w:p w14:paraId="5C2D4D70"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rFonts w:cs="Arial"/>
                <w:sz w:val="22"/>
                <w:szCs w:val="22"/>
              </w:rPr>
            </w:pPr>
            <w:r w:rsidRPr="00552F40">
              <w:rPr>
                <w:rFonts w:cs="Arial"/>
                <w:sz w:val="22"/>
                <w:szCs w:val="22"/>
              </w:rPr>
              <w:t>Principles 1 and 6</w:t>
            </w:r>
          </w:p>
        </w:tc>
      </w:tr>
      <w:tr w:rsidR="00BA1762" w:rsidRPr="00552F40" w14:paraId="1A3158D8" w14:textId="77777777" w:rsidTr="00552F40">
        <w:trPr>
          <w:trHeight w:val="377"/>
        </w:trPr>
        <w:tc>
          <w:tcPr>
            <w:cnfStyle w:val="001000000000" w:firstRow="0" w:lastRow="0" w:firstColumn="1" w:lastColumn="0" w:oddVBand="0" w:evenVBand="0" w:oddHBand="0" w:evenHBand="0" w:firstRowFirstColumn="0" w:firstRowLastColumn="0" w:lastRowFirstColumn="0" w:lastRowLastColumn="0"/>
            <w:tcW w:w="864" w:type="dxa"/>
            <w:shd w:val="clear" w:color="auto" w:fill="auto"/>
            <w:noWrap/>
            <w:hideMark/>
          </w:tcPr>
          <w:p w14:paraId="22101C8D" w14:textId="77777777" w:rsidR="00BA1762" w:rsidRPr="00552F40" w:rsidRDefault="00BA1762" w:rsidP="000D1DE1">
            <w:pPr>
              <w:spacing w:after="160"/>
              <w:rPr>
                <w:rFonts w:cs="Arial"/>
                <w:b w:val="0"/>
                <w:sz w:val="22"/>
                <w:szCs w:val="22"/>
              </w:rPr>
            </w:pPr>
            <w:r w:rsidRPr="00552F40">
              <w:rPr>
                <w:rFonts w:cs="Arial"/>
                <w:b w:val="0"/>
                <w:sz w:val="22"/>
                <w:szCs w:val="22"/>
              </w:rPr>
              <w:t>F03</w:t>
            </w:r>
          </w:p>
        </w:tc>
        <w:tc>
          <w:tcPr>
            <w:tcW w:w="6236" w:type="dxa"/>
            <w:hideMark/>
          </w:tcPr>
          <w:p w14:paraId="5F240485" w14:textId="77777777"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w:r w:rsidRPr="00552F40">
              <w:rPr>
                <w:rFonts w:cs="Arial"/>
                <w:i/>
                <w:sz w:val="22"/>
                <w:szCs w:val="22"/>
              </w:rPr>
              <w:t>Cardiac Valve Procedures with CPB Pump with Invasive Cardiac Investigation</w:t>
            </w:r>
          </w:p>
        </w:tc>
        <w:tc>
          <w:tcPr>
            <w:tcW w:w="2381" w:type="dxa"/>
            <w:hideMark/>
          </w:tcPr>
          <w:p w14:paraId="03CE3E1C" w14:textId="77777777"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w:r w:rsidRPr="00552F40">
              <w:rPr>
                <w:rFonts w:cs="Arial"/>
                <w:sz w:val="22"/>
                <w:szCs w:val="22"/>
              </w:rPr>
              <w:t>Principle 1</w:t>
            </w:r>
          </w:p>
        </w:tc>
      </w:tr>
      <w:tr w:rsidR="00BA1762" w:rsidRPr="00552F40" w14:paraId="3D0F9158" w14:textId="77777777" w:rsidTr="00552F4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864" w:type="dxa"/>
            <w:shd w:val="clear" w:color="auto" w:fill="auto"/>
            <w:noWrap/>
          </w:tcPr>
          <w:p w14:paraId="722A116F" w14:textId="77777777" w:rsidR="00BA1762" w:rsidRPr="00552F40" w:rsidRDefault="00BA1762" w:rsidP="000D1DE1">
            <w:pPr>
              <w:spacing w:after="160"/>
              <w:rPr>
                <w:rFonts w:cs="Arial"/>
                <w:b w:val="0"/>
                <w:sz w:val="22"/>
                <w:szCs w:val="22"/>
              </w:rPr>
            </w:pPr>
            <w:r w:rsidRPr="00552F40">
              <w:rPr>
                <w:rFonts w:cs="Arial"/>
                <w:b w:val="0"/>
                <w:sz w:val="22"/>
                <w:szCs w:val="22"/>
              </w:rPr>
              <w:t>F11</w:t>
            </w:r>
          </w:p>
        </w:tc>
        <w:tc>
          <w:tcPr>
            <w:tcW w:w="6236" w:type="dxa"/>
          </w:tcPr>
          <w:p w14:paraId="52EBCDA7"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rFonts w:cs="Arial"/>
                <w:sz w:val="22"/>
                <w:szCs w:val="22"/>
              </w:rPr>
            </w:pPr>
            <w:r w:rsidRPr="00552F40">
              <w:rPr>
                <w:rFonts w:cs="Arial"/>
                <w:i/>
                <w:sz w:val="22"/>
                <w:szCs w:val="22"/>
              </w:rPr>
              <w:t>Amputation, Excluding Upper Limb and Toe, for Circulatory Disorders</w:t>
            </w:r>
          </w:p>
        </w:tc>
        <w:tc>
          <w:tcPr>
            <w:tcW w:w="2381" w:type="dxa"/>
          </w:tcPr>
          <w:p w14:paraId="3B3D6319"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rFonts w:cs="Arial"/>
                <w:sz w:val="22"/>
                <w:szCs w:val="22"/>
              </w:rPr>
            </w:pPr>
            <w:r w:rsidRPr="00552F40">
              <w:rPr>
                <w:rFonts w:cs="Arial"/>
                <w:sz w:val="22"/>
                <w:szCs w:val="22"/>
              </w:rPr>
              <w:t>Principle 1</w:t>
            </w:r>
          </w:p>
        </w:tc>
      </w:tr>
      <w:tr w:rsidR="00BA1762" w:rsidRPr="00552F40" w14:paraId="4E60BE74" w14:textId="77777777" w:rsidTr="00552F40">
        <w:trPr>
          <w:trHeight w:val="430"/>
        </w:trPr>
        <w:tc>
          <w:tcPr>
            <w:cnfStyle w:val="001000000000" w:firstRow="0" w:lastRow="0" w:firstColumn="1" w:lastColumn="0" w:oddVBand="0" w:evenVBand="0" w:oddHBand="0" w:evenHBand="0" w:firstRowFirstColumn="0" w:firstRowLastColumn="0" w:lastRowFirstColumn="0" w:lastRowLastColumn="0"/>
            <w:tcW w:w="864" w:type="dxa"/>
            <w:shd w:val="clear" w:color="auto" w:fill="auto"/>
            <w:noWrap/>
            <w:hideMark/>
          </w:tcPr>
          <w:p w14:paraId="1947BFF4" w14:textId="77777777" w:rsidR="00BA1762" w:rsidRPr="00552F40" w:rsidRDefault="00BA1762" w:rsidP="000D1DE1">
            <w:pPr>
              <w:spacing w:after="160"/>
              <w:rPr>
                <w:rFonts w:cs="Arial"/>
                <w:b w:val="0"/>
                <w:sz w:val="22"/>
                <w:szCs w:val="22"/>
              </w:rPr>
            </w:pPr>
            <w:r w:rsidRPr="00552F40">
              <w:rPr>
                <w:rFonts w:cs="Arial"/>
                <w:b w:val="0"/>
                <w:sz w:val="22"/>
                <w:szCs w:val="22"/>
              </w:rPr>
              <w:t>J08</w:t>
            </w:r>
          </w:p>
        </w:tc>
        <w:tc>
          <w:tcPr>
            <w:tcW w:w="6236" w:type="dxa"/>
            <w:hideMark/>
          </w:tcPr>
          <w:p w14:paraId="709BA517" w14:textId="77777777"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w:r w:rsidRPr="00552F40">
              <w:rPr>
                <w:rFonts w:cs="Arial"/>
                <w:i/>
                <w:sz w:val="22"/>
                <w:szCs w:val="22"/>
              </w:rPr>
              <w:t>Other Skin Grafts and Debridement Procedures</w:t>
            </w:r>
          </w:p>
        </w:tc>
        <w:tc>
          <w:tcPr>
            <w:tcW w:w="2381" w:type="dxa"/>
            <w:hideMark/>
          </w:tcPr>
          <w:p w14:paraId="1E195F11" w14:textId="77777777"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w:r w:rsidRPr="00552F40">
              <w:rPr>
                <w:rFonts w:cs="Arial"/>
                <w:sz w:val="22"/>
                <w:szCs w:val="22"/>
              </w:rPr>
              <w:t>Principle 4 or 5</w:t>
            </w:r>
          </w:p>
        </w:tc>
      </w:tr>
      <w:tr w:rsidR="00BA1762" w:rsidRPr="00552F40" w14:paraId="68D82D3E" w14:textId="77777777" w:rsidTr="00552F40">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64" w:type="dxa"/>
            <w:shd w:val="clear" w:color="auto" w:fill="auto"/>
            <w:noWrap/>
          </w:tcPr>
          <w:p w14:paraId="70775994" w14:textId="77777777" w:rsidR="00BA1762" w:rsidRPr="00552F40" w:rsidRDefault="00BA1762" w:rsidP="000D1DE1">
            <w:pPr>
              <w:spacing w:after="160"/>
              <w:rPr>
                <w:rFonts w:cs="Arial"/>
                <w:b w:val="0"/>
                <w:sz w:val="22"/>
                <w:szCs w:val="22"/>
              </w:rPr>
            </w:pPr>
            <w:r w:rsidRPr="00552F40">
              <w:rPr>
                <w:rFonts w:cs="Arial"/>
                <w:b w:val="0"/>
                <w:sz w:val="22"/>
                <w:szCs w:val="22"/>
              </w:rPr>
              <w:t>O01</w:t>
            </w:r>
          </w:p>
        </w:tc>
        <w:tc>
          <w:tcPr>
            <w:tcW w:w="6236" w:type="dxa"/>
          </w:tcPr>
          <w:p w14:paraId="2DB4831F"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rFonts w:cs="Arial"/>
                <w:sz w:val="22"/>
                <w:szCs w:val="22"/>
              </w:rPr>
            </w:pPr>
            <w:r w:rsidRPr="00552F40">
              <w:rPr>
                <w:rFonts w:cs="Arial"/>
                <w:i/>
                <w:sz w:val="22"/>
                <w:szCs w:val="22"/>
              </w:rPr>
              <w:t>Caesarean Delivery</w:t>
            </w:r>
          </w:p>
        </w:tc>
        <w:tc>
          <w:tcPr>
            <w:tcW w:w="2381" w:type="dxa"/>
          </w:tcPr>
          <w:p w14:paraId="0116F596"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rFonts w:cs="Arial"/>
                <w:sz w:val="22"/>
                <w:szCs w:val="22"/>
              </w:rPr>
            </w:pPr>
            <w:r w:rsidRPr="00552F40">
              <w:rPr>
                <w:rFonts w:cs="Arial"/>
                <w:sz w:val="22"/>
                <w:szCs w:val="22"/>
              </w:rPr>
              <w:t xml:space="preserve">Principles 4 or 5 and </w:t>
            </w:r>
            <w:proofErr w:type="gramStart"/>
            <w:r w:rsidRPr="00552F40">
              <w:rPr>
                <w:rFonts w:cs="Arial"/>
                <w:sz w:val="22"/>
                <w:szCs w:val="22"/>
              </w:rPr>
              <w:t>Principle</w:t>
            </w:r>
            <w:proofErr w:type="gramEnd"/>
            <w:r w:rsidRPr="00552F40">
              <w:rPr>
                <w:rFonts w:cs="Arial"/>
                <w:sz w:val="22"/>
                <w:szCs w:val="22"/>
              </w:rPr>
              <w:t xml:space="preserve"> 6</w:t>
            </w:r>
          </w:p>
        </w:tc>
      </w:tr>
      <w:tr w:rsidR="00BA1762" w:rsidRPr="00552F40" w14:paraId="1E5A5EF4" w14:textId="77777777" w:rsidTr="00552F40">
        <w:trPr>
          <w:trHeight w:val="356"/>
        </w:trPr>
        <w:tc>
          <w:tcPr>
            <w:cnfStyle w:val="001000000000" w:firstRow="0" w:lastRow="0" w:firstColumn="1" w:lastColumn="0" w:oddVBand="0" w:evenVBand="0" w:oddHBand="0" w:evenHBand="0" w:firstRowFirstColumn="0" w:firstRowLastColumn="0" w:lastRowFirstColumn="0" w:lastRowLastColumn="0"/>
            <w:tcW w:w="864" w:type="dxa"/>
            <w:shd w:val="clear" w:color="auto" w:fill="auto"/>
            <w:noWrap/>
            <w:hideMark/>
          </w:tcPr>
          <w:p w14:paraId="484C94BE" w14:textId="77777777" w:rsidR="00BA1762" w:rsidRPr="00552F40" w:rsidRDefault="00BA1762" w:rsidP="000D1DE1">
            <w:pPr>
              <w:spacing w:after="160"/>
              <w:rPr>
                <w:rFonts w:cs="Arial"/>
                <w:b w:val="0"/>
                <w:sz w:val="22"/>
                <w:szCs w:val="22"/>
              </w:rPr>
            </w:pPr>
            <w:r w:rsidRPr="00552F40">
              <w:rPr>
                <w:rFonts w:cs="Arial"/>
                <w:b w:val="0"/>
                <w:sz w:val="22"/>
                <w:szCs w:val="22"/>
              </w:rPr>
              <w:t>O60</w:t>
            </w:r>
          </w:p>
        </w:tc>
        <w:tc>
          <w:tcPr>
            <w:tcW w:w="6236" w:type="dxa"/>
            <w:hideMark/>
          </w:tcPr>
          <w:p w14:paraId="3CF30D92" w14:textId="77777777"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w:r w:rsidRPr="00552F40">
              <w:rPr>
                <w:rFonts w:cs="Arial"/>
                <w:i/>
                <w:sz w:val="22"/>
                <w:szCs w:val="22"/>
              </w:rPr>
              <w:t>Vaginal Delivery</w:t>
            </w:r>
          </w:p>
        </w:tc>
        <w:tc>
          <w:tcPr>
            <w:tcW w:w="2381" w:type="dxa"/>
            <w:hideMark/>
          </w:tcPr>
          <w:p w14:paraId="535C7DFE" w14:textId="77777777"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w:r w:rsidRPr="00552F40">
              <w:rPr>
                <w:rFonts w:cs="Arial"/>
                <w:sz w:val="22"/>
                <w:szCs w:val="22"/>
              </w:rPr>
              <w:t xml:space="preserve">Principles 4 or 5 and </w:t>
            </w:r>
            <w:proofErr w:type="gramStart"/>
            <w:r w:rsidRPr="00552F40">
              <w:rPr>
                <w:rFonts w:cs="Arial"/>
                <w:sz w:val="22"/>
                <w:szCs w:val="22"/>
              </w:rPr>
              <w:t>Principle</w:t>
            </w:r>
            <w:proofErr w:type="gramEnd"/>
            <w:r w:rsidRPr="00552F40">
              <w:rPr>
                <w:rFonts w:cs="Arial"/>
                <w:sz w:val="22"/>
                <w:szCs w:val="22"/>
              </w:rPr>
              <w:t xml:space="preserve"> 6</w:t>
            </w:r>
          </w:p>
        </w:tc>
      </w:tr>
      <w:tr w:rsidR="00BA1762" w:rsidRPr="00552F40" w14:paraId="00E7C0D4" w14:textId="77777777" w:rsidTr="00552F4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64" w:type="dxa"/>
            <w:shd w:val="clear" w:color="auto" w:fill="auto"/>
            <w:noWrap/>
            <w:hideMark/>
          </w:tcPr>
          <w:p w14:paraId="0BF97CC7" w14:textId="77777777" w:rsidR="00BA1762" w:rsidRPr="00552F40" w:rsidRDefault="00BA1762" w:rsidP="000D1DE1">
            <w:pPr>
              <w:spacing w:after="160"/>
              <w:rPr>
                <w:rFonts w:cs="Arial"/>
                <w:b w:val="0"/>
                <w:sz w:val="22"/>
                <w:szCs w:val="22"/>
              </w:rPr>
            </w:pPr>
            <w:r w:rsidRPr="00552F40">
              <w:rPr>
                <w:rFonts w:cs="Arial"/>
                <w:b w:val="0"/>
                <w:sz w:val="22"/>
                <w:szCs w:val="22"/>
              </w:rPr>
              <w:lastRenderedPageBreak/>
              <w:t>P04</w:t>
            </w:r>
          </w:p>
        </w:tc>
        <w:tc>
          <w:tcPr>
            <w:tcW w:w="6236" w:type="dxa"/>
            <w:hideMark/>
          </w:tcPr>
          <w:p w14:paraId="7D34925D"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rFonts w:cs="Arial"/>
                <w:sz w:val="22"/>
                <w:szCs w:val="22"/>
              </w:rPr>
            </w:pPr>
            <w:r w:rsidRPr="00552F40">
              <w:rPr>
                <w:rFonts w:cs="Arial"/>
                <w:i/>
                <w:sz w:val="22"/>
                <w:szCs w:val="22"/>
              </w:rPr>
              <w:t>Neonate, Admission Weight 1500-1999g with Significant GI or Ventilation &gt;= 96 Hours</w:t>
            </w:r>
          </w:p>
        </w:tc>
        <w:tc>
          <w:tcPr>
            <w:tcW w:w="2381" w:type="dxa"/>
            <w:hideMark/>
          </w:tcPr>
          <w:p w14:paraId="64E00334"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rFonts w:cs="Arial"/>
                <w:sz w:val="22"/>
                <w:szCs w:val="22"/>
              </w:rPr>
            </w:pPr>
            <w:r w:rsidRPr="00552F40">
              <w:rPr>
                <w:rFonts w:cs="Arial"/>
                <w:sz w:val="22"/>
                <w:szCs w:val="22"/>
              </w:rPr>
              <w:t>Principle 1</w:t>
            </w:r>
          </w:p>
        </w:tc>
      </w:tr>
      <w:tr w:rsidR="00BA1762" w:rsidRPr="00552F40" w14:paraId="3B5DD0AC" w14:textId="77777777" w:rsidTr="00552F40">
        <w:trPr>
          <w:trHeight w:val="398"/>
        </w:trPr>
        <w:tc>
          <w:tcPr>
            <w:cnfStyle w:val="001000000000" w:firstRow="0" w:lastRow="0" w:firstColumn="1" w:lastColumn="0" w:oddVBand="0" w:evenVBand="0" w:oddHBand="0" w:evenHBand="0" w:firstRowFirstColumn="0" w:firstRowLastColumn="0" w:lastRowFirstColumn="0" w:lastRowLastColumn="0"/>
            <w:tcW w:w="864" w:type="dxa"/>
            <w:shd w:val="clear" w:color="auto" w:fill="auto"/>
            <w:noWrap/>
            <w:hideMark/>
          </w:tcPr>
          <w:p w14:paraId="55DD3DCF" w14:textId="77777777" w:rsidR="00BA1762" w:rsidRPr="00552F40" w:rsidRDefault="00BA1762" w:rsidP="000D1DE1">
            <w:pPr>
              <w:spacing w:after="160"/>
              <w:rPr>
                <w:rFonts w:cs="Arial"/>
                <w:b w:val="0"/>
                <w:sz w:val="22"/>
                <w:szCs w:val="22"/>
              </w:rPr>
            </w:pPr>
            <w:r w:rsidRPr="00552F40">
              <w:rPr>
                <w:rFonts w:cs="Arial"/>
                <w:b w:val="0"/>
                <w:sz w:val="22"/>
                <w:szCs w:val="22"/>
              </w:rPr>
              <w:t>P05</w:t>
            </w:r>
          </w:p>
        </w:tc>
        <w:tc>
          <w:tcPr>
            <w:tcW w:w="6236" w:type="dxa"/>
            <w:hideMark/>
          </w:tcPr>
          <w:p w14:paraId="23992244" w14:textId="77777777"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w:r w:rsidRPr="00552F40">
              <w:rPr>
                <w:rFonts w:cs="Arial"/>
                <w:i/>
                <w:sz w:val="22"/>
                <w:szCs w:val="22"/>
              </w:rPr>
              <w:t>Neonate, Admission Weight 2000-2499g with Significant GI or Ventilation &gt;= 96 Hours</w:t>
            </w:r>
          </w:p>
        </w:tc>
        <w:tc>
          <w:tcPr>
            <w:tcW w:w="2381" w:type="dxa"/>
            <w:hideMark/>
          </w:tcPr>
          <w:p w14:paraId="44C45781" w14:textId="77777777"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w:r w:rsidRPr="00552F40">
              <w:rPr>
                <w:rFonts w:cs="Arial"/>
                <w:sz w:val="22"/>
                <w:szCs w:val="22"/>
              </w:rPr>
              <w:t>Principle 1</w:t>
            </w:r>
          </w:p>
        </w:tc>
      </w:tr>
      <w:tr w:rsidR="00BA1762" w:rsidRPr="00552F40" w14:paraId="2CFBA3F8" w14:textId="77777777" w:rsidTr="00552F40">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864" w:type="dxa"/>
            <w:shd w:val="clear" w:color="auto" w:fill="auto"/>
            <w:noWrap/>
            <w:hideMark/>
          </w:tcPr>
          <w:p w14:paraId="191B240A" w14:textId="77777777" w:rsidR="00BA1762" w:rsidRPr="00552F40" w:rsidRDefault="00BA1762" w:rsidP="000D1DE1">
            <w:pPr>
              <w:spacing w:after="160"/>
              <w:rPr>
                <w:rFonts w:cs="Arial"/>
                <w:b w:val="0"/>
                <w:sz w:val="22"/>
                <w:szCs w:val="22"/>
              </w:rPr>
            </w:pPr>
            <w:r w:rsidRPr="00552F40">
              <w:rPr>
                <w:rFonts w:cs="Arial"/>
                <w:b w:val="0"/>
                <w:sz w:val="22"/>
                <w:szCs w:val="22"/>
              </w:rPr>
              <w:t>P60</w:t>
            </w:r>
          </w:p>
        </w:tc>
        <w:tc>
          <w:tcPr>
            <w:tcW w:w="6236" w:type="dxa"/>
            <w:hideMark/>
          </w:tcPr>
          <w:p w14:paraId="41424709"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rFonts w:cs="Arial"/>
                <w:sz w:val="22"/>
                <w:szCs w:val="22"/>
              </w:rPr>
            </w:pPr>
            <w:r w:rsidRPr="00552F40">
              <w:rPr>
                <w:rFonts w:cs="Arial"/>
                <w:i/>
                <w:sz w:val="22"/>
                <w:szCs w:val="22"/>
              </w:rPr>
              <w:t>Neonate without Significant GI or Ventilation &gt;= 96 Hours, Died or Transferred to Acute Facility &lt;5 Days</w:t>
            </w:r>
          </w:p>
        </w:tc>
        <w:tc>
          <w:tcPr>
            <w:tcW w:w="2381" w:type="dxa"/>
            <w:hideMark/>
          </w:tcPr>
          <w:p w14:paraId="26ABEEFA"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rFonts w:cs="Arial"/>
                <w:sz w:val="22"/>
                <w:szCs w:val="22"/>
              </w:rPr>
            </w:pPr>
            <w:r w:rsidRPr="00552F40">
              <w:rPr>
                <w:rFonts w:cs="Arial"/>
                <w:sz w:val="22"/>
                <w:szCs w:val="22"/>
              </w:rPr>
              <w:t>Principle 4 or 5</w:t>
            </w:r>
          </w:p>
        </w:tc>
      </w:tr>
      <w:tr w:rsidR="00BA1762" w:rsidRPr="00552F40" w14:paraId="2B89F9D4" w14:textId="77777777" w:rsidTr="00552F40">
        <w:trPr>
          <w:trHeight w:val="447"/>
        </w:trPr>
        <w:tc>
          <w:tcPr>
            <w:cnfStyle w:val="001000000000" w:firstRow="0" w:lastRow="0" w:firstColumn="1" w:lastColumn="0" w:oddVBand="0" w:evenVBand="0" w:oddHBand="0" w:evenHBand="0" w:firstRowFirstColumn="0" w:firstRowLastColumn="0" w:lastRowFirstColumn="0" w:lastRowLastColumn="0"/>
            <w:tcW w:w="864" w:type="dxa"/>
            <w:shd w:val="clear" w:color="auto" w:fill="auto"/>
            <w:noWrap/>
          </w:tcPr>
          <w:p w14:paraId="4CCE2EF2" w14:textId="77777777" w:rsidR="00BA1762" w:rsidRPr="00552F40" w:rsidRDefault="00BA1762" w:rsidP="000D1DE1">
            <w:pPr>
              <w:spacing w:after="160"/>
              <w:rPr>
                <w:rFonts w:cs="Arial"/>
                <w:b w:val="0"/>
                <w:sz w:val="22"/>
                <w:szCs w:val="22"/>
              </w:rPr>
            </w:pPr>
            <w:r w:rsidRPr="00552F40">
              <w:rPr>
                <w:rFonts w:cs="Arial"/>
                <w:b w:val="0"/>
                <w:sz w:val="22"/>
                <w:szCs w:val="22"/>
              </w:rPr>
              <w:t>P62</w:t>
            </w:r>
          </w:p>
        </w:tc>
        <w:tc>
          <w:tcPr>
            <w:tcW w:w="6236" w:type="dxa"/>
          </w:tcPr>
          <w:p w14:paraId="1CEBC931" w14:textId="77777777"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w:r w:rsidRPr="00552F40">
              <w:rPr>
                <w:rFonts w:cs="Arial"/>
                <w:i/>
                <w:sz w:val="22"/>
                <w:szCs w:val="22"/>
              </w:rPr>
              <w:t>Neonate, Admission Weight 750-999g without Significant GI</w:t>
            </w:r>
          </w:p>
        </w:tc>
        <w:tc>
          <w:tcPr>
            <w:tcW w:w="2381" w:type="dxa"/>
          </w:tcPr>
          <w:p w14:paraId="1C921706" w14:textId="77777777"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w:r w:rsidRPr="00552F40">
              <w:rPr>
                <w:rFonts w:cs="Arial"/>
                <w:sz w:val="22"/>
                <w:szCs w:val="22"/>
              </w:rPr>
              <w:t>Principle 1</w:t>
            </w:r>
          </w:p>
        </w:tc>
      </w:tr>
      <w:tr w:rsidR="00BA1762" w:rsidRPr="00552F40" w14:paraId="1FBEB051" w14:textId="77777777" w:rsidTr="00552F40">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864" w:type="dxa"/>
            <w:shd w:val="clear" w:color="auto" w:fill="auto"/>
            <w:noWrap/>
            <w:hideMark/>
          </w:tcPr>
          <w:p w14:paraId="6741F9C7" w14:textId="77777777" w:rsidR="00BA1762" w:rsidRPr="00552F40" w:rsidRDefault="00BA1762" w:rsidP="000D1DE1">
            <w:pPr>
              <w:spacing w:after="160"/>
              <w:rPr>
                <w:rFonts w:cs="Arial"/>
                <w:b w:val="0"/>
                <w:sz w:val="22"/>
                <w:szCs w:val="22"/>
              </w:rPr>
            </w:pPr>
            <w:r w:rsidRPr="00552F40">
              <w:rPr>
                <w:rFonts w:cs="Arial"/>
                <w:b w:val="0"/>
                <w:sz w:val="22"/>
                <w:szCs w:val="22"/>
              </w:rPr>
              <w:t>P63</w:t>
            </w:r>
          </w:p>
        </w:tc>
        <w:tc>
          <w:tcPr>
            <w:tcW w:w="6236" w:type="dxa"/>
            <w:hideMark/>
          </w:tcPr>
          <w:p w14:paraId="6918373C"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rFonts w:cs="Arial"/>
                <w:sz w:val="22"/>
                <w:szCs w:val="22"/>
              </w:rPr>
            </w:pPr>
            <w:r w:rsidRPr="00552F40">
              <w:rPr>
                <w:rFonts w:cs="Arial"/>
                <w:i/>
                <w:sz w:val="22"/>
                <w:szCs w:val="22"/>
              </w:rPr>
              <w:t>Neonate, Admission Weight 1000-1249g without Significant GI or Ventilation &gt;= 96 Hours</w:t>
            </w:r>
          </w:p>
        </w:tc>
        <w:tc>
          <w:tcPr>
            <w:tcW w:w="2381" w:type="dxa"/>
            <w:hideMark/>
          </w:tcPr>
          <w:p w14:paraId="610BE0DF"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rFonts w:cs="Arial"/>
                <w:sz w:val="22"/>
                <w:szCs w:val="22"/>
              </w:rPr>
            </w:pPr>
            <w:r w:rsidRPr="00552F40">
              <w:rPr>
                <w:rFonts w:cs="Arial"/>
                <w:sz w:val="22"/>
                <w:szCs w:val="22"/>
              </w:rPr>
              <w:t>Principle 1</w:t>
            </w:r>
          </w:p>
        </w:tc>
      </w:tr>
      <w:tr w:rsidR="00BA1762" w:rsidRPr="00552F40" w14:paraId="2DB311E0" w14:textId="77777777" w:rsidTr="00552F40">
        <w:trPr>
          <w:trHeight w:val="284"/>
        </w:trPr>
        <w:tc>
          <w:tcPr>
            <w:cnfStyle w:val="001000000000" w:firstRow="0" w:lastRow="0" w:firstColumn="1" w:lastColumn="0" w:oddVBand="0" w:evenVBand="0" w:oddHBand="0" w:evenHBand="0" w:firstRowFirstColumn="0" w:firstRowLastColumn="0" w:lastRowFirstColumn="0" w:lastRowLastColumn="0"/>
            <w:tcW w:w="864" w:type="dxa"/>
            <w:shd w:val="clear" w:color="auto" w:fill="auto"/>
            <w:noWrap/>
          </w:tcPr>
          <w:p w14:paraId="717EDD14" w14:textId="77777777" w:rsidR="00BA1762" w:rsidRPr="00552F40" w:rsidRDefault="00BA1762" w:rsidP="000D1DE1">
            <w:pPr>
              <w:spacing w:after="160"/>
              <w:rPr>
                <w:rFonts w:cs="Arial"/>
                <w:b w:val="0"/>
                <w:sz w:val="22"/>
                <w:szCs w:val="22"/>
              </w:rPr>
            </w:pPr>
            <w:r w:rsidRPr="00552F40">
              <w:rPr>
                <w:rFonts w:cs="Arial"/>
                <w:b w:val="0"/>
                <w:sz w:val="22"/>
                <w:szCs w:val="22"/>
              </w:rPr>
              <w:t>P65</w:t>
            </w:r>
          </w:p>
        </w:tc>
        <w:tc>
          <w:tcPr>
            <w:tcW w:w="6236" w:type="dxa"/>
          </w:tcPr>
          <w:p w14:paraId="2AF43750" w14:textId="77777777"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w:r w:rsidRPr="00552F40">
              <w:rPr>
                <w:rFonts w:cs="Arial"/>
                <w:i/>
                <w:sz w:val="22"/>
                <w:szCs w:val="22"/>
              </w:rPr>
              <w:t>Neonate, Admission Weight 1500-1999g without Significant GI or Ventilation &gt;= 96 Hours</w:t>
            </w:r>
          </w:p>
        </w:tc>
        <w:tc>
          <w:tcPr>
            <w:tcW w:w="2381" w:type="dxa"/>
          </w:tcPr>
          <w:p w14:paraId="75FAB307" w14:textId="77777777"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w:r w:rsidRPr="00552F40">
              <w:rPr>
                <w:rFonts w:cs="Arial"/>
                <w:sz w:val="22"/>
                <w:szCs w:val="22"/>
              </w:rPr>
              <w:t>Principle 6</w:t>
            </w:r>
          </w:p>
        </w:tc>
      </w:tr>
      <w:tr w:rsidR="00BA1762" w:rsidRPr="00552F40" w14:paraId="1CBCDED1" w14:textId="77777777" w:rsidTr="00552F4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64" w:type="dxa"/>
            <w:shd w:val="clear" w:color="auto" w:fill="auto"/>
            <w:noWrap/>
            <w:hideMark/>
          </w:tcPr>
          <w:p w14:paraId="49C17B71" w14:textId="77777777" w:rsidR="00BA1762" w:rsidRPr="00552F40" w:rsidRDefault="00BA1762" w:rsidP="000D1DE1">
            <w:pPr>
              <w:spacing w:after="160"/>
              <w:rPr>
                <w:rFonts w:cs="Arial"/>
                <w:b w:val="0"/>
                <w:sz w:val="22"/>
                <w:szCs w:val="22"/>
              </w:rPr>
            </w:pPr>
            <w:r w:rsidRPr="00552F40">
              <w:rPr>
                <w:rFonts w:cs="Arial"/>
                <w:b w:val="0"/>
                <w:sz w:val="22"/>
                <w:szCs w:val="22"/>
              </w:rPr>
              <w:t>P66</w:t>
            </w:r>
          </w:p>
        </w:tc>
        <w:tc>
          <w:tcPr>
            <w:tcW w:w="6236" w:type="dxa"/>
            <w:hideMark/>
          </w:tcPr>
          <w:p w14:paraId="1EA97951"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rFonts w:cs="Arial"/>
                <w:sz w:val="22"/>
                <w:szCs w:val="22"/>
              </w:rPr>
            </w:pPr>
            <w:r w:rsidRPr="00552F40">
              <w:rPr>
                <w:rFonts w:cs="Arial"/>
                <w:i/>
                <w:sz w:val="22"/>
                <w:szCs w:val="22"/>
              </w:rPr>
              <w:t>Neonate, Admission Weight 2000-2499g without Significant GI or Ventilation &gt;= 96 Hours</w:t>
            </w:r>
          </w:p>
        </w:tc>
        <w:tc>
          <w:tcPr>
            <w:tcW w:w="2381" w:type="dxa"/>
            <w:hideMark/>
          </w:tcPr>
          <w:p w14:paraId="669FD50A"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rFonts w:cs="Arial"/>
                <w:sz w:val="22"/>
                <w:szCs w:val="22"/>
              </w:rPr>
            </w:pPr>
            <w:r w:rsidRPr="00552F40">
              <w:rPr>
                <w:rFonts w:cs="Arial"/>
                <w:sz w:val="22"/>
                <w:szCs w:val="22"/>
              </w:rPr>
              <w:t>Principle 6</w:t>
            </w:r>
          </w:p>
        </w:tc>
      </w:tr>
      <w:tr w:rsidR="00BA1762" w:rsidRPr="00552F40" w14:paraId="77C74071" w14:textId="77777777" w:rsidTr="00552F40">
        <w:trPr>
          <w:trHeight w:val="558"/>
        </w:trPr>
        <w:tc>
          <w:tcPr>
            <w:cnfStyle w:val="001000000000" w:firstRow="0" w:lastRow="0" w:firstColumn="1" w:lastColumn="0" w:oddVBand="0" w:evenVBand="0" w:oddHBand="0" w:evenHBand="0" w:firstRowFirstColumn="0" w:firstRowLastColumn="0" w:lastRowFirstColumn="0" w:lastRowLastColumn="0"/>
            <w:tcW w:w="864" w:type="dxa"/>
            <w:shd w:val="clear" w:color="auto" w:fill="auto"/>
            <w:noWrap/>
          </w:tcPr>
          <w:p w14:paraId="14BCA6E9" w14:textId="77777777" w:rsidR="00BA1762" w:rsidRPr="00552F40" w:rsidRDefault="00BA1762" w:rsidP="000D1DE1">
            <w:pPr>
              <w:spacing w:after="160"/>
              <w:rPr>
                <w:rFonts w:cs="Arial"/>
                <w:b w:val="0"/>
                <w:sz w:val="22"/>
                <w:szCs w:val="22"/>
              </w:rPr>
            </w:pPr>
            <w:r w:rsidRPr="00552F40">
              <w:rPr>
                <w:rFonts w:cs="Arial"/>
                <w:b w:val="0"/>
                <w:sz w:val="22"/>
                <w:szCs w:val="22"/>
              </w:rPr>
              <w:t>P67</w:t>
            </w:r>
          </w:p>
        </w:tc>
        <w:tc>
          <w:tcPr>
            <w:tcW w:w="6236" w:type="dxa"/>
          </w:tcPr>
          <w:p w14:paraId="245BE7DA" w14:textId="77777777"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w:r w:rsidRPr="00552F40">
              <w:rPr>
                <w:rFonts w:cs="Arial"/>
                <w:i/>
                <w:sz w:val="22"/>
                <w:szCs w:val="22"/>
              </w:rPr>
              <w:t>Neonate, Admission Weight &gt;= 2500g without Significant GI or Ventilation &gt;= 96 Hours, &lt; 37 Complete Weeks Gestation</w:t>
            </w:r>
          </w:p>
        </w:tc>
        <w:tc>
          <w:tcPr>
            <w:tcW w:w="2381" w:type="dxa"/>
          </w:tcPr>
          <w:p w14:paraId="74DA5A4D" w14:textId="77777777"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w:r w:rsidRPr="00552F40">
              <w:rPr>
                <w:rFonts w:cs="Arial"/>
                <w:sz w:val="22"/>
                <w:szCs w:val="22"/>
              </w:rPr>
              <w:t xml:space="preserve">Principles 4 or 5 and </w:t>
            </w:r>
            <w:proofErr w:type="gramStart"/>
            <w:r w:rsidRPr="00552F40">
              <w:rPr>
                <w:rFonts w:cs="Arial"/>
                <w:sz w:val="22"/>
                <w:szCs w:val="22"/>
              </w:rPr>
              <w:t>Principle</w:t>
            </w:r>
            <w:proofErr w:type="gramEnd"/>
            <w:r w:rsidRPr="00552F40">
              <w:rPr>
                <w:rFonts w:cs="Arial"/>
                <w:sz w:val="22"/>
                <w:szCs w:val="22"/>
              </w:rPr>
              <w:t xml:space="preserve"> 6</w:t>
            </w:r>
          </w:p>
        </w:tc>
      </w:tr>
      <w:tr w:rsidR="00BA1762" w:rsidRPr="00552F40" w14:paraId="4F68E85C" w14:textId="77777777" w:rsidTr="00552F40">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864" w:type="dxa"/>
            <w:shd w:val="clear" w:color="auto" w:fill="auto"/>
            <w:noWrap/>
            <w:hideMark/>
          </w:tcPr>
          <w:p w14:paraId="320034A6" w14:textId="77777777" w:rsidR="00BA1762" w:rsidRPr="00552F40" w:rsidRDefault="00BA1762" w:rsidP="000D1DE1">
            <w:pPr>
              <w:spacing w:after="160"/>
              <w:rPr>
                <w:rFonts w:cs="Arial"/>
                <w:b w:val="0"/>
                <w:sz w:val="22"/>
                <w:szCs w:val="22"/>
              </w:rPr>
            </w:pPr>
            <w:r w:rsidRPr="00552F40">
              <w:rPr>
                <w:rFonts w:cs="Arial"/>
                <w:b w:val="0"/>
                <w:sz w:val="22"/>
                <w:szCs w:val="22"/>
              </w:rPr>
              <w:t>P68</w:t>
            </w:r>
          </w:p>
        </w:tc>
        <w:tc>
          <w:tcPr>
            <w:tcW w:w="6236" w:type="dxa"/>
            <w:hideMark/>
          </w:tcPr>
          <w:p w14:paraId="4CF0990C"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rFonts w:cs="Arial"/>
                <w:sz w:val="22"/>
                <w:szCs w:val="22"/>
              </w:rPr>
            </w:pPr>
            <w:r w:rsidRPr="00552F40">
              <w:rPr>
                <w:rFonts w:cs="Arial"/>
                <w:i/>
                <w:sz w:val="22"/>
                <w:szCs w:val="22"/>
              </w:rPr>
              <w:t>Neonate, Admission Weight &gt;= 2500g without Significant GI or Ventilation &gt;= 96 Hours, &gt;= 37 Complete Weeks Gestation</w:t>
            </w:r>
          </w:p>
        </w:tc>
        <w:tc>
          <w:tcPr>
            <w:tcW w:w="2381" w:type="dxa"/>
            <w:hideMark/>
          </w:tcPr>
          <w:p w14:paraId="452C4BE8"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rFonts w:cs="Arial"/>
                <w:sz w:val="22"/>
                <w:szCs w:val="22"/>
              </w:rPr>
            </w:pPr>
            <w:r w:rsidRPr="00552F40">
              <w:rPr>
                <w:rFonts w:cs="Arial"/>
                <w:sz w:val="22"/>
                <w:szCs w:val="22"/>
              </w:rPr>
              <w:t>Principle 4 or 5</w:t>
            </w:r>
          </w:p>
        </w:tc>
      </w:tr>
      <w:tr w:rsidR="00BA1762" w:rsidRPr="00552F40" w14:paraId="23867F5C" w14:textId="77777777" w:rsidTr="00552F40">
        <w:trPr>
          <w:trHeight w:val="558"/>
        </w:trPr>
        <w:tc>
          <w:tcPr>
            <w:cnfStyle w:val="001000000000" w:firstRow="0" w:lastRow="0" w:firstColumn="1" w:lastColumn="0" w:oddVBand="0" w:evenVBand="0" w:oddHBand="0" w:evenHBand="0" w:firstRowFirstColumn="0" w:firstRowLastColumn="0" w:lastRowFirstColumn="0" w:lastRowLastColumn="0"/>
            <w:tcW w:w="864" w:type="dxa"/>
            <w:shd w:val="clear" w:color="auto" w:fill="auto"/>
            <w:noWrap/>
          </w:tcPr>
          <w:p w14:paraId="06A6EC8A" w14:textId="77777777" w:rsidR="00BA1762" w:rsidRPr="00552F40" w:rsidRDefault="00BA1762" w:rsidP="000D1DE1">
            <w:pPr>
              <w:spacing w:after="160"/>
              <w:rPr>
                <w:rFonts w:cs="Arial"/>
                <w:b w:val="0"/>
                <w:sz w:val="22"/>
                <w:szCs w:val="22"/>
              </w:rPr>
            </w:pPr>
            <w:r w:rsidRPr="00552F40">
              <w:rPr>
                <w:rFonts w:cs="Arial"/>
                <w:b w:val="0"/>
                <w:sz w:val="22"/>
                <w:szCs w:val="22"/>
              </w:rPr>
              <w:t>Q61</w:t>
            </w:r>
          </w:p>
        </w:tc>
        <w:tc>
          <w:tcPr>
            <w:tcW w:w="6236" w:type="dxa"/>
          </w:tcPr>
          <w:p w14:paraId="4CCD18D0" w14:textId="77777777" w:rsidR="00BA1762" w:rsidRPr="00552F40" w:rsidRDefault="00BA1762" w:rsidP="000D1DE1">
            <w:pPr>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w:r w:rsidRPr="00552F40">
              <w:rPr>
                <w:rFonts w:cs="Arial"/>
                <w:i/>
                <w:sz w:val="22"/>
                <w:szCs w:val="22"/>
              </w:rPr>
              <w:t>Red Blood Cell Disorders</w:t>
            </w:r>
          </w:p>
        </w:tc>
        <w:tc>
          <w:tcPr>
            <w:tcW w:w="2381" w:type="dxa"/>
          </w:tcPr>
          <w:p w14:paraId="733DC39E" w14:textId="77777777" w:rsidR="00BA1762" w:rsidRPr="00552F40" w:rsidDel="00810338" w:rsidRDefault="00BA1762" w:rsidP="000D1DE1">
            <w:pPr>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w:r w:rsidRPr="00552F40">
              <w:rPr>
                <w:rFonts w:cs="Arial"/>
                <w:sz w:val="22"/>
                <w:szCs w:val="22"/>
              </w:rPr>
              <w:t>Principle 6</w:t>
            </w:r>
          </w:p>
        </w:tc>
      </w:tr>
      <w:tr w:rsidR="00BA1762" w:rsidRPr="00552F40" w14:paraId="4411F2CC" w14:textId="77777777" w:rsidTr="00552F40">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864" w:type="dxa"/>
            <w:shd w:val="clear" w:color="auto" w:fill="auto"/>
            <w:noWrap/>
          </w:tcPr>
          <w:p w14:paraId="79D0A2BE" w14:textId="77777777" w:rsidR="00BA1762" w:rsidRPr="00552F40" w:rsidRDefault="00BA1762" w:rsidP="000D1DE1">
            <w:pPr>
              <w:spacing w:after="160"/>
              <w:rPr>
                <w:rFonts w:cs="Arial"/>
                <w:b w:val="0"/>
                <w:sz w:val="22"/>
                <w:szCs w:val="22"/>
              </w:rPr>
            </w:pPr>
            <w:r w:rsidRPr="00552F40">
              <w:rPr>
                <w:rFonts w:cs="Arial"/>
                <w:b w:val="0"/>
                <w:sz w:val="22"/>
                <w:szCs w:val="22"/>
              </w:rPr>
              <w:t>R62</w:t>
            </w:r>
          </w:p>
        </w:tc>
        <w:tc>
          <w:tcPr>
            <w:tcW w:w="6236" w:type="dxa"/>
          </w:tcPr>
          <w:p w14:paraId="54004750"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rFonts w:cs="Arial"/>
                <w:sz w:val="22"/>
                <w:szCs w:val="22"/>
              </w:rPr>
            </w:pPr>
            <w:r w:rsidRPr="00552F40">
              <w:rPr>
                <w:rFonts w:cs="Arial"/>
                <w:i/>
                <w:sz w:val="22"/>
                <w:szCs w:val="22"/>
              </w:rPr>
              <w:t>Other Neoplastic Disorders</w:t>
            </w:r>
          </w:p>
        </w:tc>
        <w:tc>
          <w:tcPr>
            <w:tcW w:w="2381" w:type="dxa"/>
          </w:tcPr>
          <w:p w14:paraId="29BC9E4F" w14:textId="77777777" w:rsidR="00BA1762" w:rsidRPr="00552F40" w:rsidRDefault="00BA1762" w:rsidP="000D1DE1">
            <w:pPr>
              <w:spacing w:after="160"/>
              <w:cnfStyle w:val="000000100000" w:firstRow="0" w:lastRow="0" w:firstColumn="0" w:lastColumn="0" w:oddVBand="0" w:evenVBand="0" w:oddHBand="1" w:evenHBand="0" w:firstRowFirstColumn="0" w:firstRowLastColumn="0" w:lastRowFirstColumn="0" w:lastRowLastColumn="0"/>
              <w:rPr>
                <w:rFonts w:cs="Arial"/>
                <w:sz w:val="22"/>
                <w:szCs w:val="22"/>
              </w:rPr>
            </w:pPr>
            <w:r w:rsidRPr="00552F40">
              <w:rPr>
                <w:rFonts w:cs="Arial"/>
                <w:sz w:val="22"/>
                <w:szCs w:val="22"/>
              </w:rPr>
              <w:t>Principle 4 or 5</w:t>
            </w:r>
          </w:p>
        </w:tc>
      </w:tr>
    </w:tbl>
    <w:p w14:paraId="7F9C5B7D" w14:textId="77777777" w:rsidR="00BA1762" w:rsidRPr="00BC28A9" w:rsidRDefault="00BA1762" w:rsidP="00BA1762">
      <w:pPr>
        <w:pStyle w:val="Heading2"/>
        <w:spacing w:before="360" w:after="120" w:line="260" w:lineRule="atLeast"/>
        <w:contextualSpacing/>
      </w:pPr>
      <w:bookmarkStart w:id="93" w:name="_Toc100843005"/>
      <w:bookmarkStart w:id="94" w:name="_Toc124657533"/>
      <w:r w:rsidRPr="00BC28A9">
        <w:t>ADRGs with same number of splits as V10.0</w:t>
      </w:r>
      <w:bookmarkEnd w:id="93"/>
      <w:bookmarkEnd w:id="94"/>
      <w:r w:rsidRPr="00BC28A9">
        <w:t xml:space="preserve"> </w:t>
      </w:r>
    </w:p>
    <w:p w14:paraId="2C6ED361" w14:textId="77777777" w:rsidR="00BA1762" w:rsidRPr="00BC28A9" w:rsidRDefault="00BA1762" w:rsidP="000D1DE1">
      <w:r w:rsidRPr="00BC28A9">
        <w:t>The majority of ADRGs have the same number of splits relative to V10.0 allowing episode complexity shifts within these ADRGs to be assessed. While every ADRG was assessed individually</w:t>
      </w:r>
      <w:r>
        <w:t>,</w:t>
      </w:r>
      <w:r w:rsidRPr="00BC28A9">
        <w:t xml:space="preserve"> those ADRGs </w:t>
      </w:r>
      <w:r>
        <w:t>with</w:t>
      </w:r>
      <w:r w:rsidRPr="00BC28A9">
        <w:t xml:space="preserve"> a large number of episodes shifting were subject to greater scrutiny to justify various movements in complexity, including: </w:t>
      </w:r>
    </w:p>
    <w:p w14:paraId="32B00B94" w14:textId="77777777" w:rsidR="00BA1762" w:rsidRPr="00BC28A9" w:rsidRDefault="00BA1762" w:rsidP="000D1DE1">
      <w:pPr>
        <w:pStyle w:val="ListParagraph"/>
        <w:numPr>
          <w:ilvl w:val="0"/>
          <w:numId w:val="14"/>
        </w:numPr>
        <w:ind w:left="714" w:hanging="357"/>
        <w:contextualSpacing w:val="0"/>
        <w:rPr>
          <w:lang w:val="en-AU"/>
        </w:rPr>
      </w:pPr>
      <w:r>
        <w:rPr>
          <w:lang w:val="en-AU"/>
        </w:rPr>
        <w:t>i</w:t>
      </w:r>
      <w:r w:rsidRPr="00BC28A9">
        <w:rPr>
          <w:lang w:val="en-AU"/>
        </w:rPr>
        <w:t>mprovement in statistical performance</w:t>
      </w:r>
      <w:r>
        <w:rPr>
          <w:lang w:val="en-AU"/>
        </w:rPr>
        <w:t>, assessed using</w:t>
      </w:r>
      <w:r w:rsidRPr="00BC28A9">
        <w:rPr>
          <w:lang w:val="en-AU"/>
        </w:rPr>
        <w:t xml:space="preserve"> RID</w:t>
      </w:r>
    </w:p>
    <w:p w14:paraId="26B8F05A" w14:textId="77777777" w:rsidR="00BA1762" w:rsidRPr="00BC28A9" w:rsidRDefault="00BA1762" w:rsidP="000D1DE1">
      <w:pPr>
        <w:pStyle w:val="ListParagraph"/>
        <w:numPr>
          <w:ilvl w:val="0"/>
          <w:numId w:val="14"/>
        </w:numPr>
        <w:ind w:left="714" w:hanging="357"/>
        <w:contextualSpacing w:val="0"/>
        <w:rPr>
          <w:lang w:val="en-AU"/>
        </w:rPr>
      </w:pPr>
      <w:r>
        <w:rPr>
          <w:lang w:val="en-AU"/>
        </w:rPr>
        <w:t>m</w:t>
      </w:r>
      <w:r w:rsidRPr="00BC28A9">
        <w:rPr>
          <w:lang w:val="en-AU"/>
        </w:rPr>
        <w:t>odification</w:t>
      </w:r>
      <w:r>
        <w:rPr>
          <w:lang w:val="en-AU"/>
        </w:rPr>
        <w:t>s to the underlying DCL weights</w:t>
      </w:r>
    </w:p>
    <w:p w14:paraId="1FE98064" w14:textId="77777777" w:rsidR="00BA1762" w:rsidRPr="00BC28A9" w:rsidRDefault="00BA1762" w:rsidP="000D1DE1">
      <w:pPr>
        <w:pStyle w:val="ListParagraph"/>
        <w:numPr>
          <w:ilvl w:val="0"/>
          <w:numId w:val="14"/>
        </w:numPr>
        <w:ind w:left="714" w:hanging="357"/>
        <w:contextualSpacing w:val="0"/>
        <w:rPr>
          <w:lang w:val="en-AU"/>
        </w:rPr>
      </w:pPr>
      <w:r>
        <w:rPr>
          <w:lang w:val="en-AU"/>
        </w:rPr>
        <w:t>e</w:t>
      </w:r>
      <w:r w:rsidRPr="00BC28A9">
        <w:rPr>
          <w:lang w:val="en-AU"/>
        </w:rPr>
        <w:t xml:space="preserve">nforcement of specific selection </w:t>
      </w:r>
      <w:r>
        <w:rPr>
          <w:lang w:val="en-AU"/>
        </w:rPr>
        <w:t>principles</w:t>
      </w:r>
      <w:r w:rsidRPr="00BC28A9">
        <w:rPr>
          <w:lang w:val="en-AU"/>
        </w:rPr>
        <w:t>.</w:t>
      </w:r>
    </w:p>
    <w:p w14:paraId="5BEF520B" w14:textId="77777777" w:rsidR="00BA1762" w:rsidRPr="00BC28A9" w:rsidRDefault="00BA1762" w:rsidP="00BA1762">
      <w:pPr>
        <w:pStyle w:val="Heading2"/>
        <w:spacing w:before="360" w:after="120" w:line="260" w:lineRule="atLeast"/>
        <w:contextualSpacing/>
      </w:pPr>
      <w:bookmarkStart w:id="95" w:name="_Toc100843006"/>
      <w:bookmarkStart w:id="96" w:name="_Toc124657534"/>
      <w:r w:rsidRPr="00BC28A9">
        <w:t>ADRGs with different number of splits to V10.0</w:t>
      </w:r>
      <w:bookmarkEnd w:id="90"/>
      <w:bookmarkEnd w:id="95"/>
      <w:bookmarkEnd w:id="96"/>
      <w:r w:rsidRPr="00BC28A9">
        <w:t xml:space="preserve"> </w:t>
      </w:r>
    </w:p>
    <w:p w14:paraId="072B6869" w14:textId="77777777" w:rsidR="00BA1762" w:rsidRPr="00BC28A9" w:rsidRDefault="00BA1762" w:rsidP="000D1DE1">
      <w:r w:rsidRPr="00BC28A9">
        <w:t xml:space="preserve">ADRGs with different number of splits to V10.0 are those where the modelled split was a better option based on the most recent data. Alterations to the number of splits inevitably creates </w:t>
      </w:r>
      <w:r w:rsidRPr="00BC28A9">
        <w:lastRenderedPageBreak/>
        <w:t>instability between AR-DRG versions and so in determining whether to modify the number of splits relative to V10.0, several additional factors were taken into consideration, including:</w:t>
      </w:r>
    </w:p>
    <w:p w14:paraId="275133A7" w14:textId="77777777" w:rsidR="00BA1762" w:rsidRPr="00BC28A9" w:rsidRDefault="00BA1762" w:rsidP="000D1DE1">
      <w:pPr>
        <w:pStyle w:val="ListBullet"/>
        <w:numPr>
          <w:ilvl w:val="0"/>
          <w:numId w:val="19"/>
        </w:numPr>
        <w:spacing w:before="0" w:after="160" w:line="288" w:lineRule="auto"/>
        <w:ind w:left="714" w:hanging="357"/>
      </w:pPr>
      <w:r>
        <w:t>t</w:t>
      </w:r>
      <w:r w:rsidRPr="00BC28A9">
        <w:t>he number of splits adopted in V9.0 and V10.0</w:t>
      </w:r>
    </w:p>
    <w:p w14:paraId="71374749" w14:textId="77777777" w:rsidR="00BA1762" w:rsidRPr="00BC28A9" w:rsidRDefault="00BA1762" w:rsidP="000D1DE1">
      <w:pPr>
        <w:pStyle w:val="ListBullet"/>
        <w:numPr>
          <w:ilvl w:val="0"/>
          <w:numId w:val="19"/>
        </w:numPr>
        <w:spacing w:before="0" w:after="160" w:line="288" w:lineRule="auto"/>
        <w:ind w:left="714" w:hanging="357"/>
      </w:pPr>
      <w:r>
        <w:t>t</w:t>
      </w:r>
      <w:r w:rsidRPr="00BC28A9">
        <w:t>he change in RID to warrant removal or addition of a split</w:t>
      </w:r>
    </w:p>
    <w:p w14:paraId="70B6AF82" w14:textId="77777777" w:rsidR="00BA1762" w:rsidRPr="00BC28A9" w:rsidRDefault="00BA1762" w:rsidP="000D1DE1">
      <w:pPr>
        <w:pStyle w:val="ListBullet"/>
        <w:numPr>
          <w:ilvl w:val="0"/>
          <w:numId w:val="19"/>
        </w:numPr>
        <w:spacing w:before="0" w:after="160" w:line="288" w:lineRule="auto"/>
        <w:ind w:left="714" w:hanging="357"/>
      </w:pPr>
      <w:r>
        <w:t>t</w:t>
      </w:r>
      <w:r w:rsidRPr="00BC28A9">
        <w:t>he distribution of ECCS over the 2015</w:t>
      </w:r>
      <w:r w:rsidRPr="00363DA7">
        <w:rPr>
          <w:iCs/>
          <w:szCs w:val="22"/>
        </w:rPr>
        <w:t>–</w:t>
      </w:r>
      <w:r w:rsidRPr="00BC28A9">
        <w:t>16 to 2018</w:t>
      </w:r>
      <w:r w:rsidRPr="00363DA7">
        <w:rPr>
          <w:iCs/>
          <w:szCs w:val="22"/>
        </w:rPr>
        <w:t>–</w:t>
      </w:r>
      <w:r w:rsidRPr="00BC28A9">
        <w:t>19 activity data.</w:t>
      </w:r>
    </w:p>
    <w:p w14:paraId="32B196CD" w14:textId="77777777" w:rsidR="0023544F" w:rsidRDefault="00BA1762" w:rsidP="0023544F">
      <w:pPr>
        <w:pStyle w:val="ListBullet"/>
        <w:spacing w:after="160" w:line="288" w:lineRule="auto"/>
        <w:sectPr w:rsidR="0023544F" w:rsidSect="002261C0">
          <w:pgSz w:w="11906" w:h="16838" w:code="9"/>
          <w:pgMar w:top="2041" w:right="1440" w:bottom="1021" w:left="1134" w:header="680" w:footer="510" w:gutter="0"/>
          <w:cols w:space="708"/>
          <w:docGrid w:linePitch="360"/>
        </w:sectPr>
      </w:pPr>
      <w:r w:rsidRPr="00BC28A9">
        <w:t xml:space="preserve">As outlined in </w:t>
      </w:r>
      <w:r w:rsidR="0023544F" w:rsidRPr="0023544F">
        <w:rPr>
          <w:b/>
          <w:bCs/>
        </w:rPr>
        <w:t xml:space="preserve">Table </w:t>
      </w:r>
      <w:r w:rsidRPr="0023544F">
        <w:rPr>
          <w:b/>
          <w:bCs/>
        </w:rPr>
        <w:fldChar w:fldCharType="begin"/>
      </w:r>
      <w:r w:rsidRPr="0023544F">
        <w:rPr>
          <w:b/>
          <w:bCs/>
        </w:rPr>
        <w:instrText xml:space="preserve"> REF _Ref536779309 \h  \* MERGEFORMAT </w:instrText>
      </w:r>
      <w:r w:rsidRPr="0023544F">
        <w:rPr>
          <w:b/>
          <w:bCs/>
        </w:rPr>
      </w:r>
      <w:r w:rsidR="009A2A35">
        <w:rPr>
          <w:b/>
          <w:bCs/>
        </w:rPr>
        <w:fldChar w:fldCharType="separate"/>
      </w:r>
      <w:r w:rsidRPr="0023544F">
        <w:rPr>
          <w:b/>
          <w:bCs/>
        </w:rPr>
        <w:fldChar w:fldCharType="end"/>
      </w:r>
      <w:r w:rsidRPr="0023544F">
        <w:rPr>
          <w:b/>
          <w:bCs/>
        </w:rPr>
        <w:t>12</w:t>
      </w:r>
      <w:r w:rsidRPr="00BC28A9">
        <w:t xml:space="preserve">, one ADRG M04 </w:t>
      </w:r>
      <w:r w:rsidRPr="00BC28A9">
        <w:rPr>
          <w:i/>
        </w:rPr>
        <w:t>Testes Interventions</w:t>
      </w:r>
      <w:r w:rsidRPr="00BC28A9">
        <w:t xml:space="preserve"> has changed from having no split in V10.0 to having one split in V11.0.</w:t>
      </w:r>
    </w:p>
    <w:p w14:paraId="61F31209" w14:textId="77777777" w:rsidR="0023544F" w:rsidRPr="00BC28A9" w:rsidRDefault="0023544F" w:rsidP="0023544F">
      <w:pPr>
        <w:pStyle w:val="Heading1"/>
        <w:numPr>
          <w:ilvl w:val="0"/>
          <w:numId w:val="0"/>
        </w:numPr>
      </w:pPr>
      <w:bookmarkStart w:id="97" w:name="_Toc124657535"/>
      <w:r w:rsidRPr="00BC28A9">
        <w:lastRenderedPageBreak/>
        <w:t>Appendix A: Diagnosis Exclusions</w:t>
      </w:r>
      <w:bookmarkEnd w:id="97"/>
    </w:p>
    <w:p w14:paraId="4507BBC3" w14:textId="77777777" w:rsidR="0023544F" w:rsidRPr="00BC28A9" w:rsidRDefault="0023544F" w:rsidP="0023544F">
      <w:r w:rsidRPr="00BC28A9">
        <w:t xml:space="preserve">A number of diagnosis codes were excluded from receiving a DCL in the ECC Model based on the guiding principles </w:t>
      </w:r>
      <w:proofErr w:type="spellStart"/>
      <w:r w:rsidRPr="00BC28A9">
        <w:t>formalised</w:t>
      </w:r>
      <w:proofErr w:type="spellEnd"/>
      <w:r w:rsidRPr="00BC28A9">
        <w:t xml:space="preserve"> during its initial development in AR-DRG V8.0. These guiding principles aimed to </w:t>
      </w:r>
      <w:proofErr w:type="spellStart"/>
      <w:r w:rsidRPr="00BC28A9">
        <w:t>characterise</w:t>
      </w:r>
      <w:proofErr w:type="spellEnd"/>
      <w:r w:rsidRPr="00BC28A9">
        <w:t xml:space="preserve"> the scope of the ECC Model in terms of diagnoses considered relevant for DRG classification purposes. However clinical determination of exclusions for all diagnosis codes was not possible during the development of AR-DRG V8.0.</w:t>
      </w:r>
    </w:p>
    <w:p w14:paraId="54BAEF2C" w14:textId="50B6A0A2" w:rsidR="0023544F" w:rsidRPr="00BC28A9" w:rsidRDefault="0023544F" w:rsidP="0023544F">
      <w:r w:rsidRPr="00BC28A9">
        <w:t xml:space="preserve">In AR-DRG V10.0, </w:t>
      </w:r>
      <w:r>
        <w:t xml:space="preserve">IHACPA </w:t>
      </w:r>
      <w:r w:rsidRPr="00BC28A9">
        <w:t xml:space="preserve">refined and expanded the guiding principles for diagnosis exclusion. A comprehensive review of all in-scope codes informed by the new guiding principles was undertaken in consultation with </w:t>
      </w:r>
      <w:r>
        <w:t xml:space="preserve">the Classifications Clinical Advisory Group (CCAG) and the DRG Technical Group (DTG) </w:t>
      </w:r>
      <w:r w:rsidRPr="00BC28A9">
        <w:t>in the ECC Model for V10.0, with 1,511 additional codes excluded from receiving a DCL.</w:t>
      </w:r>
    </w:p>
    <w:p w14:paraId="227641D4" w14:textId="77777777" w:rsidR="0023544F" w:rsidRPr="00BC28A9" w:rsidRDefault="0023544F" w:rsidP="0023544F">
      <w:r w:rsidRPr="00BC28A9">
        <w:t xml:space="preserve">In AR-DRG V11.0, the guiding principles for diagnosis exclusion were </w:t>
      </w:r>
      <w:proofErr w:type="spellStart"/>
      <w:r w:rsidRPr="00BC28A9">
        <w:t>formalised</w:t>
      </w:r>
      <w:proofErr w:type="spellEnd"/>
      <w:r w:rsidRPr="00BC28A9">
        <w:t xml:space="preserve"> in the </w:t>
      </w:r>
      <w:r w:rsidRPr="00BC28A9">
        <w:rPr>
          <w:i/>
        </w:rPr>
        <w:t>Governance Framework for the Development of the Admitted Care Classifications.</w:t>
      </w:r>
      <w:r w:rsidRPr="00BC28A9">
        <w:t xml:space="preserve"> Codes are out-of-scope within the complexity model and excluded if they:</w:t>
      </w:r>
    </w:p>
    <w:p w14:paraId="2DC82980" w14:textId="77777777" w:rsidR="0023544F" w:rsidRPr="00BC28A9" w:rsidRDefault="0023544F" w:rsidP="0023544F">
      <w:pPr>
        <w:pStyle w:val="ListParagraph"/>
        <w:numPr>
          <w:ilvl w:val="0"/>
          <w:numId w:val="14"/>
        </w:numPr>
        <w:ind w:left="714" w:hanging="357"/>
        <w:contextualSpacing w:val="0"/>
        <w:rPr>
          <w:lang w:val="en-AU"/>
        </w:rPr>
      </w:pPr>
      <w:r w:rsidRPr="00BC28A9">
        <w:rPr>
          <w:lang w:val="en-AU"/>
        </w:rPr>
        <w:t>represent undefined or ill-specified conditions</w:t>
      </w:r>
    </w:p>
    <w:p w14:paraId="72ECD1EA" w14:textId="77777777" w:rsidR="0023544F" w:rsidRPr="00BC28A9" w:rsidRDefault="0023544F" w:rsidP="0023544F">
      <w:pPr>
        <w:pStyle w:val="ListParagraph"/>
        <w:numPr>
          <w:ilvl w:val="0"/>
          <w:numId w:val="14"/>
        </w:numPr>
        <w:ind w:left="714" w:hanging="357"/>
        <w:contextualSpacing w:val="0"/>
        <w:rPr>
          <w:lang w:val="en-AU"/>
        </w:rPr>
      </w:pPr>
      <w:r w:rsidRPr="00BC28A9">
        <w:rPr>
          <w:lang w:val="en-AU"/>
        </w:rPr>
        <w:t>represent symptoms and findings or transient conditions</w:t>
      </w:r>
    </w:p>
    <w:p w14:paraId="023DE39D" w14:textId="77777777" w:rsidR="0023544F" w:rsidRPr="00BC28A9" w:rsidRDefault="0023544F" w:rsidP="0023544F">
      <w:pPr>
        <w:pStyle w:val="ListParagraph"/>
        <w:numPr>
          <w:ilvl w:val="0"/>
          <w:numId w:val="14"/>
        </w:numPr>
        <w:ind w:left="714" w:hanging="357"/>
        <w:contextualSpacing w:val="0"/>
        <w:rPr>
          <w:lang w:val="en-AU"/>
        </w:rPr>
      </w:pPr>
      <w:r w:rsidRPr="00BC28A9">
        <w:rPr>
          <w:lang w:val="en-AU"/>
        </w:rPr>
        <w:t>provide additional or contextual information only</w:t>
      </w:r>
    </w:p>
    <w:p w14:paraId="1B51BD34" w14:textId="77777777" w:rsidR="0023544F" w:rsidRPr="00BC28A9" w:rsidRDefault="0023544F" w:rsidP="0023544F">
      <w:pPr>
        <w:pStyle w:val="ListParagraph"/>
        <w:numPr>
          <w:ilvl w:val="0"/>
          <w:numId w:val="14"/>
        </w:numPr>
        <w:ind w:left="714" w:hanging="357"/>
        <w:contextualSpacing w:val="0"/>
        <w:rPr>
          <w:lang w:val="en-AU"/>
        </w:rPr>
      </w:pPr>
      <w:r w:rsidRPr="00BC28A9">
        <w:rPr>
          <w:lang w:val="en-AU"/>
        </w:rPr>
        <w:t>most unacceptable principal diagnosis codes</w:t>
      </w:r>
    </w:p>
    <w:p w14:paraId="29D42C17" w14:textId="77777777" w:rsidR="0023544F" w:rsidRPr="00BC28A9" w:rsidRDefault="0023544F" w:rsidP="0023544F">
      <w:pPr>
        <w:pStyle w:val="ListParagraph"/>
        <w:numPr>
          <w:ilvl w:val="0"/>
          <w:numId w:val="14"/>
        </w:numPr>
        <w:ind w:left="714" w:hanging="357"/>
        <w:contextualSpacing w:val="0"/>
        <w:rPr>
          <w:lang w:val="en-AU"/>
        </w:rPr>
      </w:pPr>
      <w:r w:rsidRPr="00BC28A9">
        <w:rPr>
          <w:lang w:val="en-AU"/>
        </w:rPr>
        <w:t>represent asymptomatic or sub-clinical conditions (e.g. latent conditions)</w:t>
      </w:r>
    </w:p>
    <w:p w14:paraId="4BAC41AD" w14:textId="77777777" w:rsidR="0023544F" w:rsidRPr="00BC28A9" w:rsidRDefault="0023544F" w:rsidP="0023544F">
      <w:pPr>
        <w:pStyle w:val="ListParagraph"/>
        <w:numPr>
          <w:ilvl w:val="0"/>
          <w:numId w:val="14"/>
        </w:numPr>
        <w:ind w:left="714" w:hanging="357"/>
        <w:contextualSpacing w:val="0"/>
        <w:rPr>
          <w:lang w:val="en-AU"/>
        </w:rPr>
      </w:pPr>
      <w:r w:rsidRPr="00BC28A9">
        <w:rPr>
          <w:lang w:val="en-AU"/>
        </w:rPr>
        <w:t>represent markers of other diseases (e.g. hypercholesterolaemia)</w:t>
      </w:r>
    </w:p>
    <w:p w14:paraId="2A606317" w14:textId="77777777" w:rsidR="0023544F" w:rsidRPr="00BC28A9" w:rsidRDefault="0023544F" w:rsidP="0023544F">
      <w:pPr>
        <w:pStyle w:val="ListParagraph"/>
        <w:numPr>
          <w:ilvl w:val="0"/>
          <w:numId w:val="14"/>
        </w:numPr>
        <w:ind w:left="714" w:hanging="357"/>
        <w:contextualSpacing w:val="0"/>
        <w:rPr>
          <w:lang w:val="en-AU"/>
        </w:rPr>
      </w:pPr>
      <w:r w:rsidRPr="00BC28A9">
        <w:rPr>
          <w:lang w:val="en-AU"/>
        </w:rPr>
        <w:t>represent minor conditions that do not generally result in admitted acute episodes of care</w:t>
      </w:r>
    </w:p>
    <w:p w14:paraId="4EC629A5" w14:textId="77777777" w:rsidR="0023544F" w:rsidRPr="00BC28A9" w:rsidRDefault="0023544F" w:rsidP="0023544F">
      <w:pPr>
        <w:pStyle w:val="ListParagraph"/>
        <w:numPr>
          <w:ilvl w:val="0"/>
          <w:numId w:val="14"/>
        </w:numPr>
        <w:ind w:left="714" w:hanging="357"/>
        <w:contextualSpacing w:val="0"/>
        <w:rPr>
          <w:lang w:val="en-AU"/>
        </w:rPr>
      </w:pPr>
      <w:r w:rsidRPr="00BC28A9">
        <w:rPr>
          <w:lang w:val="en-AU"/>
        </w:rPr>
        <w:t>represent an underlying cause of disease (e.g. tobacco dependence/use).</w:t>
      </w:r>
    </w:p>
    <w:p w14:paraId="233872F0" w14:textId="093D3CCC" w:rsidR="0023544F" w:rsidRPr="00BC28A9" w:rsidRDefault="0023544F" w:rsidP="0023544F">
      <w:r w:rsidRPr="00BC28A9">
        <w:t xml:space="preserve">To maintain clinical currency and robustness of the AR-DRG classification system, a review of diagnosis codes in-scope for contributing to episode complexity is conducted </w:t>
      </w:r>
      <w:r>
        <w:t>for</w:t>
      </w:r>
      <w:r w:rsidRPr="00BC28A9">
        <w:t xml:space="preserve"> each version of the AR-DRG classification. With a move to embedding a standard review process in AR-DRG V11.0, </w:t>
      </w:r>
      <w:r>
        <w:t xml:space="preserve">IHACPA </w:t>
      </w:r>
      <w:r w:rsidRPr="00BC28A9">
        <w:t xml:space="preserve">has developed a method to </w:t>
      </w:r>
      <w:proofErr w:type="spellStart"/>
      <w:r w:rsidRPr="00BC28A9">
        <w:t>analyse</w:t>
      </w:r>
      <w:proofErr w:type="spellEnd"/>
      <w:r w:rsidRPr="00BC28A9">
        <w:t xml:space="preserve"> the assignment of diagnosis codes over time to identify codes with unexpected increase in recent years for assessment against the guiding principles for diagnosis exclusion.</w:t>
      </w:r>
    </w:p>
    <w:p w14:paraId="479E2C6A" w14:textId="77777777" w:rsidR="0023544F" w:rsidRPr="00BC28A9" w:rsidRDefault="0023544F" w:rsidP="0023544F">
      <w:r w:rsidRPr="00BC28A9">
        <w:t>All valid diagnosis codes in ICD-10-AM Eleventh Edition were reviewed. This method identified 50 diagnosis codes warranting further assessment.</w:t>
      </w:r>
      <w:r>
        <w:t xml:space="preserve"> </w:t>
      </w:r>
      <w:r w:rsidRPr="00BC28A9">
        <w:t xml:space="preserve"> Each of these diagnosis codes was </w:t>
      </w:r>
      <w:r w:rsidRPr="00BC28A9">
        <w:lastRenderedPageBreak/>
        <w:t xml:space="preserve">assessed independently against the guiding principles for diagnosis exclusions in the AR-DRG complexity model. These principles are specified in the </w:t>
      </w:r>
      <w:r w:rsidRPr="00BC28A9">
        <w:rPr>
          <w:i/>
          <w:iCs/>
        </w:rPr>
        <w:t>Governance framework for the development of the admitted care classifications</w:t>
      </w:r>
      <w:r w:rsidRPr="00BC28A9">
        <w:t>.</w:t>
      </w:r>
    </w:p>
    <w:p w14:paraId="1A1AC670" w14:textId="77777777" w:rsidR="0023544F" w:rsidRPr="00BC28A9" w:rsidRDefault="0023544F" w:rsidP="0023544F">
      <w:r w:rsidRPr="00BC28A9">
        <w:t xml:space="preserve">The codes being proposed for exclusion following the assessment were supported by CCAG. Following feedback from DTG and public consultation, further analysis was conducted to assess the clinical and cost profile of the proposed diagnosis exclusions, as well as the potential impact of excluding those codes from complexity calculation. </w:t>
      </w:r>
    </w:p>
    <w:p w14:paraId="103B67B2" w14:textId="77777777" w:rsidR="0023544F" w:rsidRPr="00BC28A9" w:rsidRDefault="0023544F" w:rsidP="0023544F">
      <w:r w:rsidRPr="00BC28A9">
        <w:t xml:space="preserve">Further consultation was conducted with CCAG and the Australian and New Zealand Neonatal Network specifically in relation to two proposed diagnosis exclusions. To ensure that the proposed diagnosis exclusions do not have a detrimental impact on the complexity model, analysis was also performed to compare the statistical performance of ADRGs containing episodes with the proposed diagnosis exclusions in AR-DRG V10.0 and V11.0. </w:t>
      </w:r>
    </w:p>
    <w:p w14:paraId="5205C332" w14:textId="77777777" w:rsidR="0023544F" w:rsidRPr="00BC28A9" w:rsidRDefault="0023544F" w:rsidP="0023544F">
      <w:r w:rsidRPr="00BC28A9">
        <w:t>Based on the combination of impact analysis and clinical advice, 47 ICD-10-AM codes were further excluded from the complexity model in AR-DRG V11.0</w:t>
      </w:r>
      <w:r>
        <w:t>.</w:t>
      </w:r>
      <w:r w:rsidRPr="008D2552">
        <w:t xml:space="preserve"> </w:t>
      </w:r>
      <w:r>
        <w:t xml:space="preserve">The majority of the new </w:t>
      </w:r>
      <w:r>
        <w:br/>
        <w:t>ICD-10-AM code exclusions were the expanded Twelfth Edition code set for antimicrobial resistance (42 of the 47)</w:t>
      </w:r>
      <w:r w:rsidRPr="00BC28A9">
        <w:t>.</w:t>
      </w:r>
    </w:p>
    <w:p w14:paraId="421E4375" w14:textId="77777777" w:rsidR="0023544F" w:rsidRPr="00BC28A9" w:rsidRDefault="0023544F" w:rsidP="0023544F">
      <w:r w:rsidRPr="00BC28A9">
        <w:t>Further, the following ICD-10-AM Twelfth Edition emergency use codes for coronavirus disease 2019 (COVID-19) were included in the complexity model in AR-DRG V11.0:</w:t>
      </w:r>
    </w:p>
    <w:p w14:paraId="1E0EC7BB" w14:textId="77777777" w:rsidR="0023544F" w:rsidRPr="00BC28A9" w:rsidRDefault="0023544F" w:rsidP="0023544F">
      <w:pPr>
        <w:pStyle w:val="ListParagraph"/>
        <w:numPr>
          <w:ilvl w:val="0"/>
          <w:numId w:val="24"/>
        </w:numPr>
        <w:ind w:left="714" w:hanging="357"/>
        <w:contextualSpacing w:val="0"/>
        <w:rPr>
          <w:lang w:val="en-AU"/>
        </w:rPr>
      </w:pPr>
      <w:r w:rsidRPr="00BC28A9">
        <w:rPr>
          <w:lang w:val="en-AU"/>
        </w:rPr>
        <w:t xml:space="preserve">U07.11 </w:t>
      </w:r>
      <w:r w:rsidRPr="00BC28A9">
        <w:rPr>
          <w:i/>
          <w:lang w:val="en-AU"/>
        </w:rPr>
        <w:t>Coronavirus disease 2019 [COVID-19], virus identified, asymptomatic</w:t>
      </w:r>
    </w:p>
    <w:p w14:paraId="38111DD0" w14:textId="77777777" w:rsidR="0023544F" w:rsidRPr="00BC28A9" w:rsidRDefault="0023544F" w:rsidP="0023544F">
      <w:pPr>
        <w:pStyle w:val="ListParagraph"/>
        <w:numPr>
          <w:ilvl w:val="0"/>
          <w:numId w:val="24"/>
        </w:numPr>
        <w:ind w:left="714" w:hanging="357"/>
        <w:contextualSpacing w:val="0"/>
        <w:rPr>
          <w:lang w:val="en-AU"/>
        </w:rPr>
      </w:pPr>
      <w:r w:rsidRPr="00BC28A9">
        <w:rPr>
          <w:lang w:val="en-AU"/>
        </w:rPr>
        <w:t xml:space="preserve">U07.12 </w:t>
      </w:r>
      <w:r w:rsidRPr="00BC28A9">
        <w:rPr>
          <w:i/>
          <w:lang w:val="en-AU"/>
        </w:rPr>
        <w:t>Coronavirus disease 2019 [COVID-19], virus identified, symptomatic</w:t>
      </w:r>
    </w:p>
    <w:p w14:paraId="03B175FB" w14:textId="77777777" w:rsidR="0023544F" w:rsidRPr="00BC28A9" w:rsidRDefault="0023544F" w:rsidP="0023544F">
      <w:pPr>
        <w:pStyle w:val="ListParagraph"/>
        <w:numPr>
          <w:ilvl w:val="0"/>
          <w:numId w:val="24"/>
        </w:numPr>
        <w:ind w:left="714" w:hanging="357"/>
        <w:contextualSpacing w:val="0"/>
        <w:rPr>
          <w:lang w:val="en-AU"/>
        </w:rPr>
      </w:pPr>
      <w:r w:rsidRPr="00BC28A9">
        <w:rPr>
          <w:lang w:val="en-AU"/>
        </w:rPr>
        <w:t xml:space="preserve">U07.2 </w:t>
      </w:r>
      <w:r w:rsidRPr="00BC28A9">
        <w:rPr>
          <w:i/>
          <w:lang w:val="en-AU"/>
        </w:rPr>
        <w:t>Coronavirus disease 2019 [COVID-19], virus not identified</w:t>
      </w:r>
    </w:p>
    <w:p w14:paraId="4A07C140" w14:textId="77777777" w:rsidR="0023544F" w:rsidRPr="00BC28A9" w:rsidRDefault="0023544F" w:rsidP="0023544F">
      <w:pPr>
        <w:pStyle w:val="ListParagraph"/>
        <w:numPr>
          <w:ilvl w:val="0"/>
          <w:numId w:val="24"/>
        </w:numPr>
        <w:ind w:left="714" w:hanging="357"/>
        <w:contextualSpacing w:val="0"/>
        <w:rPr>
          <w:lang w:val="en-AU"/>
        </w:rPr>
      </w:pPr>
      <w:r w:rsidRPr="00BC28A9">
        <w:rPr>
          <w:lang w:val="en-AU"/>
        </w:rPr>
        <w:t xml:space="preserve">U07.5 </w:t>
      </w:r>
      <w:r w:rsidRPr="00BC28A9">
        <w:rPr>
          <w:i/>
          <w:lang w:val="en-AU"/>
        </w:rPr>
        <w:t>Multisystem inflammatory syndrome associated with COVID-19.</w:t>
      </w:r>
    </w:p>
    <w:p w14:paraId="268D8E64" w14:textId="77777777" w:rsidR="0023544F" w:rsidRPr="00BC28A9" w:rsidRDefault="0023544F" w:rsidP="0023544F">
      <w:r w:rsidRPr="00BC28A9">
        <w:t>In total, 11,065 codes are in-scope for receiving a DCL in AR-DRG V11.0, as compared to 11,038 codes in AR-DRG V10.0.</w:t>
      </w:r>
    </w:p>
    <w:p w14:paraId="1F9C5983" w14:textId="77777777" w:rsidR="0023544F" w:rsidRPr="00BC28A9" w:rsidRDefault="0023544F" w:rsidP="0023544F">
      <w:r w:rsidRPr="00BC28A9">
        <w:t xml:space="preserve">The full list of Diagnosis Complexity Level unconditional and conditional exclusion codes can be found in </w:t>
      </w:r>
      <w:r>
        <w:t xml:space="preserve">the </w:t>
      </w:r>
      <w:r w:rsidRPr="00BC28A9">
        <w:rPr>
          <w:i/>
        </w:rPr>
        <w:t>AR-DRG V11.0 Definitions Manual</w:t>
      </w:r>
      <w:r w:rsidRPr="00BC28A9">
        <w:t xml:space="preserve"> Appendix C. </w:t>
      </w:r>
    </w:p>
    <w:p w14:paraId="6C193ADC" w14:textId="77777777" w:rsidR="0023544F" w:rsidRPr="00BC28A9" w:rsidRDefault="0023544F" w:rsidP="0023544F">
      <w:pPr>
        <w:rPr>
          <w:rFonts w:asciiTheme="majorHAnsi" w:hAnsiTheme="majorHAnsi"/>
          <w:b/>
          <w:sz w:val="28"/>
          <w:szCs w:val="44"/>
        </w:rPr>
      </w:pPr>
      <w:r w:rsidRPr="00BC28A9">
        <w:br w:type="page"/>
      </w:r>
    </w:p>
    <w:p w14:paraId="1EF3EDF4" w14:textId="77777777" w:rsidR="0023544F" w:rsidRPr="00BC28A9" w:rsidRDefault="0023544F" w:rsidP="0023544F">
      <w:pPr>
        <w:pStyle w:val="Heading1"/>
        <w:numPr>
          <w:ilvl w:val="0"/>
          <w:numId w:val="0"/>
        </w:numPr>
      </w:pPr>
      <w:bookmarkStart w:id="98" w:name="_Toc124657536"/>
      <w:r w:rsidRPr="00BC28A9">
        <w:lastRenderedPageBreak/>
        <w:t>Appendix B: Aggregation Calculations</w:t>
      </w:r>
      <w:bookmarkEnd w:id="98"/>
    </w:p>
    <w:p w14:paraId="0EFC7000" w14:textId="77777777" w:rsidR="0023544F" w:rsidRPr="00BC28A9" w:rsidRDefault="0023544F" w:rsidP="0023544F">
      <w:r w:rsidRPr="00BC28A9">
        <w:t xml:space="preserve">This appendix provides an example of diagnosis ‘x’ within ADRG ‘A’ to illustrate the calculations regarding the DCL aggregation principles. </w:t>
      </w:r>
    </w:p>
    <w:p w14:paraId="056178FC" w14:textId="77777777" w:rsidR="0023544F" w:rsidRPr="00BC28A9" w:rsidRDefault="009A2A35" w:rsidP="0023544F">
      <w:pPr>
        <w:jc w:val="center"/>
        <w:rPr>
          <w:rFonts w:cs="Arial"/>
        </w:rPr>
      </w:pPr>
      <m:oMathPara>
        <m:oMath>
          <m:acc>
            <m:accPr>
              <m:chr m:val="̅"/>
              <m:ctrlPr>
                <w:rPr>
                  <w:rFonts w:ascii="Cambria Math" w:hAnsi="Cambria Math" w:cs="Arial"/>
                  <w:i/>
                </w:rPr>
              </m:ctrlPr>
            </m:accPr>
            <m:e>
              <m:r>
                <w:rPr>
                  <w:rFonts w:ascii="Cambria Math" w:hAnsi="Cambria Math" w:cs="Arial"/>
                </w:rPr>
                <m:t>C</m:t>
              </m:r>
            </m:e>
          </m:acc>
          <m:d>
            <m:dPr>
              <m:ctrlPr>
                <w:rPr>
                  <w:rFonts w:ascii="Cambria Math" w:hAnsi="Cambria Math" w:cs="Arial"/>
                  <w:i/>
                </w:rPr>
              </m:ctrlPr>
            </m:dPr>
            <m:e>
              <m:r>
                <w:rPr>
                  <w:rFonts w:ascii="Cambria Math" w:hAnsi="Cambria Math" w:cs="Arial"/>
                </w:rPr>
                <m:t>x,A</m:t>
              </m:r>
            </m:e>
          </m:d>
          <m:r>
            <w:rPr>
              <w:rFonts w:ascii="Cambria Math" w:hAnsi="Cambria Math" w:cs="Arial"/>
            </w:rPr>
            <m:t>=</m:t>
          </m:r>
          <m:r>
            <m:rPr>
              <m:sty m:val="p"/>
            </m:rPr>
            <w:rPr>
              <w:rFonts w:ascii="Cambria Math" w:hAnsi="Cambria Math" w:cs="Arial"/>
            </w:rPr>
            <m:t>average log cost differential associated with x in A</m:t>
          </m:r>
        </m:oMath>
      </m:oMathPara>
    </w:p>
    <w:p w14:paraId="076B0BE1" w14:textId="77777777" w:rsidR="0023544F" w:rsidRPr="00BC28A9" w:rsidRDefault="009A2A35" w:rsidP="0023544F">
      <w:pPr>
        <w:jc w:val="center"/>
        <w:rPr>
          <w:rFonts w:cs="Arial"/>
        </w:rPr>
      </w:pPr>
      <m:oMathPara>
        <m:oMath>
          <m:sSub>
            <m:sSubPr>
              <m:ctrlPr>
                <w:rPr>
                  <w:rFonts w:ascii="Cambria Math" w:hAnsi="Cambria Math" w:cs="Arial"/>
                  <w:i/>
                </w:rPr>
              </m:ctrlPr>
            </m:sSubPr>
            <m:e>
              <m:r>
                <w:rPr>
                  <w:rFonts w:ascii="Cambria Math" w:hAnsi="Cambria Math" w:cs="Arial"/>
                </w:rPr>
                <m:t>E</m:t>
              </m:r>
            </m:e>
            <m:sub>
              <m:r>
                <w:rPr>
                  <w:rFonts w:ascii="Cambria Math" w:hAnsi="Cambria Math" w:cs="Arial"/>
                </w:rPr>
                <m:t>n</m:t>
              </m:r>
            </m:sub>
          </m:sSub>
          <m:r>
            <w:rPr>
              <w:rFonts w:ascii="Cambria Math" w:hAnsi="Cambria Math" w:cs="Arial"/>
            </w:rPr>
            <m:t xml:space="preserve">=number of episodes within </m:t>
          </m:r>
          <m:sSup>
            <m:sSupPr>
              <m:ctrlPr>
                <w:rPr>
                  <w:rFonts w:ascii="Cambria Math" w:hAnsi="Cambria Math" w:cs="Arial"/>
                  <w:i/>
                </w:rPr>
              </m:ctrlPr>
            </m:sSupPr>
            <m:e>
              <m:r>
                <w:rPr>
                  <w:rFonts w:ascii="Cambria Math" w:hAnsi="Cambria Math" w:cs="Arial"/>
                </w:rPr>
                <m:t>n</m:t>
              </m:r>
            </m:e>
            <m:sup>
              <m:r>
                <w:rPr>
                  <w:rFonts w:ascii="Cambria Math" w:hAnsi="Cambria Math" w:cs="Arial"/>
                </w:rPr>
                <m:t>th</m:t>
              </m:r>
            </m:sup>
          </m:sSup>
          <m:r>
            <w:rPr>
              <w:rFonts w:ascii="Cambria Math" w:hAnsi="Cambria Math" w:cs="Arial"/>
            </w:rPr>
            <m:t xml:space="preserve"> precision level</m:t>
          </m:r>
        </m:oMath>
      </m:oMathPara>
    </w:p>
    <w:p w14:paraId="30B37049" w14:textId="77777777" w:rsidR="0023544F" w:rsidRPr="00BC28A9" w:rsidRDefault="009A2A35" w:rsidP="0023544F">
      <w:pPr>
        <w:jc w:val="center"/>
        <w:rPr>
          <w:rFonts w:cs="Arial"/>
        </w:rPr>
      </w:pPr>
      <m:oMathPara>
        <m:oMath>
          <m:sSub>
            <m:sSubPr>
              <m:ctrlPr>
                <w:rPr>
                  <w:rFonts w:ascii="Cambria Math" w:hAnsi="Cambria Math" w:cs="Arial"/>
                  <w:i/>
                </w:rPr>
              </m:ctrlPr>
            </m:sSubPr>
            <m:e>
              <m:r>
                <w:rPr>
                  <w:rFonts w:ascii="Cambria Math" w:hAnsi="Cambria Math" w:cs="Arial"/>
                </w:rPr>
                <m:t>C</m:t>
              </m:r>
            </m:e>
            <m:sub>
              <m:r>
                <w:rPr>
                  <w:rFonts w:ascii="Cambria Math" w:hAnsi="Cambria Math" w:cs="Arial"/>
                </w:rPr>
                <m:t>n</m:t>
              </m:r>
            </m:sub>
          </m:sSub>
          <m:r>
            <w:rPr>
              <w:rFonts w:ascii="Cambria Math" w:hAnsi="Cambria Math" w:cs="Arial"/>
            </w:rPr>
            <m:t>=</m:t>
          </m:r>
          <m:r>
            <m:rPr>
              <m:sty m:val="p"/>
            </m:rPr>
            <w:rPr>
              <w:rFonts w:ascii="Cambria Math" w:hAnsi="Cambria Math" w:cs="Arial"/>
            </w:rPr>
            <m:t xml:space="preserve">average log cost differential </m:t>
          </m:r>
          <m:r>
            <w:rPr>
              <w:rFonts w:ascii="Cambria Math" w:hAnsi="Cambria Math" w:cs="Arial"/>
            </w:rPr>
            <m:t xml:space="preserve">within step </m:t>
          </m:r>
          <m:sSup>
            <m:sSupPr>
              <m:ctrlPr>
                <w:rPr>
                  <w:rFonts w:ascii="Cambria Math" w:hAnsi="Cambria Math" w:cs="Arial"/>
                  <w:i/>
                </w:rPr>
              </m:ctrlPr>
            </m:sSupPr>
            <m:e>
              <m:r>
                <w:rPr>
                  <w:rFonts w:ascii="Cambria Math" w:hAnsi="Cambria Math" w:cs="Arial"/>
                </w:rPr>
                <m:t>n</m:t>
              </m:r>
            </m:e>
            <m:sup>
              <m:r>
                <w:rPr>
                  <w:rFonts w:ascii="Cambria Math" w:hAnsi="Cambria Math" w:cs="Arial"/>
                </w:rPr>
                <m:t>th</m:t>
              </m:r>
            </m:sup>
          </m:sSup>
          <m:r>
            <w:rPr>
              <w:rFonts w:ascii="Cambria Math" w:hAnsi="Cambria Math" w:cs="Arial"/>
            </w:rPr>
            <m:t xml:space="preserve"> precision level</m:t>
          </m:r>
        </m:oMath>
      </m:oMathPara>
    </w:p>
    <w:p w14:paraId="6EE7672D" w14:textId="77777777" w:rsidR="0023544F" w:rsidRPr="00BC28A9" w:rsidRDefault="0023544F" w:rsidP="0023544F">
      <w:pPr>
        <w:rPr>
          <w:u w:val="single"/>
        </w:rPr>
      </w:pPr>
      <w:r w:rsidRPr="00BC28A9">
        <w:rPr>
          <w:u w:val="single"/>
        </w:rPr>
        <w:t>First precision level</w:t>
      </w:r>
      <w:r w:rsidRPr="00BC28A9">
        <w:rPr>
          <w:i/>
        </w:rPr>
        <w:t xml:space="preserve">: </w:t>
      </w:r>
      <w:r w:rsidRPr="00BC28A9">
        <w:t>Three character, within CDC and ADRG</w:t>
      </w:r>
      <w:r w:rsidRPr="00BC28A9">
        <w:rPr>
          <w:i/>
        </w:rPr>
        <w:t xml:space="preserve">. </w:t>
      </w:r>
    </w:p>
    <w:p w14:paraId="3E6E0E34" w14:textId="77777777" w:rsidR="0023544F" w:rsidRPr="00BC28A9" w:rsidRDefault="0023544F" w:rsidP="0023544F">
      <w:pPr>
        <w:pStyle w:val="ListParagraph"/>
        <w:numPr>
          <w:ilvl w:val="0"/>
          <w:numId w:val="21"/>
        </w:numPr>
        <w:contextualSpacing w:val="0"/>
        <w:rPr>
          <w:lang w:val="en-AU"/>
        </w:rPr>
      </w:pPr>
      <w:r w:rsidRPr="00BC28A9">
        <w:rPr>
          <w:lang w:val="en-AU"/>
        </w:rPr>
        <w:t xml:space="preserve">If </w:t>
      </w:r>
      <m:oMath>
        <m:sSub>
          <m:sSubPr>
            <m:ctrlPr>
              <w:rPr>
                <w:rFonts w:ascii="Cambria Math" w:hAnsi="Cambria Math"/>
                <w:i/>
                <w:lang w:val="en-AU"/>
              </w:rPr>
            </m:ctrlPr>
          </m:sSubPr>
          <m:e>
            <m:r>
              <w:rPr>
                <w:rFonts w:ascii="Cambria Math" w:hAnsi="Cambria Math"/>
                <w:lang w:val="en-AU"/>
              </w:rPr>
              <m:t>E</m:t>
            </m:r>
          </m:e>
          <m:sub>
            <m:r>
              <w:rPr>
                <w:rFonts w:ascii="Cambria Math" w:hAnsi="Cambria Math"/>
                <w:lang w:val="en-AU"/>
              </w:rPr>
              <m:t>1</m:t>
            </m:r>
          </m:sub>
        </m:sSub>
        <m:r>
          <w:rPr>
            <w:rFonts w:ascii="Cambria Math" w:hAnsi="Cambria Math"/>
            <w:lang w:val="en-AU"/>
          </w:rPr>
          <m:t>≥100</m:t>
        </m:r>
      </m:oMath>
      <w:r w:rsidRPr="00BC28A9">
        <w:rPr>
          <w:lang w:val="en-AU"/>
        </w:rPr>
        <w:t xml:space="preserve">, define </w:t>
      </w:r>
      <m:oMath>
        <m:acc>
          <m:accPr>
            <m:chr m:val="̅"/>
            <m:ctrlPr>
              <w:rPr>
                <w:rFonts w:ascii="Cambria Math" w:hAnsi="Cambria Math"/>
                <w:i/>
                <w:lang w:val="en-AU"/>
              </w:rPr>
            </m:ctrlPr>
          </m:accPr>
          <m:e>
            <m:r>
              <w:rPr>
                <w:rFonts w:ascii="Cambria Math" w:hAnsi="Cambria Math"/>
                <w:lang w:val="en-AU"/>
              </w:rPr>
              <m:t>C</m:t>
            </m:r>
          </m:e>
        </m:acc>
        <m:d>
          <m:dPr>
            <m:ctrlPr>
              <w:rPr>
                <w:rFonts w:ascii="Cambria Math" w:hAnsi="Cambria Math"/>
                <w:i/>
                <w:lang w:val="en-AU"/>
              </w:rPr>
            </m:ctrlPr>
          </m:dPr>
          <m:e>
            <m:r>
              <w:rPr>
                <w:rFonts w:ascii="Cambria Math" w:hAnsi="Cambria Math"/>
                <w:lang w:val="en-AU"/>
              </w:rPr>
              <m:t>x,A</m:t>
            </m:r>
          </m:e>
        </m:d>
        <m:r>
          <w:rPr>
            <w:rFonts w:ascii="Cambria Math" w:hAnsi="Cambria Math"/>
            <w:lang w:val="en-AU"/>
          </w:rPr>
          <m:t>=</m:t>
        </m:r>
        <m:sSub>
          <m:sSubPr>
            <m:ctrlPr>
              <w:rPr>
                <w:rFonts w:ascii="Cambria Math" w:hAnsi="Cambria Math"/>
                <w:i/>
                <w:lang w:val="en-AU"/>
              </w:rPr>
            </m:ctrlPr>
          </m:sSubPr>
          <m:e>
            <m:r>
              <w:rPr>
                <w:rFonts w:ascii="Cambria Math" w:hAnsi="Cambria Math"/>
                <w:lang w:val="en-AU"/>
              </w:rPr>
              <m:t>C</m:t>
            </m:r>
          </m:e>
          <m:sub>
            <m:r>
              <w:rPr>
                <w:rFonts w:ascii="Cambria Math" w:hAnsi="Cambria Math"/>
                <w:lang w:val="en-AU"/>
              </w:rPr>
              <m:t>1</m:t>
            </m:r>
          </m:sub>
        </m:sSub>
      </m:oMath>
      <w:r w:rsidRPr="00BC28A9">
        <w:rPr>
          <w:lang w:val="en-AU"/>
        </w:rPr>
        <w:t xml:space="preserve">, and the calculation is complete </w:t>
      </w:r>
    </w:p>
    <w:p w14:paraId="1F23A740" w14:textId="77777777" w:rsidR="0023544F" w:rsidRPr="00BC28A9" w:rsidRDefault="0023544F" w:rsidP="0023544F">
      <w:pPr>
        <w:pStyle w:val="ListParagraph"/>
        <w:numPr>
          <w:ilvl w:val="0"/>
          <w:numId w:val="21"/>
        </w:numPr>
        <w:contextualSpacing w:val="0"/>
        <w:rPr>
          <w:lang w:val="en-AU"/>
        </w:rPr>
      </w:pPr>
      <w:r w:rsidRPr="00BC28A9">
        <w:rPr>
          <w:lang w:val="en-AU"/>
        </w:rPr>
        <w:t xml:space="preserve">If </w:t>
      </w:r>
      <m:oMath>
        <m:sSub>
          <m:sSubPr>
            <m:ctrlPr>
              <w:rPr>
                <w:rFonts w:ascii="Cambria Math" w:hAnsi="Cambria Math"/>
                <w:i/>
                <w:lang w:val="en-AU"/>
              </w:rPr>
            </m:ctrlPr>
          </m:sSubPr>
          <m:e>
            <m:r>
              <w:rPr>
                <w:rFonts w:ascii="Cambria Math" w:hAnsi="Cambria Math"/>
                <w:lang w:val="en-AU"/>
              </w:rPr>
              <m:t>E</m:t>
            </m:r>
          </m:e>
          <m:sub>
            <m:r>
              <w:rPr>
                <w:rFonts w:ascii="Cambria Math" w:hAnsi="Cambria Math"/>
                <w:lang w:val="en-AU"/>
              </w:rPr>
              <m:t>1</m:t>
            </m:r>
          </m:sub>
        </m:sSub>
        <m:r>
          <w:rPr>
            <w:rFonts w:ascii="Cambria Math" w:hAnsi="Cambria Math"/>
            <w:lang w:val="en-AU"/>
          </w:rPr>
          <m:t>&lt;100</m:t>
        </m:r>
      </m:oMath>
      <w:r w:rsidRPr="00BC28A9">
        <w:rPr>
          <w:lang w:val="en-AU"/>
        </w:rPr>
        <w:t xml:space="preserve">, define </w:t>
      </w:r>
      <m:oMath>
        <m:acc>
          <m:accPr>
            <m:chr m:val="̅"/>
            <m:ctrlPr>
              <w:rPr>
                <w:rFonts w:ascii="Cambria Math" w:hAnsi="Cambria Math"/>
                <w:i/>
                <w:lang w:val="en-AU"/>
              </w:rPr>
            </m:ctrlPr>
          </m:accPr>
          <m:e>
            <m:sSub>
              <m:sSubPr>
                <m:ctrlPr>
                  <w:rPr>
                    <w:rFonts w:ascii="Cambria Math" w:hAnsi="Cambria Math"/>
                    <w:i/>
                    <w:lang w:val="en-AU"/>
                  </w:rPr>
                </m:ctrlPr>
              </m:sSubPr>
              <m:e>
                <m:r>
                  <w:rPr>
                    <w:rFonts w:ascii="Cambria Math" w:hAnsi="Cambria Math"/>
                    <w:lang w:val="en-AU"/>
                  </w:rPr>
                  <m:t>C</m:t>
                </m:r>
              </m:e>
              <m:sub>
                <m:r>
                  <w:rPr>
                    <w:rFonts w:ascii="Cambria Math" w:hAnsi="Cambria Math"/>
                    <w:lang w:val="en-AU"/>
                  </w:rPr>
                  <m:t>1</m:t>
                </m:r>
              </m:sub>
            </m:sSub>
          </m:e>
        </m:acc>
        <m:r>
          <w:rPr>
            <w:rFonts w:ascii="Cambria Math" w:hAnsi="Cambria Math"/>
            <w:lang w:val="en-AU"/>
          </w:rPr>
          <m:t>=</m:t>
        </m:r>
        <m:sSub>
          <m:sSubPr>
            <m:ctrlPr>
              <w:rPr>
                <w:rFonts w:ascii="Cambria Math" w:hAnsi="Cambria Math"/>
                <w:i/>
                <w:lang w:val="en-AU"/>
              </w:rPr>
            </m:ctrlPr>
          </m:sSubPr>
          <m:e>
            <m:r>
              <w:rPr>
                <w:rFonts w:ascii="Cambria Math" w:hAnsi="Cambria Math"/>
                <w:lang w:val="en-AU"/>
              </w:rPr>
              <m:t>C</m:t>
            </m:r>
          </m:e>
          <m:sub>
            <m:r>
              <w:rPr>
                <w:rFonts w:ascii="Cambria Math" w:hAnsi="Cambria Math"/>
                <w:lang w:val="en-AU"/>
              </w:rPr>
              <m:t>1</m:t>
            </m:r>
          </m:sub>
        </m:sSub>
      </m:oMath>
      <w:r w:rsidRPr="00BC28A9">
        <w:rPr>
          <w:lang w:val="en-AU"/>
        </w:rPr>
        <w:t xml:space="preserve"> , proceed to step 2 </w:t>
      </w:r>
    </w:p>
    <w:p w14:paraId="35D40B3B" w14:textId="77777777" w:rsidR="0023544F" w:rsidRPr="00BC28A9" w:rsidRDefault="0023544F" w:rsidP="0023544F">
      <w:pPr>
        <w:rPr>
          <w:rFonts w:cs="Arial"/>
          <w:u w:val="single"/>
        </w:rPr>
      </w:pPr>
      <w:r w:rsidRPr="00BC28A9">
        <w:rPr>
          <w:rFonts w:cs="Arial"/>
          <w:u w:val="single"/>
        </w:rPr>
        <w:t xml:space="preserve">Second Precision level: </w:t>
      </w:r>
      <w:r w:rsidRPr="00BC28A9">
        <w:rPr>
          <w:rFonts w:cs="Arial"/>
        </w:rPr>
        <w:t>Code block, within CDC and ADRG</w:t>
      </w:r>
      <w:r w:rsidRPr="00BC28A9">
        <w:rPr>
          <w:rFonts w:cs="Arial"/>
          <w:i/>
        </w:rPr>
        <w:t xml:space="preserve">. </w:t>
      </w:r>
    </w:p>
    <w:p w14:paraId="22BFAD21" w14:textId="77777777" w:rsidR="0023544F" w:rsidRPr="00BC28A9" w:rsidRDefault="0023544F" w:rsidP="0023544F">
      <w:pPr>
        <w:pStyle w:val="ListParagraph"/>
        <w:numPr>
          <w:ilvl w:val="0"/>
          <w:numId w:val="22"/>
        </w:numPr>
        <w:contextualSpacing w:val="0"/>
        <w:rPr>
          <w:lang w:val="en-AU"/>
        </w:rPr>
      </w:pPr>
      <w:r w:rsidRPr="00BC28A9">
        <w:rPr>
          <w:lang w:val="en-AU"/>
        </w:rPr>
        <w:t xml:space="preserve">If </w:t>
      </w:r>
      <m:oMath>
        <m:sSub>
          <m:sSubPr>
            <m:ctrlPr>
              <w:rPr>
                <w:rFonts w:ascii="Cambria Math" w:hAnsi="Cambria Math"/>
                <w:lang w:val="en-AU"/>
              </w:rPr>
            </m:ctrlPr>
          </m:sSubPr>
          <m:e>
            <m:r>
              <w:rPr>
                <w:rFonts w:ascii="Cambria Math" w:hAnsi="Cambria Math"/>
                <w:lang w:val="en-AU"/>
              </w:rPr>
              <m:t>E</m:t>
            </m:r>
          </m:e>
          <m:sub>
            <m:r>
              <m:rPr>
                <m:sty m:val="p"/>
              </m:rPr>
              <w:rPr>
                <w:rFonts w:ascii="Cambria Math" w:hAnsi="Cambria Math"/>
                <w:lang w:val="en-AU"/>
              </w:rPr>
              <m:t>1</m:t>
            </m:r>
          </m:sub>
        </m:sSub>
        <m:r>
          <m:rPr>
            <m:sty m:val="p"/>
          </m:rPr>
          <w:rPr>
            <w:rFonts w:ascii="Cambria Math" w:hAnsi="Cambria Math"/>
            <w:lang w:val="en-AU"/>
          </w:rPr>
          <m:t>+</m:t>
        </m:r>
        <m:sSub>
          <m:sSubPr>
            <m:ctrlPr>
              <w:rPr>
                <w:rFonts w:ascii="Cambria Math" w:hAnsi="Cambria Math"/>
                <w:lang w:val="en-AU"/>
              </w:rPr>
            </m:ctrlPr>
          </m:sSubPr>
          <m:e>
            <m:r>
              <w:rPr>
                <w:rFonts w:ascii="Cambria Math" w:hAnsi="Cambria Math"/>
                <w:lang w:val="en-AU"/>
              </w:rPr>
              <m:t>E</m:t>
            </m:r>
          </m:e>
          <m:sub>
            <m:r>
              <m:rPr>
                <m:sty m:val="p"/>
              </m:rPr>
              <w:rPr>
                <w:rFonts w:ascii="Cambria Math" w:hAnsi="Cambria Math"/>
                <w:lang w:val="en-AU"/>
              </w:rPr>
              <m:t>2</m:t>
            </m:r>
          </m:sub>
        </m:sSub>
        <m:r>
          <m:rPr>
            <m:sty m:val="p"/>
          </m:rPr>
          <w:rPr>
            <w:rFonts w:ascii="Cambria Math" w:hAnsi="Cambria Math"/>
            <w:lang w:val="en-AU"/>
          </w:rPr>
          <m:t>≥100</m:t>
        </m:r>
      </m:oMath>
      <w:r w:rsidRPr="00BC28A9">
        <w:rPr>
          <w:lang w:val="en-AU"/>
        </w:rPr>
        <w:t xml:space="preserve">, define </w:t>
      </w:r>
      <m:oMath>
        <m:acc>
          <m:accPr>
            <m:chr m:val="̅"/>
            <m:ctrlPr>
              <w:rPr>
                <w:rFonts w:ascii="Cambria Math" w:hAnsi="Cambria Math"/>
                <w:lang w:val="en-AU"/>
              </w:rPr>
            </m:ctrlPr>
          </m:accPr>
          <m:e>
            <m:r>
              <w:rPr>
                <w:rFonts w:ascii="Cambria Math" w:hAnsi="Cambria Math"/>
                <w:lang w:val="en-AU"/>
              </w:rPr>
              <m:t>C</m:t>
            </m:r>
          </m:e>
        </m:acc>
        <m:d>
          <m:dPr>
            <m:ctrlPr>
              <w:rPr>
                <w:rFonts w:ascii="Cambria Math" w:hAnsi="Cambria Math"/>
                <w:lang w:val="en-AU"/>
              </w:rPr>
            </m:ctrlPr>
          </m:dPr>
          <m:e>
            <m:r>
              <w:rPr>
                <w:rFonts w:ascii="Cambria Math" w:hAnsi="Cambria Math"/>
                <w:lang w:val="en-AU"/>
              </w:rPr>
              <m:t>x</m:t>
            </m:r>
            <m:r>
              <m:rPr>
                <m:sty m:val="p"/>
              </m:rPr>
              <w:rPr>
                <w:rFonts w:ascii="Cambria Math" w:hAnsi="Cambria Math"/>
                <w:lang w:val="en-AU"/>
              </w:rPr>
              <m:t>,</m:t>
            </m:r>
            <m:r>
              <w:rPr>
                <w:rFonts w:ascii="Cambria Math" w:hAnsi="Cambria Math"/>
                <w:lang w:val="en-AU"/>
              </w:rPr>
              <m:t>A</m:t>
            </m:r>
          </m:e>
        </m:d>
        <m:r>
          <m:rPr>
            <m:sty m:val="p"/>
          </m:rPr>
          <w:rPr>
            <w:rFonts w:ascii="Cambria Math" w:hAnsi="Cambria Math"/>
            <w:lang w:val="en-AU"/>
          </w:rPr>
          <m:t>=</m:t>
        </m:r>
        <m:f>
          <m:fPr>
            <m:ctrlPr>
              <w:rPr>
                <w:rFonts w:ascii="Cambria Math" w:hAnsi="Cambria Math"/>
                <w:lang w:val="en-AU"/>
              </w:rPr>
            </m:ctrlPr>
          </m:fPr>
          <m:num>
            <m:sSub>
              <m:sSubPr>
                <m:ctrlPr>
                  <w:rPr>
                    <w:rFonts w:ascii="Cambria Math" w:hAnsi="Cambria Math"/>
                    <w:lang w:val="en-AU"/>
                  </w:rPr>
                </m:ctrlPr>
              </m:sSubPr>
              <m:e>
                <m:r>
                  <w:rPr>
                    <w:rFonts w:ascii="Cambria Math" w:hAnsi="Cambria Math"/>
                    <w:lang w:val="en-AU"/>
                  </w:rPr>
                  <m:t>E</m:t>
                </m:r>
              </m:e>
              <m:sub>
                <m:r>
                  <m:rPr>
                    <m:sty m:val="p"/>
                  </m:rPr>
                  <w:rPr>
                    <w:rFonts w:ascii="Cambria Math" w:hAnsi="Cambria Math"/>
                    <w:lang w:val="en-AU"/>
                  </w:rPr>
                  <m:t>1</m:t>
                </m:r>
              </m:sub>
            </m:sSub>
            <m:r>
              <m:rPr>
                <m:sty m:val="p"/>
              </m:rPr>
              <w:rPr>
                <w:rFonts w:ascii="Cambria Math" w:hAnsi="Cambria Math"/>
                <w:lang w:val="en-AU"/>
              </w:rPr>
              <m:t>×</m:t>
            </m:r>
            <m:sSub>
              <m:sSubPr>
                <m:ctrlPr>
                  <w:rPr>
                    <w:rFonts w:ascii="Cambria Math" w:hAnsi="Cambria Math"/>
                    <w:lang w:val="en-AU"/>
                  </w:rPr>
                </m:ctrlPr>
              </m:sSubPr>
              <m:e>
                <m:r>
                  <w:rPr>
                    <w:rFonts w:ascii="Cambria Math" w:hAnsi="Cambria Math"/>
                    <w:lang w:val="en-AU"/>
                  </w:rPr>
                  <m:t>C</m:t>
                </m:r>
              </m:e>
              <m:sub>
                <m:r>
                  <m:rPr>
                    <m:sty m:val="p"/>
                  </m:rPr>
                  <w:rPr>
                    <w:rFonts w:ascii="Cambria Math" w:hAnsi="Cambria Math"/>
                    <w:lang w:val="en-AU"/>
                  </w:rPr>
                  <m:t>1</m:t>
                </m:r>
              </m:sub>
            </m:sSub>
            <m:r>
              <m:rPr>
                <m:sty m:val="p"/>
              </m:rPr>
              <w:rPr>
                <w:rFonts w:ascii="Cambria Math" w:hAnsi="Cambria Math"/>
                <w:lang w:val="en-AU"/>
              </w:rPr>
              <m:t>+(100-</m:t>
            </m:r>
            <m:sSub>
              <m:sSubPr>
                <m:ctrlPr>
                  <w:rPr>
                    <w:rFonts w:ascii="Cambria Math" w:hAnsi="Cambria Math"/>
                    <w:lang w:val="en-AU"/>
                  </w:rPr>
                </m:ctrlPr>
              </m:sSubPr>
              <m:e>
                <m:r>
                  <w:rPr>
                    <w:rFonts w:ascii="Cambria Math" w:hAnsi="Cambria Math"/>
                    <w:lang w:val="en-AU"/>
                  </w:rPr>
                  <m:t>E</m:t>
                </m:r>
              </m:e>
              <m:sub>
                <m:r>
                  <m:rPr>
                    <m:sty m:val="p"/>
                  </m:rPr>
                  <w:rPr>
                    <w:rFonts w:ascii="Cambria Math" w:hAnsi="Cambria Math"/>
                    <w:lang w:val="en-AU"/>
                  </w:rPr>
                  <m:t>1</m:t>
                </m:r>
              </m:sub>
            </m:sSub>
            <m:r>
              <m:rPr>
                <m:sty m:val="p"/>
              </m:rPr>
              <w:rPr>
                <w:rFonts w:ascii="Cambria Math" w:hAnsi="Cambria Math"/>
                <w:lang w:val="en-AU"/>
              </w:rPr>
              <m:t>)×</m:t>
            </m:r>
            <m:sSub>
              <m:sSubPr>
                <m:ctrlPr>
                  <w:rPr>
                    <w:rFonts w:ascii="Cambria Math" w:hAnsi="Cambria Math"/>
                    <w:lang w:val="en-AU"/>
                  </w:rPr>
                </m:ctrlPr>
              </m:sSubPr>
              <m:e>
                <m:r>
                  <w:rPr>
                    <w:rFonts w:ascii="Cambria Math" w:hAnsi="Cambria Math"/>
                    <w:lang w:val="en-AU"/>
                  </w:rPr>
                  <m:t>C</m:t>
                </m:r>
              </m:e>
              <m:sub>
                <m:r>
                  <m:rPr>
                    <m:sty m:val="p"/>
                  </m:rPr>
                  <w:rPr>
                    <w:rFonts w:ascii="Cambria Math" w:hAnsi="Cambria Math"/>
                    <w:lang w:val="en-AU"/>
                  </w:rPr>
                  <m:t>2</m:t>
                </m:r>
              </m:sub>
            </m:sSub>
          </m:num>
          <m:den>
            <m:r>
              <m:rPr>
                <m:sty m:val="p"/>
              </m:rPr>
              <w:rPr>
                <w:rFonts w:ascii="Cambria Math" w:hAnsi="Cambria Math"/>
                <w:lang w:val="en-AU"/>
              </w:rPr>
              <m:t>100</m:t>
            </m:r>
          </m:den>
        </m:f>
      </m:oMath>
      <w:r w:rsidRPr="00BC28A9">
        <w:rPr>
          <w:lang w:val="en-AU"/>
        </w:rPr>
        <w:t xml:space="preserve">, and the calculation is complete </w:t>
      </w:r>
    </w:p>
    <w:p w14:paraId="2E618489" w14:textId="77777777" w:rsidR="0023544F" w:rsidRPr="00BC28A9" w:rsidRDefault="0023544F" w:rsidP="0023544F">
      <w:pPr>
        <w:pStyle w:val="ListParagraph"/>
        <w:numPr>
          <w:ilvl w:val="0"/>
          <w:numId w:val="22"/>
        </w:numPr>
        <w:contextualSpacing w:val="0"/>
        <w:rPr>
          <w:lang w:val="en-AU"/>
        </w:rPr>
      </w:pPr>
      <w:r w:rsidRPr="00BC28A9">
        <w:rPr>
          <w:lang w:val="en-AU"/>
        </w:rPr>
        <w:t xml:space="preserve">If </w:t>
      </w:r>
      <m:oMath>
        <m:sSub>
          <m:sSubPr>
            <m:ctrlPr>
              <w:rPr>
                <w:rFonts w:ascii="Cambria Math" w:hAnsi="Cambria Math"/>
                <w:lang w:val="en-AU"/>
              </w:rPr>
            </m:ctrlPr>
          </m:sSubPr>
          <m:e>
            <m:r>
              <w:rPr>
                <w:rFonts w:ascii="Cambria Math" w:hAnsi="Cambria Math"/>
                <w:lang w:val="en-AU"/>
              </w:rPr>
              <m:t>E</m:t>
            </m:r>
          </m:e>
          <m:sub>
            <m:r>
              <m:rPr>
                <m:sty m:val="p"/>
              </m:rPr>
              <w:rPr>
                <w:rFonts w:ascii="Cambria Math" w:hAnsi="Cambria Math"/>
                <w:lang w:val="en-AU"/>
              </w:rPr>
              <m:t>1</m:t>
            </m:r>
          </m:sub>
        </m:sSub>
        <m:r>
          <m:rPr>
            <m:sty m:val="p"/>
          </m:rPr>
          <w:rPr>
            <w:rFonts w:ascii="Cambria Math" w:hAnsi="Cambria Math"/>
            <w:lang w:val="en-AU"/>
          </w:rPr>
          <m:t>+</m:t>
        </m:r>
        <m:sSub>
          <m:sSubPr>
            <m:ctrlPr>
              <w:rPr>
                <w:rFonts w:ascii="Cambria Math" w:hAnsi="Cambria Math"/>
                <w:lang w:val="en-AU"/>
              </w:rPr>
            </m:ctrlPr>
          </m:sSubPr>
          <m:e>
            <m:r>
              <w:rPr>
                <w:rFonts w:ascii="Cambria Math" w:hAnsi="Cambria Math"/>
                <w:lang w:val="en-AU"/>
              </w:rPr>
              <m:t>E</m:t>
            </m:r>
          </m:e>
          <m:sub>
            <m:r>
              <m:rPr>
                <m:sty m:val="p"/>
              </m:rPr>
              <w:rPr>
                <w:rFonts w:ascii="Cambria Math" w:hAnsi="Cambria Math"/>
                <w:lang w:val="en-AU"/>
              </w:rPr>
              <m:t>2</m:t>
            </m:r>
          </m:sub>
        </m:sSub>
        <m:r>
          <m:rPr>
            <m:sty m:val="p"/>
          </m:rPr>
          <w:rPr>
            <w:rFonts w:ascii="Cambria Math" w:hAnsi="Cambria Math"/>
            <w:lang w:val="en-AU"/>
          </w:rPr>
          <m:t>&lt;100</m:t>
        </m:r>
      </m:oMath>
      <w:r w:rsidRPr="00BC28A9">
        <w:rPr>
          <w:lang w:val="en-AU"/>
        </w:rPr>
        <w:t xml:space="preserve">, define </w:t>
      </w:r>
      <m:oMath>
        <m:sSub>
          <m:sSubPr>
            <m:ctrlPr>
              <w:rPr>
                <w:rFonts w:ascii="Cambria Math" w:hAnsi="Cambria Math"/>
                <w:lang w:val="en-AU"/>
              </w:rPr>
            </m:ctrlPr>
          </m:sSubPr>
          <m:e>
            <m:acc>
              <m:accPr>
                <m:chr m:val="̅"/>
                <m:ctrlPr>
                  <w:rPr>
                    <w:rFonts w:ascii="Cambria Math" w:hAnsi="Cambria Math"/>
                    <w:lang w:val="en-AU"/>
                  </w:rPr>
                </m:ctrlPr>
              </m:accPr>
              <m:e>
                <m:r>
                  <w:rPr>
                    <w:rFonts w:ascii="Cambria Math" w:hAnsi="Cambria Math"/>
                    <w:lang w:val="en-AU"/>
                  </w:rPr>
                  <m:t>C</m:t>
                </m:r>
              </m:e>
            </m:acc>
          </m:e>
          <m:sub>
            <m:r>
              <m:rPr>
                <m:sty m:val="p"/>
              </m:rPr>
              <w:rPr>
                <w:rFonts w:ascii="Cambria Math" w:hAnsi="Cambria Math"/>
                <w:lang w:val="en-AU"/>
              </w:rPr>
              <m:t>2</m:t>
            </m:r>
          </m:sub>
        </m:sSub>
        <m:r>
          <m:rPr>
            <m:sty m:val="p"/>
          </m:rPr>
          <w:rPr>
            <w:rFonts w:ascii="Cambria Math" w:hAnsi="Cambria Math"/>
            <w:lang w:val="en-AU"/>
          </w:rPr>
          <m:t>=</m:t>
        </m:r>
        <m:f>
          <m:fPr>
            <m:ctrlPr>
              <w:rPr>
                <w:rFonts w:ascii="Cambria Math" w:hAnsi="Cambria Math"/>
                <w:lang w:val="en-AU"/>
              </w:rPr>
            </m:ctrlPr>
          </m:fPr>
          <m:num>
            <m:sSub>
              <m:sSubPr>
                <m:ctrlPr>
                  <w:rPr>
                    <w:rFonts w:ascii="Cambria Math" w:hAnsi="Cambria Math"/>
                    <w:lang w:val="en-AU"/>
                  </w:rPr>
                </m:ctrlPr>
              </m:sSubPr>
              <m:e>
                <m:r>
                  <w:rPr>
                    <w:rFonts w:ascii="Cambria Math" w:hAnsi="Cambria Math"/>
                    <w:lang w:val="en-AU"/>
                  </w:rPr>
                  <m:t>E</m:t>
                </m:r>
              </m:e>
              <m:sub>
                <m:r>
                  <m:rPr>
                    <m:sty m:val="p"/>
                  </m:rPr>
                  <w:rPr>
                    <w:rFonts w:ascii="Cambria Math" w:hAnsi="Cambria Math"/>
                    <w:lang w:val="en-AU"/>
                  </w:rPr>
                  <m:t>1</m:t>
                </m:r>
              </m:sub>
            </m:sSub>
            <m:r>
              <m:rPr>
                <m:sty m:val="p"/>
              </m:rPr>
              <w:rPr>
                <w:rFonts w:ascii="Cambria Math" w:hAnsi="Cambria Math"/>
                <w:lang w:val="en-AU"/>
              </w:rPr>
              <m:t>×</m:t>
            </m:r>
            <m:sSub>
              <m:sSubPr>
                <m:ctrlPr>
                  <w:rPr>
                    <w:rFonts w:ascii="Cambria Math" w:hAnsi="Cambria Math"/>
                    <w:lang w:val="en-AU"/>
                  </w:rPr>
                </m:ctrlPr>
              </m:sSubPr>
              <m:e>
                <m:r>
                  <w:rPr>
                    <w:rFonts w:ascii="Cambria Math" w:hAnsi="Cambria Math"/>
                    <w:lang w:val="en-AU"/>
                  </w:rPr>
                  <m:t>C</m:t>
                </m:r>
              </m:e>
              <m:sub>
                <m:r>
                  <m:rPr>
                    <m:sty m:val="p"/>
                  </m:rPr>
                  <w:rPr>
                    <w:rFonts w:ascii="Cambria Math" w:hAnsi="Cambria Math"/>
                    <w:lang w:val="en-AU"/>
                  </w:rPr>
                  <m:t>1</m:t>
                </m:r>
              </m:sub>
            </m:sSub>
            <m:r>
              <m:rPr>
                <m:sty m:val="p"/>
              </m:rPr>
              <w:rPr>
                <w:rFonts w:ascii="Cambria Math" w:hAnsi="Cambria Math"/>
                <w:lang w:val="en-AU"/>
              </w:rPr>
              <m:t>+</m:t>
            </m:r>
            <m:sSub>
              <m:sSubPr>
                <m:ctrlPr>
                  <w:rPr>
                    <w:rFonts w:ascii="Cambria Math" w:hAnsi="Cambria Math"/>
                    <w:lang w:val="en-AU"/>
                  </w:rPr>
                </m:ctrlPr>
              </m:sSubPr>
              <m:e>
                <m:r>
                  <w:rPr>
                    <w:rFonts w:ascii="Cambria Math" w:hAnsi="Cambria Math"/>
                    <w:lang w:val="en-AU"/>
                  </w:rPr>
                  <m:t>E</m:t>
                </m:r>
              </m:e>
              <m:sub>
                <m:r>
                  <m:rPr>
                    <m:sty m:val="p"/>
                  </m:rPr>
                  <w:rPr>
                    <w:rFonts w:ascii="Cambria Math" w:hAnsi="Cambria Math"/>
                    <w:lang w:val="en-AU"/>
                  </w:rPr>
                  <m:t>2</m:t>
                </m:r>
              </m:sub>
            </m:sSub>
            <m:r>
              <m:rPr>
                <m:sty m:val="p"/>
              </m:rPr>
              <w:rPr>
                <w:rFonts w:ascii="Cambria Math" w:hAnsi="Cambria Math"/>
                <w:lang w:val="en-AU"/>
              </w:rPr>
              <m:t>×</m:t>
            </m:r>
            <m:sSub>
              <m:sSubPr>
                <m:ctrlPr>
                  <w:rPr>
                    <w:rFonts w:ascii="Cambria Math" w:hAnsi="Cambria Math"/>
                    <w:lang w:val="en-AU"/>
                  </w:rPr>
                </m:ctrlPr>
              </m:sSubPr>
              <m:e>
                <m:r>
                  <w:rPr>
                    <w:rFonts w:ascii="Cambria Math" w:hAnsi="Cambria Math"/>
                    <w:lang w:val="en-AU"/>
                  </w:rPr>
                  <m:t>C</m:t>
                </m:r>
              </m:e>
              <m:sub>
                <m:r>
                  <m:rPr>
                    <m:sty m:val="p"/>
                  </m:rPr>
                  <w:rPr>
                    <w:rFonts w:ascii="Cambria Math" w:hAnsi="Cambria Math"/>
                    <w:lang w:val="en-AU"/>
                  </w:rPr>
                  <m:t>2</m:t>
                </m:r>
              </m:sub>
            </m:sSub>
          </m:num>
          <m:den>
            <m:sSub>
              <m:sSubPr>
                <m:ctrlPr>
                  <w:rPr>
                    <w:rFonts w:ascii="Cambria Math" w:hAnsi="Cambria Math"/>
                    <w:lang w:val="en-AU"/>
                  </w:rPr>
                </m:ctrlPr>
              </m:sSubPr>
              <m:e>
                <m:r>
                  <w:rPr>
                    <w:rFonts w:ascii="Cambria Math" w:hAnsi="Cambria Math"/>
                    <w:lang w:val="en-AU"/>
                  </w:rPr>
                  <m:t>E</m:t>
                </m:r>
              </m:e>
              <m:sub>
                <m:r>
                  <m:rPr>
                    <m:sty m:val="p"/>
                  </m:rPr>
                  <w:rPr>
                    <w:rFonts w:ascii="Cambria Math" w:hAnsi="Cambria Math"/>
                    <w:lang w:val="en-AU"/>
                  </w:rPr>
                  <m:t>1</m:t>
                </m:r>
              </m:sub>
            </m:sSub>
            <m:r>
              <m:rPr>
                <m:sty m:val="p"/>
              </m:rPr>
              <w:rPr>
                <w:rFonts w:ascii="Cambria Math" w:hAnsi="Cambria Math"/>
                <w:lang w:val="en-AU"/>
              </w:rPr>
              <m:t>+</m:t>
            </m:r>
            <m:sSub>
              <m:sSubPr>
                <m:ctrlPr>
                  <w:rPr>
                    <w:rFonts w:ascii="Cambria Math" w:hAnsi="Cambria Math"/>
                    <w:lang w:val="en-AU"/>
                  </w:rPr>
                </m:ctrlPr>
              </m:sSubPr>
              <m:e>
                <m:r>
                  <w:rPr>
                    <w:rFonts w:ascii="Cambria Math" w:hAnsi="Cambria Math"/>
                    <w:lang w:val="en-AU"/>
                  </w:rPr>
                  <m:t>E</m:t>
                </m:r>
              </m:e>
              <m:sub>
                <m:r>
                  <m:rPr>
                    <m:sty m:val="p"/>
                  </m:rPr>
                  <w:rPr>
                    <w:rFonts w:ascii="Cambria Math" w:hAnsi="Cambria Math"/>
                    <w:lang w:val="en-AU"/>
                  </w:rPr>
                  <m:t>2</m:t>
                </m:r>
              </m:sub>
            </m:sSub>
          </m:den>
        </m:f>
      </m:oMath>
      <w:r w:rsidRPr="00BC28A9">
        <w:rPr>
          <w:lang w:val="en-AU"/>
        </w:rPr>
        <w:t xml:space="preserve"> , proceed to next precision level. </w:t>
      </w:r>
    </w:p>
    <w:p w14:paraId="6E26426D" w14:textId="77777777" w:rsidR="0023544F" w:rsidRPr="00BC28A9" w:rsidRDefault="0023544F" w:rsidP="0023544F">
      <w:pPr>
        <w:rPr>
          <w:rFonts w:cs="Arial"/>
        </w:rPr>
      </w:pPr>
      <w:r w:rsidRPr="00BC28A9">
        <w:rPr>
          <w:rFonts w:cs="Arial"/>
        </w:rPr>
        <w:t xml:space="preserve">This process continues, with the </w:t>
      </w:r>
      <m:oMath>
        <m:sSup>
          <m:sSupPr>
            <m:ctrlPr>
              <w:rPr>
                <w:rFonts w:ascii="Cambria Math" w:hAnsi="Cambria Math" w:cs="Arial"/>
                <w:i/>
              </w:rPr>
            </m:ctrlPr>
          </m:sSupPr>
          <m:e>
            <m:r>
              <w:rPr>
                <w:rFonts w:ascii="Cambria Math" w:hAnsi="Cambria Math" w:cs="Arial"/>
              </w:rPr>
              <m:t>n</m:t>
            </m:r>
          </m:e>
          <m:sup>
            <m:r>
              <w:rPr>
                <w:rFonts w:ascii="Cambria Math" w:hAnsi="Cambria Math" w:cs="Arial"/>
              </w:rPr>
              <m:t>th</m:t>
            </m:r>
          </m:sup>
        </m:sSup>
      </m:oMath>
      <w:r w:rsidRPr="00BC28A9">
        <w:rPr>
          <w:rFonts w:cs="Arial"/>
        </w:rPr>
        <w:t xml:space="preserve">precision defined as: </w:t>
      </w:r>
    </w:p>
    <w:p w14:paraId="4CCF3473" w14:textId="77777777" w:rsidR="0023544F" w:rsidRPr="00BC28A9" w:rsidRDefault="009A2A35" w:rsidP="0023544F">
      <m:oMath>
        <m:sSup>
          <m:sSupPr>
            <m:ctrlPr>
              <w:rPr>
                <w:rFonts w:ascii="Cambria Math" w:hAnsi="Cambria Math"/>
                <w:i/>
                <w:u w:val="single"/>
              </w:rPr>
            </m:ctrlPr>
          </m:sSupPr>
          <m:e>
            <m:r>
              <w:rPr>
                <w:rFonts w:ascii="Cambria Math" w:hAnsi="Cambria Math"/>
                <w:u w:val="single"/>
              </w:rPr>
              <m:t>n</m:t>
            </m:r>
          </m:e>
          <m:sup>
            <m:r>
              <w:rPr>
                <w:rFonts w:ascii="Cambria Math" w:hAnsi="Cambria Math"/>
                <w:u w:val="single"/>
              </w:rPr>
              <m:t>th</m:t>
            </m:r>
          </m:sup>
        </m:sSup>
      </m:oMath>
      <w:r w:rsidR="0023544F" w:rsidRPr="00BC28A9">
        <w:rPr>
          <w:u w:val="single"/>
        </w:rPr>
        <w:t xml:space="preserve"> precision level: </w:t>
      </w:r>
    </w:p>
    <w:p w14:paraId="441C0C80" w14:textId="77777777" w:rsidR="0023544F" w:rsidRPr="00BC28A9" w:rsidRDefault="0023544F" w:rsidP="0023544F">
      <w:pPr>
        <w:pStyle w:val="ListParagraph"/>
        <w:numPr>
          <w:ilvl w:val="0"/>
          <w:numId w:val="23"/>
        </w:numPr>
        <w:contextualSpacing w:val="0"/>
        <w:rPr>
          <w:lang w:val="en-AU"/>
        </w:rPr>
      </w:pPr>
      <w:r w:rsidRPr="00BC28A9">
        <w:rPr>
          <w:lang w:val="en-AU"/>
        </w:rPr>
        <w:t xml:space="preserve">If </w:t>
      </w:r>
      <m:oMath>
        <m:nary>
          <m:naryPr>
            <m:chr m:val="∑"/>
            <m:limLoc m:val="undOvr"/>
            <m:ctrlPr>
              <w:rPr>
                <w:rFonts w:ascii="Cambria Math" w:hAnsi="Cambria Math"/>
                <w:lang w:val="en-AU"/>
              </w:rPr>
            </m:ctrlPr>
          </m:naryPr>
          <m:sub>
            <m:r>
              <w:rPr>
                <w:rFonts w:ascii="Cambria Math" w:hAnsi="Cambria Math"/>
                <w:lang w:val="en-AU"/>
              </w:rPr>
              <m:t>i</m:t>
            </m:r>
            <m:r>
              <m:rPr>
                <m:sty m:val="p"/>
              </m:rPr>
              <w:rPr>
                <w:rFonts w:ascii="Cambria Math" w:hAnsi="Cambria Math"/>
                <w:lang w:val="en-AU"/>
              </w:rPr>
              <m:t>=1</m:t>
            </m:r>
          </m:sub>
          <m:sup>
            <m:r>
              <w:rPr>
                <w:rFonts w:ascii="Cambria Math" w:hAnsi="Cambria Math"/>
                <w:lang w:val="en-AU"/>
              </w:rPr>
              <m:t>n</m:t>
            </m:r>
          </m:sup>
          <m:e>
            <m:sSub>
              <m:sSubPr>
                <m:ctrlPr>
                  <w:rPr>
                    <w:rFonts w:ascii="Cambria Math" w:hAnsi="Cambria Math"/>
                    <w:lang w:val="en-AU"/>
                  </w:rPr>
                </m:ctrlPr>
              </m:sSubPr>
              <m:e>
                <m:r>
                  <w:rPr>
                    <w:rFonts w:ascii="Cambria Math" w:hAnsi="Cambria Math"/>
                    <w:lang w:val="en-AU"/>
                  </w:rPr>
                  <m:t>E</m:t>
                </m:r>
              </m:e>
              <m:sub>
                <m:r>
                  <w:rPr>
                    <w:rFonts w:ascii="Cambria Math" w:hAnsi="Cambria Math"/>
                    <w:lang w:val="en-AU"/>
                  </w:rPr>
                  <m:t>i</m:t>
                </m:r>
              </m:sub>
            </m:sSub>
          </m:e>
        </m:nary>
        <m:r>
          <m:rPr>
            <m:sty m:val="p"/>
          </m:rPr>
          <w:rPr>
            <w:rFonts w:ascii="Cambria Math" w:hAnsi="Cambria Math"/>
            <w:lang w:val="en-AU"/>
          </w:rPr>
          <m:t>≥100</m:t>
        </m:r>
      </m:oMath>
      <w:r w:rsidRPr="00BC28A9">
        <w:rPr>
          <w:lang w:val="en-AU"/>
        </w:rPr>
        <w:t xml:space="preserve">, define </w:t>
      </w:r>
      <m:oMath>
        <m:acc>
          <m:accPr>
            <m:chr m:val="̅"/>
            <m:ctrlPr>
              <w:rPr>
                <w:rFonts w:ascii="Cambria Math" w:hAnsi="Cambria Math"/>
                <w:lang w:val="en-AU"/>
              </w:rPr>
            </m:ctrlPr>
          </m:accPr>
          <m:e>
            <m:r>
              <w:rPr>
                <w:rFonts w:ascii="Cambria Math" w:hAnsi="Cambria Math"/>
                <w:lang w:val="en-AU"/>
              </w:rPr>
              <m:t>C</m:t>
            </m:r>
          </m:e>
        </m:acc>
        <m:d>
          <m:dPr>
            <m:ctrlPr>
              <w:rPr>
                <w:rFonts w:ascii="Cambria Math" w:hAnsi="Cambria Math"/>
                <w:lang w:val="en-AU"/>
              </w:rPr>
            </m:ctrlPr>
          </m:dPr>
          <m:e>
            <m:r>
              <w:rPr>
                <w:rFonts w:ascii="Cambria Math" w:hAnsi="Cambria Math"/>
                <w:lang w:val="en-AU"/>
              </w:rPr>
              <m:t>x</m:t>
            </m:r>
            <m:r>
              <m:rPr>
                <m:sty m:val="p"/>
              </m:rPr>
              <w:rPr>
                <w:rFonts w:ascii="Cambria Math" w:hAnsi="Cambria Math"/>
                <w:lang w:val="en-AU"/>
              </w:rPr>
              <m:t>,</m:t>
            </m:r>
            <m:r>
              <w:rPr>
                <w:rFonts w:ascii="Cambria Math" w:hAnsi="Cambria Math"/>
                <w:lang w:val="en-AU"/>
              </w:rPr>
              <m:t>A</m:t>
            </m:r>
          </m:e>
        </m:d>
        <m:r>
          <m:rPr>
            <m:sty m:val="p"/>
          </m:rPr>
          <w:rPr>
            <w:rFonts w:ascii="Cambria Math" w:hAnsi="Cambria Math"/>
            <w:lang w:val="en-AU"/>
          </w:rPr>
          <m:t>=</m:t>
        </m:r>
        <m:f>
          <m:fPr>
            <m:ctrlPr>
              <w:rPr>
                <w:rFonts w:ascii="Cambria Math" w:hAnsi="Cambria Math"/>
                <w:lang w:val="en-AU"/>
              </w:rPr>
            </m:ctrlPr>
          </m:fPr>
          <m:num>
            <m:d>
              <m:dPr>
                <m:ctrlPr>
                  <w:rPr>
                    <w:rFonts w:ascii="Cambria Math" w:hAnsi="Cambria Math"/>
                    <w:lang w:val="en-AU"/>
                  </w:rPr>
                </m:ctrlPr>
              </m:dPr>
              <m:e>
                <m:nary>
                  <m:naryPr>
                    <m:chr m:val="∑"/>
                    <m:limLoc m:val="undOvr"/>
                    <m:ctrlPr>
                      <w:rPr>
                        <w:rFonts w:ascii="Cambria Math" w:hAnsi="Cambria Math"/>
                        <w:lang w:val="en-AU"/>
                      </w:rPr>
                    </m:ctrlPr>
                  </m:naryPr>
                  <m:sub>
                    <m:r>
                      <w:rPr>
                        <w:rFonts w:ascii="Cambria Math" w:hAnsi="Cambria Math"/>
                        <w:lang w:val="en-AU"/>
                      </w:rPr>
                      <m:t>i</m:t>
                    </m:r>
                    <m:r>
                      <m:rPr>
                        <m:sty m:val="p"/>
                      </m:rPr>
                      <w:rPr>
                        <w:rFonts w:ascii="Cambria Math" w:hAnsi="Cambria Math"/>
                        <w:lang w:val="en-AU"/>
                      </w:rPr>
                      <m:t>=1</m:t>
                    </m:r>
                  </m:sub>
                  <m:sup>
                    <m:r>
                      <w:rPr>
                        <w:rFonts w:ascii="Cambria Math" w:hAnsi="Cambria Math"/>
                        <w:lang w:val="en-AU"/>
                      </w:rPr>
                      <m:t>n</m:t>
                    </m:r>
                    <m:r>
                      <m:rPr>
                        <m:sty m:val="p"/>
                      </m:rPr>
                      <w:rPr>
                        <w:rFonts w:ascii="Cambria Math" w:hAnsi="Cambria Math"/>
                        <w:lang w:val="en-AU"/>
                      </w:rPr>
                      <m:t>-1</m:t>
                    </m:r>
                  </m:sup>
                  <m:e>
                    <m:sSub>
                      <m:sSubPr>
                        <m:ctrlPr>
                          <w:rPr>
                            <w:rFonts w:ascii="Cambria Math" w:hAnsi="Cambria Math"/>
                            <w:lang w:val="en-AU"/>
                          </w:rPr>
                        </m:ctrlPr>
                      </m:sSubPr>
                      <m:e>
                        <m:r>
                          <w:rPr>
                            <w:rFonts w:ascii="Cambria Math" w:hAnsi="Cambria Math"/>
                            <w:lang w:val="en-AU"/>
                          </w:rPr>
                          <m:t>E</m:t>
                        </m:r>
                      </m:e>
                      <m:sub>
                        <m:r>
                          <w:rPr>
                            <w:rFonts w:ascii="Cambria Math" w:hAnsi="Cambria Math"/>
                            <w:lang w:val="en-AU"/>
                          </w:rPr>
                          <m:t>i</m:t>
                        </m:r>
                      </m:sub>
                    </m:sSub>
                  </m:e>
                </m:nary>
              </m:e>
            </m:d>
            <m:r>
              <m:rPr>
                <m:sty m:val="p"/>
              </m:rPr>
              <w:rPr>
                <w:rFonts w:ascii="Cambria Math" w:hAnsi="Cambria Math"/>
                <w:lang w:val="en-AU"/>
              </w:rPr>
              <m:t>×</m:t>
            </m:r>
            <m:sSub>
              <m:sSubPr>
                <m:ctrlPr>
                  <w:rPr>
                    <w:rFonts w:ascii="Cambria Math" w:hAnsi="Cambria Math"/>
                    <w:lang w:val="en-AU"/>
                  </w:rPr>
                </m:ctrlPr>
              </m:sSubPr>
              <m:e>
                <m:acc>
                  <m:accPr>
                    <m:chr m:val="̅"/>
                    <m:ctrlPr>
                      <w:rPr>
                        <w:rFonts w:ascii="Cambria Math" w:hAnsi="Cambria Math"/>
                        <w:lang w:val="en-AU"/>
                      </w:rPr>
                    </m:ctrlPr>
                  </m:accPr>
                  <m:e>
                    <m:r>
                      <w:rPr>
                        <w:rFonts w:ascii="Cambria Math" w:hAnsi="Cambria Math"/>
                        <w:lang w:val="en-AU"/>
                      </w:rPr>
                      <m:t>C</m:t>
                    </m:r>
                  </m:e>
                </m:acc>
              </m:e>
              <m:sub>
                <m:r>
                  <w:rPr>
                    <w:rFonts w:ascii="Cambria Math" w:hAnsi="Cambria Math"/>
                    <w:lang w:val="en-AU"/>
                  </w:rPr>
                  <m:t>n</m:t>
                </m:r>
                <m:r>
                  <m:rPr>
                    <m:sty m:val="p"/>
                  </m:rPr>
                  <w:rPr>
                    <w:rFonts w:ascii="Cambria Math" w:hAnsi="Cambria Math"/>
                    <w:lang w:val="en-AU"/>
                  </w:rPr>
                  <m:t>-1</m:t>
                </m:r>
              </m:sub>
            </m:sSub>
            <m:r>
              <m:rPr>
                <m:sty m:val="p"/>
              </m:rPr>
              <w:rPr>
                <w:rFonts w:ascii="Cambria Math" w:hAnsi="Cambria Math"/>
                <w:lang w:val="en-AU"/>
              </w:rPr>
              <m:t>+(100-</m:t>
            </m:r>
            <m:sSub>
              <m:sSubPr>
                <m:ctrlPr>
                  <w:rPr>
                    <w:rFonts w:ascii="Cambria Math" w:hAnsi="Cambria Math"/>
                    <w:lang w:val="en-AU"/>
                  </w:rPr>
                </m:ctrlPr>
              </m:sSubPr>
              <m:e>
                <m:r>
                  <w:rPr>
                    <w:rFonts w:ascii="Cambria Math" w:hAnsi="Cambria Math"/>
                    <w:lang w:val="en-AU"/>
                  </w:rPr>
                  <m:t>E</m:t>
                </m:r>
              </m:e>
              <m:sub>
                <m:r>
                  <w:rPr>
                    <w:rFonts w:ascii="Cambria Math" w:hAnsi="Cambria Math"/>
                    <w:lang w:val="en-AU"/>
                  </w:rPr>
                  <m:t>n</m:t>
                </m:r>
                <m:r>
                  <m:rPr>
                    <m:sty m:val="p"/>
                  </m:rPr>
                  <w:rPr>
                    <w:rFonts w:ascii="Cambria Math" w:hAnsi="Cambria Math"/>
                    <w:lang w:val="en-AU"/>
                  </w:rPr>
                  <m:t>-1</m:t>
                </m:r>
              </m:sub>
            </m:sSub>
            <m:r>
              <m:rPr>
                <m:sty m:val="p"/>
              </m:rPr>
              <w:rPr>
                <w:rFonts w:ascii="Cambria Math" w:hAnsi="Cambria Math"/>
                <w:lang w:val="en-AU"/>
              </w:rPr>
              <m:t>)×</m:t>
            </m:r>
            <m:sSub>
              <m:sSubPr>
                <m:ctrlPr>
                  <w:rPr>
                    <w:rFonts w:ascii="Cambria Math" w:hAnsi="Cambria Math"/>
                    <w:lang w:val="en-AU"/>
                  </w:rPr>
                </m:ctrlPr>
              </m:sSubPr>
              <m:e>
                <m:r>
                  <w:rPr>
                    <w:rFonts w:ascii="Cambria Math" w:hAnsi="Cambria Math"/>
                    <w:lang w:val="en-AU"/>
                  </w:rPr>
                  <m:t>C</m:t>
                </m:r>
              </m:e>
              <m:sub>
                <m:r>
                  <w:rPr>
                    <w:rFonts w:ascii="Cambria Math" w:hAnsi="Cambria Math"/>
                    <w:lang w:val="en-AU"/>
                  </w:rPr>
                  <m:t>n</m:t>
                </m:r>
              </m:sub>
            </m:sSub>
          </m:num>
          <m:den>
            <m:r>
              <m:rPr>
                <m:sty m:val="p"/>
              </m:rPr>
              <w:rPr>
                <w:rFonts w:ascii="Cambria Math" w:hAnsi="Cambria Math"/>
                <w:lang w:val="en-AU"/>
              </w:rPr>
              <m:t>100</m:t>
            </m:r>
          </m:den>
        </m:f>
      </m:oMath>
      <w:r w:rsidRPr="00BC28A9">
        <w:rPr>
          <w:lang w:val="en-AU"/>
        </w:rPr>
        <w:t xml:space="preserve">, and the calculation is complete </w:t>
      </w:r>
    </w:p>
    <w:p w14:paraId="0318537C" w14:textId="77777777" w:rsidR="0023544F" w:rsidRPr="00BC28A9" w:rsidRDefault="0023544F" w:rsidP="0023544F">
      <w:pPr>
        <w:pStyle w:val="ListParagraph"/>
        <w:numPr>
          <w:ilvl w:val="0"/>
          <w:numId w:val="23"/>
        </w:numPr>
        <w:contextualSpacing w:val="0"/>
        <w:rPr>
          <w:lang w:val="en-AU"/>
        </w:rPr>
      </w:pPr>
      <w:r w:rsidRPr="00BC28A9">
        <w:rPr>
          <w:lang w:val="en-AU"/>
        </w:rPr>
        <w:t xml:space="preserve">If </w:t>
      </w:r>
      <m:oMath>
        <m:nary>
          <m:naryPr>
            <m:chr m:val="∑"/>
            <m:limLoc m:val="undOvr"/>
            <m:ctrlPr>
              <w:rPr>
                <w:rFonts w:ascii="Cambria Math" w:hAnsi="Cambria Math"/>
                <w:lang w:val="en-AU"/>
              </w:rPr>
            </m:ctrlPr>
          </m:naryPr>
          <m:sub>
            <m:r>
              <w:rPr>
                <w:rFonts w:ascii="Cambria Math" w:hAnsi="Cambria Math"/>
                <w:lang w:val="en-AU"/>
              </w:rPr>
              <m:t>i</m:t>
            </m:r>
            <m:r>
              <m:rPr>
                <m:sty m:val="p"/>
              </m:rPr>
              <w:rPr>
                <w:rFonts w:ascii="Cambria Math" w:hAnsi="Cambria Math"/>
                <w:lang w:val="en-AU"/>
              </w:rPr>
              <m:t>=1</m:t>
            </m:r>
          </m:sub>
          <m:sup>
            <m:r>
              <w:rPr>
                <w:rFonts w:ascii="Cambria Math" w:hAnsi="Cambria Math"/>
                <w:lang w:val="en-AU"/>
              </w:rPr>
              <m:t>n</m:t>
            </m:r>
          </m:sup>
          <m:e>
            <m:sSub>
              <m:sSubPr>
                <m:ctrlPr>
                  <w:rPr>
                    <w:rFonts w:ascii="Cambria Math" w:hAnsi="Cambria Math"/>
                    <w:lang w:val="en-AU"/>
                  </w:rPr>
                </m:ctrlPr>
              </m:sSubPr>
              <m:e>
                <m:r>
                  <w:rPr>
                    <w:rFonts w:ascii="Cambria Math" w:hAnsi="Cambria Math"/>
                    <w:lang w:val="en-AU"/>
                  </w:rPr>
                  <m:t>E</m:t>
                </m:r>
              </m:e>
              <m:sub>
                <m:r>
                  <w:rPr>
                    <w:rFonts w:ascii="Cambria Math" w:hAnsi="Cambria Math"/>
                    <w:lang w:val="en-AU"/>
                  </w:rPr>
                  <m:t>i</m:t>
                </m:r>
              </m:sub>
            </m:sSub>
          </m:e>
        </m:nary>
        <m:r>
          <m:rPr>
            <m:sty m:val="p"/>
          </m:rPr>
          <w:rPr>
            <w:rFonts w:ascii="Cambria Math" w:hAnsi="Cambria Math"/>
            <w:lang w:val="en-AU"/>
          </w:rPr>
          <m:t>&lt;100</m:t>
        </m:r>
      </m:oMath>
      <w:r w:rsidRPr="00BC28A9">
        <w:rPr>
          <w:lang w:val="en-AU"/>
        </w:rPr>
        <w:t xml:space="preserve">, define </w:t>
      </w:r>
      <m:oMath>
        <m:sSub>
          <m:sSubPr>
            <m:ctrlPr>
              <w:rPr>
                <w:rFonts w:ascii="Cambria Math" w:hAnsi="Cambria Math"/>
                <w:lang w:val="en-AU"/>
              </w:rPr>
            </m:ctrlPr>
          </m:sSubPr>
          <m:e>
            <m:acc>
              <m:accPr>
                <m:chr m:val="̅"/>
                <m:ctrlPr>
                  <w:rPr>
                    <w:rFonts w:ascii="Cambria Math" w:hAnsi="Cambria Math"/>
                    <w:lang w:val="en-AU"/>
                  </w:rPr>
                </m:ctrlPr>
              </m:accPr>
              <m:e>
                <m:r>
                  <w:rPr>
                    <w:rFonts w:ascii="Cambria Math" w:hAnsi="Cambria Math"/>
                    <w:lang w:val="en-AU"/>
                  </w:rPr>
                  <m:t>C</m:t>
                </m:r>
              </m:e>
            </m:acc>
          </m:e>
          <m:sub>
            <m:r>
              <w:rPr>
                <w:rFonts w:ascii="Cambria Math" w:hAnsi="Cambria Math"/>
                <w:lang w:val="en-AU"/>
              </w:rPr>
              <m:t>n</m:t>
            </m:r>
          </m:sub>
        </m:sSub>
        <m:r>
          <m:rPr>
            <m:sty m:val="p"/>
          </m:rPr>
          <w:rPr>
            <w:rFonts w:ascii="Cambria Math" w:hAnsi="Cambria Math"/>
            <w:lang w:val="en-AU"/>
          </w:rPr>
          <m:t>=</m:t>
        </m:r>
        <m:f>
          <m:fPr>
            <m:ctrlPr>
              <w:rPr>
                <w:rFonts w:ascii="Cambria Math" w:hAnsi="Cambria Math"/>
                <w:lang w:val="en-AU"/>
              </w:rPr>
            </m:ctrlPr>
          </m:fPr>
          <m:num>
            <m:d>
              <m:dPr>
                <m:ctrlPr>
                  <w:rPr>
                    <w:rFonts w:ascii="Cambria Math" w:hAnsi="Cambria Math"/>
                    <w:lang w:val="en-AU"/>
                  </w:rPr>
                </m:ctrlPr>
              </m:dPr>
              <m:e>
                <m:nary>
                  <m:naryPr>
                    <m:chr m:val="∑"/>
                    <m:limLoc m:val="undOvr"/>
                    <m:ctrlPr>
                      <w:rPr>
                        <w:rFonts w:ascii="Cambria Math" w:hAnsi="Cambria Math"/>
                        <w:lang w:val="en-AU"/>
                      </w:rPr>
                    </m:ctrlPr>
                  </m:naryPr>
                  <m:sub>
                    <m:r>
                      <w:rPr>
                        <w:rFonts w:ascii="Cambria Math" w:hAnsi="Cambria Math"/>
                        <w:lang w:val="en-AU"/>
                      </w:rPr>
                      <m:t>i</m:t>
                    </m:r>
                    <m:r>
                      <m:rPr>
                        <m:sty m:val="p"/>
                      </m:rPr>
                      <w:rPr>
                        <w:rFonts w:ascii="Cambria Math" w:hAnsi="Cambria Math"/>
                        <w:lang w:val="en-AU"/>
                      </w:rPr>
                      <m:t>=1</m:t>
                    </m:r>
                  </m:sub>
                  <m:sup>
                    <m:r>
                      <w:rPr>
                        <w:rFonts w:ascii="Cambria Math" w:hAnsi="Cambria Math"/>
                        <w:lang w:val="en-AU"/>
                      </w:rPr>
                      <m:t>n</m:t>
                    </m:r>
                    <m:r>
                      <m:rPr>
                        <m:sty m:val="p"/>
                      </m:rPr>
                      <w:rPr>
                        <w:rFonts w:ascii="Cambria Math" w:hAnsi="Cambria Math"/>
                        <w:lang w:val="en-AU"/>
                      </w:rPr>
                      <m:t>-1</m:t>
                    </m:r>
                  </m:sup>
                  <m:e>
                    <m:sSub>
                      <m:sSubPr>
                        <m:ctrlPr>
                          <w:rPr>
                            <w:rFonts w:ascii="Cambria Math" w:hAnsi="Cambria Math"/>
                            <w:lang w:val="en-AU"/>
                          </w:rPr>
                        </m:ctrlPr>
                      </m:sSubPr>
                      <m:e>
                        <m:r>
                          <w:rPr>
                            <w:rFonts w:ascii="Cambria Math" w:hAnsi="Cambria Math"/>
                            <w:lang w:val="en-AU"/>
                          </w:rPr>
                          <m:t>E</m:t>
                        </m:r>
                      </m:e>
                      <m:sub>
                        <m:r>
                          <w:rPr>
                            <w:rFonts w:ascii="Cambria Math" w:hAnsi="Cambria Math"/>
                            <w:lang w:val="en-AU"/>
                          </w:rPr>
                          <m:t>i</m:t>
                        </m:r>
                      </m:sub>
                    </m:sSub>
                  </m:e>
                </m:nary>
              </m:e>
            </m:d>
            <m:r>
              <m:rPr>
                <m:sty m:val="p"/>
              </m:rPr>
              <w:rPr>
                <w:rFonts w:ascii="Cambria Math" w:hAnsi="Cambria Math"/>
                <w:lang w:val="en-AU"/>
              </w:rPr>
              <m:t>×</m:t>
            </m:r>
            <m:sSub>
              <m:sSubPr>
                <m:ctrlPr>
                  <w:rPr>
                    <w:rFonts w:ascii="Cambria Math" w:hAnsi="Cambria Math"/>
                    <w:lang w:val="en-AU"/>
                  </w:rPr>
                </m:ctrlPr>
              </m:sSubPr>
              <m:e>
                <m:acc>
                  <m:accPr>
                    <m:chr m:val="̅"/>
                    <m:ctrlPr>
                      <w:rPr>
                        <w:rFonts w:ascii="Cambria Math" w:hAnsi="Cambria Math"/>
                        <w:lang w:val="en-AU"/>
                      </w:rPr>
                    </m:ctrlPr>
                  </m:accPr>
                  <m:e>
                    <m:r>
                      <w:rPr>
                        <w:rFonts w:ascii="Cambria Math" w:hAnsi="Cambria Math"/>
                        <w:lang w:val="en-AU"/>
                      </w:rPr>
                      <m:t>C</m:t>
                    </m:r>
                  </m:e>
                </m:acc>
              </m:e>
              <m:sub>
                <m:r>
                  <w:rPr>
                    <w:rFonts w:ascii="Cambria Math" w:hAnsi="Cambria Math"/>
                    <w:lang w:val="en-AU"/>
                  </w:rPr>
                  <m:t>n</m:t>
                </m:r>
                <m:r>
                  <m:rPr>
                    <m:sty m:val="p"/>
                  </m:rPr>
                  <w:rPr>
                    <w:rFonts w:ascii="Cambria Math" w:hAnsi="Cambria Math"/>
                    <w:lang w:val="en-AU"/>
                  </w:rPr>
                  <m:t>-1</m:t>
                </m:r>
              </m:sub>
            </m:sSub>
            <m:r>
              <m:rPr>
                <m:sty m:val="p"/>
              </m:rPr>
              <w:rPr>
                <w:rFonts w:ascii="Cambria Math" w:hAnsi="Cambria Math"/>
                <w:lang w:val="en-AU"/>
              </w:rPr>
              <m:t>+</m:t>
            </m:r>
            <m:sSub>
              <m:sSubPr>
                <m:ctrlPr>
                  <w:rPr>
                    <w:rFonts w:ascii="Cambria Math" w:hAnsi="Cambria Math"/>
                    <w:lang w:val="en-AU"/>
                  </w:rPr>
                </m:ctrlPr>
              </m:sSubPr>
              <m:e>
                <m:r>
                  <w:rPr>
                    <w:rFonts w:ascii="Cambria Math" w:hAnsi="Cambria Math"/>
                    <w:lang w:val="en-AU"/>
                  </w:rPr>
                  <m:t>E</m:t>
                </m:r>
              </m:e>
              <m:sub>
                <m:r>
                  <w:rPr>
                    <w:rFonts w:ascii="Cambria Math" w:hAnsi="Cambria Math"/>
                    <w:lang w:val="en-AU"/>
                  </w:rPr>
                  <m:t>n</m:t>
                </m:r>
              </m:sub>
            </m:sSub>
            <m:r>
              <m:rPr>
                <m:sty m:val="p"/>
              </m:rPr>
              <w:rPr>
                <w:rFonts w:ascii="Cambria Math" w:hAnsi="Cambria Math"/>
                <w:lang w:val="en-AU"/>
              </w:rPr>
              <m:t>×</m:t>
            </m:r>
            <m:sSub>
              <m:sSubPr>
                <m:ctrlPr>
                  <w:rPr>
                    <w:rFonts w:ascii="Cambria Math" w:hAnsi="Cambria Math"/>
                    <w:lang w:val="en-AU"/>
                  </w:rPr>
                </m:ctrlPr>
              </m:sSubPr>
              <m:e>
                <m:r>
                  <w:rPr>
                    <w:rFonts w:ascii="Cambria Math" w:hAnsi="Cambria Math"/>
                    <w:lang w:val="en-AU"/>
                  </w:rPr>
                  <m:t>C</m:t>
                </m:r>
              </m:e>
              <m:sub>
                <m:r>
                  <w:rPr>
                    <w:rFonts w:ascii="Cambria Math" w:hAnsi="Cambria Math"/>
                    <w:lang w:val="en-AU"/>
                  </w:rPr>
                  <m:t>n</m:t>
                </m:r>
              </m:sub>
            </m:sSub>
          </m:num>
          <m:den>
            <m:nary>
              <m:naryPr>
                <m:chr m:val="∑"/>
                <m:limLoc m:val="subSup"/>
                <m:ctrlPr>
                  <w:rPr>
                    <w:rFonts w:ascii="Cambria Math" w:hAnsi="Cambria Math"/>
                    <w:lang w:val="en-AU"/>
                  </w:rPr>
                </m:ctrlPr>
              </m:naryPr>
              <m:sub>
                <m:r>
                  <w:rPr>
                    <w:rFonts w:ascii="Cambria Math" w:hAnsi="Cambria Math"/>
                    <w:lang w:val="en-AU"/>
                  </w:rPr>
                  <m:t>i=1</m:t>
                </m:r>
              </m:sub>
              <m:sup>
                <m:r>
                  <w:rPr>
                    <w:rFonts w:ascii="Cambria Math" w:hAnsi="Cambria Math"/>
                    <w:lang w:val="en-AU"/>
                  </w:rPr>
                  <m:t>n</m:t>
                </m:r>
              </m:sup>
              <m:e>
                <m:sSub>
                  <m:sSubPr>
                    <m:ctrlPr>
                      <w:rPr>
                        <w:rFonts w:ascii="Cambria Math" w:hAnsi="Cambria Math"/>
                        <w:i/>
                        <w:lang w:val="en-AU"/>
                      </w:rPr>
                    </m:ctrlPr>
                  </m:sSubPr>
                  <m:e>
                    <m:r>
                      <w:rPr>
                        <w:rFonts w:ascii="Cambria Math" w:hAnsi="Cambria Math"/>
                        <w:lang w:val="en-AU"/>
                      </w:rPr>
                      <m:t>E</m:t>
                    </m:r>
                  </m:e>
                  <m:sub>
                    <m:r>
                      <w:rPr>
                        <w:rFonts w:ascii="Cambria Math" w:hAnsi="Cambria Math"/>
                        <w:lang w:val="en-AU"/>
                      </w:rPr>
                      <m:t>i</m:t>
                    </m:r>
                  </m:sub>
                </m:sSub>
              </m:e>
            </m:nary>
          </m:den>
        </m:f>
      </m:oMath>
      <w:r w:rsidRPr="00BC28A9">
        <w:rPr>
          <w:lang w:val="en-AU"/>
        </w:rPr>
        <w:t xml:space="preserve"> , proceed to next precision level. </w:t>
      </w:r>
    </w:p>
    <w:p w14:paraId="57476C60" w14:textId="77777777" w:rsidR="0023544F" w:rsidRPr="00BC28A9" w:rsidRDefault="0023544F" w:rsidP="0023544F">
      <w:r w:rsidRPr="00BC28A9">
        <w:t xml:space="preserve">If this process continues to the last precision, which is CDC level across all ADRGs (n=14), and the sample size threshold is still not satisfied, then </w:t>
      </w:r>
      <m:oMath>
        <m:acc>
          <m:accPr>
            <m:chr m:val="̅"/>
            <m:ctrlPr>
              <w:rPr>
                <w:rFonts w:ascii="Cambria Math" w:hAnsi="Cambria Math"/>
                <w:i/>
              </w:rPr>
            </m:ctrlPr>
          </m:accPr>
          <m:e>
            <m:r>
              <w:rPr>
                <w:rFonts w:ascii="Cambria Math" w:hAnsi="Cambria Math"/>
              </w:rPr>
              <m:t>C</m:t>
            </m:r>
          </m:e>
        </m:acc>
        <m:d>
          <m:dPr>
            <m:ctrlPr>
              <w:rPr>
                <w:rFonts w:ascii="Cambria Math" w:hAnsi="Cambria Math"/>
                <w:i/>
              </w:rPr>
            </m:ctrlPr>
          </m:dPr>
          <m:e>
            <m:r>
              <w:rPr>
                <w:rFonts w:ascii="Cambria Math" w:hAnsi="Cambria Math"/>
              </w:rPr>
              <m:t>x,A</m:t>
            </m:r>
          </m:e>
        </m:d>
        <m:r>
          <w:rPr>
            <w:rFonts w:ascii="Cambria Math" w:hAnsi="Cambria Math"/>
          </w:rPr>
          <m:t>=0</m:t>
        </m:r>
      </m:oMath>
      <w:r w:rsidRPr="00BC28A9">
        <w:t>.</w:t>
      </w:r>
    </w:p>
    <w:p w14:paraId="2B77EEF6" w14:textId="4F9F70A7" w:rsidR="00BA1762" w:rsidRPr="00BC28A9" w:rsidRDefault="00BA1762" w:rsidP="0023544F">
      <w:pPr>
        <w:pStyle w:val="ListBullet"/>
        <w:spacing w:after="160" w:line="288" w:lineRule="auto"/>
        <w:sectPr w:rsidR="00BA1762" w:rsidRPr="00BC28A9" w:rsidSect="002261C0">
          <w:pgSz w:w="11906" w:h="16838" w:code="9"/>
          <w:pgMar w:top="2041" w:right="1440" w:bottom="1021" w:left="1134" w:header="680" w:footer="510" w:gutter="0"/>
          <w:cols w:space="708"/>
          <w:docGrid w:linePitch="360"/>
        </w:sectPr>
      </w:pPr>
    </w:p>
    <w:p w14:paraId="16A454E9" w14:textId="361F07FB" w:rsidR="00502A09" w:rsidRDefault="00502A09" w:rsidP="00502A09">
      <w:pPr>
        <w:spacing w:after="360"/>
        <w:rPr>
          <w:color w:val="FFFFFF" w:themeColor="background2"/>
        </w:rPr>
      </w:pPr>
      <w:r>
        <w:rPr>
          <w:noProof/>
          <w:color w:val="FFFFFF" w:themeColor="background2"/>
        </w:rPr>
        <w:lastRenderedPageBreak/>
        <w:drawing>
          <wp:inline distT="0" distB="0" distL="0" distR="0" wp14:anchorId="21264862" wp14:editId="6DE79C4E">
            <wp:extent cx="1764880" cy="396484"/>
            <wp:effectExtent l="0" t="0" r="6985" b="381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bwMode="auto">
                    <a:xfrm>
                      <a:off x="0" y="0"/>
                      <a:ext cx="1764880" cy="396484"/>
                    </a:xfrm>
                    <a:prstGeom prst="rect">
                      <a:avLst/>
                    </a:prstGeom>
                  </pic:spPr>
                </pic:pic>
              </a:graphicData>
            </a:graphic>
          </wp:inline>
        </w:drawing>
      </w:r>
    </w:p>
    <w:p w14:paraId="64F35D3E" w14:textId="4516CC31" w:rsidR="00502A09" w:rsidRPr="00502A09" w:rsidRDefault="00502A09" w:rsidP="00502A09">
      <w:pPr>
        <w:spacing w:after="360"/>
        <w:rPr>
          <w:color w:val="FFFFFF" w:themeColor="background2"/>
        </w:rPr>
      </w:pPr>
      <w:r w:rsidRPr="00502A09">
        <w:rPr>
          <w:color w:val="FFFFFF" w:themeColor="background2"/>
        </w:rPr>
        <w:t xml:space="preserve">Independent </w:t>
      </w:r>
      <w:r>
        <w:rPr>
          <w:color w:val="FFFFFF" w:themeColor="background2"/>
        </w:rPr>
        <w:t>Health and Aged Care Pricing Authority</w:t>
      </w:r>
    </w:p>
    <w:p w14:paraId="6E4B7912" w14:textId="793805FD" w:rsidR="00502A09" w:rsidRPr="00502A09" w:rsidRDefault="00183129" w:rsidP="00502A09">
      <w:pPr>
        <w:spacing w:after="360"/>
        <w:rPr>
          <w:color w:val="54C1AF" w:themeColor="background1"/>
        </w:rPr>
      </w:pPr>
      <w:r>
        <w:rPr>
          <w:color w:val="54C1AF" w:themeColor="background1"/>
        </w:rPr>
        <w:t xml:space="preserve">Eora Nation, </w:t>
      </w:r>
      <w:r w:rsidR="00502A09" w:rsidRPr="00502A09">
        <w:rPr>
          <w:color w:val="54C1AF" w:themeColor="background1"/>
        </w:rPr>
        <w:t xml:space="preserve">Level </w:t>
      </w:r>
      <w:r w:rsidR="007403BC">
        <w:rPr>
          <w:color w:val="54C1AF" w:themeColor="background1"/>
        </w:rPr>
        <w:t>12</w:t>
      </w:r>
      <w:r w:rsidR="00502A09" w:rsidRPr="00502A09">
        <w:rPr>
          <w:color w:val="54C1AF" w:themeColor="background1"/>
        </w:rPr>
        <w:t>, 1 Oxford Street</w:t>
      </w:r>
      <w:r w:rsidR="00502A09" w:rsidRPr="00502A09">
        <w:rPr>
          <w:color w:val="54C1AF" w:themeColor="background1"/>
        </w:rPr>
        <w:br/>
        <w:t>Sydney NSW 2000</w:t>
      </w:r>
    </w:p>
    <w:p w14:paraId="422F9348" w14:textId="0C6D0750" w:rsidR="00502A09" w:rsidRPr="00DC3E93" w:rsidRDefault="00502A09" w:rsidP="00502A09">
      <w:pPr>
        <w:spacing w:after="360"/>
        <w:rPr>
          <w:color w:val="54C1AF" w:themeColor="accent5"/>
        </w:rPr>
      </w:pPr>
      <w:r w:rsidRPr="00502A09">
        <w:rPr>
          <w:color w:val="FFFFFF" w:themeColor="background2"/>
        </w:rPr>
        <w:t xml:space="preserve">Phone </w:t>
      </w:r>
      <w:r w:rsidRPr="00502A09">
        <w:rPr>
          <w:color w:val="54C1AF" w:themeColor="background1"/>
        </w:rPr>
        <w:t>02 8215 1100</w:t>
      </w:r>
      <w:r w:rsidRPr="00502A09">
        <w:rPr>
          <w:color w:val="FFFFFF" w:themeColor="background2"/>
        </w:rPr>
        <w:br/>
        <w:t xml:space="preserve">Email </w:t>
      </w:r>
      <w:hyperlink r:id="rId22" w:history="1">
        <w:r w:rsidR="00276510" w:rsidRPr="00DC3E93">
          <w:rPr>
            <w:rStyle w:val="Hyperlink"/>
            <w:color w:val="54C1AF" w:themeColor="accent5"/>
          </w:rPr>
          <w:t>enquiries.ihacpa@ihacpa.gov.au</w:t>
        </w:r>
      </w:hyperlink>
      <w:r w:rsidRPr="00502A09">
        <w:rPr>
          <w:color w:val="FFFFFF" w:themeColor="background2"/>
        </w:rPr>
        <w:br/>
        <w:t xml:space="preserve">Twitter </w:t>
      </w:r>
      <w:hyperlink r:id="rId23" w:history="1">
        <w:r w:rsidRPr="00DC3E93">
          <w:rPr>
            <w:rStyle w:val="Hyperlink"/>
            <w:color w:val="54C1AF" w:themeColor="accent5"/>
          </w:rPr>
          <w:t>@IH</w:t>
        </w:r>
        <w:r w:rsidR="007403BC" w:rsidRPr="00DC3E93">
          <w:rPr>
            <w:rStyle w:val="Hyperlink"/>
            <w:color w:val="54C1AF" w:themeColor="accent5"/>
          </w:rPr>
          <w:t>AC</w:t>
        </w:r>
        <w:r w:rsidRPr="00DC3E93">
          <w:rPr>
            <w:rStyle w:val="Hyperlink"/>
            <w:color w:val="54C1AF" w:themeColor="accent5"/>
          </w:rPr>
          <w:t>PA</w:t>
        </w:r>
      </w:hyperlink>
    </w:p>
    <w:p w14:paraId="55FBC7ED" w14:textId="4D2A1776" w:rsidR="00502A09" w:rsidRPr="00DC3E93" w:rsidRDefault="009A2A35" w:rsidP="00777CBB">
      <w:pPr>
        <w:spacing w:after="360"/>
        <w:rPr>
          <w:color w:val="54C1AF" w:themeColor="accent5"/>
        </w:rPr>
      </w:pPr>
      <w:hyperlink r:id="rId24" w:history="1">
        <w:r w:rsidR="00502A09" w:rsidRPr="00DC3E93">
          <w:rPr>
            <w:rStyle w:val="Hyperlink"/>
            <w:color w:val="54C1AF" w:themeColor="accent5"/>
          </w:rPr>
          <w:t>www.ih</w:t>
        </w:r>
        <w:r w:rsidR="007403BC" w:rsidRPr="00DC3E93">
          <w:rPr>
            <w:rStyle w:val="Hyperlink"/>
            <w:color w:val="54C1AF" w:themeColor="accent5"/>
          </w:rPr>
          <w:t>ac</w:t>
        </w:r>
        <w:r w:rsidR="00502A09" w:rsidRPr="00DC3E93">
          <w:rPr>
            <w:rStyle w:val="Hyperlink"/>
            <w:color w:val="54C1AF" w:themeColor="accent5"/>
          </w:rPr>
          <w:t>pa.gov.au</w:t>
        </w:r>
      </w:hyperlink>
    </w:p>
    <w:sectPr w:rsidR="00502A09" w:rsidRPr="00DC3E93" w:rsidSect="00C5503B">
      <w:headerReference w:type="default" r:id="rId25"/>
      <w:footerReference w:type="default" r:id="rId26"/>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98855" w14:textId="77777777" w:rsidR="008D2395" w:rsidRDefault="008D2395" w:rsidP="00DC0458">
      <w:pPr>
        <w:spacing w:after="0" w:line="240" w:lineRule="auto"/>
      </w:pPr>
      <w:r>
        <w:separator/>
      </w:r>
    </w:p>
  </w:endnote>
  <w:endnote w:type="continuationSeparator" w:id="0">
    <w:p w14:paraId="060EE169" w14:textId="77777777" w:rsidR="008D2395" w:rsidRDefault="008D2395" w:rsidP="00DC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ira Sans regular">
    <w:panose1 w:val="020B0503050000020004"/>
    <w:charset w:val="00"/>
    <w:family w:val="swiss"/>
    <w:pitch w:val="variable"/>
    <w:sig w:usb0="600002FF"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Josefin Sans Bold">
    <w:altName w:val="Josefin Sans"/>
    <w:panose1 w:val="00000000000000000000"/>
    <w:charset w:val="00"/>
    <w:family w:val="auto"/>
    <w:pitch w:val="variable"/>
    <w:sig w:usb0="A00000FF" w:usb1="4000204B" w:usb2="00000000" w:usb3="00000000" w:csb0="00000193" w:csb1="00000000"/>
  </w:font>
  <w:font w:name="Fira Sans">
    <w:panose1 w:val="020B0503050000020004"/>
    <w:charset w:val="00"/>
    <w:family w:val="swiss"/>
    <w:pitch w:val="variable"/>
    <w:sig w:usb0="600002FF"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27FA" w14:textId="6464D6B2" w:rsidR="00493FE8" w:rsidRDefault="00493FE8" w:rsidP="00E24D0E">
    <w:pPr>
      <w:pStyle w:val="Footer"/>
      <w:tabs>
        <w:tab w:val="clear" w:pos="4680"/>
        <w:tab w:val="clear" w:pos="9360"/>
        <w:tab w:val="center" w:pos="9498"/>
        <w:tab w:val="right" w:pos="9746"/>
      </w:tabs>
    </w:pPr>
    <w:r w:rsidRPr="00D20B03">
      <w:rPr>
        <w:b/>
        <w:bCs/>
      </w:rPr>
      <w:t>IHACPA</w:t>
    </w:r>
    <w:r w:rsidR="000E76C9">
      <w:rPr>
        <w:b/>
        <w:bCs/>
      </w:rPr>
      <w:t xml:space="preserve"> </w:t>
    </w:r>
    <w:r w:rsidR="000E76C9">
      <w:t>Australian Refined Diagnosis Related Groups Version 11.0 Technical Specifications</w:t>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20BD" w14:textId="184B88FA" w:rsidR="00DC3E93" w:rsidRDefault="00DC3E93" w:rsidP="00E24D0E">
    <w:pPr>
      <w:pStyle w:val="Footer"/>
      <w:tabs>
        <w:tab w:val="clear" w:pos="4680"/>
        <w:tab w:val="clear" w:pos="9360"/>
        <w:tab w:val="center" w:pos="9498"/>
        <w:tab w:val="right" w:pos="974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65747" w14:textId="77777777" w:rsidR="008D2395" w:rsidRDefault="008D2395" w:rsidP="00DC0458">
      <w:pPr>
        <w:spacing w:after="0" w:line="240" w:lineRule="auto"/>
      </w:pPr>
      <w:r>
        <w:separator/>
      </w:r>
    </w:p>
  </w:footnote>
  <w:footnote w:type="continuationSeparator" w:id="0">
    <w:p w14:paraId="439E8E24" w14:textId="77777777" w:rsidR="008D2395" w:rsidRDefault="008D2395" w:rsidP="00DC0458">
      <w:pPr>
        <w:spacing w:after="0" w:line="240" w:lineRule="auto"/>
      </w:pPr>
      <w:r>
        <w:continuationSeparator/>
      </w:r>
    </w:p>
  </w:footnote>
  <w:footnote w:id="1">
    <w:p w14:paraId="146E0D75" w14:textId="77777777" w:rsidR="00BA1762" w:rsidRPr="00696CED" w:rsidRDefault="00BA1762" w:rsidP="00BA1762">
      <w:pPr>
        <w:pStyle w:val="FootnoteText"/>
        <w:rPr>
          <w:lang w:val="en-US"/>
        </w:rPr>
      </w:pPr>
      <w:r>
        <w:rPr>
          <w:rStyle w:val="FootnoteReference"/>
        </w:rPr>
        <w:footnoteRef/>
      </w:r>
      <w:r>
        <w:t xml:space="preserve"> </w:t>
      </w:r>
      <w:r w:rsidRPr="00696CED">
        <w:rPr>
          <w:sz w:val="18"/>
          <w:szCs w:val="18"/>
        </w:rPr>
        <w:t>The inflation rates of NEP 2018–19 (1.6%), NEP 2019–20 (1.8%) and NEP 2020–21(2.1%)</w:t>
      </w:r>
      <w:r>
        <w:rPr>
          <w:sz w:val="18"/>
          <w:szCs w:val="18"/>
        </w:rPr>
        <w:t xml:space="preserve"> were applied to</w:t>
      </w:r>
      <w:r w:rsidRPr="00696CED">
        <w:rPr>
          <w:sz w:val="18"/>
          <w:szCs w:val="18"/>
        </w:rPr>
        <w:t xml:space="preserve"> cost data for 2015–16, 2016–17 and 2017–18 respectively to inflate all cost data to 2018–19 level. For example, the 2015–16 cost data was inflated to 2018–19 level using</w:t>
      </w:r>
      <w:r>
        <w:rPr>
          <w:sz w:val="18"/>
          <w:szCs w:val="18"/>
        </w:rPr>
        <w:t xml:space="preserve"> the following formula: </w:t>
      </w:r>
      <m:oMath>
        <m:r>
          <w:rPr>
            <w:rFonts w:ascii="Cambria Math" w:hAnsi="Cambria Math"/>
            <w:sz w:val="18"/>
            <w:szCs w:val="18"/>
          </w:rPr>
          <m:t>Inflated cost=Original cost×(1+1.6%)×(1+1.8%)×(1+2.1%)</m:t>
        </m:r>
      </m:oMath>
      <w:r>
        <w:rPr>
          <w:sz w:val="18"/>
          <w:szCs w:val="18"/>
        </w:rPr>
        <w:t>.</w:t>
      </w:r>
    </w:p>
  </w:footnote>
  <w:footnote w:id="2">
    <w:p w14:paraId="5D070816" w14:textId="77777777" w:rsidR="00BA1762" w:rsidRPr="00DE564F" w:rsidRDefault="00BA1762" w:rsidP="00BA1762">
      <w:pPr>
        <w:pStyle w:val="FootnoteText"/>
        <w:rPr>
          <w:lang w:val="en-US"/>
        </w:rPr>
      </w:pPr>
      <w:r>
        <w:rPr>
          <w:rStyle w:val="FootnoteReference"/>
        </w:rPr>
        <w:footnoteRef/>
      </w:r>
      <w:r>
        <w:t xml:space="preserve"> </w:t>
      </w:r>
      <w:r w:rsidRPr="00DE564F">
        <w:rPr>
          <w:sz w:val="18"/>
          <w:lang w:val="en-US"/>
        </w:rPr>
        <w:t>Australian Institute of Health and Welfare (2019) METeOR, Care Type https://meteor.aihw.gov.au/content/index.phtml/itemId/711010</w:t>
      </w:r>
    </w:p>
  </w:footnote>
  <w:footnote w:id="3">
    <w:p w14:paraId="47E3229D" w14:textId="2D40BB45" w:rsidR="00BA1762" w:rsidRPr="00E00075" w:rsidRDefault="00BA1762" w:rsidP="00BA1762">
      <w:pPr>
        <w:pStyle w:val="FootnoteText"/>
        <w:rPr>
          <w:lang w:val="en-US"/>
        </w:rPr>
      </w:pPr>
      <w:r>
        <w:rPr>
          <w:rStyle w:val="FootnoteReference"/>
        </w:rPr>
        <w:footnoteRef/>
      </w:r>
      <w:r>
        <w:t xml:space="preserve"> </w:t>
      </w:r>
      <w:r w:rsidRPr="00E00075">
        <w:rPr>
          <w:sz w:val="18"/>
          <w:lang w:val="en-US"/>
        </w:rPr>
        <w:t>G</w:t>
      </w:r>
      <w:r>
        <w:rPr>
          <w:sz w:val="18"/>
          <w:lang w:val="en-US"/>
        </w:rPr>
        <w:t>o</w:t>
      </w:r>
      <w:r w:rsidRPr="00E505BB">
        <w:rPr>
          <w:i/>
          <w:sz w:val="18"/>
          <w:lang w:val="en-US"/>
        </w:rPr>
        <w:t>vernance framework for the development of the admitted care classifications</w:t>
      </w:r>
      <w:r w:rsidRPr="00E505BB">
        <w:rPr>
          <w:sz w:val="18"/>
          <w:lang w:val="en-US"/>
        </w:rPr>
        <w:t xml:space="preserve"> </w:t>
      </w:r>
      <w:r>
        <w:rPr>
          <w:sz w:val="18"/>
          <w:lang w:val="en-US"/>
        </w:rPr>
        <w:br/>
      </w:r>
      <w:hyperlink r:id="rId1" w:history="1">
        <w:r w:rsidR="00FB35A4" w:rsidRPr="00FB35A4">
          <w:rPr>
            <w:rStyle w:val="Hyperlink"/>
            <w:sz w:val="18"/>
            <w:lang w:val="en-US"/>
          </w:rPr>
          <w:t>https://www.ihacpa.gov.au/resources/governance-framework-development-admitted-care-classifications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0E66" w14:textId="73F75FF6" w:rsidR="00257DF2" w:rsidRDefault="00493FE8">
    <w:pPr>
      <w:pStyle w:val="Header"/>
    </w:pPr>
    <w:r>
      <w:rPr>
        <w:noProof/>
      </w:rPr>
      <w:drawing>
        <wp:anchor distT="0" distB="0" distL="114300" distR="114300" simplePos="0" relativeHeight="251665408" behindDoc="1" locked="0" layoutInCell="1" allowOverlap="1" wp14:anchorId="74294811" wp14:editId="3C885141">
          <wp:simplePos x="0" y="0"/>
          <wp:positionH relativeFrom="margin">
            <wp:posOffset>-685800</wp:posOffset>
          </wp:positionH>
          <wp:positionV relativeFrom="paragraph">
            <wp:posOffset>-449580</wp:posOffset>
          </wp:positionV>
          <wp:extent cx="7573925" cy="10712174"/>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925" cy="1071217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9371" w14:textId="77777777" w:rsidR="00493FE8" w:rsidRDefault="00493F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58B2" w14:textId="77777777" w:rsidR="00502A09" w:rsidRDefault="00502A09">
    <w:pPr>
      <w:pStyle w:val="Header"/>
    </w:pPr>
    <w:r>
      <w:rPr>
        <w:noProof/>
      </w:rPr>
      <w:drawing>
        <wp:anchor distT="0" distB="0" distL="114300" distR="114300" simplePos="0" relativeHeight="251663360" behindDoc="1" locked="0" layoutInCell="1" allowOverlap="1" wp14:anchorId="1C3073B7" wp14:editId="40D83607">
          <wp:simplePos x="0" y="0"/>
          <wp:positionH relativeFrom="column">
            <wp:posOffset>-677810</wp:posOffset>
          </wp:positionH>
          <wp:positionV relativeFrom="paragraph">
            <wp:posOffset>-449580</wp:posOffset>
          </wp:positionV>
          <wp:extent cx="7566497" cy="10699668"/>
          <wp:effectExtent l="0" t="0" r="0" b="6985"/>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6497" cy="106996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486AFA"/>
    <w:lvl w:ilvl="0">
      <w:start w:val="1"/>
      <w:numFmt w:val="decimal"/>
      <w:pStyle w:val="ListNumber5"/>
      <w:lvlText w:val="%1."/>
      <w:lvlJc w:val="left"/>
      <w:pPr>
        <w:tabs>
          <w:tab w:val="num" w:pos="5178"/>
        </w:tabs>
        <w:ind w:left="5178" w:hanging="360"/>
      </w:pPr>
    </w:lvl>
  </w:abstractNum>
  <w:abstractNum w:abstractNumId="1"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252A15"/>
    <w:multiLevelType w:val="hybridMultilevel"/>
    <w:tmpl w:val="58EA6ACA"/>
    <w:lvl w:ilvl="0" w:tplc="FFFFFFFF">
      <w:numFmt w:val="bullet"/>
      <w:lvlText w:val="–"/>
      <w:lvlJc w:val="left"/>
      <w:pPr>
        <w:ind w:left="720" w:hanging="720"/>
      </w:pPr>
      <w:rPr>
        <w:rFonts w:ascii="Fira Sans regular" w:eastAsiaTheme="minorHAnsi" w:hAnsi="Fira Sans regular" w:cstheme="minorBidi" w:hint="default"/>
      </w:rPr>
    </w:lvl>
    <w:lvl w:ilvl="1" w:tplc="5E622CB2">
      <w:numFmt w:val="bullet"/>
      <w:pStyle w:val="ListLevel1"/>
      <w:lvlText w:val="–"/>
      <w:lvlJc w:val="left"/>
      <w:pPr>
        <w:ind w:left="1080" w:hanging="360"/>
      </w:pPr>
      <w:rPr>
        <w:rFonts w:ascii="Fira Sans regular" w:eastAsiaTheme="minorHAnsi" w:hAnsi="Fira Sans regular"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3242228"/>
    <w:multiLevelType w:val="hybridMultilevel"/>
    <w:tmpl w:val="0EE83584"/>
    <w:lvl w:ilvl="0" w:tplc="B944D9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17D01"/>
    <w:multiLevelType w:val="hybridMultilevel"/>
    <w:tmpl w:val="01208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3F3B7A"/>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77B0CA6"/>
    <w:multiLevelType w:val="hybridMultilevel"/>
    <w:tmpl w:val="D6C00F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8CD263C"/>
    <w:multiLevelType w:val="hybridMultilevel"/>
    <w:tmpl w:val="2EE42C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D16E66"/>
    <w:multiLevelType w:val="hybridMultilevel"/>
    <w:tmpl w:val="3DCC36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5AA7A34"/>
    <w:multiLevelType w:val="hybridMultilevel"/>
    <w:tmpl w:val="9DDC7CCA"/>
    <w:lvl w:ilvl="0" w:tplc="CBB6A016">
      <w:start w:val="1"/>
      <w:numFmt w:val="bullet"/>
      <w:lvlText w:val=""/>
      <w:lvlJc w:val="left"/>
      <w:pPr>
        <w:ind w:left="2292" w:hanging="360"/>
      </w:pPr>
      <w:rPr>
        <w:rFonts w:ascii="Symbol" w:hAnsi="Symbol" w:hint="default"/>
      </w:rPr>
    </w:lvl>
    <w:lvl w:ilvl="1" w:tplc="0C090003">
      <w:start w:val="1"/>
      <w:numFmt w:val="bullet"/>
      <w:lvlText w:val="o"/>
      <w:lvlJc w:val="left"/>
      <w:pPr>
        <w:ind w:left="3012" w:hanging="360"/>
      </w:pPr>
      <w:rPr>
        <w:rFonts w:ascii="Courier New" w:hAnsi="Courier New" w:cs="Courier New" w:hint="default"/>
      </w:rPr>
    </w:lvl>
    <w:lvl w:ilvl="2" w:tplc="0C090005" w:tentative="1">
      <w:start w:val="1"/>
      <w:numFmt w:val="bullet"/>
      <w:lvlText w:val=""/>
      <w:lvlJc w:val="left"/>
      <w:pPr>
        <w:ind w:left="3732" w:hanging="360"/>
      </w:pPr>
      <w:rPr>
        <w:rFonts w:ascii="Wingdings" w:hAnsi="Wingdings" w:hint="default"/>
      </w:rPr>
    </w:lvl>
    <w:lvl w:ilvl="3" w:tplc="0C090001" w:tentative="1">
      <w:start w:val="1"/>
      <w:numFmt w:val="bullet"/>
      <w:lvlText w:val=""/>
      <w:lvlJc w:val="left"/>
      <w:pPr>
        <w:ind w:left="4452" w:hanging="360"/>
      </w:pPr>
      <w:rPr>
        <w:rFonts w:ascii="Symbol" w:hAnsi="Symbol" w:hint="default"/>
      </w:rPr>
    </w:lvl>
    <w:lvl w:ilvl="4" w:tplc="0C090003" w:tentative="1">
      <w:start w:val="1"/>
      <w:numFmt w:val="bullet"/>
      <w:lvlText w:val="o"/>
      <w:lvlJc w:val="left"/>
      <w:pPr>
        <w:ind w:left="5172" w:hanging="360"/>
      </w:pPr>
      <w:rPr>
        <w:rFonts w:ascii="Courier New" w:hAnsi="Courier New" w:cs="Courier New" w:hint="default"/>
      </w:rPr>
    </w:lvl>
    <w:lvl w:ilvl="5" w:tplc="0C090005" w:tentative="1">
      <w:start w:val="1"/>
      <w:numFmt w:val="bullet"/>
      <w:lvlText w:val=""/>
      <w:lvlJc w:val="left"/>
      <w:pPr>
        <w:ind w:left="5892" w:hanging="360"/>
      </w:pPr>
      <w:rPr>
        <w:rFonts w:ascii="Wingdings" w:hAnsi="Wingdings" w:hint="default"/>
      </w:rPr>
    </w:lvl>
    <w:lvl w:ilvl="6" w:tplc="0C090001" w:tentative="1">
      <w:start w:val="1"/>
      <w:numFmt w:val="bullet"/>
      <w:lvlText w:val=""/>
      <w:lvlJc w:val="left"/>
      <w:pPr>
        <w:ind w:left="6612" w:hanging="360"/>
      </w:pPr>
      <w:rPr>
        <w:rFonts w:ascii="Symbol" w:hAnsi="Symbol" w:hint="default"/>
      </w:rPr>
    </w:lvl>
    <w:lvl w:ilvl="7" w:tplc="0C090003" w:tentative="1">
      <w:start w:val="1"/>
      <w:numFmt w:val="bullet"/>
      <w:lvlText w:val="o"/>
      <w:lvlJc w:val="left"/>
      <w:pPr>
        <w:ind w:left="7332" w:hanging="360"/>
      </w:pPr>
      <w:rPr>
        <w:rFonts w:ascii="Courier New" w:hAnsi="Courier New" w:cs="Courier New" w:hint="default"/>
      </w:rPr>
    </w:lvl>
    <w:lvl w:ilvl="8" w:tplc="0C090005" w:tentative="1">
      <w:start w:val="1"/>
      <w:numFmt w:val="bullet"/>
      <w:lvlText w:val=""/>
      <w:lvlJc w:val="left"/>
      <w:pPr>
        <w:ind w:left="8052" w:hanging="360"/>
      </w:pPr>
      <w:rPr>
        <w:rFonts w:ascii="Wingdings" w:hAnsi="Wingdings" w:hint="default"/>
      </w:rPr>
    </w:lvl>
  </w:abstractNum>
  <w:abstractNum w:abstractNumId="10" w15:restartNumberingAfterBreak="0">
    <w:nsid w:val="37FD233D"/>
    <w:multiLevelType w:val="hybridMultilevel"/>
    <w:tmpl w:val="0256E8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E3831B6"/>
    <w:multiLevelType w:val="hybridMultilevel"/>
    <w:tmpl w:val="59A8E424"/>
    <w:lvl w:ilvl="0" w:tplc="5212D7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FE7751"/>
    <w:multiLevelType w:val="hybridMultilevel"/>
    <w:tmpl w:val="73E0F9D4"/>
    <w:lvl w:ilvl="0" w:tplc="3C0E4E2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D00BA4"/>
    <w:multiLevelType w:val="hybridMultilevel"/>
    <w:tmpl w:val="797851D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492263BE"/>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A5E3AE5"/>
    <w:multiLevelType w:val="multilevel"/>
    <w:tmpl w:val="2D42B2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44A5030"/>
    <w:multiLevelType w:val="hybridMultilevel"/>
    <w:tmpl w:val="8BD298AA"/>
    <w:lvl w:ilvl="0" w:tplc="D53AA28A">
      <w:numFmt w:val="bullet"/>
      <w:lvlText w:val="–"/>
      <w:lvlJc w:val="left"/>
      <w:pPr>
        <w:ind w:left="720" w:hanging="720"/>
      </w:pPr>
      <w:rPr>
        <w:rFonts w:ascii="Fira Sans regular" w:eastAsiaTheme="minorHAnsi" w:hAnsi="Fira Sans regular" w:cstheme="minorBidi" w:hint="default"/>
      </w:rPr>
    </w:lvl>
    <w:lvl w:ilvl="1" w:tplc="2B7ED244">
      <w:start w:val="1"/>
      <w:numFmt w:val="bullet"/>
      <w:pStyle w:val="ListLevel2"/>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7" w15:restartNumberingAfterBreak="0">
    <w:nsid w:val="56665D6D"/>
    <w:multiLevelType w:val="hybridMultilevel"/>
    <w:tmpl w:val="2EE42C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874241"/>
    <w:multiLevelType w:val="hybridMultilevel"/>
    <w:tmpl w:val="04B4B684"/>
    <w:lvl w:ilvl="0" w:tplc="3C0E4E28">
      <w:start w:val="1"/>
      <w:numFmt w:val="lowerLetter"/>
      <w:lvlText w:val="(%1)"/>
      <w:lvlJc w:val="left"/>
      <w:pPr>
        <w:ind w:left="720" w:hanging="360"/>
      </w:pPr>
      <w:rPr>
        <w:rFonts w:hint="default"/>
      </w:rPr>
    </w:lvl>
    <w:lvl w:ilvl="1" w:tplc="5212D7B6">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DEC568F"/>
    <w:multiLevelType w:val="hybridMultilevel"/>
    <w:tmpl w:val="ED1E2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845A24"/>
    <w:multiLevelType w:val="hybridMultilevel"/>
    <w:tmpl w:val="2EE42C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6"/>
  </w:num>
  <w:num w:numId="3">
    <w:abstractNumId w:val="2"/>
  </w:num>
  <w:num w:numId="4">
    <w:abstractNumId w:val="16"/>
  </w:num>
  <w:num w:numId="5">
    <w:abstractNumId w:val="2"/>
  </w:num>
  <w:num w:numId="6">
    <w:abstractNumId w:val="4"/>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4"/>
  </w:num>
  <w:num w:numId="11">
    <w:abstractNumId w:val="5"/>
    <w:lvlOverride w:ilvl="0">
      <w:lvl w:ilvl="0">
        <w:start w:val="1"/>
        <w:numFmt w:val="decimal"/>
        <w:pStyle w:val="Heading1"/>
        <w:lvlText w:val="%1"/>
        <w:lvlJc w:val="left"/>
        <w:pPr>
          <w:ind w:left="432" w:hanging="432"/>
        </w:pPr>
      </w:lvl>
    </w:lvlOverride>
    <w:lvlOverride w:ilvl="1">
      <w:lvl w:ilvl="1">
        <w:start w:val="1"/>
        <w:numFmt w:val="decimal"/>
        <w:pStyle w:val="Heading2"/>
        <w:lvlText w:val="%1.%2"/>
        <w:lvlJc w:val="left"/>
        <w:pPr>
          <w:ind w:left="576" w:hanging="576"/>
        </w:pPr>
      </w:lvl>
    </w:lvlOverride>
    <w:lvlOverride w:ilvl="2">
      <w:lvl w:ilvl="2">
        <w:start w:val="1"/>
        <w:numFmt w:val="decimal"/>
        <w:pStyle w:val="Heading3"/>
        <w:lvlText w:val="%1.%2.%3"/>
        <w:lvlJc w:val="left"/>
        <w:pPr>
          <w:ind w:left="720" w:hanging="720"/>
        </w:pPr>
      </w:lvl>
    </w:lvlOverride>
    <w:lvlOverride w:ilvl="3">
      <w:lvl w:ilvl="3">
        <w:start w:val="1"/>
        <w:numFmt w:val="decimal"/>
        <w:pStyle w:val="Heading4"/>
        <w:lvlText w:val="%1.%2.%3.%4"/>
        <w:lvlJc w:val="left"/>
        <w:pPr>
          <w:ind w:left="864" w:hanging="864"/>
        </w:pPr>
      </w:lvl>
    </w:lvlOverride>
    <w:lvlOverride w:ilvl="4">
      <w:lvl w:ilvl="4">
        <w:start w:val="1"/>
        <w:numFmt w:val="decimal"/>
        <w:pStyle w:val="Heading5"/>
        <w:lvlText w:val="%1.%2.%3.%4.%5"/>
        <w:lvlJc w:val="left"/>
        <w:pPr>
          <w:ind w:left="1008" w:hanging="1008"/>
        </w:pPr>
      </w:lvl>
    </w:lvlOverride>
    <w:lvlOverride w:ilvl="5">
      <w:lvl w:ilvl="5">
        <w:start w:val="1"/>
        <w:numFmt w:val="decimal"/>
        <w:pStyle w:val="Heading6"/>
        <w:lvlText w:val="%1.%2.%3.%4.%5.%6"/>
        <w:lvlJc w:val="left"/>
        <w:pPr>
          <w:ind w:left="1152" w:hanging="1152"/>
        </w:pPr>
      </w:lvl>
    </w:lvlOverride>
    <w:lvlOverride w:ilvl="6">
      <w:lvl w:ilvl="6">
        <w:start w:val="1"/>
        <w:numFmt w:val="decimal"/>
        <w:pStyle w:val="Heading7"/>
        <w:lvlText w:val="%1.%2.%3.%4.%5.%6.%7"/>
        <w:lvlJc w:val="left"/>
        <w:pPr>
          <w:ind w:left="1296" w:hanging="1296"/>
        </w:pPr>
      </w:lvl>
    </w:lvlOverride>
    <w:lvlOverride w:ilvl="7">
      <w:lvl w:ilvl="7">
        <w:start w:val="1"/>
        <w:numFmt w:val="decimal"/>
        <w:pStyle w:val="Heading8"/>
        <w:lvlText w:val="%1.%2.%3.%4.%5.%6.%7.%8"/>
        <w:lvlJc w:val="left"/>
        <w:pPr>
          <w:ind w:left="1440" w:hanging="1440"/>
        </w:pPr>
      </w:lvl>
    </w:lvlOverride>
    <w:lvlOverride w:ilvl="8">
      <w:lvl w:ilvl="8">
        <w:start w:val="1"/>
        <w:numFmt w:val="decimal"/>
        <w:pStyle w:val="Heading9"/>
        <w:lvlText w:val="%1.%2.%3.%4.%5.%6.%7.%8.%9"/>
        <w:lvlJc w:val="left"/>
        <w:pPr>
          <w:ind w:left="1584" w:hanging="1584"/>
        </w:pPr>
      </w:lvl>
    </w:lvlOverride>
  </w:num>
  <w:num w:numId="12">
    <w:abstractNumId w:val="1"/>
  </w:num>
  <w:num w:numId="13">
    <w:abstractNumId w:val="0"/>
  </w:num>
  <w:num w:numId="14">
    <w:abstractNumId w:val="11"/>
  </w:num>
  <w:num w:numId="15">
    <w:abstractNumId w:val="12"/>
  </w:num>
  <w:num w:numId="16">
    <w:abstractNumId w:val="18"/>
  </w:num>
  <w:num w:numId="17">
    <w:abstractNumId w:val="8"/>
  </w:num>
  <w:num w:numId="18">
    <w:abstractNumId w:val="19"/>
  </w:num>
  <w:num w:numId="19">
    <w:abstractNumId w:val="3"/>
  </w:num>
  <w:num w:numId="20">
    <w:abstractNumId w:val="6"/>
  </w:num>
  <w:num w:numId="21">
    <w:abstractNumId w:val="7"/>
  </w:num>
  <w:num w:numId="22">
    <w:abstractNumId w:val="17"/>
  </w:num>
  <w:num w:numId="23">
    <w:abstractNumId w:val="20"/>
  </w:num>
  <w:num w:numId="24">
    <w:abstractNumId w:val="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50"/>
    <w:rsid w:val="00000C47"/>
    <w:rsid w:val="00002CC5"/>
    <w:rsid w:val="00002F99"/>
    <w:rsid w:val="00006557"/>
    <w:rsid w:val="00007BBC"/>
    <w:rsid w:val="00010DBE"/>
    <w:rsid w:val="0001105C"/>
    <w:rsid w:val="00020A8B"/>
    <w:rsid w:val="00023E24"/>
    <w:rsid w:val="00040667"/>
    <w:rsid w:val="00077CF5"/>
    <w:rsid w:val="000920E0"/>
    <w:rsid w:val="000A1964"/>
    <w:rsid w:val="000B5951"/>
    <w:rsid w:val="000C39D8"/>
    <w:rsid w:val="000D0C80"/>
    <w:rsid w:val="000D1DE1"/>
    <w:rsid w:val="000E76C9"/>
    <w:rsid w:val="000F1C1F"/>
    <w:rsid w:val="001035A0"/>
    <w:rsid w:val="001051FA"/>
    <w:rsid w:val="00113B31"/>
    <w:rsid w:val="00115614"/>
    <w:rsid w:val="001163BD"/>
    <w:rsid w:val="001650A8"/>
    <w:rsid w:val="00165D3D"/>
    <w:rsid w:val="001829AA"/>
    <w:rsid w:val="00183129"/>
    <w:rsid w:val="001A4B10"/>
    <w:rsid w:val="001B29EE"/>
    <w:rsid w:val="001D3C86"/>
    <w:rsid w:val="001D5BBA"/>
    <w:rsid w:val="001D7EE8"/>
    <w:rsid w:val="001E2B0D"/>
    <w:rsid w:val="001F34B0"/>
    <w:rsid w:val="001F4298"/>
    <w:rsid w:val="001F7000"/>
    <w:rsid w:val="002261B6"/>
    <w:rsid w:val="00233D00"/>
    <w:rsid w:val="0023544F"/>
    <w:rsid w:val="00257856"/>
    <w:rsid w:val="00257DF2"/>
    <w:rsid w:val="00264D19"/>
    <w:rsid w:val="002709C4"/>
    <w:rsid w:val="00276510"/>
    <w:rsid w:val="00283621"/>
    <w:rsid w:val="002F0F52"/>
    <w:rsid w:val="002F174B"/>
    <w:rsid w:val="0030315D"/>
    <w:rsid w:val="00320840"/>
    <w:rsid w:val="0032358C"/>
    <w:rsid w:val="00371EAC"/>
    <w:rsid w:val="003773A8"/>
    <w:rsid w:val="003967C9"/>
    <w:rsid w:val="00397767"/>
    <w:rsid w:val="003A12CA"/>
    <w:rsid w:val="003B24B2"/>
    <w:rsid w:val="003C360C"/>
    <w:rsid w:val="003C76F2"/>
    <w:rsid w:val="003D3EC5"/>
    <w:rsid w:val="00412D3E"/>
    <w:rsid w:val="00440461"/>
    <w:rsid w:val="00451341"/>
    <w:rsid w:val="004621A6"/>
    <w:rsid w:val="004930EE"/>
    <w:rsid w:val="00493FE8"/>
    <w:rsid w:val="0049520A"/>
    <w:rsid w:val="004B7E50"/>
    <w:rsid w:val="004D7DD4"/>
    <w:rsid w:val="00502A09"/>
    <w:rsid w:val="00530986"/>
    <w:rsid w:val="00533885"/>
    <w:rsid w:val="00536234"/>
    <w:rsid w:val="00543703"/>
    <w:rsid w:val="00552F40"/>
    <w:rsid w:val="005972D0"/>
    <w:rsid w:val="005F7854"/>
    <w:rsid w:val="006058CF"/>
    <w:rsid w:val="00636846"/>
    <w:rsid w:val="0065036C"/>
    <w:rsid w:val="00685E62"/>
    <w:rsid w:val="006A704E"/>
    <w:rsid w:val="006C13CE"/>
    <w:rsid w:val="006E351D"/>
    <w:rsid w:val="006E4A7A"/>
    <w:rsid w:val="006F2EFC"/>
    <w:rsid w:val="00707A91"/>
    <w:rsid w:val="007403BC"/>
    <w:rsid w:val="0076544F"/>
    <w:rsid w:val="0077245A"/>
    <w:rsid w:val="00775E50"/>
    <w:rsid w:val="007764C1"/>
    <w:rsid w:val="00777CBB"/>
    <w:rsid w:val="00790C87"/>
    <w:rsid w:val="007B6947"/>
    <w:rsid w:val="007C1BF1"/>
    <w:rsid w:val="007F3660"/>
    <w:rsid w:val="00801B78"/>
    <w:rsid w:val="008108ED"/>
    <w:rsid w:val="008873A8"/>
    <w:rsid w:val="008C6256"/>
    <w:rsid w:val="008D2395"/>
    <w:rsid w:val="008D3054"/>
    <w:rsid w:val="0093534E"/>
    <w:rsid w:val="0095117D"/>
    <w:rsid w:val="009721F9"/>
    <w:rsid w:val="009A2A35"/>
    <w:rsid w:val="009A4658"/>
    <w:rsid w:val="009E386D"/>
    <w:rsid w:val="009E5FB4"/>
    <w:rsid w:val="009E7421"/>
    <w:rsid w:val="00A36A90"/>
    <w:rsid w:val="00A47BBB"/>
    <w:rsid w:val="00A50F99"/>
    <w:rsid w:val="00A5626C"/>
    <w:rsid w:val="00A77B94"/>
    <w:rsid w:val="00AC3DF7"/>
    <w:rsid w:val="00AD1CC7"/>
    <w:rsid w:val="00AD22E1"/>
    <w:rsid w:val="00B11E69"/>
    <w:rsid w:val="00B326E6"/>
    <w:rsid w:val="00BA1762"/>
    <w:rsid w:val="00BA35D2"/>
    <w:rsid w:val="00BC01D2"/>
    <w:rsid w:val="00BD25FC"/>
    <w:rsid w:val="00C106DB"/>
    <w:rsid w:val="00C42708"/>
    <w:rsid w:val="00C4675D"/>
    <w:rsid w:val="00C471F6"/>
    <w:rsid w:val="00C5503B"/>
    <w:rsid w:val="00C61A87"/>
    <w:rsid w:val="00C637F1"/>
    <w:rsid w:val="00C86BFF"/>
    <w:rsid w:val="00C93CE9"/>
    <w:rsid w:val="00C9519B"/>
    <w:rsid w:val="00CB47BB"/>
    <w:rsid w:val="00CB4D04"/>
    <w:rsid w:val="00CF26C0"/>
    <w:rsid w:val="00D20B03"/>
    <w:rsid w:val="00D66984"/>
    <w:rsid w:val="00D8514A"/>
    <w:rsid w:val="00D8680B"/>
    <w:rsid w:val="00D9124B"/>
    <w:rsid w:val="00D92F36"/>
    <w:rsid w:val="00DA1178"/>
    <w:rsid w:val="00DC0458"/>
    <w:rsid w:val="00DC11EE"/>
    <w:rsid w:val="00DC3E93"/>
    <w:rsid w:val="00DD17BE"/>
    <w:rsid w:val="00DF5C7D"/>
    <w:rsid w:val="00E11948"/>
    <w:rsid w:val="00E23664"/>
    <w:rsid w:val="00E24D0E"/>
    <w:rsid w:val="00E353BC"/>
    <w:rsid w:val="00E40CCE"/>
    <w:rsid w:val="00E426C6"/>
    <w:rsid w:val="00E70C2A"/>
    <w:rsid w:val="00E75C19"/>
    <w:rsid w:val="00E94871"/>
    <w:rsid w:val="00EA070A"/>
    <w:rsid w:val="00EA48D2"/>
    <w:rsid w:val="00EA4BD2"/>
    <w:rsid w:val="00EB40B0"/>
    <w:rsid w:val="00EC4537"/>
    <w:rsid w:val="00EC64A0"/>
    <w:rsid w:val="00F016EC"/>
    <w:rsid w:val="00F51659"/>
    <w:rsid w:val="00F65966"/>
    <w:rsid w:val="00F67821"/>
    <w:rsid w:val="00F70498"/>
    <w:rsid w:val="00F72C9E"/>
    <w:rsid w:val="00F87F2B"/>
    <w:rsid w:val="00F95700"/>
    <w:rsid w:val="00FA0B55"/>
    <w:rsid w:val="00FB35A4"/>
    <w:rsid w:val="00FC3951"/>
    <w:rsid w:val="00FC4B2D"/>
    <w:rsid w:val="00FC6567"/>
    <w:rsid w:val="00FF2D7D"/>
    <w:rsid w:val="0275C9EE"/>
    <w:rsid w:val="03D4ECC6"/>
    <w:rsid w:val="2506B968"/>
    <w:rsid w:val="36C09B19"/>
    <w:rsid w:val="3E24BE47"/>
    <w:rsid w:val="51583BB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82FCDA"/>
  <w15:chartTrackingRefBased/>
  <w15:docId w15:val="{2216F84D-ACE1-46E4-8056-A9CCC6FE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3" w:unhideWhenUsed="1"/>
    <w:lsdException w:name="List Number 2" w:semiHidden="1" w:unhideWhenUsed="1"/>
    <w:lsdException w:name="List Number 3" w:semiHidden="1" w:unhideWhenUsed="1"/>
    <w:lsdException w:name="List Number 4" w:semiHidden="1" w:unhideWhenUsed="1"/>
    <w:lsdException w:name="List Number 5" w:semiHidden="1" w:uiPriority="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9520A"/>
    <w:pPr>
      <w:spacing w:line="288" w:lineRule="auto"/>
    </w:pPr>
    <w:rPr>
      <w:rFonts w:ascii="Arial" w:hAnsi="Arial"/>
      <w:color w:val="15272F" w:themeColor="text1"/>
    </w:rPr>
  </w:style>
  <w:style w:type="paragraph" w:styleId="Heading1">
    <w:name w:val="heading 1"/>
    <w:basedOn w:val="Normal"/>
    <w:next w:val="Normal"/>
    <w:link w:val="Heading1Char"/>
    <w:uiPriority w:val="9"/>
    <w:qFormat/>
    <w:rsid w:val="0049520A"/>
    <w:pPr>
      <w:keepNext/>
      <w:keepLines/>
      <w:numPr>
        <w:numId w:val="9"/>
      </w:numPr>
      <w:spacing w:after="480"/>
      <w:outlineLvl w:val="0"/>
    </w:pPr>
    <w:rPr>
      <w:rFonts w:eastAsiaTheme="majorEastAsia" w:cstheme="majorBidi"/>
      <w:b/>
      <w:sz w:val="72"/>
      <w:szCs w:val="32"/>
    </w:rPr>
  </w:style>
  <w:style w:type="paragraph" w:styleId="Heading2">
    <w:name w:val="heading 2"/>
    <w:basedOn w:val="Normal"/>
    <w:next w:val="Normal"/>
    <w:link w:val="Heading2Char"/>
    <w:uiPriority w:val="9"/>
    <w:unhideWhenUsed/>
    <w:qFormat/>
    <w:rsid w:val="0049520A"/>
    <w:pPr>
      <w:keepNext/>
      <w:keepLines/>
      <w:numPr>
        <w:ilvl w:val="1"/>
        <w:numId w:val="9"/>
      </w:numPr>
      <w:spacing w:before="120" w:after="240"/>
      <w:outlineLvl w:val="1"/>
    </w:pPr>
    <w:rPr>
      <w:rFonts w:eastAsiaTheme="majorEastAsia" w:cstheme="majorBidi"/>
      <w:b/>
      <w:color w:val="104F99" w:themeColor="accent2"/>
      <w:sz w:val="36"/>
      <w:szCs w:val="26"/>
    </w:rPr>
  </w:style>
  <w:style w:type="paragraph" w:styleId="Heading3">
    <w:name w:val="heading 3"/>
    <w:basedOn w:val="Normal"/>
    <w:next w:val="Normal"/>
    <w:link w:val="Heading3Char"/>
    <w:uiPriority w:val="9"/>
    <w:unhideWhenUsed/>
    <w:qFormat/>
    <w:rsid w:val="00E75C19"/>
    <w:pPr>
      <w:keepNext/>
      <w:keepLines/>
      <w:numPr>
        <w:ilvl w:val="2"/>
        <w:numId w:val="9"/>
      </w:numPr>
      <w:spacing w:before="120" w:after="240"/>
      <w:outlineLvl w:val="2"/>
    </w:pPr>
    <w:rPr>
      <w:rFonts w:eastAsiaTheme="majorEastAsia" w:cstheme="majorBidi"/>
      <w:b/>
      <w:color w:val="008F55" w:themeColor="accent4"/>
      <w:sz w:val="26"/>
      <w:szCs w:val="24"/>
    </w:rPr>
  </w:style>
  <w:style w:type="paragraph" w:styleId="Heading4">
    <w:name w:val="heading 4"/>
    <w:basedOn w:val="Normal"/>
    <w:next w:val="Normal"/>
    <w:link w:val="Heading4Char"/>
    <w:uiPriority w:val="9"/>
    <w:unhideWhenUsed/>
    <w:qFormat/>
    <w:rsid w:val="007F3660"/>
    <w:pPr>
      <w:keepNext/>
      <w:keepLines/>
      <w:numPr>
        <w:ilvl w:val="3"/>
        <w:numId w:val="9"/>
      </w:numPr>
      <w:spacing w:before="12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rsid w:val="007F3660"/>
    <w:pPr>
      <w:keepNext/>
      <w:keepLines/>
      <w:numPr>
        <w:ilvl w:val="4"/>
        <w:numId w:val="9"/>
      </w:numPr>
      <w:spacing w:before="40" w:after="0"/>
      <w:outlineLvl w:val="4"/>
    </w:pPr>
    <w:rPr>
      <w:rFonts w:eastAsiaTheme="majorEastAsia" w:cstheme="majorBidi"/>
      <w:b/>
      <w:color w:val="0F1D23" w:themeColor="accent1" w:themeShade="BF"/>
    </w:rPr>
  </w:style>
  <w:style w:type="paragraph" w:styleId="Heading6">
    <w:name w:val="heading 6"/>
    <w:basedOn w:val="Normal"/>
    <w:next w:val="Normal"/>
    <w:link w:val="Heading6Char"/>
    <w:uiPriority w:val="9"/>
    <w:semiHidden/>
    <w:unhideWhenUsed/>
    <w:qFormat/>
    <w:rsid w:val="00BA1762"/>
    <w:pPr>
      <w:keepNext/>
      <w:keepLines/>
      <w:numPr>
        <w:ilvl w:val="5"/>
        <w:numId w:val="9"/>
      </w:numPr>
      <w:spacing w:before="40" w:after="0"/>
      <w:outlineLvl w:val="5"/>
    </w:pPr>
    <w:rPr>
      <w:rFonts w:asciiTheme="majorHAnsi" w:eastAsiaTheme="majorEastAsia" w:hAnsiTheme="majorHAnsi" w:cstheme="majorBidi"/>
      <w:color w:val="0A1317" w:themeColor="accent1" w:themeShade="7F"/>
    </w:rPr>
  </w:style>
  <w:style w:type="paragraph" w:styleId="Heading7">
    <w:name w:val="heading 7"/>
    <w:basedOn w:val="Normal"/>
    <w:next w:val="Normal"/>
    <w:link w:val="Heading7Char"/>
    <w:uiPriority w:val="9"/>
    <w:semiHidden/>
    <w:unhideWhenUsed/>
    <w:qFormat/>
    <w:rsid w:val="00BA1762"/>
    <w:pPr>
      <w:keepNext/>
      <w:keepLines/>
      <w:numPr>
        <w:ilvl w:val="6"/>
        <w:numId w:val="9"/>
      </w:numPr>
      <w:spacing w:before="40" w:after="0"/>
      <w:outlineLvl w:val="6"/>
    </w:pPr>
    <w:rPr>
      <w:rFonts w:asciiTheme="majorHAnsi" w:eastAsiaTheme="majorEastAsia" w:hAnsiTheme="majorHAnsi" w:cstheme="majorBidi"/>
      <w:i/>
      <w:iCs/>
      <w:color w:val="0A1317" w:themeColor="accent1" w:themeShade="7F"/>
    </w:rPr>
  </w:style>
  <w:style w:type="paragraph" w:styleId="Heading8">
    <w:name w:val="heading 8"/>
    <w:basedOn w:val="Normal"/>
    <w:next w:val="Normal"/>
    <w:link w:val="Heading8Char"/>
    <w:uiPriority w:val="9"/>
    <w:semiHidden/>
    <w:unhideWhenUsed/>
    <w:qFormat/>
    <w:rsid w:val="00BA1762"/>
    <w:pPr>
      <w:keepNext/>
      <w:keepLines/>
      <w:numPr>
        <w:ilvl w:val="7"/>
        <w:numId w:val="9"/>
      </w:numPr>
      <w:spacing w:before="40" w:after="0"/>
      <w:outlineLvl w:val="7"/>
    </w:pPr>
    <w:rPr>
      <w:rFonts w:asciiTheme="majorHAnsi" w:eastAsiaTheme="majorEastAsia" w:hAnsiTheme="majorHAnsi" w:cstheme="majorBidi"/>
      <w:color w:val="294D5D" w:themeColor="text1" w:themeTint="D8"/>
      <w:sz w:val="21"/>
      <w:szCs w:val="21"/>
    </w:rPr>
  </w:style>
  <w:style w:type="paragraph" w:styleId="Heading9">
    <w:name w:val="heading 9"/>
    <w:basedOn w:val="Normal"/>
    <w:next w:val="Normal"/>
    <w:link w:val="Heading9Char"/>
    <w:uiPriority w:val="9"/>
    <w:semiHidden/>
    <w:unhideWhenUsed/>
    <w:qFormat/>
    <w:rsid w:val="00BA1762"/>
    <w:pPr>
      <w:keepNext/>
      <w:keepLines/>
      <w:numPr>
        <w:ilvl w:val="8"/>
        <w:numId w:val="9"/>
      </w:numPr>
      <w:spacing w:before="40" w:after="0"/>
      <w:outlineLvl w:val="8"/>
    </w:pPr>
    <w:rPr>
      <w:rFonts w:asciiTheme="majorHAnsi" w:eastAsiaTheme="majorEastAsia" w:hAnsiTheme="majorHAnsi" w:cstheme="majorBidi"/>
      <w:i/>
      <w:iCs/>
      <w:color w:val="294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20A"/>
    <w:rPr>
      <w:rFonts w:ascii="Arial" w:eastAsiaTheme="majorEastAsia" w:hAnsi="Arial" w:cstheme="majorBidi"/>
      <w:b/>
      <w:color w:val="15272F" w:themeColor="text1"/>
      <w:sz w:val="72"/>
      <w:szCs w:val="32"/>
    </w:rPr>
  </w:style>
  <w:style w:type="paragraph" w:styleId="Title">
    <w:name w:val="Title"/>
    <w:basedOn w:val="Normal"/>
    <w:next w:val="Normal"/>
    <w:link w:val="TitleChar"/>
    <w:uiPriority w:val="10"/>
    <w:qFormat/>
    <w:rsid w:val="0049520A"/>
    <w:pPr>
      <w:spacing w:after="840" w:line="240" w:lineRule="auto"/>
      <w:contextualSpacing/>
    </w:pPr>
    <w:rPr>
      <w:rFonts w:eastAsiaTheme="majorEastAsia" w:cstheme="majorBidi"/>
      <w:b/>
      <w:spacing w:val="-10"/>
      <w:kern w:val="28"/>
      <w:sz w:val="84"/>
      <w:szCs w:val="56"/>
    </w:rPr>
  </w:style>
  <w:style w:type="character" w:customStyle="1" w:styleId="TitleChar">
    <w:name w:val="Title Char"/>
    <w:basedOn w:val="DefaultParagraphFont"/>
    <w:link w:val="Title"/>
    <w:uiPriority w:val="10"/>
    <w:rsid w:val="0049520A"/>
    <w:rPr>
      <w:rFonts w:ascii="Arial" w:eastAsiaTheme="majorEastAsia" w:hAnsi="Arial" w:cstheme="majorBidi"/>
      <w:b/>
      <w:color w:val="15272F" w:themeColor="text1"/>
      <w:spacing w:val="-10"/>
      <w:kern w:val="28"/>
      <w:sz w:val="84"/>
      <w:szCs w:val="56"/>
    </w:rPr>
  </w:style>
  <w:style w:type="character" w:customStyle="1" w:styleId="Heading2Char">
    <w:name w:val="Heading 2 Char"/>
    <w:basedOn w:val="DefaultParagraphFont"/>
    <w:link w:val="Heading2"/>
    <w:uiPriority w:val="9"/>
    <w:rsid w:val="0049520A"/>
    <w:rPr>
      <w:rFonts w:ascii="Arial" w:eastAsiaTheme="majorEastAsia" w:hAnsi="Arial" w:cstheme="majorBidi"/>
      <w:b/>
      <w:color w:val="104F99" w:themeColor="accent2"/>
      <w:sz w:val="36"/>
      <w:szCs w:val="26"/>
    </w:rPr>
  </w:style>
  <w:style w:type="character" w:customStyle="1" w:styleId="Heading3Char">
    <w:name w:val="Heading 3 Char"/>
    <w:basedOn w:val="DefaultParagraphFont"/>
    <w:link w:val="Heading3"/>
    <w:uiPriority w:val="9"/>
    <w:rsid w:val="00E75C19"/>
    <w:rPr>
      <w:rFonts w:ascii="Arial" w:eastAsiaTheme="majorEastAsia" w:hAnsi="Arial" w:cstheme="majorBidi"/>
      <w:b/>
      <w:color w:val="008F55" w:themeColor="accent4"/>
      <w:sz w:val="26"/>
      <w:szCs w:val="24"/>
    </w:rPr>
  </w:style>
  <w:style w:type="character" w:customStyle="1" w:styleId="Heading4Char">
    <w:name w:val="Heading 4 Char"/>
    <w:basedOn w:val="DefaultParagraphFont"/>
    <w:link w:val="Heading4"/>
    <w:uiPriority w:val="9"/>
    <w:rsid w:val="007F3660"/>
    <w:rPr>
      <w:rFonts w:ascii="Fira Sans" w:eastAsiaTheme="majorEastAsia" w:hAnsi="Fira Sans" w:cstheme="majorBidi"/>
      <w:b/>
      <w:iCs/>
      <w:color w:val="15272F" w:themeColor="text1"/>
    </w:rPr>
  </w:style>
  <w:style w:type="paragraph" w:customStyle="1" w:styleId="ListLevel1">
    <w:name w:val="List Level 1"/>
    <w:basedOn w:val="ListLevel2"/>
    <w:link w:val="ListLevel1Char"/>
    <w:qFormat/>
    <w:rsid w:val="0049520A"/>
    <w:pPr>
      <w:numPr>
        <w:numId w:val="5"/>
      </w:numPr>
    </w:pPr>
  </w:style>
  <w:style w:type="paragraph" w:customStyle="1" w:styleId="ListLevel2">
    <w:name w:val="List Level 2"/>
    <w:basedOn w:val="Normal"/>
    <w:link w:val="ListLevel2Char"/>
    <w:qFormat/>
    <w:rsid w:val="0049520A"/>
    <w:pPr>
      <w:numPr>
        <w:ilvl w:val="1"/>
        <w:numId w:val="4"/>
      </w:numPr>
      <w:contextualSpacing/>
    </w:pPr>
  </w:style>
  <w:style w:type="paragraph" w:styleId="Header">
    <w:name w:val="header"/>
    <w:basedOn w:val="Normal"/>
    <w:link w:val="HeaderChar"/>
    <w:uiPriority w:val="99"/>
    <w:unhideWhenUsed/>
    <w:rsid w:val="007F3660"/>
    <w:pPr>
      <w:tabs>
        <w:tab w:val="center" w:pos="4680"/>
        <w:tab w:val="right" w:pos="9360"/>
      </w:tabs>
      <w:spacing w:after="0" w:line="240" w:lineRule="auto"/>
    </w:pPr>
  </w:style>
  <w:style w:type="character" w:customStyle="1" w:styleId="ListLevel1Char">
    <w:name w:val="List Level 1 Char"/>
    <w:basedOn w:val="ListLevel2Char"/>
    <w:link w:val="ListLevel1"/>
    <w:rsid w:val="0049520A"/>
    <w:rPr>
      <w:rFonts w:ascii="Arial" w:hAnsi="Arial"/>
      <w:color w:val="15272F" w:themeColor="text1"/>
    </w:rPr>
  </w:style>
  <w:style w:type="character" w:customStyle="1" w:styleId="ListLevel2Char">
    <w:name w:val="List Level 2 Char"/>
    <w:basedOn w:val="DefaultParagraphFont"/>
    <w:link w:val="ListLevel2"/>
    <w:rsid w:val="0049520A"/>
    <w:rPr>
      <w:rFonts w:ascii="Arial" w:hAnsi="Arial"/>
      <w:color w:val="15272F" w:themeColor="text1"/>
    </w:rPr>
  </w:style>
  <w:style w:type="character" w:customStyle="1" w:styleId="HeaderChar">
    <w:name w:val="Header Char"/>
    <w:basedOn w:val="DefaultParagraphFont"/>
    <w:link w:val="Header"/>
    <w:uiPriority w:val="99"/>
    <w:rsid w:val="007F3660"/>
    <w:rPr>
      <w:rFonts w:ascii="Fira Sans" w:hAnsi="Fira Sans"/>
      <w:color w:val="15272F" w:themeColor="text1"/>
    </w:rPr>
  </w:style>
  <w:style w:type="paragraph" w:styleId="Footer">
    <w:name w:val="footer"/>
    <w:basedOn w:val="Normal"/>
    <w:link w:val="FooterChar"/>
    <w:uiPriority w:val="99"/>
    <w:unhideWhenUsed/>
    <w:rsid w:val="007F3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660"/>
    <w:rPr>
      <w:rFonts w:ascii="Fira Sans" w:hAnsi="Fira Sans"/>
      <w:color w:val="15272F" w:themeColor="text1"/>
    </w:rPr>
  </w:style>
  <w:style w:type="paragraph" w:styleId="ListParagraph">
    <w:name w:val="List Paragraph"/>
    <w:aliases w:val="Recommendation,List Paragraph1,Bullet table,Bullet L1,List Paragraph11,Bullet point,Figure_name,Numbered Indented Text,Bullet- First level,List NUmber,Listenabsatz1,lp1,Body text,NAST Quote,standard lewis,List Number1,Body Text1"/>
    <w:basedOn w:val="Normal"/>
    <w:link w:val="ListParagraphChar"/>
    <w:uiPriority w:val="34"/>
    <w:qFormat/>
    <w:rsid w:val="007F3660"/>
    <w:pPr>
      <w:ind w:left="720"/>
      <w:contextualSpacing/>
    </w:pPr>
  </w:style>
  <w:style w:type="paragraph" w:customStyle="1" w:styleId="TableFigureheading">
    <w:name w:val="Table/Figure heading"/>
    <w:basedOn w:val="Heading4"/>
    <w:link w:val="TableFigureheadingChar"/>
    <w:qFormat/>
    <w:rsid w:val="007F3660"/>
    <w:pPr>
      <w:spacing w:before="240"/>
    </w:pPr>
    <w:rPr>
      <w:b w:val="0"/>
      <w:color w:val="008F55" w:themeColor="accent4"/>
    </w:rPr>
  </w:style>
  <w:style w:type="table" w:customStyle="1" w:styleId="IHACPATable">
    <w:name w:val="IHACPA Table"/>
    <w:basedOn w:val="TableNormal"/>
    <w:uiPriority w:val="99"/>
    <w:rsid w:val="007F3660"/>
    <w:pPr>
      <w:spacing w:after="0" w:line="240" w:lineRule="auto"/>
    </w:pPr>
    <w:rPr>
      <w:sz w:val="18"/>
    </w:rPr>
    <w:tblPr>
      <w:tblStyleRowBandSize w:val="1"/>
    </w:tblPr>
    <w:tblStylePr w:type="firstRow">
      <w:tblPr/>
      <w:tcPr>
        <w:shd w:val="clear" w:color="auto" w:fill="15272F" w:themeFill="text2"/>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character" w:customStyle="1" w:styleId="TableFigureheadingChar">
    <w:name w:val="Table/Figure heading Char"/>
    <w:basedOn w:val="Heading4Char"/>
    <w:link w:val="TableFigureheading"/>
    <w:rsid w:val="007F3660"/>
    <w:rPr>
      <w:rFonts w:ascii="Fira Sans" w:eastAsiaTheme="majorEastAsia" w:hAnsi="Fira Sans" w:cstheme="majorBidi"/>
      <w:b w:val="0"/>
      <w:iCs/>
      <w:color w:val="008F55" w:themeColor="accent4"/>
    </w:rPr>
  </w:style>
  <w:style w:type="table" w:styleId="TableGrid">
    <w:name w:val="Table Grid"/>
    <w:basedOn w:val="TableNormal"/>
    <w:uiPriority w:val="59"/>
    <w:rsid w:val="007F3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HPATable">
    <w:name w:val="IHPA Table"/>
    <w:basedOn w:val="TableNormal"/>
    <w:uiPriority w:val="99"/>
    <w:rsid w:val="007F3660"/>
    <w:pPr>
      <w:spacing w:after="0" w:line="240" w:lineRule="auto"/>
    </w:pPr>
    <w:tblPr>
      <w:tblStyleRowBandSize w:val="1"/>
    </w:tblPr>
    <w:tblStylePr w:type="firstRow">
      <w:rPr>
        <w:rFonts w:asciiTheme="minorHAnsi" w:hAnsiTheme="minorHAnsi"/>
        <w:color w:val="FFFFFF" w:themeColor="background2"/>
        <w:sz w:val="18"/>
      </w:rPr>
      <w:tblPr/>
      <w:tcPr>
        <w:shd w:val="clear" w:color="auto" w:fill="008F55" w:themeFill="accent4"/>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paragraph" w:customStyle="1" w:styleId="Footnote">
    <w:name w:val="Footnote"/>
    <w:basedOn w:val="Normal"/>
    <w:link w:val="FootnoteChar"/>
    <w:qFormat/>
    <w:rsid w:val="0049520A"/>
    <w:pPr>
      <w:spacing w:after="120"/>
    </w:pPr>
    <w:rPr>
      <w:sz w:val="16"/>
      <w:szCs w:val="15"/>
    </w:rPr>
  </w:style>
  <w:style w:type="character" w:customStyle="1" w:styleId="FootnoteChar">
    <w:name w:val="Footnote Char"/>
    <w:basedOn w:val="DefaultParagraphFont"/>
    <w:link w:val="Footnote"/>
    <w:rsid w:val="0049520A"/>
    <w:rPr>
      <w:rFonts w:ascii="Arial" w:hAnsi="Arial"/>
      <w:color w:val="15272F" w:themeColor="text1"/>
      <w:sz w:val="16"/>
      <w:szCs w:val="15"/>
    </w:rPr>
  </w:style>
  <w:style w:type="character" w:styleId="Hyperlink">
    <w:name w:val="Hyperlink"/>
    <w:basedOn w:val="DefaultParagraphFont"/>
    <w:uiPriority w:val="99"/>
    <w:unhideWhenUsed/>
    <w:rsid w:val="007F3660"/>
    <w:rPr>
      <w:color w:val="0080C4" w:themeColor="hyperlink"/>
      <w:u w:val="single"/>
    </w:rPr>
  </w:style>
  <w:style w:type="paragraph" w:styleId="TOC1">
    <w:name w:val="toc 1"/>
    <w:basedOn w:val="Normal"/>
    <w:next w:val="Normal"/>
    <w:autoRedefine/>
    <w:uiPriority w:val="39"/>
    <w:unhideWhenUsed/>
    <w:rsid w:val="00276510"/>
    <w:pPr>
      <w:spacing w:after="360"/>
    </w:pPr>
    <w:rPr>
      <w:b/>
      <w:sz w:val="28"/>
    </w:rPr>
  </w:style>
  <w:style w:type="paragraph" w:customStyle="1" w:styleId="CoverTitle">
    <w:name w:val="Cover Title"/>
    <w:basedOn w:val="Title"/>
    <w:link w:val="CoverTitleChar"/>
    <w:qFormat/>
    <w:rsid w:val="0049520A"/>
    <w:pPr>
      <w:spacing w:after="720"/>
      <w:ind w:right="1242"/>
    </w:pPr>
    <w:rPr>
      <w:color w:val="FFFFFF" w:themeColor="background2"/>
      <w:sz w:val="96"/>
      <w:szCs w:val="96"/>
    </w:rPr>
  </w:style>
  <w:style w:type="paragraph" w:customStyle="1" w:styleId="Coversubtitle">
    <w:name w:val="Cover subtitle"/>
    <w:basedOn w:val="CoverTitle"/>
    <w:link w:val="CoversubtitleChar"/>
    <w:qFormat/>
    <w:rsid w:val="0049520A"/>
    <w:rPr>
      <w:color w:val="54C1AF" w:themeColor="accent5"/>
      <w:sz w:val="48"/>
      <w:szCs w:val="48"/>
    </w:rPr>
  </w:style>
  <w:style w:type="character" w:customStyle="1" w:styleId="CoverTitleChar">
    <w:name w:val="Cover Title Char"/>
    <w:basedOn w:val="TitleChar"/>
    <w:link w:val="CoverTitle"/>
    <w:rsid w:val="0049520A"/>
    <w:rPr>
      <w:rFonts w:ascii="Arial" w:eastAsiaTheme="majorEastAsia" w:hAnsi="Arial" w:cstheme="majorBidi"/>
      <w:b/>
      <w:color w:val="FFFFFF" w:themeColor="background2"/>
      <w:spacing w:val="-10"/>
      <w:kern w:val="28"/>
      <w:sz w:val="96"/>
      <w:szCs w:val="96"/>
    </w:rPr>
  </w:style>
  <w:style w:type="character" w:styleId="UnresolvedMention">
    <w:name w:val="Unresolved Mention"/>
    <w:basedOn w:val="DefaultParagraphFont"/>
    <w:uiPriority w:val="99"/>
    <w:semiHidden/>
    <w:unhideWhenUsed/>
    <w:rsid w:val="007F3660"/>
    <w:rPr>
      <w:color w:val="605E5C"/>
      <w:shd w:val="clear" w:color="auto" w:fill="E1DFDD"/>
    </w:rPr>
  </w:style>
  <w:style w:type="character" w:customStyle="1" w:styleId="CoversubtitleChar">
    <w:name w:val="Cover subtitle Char"/>
    <w:basedOn w:val="CoverTitleChar"/>
    <w:link w:val="Coversubtitle"/>
    <w:rsid w:val="0049520A"/>
    <w:rPr>
      <w:rFonts w:ascii="Arial" w:eastAsiaTheme="majorEastAsia" w:hAnsi="Arial" w:cstheme="majorBidi"/>
      <w:b/>
      <w:color w:val="54C1AF" w:themeColor="accent5"/>
      <w:spacing w:val="-10"/>
      <w:kern w:val="28"/>
      <w:sz w:val="48"/>
      <w:szCs w:val="48"/>
    </w:rPr>
  </w:style>
  <w:style w:type="paragraph" w:customStyle="1" w:styleId="Copyrightcopy">
    <w:name w:val="Copyright copy"/>
    <w:basedOn w:val="Normal"/>
    <w:next w:val="Normal"/>
    <w:qFormat/>
    <w:rsid w:val="0049520A"/>
    <w:pPr>
      <w:ind w:right="4064"/>
    </w:pPr>
    <w:rPr>
      <w:sz w:val="18"/>
    </w:rPr>
  </w:style>
  <w:style w:type="paragraph" w:customStyle="1" w:styleId="Copyrightheading">
    <w:name w:val="Copyright heading"/>
    <w:basedOn w:val="Heading4"/>
    <w:next w:val="Normal"/>
    <w:qFormat/>
    <w:rsid w:val="0049520A"/>
  </w:style>
  <w:style w:type="character" w:customStyle="1" w:styleId="Heading5Char">
    <w:name w:val="Heading 5 Char"/>
    <w:basedOn w:val="DefaultParagraphFont"/>
    <w:link w:val="Heading5"/>
    <w:uiPriority w:val="9"/>
    <w:semiHidden/>
    <w:rsid w:val="007F3660"/>
    <w:rPr>
      <w:rFonts w:ascii="Fira Sans" w:eastAsiaTheme="majorEastAsia" w:hAnsi="Fira Sans" w:cstheme="majorBidi"/>
      <w:b/>
      <w:color w:val="0F1D23" w:themeColor="accent1" w:themeShade="BF"/>
    </w:rPr>
  </w:style>
  <w:style w:type="paragraph" w:styleId="NoSpacing">
    <w:name w:val="No Spacing"/>
    <w:uiPriority w:val="1"/>
    <w:rsid w:val="0049520A"/>
    <w:pPr>
      <w:spacing w:after="0" w:line="240" w:lineRule="auto"/>
    </w:pPr>
    <w:rPr>
      <w:rFonts w:ascii="Arial" w:hAnsi="Arial"/>
      <w:color w:val="15272F" w:themeColor="text1"/>
    </w:rPr>
  </w:style>
  <w:style w:type="paragraph" w:styleId="Subtitle">
    <w:name w:val="Subtitle"/>
    <w:basedOn w:val="Normal"/>
    <w:next w:val="Normal"/>
    <w:link w:val="SubtitleChar"/>
    <w:uiPriority w:val="11"/>
    <w:rsid w:val="007F3660"/>
    <w:pPr>
      <w:numPr>
        <w:ilvl w:val="1"/>
      </w:numPr>
    </w:pPr>
    <w:rPr>
      <w:rFonts w:eastAsiaTheme="minorEastAsia"/>
      <w:color w:val="45809A" w:themeColor="text1" w:themeTint="A5"/>
      <w:spacing w:val="15"/>
    </w:rPr>
  </w:style>
  <w:style w:type="character" w:customStyle="1" w:styleId="SubtitleChar">
    <w:name w:val="Subtitle Char"/>
    <w:basedOn w:val="DefaultParagraphFont"/>
    <w:link w:val="Subtitle"/>
    <w:uiPriority w:val="11"/>
    <w:rsid w:val="007F3660"/>
    <w:rPr>
      <w:rFonts w:ascii="Fira Sans" w:eastAsiaTheme="minorEastAsia" w:hAnsi="Fira Sans"/>
      <w:color w:val="45809A" w:themeColor="text1" w:themeTint="A5"/>
      <w:spacing w:val="15"/>
    </w:rPr>
  </w:style>
  <w:style w:type="paragraph" w:styleId="TOCHeading">
    <w:name w:val="TOC Heading"/>
    <w:basedOn w:val="Heading1"/>
    <w:next w:val="Normal"/>
    <w:uiPriority w:val="39"/>
    <w:unhideWhenUsed/>
    <w:qFormat/>
    <w:rsid w:val="000E76C9"/>
    <w:pPr>
      <w:spacing w:before="240" w:after="0" w:line="259" w:lineRule="auto"/>
      <w:outlineLvl w:val="9"/>
    </w:pPr>
    <w:rPr>
      <w:rFonts w:asciiTheme="majorHAnsi" w:hAnsiTheme="majorHAnsi"/>
      <w:b w:val="0"/>
      <w:color w:val="0F1D23" w:themeColor="accent1" w:themeShade="BF"/>
      <w:sz w:val="32"/>
      <w:lang w:val="en-US"/>
    </w:rPr>
  </w:style>
  <w:style w:type="paragraph" w:styleId="TOC2">
    <w:name w:val="toc 2"/>
    <w:basedOn w:val="Normal"/>
    <w:next w:val="Normal"/>
    <w:autoRedefine/>
    <w:uiPriority w:val="39"/>
    <w:unhideWhenUsed/>
    <w:rsid w:val="000E76C9"/>
    <w:pPr>
      <w:spacing w:after="100"/>
      <w:ind w:left="220"/>
    </w:pPr>
  </w:style>
  <w:style w:type="paragraph" w:styleId="TOC3">
    <w:name w:val="toc 3"/>
    <w:basedOn w:val="Normal"/>
    <w:next w:val="Normal"/>
    <w:autoRedefine/>
    <w:uiPriority w:val="39"/>
    <w:unhideWhenUsed/>
    <w:rsid w:val="000E76C9"/>
    <w:pPr>
      <w:spacing w:after="100"/>
      <w:ind w:left="440"/>
    </w:pPr>
  </w:style>
  <w:style w:type="paragraph" w:styleId="ListBullet">
    <w:name w:val="List Bullet"/>
    <w:basedOn w:val="Normal"/>
    <w:autoRedefine/>
    <w:uiPriority w:val="3"/>
    <w:qFormat/>
    <w:rsid w:val="00BA1762"/>
    <w:pPr>
      <w:spacing w:before="120" w:after="120" w:line="260" w:lineRule="atLeast"/>
    </w:pPr>
    <w:rPr>
      <w:rFonts w:eastAsia="Times New Roman" w:cs="Times New Roman"/>
      <w:color w:val="auto"/>
      <w:szCs w:val="24"/>
      <w:lang w:val="en-AU" w:eastAsia="en-AU"/>
    </w:rPr>
  </w:style>
  <w:style w:type="character" w:customStyle="1" w:styleId="Heading6Char">
    <w:name w:val="Heading 6 Char"/>
    <w:basedOn w:val="DefaultParagraphFont"/>
    <w:link w:val="Heading6"/>
    <w:uiPriority w:val="9"/>
    <w:semiHidden/>
    <w:rsid w:val="00BA1762"/>
    <w:rPr>
      <w:rFonts w:asciiTheme="majorHAnsi" w:eastAsiaTheme="majorEastAsia" w:hAnsiTheme="majorHAnsi" w:cstheme="majorBidi"/>
      <w:color w:val="0A1317" w:themeColor="accent1" w:themeShade="7F"/>
    </w:rPr>
  </w:style>
  <w:style w:type="character" w:customStyle="1" w:styleId="Heading7Char">
    <w:name w:val="Heading 7 Char"/>
    <w:basedOn w:val="DefaultParagraphFont"/>
    <w:link w:val="Heading7"/>
    <w:uiPriority w:val="9"/>
    <w:semiHidden/>
    <w:rsid w:val="00BA1762"/>
    <w:rPr>
      <w:rFonts w:asciiTheme="majorHAnsi" w:eastAsiaTheme="majorEastAsia" w:hAnsiTheme="majorHAnsi" w:cstheme="majorBidi"/>
      <w:i/>
      <w:iCs/>
      <w:color w:val="0A1317" w:themeColor="accent1" w:themeShade="7F"/>
    </w:rPr>
  </w:style>
  <w:style w:type="character" w:customStyle="1" w:styleId="Heading8Char">
    <w:name w:val="Heading 8 Char"/>
    <w:basedOn w:val="DefaultParagraphFont"/>
    <w:link w:val="Heading8"/>
    <w:uiPriority w:val="9"/>
    <w:semiHidden/>
    <w:rsid w:val="00BA1762"/>
    <w:rPr>
      <w:rFonts w:asciiTheme="majorHAnsi" w:eastAsiaTheme="majorEastAsia" w:hAnsiTheme="majorHAnsi" w:cstheme="majorBidi"/>
      <w:color w:val="294D5D" w:themeColor="text1" w:themeTint="D8"/>
      <w:sz w:val="21"/>
      <w:szCs w:val="21"/>
    </w:rPr>
  </w:style>
  <w:style w:type="character" w:customStyle="1" w:styleId="Heading9Char">
    <w:name w:val="Heading 9 Char"/>
    <w:basedOn w:val="DefaultParagraphFont"/>
    <w:link w:val="Heading9"/>
    <w:uiPriority w:val="9"/>
    <w:semiHidden/>
    <w:rsid w:val="00BA1762"/>
    <w:rPr>
      <w:rFonts w:asciiTheme="majorHAnsi" w:eastAsiaTheme="majorEastAsia" w:hAnsiTheme="majorHAnsi" w:cstheme="majorBidi"/>
      <w:i/>
      <w:iCs/>
      <w:color w:val="294D5D" w:themeColor="text1" w:themeTint="D8"/>
      <w:sz w:val="21"/>
      <w:szCs w:val="21"/>
    </w:rPr>
  </w:style>
  <w:style w:type="paragraph" w:styleId="FootnoteText">
    <w:name w:val="footnote text"/>
    <w:basedOn w:val="Normal"/>
    <w:link w:val="FootnoteTextChar"/>
    <w:autoRedefine/>
    <w:uiPriority w:val="99"/>
    <w:rsid w:val="00BA1762"/>
    <w:pPr>
      <w:spacing w:after="0" w:line="240" w:lineRule="auto"/>
      <w:ind w:left="142" w:hanging="142"/>
    </w:pPr>
    <w:rPr>
      <w:rFonts w:eastAsia="Times New Roman" w:cs="Times New Roman"/>
      <w:color w:val="auto"/>
      <w:szCs w:val="20"/>
      <w:lang w:val="en-AU" w:eastAsia="en-AU"/>
    </w:rPr>
  </w:style>
  <w:style w:type="character" w:customStyle="1" w:styleId="FootnoteTextChar">
    <w:name w:val="Footnote Text Char"/>
    <w:basedOn w:val="DefaultParagraphFont"/>
    <w:link w:val="FootnoteText"/>
    <w:uiPriority w:val="99"/>
    <w:rsid w:val="00BA1762"/>
    <w:rPr>
      <w:rFonts w:ascii="Arial" w:eastAsia="Times New Roman" w:hAnsi="Arial" w:cs="Times New Roman"/>
      <w:szCs w:val="20"/>
      <w:lang w:val="en-AU" w:eastAsia="en-AU"/>
    </w:rPr>
  </w:style>
  <w:style w:type="character" w:styleId="FootnoteReference">
    <w:name w:val="footnote reference"/>
    <w:basedOn w:val="DefaultParagraphFont"/>
    <w:uiPriority w:val="99"/>
    <w:rsid w:val="00BA1762"/>
    <w:rPr>
      <w:vertAlign w:val="superscript"/>
    </w:rPr>
  </w:style>
  <w:style w:type="paragraph" w:styleId="Caption">
    <w:name w:val="caption"/>
    <w:basedOn w:val="Normal"/>
    <w:next w:val="Normal"/>
    <w:autoRedefine/>
    <w:unhideWhenUsed/>
    <w:rsid w:val="00283621"/>
    <w:rPr>
      <w:rFonts w:eastAsia="Times New Roman" w:cs="Times New Roman"/>
      <w:b/>
      <w:bCs/>
      <w:color w:val="auto"/>
      <w:sz w:val="18"/>
      <w:szCs w:val="18"/>
      <w:lang w:val="en-AU" w:eastAsia="en-AU"/>
    </w:rPr>
  </w:style>
  <w:style w:type="paragraph" w:styleId="ListBullet5">
    <w:name w:val="List Bullet 5"/>
    <w:basedOn w:val="Normal"/>
    <w:autoRedefine/>
    <w:uiPriority w:val="3"/>
    <w:semiHidden/>
    <w:unhideWhenUsed/>
    <w:rsid w:val="00BA1762"/>
    <w:pPr>
      <w:numPr>
        <w:numId w:val="12"/>
      </w:numPr>
      <w:spacing w:before="120" w:after="120" w:line="260" w:lineRule="atLeast"/>
      <w:contextualSpacing/>
    </w:pPr>
    <w:rPr>
      <w:rFonts w:eastAsia="Times New Roman" w:cs="Times New Roman"/>
      <w:color w:val="auto"/>
      <w:szCs w:val="24"/>
      <w:lang w:val="en-AU" w:eastAsia="en-AU"/>
    </w:rPr>
  </w:style>
  <w:style w:type="paragraph" w:styleId="ListNumber5">
    <w:name w:val="List Number 5"/>
    <w:basedOn w:val="Normal"/>
    <w:autoRedefine/>
    <w:uiPriority w:val="3"/>
    <w:semiHidden/>
    <w:unhideWhenUsed/>
    <w:rsid w:val="00BA1762"/>
    <w:pPr>
      <w:numPr>
        <w:numId w:val="13"/>
      </w:numPr>
      <w:spacing w:before="120" w:after="120" w:line="260" w:lineRule="atLeast"/>
      <w:contextualSpacing/>
    </w:pPr>
    <w:rPr>
      <w:rFonts w:eastAsia="Times New Roman" w:cs="Times New Roman"/>
      <w:color w:val="auto"/>
      <w:szCs w:val="24"/>
      <w:lang w:val="en-AU" w:eastAsia="en-AU"/>
    </w:rPr>
  </w:style>
  <w:style w:type="character" w:customStyle="1" w:styleId="ListParagraphChar">
    <w:name w:val="List Paragraph Char"/>
    <w:aliases w:val="Recommendation Char,List Paragraph1 Char,Bullet table Char,Bullet L1 Char,List Paragraph11 Char,Bullet point Char,Figure_name Char,Numbered Indented Text Char,Bullet- First level Char,List NUmber Char,Listenabsatz1 Char,lp1 Char"/>
    <w:link w:val="ListParagraph"/>
    <w:uiPriority w:val="34"/>
    <w:locked/>
    <w:rsid w:val="00BA1762"/>
    <w:rPr>
      <w:rFonts w:ascii="Arial" w:hAnsi="Arial"/>
      <w:color w:val="15272F" w:themeColor="text1"/>
    </w:rPr>
  </w:style>
  <w:style w:type="paragraph" w:customStyle="1" w:styleId="ListParagraph2">
    <w:name w:val="List Paragraph 2"/>
    <w:basedOn w:val="ListParagraph"/>
    <w:link w:val="ListParagraph2Char"/>
    <w:uiPriority w:val="1"/>
    <w:qFormat/>
    <w:rsid w:val="00BA1762"/>
    <w:pPr>
      <w:spacing w:before="120" w:after="120" w:line="260" w:lineRule="atLeast"/>
      <w:ind w:hanging="360"/>
      <w:contextualSpacing w:val="0"/>
    </w:pPr>
    <w:rPr>
      <w:rFonts w:eastAsia="Times New Roman" w:cs="Times New Roman"/>
      <w:szCs w:val="24"/>
      <w:lang w:val="en-GB" w:eastAsia="en-AU"/>
    </w:rPr>
  </w:style>
  <w:style w:type="character" w:customStyle="1" w:styleId="ListParagraph2Char">
    <w:name w:val="List Paragraph 2 Char"/>
    <w:basedOn w:val="ListParagraphChar"/>
    <w:link w:val="ListParagraph2"/>
    <w:uiPriority w:val="1"/>
    <w:rsid w:val="00BA1762"/>
    <w:rPr>
      <w:rFonts w:ascii="Arial" w:eastAsia="Times New Roman" w:hAnsi="Arial" w:cs="Times New Roman"/>
      <w:color w:val="15272F" w:themeColor="text1"/>
      <w:szCs w:val="24"/>
      <w:lang w:val="en-GB" w:eastAsia="en-AU"/>
    </w:rPr>
  </w:style>
  <w:style w:type="table" w:customStyle="1" w:styleId="ListTable3-Accent11">
    <w:name w:val="List Table 3 - Accent 11"/>
    <w:basedOn w:val="TableNormal"/>
    <w:uiPriority w:val="48"/>
    <w:rsid w:val="00BA1762"/>
    <w:pPr>
      <w:spacing w:after="0" w:line="240" w:lineRule="auto"/>
    </w:pPr>
    <w:rPr>
      <w:rFonts w:ascii="Times New Roman" w:eastAsia="Times New Roman" w:hAnsi="Times New Roman" w:cs="Times New Roman"/>
      <w:sz w:val="20"/>
      <w:szCs w:val="20"/>
      <w:lang w:val="en-AU" w:eastAsia="en-AU"/>
    </w:rPr>
    <w:tblPr>
      <w:tblStyleRowBandSize w:val="1"/>
      <w:tblStyleColBandSize w:val="1"/>
      <w:tblBorders>
        <w:top w:val="single" w:sz="4" w:space="0" w:color="15272F" w:themeColor="accent1"/>
        <w:left w:val="single" w:sz="4" w:space="0" w:color="15272F" w:themeColor="accent1"/>
        <w:bottom w:val="single" w:sz="4" w:space="0" w:color="15272F" w:themeColor="accent1"/>
        <w:right w:val="single" w:sz="4" w:space="0" w:color="15272F" w:themeColor="accent1"/>
      </w:tblBorders>
    </w:tblPr>
    <w:tblStylePr w:type="firstRow">
      <w:rPr>
        <w:b/>
        <w:bCs/>
        <w:color w:val="54C1AF" w:themeColor="background1"/>
      </w:rPr>
      <w:tblPr/>
      <w:tcPr>
        <w:shd w:val="clear" w:color="auto" w:fill="15272F" w:themeFill="accent1"/>
      </w:tcPr>
    </w:tblStylePr>
    <w:tblStylePr w:type="lastRow">
      <w:rPr>
        <w:b/>
        <w:bCs/>
      </w:rPr>
      <w:tblPr/>
      <w:tcPr>
        <w:tcBorders>
          <w:top w:val="double" w:sz="4" w:space="0" w:color="15272F" w:themeColor="accent1"/>
        </w:tcBorders>
        <w:shd w:val="clear" w:color="auto" w:fill="54C1AF" w:themeFill="background1"/>
      </w:tcPr>
    </w:tblStylePr>
    <w:tblStylePr w:type="firstCol">
      <w:rPr>
        <w:b/>
        <w:bCs/>
      </w:rPr>
      <w:tblPr/>
      <w:tcPr>
        <w:tcBorders>
          <w:right w:val="nil"/>
        </w:tcBorders>
        <w:shd w:val="clear" w:color="auto" w:fill="54C1AF" w:themeFill="background1"/>
      </w:tcPr>
    </w:tblStylePr>
    <w:tblStylePr w:type="lastCol">
      <w:rPr>
        <w:b/>
        <w:bCs/>
      </w:rPr>
      <w:tblPr/>
      <w:tcPr>
        <w:tcBorders>
          <w:left w:val="nil"/>
        </w:tcBorders>
        <w:shd w:val="clear" w:color="auto" w:fill="54C1AF" w:themeFill="background1"/>
      </w:tcPr>
    </w:tblStylePr>
    <w:tblStylePr w:type="band1Vert">
      <w:tblPr/>
      <w:tcPr>
        <w:tcBorders>
          <w:left w:val="single" w:sz="4" w:space="0" w:color="15272F" w:themeColor="accent1"/>
          <w:right w:val="single" w:sz="4" w:space="0" w:color="15272F" w:themeColor="accent1"/>
        </w:tcBorders>
      </w:tcPr>
    </w:tblStylePr>
    <w:tblStylePr w:type="band1Horz">
      <w:tblPr/>
      <w:tcPr>
        <w:tcBorders>
          <w:top w:val="single" w:sz="4" w:space="0" w:color="15272F" w:themeColor="accent1"/>
          <w:bottom w:val="single" w:sz="4" w:space="0" w:color="1527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72F" w:themeColor="accent1"/>
          <w:left w:val="nil"/>
        </w:tcBorders>
      </w:tcPr>
    </w:tblStylePr>
    <w:tblStylePr w:type="swCell">
      <w:tblPr/>
      <w:tcPr>
        <w:tcBorders>
          <w:top w:val="double" w:sz="4" w:space="0" w:color="15272F" w:themeColor="accent1"/>
          <w:right w:val="nil"/>
        </w:tcBorders>
      </w:tcPr>
    </w:tblStylePr>
  </w:style>
  <w:style w:type="paragraph" w:customStyle="1" w:styleId="Default">
    <w:name w:val="Default"/>
    <w:rsid w:val="00BA1762"/>
    <w:pPr>
      <w:autoSpaceDE w:val="0"/>
      <w:autoSpaceDN w:val="0"/>
      <w:adjustRightInd w:val="0"/>
      <w:spacing w:after="0" w:line="240" w:lineRule="auto"/>
    </w:pPr>
    <w:rPr>
      <w:rFonts w:ascii="Arial" w:eastAsia="Times New Roman" w:hAnsi="Arial" w:cs="Arial"/>
      <w:color w:val="000000"/>
      <w:sz w:val="24"/>
      <w:szCs w:val="24"/>
      <w:lang w:val="en-US" w:eastAsia="en-AU"/>
    </w:rPr>
  </w:style>
  <w:style w:type="character" w:styleId="Strong">
    <w:name w:val="Strong"/>
    <w:basedOn w:val="DefaultParagraphFont"/>
    <w:qFormat/>
    <w:rsid w:val="00BA1762"/>
    <w:rPr>
      <w:b/>
      <w:bCs/>
    </w:rPr>
  </w:style>
  <w:style w:type="character" w:styleId="CommentReference">
    <w:name w:val="annotation reference"/>
    <w:basedOn w:val="DefaultParagraphFont"/>
    <w:uiPriority w:val="99"/>
    <w:semiHidden/>
    <w:unhideWhenUsed/>
    <w:rsid w:val="008108ED"/>
    <w:rPr>
      <w:sz w:val="16"/>
      <w:szCs w:val="16"/>
    </w:rPr>
  </w:style>
  <w:style w:type="paragraph" w:styleId="CommentText">
    <w:name w:val="annotation text"/>
    <w:basedOn w:val="Normal"/>
    <w:link w:val="CommentTextChar"/>
    <w:uiPriority w:val="99"/>
    <w:semiHidden/>
    <w:unhideWhenUsed/>
    <w:rsid w:val="008108ED"/>
    <w:pPr>
      <w:spacing w:line="240" w:lineRule="auto"/>
    </w:pPr>
    <w:rPr>
      <w:sz w:val="20"/>
      <w:szCs w:val="20"/>
    </w:rPr>
  </w:style>
  <w:style w:type="character" w:customStyle="1" w:styleId="CommentTextChar">
    <w:name w:val="Comment Text Char"/>
    <w:basedOn w:val="DefaultParagraphFont"/>
    <w:link w:val="CommentText"/>
    <w:uiPriority w:val="99"/>
    <w:semiHidden/>
    <w:rsid w:val="008108ED"/>
    <w:rPr>
      <w:rFonts w:ascii="Arial" w:hAnsi="Arial"/>
      <w:color w:val="15272F" w:themeColor="text1"/>
      <w:sz w:val="20"/>
      <w:szCs w:val="20"/>
    </w:rPr>
  </w:style>
  <w:style w:type="paragraph" w:styleId="CommentSubject">
    <w:name w:val="annotation subject"/>
    <w:basedOn w:val="CommentText"/>
    <w:next w:val="CommentText"/>
    <w:link w:val="CommentSubjectChar"/>
    <w:uiPriority w:val="99"/>
    <w:semiHidden/>
    <w:unhideWhenUsed/>
    <w:rsid w:val="008108ED"/>
    <w:rPr>
      <w:b/>
      <w:bCs/>
    </w:rPr>
  </w:style>
  <w:style w:type="character" w:customStyle="1" w:styleId="CommentSubjectChar">
    <w:name w:val="Comment Subject Char"/>
    <w:basedOn w:val="CommentTextChar"/>
    <w:link w:val="CommentSubject"/>
    <w:uiPriority w:val="99"/>
    <w:semiHidden/>
    <w:rsid w:val="008108ED"/>
    <w:rPr>
      <w:rFonts w:ascii="Arial" w:hAnsi="Arial"/>
      <w:b/>
      <w:bCs/>
      <w:color w:val="15272F"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39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sv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hacpa.gov.au/"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twitter.com/IHACP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yperlink" Target="mailto:enquiries.ihacpa@ihacpa.gov.a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hacpa.gov.au/resources/governance-framework-development-admitted-care-classifi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IHACPA">
      <a:dk1>
        <a:srgbClr val="15272F"/>
      </a:dk1>
      <a:lt1>
        <a:srgbClr val="54C1AF"/>
      </a:lt1>
      <a:dk2>
        <a:srgbClr val="15272F"/>
      </a:dk2>
      <a:lt2>
        <a:srgbClr val="FFFFFF"/>
      </a:lt2>
      <a:accent1>
        <a:srgbClr val="15272F"/>
      </a:accent1>
      <a:accent2>
        <a:srgbClr val="104F99"/>
      </a:accent2>
      <a:accent3>
        <a:srgbClr val="0080C4"/>
      </a:accent3>
      <a:accent4>
        <a:srgbClr val="008F55"/>
      </a:accent4>
      <a:accent5>
        <a:srgbClr val="54C1AF"/>
      </a:accent5>
      <a:accent6>
        <a:srgbClr val="FFFFFF"/>
      </a:accent6>
      <a:hlink>
        <a:srgbClr val="0080C4"/>
      </a:hlink>
      <a:folHlink>
        <a:srgbClr val="104F99"/>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36A41C46341A4EB433AB9CFA376FCF" ma:contentTypeVersion="18" ma:contentTypeDescription="Create a new document." ma:contentTypeScope="" ma:versionID="9f5b88082782bc2895508121d9c4a487">
  <xsd:schema xmlns:xsd="http://www.w3.org/2001/XMLSchema" xmlns:xs="http://www.w3.org/2001/XMLSchema" xmlns:p="http://schemas.microsoft.com/office/2006/metadata/properties" xmlns:ns2="2890e816-91e8-4f4f-9f85-30577999f8b5" xmlns:ns3="33d10c6f-0c16-4b9b-af64-e700fb2b70ed" targetNamespace="http://schemas.microsoft.com/office/2006/metadata/properties" ma:root="true" ma:fieldsID="625e27645a5741d57a68ea3e682a5868" ns2:_="" ns3:_="">
    <xsd:import namespace="2890e816-91e8-4f4f-9f85-30577999f8b5"/>
    <xsd:import namespace="33d10c6f-0c16-4b9b-af64-e700fb2b70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Presentation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0e816-91e8-4f4f-9f85-30577999f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resentations" ma:index="12" nillable="true" ma:displayName="Presentations" ma:format="Dropdown" ma:internalName="Presentations">
      <xsd:simpleType>
        <xsd:restriction base="dms:Choice">
          <xsd:enumeration value="2018"/>
          <xsd:enumeration value="2019"/>
          <xsd:enumeration value="2020"/>
          <xsd:enumeration value="Schedule"/>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d10c6f-0c16-4b9b-af64-e700fb2b70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ba50703-4b87-48f9-a99b-a515d25bd988}" ma:internalName="TaxCatchAll" ma:showField="CatchAllData" ma:web="33d10c6f-0c16-4b9b-af64-e700fb2b70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90e816-91e8-4f4f-9f85-30577999f8b5">
      <Terms xmlns="http://schemas.microsoft.com/office/infopath/2007/PartnerControls"/>
    </lcf76f155ced4ddcb4097134ff3c332f>
    <Presentations xmlns="2890e816-91e8-4f4f-9f85-30577999f8b5" xsi:nil="true"/>
    <TaxCatchAll xmlns="33d10c6f-0c16-4b9b-af64-e700fb2b70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96822A-1CD2-483E-8A1D-E38221B7C25C}">
  <ds:schemaRefs>
    <ds:schemaRef ds:uri="http://schemas.openxmlformats.org/officeDocument/2006/bibliography"/>
  </ds:schemaRefs>
</ds:datastoreItem>
</file>

<file path=customXml/itemProps2.xml><?xml version="1.0" encoding="utf-8"?>
<ds:datastoreItem xmlns:ds="http://schemas.openxmlformats.org/officeDocument/2006/customXml" ds:itemID="{97B770D2-F328-40D2-8ACB-FFE1069D9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0e816-91e8-4f4f-9f85-30577999f8b5"/>
    <ds:schemaRef ds:uri="33d10c6f-0c16-4b9b-af64-e700fb2b7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EDFDCB-1335-4834-AC94-8499D401E3D9}">
  <ds:schemaRefs>
    <ds:schemaRef ds:uri="http://schemas.microsoft.com/office/2006/metadata/properties"/>
    <ds:schemaRef ds:uri="http://schemas.microsoft.com/office/infopath/2007/PartnerControls"/>
    <ds:schemaRef ds:uri="2890e816-91e8-4f4f-9f85-30577999f8b5"/>
    <ds:schemaRef ds:uri="33d10c6f-0c16-4b9b-af64-e700fb2b70ed"/>
  </ds:schemaRefs>
</ds:datastoreItem>
</file>

<file path=customXml/itemProps4.xml><?xml version="1.0" encoding="utf-8"?>
<ds:datastoreItem xmlns:ds="http://schemas.openxmlformats.org/officeDocument/2006/customXml" ds:itemID="{97C0B3D3-796A-42F8-A098-234497BAD1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6998</Words>
  <Characters>39891</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Lau</dc:creator>
  <cp:keywords/>
  <dc:description/>
  <cp:lastModifiedBy>MAN, Veronica</cp:lastModifiedBy>
  <cp:revision>2</cp:revision>
  <dcterms:created xsi:type="dcterms:W3CDTF">2023-01-16T02:33:00Z</dcterms:created>
  <dcterms:modified xsi:type="dcterms:W3CDTF">2023-01-16T02:33:00Z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0x010100A736A41C46341A4EB433AB9CFA376FCF</vt:lpwstr>
  </property>
  <property fmtid="{D5CDD505-2E9C-101B-9397-08002B2CF9AE}" pid="3" name="MediaServiceImageTags">
    <vt:lpwstr/>
  </property>
</Properties>
</file>