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Default="00707A91" w:rsidP="00AD22E1">
      <w:pPr>
        <w:spacing w:after="1320"/>
      </w:pPr>
      <w:r>
        <w:rPr>
          <w:noProof/>
        </w:rPr>
        <w:drawing>
          <wp:inline distT="0" distB="0" distL="0" distR="0" wp14:anchorId="7E5C6FDC" wp14:editId="20DDC347">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91651" cy="1122098"/>
                    </a:xfrm>
                    <a:prstGeom prst="rect">
                      <a:avLst/>
                    </a:prstGeom>
                  </pic:spPr>
                </pic:pic>
              </a:graphicData>
            </a:graphic>
          </wp:inline>
        </w:drawing>
      </w:r>
    </w:p>
    <w:p w14:paraId="278F572E" w14:textId="77777777" w:rsidR="00726935" w:rsidRPr="00726935" w:rsidRDefault="00367B5A" w:rsidP="00A5626C">
      <w:pPr>
        <w:pStyle w:val="CoverTitle"/>
        <w:rPr>
          <w:sz w:val="88"/>
          <w:szCs w:val="88"/>
        </w:rPr>
      </w:pPr>
      <w:r w:rsidRPr="00726935">
        <w:rPr>
          <w:sz w:val="88"/>
          <w:szCs w:val="88"/>
        </w:rPr>
        <w:t xml:space="preserve">Australian Refined Diagnosis Related Groups Version 11.0 </w:t>
      </w:r>
    </w:p>
    <w:p w14:paraId="2222820C" w14:textId="77777777" w:rsidR="00726935" w:rsidRDefault="00726935" w:rsidP="00A5626C">
      <w:pPr>
        <w:pStyle w:val="CoverTitle"/>
        <w:rPr>
          <w:sz w:val="72"/>
          <w:szCs w:val="72"/>
        </w:rPr>
      </w:pPr>
    </w:p>
    <w:p w14:paraId="3126E457" w14:textId="52AF176D" w:rsidR="00707A91" w:rsidRPr="00BB5DE8" w:rsidRDefault="00367B5A" w:rsidP="00A5626C">
      <w:pPr>
        <w:pStyle w:val="CoverTitle"/>
        <w:rPr>
          <w:color w:val="54C1AF" w:themeColor="accent5"/>
          <w:sz w:val="48"/>
          <w:szCs w:val="48"/>
        </w:rPr>
      </w:pPr>
      <w:r w:rsidRPr="00BB5DE8">
        <w:rPr>
          <w:color w:val="54C1AF" w:themeColor="accent5"/>
          <w:sz w:val="48"/>
          <w:szCs w:val="48"/>
        </w:rPr>
        <w:t>Final Report</w:t>
      </w:r>
    </w:p>
    <w:p w14:paraId="0949F265" w14:textId="77777777" w:rsidR="00BB5DE8" w:rsidRPr="008A6658" w:rsidRDefault="00BB5DE8" w:rsidP="00367B5A">
      <w:pPr>
        <w:pStyle w:val="Coversubtitle"/>
        <w:rPr>
          <w:color w:val="FFFFFF" w:themeColor="background2"/>
          <w:sz w:val="40"/>
          <w:szCs w:val="40"/>
        </w:rPr>
      </w:pPr>
    </w:p>
    <w:p w14:paraId="06064ACC" w14:textId="77777777" w:rsidR="00BB5DE8" w:rsidRPr="008A6658" w:rsidRDefault="00BB5DE8" w:rsidP="00367B5A">
      <w:pPr>
        <w:pStyle w:val="Coversubtitle"/>
        <w:rPr>
          <w:color w:val="FFFFFF" w:themeColor="background2"/>
          <w:sz w:val="40"/>
          <w:szCs w:val="40"/>
        </w:rPr>
      </w:pPr>
    </w:p>
    <w:p w14:paraId="7CED68AD" w14:textId="77777777" w:rsidR="00BB5DE8" w:rsidRPr="008A6658" w:rsidRDefault="00BB5DE8" w:rsidP="00367B5A">
      <w:pPr>
        <w:pStyle w:val="Coversubtitle"/>
        <w:rPr>
          <w:color w:val="FFFFFF" w:themeColor="background2"/>
          <w:sz w:val="40"/>
          <w:szCs w:val="40"/>
        </w:rPr>
      </w:pPr>
    </w:p>
    <w:p w14:paraId="33504851" w14:textId="77777777" w:rsidR="00BB5DE8" w:rsidRPr="008A6658" w:rsidRDefault="00BB5DE8" w:rsidP="00367B5A">
      <w:pPr>
        <w:pStyle w:val="Coversubtitle"/>
        <w:rPr>
          <w:color w:val="FFFFFF" w:themeColor="background2"/>
          <w:sz w:val="40"/>
          <w:szCs w:val="40"/>
        </w:rPr>
      </w:pPr>
    </w:p>
    <w:p w14:paraId="6D3A7248" w14:textId="77777777" w:rsidR="00BB5DE8" w:rsidRPr="008A6658" w:rsidRDefault="00BB5DE8" w:rsidP="00367B5A">
      <w:pPr>
        <w:pStyle w:val="Coversubtitle"/>
        <w:rPr>
          <w:color w:val="FFFFFF" w:themeColor="background2"/>
          <w:sz w:val="40"/>
          <w:szCs w:val="40"/>
        </w:rPr>
      </w:pPr>
    </w:p>
    <w:p w14:paraId="6FD7359D" w14:textId="77777777" w:rsidR="00BB5DE8" w:rsidRPr="008A6658" w:rsidRDefault="00BB5DE8" w:rsidP="00367B5A">
      <w:pPr>
        <w:pStyle w:val="Coversubtitle"/>
        <w:rPr>
          <w:color w:val="FFFFFF" w:themeColor="background2"/>
          <w:sz w:val="40"/>
          <w:szCs w:val="40"/>
        </w:rPr>
      </w:pPr>
    </w:p>
    <w:p w14:paraId="2022A20C" w14:textId="77777777" w:rsidR="00BB5DE8" w:rsidRPr="008A6658" w:rsidRDefault="00BB5DE8" w:rsidP="00367B5A">
      <w:pPr>
        <w:pStyle w:val="Coversubtitle"/>
        <w:rPr>
          <w:color w:val="FFFFFF" w:themeColor="background2"/>
          <w:sz w:val="40"/>
          <w:szCs w:val="40"/>
        </w:rPr>
      </w:pPr>
    </w:p>
    <w:p w14:paraId="44943032" w14:textId="77777777" w:rsidR="00BB5DE8" w:rsidRPr="008A6658" w:rsidRDefault="00BB5DE8" w:rsidP="00367B5A">
      <w:pPr>
        <w:pStyle w:val="Coversubtitle"/>
        <w:rPr>
          <w:color w:val="FFFFFF" w:themeColor="background2"/>
          <w:sz w:val="40"/>
          <w:szCs w:val="40"/>
        </w:rPr>
      </w:pPr>
    </w:p>
    <w:p w14:paraId="625EB60C" w14:textId="77777777" w:rsidR="00E77DC5" w:rsidRPr="008A6658" w:rsidRDefault="00E77DC5" w:rsidP="00E77DC5">
      <w:pPr>
        <w:pStyle w:val="Coversubtitle"/>
        <w:rPr>
          <w:color w:val="FFFFFF" w:themeColor="background2"/>
          <w:sz w:val="40"/>
          <w:szCs w:val="40"/>
        </w:rPr>
      </w:pPr>
    </w:p>
    <w:p w14:paraId="5867E2AE" w14:textId="0C884228" w:rsidR="00726935" w:rsidRPr="00DB161C" w:rsidRDefault="001904BF" w:rsidP="00E77DC5">
      <w:pPr>
        <w:pStyle w:val="Coversubtitle"/>
        <w:rPr>
          <w:b w:val="0"/>
          <w:sz w:val="40"/>
          <w:szCs w:val="40"/>
        </w:rPr>
        <w:sectPr w:rsidR="00726935" w:rsidRPr="00DB161C" w:rsidSect="00E426C6">
          <w:headerReference w:type="default" r:id="rId13"/>
          <w:type w:val="continuous"/>
          <w:pgSz w:w="11906" w:h="16838" w:code="9"/>
          <w:pgMar w:top="1440" w:right="1080" w:bottom="1440" w:left="1080" w:header="708" w:footer="708" w:gutter="0"/>
          <w:cols w:space="720"/>
          <w:docGrid w:linePitch="360"/>
        </w:sectPr>
      </w:pPr>
      <w:r w:rsidRPr="008A6658">
        <w:rPr>
          <w:color w:val="FFFFFF" w:themeColor="background2"/>
          <w:sz w:val="40"/>
          <w:szCs w:val="40"/>
        </w:rPr>
        <w:t>January 2023</w:t>
      </w:r>
    </w:p>
    <w:p w14:paraId="20BF2D79" w14:textId="607070E0" w:rsidR="00276510" w:rsidRDefault="00367B5A" w:rsidP="00B95A9B">
      <w:pPr>
        <w:pStyle w:val="Heading4"/>
        <w:numPr>
          <w:ilvl w:val="0"/>
          <w:numId w:val="0"/>
        </w:numPr>
      </w:pPr>
      <w:r>
        <w:lastRenderedPageBreak/>
        <w:t xml:space="preserve">Australian Refined Diagnosis Related Groups Version 11.0 </w:t>
      </w:r>
      <w:r w:rsidR="00BB5DE8" w:rsidRPr="007372C2">
        <w:rPr>
          <w:rFonts w:hint="cs"/>
        </w:rPr>
        <w:t>—</w:t>
      </w:r>
      <w:r w:rsidR="00BB5DE8">
        <w:t xml:space="preserve"> </w:t>
      </w:r>
      <w:r>
        <w:t xml:space="preserve">Final Report </w:t>
      </w:r>
      <w:r w:rsidR="00BB5DE8">
        <w:br/>
      </w:r>
      <w:r w:rsidR="001904BF">
        <w:t>January 2023</w:t>
      </w:r>
    </w:p>
    <w:p w14:paraId="2DD4609E" w14:textId="77777777" w:rsidR="009503F6" w:rsidRPr="001904BF" w:rsidRDefault="009503F6" w:rsidP="009503F6">
      <w:pPr>
        <w:pStyle w:val="Copyrightcopy"/>
        <w:rPr>
          <w:szCs w:val="18"/>
        </w:rPr>
      </w:pPr>
      <w:r>
        <w:rPr>
          <w:szCs w:val="18"/>
        </w:rPr>
        <w:t>Version</w:t>
      </w:r>
      <w:r w:rsidRPr="001904BF">
        <w:rPr>
          <w:szCs w:val="18"/>
        </w:rPr>
        <w:t xml:space="preserve"> History:</w:t>
      </w:r>
    </w:p>
    <w:p w14:paraId="478B61EB" w14:textId="04020958" w:rsidR="009503F6" w:rsidRDefault="009503F6" w:rsidP="009503F6">
      <w:pPr>
        <w:pStyle w:val="ListParagraph"/>
        <w:numPr>
          <w:ilvl w:val="0"/>
          <w:numId w:val="28"/>
        </w:numPr>
        <w:rPr>
          <w:sz w:val="18"/>
          <w:szCs w:val="18"/>
        </w:rPr>
      </w:pPr>
      <w:r>
        <w:rPr>
          <w:sz w:val="18"/>
          <w:szCs w:val="18"/>
        </w:rPr>
        <w:t>January 2023</w:t>
      </w:r>
      <w:r w:rsidR="00FF015C">
        <w:rPr>
          <w:sz w:val="18"/>
          <w:szCs w:val="18"/>
        </w:rPr>
        <w:t>:</w:t>
      </w:r>
      <w:r>
        <w:rPr>
          <w:sz w:val="18"/>
          <w:szCs w:val="18"/>
        </w:rPr>
        <w:t xml:space="preserve"> Amendments to the Final Report to incorporate</w:t>
      </w:r>
      <w:r w:rsidR="00643011">
        <w:rPr>
          <w:sz w:val="18"/>
          <w:szCs w:val="18"/>
        </w:rPr>
        <w:t xml:space="preserve"> updates due to</w:t>
      </w:r>
      <w:r>
        <w:rPr>
          <w:sz w:val="18"/>
          <w:szCs w:val="18"/>
        </w:rPr>
        <w:t xml:space="preserve"> </w:t>
      </w:r>
      <w:r w:rsidR="005B5672">
        <w:rPr>
          <w:sz w:val="18"/>
          <w:szCs w:val="18"/>
        </w:rPr>
        <w:t xml:space="preserve">remediation of </w:t>
      </w:r>
      <w:r>
        <w:rPr>
          <w:sz w:val="18"/>
          <w:szCs w:val="18"/>
        </w:rPr>
        <w:t>AR-DRG Version 11.0 data preparation anomaly.</w:t>
      </w:r>
    </w:p>
    <w:p w14:paraId="49384A04" w14:textId="2602CB48" w:rsidR="009503F6" w:rsidRPr="001904BF" w:rsidRDefault="009503F6" w:rsidP="009503F6">
      <w:pPr>
        <w:pStyle w:val="ListParagraph"/>
        <w:numPr>
          <w:ilvl w:val="0"/>
          <w:numId w:val="28"/>
        </w:numPr>
        <w:rPr>
          <w:sz w:val="18"/>
          <w:szCs w:val="18"/>
        </w:rPr>
      </w:pPr>
      <w:r>
        <w:rPr>
          <w:sz w:val="18"/>
          <w:szCs w:val="18"/>
        </w:rPr>
        <w:t>February 2022</w:t>
      </w:r>
      <w:r w:rsidR="00FF015C">
        <w:rPr>
          <w:sz w:val="18"/>
          <w:szCs w:val="18"/>
        </w:rPr>
        <w:t>:</w:t>
      </w:r>
      <w:r>
        <w:rPr>
          <w:sz w:val="18"/>
          <w:szCs w:val="18"/>
        </w:rPr>
        <w:t xml:space="preserve"> Publication of the Final Report.  </w:t>
      </w:r>
    </w:p>
    <w:p w14:paraId="61404F53" w14:textId="5CFDE25A" w:rsidR="00276510" w:rsidRPr="007372C2" w:rsidRDefault="00276510" w:rsidP="00276510">
      <w:pPr>
        <w:pStyle w:val="Copyrightcopy"/>
      </w:pPr>
      <w:r w:rsidRPr="007372C2">
        <w:rPr>
          <w:rFonts w:hint="cs"/>
        </w:rPr>
        <w:t>©</w:t>
      </w:r>
      <w:r w:rsidRPr="007372C2">
        <w:t xml:space="preserve"> Independent Health and Aged Care Pricing Authority </w:t>
      </w:r>
      <w:r w:rsidR="004E11B1">
        <w:t>2023</w:t>
      </w:r>
    </w:p>
    <w:p w14:paraId="7B301138" w14:textId="77777777" w:rsidR="00276510" w:rsidRPr="007372C2" w:rsidRDefault="00276510" w:rsidP="00276510">
      <w:pPr>
        <w:pStyle w:val="Copyrightcopy"/>
      </w:pPr>
      <w:r w:rsidRPr="007372C2">
        <w:t xml:space="preserve">This publication is available for your use under a Creative Commons BY Attribution 3.0 Australia </w:t>
      </w:r>
      <w:proofErr w:type="spellStart"/>
      <w:r w:rsidRPr="007372C2">
        <w:t>licence</w:t>
      </w:r>
      <w:proofErr w:type="spellEnd"/>
      <w:r w:rsidRPr="007372C2">
        <w:t xml:space="preserve">, </w:t>
      </w:r>
      <w:proofErr w:type="gramStart"/>
      <w:r w:rsidRPr="007372C2">
        <w:t>with the exception of</w:t>
      </w:r>
      <w:proofErr w:type="gramEnd"/>
      <w:r w:rsidRPr="007372C2">
        <w:t xml:space="preserve"> the Independent Health and Aged Care Pricing Authority logo, photographs, images, signatures and where otherwise stated. The full </w:t>
      </w:r>
      <w:proofErr w:type="spellStart"/>
      <w:r w:rsidRPr="007372C2">
        <w:t>licence</w:t>
      </w:r>
      <w:proofErr w:type="spellEnd"/>
      <w:r w:rsidRPr="007372C2">
        <w:t xml:space="preserve"> terms are available from the Creative Commons website.</w:t>
      </w:r>
    </w:p>
    <w:p w14:paraId="7E118B06" w14:textId="77777777" w:rsidR="00276510" w:rsidRPr="007372C2" w:rsidRDefault="00276510" w:rsidP="00276510">
      <w:pPr>
        <w:pStyle w:val="Copyrightcopy"/>
      </w:pPr>
      <w:r w:rsidRPr="007372C2">
        <w:rPr>
          <w:noProof/>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4">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20F64C9" w14:textId="77777777" w:rsidR="00276510" w:rsidRPr="007372C2" w:rsidRDefault="00276510" w:rsidP="00276510">
      <w:pPr>
        <w:pStyle w:val="Copyrightcopy"/>
      </w:pPr>
      <w:r w:rsidRPr="007372C2">
        <w:t xml:space="preserve">Use of Independent Health and Aged Care Pricing Authority material under a Creative Commons BY Attribution 3.0 Australia </w:t>
      </w:r>
      <w:proofErr w:type="spellStart"/>
      <w:r w:rsidRPr="007372C2">
        <w:t>licence</w:t>
      </w:r>
      <w:proofErr w:type="spellEnd"/>
      <w:r w:rsidRPr="007372C2">
        <w:t xml:space="preserve"> requires you to attribute the work (but not in any way that suggests that the Independent Health and Aged Care Pricing Authority endorses you or your use of the</w:t>
      </w:r>
      <w:r w:rsidRPr="007372C2">
        <w:rPr>
          <w:rFonts w:hint="cs"/>
        </w:rPr>
        <w:t> </w:t>
      </w:r>
      <w:r w:rsidRPr="007372C2">
        <w:t>work).</w:t>
      </w:r>
    </w:p>
    <w:p w14:paraId="239A3363" w14:textId="77777777" w:rsidR="00276510" w:rsidRPr="007372C2" w:rsidRDefault="00276510" w:rsidP="00276510">
      <w:pPr>
        <w:pStyle w:val="Copyrightcopy"/>
      </w:pPr>
      <w:r w:rsidRPr="007372C2">
        <w:t>Independent Health and Aged Care Pricing Authority material used 'as supplied'.</w:t>
      </w:r>
    </w:p>
    <w:p w14:paraId="6DB21190" w14:textId="77777777" w:rsidR="00276510" w:rsidRPr="007372C2" w:rsidRDefault="00276510" w:rsidP="00276510">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18AA2E10" w14:textId="3500DB19" w:rsidR="005C7FD0" w:rsidRPr="005C7FD0" w:rsidRDefault="00276510" w:rsidP="005C7FD0">
      <w:pPr>
        <w:pStyle w:val="Copyrightcopy"/>
        <w:sectPr w:rsidR="005C7FD0" w:rsidRPr="005C7FD0" w:rsidSect="001904BF">
          <w:headerReference w:type="default" r:id="rId15"/>
          <w:footerReference w:type="default" r:id="rId16"/>
          <w:pgSz w:w="11906" w:h="16838" w:code="9"/>
          <w:pgMar w:top="6379" w:right="1077" w:bottom="1440" w:left="1077" w:header="709" w:footer="709" w:gutter="0"/>
          <w:cols w:space="720"/>
          <w:docGrid w:linePitch="360"/>
        </w:sectPr>
      </w:pPr>
      <w:r w:rsidRPr="007372C2">
        <w:t>Source: The Independent Health and Aged Care Pricing</w:t>
      </w:r>
      <w:r w:rsidRPr="007372C2">
        <w:rPr>
          <w:rFonts w:hint="cs"/>
        </w:rPr>
        <w:t> </w:t>
      </w:r>
      <w:r w:rsidRPr="007372C2">
        <w:t>Authority</w:t>
      </w:r>
    </w:p>
    <w:sdt>
      <w:sdtPr>
        <w:rPr>
          <w:rFonts w:ascii="Arial" w:eastAsiaTheme="minorHAnsi" w:hAnsi="Arial" w:cstheme="minorBidi"/>
          <w:b/>
          <w:color w:val="15272F" w:themeColor="text1"/>
          <w:sz w:val="22"/>
          <w:szCs w:val="22"/>
          <w:lang w:val="en-PH"/>
        </w:rPr>
        <w:id w:val="-1576894349"/>
        <w:docPartObj>
          <w:docPartGallery w:val="Table of Contents"/>
          <w:docPartUnique/>
        </w:docPartObj>
      </w:sdtPr>
      <w:sdtEndPr>
        <w:rPr>
          <w:b w:val="0"/>
          <w:bCs/>
          <w:noProof/>
        </w:rPr>
      </w:sdtEndPr>
      <w:sdtContent>
        <w:p w14:paraId="076C1C70" w14:textId="0E7D10E5" w:rsidR="00367B5A" w:rsidRPr="003F21CB" w:rsidRDefault="00367B5A" w:rsidP="003F21CB">
          <w:pPr>
            <w:pStyle w:val="TOCHeading"/>
            <w:numPr>
              <w:ilvl w:val="0"/>
              <w:numId w:val="0"/>
            </w:numPr>
            <w:rPr>
              <w:rFonts w:ascii="Arial" w:hAnsi="Arial" w:cs="Arial"/>
              <w:b/>
              <w:bCs/>
              <w:sz w:val="72"/>
              <w:szCs w:val="72"/>
            </w:rPr>
          </w:pPr>
          <w:r w:rsidRPr="003F21CB">
            <w:rPr>
              <w:rFonts w:ascii="Arial" w:hAnsi="Arial" w:cs="Arial"/>
              <w:b/>
              <w:bCs/>
              <w:sz w:val="72"/>
              <w:szCs w:val="72"/>
            </w:rPr>
            <w:t>Table of Contents</w:t>
          </w:r>
        </w:p>
        <w:p w14:paraId="3F9675E0" w14:textId="59426A59" w:rsidR="00B776F9" w:rsidRDefault="00367B5A">
          <w:pPr>
            <w:pStyle w:val="TOC1"/>
            <w:tabs>
              <w:tab w:val="right" w:leader="dot" w:pos="9736"/>
            </w:tabs>
            <w:rPr>
              <w:rFonts w:asciiTheme="minorHAnsi" w:eastAsiaTheme="minorEastAsia" w:hAnsiTheme="minorHAnsi"/>
              <w:b w:val="0"/>
              <w:noProof/>
              <w:color w:val="auto"/>
              <w:sz w:val="22"/>
              <w:lang w:val="en-AU" w:eastAsia="en-AU"/>
            </w:rPr>
          </w:pPr>
          <w:r>
            <w:fldChar w:fldCharType="begin"/>
          </w:r>
          <w:r>
            <w:instrText xml:space="preserve"> TOC \o "1-3" \h \z \u </w:instrText>
          </w:r>
          <w:r>
            <w:fldChar w:fldCharType="separate"/>
          </w:r>
          <w:hyperlink w:anchor="_Toc124656383" w:history="1">
            <w:r w:rsidR="00B776F9" w:rsidRPr="00274F0C">
              <w:rPr>
                <w:rStyle w:val="Hyperlink"/>
                <w:noProof/>
              </w:rPr>
              <w:t>Acronyms and Abbreviations</w:t>
            </w:r>
            <w:r w:rsidR="00B776F9">
              <w:rPr>
                <w:noProof/>
                <w:webHidden/>
              </w:rPr>
              <w:tab/>
            </w:r>
            <w:r w:rsidR="00B776F9">
              <w:rPr>
                <w:noProof/>
                <w:webHidden/>
              </w:rPr>
              <w:fldChar w:fldCharType="begin"/>
            </w:r>
            <w:r w:rsidR="00B776F9">
              <w:rPr>
                <w:noProof/>
                <w:webHidden/>
              </w:rPr>
              <w:instrText xml:space="preserve"> PAGEREF _Toc124656383 \h </w:instrText>
            </w:r>
            <w:r w:rsidR="00B776F9">
              <w:rPr>
                <w:noProof/>
                <w:webHidden/>
              </w:rPr>
            </w:r>
            <w:r w:rsidR="00B776F9">
              <w:rPr>
                <w:noProof/>
                <w:webHidden/>
              </w:rPr>
              <w:fldChar w:fldCharType="separate"/>
            </w:r>
            <w:r w:rsidR="00B776F9">
              <w:rPr>
                <w:noProof/>
                <w:webHidden/>
              </w:rPr>
              <w:t>5</w:t>
            </w:r>
            <w:r w:rsidR="00B776F9">
              <w:rPr>
                <w:noProof/>
                <w:webHidden/>
              </w:rPr>
              <w:fldChar w:fldCharType="end"/>
            </w:r>
          </w:hyperlink>
        </w:p>
        <w:p w14:paraId="0A34E985" w14:textId="4C1A5575" w:rsidR="00B776F9" w:rsidRDefault="005E71D6">
          <w:pPr>
            <w:pStyle w:val="TOC1"/>
            <w:tabs>
              <w:tab w:val="right" w:leader="dot" w:pos="9736"/>
            </w:tabs>
            <w:rPr>
              <w:rFonts w:asciiTheme="minorHAnsi" w:eastAsiaTheme="minorEastAsia" w:hAnsiTheme="minorHAnsi"/>
              <w:b w:val="0"/>
              <w:noProof/>
              <w:color w:val="auto"/>
              <w:sz w:val="22"/>
              <w:lang w:val="en-AU" w:eastAsia="en-AU"/>
            </w:rPr>
          </w:pPr>
          <w:hyperlink w:anchor="_Toc124656384" w:history="1">
            <w:r w:rsidR="00B776F9" w:rsidRPr="00274F0C">
              <w:rPr>
                <w:rStyle w:val="Hyperlink"/>
                <w:noProof/>
              </w:rPr>
              <w:t>Executive Summary</w:t>
            </w:r>
            <w:r w:rsidR="00B776F9">
              <w:rPr>
                <w:noProof/>
                <w:webHidden/>
              </w:rPr>
              <w:tab/>
            </w:r>
            <w:r w:rsidR="00B776F9">
              <w:rPr>
                <w:noProof/>
                <w:webHidden/>
              </w:rPr>
              <w:fldChar w:fldCharType="begin"/>
            </w:r>
            <w:r w:rsidR="00B776F9">
              <w:rPr>
                <w:noProof/>
                <w:webHidden/>
              </w:rPr>
              <w:instrText xml:space="preserve"> PAGEREF _Toc124656384 \h </w:instrText>
            </w:r>
            <w:r w:rsidR="00B776F9">
              <w:rPr>
                <w:noProof/>
                <w:webHidden/>
              </w:rPr>
            </w:r>
            <w:r w:rsidR="00B776F9">
              <w:rPr>
                <w:noProof/>
                <w:webHidden/>
              </w:rPr>
              <w:fldChar w:fldCharType="separate"/>
            </w:r>
            <w:r w:rsidR="00B776F9">
              <w:rPr>
                <w:noProof/>
                <w:webHidden/>
              </w:rPr>
              <w:t>6</w:t>
            </w:r>
            <w:r w:rsidR="00B776F9">
              <w:rPr>
                <w:noProof/>
                <w:webHidden/>
              </w:rPr>
              <w:fldChar w:fldCharType="end"/>
            </w:r>
          </w:hyperlink>
        </w:p>
        <w:p w14:paraId="2AEF504F" w14:textId="7958FF4E" w:rsidR="00B776F9" w:rsidRDefault="005E71D6">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4656385" w:history="1">
            <w:r w:rsidR="00B776F9" w:rsidRPr="00274F0C">
              <w:rPr>
                <w:rStyle w:val="Hyperlink"/>
                <w:noProof/>
              </w:rPr>
              <w:t>1</w:t>
            </w:r>
            <w:r w:rsidR="00B776F9">
              <w:rPr>
                <w:rFonts w:asciiTheme="minorHAnsi" w:eastAsiaTheme="minorEastAsia" w:hAnsiTheme="minorHAnsi"/>
                <w:b w:val="0"/>
                <w:noProof/>
                <w:color w:val="auto"/>
                <w:sz w:val="22"/>
                <w:lang w:val="en-AU" w:eastAsia="en-AU"/>
              </w:rPr>
              <w:tab/>
            </w:r>
            <w:r w:rsidR="00B776F9" w:rsidRPr="00274F0C">
              <w:rPr>
                <w:rStyle w:val="Hyperlink"/>
                <w:noProof/>
              </w:rPr>
              <w:t>Introduction</w:t>
            </w:r>
            <w:r w:rsidR="00B776F9">
              <w:rPr>
                <w:noProof/>
                <w:webHidden/>
              </w:rPr>
              <w:tab/>
            </w:r>
            <w:r w:rsidR="00B776F9">
              <w:rPr>
                <w:noProof/>
                <w:webHidden/>
              </w:rPr>
              <w:fldChar w:fldCharType="begin"/>
            </w:r>
            <w:r w:rsidR="00B776F9">
              <w:rPr>
                <w:noProof/>
                <w:webHidden/>
              </w:rPr>
              <w:instrText xml:space="preserve"> PAGEREF _Toc124656385 \h </w:instrText>
            </w:r>
            <w:r w:rsidR="00B776F9">
              <w:rPr>
                <w:noProof/>
                <w:webHidden/>
              </w:rPr>
            </w:r>
            <w:r w:rsidR="00B776F9">
              <w:rPr>
                <w:noProof/>
                <w:webHidden/>
              </w:rPr>
              <w:fldChar w:fldCharType="separate"/>
            </w:r>
            <w:r w:rsidR="00B776F9">
              <w:rPr>
                <w:noProof/>
                <w:webHidden/>
              </w:rPr>
              <w:t>8</w:t>
            </w:r>
            <w:r w:rsidR="00B776F9">
              <w:rPr>
                <w:noProof/>
                <w:webHidden/>
              </w:rPr>
              <w:fldChar w:fldCharType="end"/>
            </w:r>
          </w:hyperlink>
        </w:p>
        <w:p w14:paraId="39E8BAFF" w14:textId="4FF1AD92"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86" w:history="1">
            <w:r w:rsidR="00B776F9" w:rsidRPr="00274F0C">
              <w:rPr>
                <w:rStyle w:val="Hyperlink"/>
                <w:noProof/>
              </w:rPr>
              <w:t>1.1</w:t>
            </w:r>
            <w:r w:rsidR="00B776F9">
              <w:rPr>
                <w:rFonts w:asciiTheme="minorHAnsi" w:eastAsiaTheme="minorEastAsia" w:hAnsiTheme="minorHAnsi"/>
                <w:noProof/>
                <w:color w:val="auto"/>
                <w:lang w:val="en-AU" w:eastAsia="en-AU"/>
              </w:rPr>
              <w:tab/>
            </w:r>
            <w:r w:rsidR="00B776F9" w:rsidRPr="00274F0C">
              <w:rPr>
                <w:rStyle w:val="Hyperlink"/>
                <w:noProof/>
              </w:rPr>
              <w:t>AR-DRG classification</w:t>
            </w:r>
            <w:r w:rsidR="00B776F9">
              <w:rPr>
                <w:noProof/>
                <w:webHidden/>
              </w:rPr>
              <w:tab/>
            </w:r>
            <w:r w:rsidR="00B776F9">
              <w:rPr>
                <w:noProof/>
                <w:webHidden/>
              </w:rPr>
              <w:fldChar w:fldCharType="begin"/>
            </w:r>
            <w:r w:rsidR="00B776F9">
              <w:rPr>
                <w:noProof/>
                <w:webHidden/>
              </w:rPr>
              <w:instrText xml:space="preserve"> PAGEREF _Toc124656386 \h </w:instrText>
            </w:r>
            <w:r w:rsidR="00B776F9">
              <w:rPr>
                <w:noProof/>
                <w:webHidden/>
              </w:rPr>
            </w:r>
            <w:r w:rsidR="00B776F9">
              <w:rPr>
                <w:noProof/>
                <w:webHidden/>
              </w:rPr>
              <w:fldChar w:fldCharType="separate"/>
            </w:r>
            <w:r w:rsidR="00B776F9">
              <w:rPr>
                <w:noProof/>
                <w:webHidden/>
              </w:rPr>
              <w:t>8</w:t>
            </w:r>
            <w:r w:rsidR="00B776F9">
              <w:rPr>
                <w:noProof/>
                <w:webHidden/>
              </w:rPr>
              <w:fldChar w:fldCharType="end"/>
            </w:r>
          </w:hyperlink>
        </w:p>
        <w:p w14:paraId="305A8960" w14:textId="4537DCEC"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87" w:history="1">
            <w:r w:rsidR="00B776F9" w:rsidRPr="00274F0C">
              <w:rPr>
                <w:rStyle w:val="Hyperlink"/>
                <w:noProof/>
              </w:rPr>
              <w:t>1.2</w:t>
            </w:r>
            <w:r w:rsidR="00B776F9">
              <w:rPr>
                <w:rFonts w:asciiTheme="minorHAnsi" w:eastAsiaTheme="minorEastAsia" w:hAnsiTheme="minorHAnsi"/>
                <w:noProof/>
                <w:color w:val="auto"/>
                <w:lang w:val="en-AU" w:eastAsia="en-AU"/>
              </w:rPr>
              <w:tab/>
            </w:r>
            <w:r w:rsidR="00B776F9" w:rsidRPr="00274F0C">
              <w:rPr>
                <w:rStyle w:val="Hyperlink"/>
                <w:noProof/>
              </w:rPr>
              <w:t>Classification process</w:t>
            </w:r>
            <w:r w:rsidR="00B776F9">
              <w:rPr>
                <w:noProof/>
                <w:webHidden/>
              </w:rPr>
              <w:tab/>
            </w:r>
            <w:r w:rsidR="00B776F9">
              <w:rPr>
                <w:noProof/>
                <w:webHidden/>
              </w:rPr>
              <w:fldChar w:fldCharType="begin"/>
            </w:r>
            <w:r w:rsidR="00B776F9">
              <w:rPr>
                <w:noProof/>
                <w:webHidden/>
              </w:rPr>
              <w:instrText xml:space="preserve"> PAGEREF _Toc124656387 \h </w:instrText>
            </w:r>
            <w:r w:rsidR="00B776F9">
              <w:rPr>
                <w:noProof/>
                <w:webHidden/>
              </w:rPr>
            </w:r>
            <w:r w:rsidR="00B776F9">
              <w:rPr>
                <w:noProof/>
                <w:webHidden/>
              </w:rPr>
              <w:fldChar w:fldCharType="separate"/>
            </w:r>
            <w:r w:rsidR="00B776F9">
              <w:rPr>
                <w:noProof/>
                <w:webHidden/>
              </w:rPr>
              <w:t>8</w:t>
            </w:r>
            <w:r w:rsidR="00B776F9">
              <w:rPr>
                <w:noProof/>
                <w:webHidden/>
              </w:rPr>
              <w:fldChar w:fldCharType="end"/>
            </w:r>
          </w:hyperlink>
        </w:p>
        <w:p w14:paraId="1C54FF52" w14:textId="2EBE9724"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88" w:history="1">
            <w:r w:rsidR="00B776F9" w:rsidRPr="00274F0C">
              <w:rPr>
                <w:rStyle w:val="Hyperlink"/>
                <w:noProof/>
              </w:rPr>
              <w:t>1.3</w:t>
            </w:r>
            <w:r w:rsidR="00B776F9">
              <w:rPr>
                <w:rFonts w:asciiTheme="minorHAnsi" w:eastAsiaTheme="minorEastAsia" w:hAnsiTheme="minorHAnsi"/>
                <w:noProof/>
                <w:color w:val="auto"/>
                <w:lang w:val="en-AU" w:eastAsia="en-AU"/>
              </w:rPr>
              <w:tab/>
            </w:r>
            <w:r w:rsidR="00B776F9" w:rsidRPr="00274F0C">
              <w:rPr>
                <w:rStyle w:val="Hyperlink"/>
                <w:noProof/>
              </w:rPr>
              <w:t>Episode clinical complexity</w:t>
            </w:r>
            <w:r w:rsidR="00B776F9">
              <w:rPr>
                <w:noProof/>
                <w:webHidden/>
              </w:rPr>
              <w:tab/>
            </w:r>
            <w:r w:rsidR="00B776F9">
              <w:rPr>
                <w:noProof/>
                <w:webHidden/>
              </w:rPr>
              <w:fldChar w:fldCharType="begin"/>
            </w:r>
            <w:r w:rsidR="00B776F9">
              <w:rPr>
                <w:noProof/>
                <w:webHidden/>
              </w:rPr>
              <w:instrText xml:space="preserve"> PAGEREF _Toc124656388 \h </w:instrText>
            </w:r>
            <w:r w:rsidR="00B776F9">
              <w:rPr>
                <w:noProof/>
                <w:webHidden/>
              </w:rPr>
            </w:r>
            <w:r w:rsidR="00B776F9">
              <w:rPr>
                <w:noProof/>
                <w:webHidden/>
              </w:rPr>
              <w:fldChar w:fldCharType="separate"/>
            </w:r>
            <w:r w:rsidR="00B776F9">
              <w:rPr>
                <w:noProof/>
                <w:webHidden/>
              </w:rPr>
              <w:t>10</w:t>
            </w:r>
            <w:r w:rsidR="00B776F9">
              <w:rPr>
                <w:noProof/>
                <w:webHidden/>
              </w:rPr>
              <w:fldChar w:fldCharType="end"/>
            </w:r>
          </w:hyperlink>
        </w:p>
        <w:p w14:paraId="03D39F4B" w14:textId="1A44913C"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89" w:history="1">
            <w:r w:rsidR="00B776F9" w:rsidRPr="00274F0C">
              <w:rPr>
                <w:rStyle w:val="Hyperlink"/>
                <w:noProof/>
              </w:rPr>
              <w:t>1.4</w:t>
            </w:r>
            <w:r w:rsidR="00B776F9">
              <w:rPr>
                <w:rFonts w:asciiTheme="minorHAnsi" w:eastAsiaTheme="minorEastAsia" w:hAnsiTheme="minorHAnsi"/>
                <w:noProof/>
                <w:color w:val="auto"/>
                <w:lang w:val="en-AU" w:eastAsia="en-AU"/>
              </w:rPr>
              <w:tab/>
            </w:r>
            <w:r w:rsidR="00B776F9" w:rsidRPr="00274F0C">
              <w:rPr>
                <w:rStyle w:val="Hyperlink"/>
                <w:noProof/>
              </w:rPr>
              <w:t>Additional resources for AR-DRG V11.0</w:t>
            </w:r>
            <w:r w:rsidR="00B776F9">
              <w:rPr>
                <w:noProof/>
                <w:webHidden/>
              </w:rPr>
              <w:tab/>
            </w:r>
            <w:r w:rsidR="00B776F9">
              <w:rPr>
                <w:noProof/>
                <w:webHidden/>
              </w:rPr>
              <w:fldChar w:fldCharType="begin"/>
            </w:r>
            <w:r w:rsidR="00B776F9">
              <w:rPr>
                <w:noProof/>
                <w:webHidden/>
              </w:rPr>
              <w:instrText xml:space="preserve"> PAGEREF _Toc124656389 \h </w:instrText>
            </w:r>
            <w:r w:rsidR="00B776F9">
              <w:rPr>
                <w:noProof/>
                <w:webHidden/>
              </w:rPr>
            </w:r>
            <w:r w:rsidR="00B776F9">
              <w:rPr>
                <w:noProof/>
                <w:webHidden/>
              </w:rPr>
              <w:fldChar w:fldCharType="separate"/>
            </w:r>
            <w:r w:rsidR="00B776F9">
              <w:rPr>
                <w:noProof/>
                <w:webHidden/>
              </w:rPr>
              <w:t>11</w:t>
            </w:r>
            <w:r w:rsidR="00B776F9">
              <w:rPr>
                <w:noProof/>
                <w:webHidden/>
              </w:rPr>
              <w:fldChar w:fldCharType="end"/>
            </w:r>
          </w:hyperlink>
        </w:p>
        <w:p w14:paraId="6892C40E" w14:textId="1F09E710"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390" w:history="1">
            <w:r w:rsidR="00B776F9" w:rsidRPr="00274F0C">
              <w:rPr>
                <w:rStyle w:val="Hyperlink"/>
                <w:noProof/>
              </w:rPr>
              <w:t>1.4.1</w:t>
            </w:r>
            <w:r w:rsidR="00B776F9">
              <w:rPr>
                <w:rFonts w:asciiTheme="minorHAnsi" w:eastAsiaTheme="minorEastAsia" w:hAnsiTheme="minorHAnsi"/>
                <w:noProof/>
                <w:color w:val="auto"/>
                <w:lang w:val="en-AU" w:eastAsia="en-AU"/>
              </w:rPr>
              <w:tab/>
            </w:r>
            <w:r w:rsidR="00B776F9" w:rsidRPr="00274F0C">
              <w:rPr>
                <w:rStyle w:val="Hyperlink"/>
                <w:noProof/>
              </w:rPr>
              <w:t>AR-DRG V11.0 Technical Specifications</w:t>
            </w:r>
            <w:r w:rsidR="00B776F9">
              <w:rPr>
                <w:noProof/>
                <w:webHidden/>
              </w:rPr>
              <w:tab/>
            </w:r>
            <w:r w:rsidR="00B776F9">
              <w:rPr>
                <w:noProof/>
                <w:webHidden/>
              </w:rPr>
              <w:fldChar w:fldCharType="begin"/>
            </w:r>
            <w:r w:rsidR="00B776F9">
              <w:rPr>
                <w:noProof/>
                <w:webHidden/>
              </w:rPr>
              <w:instrText xml:space="preserve"> PAGEREF _Toc124656390 \h </w:instrText>
            </w:r>
            <w:r w:rsidR="00B776F9">
              <w:rPr>
                <w:noProof/>
                <w:webHidden/>
              </w:rPr>
            </w:r>
            <w:r w:rsidR="00B776F9">
              <w:rPr>
                <w:noProof/>
                <w:webHidden/>
              </w:rPr>
              <w:fldChar w:fldCharType="separate"/>
            </w:r>
            <w:r w:rsidR="00B776F9">
              <w:rPr>
                <w:noProof/>
                <w:webHidden/>
              </w:rPr>
              <w:t>11</w:t>
            </w:r>
            <w:r w:rsidR="00B776F9">
              <w:rPr>
                <w:noProof/>
                <w:webHidden/>
              </w:rPr>
              <w:fldChar w:fldCharType="end"/>
            </w:r>
          </w:hyperlink>
        </w:p>
        <w:p w14:paraId="617835AF" w14:textId="0AD39134"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391" w:history="1">
            <w:r w:rsidR="00B776F9" w:rsidRPr="00274F0C">
              <w:rPr>
                <w:rStyle w:val="Hyperlink"/>
                <w:noProof/>
              </w:rPr>
              <w:t>1.4.2</w:t>
            </w:r>
            <w:r w:rsidR="00B776F9">
              <w:rPr>
                <w:rFonts w:asciiTheme="minorHAnsi" w:eastAsiaTheme="minorEastAsia" w:hAnsiTheme="minorHAnsi"/>
                <w:noProof/>
                <w:color w:val="auto"/>
                <w:lang w:val="en-AU" w:eastAsia="en-AU"/>
              </w:rPr>
              <w:tab/>
            </w:r>
            <w:r w:rsidR="00B776F9" w:rsidRPr="00274F0C">
              <w:rPr>
                <w:rStyle w:val="Hyperlink"/>
                <w:noProof/>
              </w:rPr>
              <w:t>AR-DRG V11.0 Definitions Manual</w:t>
            </w:r>
            <w:r w:rsidR="00B776F9">
              <w:rPr>
                <w:noProof/>
                <w:webHidden/>
              </w:rPr>
              <w:tab/>
            </w:r>
            <w:r w:rsidR="00B776F9">
              <w:rPr>
                <w:noProof/>
                <w:webHidden/>
              </w:rPr>
              <w:fldChar w:fldCharType="begin"/>
            </w:r>
            <w:r w:rsidR="00B776F9">
              <w:rPr>
                <w:noProof/>
                <w:webHidden/>
              </w:rPr>
              <w:instrText xml:space="preserve"> PAGEREF _Toc124656391 \h </w:instrText>
            </w:r>
            <w:r w:rsidR="00B776F9">
              <w:rPr>
                <w:noProof/>
                <w:webHidden/>
              </w:rPr>
            </w:r>
            <w:r w:rsidR="00B776F9">
              <w:rPr>
                <w:noProof/>
                <w:webHidden/>
              </w:rPr>
              <w:fldChar w:fldCharType="separate"/>
            </w:r>
            <w:r w:rsidR="00B776F9">
              <w:rPr>
                <w:noProof/>
                <w:webHidden/>
              </w:rPr>
              <w:t>11</w:t>
            </w:r>
            <w:r w:rsidR="00B776F9">
              <w:rPr>
                <w:noProof/>
                <w:webHidden/>
              </w:rPr>
              <w:fldChar w:fldCharType="end"/>
            </w:r>
          </w:hyperlink>
        </w:p>
        <w:p w14:paraId="5BB06A4A" w14:textId="0168780D"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392" w:history="1">
            <w:r w:rsidR="00B776F9" w:rsidRPr="00274F0C">
              <w:rPr>
                <w:rStyle w:val="Hyperlink"/>
                <w:noProof/>
              </w:rPr>
              <w:t>1.4.3</w:t>
            </w:r>
            <w:r w:rsidR="00B776F9">
              <w:rPr>
                <w:rFonts w:asciiTheme="minorHAnsi" w:eastAsiaTheme="minorEastAsia" w:hAnsiTheme="minorHAnsi"/>
                <w:noProof/>
                <w:color w:val="auto"/>
                <w:lang w:val="en-AU" w:eastAsia="en-AU"/>
              </w:rPr>
              <w:tab/>
            </w:r>
            <w:r w:rsidR="00B776F9" w:rsidRPr="00274F0C">
              <w:rPr>
                <w:rStyle w:val="Hyperlink"/>
                <w:noProof/>
              </w:rPr>
              <w:t>AR-DRG Descriptions File</w:t>
            </w:r>
            <w:r w:rsidR="00B776F9">
              <w:rPr>
                <w:noProof/>
                <w:webHidden/>
              </w:rPr>
              <w:tab/>
            </w:r>
            <w:r w:rsidR="00B776F9">
              <w:rPr>
                <w:noProof/>
                <w:webHidden/>
              </w:rPr>
              <w:fldChar w:fldCharType="begin"/>
            </w:r>
            <w:r w:rsidR="00B776F9">
              <w:rPr>
                <w:noProof/>
                <w:webHidden/>
              </w:rPr>
              <w:instrText xml:space="preserve"> PAGEREF _Toc124656392 \h </w:instrText>
            </w:r>
            <w:r w:rsidR="00B776F9">
              <w:rPr>
                <w:noProof/>
                <w:webHidden/>
              </w:rPr>
            </w:r>
            <w:r w:rsidR="00B776F9">
              <w:rPr>
                <w:noProof/>
                <w:webHidden/>
              </w:rPr>
              <w:fldChar w:fldCharType="separate"/>
            </w:r>
            <w:r w:rsidR="00B776F9">
              <w:rPr>
                <w:noProof/>
                <w:webHidden/>
              </w:rPr>
              <w:t>11</w:t>
            </w:r>
            <w:r w:rsidR="00B776F9">
              <w:rPr>
                <w:noProof/>
                <w:webHidden/>
              </w:rPr>
              <w:fldChar w:fldCharType="end"/>
            </w:r>
          </w:hyperlink>
        </w:p>
        <w:p w14:paraId="19EA926B" w14:textId="68996992"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393" w:history="1">
            <w:r w:rsidR="00B776F9" w:rsidRPr="00274F0C">
              <w:rPr>
                <w:rStyle w:val="Hyperlink"/>
                <w:noProof/>
              </w:rPr>
              <w:t>1.4.4</w:t>
            </w:r>
            <w:r w:rsidR="00B776F9">
              <w:rPr>
                <w:rFonts w:asciiTheme="minorHAnsi" w:eastAsiaTheme="minorEastAsia" w:hAnsiTheme="minorHAnsi"/>
                <w:noProof/>
                <w:color w:val="auto"/>
                <w:lang w:val="en-AU" w:eastAsia="en-AU"/>
              </w:rPr>
              <w:tab/>
            </w:r>
            <w:r w:rsidR="00B776F9" w:rsidRPr="00274F0C">
              <w:rPr>
                <w:rStyle w:val="Hyperlink"/>
                <w:noProof/>
              </w:rPr>
              <w:t>ICD-10-AM/ACHI/ACS Twelfth Edition</w:t>
            </w:r>
            <w:r w:rsidR="00B776F9">
              <w:rPr>
                <w:noProof/>
                <w:webHidden/>
              </w:rPr>
              <w:tab/>
            </w:r>
            <w:r w:rsidR="00B776F9">
              <w:rPr>
                <w:noProof/>
                <w:webHidden/>
              </w:rPr>
              <w:fldChar w:fldCharType="begin"/>
            </w:r>
            <w:r w:rsidR="00B776F9">
              <w:rPr>
                <w:noProof/>
                <w:webHidden/>
              </w:rPr>
              <w:instrText xml:space="preserve"> PAGEREF _Toc124656393 \h </w:instrText>
            </w:r>
            <w:r w:rsidR="00B776F9">
              <w:rPr>
                <w:noProof/>
                <w:webHidden/>
              </w:rPr>
            </w:r>
            <w:r w:rsidR="00B776F9">
              <w:rPr>
                <w:noProof/>
                <w:webHidden/>
              </w:rPr>
              <w:fldChar w:fldCharType="separate"/>
            </w:r>
            <w:r w:rsidR="00B776F9">
              <w:rPr>
                <w:noProof/>
                <w:webHidden/>
              </w:rPr>
              <w:t>11</w:t>
            </w:r>
            <w:r w:rsidR="00B776F9">
              <w:rPr>
                <w:noProof/>
                <w:webHidden/>
              </w:rPr>
              <w:fldChar w:fldCharType="end"/>
            </w:r>
          </w:hyperlink>
        </w:p>
        <w:p w14:paraId="56FFDE2C" w14:textId="0417F39E" w:rsidR="00B776F9" w:rsidRDefault="005E71D6">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4656394" w:history="1">
            <w:r w:rsidR="00B776F9" w:rsidRPr="00274F0C">
              <w:rPr>
                <w:rStyle w:val="Hyperlink"/>
                <w:noProof/>
              </w:rPr>
              <w:t>2</w:t>
            </w:r>
            <w:r w:rsidR="00B776F9">
              <w:rPr>
                <w:rFonts w:asciiTheme="minorHAnsi" w:eastAsiaTheme="minorEastAsia" w:hAnsiTheme="minorHAnsi"/>
                <w:b w:val="0"/>
                <w:noProof/>
                <w:color w:val="auto"/>
                <w:sz w:val="22"/>
                <w:lang w:val="en-AU" w:eastAsia="en-AU"/>
              </w:rPr>
              <w:tab/>
            </w:r>
            <w:r w:rsidR="00B776F9" w:rsidRPr="00274F0C">
              <w:rPr>
                <w:rStyle w:val="Hyperlink"/>
                <w:noProof/>
              </w:rPr>
              <w:t>Development process</w:t>
            </w:r>
            <w:r w:rsidR="00B776F9">
              <w:rPr>
                <w:noProof/>
                <w:webHidden/>
              </w:rPr>
              <w:tab/>
            </w:r>
            <w:r w:rsidR="00B776F9">
              <w:rPr>
                <w:noProof/>
                <w:webHidden/>
              </w:rPr>
              <w:fldChar w:fldCharType="begin"/>
            </w:r>
            <w:r w:rsidR="00B776F9">
              <w:rPr>
                <w:noProof/>
                <w:webHidden/>
              </w:rPr>
              <w:instrText xml:space="preserve"> PAGEREF _Toc124656394 \h </w:instrText>
            </w:r>
            <w:r w:rsidR="00B776F9">
              <w:rPr>
                <w:noProof/>
                <w:webHidden/>
              </w:rPr>
            </w:r>
            <w:r w:rsidR="00B776F9">
              <w:rPr>
                <w:noProof/>
                <w:webHidden/>
              </w:rPr>
              <w:fldChar w:fldCharType="separate"/>
            </w:r>
            <w:r w:rsidR="00B776F9">
              <w:rPr>
                <w:noProof/>
                <w:webHidden/>
              </w:rPr>
              <w:t>12</w:t>
            </w:r>
            <w:r w:rsidR="00B776F9">
              <w:rPr>
                <w:noProof/>
                <w:webHidden/>
              </w:rPr>
              <w:fldChar w:fldCharType="end"/>
            </w:r>
          </w:hyperlink>
        </w:p>
        <w:p w14:paraId="30FB2CE1" w14:textId="5BBE0729"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95" w:history="1">
            <w:r w:rsidR="00B776F9" w:rsidRPr="00274F0C">
              <w:rPr>
                <w:rStyle w:val="Hyperlink"/>
                <w:noProof/>
              </w:rPr>
              <w:t>2.1</w:t>
            </w:r>
            <w:r w:rsidR="00B776F9">
              <w:rPr>
                <w:rFonts w:asciiTheme="minorHAnsi" w:eastAsiaTheme="minorEastAsia" w:hAnsiTheme="minorHAnsi"/>
                <w:noProof/>
                <w:color w:val="auto"/>
                <w:lang w:val="en-AU" w:eastAsia="en-AU"/>
              </w:rPr>
              <w:tab/>
            </w:r>
            <w:r w:rsidR="00B776F9" w:rsidRPr="00274F0C">
              <w:rPr>
                <w:rStyle w:val="Hyperlink"/>
                <w:noProof/>
              </w:rPr>
              <w:t>Review of the classification development cycle and processes</w:t>
            </w:r>
            <w:r w:rsidR="00B776F9">
              <w:rPr>
                <w:noProof/>
                <w:webHidden/>
              </w:rPr>
              <w:tab/>
            </w:r>
            <w:r w:rsidR="00B776F9">
              <w:rPr>
                <w:noProof/>
                <w:webHidden/>
              </w:rPr>
              <w:fldChar w:fldCharType="begin"/>
            </w:r>
            <w:r w:rsidR="00B776F9">
              <w:rPr>
                <w:noProof/>
                <w:webHidden/>
              </w:rPr>
              <w:instrText xml:space="preserve"> PAGEREF _Toc124656395 \h </w:instrText>
            </w:r>
            <w:r w:rsidR="00B776F9">
              <w:rPr>
                <w:noProof/>
                <w:webHidden/>
              </w:rPr>
            </w:r>
            <w:r w:rsidR="00B776F9">
              <w:rPr>
                <w:noProof/>
                <w:webHidden/>
              </w:rPr>
              <w:fldChar w:fldCharType="separate"/>
            </w:r>
            <w:r w:rsidR="00B776F9">
              <w:rPr>
                <w:noProof/>
                <w:webHidden/>
              </w:rPr>
              <w:t>12</w:t>
            </w:r>
            <w:r w:rsidR="00B776F9">
              <w:rPr>
                <w:noProof/>
                <w:webHidden/>
              </w:rPr>
              <w:fldChar w:fldCharType="end"/>
            </w:r>
          </w:hyperlink>
        </w:p>
        <w:p w14:paraId="2EF586FC" w14:textId="53F42958"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96" w:history="1">
            <w:r w:rsidR="00B776F9" w:rsidRPr="00274F0C">
              <w:rPr>
                <w:rStyle w:val="Hyperlink"/>
                <w:noProof/>
              </w:rPr>
              <w:t>2.2</w:t>
            </w:r>
            <w:r w:rsidR="00B776F9">
              <w:rPr>
                <w:rFonts w:asciiTheme="minorHAnsi" w:eastAsiaTheme="minorEastAsia" w:hAnsiTheme="minorHAnsi"/>
                <w:noProof/>
                <w:color w:val="auto"/>
                <w:lang w:val="en-AU" w:eastAsia="en-AU"/>
              </w:rPr>
              <w:tab/>
            </w:r>
            <w:r w:rsidR="00B776F9" w:rsidRPr="00274F0C">
              <w:rPr>
                <w:rStyle w:val="Hyperlink"/>
                <w:noProof/>
              </w:rPr>
              <w:t>Development of work program</w:t>
            </w:r>
            <w:r w:rsidR="00B776F9">
              <w:rPr>
                <w:noProof/>
                <w:webHidden/>
              </w:rPr>
              <w:tab/>
            </w:r>
            <w:r w:rsidR="00B776F9">
              <w:rPr>
                <w:noProof/>
                <w:webHidden/>
              </w:rPr>
              <w:fldChar w:fldCharType="begin"/>
            </w:r>
            <w:r w:rsidR="00B776F9">
              <w:rPr>
                <w:noProof/>
                <w:webHidden/>
              </w:rPr>
              <w:instrText xml:space="preserve"> PAGEREF _Toc124656396 \h </w:instrText>
            </w:r>
            <w:r w:rsidR="00B776F9">
              <w:rPr>
                <w:noProof/>
                <w:webHidden/>
              </w:rPr>
            </w:r>
            <w:r w:rsidR="00B776F9">
              <w:rPr>
                <w:noProof/>
                <w:webHidden/>
              </w:rPr>
              <w:fldChar w:fldCharType="separate"/>
            </w:r>
            <w:r w:rsidR="00B776F9">
              <w:rPr>
                <w:noProof/>
                <w:webHidden/>
              </w:rPr>
              <w:t>13</w:t>
            </w:r>
            <w:r w:rsidR="00B776F9">
              <w:rPr>
                <w:noProof/>
                <w:webHidden/>
              </w:rPr>
              <w:fldChar w:fldCharType="end"/>
            </w:r>
          </w:hyperlink>
        </w:p>
        <w:p w14:paraId="1C4843D2" w14:textId="1E00D8F8"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97" w:history="1">
            <w:r w:rsidR="00B776F9" w:rsidRPr="00274F0C">
              <w:rPr>
                <w:rStyle w:val="Hyperlink"/>
                <w:noProof/>
              </w:rPr>
              <w:t>2.3</w:t>
            </w:r>
            <w:r w:rsidR="00B776F9">
              <w:rPr>
                <w:rFonts w:asciiTheme="minorHAnsi" w:eastAsiaTheme="minorEastAsia" w:hAnsiTheme="minorHAnsi"/>
                <w:noProof/>
                <w:color w:val="auto"/>
                <w:lang w:val="en-AU" w:eastAsia="en-AU"/>
              </w:rPr>
              <w:tab/>
            </w:r>
            <w:r w:rsidR="00B776F9" w:rsidRPr="00274F0C">
              <w:rPr>
                <w:rStyle w:val="Hyperlink"/>
                <w:noProof/>
              </w:rPr>
              <w:t>Governance and consultation process</w:t>
            </w:r>
            <w:r w:rsidR="00B776F9">
              <w:rPr>
                <w:noProof/>
                <w:webHidden/>
              </w:rPr>
              <w:tab/>
            </w:r>
            <w:r w:rsidR="00B776F9">
              <w:rPr>
                <w:noProof/>
                <w:webHidden/>
              </w:rPr>
              <w:fldChar w:fldCharType="begin"/>
            </w:r>
            <w:r w:rsidR="00B776F9">
              <w:rPr>
                <w:noProof/>
                <w:webHidden/>
              </w:rPr>
              <w:instrText xml:space="preserve"> PAGEREF _Toc124656397 \h </w:instrText>
            </w:r>
            <w:r w:rsidR="00B776F9">
              <w:rPr>
                <w:noProof/>
                <w:webHidden/>
              </w:rPr>
            </w:r>
            <w:r w:rsidR="00B776F9">
              <w:rPr>
                <w:noProof/>
                <w:webHidden/>
              </w:rPr>
              <w:fldChar w:fldCharType="separate"/>
            </w:r>
            <w:r w:rsidR="00B776F9">
              <w:rPr>
                <w:noProof/>
                <w:webHidden/>
              </w:rPr>
              <w:t>13</w:t>
            </w:r>
            <w:r w:rsidR="00B776F9">
              <w:rPr>
                <w:noProof/>
                <w:webHidden/>
              </w:rPr>
              <w:fldChar w:fldCharType="end"/>
            </w:r>
          </w:hyperlink>
        </w:p>
        <w:p w14:paraId="1B5E93B3" w14:textId="1F22E0AC"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398" w:history="1">
            <w:r w:rsidR="00B776F9" w:rsidRPr="00274F0C">
              <w:rPr>
                <w:rStyle w:val="Hyperlink"/>
                <w:noProof/>
              </w:rPr>
              <w:t>2.4</w:t>
            </w:r>
            <w:r w:rsidR="00B776F9">
              <w:rPr>
                <w:rFonts w:asciiTheme="minorHAnsi" w:eastAsiaTheme="minorEastAsia" w:hAnsiTheme="minorHAnsi"/>
                <w:noProof/>
                <w:color w:val="auto"/>
                <w:lang w:val="en-AU" w:eastAsia="en-AU"/>
              </w:rPr>
              <w:tab/>
            </w:r>
            <w:r w:rsidR="00B776F9" w:rsidRPr="00274F0C">
              <w:rPr>
                <w:rStyle w:val="Hyperlink"/>
                <w:noProof/>
              </w:rPr>
              <w:t>Data used for AR-DRG Version 11.0</w:t>
            </w:r>
            <w:r w:rsidR="00B776F9">
              <w:rPr>
                <w:noProof/>
                <w:webHidden/>
              </w:rPr>
              <w:tab/>
            </w:r>
            <w:r w:rsidR="00B776F9">
              <w:rPr>
                <w:noProof/>
                <w:webHidden/>
              </w:rPr>
              <w:fldChar w:fldCharType="begin"/>
            </w:r>
            <w:r w:rsidR="00B776F9">
              <w:rPr>
                <w:noProof/>
                <w:webHidden/>
              </w:rPr>
              <w:instrText xml:space="preserve"> PAGEREF _Toc124656398 \h </w:instrText>
            </w:r>
            <w:r w:rsidR="00B776F9">
              <w:rPr>
                <w:noProof/>
                <w:webHidden/>
              </w:rPr>
            </w:r>
            <w:r w:rsidR="00B776F9">
              <w:rPr>
                <w:noProof/>
                <w:webHidden/>
              </w:rPr>
              <w:fldChar w:fldCharType="separate"/>
            </w:r>
            <w:r w:rsidR="00B776F9">
              <w:rPr>
                <w:noProof/>
                <w:webHidden/>
              </w:rPr>
              <w:t>14</w:t>
            </w:r>
            <w:r w:rsidR="00B776F9">
              <w:rPr>
                <w:noProof/>
                <w:webHidden/>
              </w:rPr>
              <w:fldChar w:fldCharType="end"/>
            </w:r>
          </w:hyperlink>
        </w:p>
        <w:p w14:paraId="16550DA6" w14:textId="20B5E378" w:rsidR="00B776F9" w:rsidRDefault="005E71D6">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4656399" w:history="1">
            <w:r w:rsidR="00B776F9" w:rsidRPr="00274F0C">
              <w:rPr>
                <w:rStyle w:val="Hyperlink"/>
                <w:noProof/>
              </w:rPr>
              <w:t>3</w:t>
            </w:r>
            <w:r w:rsidR="00B776F9">
              <w:rPr>
                <w:rFonts w:asciiTheme="minorHAnsi" w:eastAsiaTheme="minorEastAsia" w:hAnsiTheme="minorHAnsi"/>
                <w:b w:val="0"/>
                <w:noProof/>
                <w:color w:val="auto"/>
                <w:sz w:val="22"/>
                <w:lang w:val="en-AU" w:eastAsia="en-AU"/>
              </w:rPr>
              <w:tab/>
            </w:r>
            <w:r w:rsidR="00B776F9" w:rsidRPr="00274F0C">
              <w:rPr>
                <w:rStyle w:val="Hyperlink"/>
                <w:noProof/>
              </w:rPr>
              <w:t>AR-DRG Version 11.0</w:t>
            </w:r>
            <w:r w:rsidR="00B776F9">
              <w:rPr>
                <w:noProof/>
                <w:webHidden/>
              </w:rPr>
              <w:tab/>
            </w:r>
            <w:r w:rsidR="00B776F9">
              <w:rPr>
                <w:noProof/>
                <w:webHidden/>
              </w:rPr>
              <w:fldChar w:fldCharType="begin"/>
            </w:r>
            <w:r w:rsidR="00B776F9">
              <w:rPr>
                <w:noProof/>
                <w:webHidden/>
              </w:rPr>
              <w:instrText xml:space="preserve"> PAGEREF _Toc124656399 \h </w:instrText>
            </w:r>
            <w:r w:rsidR="00B776F9">
              <w:rPr>
                <w:noProof/>
                <w:webHidden/>
              </w:rPr>
            </w:r>
            <w:r w:rsidR="00B776F9">
              <w:rPr>
                <w:noProof/>
                <w:webHidden/>
              </w:rPr>
              <w:fldChar w:fldCharType="separate"/>
            </w:r>
            <w:r w:rsidR="00B776F9">
              <w:rPr>
                <w:noProof/>
                <w:webHidden/>
              </w:rPr>
              <w:t>15</w:t>
            </w:r>
            <w:r w:rsidR="00B776F9">
              <w:rPr>
                <w:noProof/>
                <w:webHidden/>
              </w:rPr>
              <w:fldChar w:fldCharType="end"/>
            </w:r>
          </w:hyperlink>
        </w:p>
        <w:p w14:paraId="57F9680E" w14:textId="227B91E3"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0" w:history="1">
            <w:r w:rsidR="00B776F9" w:rsidRPr="00274F0C">
              <w:rPr>
                <w:rStyle w:val="Hyperlink"/>
                <w:noProof/>
              </w:rPr>
              <w:t>3.1</w:t>
            </w:r>
            <w:r w:rsidR="00B776F9">
              <w:rPr>
                <w:rFonts w:asciiTheme="minorHAnsi" w:eastAsiaTheme="minorEastAsia" w:hAnsiTheme="minorHAnsi"/>
                <w:noProof/>
                <w:color w:val="auto"/>
                <w:lang w:val="en-AU" w:eastAsia="en-AU"/>
              </w:rPr>
              <w:tab/>
            </w:r>
            <w:r w:rsidR="00B776F9" w:rsidRPr="00274F0C">
              <w:rPr>
                <w:rStyle w:val="Hyperlink"/>
                <w:noProof/>
              </w:rPr>
              <w:t>Endovascular clot retrieval</w:t>
            </w:r>
            <w:r w:rsidR="00B776F9">
              <w:rPr>
                <w:noProof/>
                <w:webHidden/>
              </w:rPr>
              <w:tab/>
            </w:r>
            <w:r w:rsidR="00B776F9">
              <w:rPr>
                <w:noProof/>
                <w:webHidden/>
              </w:rPr>
              <w:fldChar w:fldCharType="begin"/>
            </w:r>
            <w:r w:rsidR="00B776F9">
              <w:rPr>
                <w:noProof/>
                <w:webHidden/>
              </w:rPr>
              <w:instrText xml:space="preserve"> PAGEREF _Toc124656400 \h </w:instrText>
            </w:r>
            <w:r w:rsidR="00B776F9">
              <w:rPr>
                <w:noProof/>
                <w:webHidden/>
              </w:rPr>
            </w:r>
            <w:r w:rsidR="00B776F9">
              <w:rPr>
                <w:noProof/>
                <w:webHidden/>
              </w:rPr>
              <w:fldChar w:fldCharType="separate"/>
            </w:r>
            <w:r w:rsidR="00B776F9">
              <w:rPr>
                <w:noProof/>
                <w:webHidden/>
              </w:rPr>
              <w:t>15</w:t>
            </w:r>
            <w:r w:rsidR="00B776F9">
              <w:rPr>
                <w:noProof/>
                <w:webHidden/>
              </w:rPr>
              <w:fldChar w:fldCharType="end"/>
            </w:r>
          </w:hyperlink>
        </w:p>
        <w:p w14:paraId="1619B742" w14:textId="1D7DBB9C"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1" w:history="1">
            <w:r w:rsidR="00B776F9" w:rsidRPr="00274F0C">
              <w:rPr>
                <w:rStyle w:val="Hyperlink"/>
                <w:noProof/>
              </w:rPr>
              <w:t>3.2</w:t>
            </w:r>
            <w:r w:rsidR="00B776F9">
              <w:rPr>
                <w:rFonts w:asciiTheme="minorHAnsi" w:eastAsiaTheme="minorEastAsia" w:hAnsiTheme="minorHAnsi"/>
                <w:noProof/>
                <w:color w:val="auto"/>
                <w:lang w:val="en-AU" w:eastAsia="en-AU"/>
              </w:rPr>
              <w:tab/>
            </w:r>
            <w:r w:rsidR="00B776F9" w:rsidRPr="00274F0C">
              <w:rPr>
                <w:rStyle w:val="Hyperlink"/>
                <w:noProof/>
              </w:rPr>
              <w:t>Transcatheter aortic valve implantation</w:t>
            </w:r>
            <w:r w:rsidR="00B776F9">
              <w:rPr>
                <w:noProof/>
                <w:webHidden/>
              </w:rPr>
              <w:tab/>
            </w:r>
            <w:r w:rsidR="00B776F9">
              <w:rPr>
                <w:noProof/>
                <w:webHidden/>
              </w:rPr>
              <w:fldChar w:fldCharType="begin"/>
            </w:r>
            <w:r w:rsidR="00B776F9">
              <w:rPr>
                <w:noProof/>
                <w:webHidden/>
              </w:rPr>
              <w:instrText xml:space="preserve"> PAGEREF _Toc124656401 \h </w:instrText>
            </w:r>
            <w:r w:rsidR="00B776F9">
              <w:rPr>
                <w:noProof/>
                <w:webHidden/>
              </w:rPr>
            </w:r>
            <w:r w:rsidR="00B776F9">
              <w:rPr>
                <w:noProof/>
                <w:webHidden/>
              </w:rPr>
              <w:fldChar w:fldCharType="separate"/>
            </w:r>
            <w:r w:rsidR="00B776F9">
              <w:rPr>
                <w:noProof/>
                <w:webHidden/>
              </w:rPr>
              <w:t>15</w:t>
            </w:r>
            <w:r w:rsidR="00B776F9">
              <w:rPr>
                <w:noProof/>
                <w:webHidden/>
              </w:rPr>
              <w:fldChar w:fldCharType="end"/>
            </w:r>
          </w:hyperlink>
        </w:p>
        <w:p w14:paraId="73980E1B" w14:textId="60BE9144"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2" w:history="1">
            <w:r w:rsidR="00B776F9" w:rsidRPr="00274F0C">
              <w:rPr>
                <w:rStyle w:val="Hyperlink"/>
                <w:noProof/>
              </w:rPr>
              <w:t>3.3</w:t>
            </w:r>
            <w:r w:rsidR="00B776F9">
              <w:rPr>
                <w:rFonts w:asciiTheme="minorHAnsi" w:eastAsiaTheme="minorEastAsia" w:hAnsiTheme="minorHAnsi"/>
                <w:noProof/>
                <w:color w:val="auto"/>
                <w:lang w:val="en-AU" w:eastAsia="en-AU"/>
              </w:rPr>
              <w:tab/>
            </w:r>
            <w:r w:rsidR="00B776F9" w:rsidRPr="00274F0C">
              <w:rPr>
                <w:rStyle w:val="Hyperlink"/>
                <w:noProof/>
              </w:rPr>
              <w:t>Peritonectomy</w:t>
            </w:r>
            <w:r w:rsidR="00B776F9">
              <w:rPr>
                <w:noProof/>
                <w:webHidden/>
              </w:rPr>
              <w:tab/>
            </w:r>
            <w:r w:rsidR="00B776F9">
              <w:rPr>
                <w:noProof/>
                <w:webHidden/>
              </w:rPr>
              <w:fldChar w:fldCharType="begin"/>
            </w:r>
            <w:r w:rsidR="00B776F9">
              <w:rPr>
                <w:noProof/>
                <w:webHidden/>
              </w:rPr>
              <w:instrText xml:space="preserve"> PAGEREF _Toc124656402 \h </w:instrText>
            </w:r>
            <w:r w:rsidR="00B776F9">
              <w:rPr>
                <w:noProof/>
                <w:webHidden/>
              </w:rPr>
            </w:r>
            <w:r w:rsidR="00B776F9">
              <w:rPr>
                <w:noProof/>
                <w:webHidden/>
              </w:rPr>
              <w:fldChar w:fldCharType="separate"/>
            </w:r>
            <w:r w:rsidR="00B776F9">
              <w:rPr>
                <w:noProof/>
                <w:webHidden/>
              </w:rPr>
              <w:t>16</w:t>
            </w:r>
            <w:r w:rsidR="00B776F9">
              <w:rPr>
                <w:noProof/>
                <w:webHidden/>
              </w:rPr>
              <w:fldChar w:fldCharType="end"/>
            </w:r>
          </w:hyperlink>
        </w:p>
        <w:p w14:paraId="2B620551" w14:textId="6F4271E6"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3" w:history="1">
            <w:r w:rsidR="00B776F9" w:rsidRPr="00274F0C">
              <w:rPr>
                <w:rStyle w:val="Hyperlink"/>
                <w:noProof/>
              </w:rPr>
              <w:t>3.4</w:t>
            </w:r>
            <w:r w:rsidR="00B776F9">
              <w:rPr>
                <w:rFonts w:asciiTheme="minorHAnsi" w:eastAsiaTheme="minorEastAsia" w:hAnsiTheme="minorHAnsi"/>
                <w:noProof/>
                <w:color w:val="auto"/>
                <w:lang w:val="en-AU" w:eastAsia="en-AU"/>
              </w:rPr>
              <w:tab/>
            </w:r>
            <w:r w:rsidR="00B776F9" w:rsidRPr="00274F0C">
              <w:rPr>
                <w:rStyle w:val="Hyperlink"/>
                <w:noProof/>
              </w:rPr>
              <w:t>Nail and nail bed procedures for hand and foot</w:t>
            </w:r>
            <w:r w:rsidR="00B776F9">
              <w:rPr>
                <w:noProof/>
                <w:webHidden/>
              </w:rPr>
              <w:tab/>
            </w:r>
            <w:r w:rsidR="00B776F9">
              <w:rPr>
                <w:noProof/>
                <w:webHidden/>
              </w:rPr>
              <w:fldChar w:fldCharType="begin"/>
            </w:r>
            <w:r w:rsidR="00B776F9">
              <w:rPr>
                <w:noProof/>
                <w:webHidden/>
              </w:rPr>
              <w:instrText xml:space="preserve"> PAGEREF _Toc124656403 \h </w:instrText>
            </w:r>
            <w:r w:rsidR="00B776F9">
              <w:rPr>
                <w:noProof/>
                <w:webHidden/>
              </w:rPr>
            </w:r>
            <w:r w:rsidR="00B776F9">
              <w:rPr>
                <w:noProof/>
                <w:webHidden/>
              </w:rPr>
              <w:fldChar w:fldCharType="separate"/>
            </w:r>
            <w:r w:rsidR="00B776F9">
              <w:rPr>
                <w:noProof/>
                <w:webHidden/>
              </w:rPr>
              <w:t>17</w:t>
            </w:r>
            <w:r w:rsidR="00B776F9">
              <w:rPr>
                <w:noProof/>
                <w:webHidden/>
              </w:rPr>
              <w:fldChar w:fldCharType="end"/>
            </w:r>
          </w:hyperlink>
        </w:p>
        <w:p w14:paraId="6A72B04B" w14:textId="75794F99"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4" w:history="1">
            <w:r w:rsidR="00B776F9" w:rsidRPr="00274F0C">
              <w:rPr>
                <w:rStyle w:val="Hyperlink"/>
                <w:noProof/>
              </w:rPr>
              <w:t>3.5</w:t>
            </w:r>
            <w:r w:rsidR="00B776F9">
              <w:rPr>
                <w:rFonts w:asciiTheme="minorHAnsi" w:eastAsiaTheme="minorEastAsia" w:hAnsiTheme="minorHAnsi"/>
                <w:noProof/>
                <w:color w:val="auto"/>
                <w:lang w:val="en-AU" w:eastAsia="en-AU"/>
              </w:rPr>
              <w:tab/>
            </w:r>
            <w:r w:rsidR="00B776F9" w:rsidRPr="00274F0C">
              <w:rPr>
                <w:rStyle w:val="Hyperlink"/>
                <w:noProof/>
              </w:rPr>
              <w:t>Review of sex edits in the admitted care classifications</w:t>
            </w:r>
            <w:r w:rsidR="00B776F9">
              <w:rPr>
                <w:noProof/>
                <w:webHidden/>
              </w:rPr>
              <w:tab/>
            </w:r>
            <w:r w:rsidR="00B776F9">
              <w:rPr>
                <w:noProof/>
                <w:webHidden/>
              </w:rPr>
              <w:fldChar w:fldCharType="begin"/>
            </w:r>
            <w:r w:rsidR="00B776F9">
              <w:rPr>
                <w:noProof/>
                <w:webHidden/>
              </w:rPr>
              <w:instrText xml:space="preserve"> PAGEREF _Toc124656404 \h </w:instrText>
            </w:r>
            <w:r w:rsidR="00B776F9">
              <w:rPr>
                <w:noProof/>
                <w:webHidden/>
              </w:rPr>
            </w:r>
            <w:r w:rsidR="00B776F9">
              <w:rPr>
                <w:noProof/>
                <w:webHidden/>
              </w:rPr>
              <w:fldChar w:fldCharType="separate"/>
            </w:r>
            <w:r w:rsidR="00B776F9">
              <w:rPr>
                <w:noProof/>
                <w:webHidden/>
              </w:rPr>
              <w:t>17</w:t>
            </w:r>
            <w:r w:rsidR="00B776F9">
              <w:rPr>
                <w:noProof/>
                <w:webHidden/>
              </w:rPr>
              <w:fldChar w:fldCharType="end"/>
            </w:r>
          </w:hyperlink>
        </w:p>
        <w:p w14:paraId="4CE20C1B" w14:textId="449560C8"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05" w:history="1">
            <w:r w:rsidR="00B776F9" w:rsidRPr="00274F0C">
              <w:rPr>
                <w:rStyle w:val="Hyperlink"/>
                <w:noProof/>
              </w:rPr>
              <w:t>3.5.1</w:t>
            </w:r>
            <w:r w:rsidR="00B776F9">
              <w:rPr>
                <w:rFonts w:asciiTheme="minorHAnsi" w:eastAsiaTheme="minorEastAsia" w:hAnsiTheme="minorHAnsi"/>
                <w:noProof/>
                <w:color w:val="auto"/>
                <w:lang w:val="en-AU" w:eastAsia="en-AU"/>
              </w:rPr>
              <w:tab/>
            </w:r>
            <w:r w:rsidR="00B776F9" w:rsidRPr="00274F0C">
              <w:rPr>
                <w:rStyle w:val="Hyperlink"/>
                <w:noProof/>
              </w:rPr>
              <w:t>Limiting the requirement to use ‘sex’ as a classification variable</w:t>
            </w:r>
            <w:r w:rsidR="00B776F9">
              <w:rPr>
                <w:noProof/>
                <w:webHidden/>
              </w:rPr>
              <w:tab/>
            </w:r>
            <w:r w:rsidR="00B776F9">
              <w:rPr>
                <w:noProof/>
                <w:webHidden/>
              </w:rPr>
              <w:fldChar w:fldCharType="begin"/>
            </w:r>
            <w:r w:rsidR="00B776F9">
              <w:rPr>
                <w:noProof/>
                <w:webHidden/>
              </w:rPr>
              <w:instrText xml:space="preserve"> PAGEREF _Toc124656405 \h </w:instrText>
            </w:r>
            <w:r w:rsidR="00B776F9">
              <w:rPr>
                <w:noProof/>
                <w:webHidden/>
              </w:rPr>
            </w:r>
            <w:r w:rsidR="00B776F9">
              <w:rPr>
                <w:noProof/>
                <w:webHidden/>
              </w:rPr>
              <w:fldChar w:fldCharType="separate"/>
            </w:r>
            <w:r w:rsidR="00B776F9">
              <w:rPr>
                <w:noProof/>
                <w:webHidden/>
              </w:rPr>
              <w:t>18</w:t>
            </w:r>
            <w:r w:rsidR="00B776F9">
              <w:rPr>
                <w:noProof/>
                <w:webHidden/>
              </w:rPr>
              <w:fldChar w:fldCharType="end"/>
            </w:r>
          </w:hyperlink>
        </w:p>
        <w:p w14:paraId="16F74001" w14:textId="554F61B3"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06" w:history="1">
            <w:r w:rsidR="00B776F9" w:rsidRPr="00274F0C">
              <w:rPr>
                <w:rStyle w:val="Hyperlink"/>
                <w:noProof/>
              </w:rPr>
              <w:t>3.5.2</w:t>
            </w:r>
            <w:r w:rsidR="00B776F9">
              <w:rPr>
                <w:rFonts w:asciiTheme="minorHAnsi" w:eastAsiaTheme="minorEastAsia" w:hAnsiTheme="minorHAnsi"/>
                <w:noProof/>
                <w:color w:val="auto"/>
                <w:lang w:val="en-AU" w:eastAsia="en-AU"/>
              </w:rPr>
              <w:tab/>
            </w:r>
            <w:r w:rsidR="00B776F9" w:rsidRPr="00274F0C">
              <w:rPr>
                <w:rStyle w:val="Hyperlink"/>
                <w:noProof/>
              </w:rPr>
              <w:t>Sex conflict test causing grouping errors</w:t>
            </w:r>
            <w:r w:rsidR="00B776F9">
              <w:rPr>
                <w:noProof/>
                <w:webHidden/>
              </w:rPr>
              <w:tab/>
            </w:r>
            <w:r w:rsidR="00B776F9">
              <w:rPr>
                <w:noProof/>
                <w:webHidden/>
              </w:rPr>
              <w:fldChar w:fldCharType="begin"/>
            </w:r>
            <w:r w:rsidR="00B776F9">
              <w:rPr>
                <w:noProof/>
                <w:webHidden/>
              </w:rPr>
              <w:instrText xml:space="preserve"> PAGEREF _Toc124656406 \h </w:instrText>
            </w:r>
            <w:r w:rsidR="00B776F9">
              <w:rPr>
                <w:noProof/>
                <w:webHidden/>
              </w:rPr>
            </w:r>
            <w:r w:rsidR="00B776F9">
              <w:rPr>
                <w:noProof/>
                <w:webHidden/>
              </w:rPr>
              <w:fldChar w:fldCharType="separate"/>
            </w:r>
            <w:r w:rsidR="00B776F9">
              <w:rPr>
                <w:noProof/>
                <w:webHidden/>
              </w:rPr>
              <w:t>18</w:t>
            </w:r>
            <w:r w:rsidR="00B776F9">
              <w:rPr>
                <w:noProof/>
                <w:webHidden/>
              </w:rPr>
              <w:fldChar w:fldCharType="end"/>
            </w:r>
          </w:hyperlink>
        </w:p>
        <w:p w14:paraId="265F11D3" w14:textId="0D47B811"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07" w:history="1">
            <w:r w:rsidR="00B776F9" w:rsidRPr="00274F0C">
              <w:rPr>
                <w:rStyle w:val="Hyperlink"/>
                <w:noProof/>
              </w:rPr>
              <w:t>3.5.3</w:t>
            </w:r>
            <w:r w:rsidR="00B776F9">
              <w:rPr>
                <w:rFonts w:asciiTheme="minorHAnsi" w:eastAsiaTheme="minorEastAsia" w:hAnsiTheme="minorHAnsi"/>
                <w:noProof/>
                <w:color w:val="auto"/>
                <w:lang w:val="en-AU" w:eastAsia="en-AU"/>
              </w:rPr>
              <w:tab/>
            </w:r>
            <w:r w:rsidR="00B776F9" w:rsidRPr="00274F0C">
              <w:rPr>
                <w:rStyle w:val="Hyperlink"/>
                <w:noProof/>
              </w:rPr>
              <w:t>Use of ‘sex’ as an edit variable</w:t>
            </w:r>
            <w:r w:rsidR="00B776F9">
              <w:rPr>
                <w:noProof/>
                <w:webHidden/>
              </w:rPr>
              <w:tab/>
            </w:r>
            <w:r w:rsidR="00B776F9">
              <w:rPr>
                <w:noProof/>
                <w:webHidden/>
              </w:rPr>
              <w:fldChar w:fldCharType="begin"/>
            </w:r>
            <w:r w:rsidR="00B776F9">
              <w:rPr>
                <w:noProof/>
                <w:webHidden/>
              </w:rPr>
              <w:instrText xml:space="preserve"> PAGEREF _Toc124656407 \h </w:instrText>
            </w:r>
            <w:r w:rsidR="00B776F9">
              <w:rPr>
                <w:noProof/>
                <w:webHidden/>
              </w:rPr>
            </w:r>
            <w:r w:rsidR="00B776F9">
              <w:rPr>
                <w:noProof/>
                <w:webHidden/>
              </w:rPr>
              <w:fldChar w:fldCharType="separate"/>
            </w:r>
            <w:r w:rsidR="00B776F9">
              <w:rPr>
                <w:noProof/>
                <w:webHidden/>
              </w:rPr>
              <w:t>19</w:t>
            </w:r>
            <w:r w:rsidR="00B776F9">
              <w:rPr>
                <w:noProof/>
                <w:webHidden/>
              </w:rPr>
              <w:fldChar w:fldCharType="end"/>
            </w:r>
          </w:hyperlink>
        </w:p>
        <w:p w14:paraId="283B8C9E" w14:textId="72202D7F"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8" w:history="1">
            <w:r w:rsidR="00B776F9" w:rsidRPr="00274F0C">
              <w:rPr>
                <w:rStyle w:val="Hyperlink"/>
                <w:noProof/>
              </w:rPr>
              <w:t>3.6</w:t>
            </w:r>
            <w:r w:rsidR="00B776F9">
              <w:rPr>
                <w:rFonts w:asciiTheme="minorHAnsi" w:eastAsiaTheme="minorEastAsia" w:hAnsiTheme="minorHAnsi"/>
                <w:noProof/>
                <w:color w:val="auto"/>
                <w:lang w:val="en-AU" w:eastAsia="en-AU"/>
              </w:rPr>
              <w:tab/>
            </w:r>
            <w:r w:rsidR="00B776F9" w:rsidRPr="00274F0C">
              <w:rPr>
                <w:rStyle w:val="Hyperlink"/>
                <w:noProof/>
              </w:rPr>
              <w:t>Alignment of age edits in the admitted care classifications</w:t>
            </w:r>
            <w:r w:rsidR="00B776F9">
              <w:rPr>
                <w:noProof/>
                <w:webHidden/>
              </w:rPr>
              <w:tab/>
            </w:r>
            <w:r w:rsidR="00B776F9">
              <w:rPr>
                <w:noProof/>
                <w:webHidden/>
              </w:rPr>
              <w:fldChar w:fldCharType="begin"/>
            </w:r>
            <w:r w:rsidR="00B776F9">
              <w:rPr>
                <w:noProof/>
                <w:webHidden/>
              </w:rPr>
              <w:instrText xml:space="preserve"> PAGEREF _Toc124656408 \h </w:instrText>
            </w:r>
            <w:r w:rsidR="00B776F9">
              <w:rPr>
                <w:noProof/>
                <w:webHidden/>
              </w:rPr>
            </w:r>
            <w:r w:rsidR="00B776F9">
              <w:rPr>
                <w:noProof/>
                <w:webHidden/>
              </w:rPr>
              <w:fldChar w:fldCharType="separate"/>
            </w:r>
            <w:r w:rsidR="00B776F9">
              <w:rPr>
                <w:noProof/>
                <w:webHidden/>
              </w:rPr>
              <w:t>19</w:t>
            </w:r>
            <w:r w:rsidR="00B776F9">
              <w:rPr>
                <w:noProof/>
                <w:webHidden/>
              </w:rPr>
              <w:fldChar w:fldCharType="end"/>
            </w:r>
          </w:hyperlink>
        </w:p>
        <w:p w14:paraId="0F8E4F62" w14:textId="43402354"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09" w:history="1">
            <w:r w:rsidR="00B776F9" w:rsidRPr="00274F0C">
              <w:rPr>
                <w:rStyle w:val="Hyperlink"/>
                <w:noProof/>
              </w:rPr>
              <w:t>3.7</w:t>
            </w:r>
            <w:r w:rsidR="00B776F9">
              <w:rPr>
                <w:rFonts w:asciiTheme="minorHAnsi" w:eastAsiaTheme="minorEastAsia" w:hAnsiTheme="minorHAnsi"/>
                <w:noProof/>
                <w:color w:val="auto"/>
                <w:lang w:val="en-AU" w:eastAsia="en-AU"/>
              </w:rPr>
              <w:tab/>
            </w:r>
            <w:r w:rsidR="00B776F9" w:rsidRPr="00274F0C">
              <w:rPr>
                <w:rStyle w:val="Hyperlink"/>
                <w:noProof/>
              </w:rPr>
              <w:t>Standard AR-DRG refinements</w:t>
            </w:r>
            <w:r w:rsidR="00B776F9">
              <w:rPr>
                <w:noProof/>
                <w:webHidden/>
              </w:rPr>
              <w:tab/>
            </w:r>
            <w:r w:rsidR="00B776F9">
              <w:rPr>
                <w:noProof/>
                <w:webHidden/>
              </w:rPr>
              <w:fldChar w:fldCharType="begin"/>
            </w:r>
            <w:r w:rsidR="00B776F9">
              <w:rPr>
                <w:noProof/>
                <w:webHidden/>
              </w:rPr>
              <w:instrText xml:space="preserve"> PAGEREF _Toc124656409 \h </w:instrText>
            </w:r>
            <w:r w:rsidR="00B776F9">
              <w:rPr>
                <w:noProof/>
                <w:webHidden/>
              </w:rPr>
            </w:r>
            <w:r w:rsidR="00B776F9">
              <w:rPr>
                <w:noProof/>
                <w:webHidden/>
              </w:rPr>
              <w:fldChar w:fldCharType="separate"/>
            </w:r>
            <w:r w:rsidR="00B776F9">
              <w:rPr>
                <w:noProof/>
                <w:webHidden/>
              </w:rPr>
              <w:t>19</w:t>
            </w:r>
            <w:r w:rsidR="00B776F9">
              <w:rPr>
                <w:noProof/>
                <w:webHidden/>
              </w:rPr>
              <w:fldChar w:fldCharType="end"/>
            </w:r>
          </w:hyperlink>
        </w:p>
        <w:p w14:paraId="61882F1A" w14:textId="224C135F"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0" w:history="1">
            <w:r w:rsidR="00B776F9" w:rsidRPr="00274F0C">
              <w:rPr>
                <w:rStyle w:val="Hyperlink"/>
                <w:noProof/>
              </w:rPr>
              <w:t>3.7.1</w:t>
            </w:r>
            <w:r w:rsidR="00B776F9">
              <w:rPr>
                <w:rFonts w:asciiTheme="minorHAnsi" w:eastAsiaTheme="minorEastAsia" w:hAnsiTheme="minorHAnsi"/>
                <w:noProof/>
                <w:color w:val="auto"/>
                <w:lang w:val="en-AU" w:eastAsia="en-AU"/>
              </w:rPr>
              <w:tab/>
            </w:r>
            <w:r w:rsidR="00B776F9" w:rsidRPr="00274F0C">
              <w:rPr>
                <w:rStyle w:val="Hyperlink"/>
                <w:noProof/>
              </w:rPr>
              <w:t>Diagnoses in-scope for receiving a Diagnosis Complexity Level</w:t>
            </w:r>
            <w:r w:rsidR="00B776F9">
              <w:rPr>
                <w:noProof/>
                <w:webHidden/>
              </w:rPr>
              <w:tab/>
            </w:r>
            <w:r w:rsidR="00B776F9">
              <w:rPr>
                <w:noProof/>
                <w:webHidden/>
              </w:rPr>
              <w:fldChar w:fldCharType="begin"/>
            </w:r>
            <w:r w:rsidR="00B776F9">
              <w:rPr>
                <w:noProof/>
                <w:webHidden/>
              </w:rPr>
              <w:instrText xml:space="preserve"> PAGEREF _Toc124656410 \h </w:instrText>
            </w:r>
            <w:r w:rsidR="00B776F9">
              <w:rPr>
                <w:noProof/>
                <w:webHidden/>
              </w:rPr>
            </w:r>
            <w:r w:rsidR="00B776F9">
              <w:rPr>
                <w:noProof/>
                <w:webHidden/>
              </w:rPr>
              <w:fldChar w:fldCharType="separate"/>
            </w:r>
            <w:r w:rsidR="00B776F9">
              <w:rPr>
                <w:noProof/>
                <w:webHidden/>
              </w:rPr>
              <w:t>19</w:t>
            </w:r>
            <w:r w:rsidR="00B776F9">
              <w:rPr>
                <w:noProof/>
                <w:webHidden/>
              </w:rPr>
              <w:fldChar w:fldCharType="end"/>
            </w:r>
          </w:hyperlink>
        </w:p>
        <w:p w14:paraId="4083E3BE" w14:textId="68A5EBC4"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1" w:history="1">
            <w:r w:rsidR="00B776F9" w:rsidRPr="00274F0C">
              <w:rPr>
                <w:rStyle w:val="Hyperlink"/>
                <w:noProof/>
              </w:rPr>
              <w:t>3.7.2</w:t>
            </w:r>
            <w:r w:rsidR="00B776F9">
              <w:rPr>
                <w:rFonts w:asciiTheme="minorHAnsi" w:eastAsiaTheme="minorEastAsia" w:hAnsiTheme="minorHAnsi"/>
                <w:noProof/>
                <w:color w:val="auto"/>
                <w:lang w:val="en-AU" w:eastAsia="en-AU"/>
              </w:rPr>
              <w:tab/>
            </w:r>
            <w:r w:rsidR="00B776F9" w:rsidRPr="00274F0C">
              <w:rPr>
                <w:rStyle w:val="Hyperlink"/>
                <w:noProof/>
              </w:rPr>
              <w:t>ADRG intervention hierarchy review</w:t>
            </w:r>
            <w:r w:rsidR="00B776F9">
              <w:rPr>
                <w:noProof/>
                <w:webHidden/>
              </w:rPr>
              <w:tab/>
            </w:r>
            <w:r w:rsidR="00B776F9">
              <w:rPr>
                <w:noProof/>
                <w:webHidden/>
              </w:rPr>
              <w:fldChar w:fldCharType="begin"/>
            </w:r>
            <w:r w:rsidR="00B776F9">
              <w:rPr>
                <w:noProof/>
                <w:webHidden/>
              </w:rPr>
              <w:instrText xml:space="preserve"> PAGEREF _Toc124656411 \h </w:instrText>
            </w:r>
            <w:r w:rsidR="00B776F9">
              <w:rPr>
                <w:noProof/>
                <w:webHidden/>
              </w:rPr>
            </w:r>
            <w:r w:rsidR="00B776F9">
              <w:rPr>
                <w:noProof/>
                <w:webHidden/>
              </w:rPr>
              <w:fldChar w:fldCharType="separate"/>
            </w:r>
            <w:r w:rsidR="00B776F9">
              <w:rPr>
                <w:noProof/>
                <w:webHidden/>
              </w:rPr>
              <w:t>21</w:t>
            </w:r>
            <w:r w:rsidR="00B776F9">
              <w:rPr>
                <w:noProof/>
                <w:webHidden/>
              </w:rPr>
              <w:fldChar w:fldCharType="end"/>
            </w:r>
          </w:hyperlink>
        </w:p>
        <w:p w14:paraId="1EC4CE10" w14:textId="4F4F6C3E"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2" w:history="1">
            <w:r w:rsidR="00B776F9" w:rsidRPr="00274F0C">
              <w:rPr>
                <w:rStyle w:val="Hyperlink"/>
                <w:noProof/>
              </w:rPr>
              <w:t>3.7.3</w:t>
            </w:r>
            <w:r w:rsidR="00B776F9">
              <w:rPr>
                <w:rFonts w:asciiTheme="minorHAnsi" w:eastAsiaTheme="minorEastAsia" w:hAnsiTheme="minorHAnsi"/>
                <w:noProof/>
                <w:color w:val="auto"/>
                <w:lang w:val="en-AU" w:eastAsia="en-AU"/>
              </w:rPr>
              <w:tab/>
            </w:r>
            <w:r w:rsidR="00B776F9" w:rsidRPr="00274F0C">
              <w:rPr>
                <w:rStyle w:val="Hyperlink"/>
                <w:noProof/>
              </w:rPr>
              <w:t>ADRG splitting review</w:t>
            </w:r>
            <w:r w:rsidR="00B776F9">
              <w:rPr>
                <w:noProof/>
                <w:webHidden/>
              </w:rPr>
              <w:tab/>
            </w:r>
            <w:r w:rsidR="00B776F9">
              <w:rPr>
                <w:noProof/>
                <w:webHidden/>
              </w:rPr>
              <w:fldChar w:fldCharType="begin"/>
            </w:r>
            <w:r w:rsidR="00B776F9">
              <w:rPr>
                <w:noProof/>
                <w:webHidden/>
              </w:rPr>
              <w:instrText xml:space="preserve"> PAGEREF _Toc124656412 \h </w:instrText>
            </w:r>
            <w:r w:rsidR="00B776F9">
              <w:rPr>
                <w:noProof/>
                <w:webHidden/>
              </w:rPr>
            </w:r>
            <w:r w:rsidR="00B776F9">
              <w:rPr>
                <w:noProof/>
                <w:webHidden/>
              </w:rPr>
              <w:fldChar w:fldCharType="separate"/>
            </w:r>
            <w:r w:rsidR="00B776F9">
              <w:rPr>
                <w:noProof/>
                <w:webHidden/>
              </w:rPr>
              <w:t>22</w:t>
            </w:r>
            <w:r w:rsidR="00B776F9">
              <w:rPr>
                <w:noProof/>
                <w:webHidden/>
              </w:rPr>
              <w:fldChar w:fldCharType="end"/>
            </w:r>
          </w:hyperlink>
        </w:p>
        <w:p w14:paraId="7F21EDB6" w14:textId="2FF11144"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3" w:history="1">
            <w:r w:rsidR="00B776F9" w:rsidRPr="00274F0C">
              <w:rPr>
                <w:rStyle w:val="Hyperlink"/>
                <w:noProof/>
              </w:rPr>
              <w:t>3.7.4</w:t>
            </w:r>
            <w:r w:rsidR="00B776F9">
              <w:rPr>
                <w:rFonts w:asciiTheme="minorHAnsi" w:eastAsiaTheme="minorEastAsia" w:hAnsiTheme="minorHAnsi"/>
                <w:noProof/>
                <w:color w:val="auto"/>
                <w:lang w:val="en-AU" w:eastAsia="en-AU"/>
              </w:rPr>
              <w:tab/>
            </w:r>
            <w:r w:rsidR="00B776F9" w:rsidRPr="00274F0C">
              <w:rPr>
                <w:rStyle w:val="Hyperlink"/>
                <w:noProof/>
              </w:rPr>
              <w:t xml:space="preserve">Review of ADRG 801 </w:t>
            </w:r>
            <w:r w:rsidR="00B776F9" w:rsidRPr="00274F0C">
              <w:rPr>
                <w:rStyle w:val="Hyperlink"/>
                <w:i/>
                <w:noProof/>
              </w:rPr>
              <w:t>General Interventions (GIs) unrelated to principal diagnosis</w:t>
            </w:r>
            <w:r w:rsidR="00B776F9">
              <w:rPr>
                <w:noProof/>
                <w:webHidden/>
              </w:rPr>
              <w:tab/>
            </w:r>
            <w:r w:rsidR="00B776F9">
              <w:rPr>
                <w:noProof/>
                <w:webHidden/>
              </w:rPr>
              <w:fldChar w:fldCharType="begin"/>
            </w:r>
            <w:r w:rsidR="00B776F9">
              <w:rPr>
                <w:noProof/>
                <w:webHidden/>
              </w:rPr>
              <w:instrText xml:space="preserve"> PAGEREF _Toc124656413 \h </w:instrText>
            </w:r>
            <w:r w:rsidR="00B776F9">
              <w:rPr>
                <w:noProof/>
                <w:webHidden/>
              </w:rPr>
            </w:r>
            <w:r w:rsidR="00B776F9">
              <w:rPr>
                <w:noProof/>
                <w:webHidden/>
              </w:rPr>
              <w:fldChar w:fldCharType="separate"/>
            </w:r>
            <w:r w:rsidR="00B776F9">
              <w:rPr>
                <w:noProof/>
                <w:webHidden/>
              </w:rPr>
              <w:t>23</w:t>
            </w:r>
            <w:r w:rsidR="00B776F9">
              <w:rPr>
                <w:noProof/>
                <w:webHidden/>
              </w:rPr>
              <w:fldChar w:fldCharType="end"/>
            </w:r>
          </w:hyperlink>
        </w:p>
        <w:p w14:paraId="53A95E45" w14:textId="1E75DBBD"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14" w:history="1">
            <w:r w:rsidR="00B776F9" w:rsidRPr="00274F0C">
              <w:rPr>
                <w:rStyle w:val="Hyperlink"/>
                <w:noProof/>
              </w:rPr>
              <w:t>3.8</w:t>
            </w:r>
            <w:r w:rsidR="00B776F9">
              <w:rPr>
                <w:rFonts w:asciiTheme="minorHAnsi" w:eastAsiaTheme="minorEastAsia" w:hAnsiTheme="minorHAnsi"/>
                <w:noProof/>
                <w:color w:val="auto"/>
                <w:lang w:val="en-AU" w:eastAsia="en-AU"/>
              </w:rPr>
              <w:tab/>
            </w:r>
            <w:r w:rsidR="00B776F9" w:rsidRPr="00274F0C">
              <w:rPr>
                <w:rStyle w:val="Hyperlink"/>
                <w:noProof/>
              </w:rPr>
              <w:t>Coronavirus disease 2019 (COVID-19)</w:t>
            </w:r>
            <w:r w:rsidR="00B776F9">
              <w:rPr>
                <w:noProof/>
                <w:webHidden/>
              </w:rPr>
              <w:tab/>
            </w:r>
            <w:r w:rsidR="00B776F9">
              <w:rPr>
                <w:noProof/>
                <w:webHidden/>
              </w:rPr>
              <w:fldChar w:fldCharType="begin"/>
            </w:r>
            <w:r w:rsidR="00B776F9">
              <w:rPr>
                <w:noProof/>
                <w:webHidden/>
              </w:rPr>
              <w:instrText xml:space="preserve"> PAGEREF _Toc124656414 \h </w:instrText>
            </w:r>
            <w:r w:rsidR="00B776F9">
              <w:rPr>
                <w:noProof/>
                <w:webHidden/>
              </w:rPr>
            </w:r>
            <w:r w:rsidR="00B776F9">
              <w:rPr>
                <w:noProof/>
                <w:webHidden/>
              </w:rPr>
              <w:fldChar w:fldCharType="separate"/>
            </w:r>
            <w:r w:rsidR="00B776F9">
              <w:rPr>
                <w:noProof/>
                <w:webHidden/>
              </w:rPr>
              <w:t>23</w:t>
            </w:r>
            <w:r w:rsidR="00B776F9">
              <w:rPr>
                <w:noProof/>
                <w:webHidden/>
              </w:rPr>
              <w:fldChar w:fldCharType="end"/>
            </w:r>
          </w:hyperlink>
        </w:p>
        <w:p w14:paraId="23926059" w14:textId="40227F28"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15" w:history="1">
            <w:r w:rsidR="00B776F9" w:rsidRPr="00274F0C">
              <w:rPr>
                <w:rStyle w:val="Hyperlink"/>
                <w:noProof/>
              </w:rPr>
              <w:t>3.9</w:t>
            </w:r>
            <w:r w:rsidR="00B776F9">
              <w:rPr>
                <w:rFonts w:asciiTheme="minorHAnsi" w:eastAsiaTheme="minorEastAsia" w:hAnsiTheme="minorHAnsi"/>
                <w:noProof/>
                <w:color w:val="auto"/>
                <w:lang w:val="en-AU" w:eastAsia="en-AU"/>
              </w:rPr>
              <w:tab/>
            </w:r>
            <w:r w:rsidR="00B776F9" w:rsidRPr="00274F0C">
              <w:rPr>
                <w:rStyle w:val="Hyperlink"/>
                <w:noProof/>
              </w:rPr>
              <w:t>Areas assessed and not progressed for AR-DRG V11.0</w:t>
            </w:r>
            <w:r w:rsidR="00B776F9">
              <w:rPr>
                <w:noProof/>
                <w:webHidden/>
              </w:rPr>
              <w:tab/>
            </w:r>
            <w:r w:rsidR="00B776F9">
              <w:rPr>
                <w:noProof/>
                <w:webHidden/>
              </w:rPr>
              <w:fldChar w:fldCharType="begin"/>
            </w:r>
            <w:r w:rsidR="00B776F9">
              <w:rPr>
                <w:noProof/>
                <w:webHidden/>
              </w:rPr>
              <w:instrText xml:space="preserve"> PAGEREF _Toc124656415 \h </w:instrText>
            </w:r>
            <w:r w:rsidR="00B776F9">
              <w:rPr>
                <w:noProof/>
                <w:webHidden/>
              </w:rPr>
            </w:r>
            <w:r w:rsidR="00B776F9">
              <w:rPr>
                <w:noProof/>
                <w:webHidden/>
              </w:rPr>
              <w:fldChar w:fldCharType="separate"/>
            </w:r>
            <w:r w:rsidR="00B776F9">
              <w:rPr>
                <w:noProof/>
                <w:webHidden/>
              </w:rPr>
              <w:t>24</w:t>
            </w:r>
            <w:r w:rsidR="00B776F9">
              <w:rPr>
                <w:noProof/>
                <w:webHidden/>
              </w:rPr>
              <w:fldChar w:fldCharType="end"/>
            </w:r>
          </w:hyperlink>
        </w:p>
        <w:p w14:paraId="418703A9" w14:textId="77672576"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6" w:history="1">
            <w:r w:rsidR="00B776F9" w:rsidRPr="00274F0C">
              <w:rPr>
                <w:rStyle w:val="Hyperlink"/>
                <w:noProof/>
              </w:rPr>
              <w:t>3.9.1</w:t>
            </w:r>
            <w:r w:rsidR="00B776F9">
              <w:rPr>
                <w:rFonts w:asciiTheme="minorHAnsi" w:eastAsiaTheme="minorEastAsia" w:hAnsiTheme="minorHAnsi"/>
                <w:noProof/>
                <w:color w:val="auto"/>
                <w:lang w:val="en-AU" w:eastAsia="en-AU"/>
              </w:rPr>
              <w:tab/>
            </w:r>
            <w:r w:rsidR="00B776F9" w:rsidRPr="00274F0C">
              <w:rPr>
                <w:rStyle w:val="Hyperlink"/>
                <w:noProof/>
              </w:rPr>
              <w:t>Neurostimulators</w:t>
            </w:r>
            <w:r w:rsidR="00B776F9">
              <w:rPr>
                <w:noProof/>
                <w:webHidden/>
              </w:rPr>
              <w:tab/>
            </w:r>
            <w:r w:rsidR="00B776F9">
              <w:rPr>
                <w:noProof/>
                <w:webHidden/>
              </w:rPr>
              <w:fldChar w:fldCharType="begin"/>
            </w:r>
            <w:r w:rsidR="00B776F9">
              <w:rPr>
                <w:noProof/>
                <w:webHidden/>
              </w:rPr>
              <w:instrText xml:space="preserve"> PAGEREF _Toc124656416 \h </w:instrText>
            </w:r>
            <w:r w:rsidR="00B776F9">
              <w:rPr>
                <w:noProof/>
                <w:webHidden/>
              </w:rPr>
            </w:r>
            <w:r w:rsidR="00B776F9">
              <w:rPr>
                <w:noProof/>
                <w:webHidden/>
              </w:rPr>
              <w:fldChar w:fldCharType="separate"/>
            </w:r>
            <w:r w:rsidR="00B776F9">
              <w:rPr>
                <w:noProof/>
                <w:webHidden/>
              </w:rPr>
              <w:t>24</w:t>
            </w:r>
            <w:r w:rsidR="00B776F9">
              <w:rPr>
                <w:noProof/>
                <w:webHidden/>
              </w:rPr>
              <w:fldChar w:fldCharType="end"/>
            </w:r>
          </w:hyperlink>
        </w:p>
        <w:p w14:paraId="73A42F40" w14:textId="32D66728"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7" w:history="1">
            <w:r w:rsidR="00B776F9" w:rsidRPr="00274F0C">
              <w:rPr>
                <w:rStyle w:val="Hyperlink"/>
                <w:noProof/>
              </w:rPr>
              <w:t>3.9.2</w:t>
            </w:r>
            <w:r w:rsidR="00B776F9">
              <w:rPr>
                <w:rFonts w:asciiTheme="minorHAnsi" w:eastAsiaTheme="minorEastAsia" w:hAnsiTheme="minorHAnsi"/>
                <w:noProof/>
                <w:color w:val="auto"/>
                <w:lang w:val="en-AU" w:eastAsia="en-AU"/>
              </w:rPr>
              <w:tab/>
            </w:r>
            <w:r w:rsidR="00B776F9" w:rsidRPr="00274F0C">
              <w:rPr>
                <w:rStyle w:val="Hyperlink"/>
                <w:noProof/>
              </w:rPr>
              <w:t>Socioeconomic factors</w:t>
            </w:r>
            <w:r w:rsidR="00B776F9">
              <w:rPr>
                <w:noProof/>
                <w:webHidden/>
              </w:rPr>
              <w:tab/>
            </w:r>
            <w:r w:rsidR="00B776F9">
              <w:rPr>
                <w:noProof/>
                <w:webHidden/>
              </w:rPr>
              <w:fldChar w:fldCharType="begin"/>
            </w:r>
            <w:r w:rsidR="00B776F9">
              <w:rPr>
                <w:noProof/>
                <w:webHidden/>
              </w:rPr>
              <w:instrText xml:space="preserve"> PAGEREF _Toc124656417 \h </w:instrText>
            </w:r>
            <w:r w:rsidR="00B776F9">
              <w:rPr>
                <w:noProof/>
                <w:webHidden/>
              </w:rPr>
            </w:r>
            <w:r w:rsidR="00B776F9">
              <w:rPr>
                <w:noProof/>
                <w:webHidden/>
              </w:rPr>
              <w:fldChar w:fldCharType="separate"/>
            </w:r>
            <w:r w:rsidR="00B776F9">
              <w:rPr>
                <w:noProof/>
                <w:webHidden/>
              </w:rPr>
              <w:t>25</w:t>
            </w:r>
            <w:r w:rsidR="00B776F9">
              <w:rPr>
                <w:noProof/>
                <w:webHidden/>
              </w:rPr>
              <w:fldChar w:fldCharType="end"/>
            </w:r>
          </w:hyperlink>
        </w:p>
        <w:p w14:paraId="7CB5A7AD" w14:textId="78B1C7D5"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8" w:history="1">
            <w:r w:rsidR="00B776F9" w:rsidRPr="00274F0C">
              <w:rPr>
                <w:rStyle w:val="Hyperlink"/>
                <w:noProof/>
              </w:rPr>
              <w:t>3.9.3</w:t>
            </w:r>
            <w:r w:rsidR="00B776F9">
              <w:rPr>
                <w:rFonts w:asciiTheme="minorHAnsi" w:eastAsiaTheme="minorEastAsia" w:hAnsiTheme="minorHAnsi"/>
                <w:noProof/>
                <w:color w:val="auto"/>
                <w:lang w:val="en-AU" w:eastAsia="en-AU"/>
              </w:rPr>
              <w:tab/>
            </w:r>
            <w:r w:rsidR="00B776F9" w:rsidRPr="00274F0C">
              <w:rPr>
                <w:rStyle w:val="Hyperlink"/>
                <w:noProof/>
              </w:rPr>
              <w:t>Traumatic spinal cord injury</w:t>
            </w:r>
            <w:r w:rsidR="00B776F9">
              <w:rPr>
                <w:noProof/>
                <w:webHidden/>
              </w:rPr>
              <w:tab/>
            </w:r>
            <w:r w:rsidR="00B776F9">
              <w:rPr>
                <w:noProof/>
                <w:webHidden/>
              </w:rPr>
              <w:fldChar w:fldCharType="begin"/>
            </w:r>
            <w:r w:rsidR="00B776F9">
              <w:rPr>
                <w:noProof/>
                <w:webHidden/>
              </w:rPr>
              <w:instrText xml:space="preserve"> PAGEREF _Toc124656418 \h </w:instrText>
            </w:r>
            <w:r w:rsidR="00B776F9">
              <w:rPr>
                <w:noProof/>
                <w:webHidden/>
              </w:rPr>
            </w:r>
            <w:r w:rsidR="00B776F9">
              <w:rPr>
                <w:noProof/>
                <w:webHidden/>
              </w:rPr>
              <w:fldChar w:fldCharType="separate"/>
            </w:r>
            <w:r w:rsidR="00B776F9">
              <w:rPr>
                <w:noProof/>
                <w:webHidden/>
              </w:rPr>
              <w:t>25</w:t>
            </w:r>
            <w:r w:rsidR="00B776F9">
              <w:rPr>
                <w:noProof/>
                <w:webHidden/>
              </w:rPr>
              <w:fldChar w:fldCharType="end"/>
            </w:r>
          </w:hyperlink>
        </w:p>
        <w:p w14:paraId="5FEE9ABF" w14:textId="7206CFC9"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19" w:history="1">
            <w:r w:rsidR="00B776F9" w:rsidRPr="00274F0C">
              <w:rPr>
                <w:rStyle w:val="Hyperlink"/>
                <w:noProof/>
              </w:rPr>
              <w:t>3.9.4</w:t>
            </w:r>
            <w:r w:rsidR="00B776F9">
              <w:rPr>
                <w:rFonts w:asciiTheme="minorHAnsi" w:eastAsiaTheme="minorEastAsia" w:hAnsiTheme="minorHAnsi"/>
                <w:noProof/>
                <w:color w:val="auto"/>
                <w:lang w:val="en-AU" w:eastAsia="en-AU"/>
              </w:rPr>
              <w:tab/>
            </w:r>
            <w:r w:rsidR="00B776F9" w:rsidRPr="00274F0C">
              <w:rPr>
                <w:rStyle w:val="Hyperlink"/>
                <w:noProof/>
              </w:rPr>
              <w:t>Diagnosis Complexity Level precision</w:t>
            </w:r>
            <w:r w:rsidR="00B776F9">
              <w:rPr>
                <w:noProof/>
                <w:webHidden/>
              </w:rPr>
              <w:tab/>
            </w:r>
            <w:r w:rsidR="00B776F9">
              <w:rPr>
                <w:noProof/>
                <w:webHidden/>
              </w:rPr>
              <w:fldChar w:fldCharType="begin"/>
            </w:r>
            <w:r w:rsidR="00B776F9">
              <w:rPr>
                <w:noProof/>
                <w:webHidden/>
              </w:rPr>
              <w:instrText xml:space="preserve"> PAGEREF _Toc124656419 \h </w:instrText>
            </w:r>
            <w:r w:rsidR="00B776F9">
              <w:rPr>
                <w:noProof/>
                <w:webHidden/>
              </w:rPr>
            </w:r>
            <w:r w:rsidR="00B776F9">
              <w:rPr>
                <w:noProof/>
                <w:webHidden/>
              </w:rPr>
              <w:fldChar w:fldCharType="separate"/>
            </w:r>
            <w:r w:rsidR="00B776F9">
              <w:rPr>
                <w:noProof/>
                <w:webHidden/>
              </w:rPr>
              <w:t>26</w:t>
            </w:r>
            <w:r w:rsidR="00B776F9">
              <w:rPr>
                <w:noProof/>
                <w:webHidden/>
              </w:rPr>
              <w:fldChar w:fldCharType="end"/>
            </w:r>
          </w:hyperlink>
        </w:p>
        <w:p w14:paraId="5FB377D0" w14:textId="41169E7B" w:rsidR="00B776F9" w:rsidRDefault="005E71D6">
          <w:pPr>
            <w:pStyle w:val="TOC3"/>
            <w:tabs>
              <w:tab w:val="left" w:pos="1320"/>
              <w:tab w:val="right" w:leader="dot" w:pos="9736"/>
            </w:tabs>
            <w:rPr>
              <w:rFonts w:asciiTheme="minorHAnsi" w:eastAsiaTheme="minorEastAsia" w:hAnsiTheme="minorHAnsi"/>
              <w:noProof/>
              <w:color w:val="auto"/>
              <w:lang w:val="en-AU" w:eastAsia="en-AU"/>
            </w:rPr>
          </w:pPr>
          <w:hyperlink w:anchor="_Toc124656420" w:history="1">
            <w:r w:rsidR="00B776F9" w:rsidRPr="00274F0C">
              <w:rPr>
                <w:rStyle w:val="Hyperlink"/>
                <w:noProof/>
              </w:rPr>
              <w:t>3.9.5</w:t>
            </w:r>
            <w:r w:rsidR="00B776F9">
              <w:rPr>
                <w:rFonts w:asciiTheme="minorHAnsi" w:eastAsiaTheme="minorEastAsia" w:hAnsiTheme="minorHAnsi"/>
                <w:noProof/>
                <w:color w:val="auto"/>
                <w:lang w:val="en-AU" w:eastAsia="en-AU"/>
              </w:rPr>
              <w:tab/>
            </w:r>
            <w:r w:rsidR="00B776F9" w:rsidRPr="00274F0C">
              <w:rPr>
                <w:rStyle w:val="Hyperlink"/>
                <w:noProof/>
              </w:rPr>
              <w:t>Analysis of gestational age for neonates</w:t>
            </w:r>
            <w:r w:rsidR="00B776F9">
              <w:rPr>
                <w:noProof/>
                <w:webHidden/>
              </w:rPr>
              <w:tab/>
            </w:r>
            <w:r w:rsidR="00B776F9">
              <w:rPr>
                <w:noProof/>
                <w:webHidden/>
              </w:rPr>
              <w:fldChar w:fldCharType="begin"/>
            </w:r>
            <w:r w:rsidR="00B776F9">
              <w:rPr>
                <w:noProof/>
                <w:webHidden/>
              </w:rPr>
              <w:instrText xml:space="preserve"> PAGEREF _Toc124656420 \h </w:instrText>
            </w:r>
            <w:r w:rsidR="00B776F9">
              <w:rPr>
                <w:noProof/>
                <w:webHidden/>
              </w:rPr>
            </w:r>
            <w:r w:rsidR="00B776F9">
              <w:rPr>
                <w:noProof/>
                <w:webHidden/>
              </w:rPr>
              <w:fldChar w:fldCharType="separate"/>
            </w:r>
            <w:r w:rsidR="00B776F9">
              <w:rPr>
                <w:noProof/>
                <w:webHidden/>
              </w:rPr>
              <w:t>27</w:t>
            </w:r>
            <w:r w:rsidR="00B776F9">
              <w:rPr>
                <w:noProof/>
                <w:webHidden/>
              </w:rPr>
              <w:fldChar w:fldCharType="end"/>
            </w:r>
          </w:hyperlink>
        </w:p>
        <w:p w14:paraId="03084C05" w14:textId="60CEEC6F" w:rsidR="00B776F9" w:rsidRDefault="005E71D6">
          <w:pPr>
            <w:pStyle w:val="TOC1"/>
            <w:tabs>
              <w:tab w:val="left" w:pos="440"/>
              <w:tab w:val="right" w:leader="dot" w:pos="9736"/>
            </w:tabs>
            <w:rPr>
              <w:rFonts w:asciiTheme="minorHAnsi" w:eastAsiaTheme="minorEastAsia" w:hAnsiTheme="minorHAnsi"/>
              <w:b w:val="0"/>
              <w:noProof/>
              <w:color w:val="auto"/>
              <w:sz w:val="22"/>
              <w:lang w:val="en-AU" w:eastAsia="en-AU"/>
            </w:rPr>
          </w:pPr>
          <w:hyperlink w:anchor="_Toc124656421" w:history="1">
            <w:r w:rsidR="00B776F9" w:rsidRPr="00274F0C">
              <w:rPr>
                <w:rStyle w:val="Hyperlink"/>
                <w:noProof/>
              </w:rPr>
              <w:t>4</w:t>
            </w:r>
            <w:r w:rsidR="00B776F9">
              <w:rPr>
                <w:rFonts w:asciiTheme="minorHAnsi" w:eastAsiaTheme="minorEastAsia" w:hAnsiTheme="minorHAnsi"/>
                <w:b w:val="0"/>
                <w:noProof/>
                <w:color w:val="auto"/>
                <w:sz w:val="22"/>
                <w:lang w:val="en-AU" w:eastAsia="en-AU"/>
              </w:rPr>
              <w:tab/>
            </w:r>
            <w:r w:rsidR="00B776F9" w:rsidRPr="00274F0C">
              <w:rPr>
                <w:rStyle w:val="Hyperlink"/>
                <w:noProof/>
              </w:rPr>
              <w:t>AR-DRG V11.0 Overview</w:t>
            </w:r>
            <w:r w:rsidR="00B776F9">
              <w:rPr>
                <w:noProof/>
                <w:webHidden/>
              </w:rPr>
              <w:tab/>
            </w:r>
            <w:r w:rsidR="00B776F9">
              <w:rPr>
                <w:noProof/>
                <w:webHidden/>
              </w:rPr>
              <w:fldChar w:fldCharType="begin"/>
            </w:r>
            <w:r w:rsidR="00B776F9">
              <w:rPr>
                <w:noProof/>
                <w:webHidden/>
              </w:rPr>
              <w:instrText xml:space="preserve"> PAGEREF _Toc124656421 \h </w:instrText>
            </w:r>
            <w:r w:rsidR="00B776F9">
              <w:rPr>
                <w:noProof/>
                <w:webHidden/>
              </w:rPr>
            </w:r>
            <w:r w:rsidR="00B776F9">
              <w:rPr>
                <w:noProof/>
                <w:webHidden/>
              </w:rPr>
              <w:fldChar w:fldCharType="separate"/>
            </w:r>
            <w:r w:rsidR="00B776F9">
              <w:rPr>
                <w:noProof/>
                <w:webHidden/>
              </w:rPr>
              <w:t>28</w:t>
            </w:r>
            <w:r w:rsidR="00B776F9">
              <w:rPr>
                <w:noProof/>
                <w:webHidden/>
              </w:rPr>
              <w:fldChar w:fldCharType="end"/>
            </w:r>
          </w:hyperlink>
        </w:p>
        <w:p w14:paraId="70590D0B" w14:textId="2409B371"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22" w:history="1">
            <w:r w:rsidR="00B776F9" w:rsidRPr="00274F0C">
              <w:rPr>
                <w:rStyle w:val="Hyperlink"/>
                <w:noProof/>
              </w:rPr>
              <w:t>4.1</w:t>
            </w:r>
            <w:r w:rsidR="00B776F9">
              <w:rPr>
                <w:rFonts w:asciiTheme="minorHAnsi" w:eastAsiaTheme="minorEastAsia" w:hAnsiTheme="minorHAnsi"/>
                <w:noProof/>
                <w:color w:val="auto"/>
                <w:lang w:val="en-AU" w:eastAsia="en-AU"/>
              </w:rPr>
              <w:tab/>
            </w:r>
            <w:r w:rsidR="00B776F9" w:rsidRPr="00274F0C">
              <w:rPr>
                <w:rStyle w:val="Hyperlink"/>
                <w:noProof/>
              </w:rPr>
              <w:t>ADRG Summary</w:t>
            </w:r>
            <w:r w:rsidR="00B776F9">
              <w:rPr>
                <w:noProof/>
                <w:webHidden/>
              </w:rPr>
              <w:tab/>
            </w:r>
            <w:r w:rsidR="00B776F9">
              <w:rPr>
                <w:noProof/>
                <w:webHidden/>
              </w:rPr>
              <w:fldChar w:fldCharType="begin"/>
            </w:r>
            <w:r w:rsidR="00B776F9">
              <w:rPr>
                <w:noProof/>
                <w:webHidden/>
              </w:rPr>
              <w:instrText xml:space="preserve"> PAGEREF _Toc124656422 \h </w:instrText>
            </w:r>
            <w:r w:rsidR="00B776F9">
              <w:rPr>
                <w:noProof/>
                <w:webHidden/>
              </w:rPr>
            </w:r>
            <w:r w:rsidR="00B776F9">
              <w:rPr>
                <w:noProof/>
                <w:webHidden/>
              </w:rPr>
              <w:fldChar w:fldCharType="separate"/>
            </w:r>
            <w:r w:rsidR="00B776F9">
              <w:rPr>
                <w:noProof/>
                <w:webHidden/>
              </w:rPr>
              <w:t>28</w:t>
            </w:r>
            <w:r w:rsidR="00B776F9">
              <w:rPr>
                <w:noProof/>
                <w:webHidden/>
              </w:rPr>
              <w:fldChar w:fldCharType="end"/>
            </w:r>
          </w:hyperlink>
        </w:p>
        <w:p w14:paraId="235645CD" w14:textId="1CBC447A"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23" w:history="1">
            <w:r w:rsidR="00B776F9" w:rsidRPr="00274F0C">
              <w:rPr>
                <w:rStyle w:val="Hyperlink"/>
                <w:noProof/>
              </w:rPr>
              <w:t>4.2</w:t>
            </w:r>
            <w:r w:rsidR="00B776F9">
              <w:rPr>
                <w:rFonts w:asciiTheme="minorHAnsi" w:eastAsiaTheme="minorEastAsia" w:hAnsiTheme="minorHAnsi"/>
                <w:noProof/>
                <w:color w:val="auto"/>
                <w:lang w:val="en-AU" w:eastAsia="en-AU"/>
              </w:rPr>
              <w:tab/>
            </w:r>
            <w:r w:rsidR="00B776F9" w:rsidRPr="00274F0C">
              <w:rPr>
                <w:rStyle w:val="Hyperlink"/>
                <w:noProof/>
              </w:rPr>
              <w:t>DRG Summary</w:t>
            </w:r>
            <w:r w:rsidR="00B776F9">
              <w:rPr>
                <w:noProof/>
                <w:webHidden/>
              </w:rPr>
              <w:tab/>
            </w:r>
            <w:r w:rsidR="00B776F9">
              <w:rPr>
                <w:noProof/>
                <w:webHidden/>
              </w:rPr>
              <w:fldChar w:fldCharType="begin"/>
            </w:r>
            <w:r w:rsidR="00B776F9">
              <w:rPr>
                <w:noProof/>
                <w:webHidden/>
              </w:rPr>
              <w:instrText xml:space="preserve"> PAGEREF _Toc124656423 \h </w:instrText>
            </w:r>
            <w:r w:rsidR="00B776F9">
              <w:rPr>
                <w:noProof/>
                <w:webHidden/>
              </w:rPr>
            </w:r>
            <w:r w:rsidR="00B776F9">
              <w:rPr>
                <w:noProof/>
                <w:webHidden/>
              </w:rPr>
              <w:fldChar w:fldCharType="separate"/>
            </w:r>
            <w:r w:rsidR="00B776F9">
              <w:rPr>
                <w:noProof/>
                <w:webHidden/>
              </w:rPr>
              <w:t>28</w:t>
            </w:r>
            <w:r w:rsidR="00B776F9">
              <w:rPr>
                <w:noProof/>
                <w:webHidden/>
              </w:rPr>
              <w:fldChar w:fldCharType="end"/>
            </w:r>
          </w:hyperlink>
        </w:p>
        <w:p w14:paraId="3FC09C1E" w14:textId="013E47A7" w:rsidR="00B776F9" w:rsidRDefault="005E71D6">
          <w:pPr>
            <w:pStyle w:val="TOC2"/>
            <w:tabs>
              <w:tab w:val="left" w:pos="880"/>
              <w:tab w:val="right" w:leader="dot" w:pos="9736"/>
            </w:tabs>
            <w:rPr>
              <w:rFonts w:asciiTheme="minorHAnsi" w:eastAsiaTheme="minorEastAsia" w:hAnsiTheme="minorHAnsi"/>
              <w:noProof/>
              <w:color w:val="auto"/>
              <w:lang w:val="en-AU" w:eastAsia="en-AU"/>
            </w:rPr>
          </w:pPr>
          <w:hyperlink w:anchor="_Toc124656424" w:history="1">
            <w:r w:rsidR="00B776F9" w:rsidRPr="00274F0C">
              <w:rPr>
                <w:rStyle w:val="Hyperlink"/>
                <w:noProof/>
              </w:rPr>
              <w:t>4.3</w:t>
            </w:r>
            <w:r w:rsidR="00B776F9">
              <w:rPr>
                <w:rFonts w:asciiTheme="minorHAnsi" w:eastAsiaTheme="minorEastAsia" w:hAnsiTheme="minorHAnsi"/>
                <w:noProof/>
                <w:color w:val="auto"/>
                <w:lang w:val="en-AU" w:eastAsia="en-AU"/>
              </w:rPr>
              <w:tab/>
            </w:r>
            <w:r w:rsidR="00B776F9" w:rsidRPr="00274F0C">
              <w:rPr>
                <w:rStyle w:val="Hyperlink"/>
                <w:noProof/>
              </w:rPr>
              <w:t>Statistical Performance</w:t>
            </w:r>
            <w:r w:rsidR="00B776F9">
              <w:rPr>
                <w:noProof/>
                <w:webHidden/>
              </w:rPr>
              <w:tab/>
            </w:r>
            <w:r w:rsidR="00B776F9">
              <w:rPr>
                <w:noProof/>
                <w:webHidden/>
              </w:rPr>
              <w:fldChar w:fldCharType="begin"/>
            </w:r>
            <w:r w:rsidR="00B776F9">
              <w:rPr>
                <w:noProof/>
                <w:webHidden/>
              </w:rPr>
              <w:instrText xml:space="preserve"> PAGEREF _Toc124656424 \h </w:instrText>
            </w:r>
            <w:r w:rsidR="00B776F9">
              <w:rPr>
                <w:noProof/>
                <w:webHidden/>
              </w:rPr>
            </w:r>
            <w:r w:rsidR="00B776F9">
              <w:rPr>
                <w:noProof/>
                <w:webHidden/>
              </w:rPr>
              <w:fldChar w:fldCharType="separate"/>
            </w:r>
            <w:r w:rsidR="00B776F9">
              <w:rPr>
                <w:noProof/>
                <w:webHidden/>
              </w:rPr>
              <w:t>29</w:t>
            </w:r>
            <w:r w:rsidR="00B776F9">
              <w:rPr>
                <w:noProof/>
                <w:webHidden/>
              </w:rPr>
              <w:fldChar w:fldCharType="end"/>
            </w:r>
          </w:hyperlink>
        </w:p>
        <w:p w14:paraId="5B321226" w14:textId="6E904B64" w:rsidR="00B776F9" w:rsidRDefault="005E71D6">
          <w:pPr>
            <w:pStyle w:val="TOC1"/>
            <w:tabs>
              <w:tab w:val="right" w:leader="dot" w:pos="9736"/>
            </w:tabs>
            <w:rPr>
              <w:rFonts w:asciiTheme="minorHAnsi" w:eastAsiaTheme="minorEastAsia" w:hAnsiTheme="minorHAnsi"/>
              <w:b w:val="0"/>
              <w:noProof/>
              <w:color w:val="auto"/>
              <w:sz w:val="22"/>
              <w:lang w:val="en-AU" w:eastAsia="en-AU"/>
            </w:rPr>
          </w:pPr>
          <w:hyperlink w:anchor="_Toc124656425" w:history="1">
            <w:r w:rsidR="00B776F9" w:rsidRPr="00274F0C">
              <w:rPr>
                <w:rStyle w:val="Hyperlink"/>
                <w:noProof/>
              </w:rPr>
              <w:t>Appendix A: ICD-10-AM and ACHI code references</w:t>
            </w:r>
            <w:r w:rsidR="00B776F9">
              <w:rPr>
                <w:noProof/>
                <w:webHidden/>
              </w:rPr>
              <w:tab/>
            </w:r>
            <w:r w:rsidR="00B776F9">
              <w:rPr>
                <w:noProof/>
                <w:webHidden/>
              </w:rPr>
              <w:fldChar w:fldCharType="begin"/>
            </w:r>
            <w:r w:rsidR="00B776F9">
              <w:rPr>
                <w:noProof/>
                <w:webHidden/>
              </w:rPr>
              <w:instrText xml:space="preserve"> PAGEREF _Toc124656425 \h </w:instrText>
            </w:r>
            <w:r w:rsidR="00B776F9">
              <w:rPr>
                <w:noProof/>
                <w:webHidden/>
              </w:rPr>
            </w:r>
            <w:r w:rsidR="00B776F9">
              <w:rPr>
                <w:noProof/>
                <w:webHidden/>
              </w:rPr>
              <w:fldChar w:fldCharType="separate"/>
            </w:r>
            <w:r w:rsidR="00B776F9">
              <w:rPr>
                <w:noProof/>
                <w:webHidden/>
              </w:rPr>
              <w:t>30</w:t>
            </w:r>
            <w:r w:rsidR="00B776F9">
              <w:rPr>
                <w:noProof/>
                <w:webHidden/>
              </w:rPr>
              <w:fldChar w:fldCharType="end"/>
            </w:r>
          </w:hyperlink>
        </w:p>
        <w:p w14:paraId="598BBA12" w14:textId="2AEF212F" w:rsidR="00367B5A" w:rsidRDefault="00367B5A">
          <w:r>
            <w:rPr>
              <w:b/>
              <w:bCs/>
              <w:noProof/>
            </w:rPr>
            <w:fldChar w:fldCharType="end"/>
          </w:r>
        </w:p>
      </w:sdtContent>
    </w:sdt>
    <w:p w14:paraId="55322B46" w14:textId="77777777" w:rsidR="00970318" w:rsidRDefault="00970318">
      <w:pPr>
        <w:spacing w:line="259" w:lineRule="auto"/>
        <w:sectPr w:rsidR="00970318" w:rsidSect="00C5503B">
          <w:pgSz w:w="11906" w:h="16838" w:code="9"/>
          <w:pgMar w:top="1440" w:right="1080" w:bottom="1440" w:left="1080" w:header="708" w:footer="708" w:gutter="0"/>
          <w:cols w:space="708"/>
          <w:docGrid w:linePitch="360"/>
        </w:sectPr>
      </w:pPr>
    </w:p>
    <w:p w14:paraId="4D8EB340" w14:textId="77777777" w:rsidR="00367B5A" w:rsidRPr="00555433" w:rsidRDefault="00367B5A" w:rsidP="00367B5A">
      <w:pPr>
        <w:pStyle w:val="Heading1"/>
        <w:numPr>
          <w:ilvl w:val="0"/>
          <w:numId w:val="0"/>
        </w:numPr>
      </w:pPr>
      <w:bookmarkStart w:id="0" w:name="_Toc100328185"/>
      <w:bookmarkStart w:id="1" w:name="_Toc124656383"/>
      <w:r>
        <w:lastRenderedPageBreak/>
        <w:t>Acronyms and Abbreviations</w:t>
      </w:r>
      <w:bookmarkEnd w:id="0"/>
      <w:bookmarkEnd w:id="1"/>
    </w:p>
    <w:tbl>
      <w:tblPr>
        <w:tblW w:w="9943" w:type="dxa"/>
        <w:tblInd w:w="284" w:type="dxa"/>
        <w:tblLook w:val="04A0" w:firstRow="1" w:lastRow="0" w:firstColumn="1" w:lastColumn="0" w:noHBand="0" w:noVBand="1"/>
      </w:tblPr>
      <w:tblGrid>
        <w:gridCol w:w="3084"/>
        <w:gridCol w:w="6859"/>
      </w:tblGrid>
      <w:tr w:rsidR="00367B5A" w14:paraId="30C48D50" w14:textId="77777777" w:rsidTr="00596EFF">
        <w:tc>
          <w:tcPr>
            <w:tcW w:w="3084" w:type="dxa"/>
          </w:tcPr>
          <w:p w14:paraId="767F84E6" w14:textId="77777777" w:rsidR="00367B5A" w:rsidRPr="00757D79" w:rsidRDefault="00367B5A" w:rsidP="00596EFF">
            <w:r w:rsidRPr="00757D79">
              <w:t>ABF</w:t>
            </w:r>
          </w:p>
        </w:tc>
        <w:tc>
          <w:tcPr>
            <w:tcW w:w="6859" w:type="dxa"/>
          </w:tcPr>
          <w:p w14:paraId="151A65EA" w14:textId="77777777" w:rsidR="00367B5A" w:rsidRPr="00355C73" w:rsidRDefault="00367B5A" w:rsidP="00596EFF">
            <w:r w:rsidRPr="00355C73">
              <w:t>Activity Based Funding</w:t>
            </w:r>
          </w:p>
        </w:tc>
      </w:tr>
      <w:tr w:rsidR="00367B5A" w14:paraId="03CC0795" w14:textId="77777777" w:rsidTr="00596EFF">
        <w:tc>
          <w:tcPr>
            <w:tcW w:w="3084" w:type="dxa"/>
          </w:tcPr>
          <w:p w14:paraId="7F6DFE97" w14:textId="77777777" w:rsidR="00367B5A" w:rsidRPr="00757D79" w:rsidRDefault="00367B5A" w:rsidP="00596EFF">
            <w:r w:rsidRPr="00757D79">
              <w:t>ACHI</w:t>
            </w:r>
          </w:p>
        </w:tc>
        <w:tc>
          <w:tcPr>
            <w:tcW w:w="6859" w:type="dxa"/>
          </w:tcPr>
          <w:p w14:paraId="39CCE077" w14:textId="77777777" w:rsidR="00367B5A" w:rsidRPr="00355C73" w:rsidRDefault="00367B5A" w:rsidP="00596EFF">
            <w:r w:rsidRPr="00355C73">
              <w:t>Australian Classification of Health Interventions</w:t>
            </w:r>
          </w:p>
        </w:tc>
      </w:tr>
      <w:tr w:rsidR="00367B5A" w14:paraId="4EF642AD" w14:textId="77777777" w:rsidTr="00596EFF">
        <w:tc>
          <w:tcPr>
            <w:tcW w:w="3084" w:type="dxa"/>
          </w:tcPr>
          <w:p w14:paraId="454B8425" w14:textId="77777777" w:rsidR="00367B5A" w:rsidRPr="00757D79" w:rsidRDefault="00367B5A" w:rsidP="00596EFF">
            <w:r w:rsidRPr="00757D79">
              <w:t>ACS</w:t>
            </w:r>
          </w:p>
        </w:tc>
        <w:tc>
          <w:tcPr>
            <w:tcW w:w="6859" w:type="dxa"/>
          </w:tcPr>
          <w:p w14:paraId="7D194EF0" w14:textId="77777777" w:rsidR="00367B5A" w:rsidRPr="00355C73" w:rsidRDefault="00367B5A" w:rsidP="00596EFF">
            <w:r w:rsidRPr="00355C73">
              <w:t>Australian Coding Standards</w:t>
            </w:r>
          </w:p>
        </w:tc>
      </w:tr>
      <w:tr w:rsidR="00367B5A" w14:paraId="6F3E118E" w14:textId="77777777" w:rsidTr="00596EFF">
        <w:tc>
          <w:tcPr>
            <w:tcW w:w="3084" w:type="dxa"/>
          </w:tcPr>
          <w:p w14:paraId="5868B97E" w14:textId="77777777" w:rsidR="00367B5A" w:rsidRPr="00757D79" w:rsidRDefault="00367B5A" w:rsidP="00596EFF">
            <w:r w:rsidRPr="00757D79">
              <w:t>ADRG</w:t>
            </w:r>
          </w:p>
        </w:tc>
        <w:tc>
          <w:tcPr>
            <w:tcW w:w="6859" w:type="dxa"/>
          </w:tcPr>
          <w:p w14:paraId="44A0FE06" w14:textId="77777777" w:rsidR="00367B5A" w:rsidRPr="00355C73" w:rsidRDefault="00367B5A" w:rsidP="00596EFF">
            <w:r w:rsidRPr="00355C73">
              <w:t>Adjacent Diagnosis Related Group</w:t>
            </w:r>
          </w:p>
        </w:tc>
      </w:tr>
      <w:tr w:rsidR="00367B5A" w14:paraId="251E80ED" w14:textId="77777777" w:rsidTr="00596EFF">
        <w:tc>
          <w:tcPr>
            <w:tcW w:w="3084" w:type="dxa"/>
          </w:tcPr>
          <w:p w14:paraId="3B346B93" w14:textId="77777777" w:rsidR="00367B5A" w:rsidRPr="00757D79" w:rsidRDefault="00367B5A" w:rsidP="00596EFF">
            <w:r w:rsidRPr="00757D79">
              <w:t>AR-DRG</w:t>
            </w:r>
          </w:p>
        </w:tc>
        <w:tc>
          <w:tcPr>
            <w:tcW w:w="6859" w:type="dxa"/>
          </w:tcPr>
          <w:p w14:paraId="650FAAF6" w14:textId="77777777" w:rsidR="00367B5A" w:rsidRPr="00355C73" w:rsidRDefault="00367B5A" w:rsidP="00596EFF">
            <w:r w:rsidRPr="00355C73">
              <w:t>Australian Refined Diagnosis Related Group</w:t>
            </w:r>
            <w:r>
              <w:t>s</w:t>
            </w:r>
          </w:p>
        </w:tc>
      </w:tr>
      <w:tr w:rsidR="00367B5A" w14:paraId="14DA4686" w14:textId="77777777" w:rsidTr="00596EFF">
        <w:tc>
          <w:tcPr>
            <w:tcW w:w="3084" w:type="dxa"/>
          </w:tcPr>
          <w:p w14:paraId="1E44CA9C" w14:textId="77777777" w:rsidR="00367B5A" w:rsidRPr="00F409E9" w:rsidRDefault="00367B5A" w:rsidP="00596EFF">
            <w:r w:rsidRPr="00F409E9">
              <w:t>CAC</w:t>
            </w:r>
          </w:p>
        </w:tc>
        <w:tc>
          <w:tcPr>
            <w:tcW w:w="6859" w:type="dxa"/>
          </w:tcPr>
          <w:p w14:paraId="501D733A" w14:textId="77777777" w:rsidR="00367B5A" w:rsidRPr="00355C73" w:rsidRDefault="00367B5A" w:rsidP="00596EFF">
            <w:r w:rsidRPr="00F409E9">
              <w:t>Clinical Advisory Committee</w:t>
            </w:r>
          </w:p>
        </w:tc>
      </w:tr>
      <w:tr w:rsidR="00367B5A" w14:paraId="482A3E55" w14:textId="77777777" w:rsidTr="00596EFF">
        <w:tc>
          <w:tcPr>
            <w:tcW w:w="3084" w:type="dxa"/>
          </w:tcPr>
          <w:p w14:paraId="14D03CFA" w14:textId="77777777" w:rsidR="00367B5A" w:rsidRPr="00757D79" w:rsidRDefault="00367B5A" w:rsidP="00596EFF">
            <w:r w:rsidRPr="00757D79">
              <w:t>CCAG</w:t>
            </w:r>
          </w:p>
        </w:tc>
        <w:tc>
          <w:tcPr>
            <w:tcW w:w="6859" w:type="dxa"/>
          </w:tcPr>
          <w:p w14:paraId="13C00270" w14:textId="77777777" w:rsidR="00367B5A" w:rsidRPr="00355C73" w:rsidRDefault="00367B5A" w:rsidP="00596EFF">
            <w:r w:rsidRPr="00355C73">
              <w:t>Classifications Clinical Advisory Group</w:t>
            </w:r>
          </w:p>
        </w:tc>
      </w:tr>
      <w:tr w:rsidR="00367B5A" w14:paraId="3D6D4086" w14:textId="77777777" w:rsidTr="00596EFF">
        <w:tc>
          <w:tcPr>
            <w:tcW w:w="3084" w:type="dxa"/>
          </w:tcPr>
          <w:p w14:paraId="17A60CD6" w14:textId="77777777" w:rsidR="00367B5A" w:rsidRPr="00757D79" w:rsidRDefault="00367B5A" w:rsidP="00596EFF">
            <w:r w:rsidRPr="00757D79">
              <w:t>DCL</w:t>
            </w:r>
          </w:p>
        </w:tc>
        <w:tc>
          <w:tcPr>
            <w:tcW w:w="6859" w:type="dxa"/>
          </w:tcPr>
          <w:p w14:paraId="58472BEE" w14:textId="77777777" w:rsidR="00367B5A" w:rsidRPr="00355C73" w:rsidRDefault="00367B5A" w:rsidP="00596EFF">
            <w:r w:rsidRPr="00355C73">
              <w:t>Diagnosis Complexity Level</w:t>
            </w:r>
          </w:p>
        </w:tc>
      </w:tr>
      <w:tr w:rsidR="00367B5A" w14:paraId="079C4330" w14:textId="77777777" w:rsidTr="00596EFF">
        <w:tc>
          <w:tcPr>
            <w:tcW w:w="3084" w:type="dxa"/>
          </w:tcPr>
          <w:p w14:paraId="23512036" w14:textId="77777777" w:rsidR="00367B5A" w:rsidRPr="00757D79" w:rsidRDefault="00367B5A" w:rsidP="00596EFF">
            <w:r w:rsidRPr="00757D79">
              <w:t>DRG</w:t>
            </w:r>
          </w:p>
        </w:tc>
        <w:tc>
          <w:tcPr>
            <w:tcW w:w="6859" w:type="dxa"/>
          </w:tcPr>
          <w:p w14:paraId="7A4D6EB0" w14:textId="77777777" w:rsidR="00367B5A" w:rsidRPr="00355C73" w:rsidRDefault="00367B5A" w:rsidP="00596EFF">
            <w:r w:rsidRPr="00355C73">
              <w:t>Diagnosis Related Group</w:t>
            </w:r>
          </w:p>
        </w:tc>
      </w:tr>
      <w:tr w:rsidR="00367B5A" w14:paraId="69549AC8" w14:textId="77777777" w:rsidTr="00596EFF">
        <w:tc>
          <w:tcPr>
            <w:tcW w:w="3084" w:type="dxa"/>
          </w:tcPr>
          <w:p w14:paraId="10CA359F" w14:textId="77777777" w:rsidR="00367B5A" w:rsidRPr="00757D79" w:rsidRDefault="00367B5A" w:rsidP="00596EFF">
            <w:r w:rsidRPr="00757D79">
              <w:t xml:space="preserve">DTG </w:t>
            </w:r>
          </w:p>
        </w:tc>
        <w:tc>
          <w:tcPr>
            <w:tcW w:w="6859" w:type="dxa"/>
          </w:tcPr>
          <w:p w14:paraId="3877DC8B" w14:textId="77777777" w:rsidR="00367B5A" w:rsidRPr="00355C73" w:rsidRDefault="00367B5A" w:rsidP="00596EFF">
            <w:r w:rsidRPr="00355C73">
              <w:t>DRG Technical Group</w:t>
            </w:r>
          </w:p>
        </w:tc>
      </w:tr>
      <w:tr w:rsidR="00367B5A" w14:paraId="4E135092" w14:textId="77777777" w:rsidTr="00596EFF">
        <w:tc>
          <w:tcPr>
            <w:tcW w:w="3084" w:type="dxa"/>
          </w:tcPr>
          <w:p w14:paraId="6DC2E623" w14:textId="77777777" w:rsidR="00367B5A" w:rsidRPr="00757D79" w:rsidRDefault="00367B5A" w:rsidP="00596EFF">
            <w:r w:rsidRPr="00757D79">
              <w:t>ECC</w:t>
            </w:r>
          </w:p>
        </w:tc>
        <w:tc>
          <w:tcPr>
            <w:tcW w:w="6859" w:type="dxa"/>
          </w:tcPr>
          <w:p w14:paraId="6903B3BD" w14:textId="77777777" w:rsidR="00367B5A" w:rsidRPr="00355C73" w:rsidRDefault="00367B5A" w:rsidP="00596EFF">
            <w:r w:rsidRPr="00355C73">
              <w:t>Episode Clinical Complexity</w:t>
            </w:r>
          </w:p>
        </w:tc>
      </w:tr>
      <w:tr w:rsidR="00367B5A" w14:paraId="4EF2CBC6" w14:textId="77777777" w:rsidTr="00596EFF">
        <w:tc>
          <w:tcPr>
            <w:tcW w:w="3084" w:type="dxa"/>
          </w:tcPr>
          <w:p w14:paraId="5606D4FE" w14:textId="77777777" w:rsidR="00367B5A" w:rsidRPr="00757D79" w:rsidRDefault="00367B5A" w:rsidP="00596EFF">
            <w:r w:rsidRPr="00757D79">
              <w:t>ECCS</w:t>
            </w:r>
          </w:p>
        </w:tc>
        <w:tc>
          <w:tcPr>
            <w:tcW w:w="6859" w:type="dxa"/>
          </w:tcPr>
          <w:p w14:paraId="5F25F9F3" w14:textId="77777777" w:rsidR="00367B5A" w:rsidRPr="00355C73" w:rsidRDefault="00367B5A" w:rsidP="00596EFF">
            <w:r w:rsidRPr="00355C73">
              <w:t>Episode Clinical Complexity Score</w:t>
            </w:r>
          </w:p>
        </w:tc>
      </w:tr>
      <w:tr w:rsidR="00367B5A" w14:paraId="327E4BAD" w14:textId="77777777" w:rsidTr="00596EFF">
        <w:tc>
          <w:tcPr>
            <w:tcW w:w="3084" w:type="dxa"/>
          </w:tcPr>
          <w:p w14:paraId="5380455E" w14:textId="77777777" w:rsidR="00367B5A" w:rsidRPr="00757D79" w:rsidRDefault="00367B5A" w:rsidP="00596EFF">
            <w:r>
              <w:t>GIs</w:t>
            </w:r>
          </w:p>
        </w:tc>
        <w:tc>
          <w:tcPr>
            <w:tcW w:w="6859" w:type="dxa"/>
          </w:tcPr>
          <w:p w14:paraId="7AF20A33" w14:textId="77777777" w:rsidR="00367B5A" w:rsidRPr="00355C73" w:rsidRDefault="00367B5A" w:rsidP="00596EFF">
            <w:r>
              <w:t>General Interventions</w:t>
            </w:r>
          </w:p>
        </w:tc>
      </w:tr>
      <w:tr w:rsidR="00367B5A" w14:paraId="51FACC86" w14:textId="77777777" w:rsidTr="00596EFF">
        <w:tc>
          <w:tcPr>
            <w:tcW w:w="3084" w:type="dxa"/>
          </w:tcPr>
          <w:p w14:paraId="3229FD25" w14:textId="77777777" w:rsidR="00367B5A" w:rsidRPr="00757D79" w:rsidRDefault="00367B5A" w:rsidP="00596EFF">
            <w:r w:rsidRPr="00757D79">
              <w:t>ICD-10-AM</w:t>
            </w:r>
          </w:p>
        </w:tc>
        <w:tc>
          <w:tcPr>
            <w:tcW w:w="6859" w:type="dxa"/>
          </w:tcPr>
          <w:p w14:paraId="0FE1515B" w14:textId="77777777" w:rsidR="00367B5A" w:rsidRPr="00355C73" w:rsidRDefault="00367B5A" w:rsidP="00596EFF">
            <w:r w:rsidRPr="00355C73">
              <w:t>International Statistical Classification of Diseases and Related Health Problems, Tenth Revision, Australian Modification</w:t>
            </w:r>
          </w:p>
        </w:tc>
      </w:tr>
      <w:tr w:rsidR="00367B5A" w14:paraId="7A86AD9B" w14:textId="77777777" w:rsidTr="00596EFF">
        <w:tc>
          <w:tcPr>
            <w:tcW w:w="3084" w:type="dxa"/>
          </w:tcPr>
          <w:p w14:paraId="1D8520ED" w14:textId="12E18C09" w:rsidR="00367B5A" w:rsidRPr="00757D79" w:rsidRDefault="002F3832" w:rsidP="00596EFF">
            <w:r>
              <w:t>IHACPA</w:t>
            </w:r>
          </w:p>
        </w:tc>
        <w:tc>
          <w:tcPr>
            <w:tcW w:w="6859" w:type="dxa"/>
          </w:tcPr>
          <w:p w14:paraId="174CDB53" w14:textId="5313DB50" w:rsidR="00367B5A" w:rsidRPr="00355C73" w:rsidRDefault="002F3832" w:rsidP="00596EFF">
            <w:r>
              <w:t>Independent Health and Aged Care Pricing Authority</w:t>
            </w:r>
          </w:p>
        </w:tc>
      </w:tr>
      <w:tr w:rsidR="00367B5A" w14:paraId="60196307" w14:textId="77777777" w:rsidTr="00596EFF">
        <w:tc>
          <w:tcPr>
            <w:tcW w:w="3084" w:type="dxa"/>
          </w:tcPr>
          <w:p w14:paraId="1BBF04D4" w14:textId="77777777" w:rsidR="00367B5A" w:rsidRPr="00757D79" w:rsidRDefault="00367B5A" w:rsidP="00596EFF">
            <w:r w:rsidRPr="00757D79">
              <w:t>MDC</w:t>
            </w:r>
          </w:p>
        </w:tc>
        <w:tc>
          <w:tcPr>
            <w:tcW w:w="6859" w:type="dxa"/>
          </w:tcPr>
          <w:p w14:paraId="0A28F3B0" w14:textId="77777777" w:rsidR="00367B5A" w:rsidRPr="00355C73" w:rsidRDefault="00367B5A" w:rsidP="00596EFF">
            <w:r w:rsidRPr="00355C73">
              <w:t>Major Diagnostic Category</w:t>
            </w:r>
          </w:p>
        </w:tc>
      </w:tr>
      <w:tr w:rsidR="00367B5A" w14:paraId="7DF4D6FC" w14:textId="77777777" w:rsidTr="00596EFF">
        <w:tc>
          <w:tcPr>
            <w:tcW w:w="3084" w:type="dxa"/>
          </w:tcPr>
          <w:p w14:paraId="48F8F74F" w14:textId="77777777" w:rsidR="00367B5A" w:rsidRDefault="00367B5A" w:rsidP="00596EFF">
            <w:r>
              <w:t>RID</w:t>
            </w:r>
          </w:p>
        </w:tc>
        <w:tc>
          <w:tcPr>
            <w:tcW w:w="6859" w:type="dxa"/>
          </w:tcPr>
          <w:p w14:paraId="12345D88" w14:textId="77777777" w:rsidR="00367B5A" w:rsidRDefault="00367B5A" w:rsidP="00596EFF">
            <w:r>
              <w:t>Reduction in deviance</w:t>
            </w:r>
          </w:p>
        </w:tc>
      </w:tr>
    </w:tbl>
    <w:p w14:paraId="49E3B725" w14:textId="77777777" w:rsidR="00970318" w:rsidRDefault="00970318">
      <w:pPr>
        <w:spacing w:line="259" w:lineRule="auto"/>
        <w:sectPr w:rsidR="00970318" w:rsidSect="00C5503B">
          <w:pgSz w:w="11906" w:h="16838" w:code="9"/>
          <w:pgMar w:top="1440" w:right="1080" w:bottom="1440" w:left="1080" w:header="708" w:footer="708" w:gutter="0"/>
          <w:cols w:space="708"/>
          <w:docGrid w:linePitch="360"/>
        </w:sectPr>
      </w:pPr>
    </w:p>
    <w:p w14:paraId="55A7A68E" w14:textId="77777777" w:rsidR="00AF6386" w:rsidRDefault="00AF6386" w:rsidP="00AF6386">
      <w:pPr>
        <w:pStyle w:val="Heading1"/>
        <w:numPr>
          <w:ilvl w:val="0"/>
          <w:numId w:val="0"/>
        </w:numPr>
        <w:ind w:left="432" w:hanging="432"/>
      </w:pPr>
      <w:bookmarkStart w:id="2" w:name="_Toc534625477"/>
      <w:bookmarkStart w:id="3" w:name="_Toc534633014"/>
      <w:bookmarkStart w:id="4" w:name="_Toc534875720"/>
      <w:bookmarkStart w:id="5" w:name="_Toc534965658"/>
      <w:bookmarkStart w:id="6" w:name="_Toc100328186"/>
      <w:bookmarkStart w:id="7" w:name="_Toc124656384"/>
      <w:r>
        <w:lastRenderedPageBreak/>
        <w:t>Executive Summary</w:t>
      </w:r>
      <w:bookmarkEnd w:id="2"/>
      <w:bookmarkEnd w:id="3"/>
      <w:bookmarkEnd w:id="4"/>
      <w:bookmarkEnd w:id="5"/>
      <w:bookmarkEnd w:id="6"/>
      <w:bookmarkEnd w:id="7"/>
    </w:p>
    <w:p w14:paraId="1BAD768C" w14:textId="3BD170B1" w:rsidR="00AF6386" w:rsidRDefault="00AF6386" w:rsidP="000B5BC9">
      <w:r>
        <w:t xml:space="preserve">The </w:t>
      </w:r>
      <w:r w:rsidR="002F3832" w:rsidRPr="00643011">
        <w:rPr>
          <w:b/>
          <w:bCs/>
        </w:rPr>
        <w:t>Independent Health and Aged Care Pricing Authority (IHACPA)</w:t>
      </w:r>
      <w:r w:rsidR="002F3832">
        <w:t xml:space="preserve"> </w:t>
      </w:r>
      <w:r>
        <w:t xml:space="preserve">is responsible for the development of the Australian Refined Diagnosis Related Groups (AR-DRGs) classification. AR-DRGs group together treatments and services provided for admitted acute care to enable hospitals to be funded for these services using </w:t>
      </w:r>
      <w:proofErr w:type="gramStart"/>
      <w:r>
        <w:t>activity based</w:t>
      </w:r>
      <w:proofErr w:type="gramEnd"/>
      <w:r>
        <w:t xml:space="preserve"> funding (ABF) arrangements. AR-DRG Version 11.0 (AR-DRG V11.0) has been developed in consultation with clinicians, </w:t>
      </w:r>
      <w:proofErr w:type="gramStart"/>
      <w:r>
        <w:t>jurisdictions</w:t>
      </w:r>
      <w:proofErr w:type="gramEnd"/>
      <w:r>
        <w:t xml:space="preserve"> and other health sector stakeholders.</w:t>
      </w:r>
    </w:p>
    <w:p w14:paraId="57F10A4C" w14:textId="5F1E63D4" w:rsidR="009503F6" w:rsidRDefault="009503F6" w:rsidP="009503F6">
      <w:r>
        <w:t xml:space="preserve">Development of AR-DRG V11.0 was based on </w:t>
      </w:r>
      <w:r w:rsidRPr="005E3093">
        <w:t>2015</w:t>
      </w:r>
      <w:r w:rsidRPr="00363DA7">
        <w:rPr>
          <w:iCs/>
        </w:rPr>
        <w:t>–</w:t>
      </w:r>
      <w:r>
        <w:t>16 to</w:t>
      </w:r>
      <w:r w:rsidRPr="005E3093">
        <w:t xml:space="preserve"> 2018</w:t>
      </w:r>
      <w:r w:rsidRPr="00363DA7">
        <w:rPr>
          <w:iCs/>
        </w:rPr>
        <w:t>–</w:t>
      </w:r>
      <w:r w:rsidRPr="005E3093">
        <w:t>19</w:t>
      </w:r>
      <w:r>
        <w:t xml:space="preserve"> public hospital </w:t>
      </w:r>
      <w:r w:rsidR="002B2B58">
        <w:t xml:space="preserve">admitted patient care </w:t>
      </w:r>
      <w:r>
        <w:t xml:space="preserve">activity and cost data provided by Australian jurisdictions. </w:t>
      </w:r>
    </w:p>
    <w:p w14:paraId="68A99C5E" w14:textId="77777777" w:rsidR="00AF6386" w:rsidRDefault="00AF6386" w:rsidP="000B5BC9">
      <w:r>
        <w:t xml:space="preserve">AR-DRG Version 11.0 has been </w:t>
      </w:r>
      <w:proofErr w:type="spellStart"/>
      <w:r>
        <w:t>finalised</w:t>
      </w:r>
      <w:proofErr w:type="spellEnd"/>
      <w:r>
        <w:t xml:space="preserve"> following clinical and statistical analysis and in consultation with clinicians, </w:t>
      </w:r>
      <w:proofErr w:type="gramStart"/>
      <w:r>
        <w:t>jurisdictions</w:t>
      </w:r>
      <w:proofErr w:type="gramEnd"/>
      <w:r>
        <w:t xml:space="preserve"> and other health sector stakeholders. This report outlines the changes made for AR-DRG V11.0 and details the refinement process and rationale for changes.</w:t>
      </w:r>
      <w:r w:rsidRPr="00FF024F">
        <w:t xml:space="preserve"> </w:t>
      </w:r>
    </w:p>
    <w:p w14:paraId="4DE0B53D" w14:textId="77777777" w:rsidR="00AF6386" w:rsidRDefault="00AF6386" w:rsidP="000B5BC9">
      <w:r>
        <w:t>Changes for AR-DRG V11.0 include:</w:t>
      </w:r>
    </w:p>
    <w:p w14:paraId="4095BF00" w14:textId="77777777" w:rsidR="00AF6386" w:rsidRDefault="00AF6386" w:rsidP="00D07C0F">
      <w:pPr>
        <w:pStyle w:val="ListParagraph"/>
        <w:numPr>
          <w:ilvl w:val="0"/>
          <w:numId w:val="7"/>
        </w:numPr>
        <w:ind w:hanging="357"/>
        <w:contextualSpacing w:val="0"/>
      </w:pPr>
      <w:r>
        <w:t>three new Adjacent Diagnosis Related Groups (ADRGs):</w:t>
      </w:r>
    </w:p>
    <w:p w14:paraId="4BCD34AC" w14:textId="677B72C8" w:rsidR="00AF6386" w:rsidRPr="00810694" w:rsidRDefault="00AF6386" w:rsidP="00D07C0F">
      <w:pPr>
        <w:pStyle w:val="NoSpacing"/>
        <w:widowControl w:val="0"/>
        <w:numPr>
          <w:ilvl w:val="0"/>
          <w:numId w:val="6"/>
        </w:numPr>
        <w:spacing w:after="160" w:line="288" w:lineRule="auto"/>
        <w:ind w:hanging="357"/>
      </w:pPr>
      <w:r w:rsidRPr="00810694">
        <w:t xml:space="preserve">ADRG B08 </w:t>
      </w:r>
      <w:r w:rsidRPr="00F0223D">
        <w:rPr>
          <w:i/>
        </w:rPr>
        <w:t xml:space="preserve">Endovascular </w:t>
      </w:r>
      <w:r w:rsidR="00D07C0F">
        <w:rPr>
          <w:i/>
        </w:rPr>
        <w:t>C</w:t>
      </w:r>
      <w:r w:rsidRPr="00F0223D">
        <w:rPr>
          <w:i/>
        </w:rPr>
        <w:t xml:space="preserve">lot </w:t>
      </w:r>
      <w:r w:rsidR="00D07C0F">
        <w:rPr>
          <w:i/>
        </w:rPr>
        <w:t>R</w:t>
      </w:r>
      <w:r w:rsidRPr="00F0223D">
        <w:rPr>
          <w:i/>
        </w:rPr>
        <w:t>etrieval</w:t>
      </w:r>
    </w:p>
    <w:p w14:paraId="1A6A83E0" w14:textId="77777777" w:rsidR="00AF6386" w:rsidRDefault="00AF6386" w:rsidP="00D07C0F">
      <w:pPr>
        <w:pStyle w:val="NoSpacing"/>
        <w:widowControl w:val="0"/>
        <w:numPr>
          <w:ilvl w:val="0"/>
          <w:numId w:val="6"/>
        </w:numPr>
        <w:spacing w:after="160" w:line="288" w:lineRule="auto"/>
        <w:ind w:hanging="357"/>
      </w:pPr>
      <w:r>
        <w:t xml:space="preserve">ADRG F25 </w:t>
      </w:r>
      <w:r w:rsidRPr="00F0223D">
        <w:rPr>
          <w:i/>
        </w:rPr>
        <w:t xml:space="preserve">Percutaneous Heart Valve Replacement with </w:t>
      </w:r>
      <w:proofErr w:type="spellStart"/>
      <w:r w:rsidRPr="00F0223D">
        <w:rPr>
          <w:i/>
        </w:rPr>
        <w:t>Bioprosthesis</w:t>
      </w:r>
      <w:proofErr w:type="spellEnd"/>
      <w:r w:rsidRPr="00F0223D">
        <w:rPr>
          <w:i/>
        </w:rPr>
        <w:t xml:space="preserve"> </w:t>
      </w:r>
      <w:r w:rsidRPr="00333FC9">
        <w:rPr>
          <w:iCs/>
        </w:rPr>
        <w:t>(including transcatheter aortic valve replacements (TAVIs) and other percutaneous heart valve replacements)</w:t>
      </w:r>
    </w:p>
    <w:p w14:paraId="0351F69B" w14:textId="77777777" w:rsidR="00AF6386" w:rsidRDefault="00AF6386" w:rsidP="00D07C0F">
      <w:pPr>
        <w:pStyle w:val="NoSpacing"/>
        <w:widowControl w:val="0"/>
        <w:numPr>
          <w:ilvl w:val="0"/>
          <w:numId w:val="6"/>
        </w:numPr>
        <w:spacing w:after="160" w:line="288" w:lineRule="auto"/>
        <w:ind w:hanging="357"/>
      </w:pPr>
      <w:r>
        <w:t xml:space="preserve">ADRG G13 </w:t>
      </w:r>
      <w:r w:rsidRPr="00F0223D">
        <w:rPr>
          <w:i/>
        </w:rPr>
        <w:t>Peritonectomy for Gastrointestinal Disorders</w:t>
      </w:r>
      <w:r>
        <w:t>.</w:t>
      </w:r>
    </w:p>
    <w:p w14:paraId="7A6E3DB2" w14:textId="77777777" w:rsidR="00AF6386" w:rsidRDefault="00AF6386" w:rsidP="00D07C0F">
      <w:pPr>
        <w:pStyle w:val="Default"/>
        <w:numPr>
          <w:ilvl w:val="0"/>
          <w:numId w:val="8"/>
        </w:numPr>
        <w:spacing w:after="160" w:line="288" w:lineRule="auto"/>
        <w:ind w:hanging="357"/>
        <w:rPr>
          <w:sz w:val="22"/>
          <w:szCs w:val="22"/>
        </w:rPr>
      </w:pPr>
      <w:r>
        <w:rPr>
          <w:sz w:val="22"/>
          <w:szCs w:val="22"/>
        </w:rPr>
        <w:t>limiting of the requirement to use sex as a grouping variable</w:t>
      </w:r>
    </w:p>
    <w:p w14:paraId="7241C801" w14:textId="77777777" w:rsidR="00AF6386" w:rsidRDefault="00AF6386" w:rsidP="00D07C0F">
      <w:pPr>
        <w:pStyle w:val="Default"/>
        <w:numPr>
          <w:ilvl w:val="0"/>
          <w:numId w:val="8"/>
        </w:numPr>
        <w:spacing w:after="160" w:line="288" w:lineRule="auto"/>
        <w:ind w:hanging="357"/>
        <w:rPr>
          <w:sz w:val="22"/>
          <w:szCs w:val="22"/>
        </w:rPr>
      </w:pPr>
      <w:r>
        <w:rPr>
          <w:sz w:val="22"/>
          <w:szCs w:val="22"/>
        </w:rPr>
        <w:t>correction of an anomaly in the grouping of nail and nail bed procedures for hand and foot intervention ADRGs</w:t>
      </w:r>
    </w:p>
    <w:p w14:paraId="60A2C652" w14:textId="77777777" w:rsidR="00AF6386" w:rsidRDefault="00AF6386" w:rsidP="00D07C0F">
      <w:pPr>
        <w:pStyle w:val="Default"/>
        <w:numPr>
          <w:ilvl w:val="0"/>
          <w:numId w:val="8"/>
        </w:numPr>
        <w:spacing w:after="160" w:line="288" w:lineRule="auto"/>
        <w:ind w:hanging="357"/>
        <w:rPr>
          <w:sz w:val="22"/>
          <w:szCs w:val="22"/>
        </w:rPr>
      </w:pPr>
      <w:r>
        <w:rPr>
          <w:sz w:val="22"/>
          <w:szCs w:val="22"/>
        </w:rPr>
        <w:t>standard refinements aimed at updating the classification for currency using the most recent cost and activity data and include refinement of:</w:t>
      </w:r>
    </w:p>
    <w:p w14:paraId="5F9F30A6" w14:textId="020BF6EF" w:rsidR="00AF6386" w:rsidRDefault="00AF6386" w:rsidP="00D07C0F">
      <w:pPr>
        <w:pStyle w:val="NoSpacing"/>
        <w:widowControl w:val="0"/>
        <w:numPr>
          <w:ilvl w:val="0"/>
          <w:numId w:val="6"/>
        </w:numPr>
        <w:spacing w:after="160" w:line="288" w:lineRule="auto"/>
        <w:ind w:hanging="357"/>
      </w:pPr>
      <w:r>
        <w:t>codes in</w:t>
      </w:r>
      <w:r w:rsidR="008517C8">
        <w:t>-</w:t>
      </w:r>
      <w:r>
        <w:t>scope for contributing to complexity</w:t>
      </w:r>
    </w:p>
    <w:p w14:paraId="791A299E" w14:textId="77777777" w:rsidR="00AF6386" w:rsidRDefault="00AF6386" w:rsidP="00D07C0F">
      <w:pPr>
        <w:pStyle w:val="NoSpacing"/>
        <w:widowControl w:val="0"/>
        <w:numPr>
          <w:ilvl w:val="0"/>
          <w:numId w:val="6"/>
        </w:numPr>
        <w:spacing w:after="160" w:line="288" w:lineRule="auto"/>
        <w:ind w:hanging="357"/>
      </w:pPr>
      <w:r>
        <w:t xml:space="preserve">the complexity scoring system </w:t>
      </w:r>
    </w:p>
    <w:p w14:paraId="7BBB8004" w14:textId="77777777" w:rsidR="00AF6386" w:rsidRDefault="00AF6386" w:rsidP="00D07C0F">
      <w:pPr>
        <w:pStyle w:val="NoSpacing"/>
        <w:widowControl w:val="0"/>
        <w:numPr>
          <w:ilvl w:val="0"/>
          <w:numId w:val="6"/>
        </w:numPr>
        <w:spacing w:after="160" w:line="288" w:lineRule="auto"/>
        <w:ind w:hanging="357"/>
      </w:pPr>
      <w:r>
        <w:t xml:space="preserve">the splitting of ADRGs into end classes (DRGs) that reflect different levels of complexity </w:t>
      </w:r>
    </w:p>
    <w:p w14:paraId="632B0FC3" w14:textId="77777777" w:rsidR="00AF6386" w:rsidRDefault="00AF6386" w:rsidP="00D07C0F">
      <w:pPr>
        <w:pStyle w:val="NoSpacing"/>
        <w:widowControl w:val="0"/>
        <w:numPr>
          <w:ilvl w:val="0"/>
          <w:numId w:val="6"/>
        </w:numPr>
        <w:spacing w:after="160" w:line="288" w:lineRule="auto"/>
        <w:ind w:hanging="357"/>
      </w:pPr>
      <w:r>
        <w:t>the intervention hierarchy, and a review of</w:t>
      </w:r>
    </w:p>
    <w:p w14:paraId="0608A4DA" w14:textId="77777777" w:rsidR="00AF6386" w:rsidRPr="001D2B88" w:rsidRDefault="00AF6386" w:rsidP="00D07C0F">
      <w:pPr>
        <w:pStyle w:val="Default"/>
        <w:numPr>
          <w:ilvl w:val="0"/>
          <w:numId w:val="6"/>
        </w:numPr>
        <w:spacing w:after="160" w:line="288" w:lineRule="auto"/>
        <w:ind w:hanging="357"/>
        <w:rPr>
          <w:sz w:val="22"/>
          <w:szCs w:val="22"/>
        </w:rPr>
      </w:pPr>
      <w:r w:rsidRPr="00333FC9">
        <w:rPr>
          <w:sz w:val="22"/>
          <w:szCs w:val="22"/>
        </w:rPr>
        <w:t>episodes that group to ADRG 801 </w:t>
      </w:r>
      <w:r w:rsidRPr="00333FC9">
        <w:rPr>
          <w:i/>
          <w:sz w:val="22"/>
          <w:szCs w:val="22"/>
        </w:rPr>
        <w:t>General Interventions Unrelated to Principal Diagnosis</w:t>
      </w:r>
      <w:r w:rsidRPr="00333FC9">
        <w:rPr>
          <w:sz w:val="22"/>
          <w:szCs w:val="22"/>
        </w:rPr>
        <w:t xml:space="preserve"> to determine more appropriate grouping where possible.</w:t>
      </w:r>
      <w:r w:rsidRPr="00A023DA">
        <w:rPr>
          <w:sz w:val="22"/>
          <w:szCs w:val="22"/>
        </w:rPr>
        <w:t xml:space="preserve"> </w:t>
      </w:r>
    </w:p>
    <w:p w14:paraId="14A90016" w14:textId="77777777" w:rsidR="00AF6386" w:rsidRDefault="00AF6386" w:rsidP="000B5BC9">
      <w:r>
        <w:t xml:space="preserve">Several other potential enhancements were investigated for V11.0 but after analysis and consultation with stakeholders, were not progressed. </w:t>
      </w:r>
    </w:p>
    <w:p w14:paraId="32750B02" w14:textId="2ADC862F" w:rsidR="00AF6386" w:rsidRDefault="00AF6386" w:rsidP="000B5BC9">
      <w:r>
        <w:lastRenderedPageBreak/>
        <w:t xml:space="preserve">AR-DRG V11.0 </w:t>
      </w:r>
      <w:r w:rsidR="00FC1944">
        <w:t xml:space="preserve">was </w:t>
      </w:r>
      <w:r>
        <w:t>released in mid-2022</w:t>
      </w:r>
      <w:r w:rsidR="009503F6">
        <w:t>. In late 2022, IHAPCA identified an anomaly regarding AR-DRG V11.0 data preparation resulting in the cost data for admitted mental health care episodes for 2017</w:t>
      </w:r>
      <w:r w:rsidR="00403646" w:rsidRPr="00363DA7">
        <w:rPr>
          <w:iCs/>
        </w:rPr>
        <w:t>–</w:t>
      </w:r>
      <w:r w:rsidR="009503F6">
        <w:t>18 and 2018</w:t>
      </w:r>
      <w:r w:rsidR="00403646" w:rsidRPr="00363DA7">
        <w:rPr>
          <w:iCs/>
        </w:rPr>
        <w:t>–</w:t>
      </w:r>
      <w:r w:rsidR="009503F6">
        <w:t xml:space="preserve">19 not being included in the data preparation process. </w:t>
      </w:r>
      <w:r w:rsidR="00EC413E">
        <w:t xml:space="preserve">IHACPA has conducted analysis of the anomaly which does not demonstrate a material impact on the performance of AR-DRG V11.0 and </w:t>
      </w:r>
      <w:r w:rsidR="00403646">
        <w:t>has</w:t>
      </w:r>
      <w:r w:rsidR="00EC413E">
        <w:t xml:space="preserve"> minimal impact on jurisdictions. </w:t>
      </w:r>
      <w:r w:rsidR="00E52087">
        <w:t>F</w:t>
      </w:r>
      <w:r w:rsidR="00EC413E">
        <w:t xml:space="preserve">ollowing </w:t>
      </w:r>
      <w:r w:rsidR="009503F6">
        <w:t xml:space="preserve">consultation with IHACPA </w:t>
      </w:r>
      <w:r w:rsidR="00643011">
        <w:t>advisory committees</w:t>
      </w:r>
      <w:r w:rsidR="00EC413E">
        <w:t xml:space="preserve"> which indicated a preference to remediate the anomaly</w:t>
      </w:r>
      <w:r w:rsidR="00643011">
        <w:t xml:space="preserve">, IHACPA has recalculated the AR-DRG V11.0 complexity model and revised the AR-DRG V11.0 classification in January 2023. </w:t>
      </w:r>
      <w:r w:rsidR="009503F6">
        <w:t xml:space="preserve">AR-DRG V11.0 </w:t>
      </w:r>
      <w:r w:rsidR="00FC1944">
        <w:t xml:space="preserve">is anticipated to be </w:t>
      </w:r>
      <w:r>
        <w:t>used to price episodes of admitted acute patient care from 1 July 2023.</w:t>
      </w:r>
    </w:p>
    <w:p w14:paraId="486E1EDF" w14:textId="77777777" w:rsidR="00970318" w:rsidRDefault="00AF6386" w:rsidP="00D65F7D">
      <w:pPr>
        <w:sectPr w:rsidR="00970318" w:rsidSect="00C5503B">
          <w:pgSz w:w="11906" w:h="16838" w:code="9"/>
          <w:pgMar w:top="1440" w:right="1080" w:bottom="1440" w:left="1080" w:header="708" w:footer="708" w:gutter="0"/>
          <w:cols w:space="708"/>
          <w:docGrid w:linePitch="360"/>
        </w:sectPr>
      </w:pPr>
      <w:r>
        <w:t xml:space="preserve">The </w:t>
      </w:r>
      <w:r w:rsidRPr="00802B09">
        <w:rPr>
          <w:i/>
        </w:rPr>
        <w:t>AR</w:t>
      </w:r>
      <w:r w:rsidRPr="00802B09">
        <w:rPr>
          <w:i/>
        </w:rPr>
        <w:noBreakHyphen/>
        <w:t>DRG V11.0 Final Report</w:t>
      </w:r>
      <w:r>
        <w:t xml:space="preserve"> outlines the refinement process, analysis undertaken and the rationale for changes made to the classification for AR-DRG V11.0.</w:t>
      </w:r>
    </w:p>
    <w:p w14:paraId="38AE782F" w14:textId="77777777" w:rsidR="005C1B62" w:rsidRDefault="005C1B62" w:rsidP="007D4F6F">
      <w:pPr>
        <w:pStyle w:val="Heading1"/>
        <w:numPr>
          <w:ilvl w:val="0"/>
          <w:numId w:val="15"/>
        </w:numPr>
        <w:spacing w:after="1080" w:line="240" w:lineRule="auto"/>
        <w:ind w:left="567" w:hanging="573"/>
        <w:contextualSpacing/>
      </w:pPr>
      <w:bookmarkStart w:id="8" w:name="_Toc534875725"/>
      <w:bookmarkStart w:id="9" w:name="_Toc100328187"/>
      <w:bookmarkStart w:id="10" w:name="_Toc124656385"/>
      <w:r>
        <w:lastRenderedPageBreak/>
        <w:t>Introduction</w:t>
      </w:r>
      <w:bookmarkEnd w:id="8"/>
      <w:bookmarkEnd w:id="9"/>
      <w:bookmarkEnd w:id="10"/>
    </w:p>
    <w:p w14:paraId="184587DB" w14:textId="77777777" w:rsidR="005C1B62" w:rsidRPr="00741529" w:rsidRDefault="005C1B62" w:rsidP="005C1B62">
      <w:pPr>
        <w:pStyle w:val="Heading2"/>
      </w:pPr>
      <w:bookmarkStart w:id="11" w:name="_Toc100328188"/>
      <w:bookmarkStart w:id="12" w:name="_Toc124656386"/>
      <w:r>
        <w:t>AR-DRG classification</w:t>
      </w:r>
      <w:bookmarkEnd w:id="11"/>
      <w:bookmarkEnd w:id="12"/>
      <w:r>
        <w:t xml:space="preserve"> </w:t>
      </w:r>
    </w:p>
    <w:p w14:paraId="3E799BCC" w14:textId="6CDD0DF7" w:rsidR="005C1B62" w:rsidRDefault="00FC1944" w:rsidP="00D65F7D">
      <w:bookmarkStart w:id="13" w:name="_Toc534875727"/>
      <w:bookmarkStart w:id="14" w:name="_Toc534633017"/>
      <w:r>
        <w:t xml:space="preserve">IHACPA </w:t>
      </w:r>
      <w:r w:rsidR="005C1B62">
        <w:t>has responsibility for the development of the AR-DRG classification, which groups together treatments and services provided for admitted acute care to enable hospitals to be funded for these services using ABF arrangements. The AR-DRG classification is underpinned by the following disease and intervention classifications and standards:</w:t>
      </w:r>
    </w:p>
    <w:p w14:paraId="5A5AC6A3" w14:textId="77777777" w:rsidR="005C1B62" w:rsidRDefault="005C1B62" w:rsidP="00D65F7D">
      <w:pPr>
        <w:pStyle w:val="ListParagraph"/>
        <w:numPr>
          <w:ilvl w:val="0"/>
          <w:numId w:val="12"/>
        </w:numPr>
        <w:ind w:left="714" w:hanging="357"/>
        <w:contextualSpacing w:val="0"/>
      </w:pPr>
      <w:r>
        <w:t>International Statistical Classification of Diseases and Related Health Problems, Tenth Revision, Australian Modification (ICD-10-AM)</w:t>
      </w:r>
    </w:p>
    <w:p w14:paraId="678339C6" w14:textId="77777777" w:rsidR="005C1B62" w:rsidRDefault="005C1B62" w:rsidP="00D65F7D">
      <w:pPr>
        <w:pStyle w:val="ListParagraph"/>
        <w:numPr>
          <w:ilvl w:val="0"/>
          <w:numId w:val="12"/>
        </w:numPr>
        <w:ind w:left="714" w:hanging="357"/>
        <w:contextualSpacing w:val="0"/>
      </w:pPr>
      <w:r>
        <w:t>Australian Classification of Health Interventions (ACHI)</w:t>
      </w:r>
    </w:p>
    <w:p w14:paraId="304C439D" w14:textId="77777777" w:rsidR="005C1B62" w:rsidRDefault="005C1B62" w:rsidP="00D65F7D">
      <w:pPr>
        <w:pStyle w:val="ListParagraph"/>
        <w:numPr>
          <w:ilvl w:val="0"/>
          <w:numId w:val="12"/>
        </w:numPr>
        <w:ind w:left="714" w:hanging="357"/>
        <w:contextualSpacing w:val="0"/>
      </w:pPr>
      <w:r>
        <w:t>Australian Coding Standards (ACS)</w:t>
      </w:r>
    </w:p>
    <w:p w14:paraId="78CA99FA" w14:textId="551658A0" w:rsidR="005C1B62" w:rsidRDefault="005C1B62" w:rsidP="00D65F7D">
      <w:r>
        <w:t>Collectively these classifications are known as ICD-10-AM/ACHI/ACS and are used to classify diseases and interventions for all admitted patient episodes of care</w:t>
      </w:r>
    </w:p>
    <w:p w14:paraId="0F81F1A7" w14:textId="77777777" w:rsidR="005C1B62" w:rsidRDefault="005C1B62" w:rsidP="00D65F7D">
      <w:r>
        <w:t>ICD-10-AM/ACHI/ACS and AR-DRGs are used in public and private hospitals in Australia to classify admitted acute care. These classifications are now updated every three years to balance currency against the need for stability and to reduce the burden of implementation for stakeholders.</w:t>
      </w:r>
    </w:p>
    <w:p w14:paraId="07204174" w14:textId="77777777" w:rsidR="005C1B62" w:rsidRDefault="005C1B62" w:rsidP="00D65F7D">
      <w:r>
        <w:t xml:space="preserve">The AR-DRG classification consists of approximately 800 end classes, with each admitted acute episode of care being classified based on diagnoses, interventions and other routinely collected data, such as age, sex, mode of separation, length of stay, newborn admission weight and hours of mechanical ventilation. While the AR-DRG classification is instrumental to ABF, it is also used for many other purposes including performance management, benchmarking, </w:t>
      </w:r>
      <w:proofErr w:type="gramStart"/>
      <w:r>
        <w:t>epidemiology</w:t>
      </w:r>
      <w:proofErr w:type="gramEnd"/>
      <w:r>
        <w:t xml:space="preserve"> and research.</w:t>
      </w:r>
    </w:p>
    <w:p w14:paraId="7B7BB1F0" w14:textId="386C0118" w:rsidR="005C1B62" w:rsidRDefault="005C1B62" w:rsidP="00D65F7D">
      <w:r>
        <w:t xml:space="preserve">AR-DRG V11.0 </w:t>
      </w:r>
      <w:r w:rsidR="00FC1944">
        <w:t xml:space="preserve">was </w:t>
      </w:r>
      <w:r>
        <w:t>released in mid-2022</w:t>
      </w:r>
      <w:r w:rsidR="00B94226">
        <w:t xml:space="preserve"> and revised in January 2023</w:t>
      </w:r>
      <w:r>
        <w:t xml:space="preserve"> and </w:t>
      </w:r>
      <w:r w:rsidR="00FC1944">
        <w:t xml:space="preserve">is </w:t>
      </w:r>
      <w:r w:rsidR="00C926A4">
        <w:t>anticipated</w:t>
      </w:r>
      <w:r w:rsidR="00FC1944">
        <w:t xml:space="preserve"> to be </w:t>
      </w:r>
      <w:r>
        <w:t xml:space="preserve">used to price admitted acute episodes of care from 1 July 2023. ICD-10-AM/ACHI/ACS Twelfth Edition </w:t>
      </w:r>
      <w:r w:rsidR="00FC1944">
        <w:t xml:space="preserve">was </w:t>
      </w:r>
      <w:r>
        <w:t>implemented on 1 July 2022.</w:t>
      </w:r>
    </w:p>
    <w:p w14:paraId="53664A3C" w14:textId="77777777" w:rsidR="005C1B62" w:rsidRDefault="005C1B62" w:rsidP="005C1B62">
      <w:pPr>
        <w:pStyle w:val="Heading2"/>
      </w:pPr>
      <w:bookmarkStart w:id="15" w:name="_Toc100328189"/>
      <w:bookmarkStart w:id="16" w:name="_Toc124656387"/>
      <w:r>
        <w:t>Classification process</w:t>
      </w:r>
      <w:bookmarkEnd w:id="13"/>
      <w:bookmarkEnd w:id="14"/>
      <w:bookmarkEnd w:id="15"/>
      <w:bookmarkEnd w:id="16"/>
    </w:p>
    <w:p w14:paraId="163AB7FE" w14:textId="77777777" w:rsidR="005C1B62" w:rsidRDefault="005C1B62" w:rsidP="000B5BC9">
      <w:bookmarkStart w:id="17" w:name="_Ref534812840"/>
      <w:r>
        <w:t>The process of clinical classification, or ‘coding’, involves the translation of information (diagnoses and interventions) from the clinical record of a patient into alphanumeric codes within ICD-10-AM and ACHI.</w:t>
      </w:r>
    </w:p>
    <w:p w14:paraId="65B136BB" w14:textId="77777777" w:rsidR="005C1B62" w:rsidRDefault="005C1B62" w:rsidP="000B5BC9">
      <w:r>
        <w:t>At the conclusion of a patient’s episode of care, a clinical coder reviews the relevant clinical documentation and abstracts information recorded by clinicians to assign codes for the principal diagnosis, additional diagnoses and interventions performed in accordance with guidelines provided in the ACS and other relevant national coding advice.</w:t>
      </w:r>
    </w:p>
    <w:p w14:paraId="5A8D8B42" w14:textId="77777777" w:rsidR="005C1B62" w:rsidRDefault="005C1B62" w:rsidP="000B5BC9">
      <w:r>
        <w:lastRenderedPageBreak/>
        <w:t>The AR-DRG classification uses the ICD-10-AM and ACHI codes along with other routinely collected data from the episode of care, to assign an end class – a diagnosis related group (DRG). Software containing the AR-DRG algorithms uses the information from the episode of care and assigns a DRG – this software is known as a ‘grouper’.</w:t>
      </w:r>
    </w:p>
    <w:p w14:paraId="03244F54" w14:textId="77777777" w:rsidR="005C1B62" w:rsidRDefault="005C1B62" w:rsidP="000B5BC9">
      <w:pPr>
        <w:rPr>
          <w:b/>
          <w:bCs/>
          <w:color w:val="15272F" w:themeColor="accent1"/>
          <w:sz w:val="18"/>
          <w:szCs w:val="18"/>
        </w:rPr>
      </w:pPr>
      <w:r>
        <w:t xml:space="preserve">A schematic of the DRG assignment process is at </w:t>
      </w:r>
      <w:r w:rsidRPr="00AB2EE4">
        <w:rPr>
          <w:b/>
          <w:color w:val="auto"/>
        </w:rPr>
        <w:t>Figure 1</w:t>
      </w:r>
      <w:r w:rsidRPr="00AB2EE4">
        <w:rPr>
          <w:color w:val="auto"/>
        </w:rPr>
        <w:t>.</w:t>
      </w:r>
    </w:p>
    <w:p w14:paraId="2303EFA8" w14:textId="77777777" w:rsidR="005C1B62" w:rsidRPr="009A2CDC" w:rsidRDefault="005C1B62" w:rsidP="009A2CDC">
      <w:pPr>
        <w:pStyle w:val="Caption"/>
      </w:pPr>
      <w:r w:rsidRPr="009A2CDC">
        <w:t xml:space="preserve">Figure </w:t>
      </w:r>
      <w:bookmarkEnd w:id="17"/>
      <w:r w:rsidRPr="009A2CDC">
        <w:rPr>
          <w:noProof/>
        </w:rPr>
        <w:t>1</w:t>
      </w:r>
      <w:r w:rsidRPr="009A2CDC">
        <w:t>: Schematic diagram for DRG assignment</w:t>
      </w:r>
    </w:p>
    <w:p w14:paraId="690DC4F7" w14:textId="77777777" w:rsidR="005C1B62" w:rsidRDefault="005C1B62" w:rsidP="000B5BC9">
      <w:pPr>
        <w:keepNext/>
        <w:jc w:val="center"/>
      </w:pPr>
      <w:r w:rsidRPr="009D2E9F">
        <w:rPr>
          <w:noProof/>
        </w:rPr>
        <w:drawing>
          <wp:inline distT="0" distB="0" distL="0" distR="0" wp14:anchorId="4744E505" wp14:editId="3912DBBD">
            <wp:extent cx="3603625" cy="47142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3625" cy="4714240"/>
                    </a:xfrm>
                    <a:prstGeom prst="rect">
                      <a:avLst/>
                    </a:prstGeom>
                    <a:noFill/>
                    <a:ln>
                      <a:noFill/>
                    </a:ln>
                  </pic:spPr>
                </pic:pic>
              </a:graphicData>
            </a:graphic>
          </wp:inline>
        </w:drawing>
      </w:r>
    </w:p>
    <w:p w14:paraId="504A2CC5" w14:textId="77777777" w:rsidR="005C1B62" w:rsidRDefault="005C1B62" w:rsidP="00D65F7D">
      <w:pPr>
        <w:pStyle w:val="ListBullet"/>
        <w:numPr>
          <w:ilvl w:val="0"/>
          <w:numId w:val="13"/>
        </w:numPr>
        <w:spacing w:before="0" w:after="160" w:line="288" w:lineRule="auto"/>
        <w:ind w:left="714" w:hanging="357"/>
      </w:pPr>
      <w:r w:rsidRPr="00EE3626">
        <w:rPr>
          <w:b/>
        </w:rPr>
        <w:t>Demographic and clinical edits</w:t>
      </w:r>
      <w:r w:rsidRPr="00363DA7">
        <w:t xml:space="preserve">: </w:t>
      </w:r>
      <w:r w:rsidRPr="00C769C3">
        <w:t>These edits check the validity of the data to be used for grouping</w:t>
      </w:r>
      <w:r>
        <w:t xml:space="preserve"> and include </w:t>
      </w:r>
      <w:r w:rsidRPr="00C769C3">
        <w:t>age, sex, separation mode, length of stay, newborn admission weight, hours of mechanical ventilation and same</w:t>
      </w:r>
      <w:r>
        <w:t>-</w:t>
      </w:r>
      <w:r w:rsidRPr="00C769C3">
        <w:t xml:space="preserve">day status. </w:t>
      </w:r>
      <w:r>
        <w:t xml:space="preserve">The edits </w:t>
      </w:r>
      <w:r w:rsidRPr="00C769C3">
        <w:t xml:space="preserve">also validate all diagnosis (ICD-10-AM) and intervention (ACHI) codes, combined with a patient’s age and sex. </w:t>
      </w:r>
      <w:r>
        <w:t>The p</w:t>
      </w:r>
      <w:r w:rsidRPr="00C769C3">
        <w:t xml:space="preserve">rincipal diagnosis is also checked to validate that it is an acceptable principal diagnosis code. </w:t>
      </w:r>
    </w:p>
    <w:p w14:paraId="48A450C4" w14:textId="77777777" w:rsidR="005C1B62" w:rsidRPr="00C769C3" w:rsidRDefault="005C1B62" w:rsidP="00D65F7D">
      <w:pPr>
        <w:pStyle w:val="ListBullet"/>
        <w:numPr>
          <w:ilvl w:val="0"/>
          <w:numId w:val="0"/>
        </w:numPr>
        <w:spacing w:before="0" w:after="160" w:line="288" w:lineRule="auto"/>
        <w:ind w:left="714"/>
      </w:pPr>
      <w:r w:rsidRPr="00C769C3">
        <w:t>Potential issues in relation to the validity of the data may result in assignment to one of the three error DRGs:</w:t>
      </w:r>
    </w:p>
    <w:p w14:paraId="62BB48D1" w14:textId="77777777" w:rsidR="005C1B62" w:rsidRPr="00CB3805" w:rsidRDefault="005C1B62" w:rsidP="00D65F7D">
      <w:pPr>
        <w:pStyle w:val="ListBullet"/>
        <w:numPr>
          <w:ilvl w:val="0"/>
          <w:numId w:val="10"/>
        </w:numPr>
        <w:spacing w:before="0" w:after="160" w:line="288" w:lineRule="auto"/>
      </w:pPr>
      <w:r w:rsidRPr="00126F0A">
        <w:t xml:space="preserve">960Z </w:t>
      </w:r>
      <w:r w:rsidRPr="005A68B7">
        <w:rPr>
          <w:i/>
        </w:rPr>
        <w:t>Ungroupable</w:t>
      </w:r>
    </w:p>
    <w:p w14:paraId="45E55D0E" w14:textId="77777777" w:rsidR="005C1B62" w:rsidRPr="00CB3805" w:rsidRDefault="005C1B62" w:rsidP="00D65F7D">
      <w:pPr>
        <w:pStyle w:val="ListBullet"/>
        <w:numPr>
          <w:ilvl w:val="0"/>
          <w:numId w:val="10"/>
        </w:numPr>
        <w:spacing w:before="0" w:after="160" w:line="288" w:lineRule="auto"/>
      </w:pPr>
      <w:r w:rsidRPr="00CB3805">
        <w:t xml:space="preserve">961Z </w:t>
      </w:r>
      <w:r w:rsidRPr="005A68B7">
        <w:rPr>
          <w:i/>
        </w:rPr>
        <w:t>Unacceptable Principal Diagnosis</w:t>
      </w:r>
    </w:p>
    <w:p w14:paraId="0B2FC7D8" w14:textId="77777777" w:rsidR="005C1B62" w:rsidRPr="003B5D5E" w:rsidRDefault="005C1B62" w:rsidP="00D65F7D">
      <w:pPr>
        <w:pStyle w:val="ListBullet"/>
        <w:numPr>
          <w:ilvl w:val="0"/>
          <w:numId w:val="10"/>
        </w:numPr>
        <w:spacing w:before="0" w:after="160" w:line="288" w:lineRule="auto"/>
      </w:pPr>
      <w:r w:rsidRPr="003B5D5E">
        <w:t xml:space="preserve">963Z </w:t>
      </w:r>
      <w:r w:rsidRPr="005A68B7">
        <w:rPr>
          <w:i/>
        </w:rPr>
        <w:t xml:space="preserve">Neonatal Diagnosis Not Consistent </w:t>
      </w:r>
      <w:r>
        <w:rPr>
          <w:i/>
        </w:rPr>
        <w:t>w</w:t>
      </w:r>
      <w:r w:rsidRPr="005A68B7">
        <w:rPr>
          <w:i/>
        </w:rPr>
        <w:t>ith Age/Weight</w:t>
      </w:r>
      <w:r w:rsidRPr="003B5D5E">
        <w:t>.</w:t>
      </w:r>
    </w:p>
    <w:p w14:paraId="43125035" w14:textId="77777777" w:rsidR="005C1B62" w:rsidRPr="003B5D5E" w:rsidRDefault="005C1B62" w:rsidP="00D65F7D">
      <w:pPr>
        <w:pStyle w:val="ListBullet"/>
        <w:spacing w:before="0" w:after="160" w:line="288" w:lineRule="auto"/>
        <w:ind w:left="714" w:hanging="357"/>
      </w:pPr>
      <w:r w:rsidRPr="003B5D5E">
        <w:rPr>
          <w:b/>
        </w:rPr>
        <w:lastRenderedPageBreak/>
        <w:t>MDC assignment:</w:t>
      </w:r>
      <w:r w:rsidRPr="003B5D5E">
        <w:t xml:space="preserve"> </w:t>
      </w:r>
      <w:r>
        <w:t>E</w:t>
      </w:r>
      <w:r w:rsidRPr="003B5D5E">
        <w:t>pisodes are assigned to a Major Diagnostic Category (MDC) a</w:t>
      </w:r>
      <w:r>
        <w:t>ccording to principal diagnosis</w:t>
      </w:r>
      <w:r w:rsidRPr="003B5D5E">
        <w:t xml:space="preserve">. </w:t>
      </w:r>
    </w:p>
    <w:p w14:paraId="309BD793" w14:textId="77777777" w:rsidR="005C1B62" w:rsidRPr="003B5D5E" w:rsidRDefault="005C1B62" w:rsidP="00D65F7D">
      <w:pPr>
        <w:pStyle w:val="ListBullet"/>
        <w:spacing w:before="0" w:after="160" w:line="288" w:lineRule="auto"/>
        <w:ind w:left="714" w:hanging="357"/>
      </w:pPr>
      <w:r w:rsidRPr="003B5D5E">
        <w:rPr>
          <w:b/>
        </w:rPr>
        <w:t>Pre MDC processing:</w:t>
      </w:r>
      <w:r w:rsidRPr="003B5D5E">
        <w:t xml:space="preserve"> Episodes are assessed as to whether they meet Pre MDC criteria that identifies very </w:t>
      </w:r>
      <w:proofErr w:type="gramStart"/>
      <w:r w:rsidRPr="003B5D5E">
        <w:t>high cost</w:t>
      </w:r>
      <w:proofErr w:type="gramEnd"/>
      <w:r w:rsidRPr="003B5D5E">
        <w:t xml:space="preserve"> episodes and is driven by a specific intervention code that overrides the outcome of the principal diagnosis based MDC assignment. </w:t>
      </w:r>
    </w:p>
    <w:p w14:paraId="65A9DF78" w14:textId="77777777" w:rsidR="005C1B62" w:rsidRPr="003B5D5E" w:rsidRDefault="005C1B62" w:rsidP="00D65F7D">
      <w:pPr>
        <w:pStyle w:val="ListBullet"/>
        <w:spacing w:before="0" w:after="160" w:line="288" w:lineRule="auto"/>
        <w:ind w:left="714" w:hanging="357"/>
      </w:pPr>
      <w:r w:rsidRPr="003B5D5E">
        <w:rPr>
          <w:b/>
        </w:rPr>
        <w:t>ADRG assignment:</w:t>
      </w:r>
      <w:r w:rsidRPr="003B5D5E">
        <w:t xml:space="preserve"> Episodes are assigned to an ADRG mostly according to diagnosis and intervention codes. All MDCs have a hierarchical structure that separates the ADRGs into either the intervention or medical partition. </w:t>
      </w:r>
    </w:p>
    <w:p w14:paraId="40EED9DB" w14:textId="77777777" w:rsidR="005C1B62" w:rsidRPr="003B5D5E" w:rsidRDefault="005C1B62" w:rsidP="00D65F7D">
      <w:pPr>
        <w:pStyle w:val="ListBullet"/>
        <w:spacing w:before="0" w:after="160" w:line="288" w:lineRule="auto"/>
        <w:ind w:left="714" w:hanging="357"/>
      </w:pPr>
      <w:r w:rsidRPr="003B5D5E">
        <w:rPr>
          <w:b/>
        </w:rPr>
        <w:t>DRG assignment:</w:t>
      </w:r>
      <w:r w:rsidRPr="003B5D5E">
        <w:t xml:space="preserve"> </w:t>
      </w:r>
      <w:r>
        <w:t>E</w:t>
      </w:r>
      <w:r w:rsidRPr="003B5D5E">
        <w:t xml:space="preserve">pisodes are then assigned to </w:t>
      </w:r>
      <w:r>
        <w:t xml:space="preserve">a </w:t>
      </w:r>
      <w:r w:rsidRPr="003B5D5E">
        <w:t xml:space="preserve">DRG according to a complexity measure that quantifies relative levels of resource utilisation within each ADRG and is used to split ADRGs into different DRG levels </w:t>
      </w:r>
      <w:proofErr w:type="gramStart"/>
      <w:r w:rsidRPr="003B5D5E">
        <w:t>on the basis of</w:t>
      </w:r>
      <w:proofErr w:type="gramEnd"/>
      <w:r w:rsidRPr="003B5D5E">
        <w:t xml:space="preserve"> resource homogeneity.</w:t>
      </w:r>
    </w:p>
    <w:p w14:paraId="2628898A" w14:textId="77777777" w:rsidR="005C1B62" w:rsidRDefault="005C1B62" w:rsidP="005C1B62">
      <w:pPr>
        <w:pStyle w:val="Heading2"/>
      </w:pPr>
      <w:bookmarkStart w:id="18" w:name="_Episode_clinical_complexity"/>
      <w:bookmarkStart w:id="19" w:name="_Toc534875728"/>
      <w:bookmarkStart w:id="20" w:name="_Toc100328190"/>
      <w:bookmarkStart w:id="21" w:name="_Toc124656388"/>
      <w:bookmarkEnd w:id="18"/>
      <w:r>
        <w:t>Episode clinical complexity</w:t>
      </w:r>
      <w:bookmarkEnd w:id="19"/>
      <w:bookmarkEnd w:id="20"/>
      <w:bookmarkEnd w:id="21"/>
    </w:p>
    <w:p w14:paraId="7C314AF2" w14:textId="77777777" w:rsidR="005C1B62" w:rsidRPr="00C86A47" w:rsidRDefault="005C1B62" w:rsidP="000B5BC9">
      <w:bookmarkStart w:id="22" w:name="_Toc534873754"/>
      <w:bookmarkStart w:id="23" w:name="_Toc534874400"/>
      <w:bookmarkStart w:id="24" w:name="_Toc534875525"/>
      <w:bookmarkStart w:id="25" w:name="_Toc534875627"/>
      <w:bookmarkStart w:id="26" w:name="_Toc534875729"/>
      <w:bookmarkStart w:id="27" w:name="_Toc534875837"/>
      <w:bookmarkStart w:id="28" w:name="_Toc534875939"/>
      <w:bookmarkStart w:id="29" w:name="_Toc534954965"/>
      <w:bookmarkStart w:id="30" w:name="_Toc534955089"/>
      <w:bookmarkStart w:id="31" w:name="_Toc534955130"/>
      <w:bookmarkStart w:id="32" w:name="_Toc534955679"/>
      <w:bookmarkStart w:id="33" w:name="_Toc534955732"/>
      <w:bookmarkStart w:id="34" w:name="_Toc534955790"/>
      <w:bookmarkStart w:id="35" w:name="_Toc534955832"/>
      <w:bookmarkStart w:id="36" w:name="_Toc534955922"/>
      <w:bookmarkStart w:id="37" w:name="_Toc534965667"/>
      <w:bookmarkStart w:id="38" w:name="_Toc534633018"/>
      <w:bookmarkStart w:id="39" w:name="_Toc53487573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The AR-DRG classification has a measure in place to estimate the clinical complexity for an episode of care. The Episode Clinical Complexity (ECC) Model was introduced in AR-DRG Version 8.0 and uses ICD-10-AM codes to determine the clinical complexity of an episode</w:t>
      </w:r>
      <w:r w:rsidRPr="00A57C90">
        <w:t xml:space="preserve">. </w:t>
      </w:r>
      <w:r>
        <w:t>The ECC Model assigns an Episode Clinical Complexity Score (</w:t>
      </w:r>
      <w:r w:rsidRPr="00A57C90">
        <w:t>ECCS</w:t>
      </w:r>
      <w:r>
        <w:t>)</w:t>
      </w:r>
      <w:r w:rsidRPr="00A57C90">
        <w:t xml:space="preserve"> </w:t>
      </w:r>
      <w:r>
        <w:t xml:space="preserve">to each episode that </w:t>
      </w:r>
      <w:r w:rsidRPr="00A57C90">
        <w:t xml:space="preserve">quantifies relative levels of resource </w:t>
      </w:r>
      <w:proofErr w:type="spellStart"/>
      <w:r w:rsidRPr="00A57C90">
        <w:t>utilisation</w:t>
      </w:r>
      <w:proofErr w:type="spellEnd"/>
      <w:r w:rsidRPr="00A57C90">
        <w:t xml:space="preserve"> within each ADRG and is used to split ADRGs into different DRG levels </w:t>
      </w:r>
      <w:proofErr w:type="gramStart"/>
      <w:r w:rsidRPr="00A57C90">
        <w:t>on the basis of</w:t>
      </w:r>
      <w:proofErr w:type="gramEnd"/>
      <w:r w:rsidRPr="00A57C90">
        <w:t xml:space="preserve"> resource homogeneity.</w:t>
      </w:r>
      <w:r>
        <w:t xml:space="preserve"> </w:t>
      </w:r>
    </w:p>
    <w:p w14:paraId="0A1521A0" w14:textId="77777777" w:rsidR="005C1B62" w:rsidRDefault="005C1B62" w:rsidP="000B5BC9">
      <w:r w:rsidRPr="00B847BF">
        <w:t>The process of deriving an ECCS for each episode begins by assigning a Diagnosis Complexity Level (DCL) value to each diagnosis reported for the episode. DCLs are integers that quantify</w:t>
      </w:r>
      <w:r>
        <w:t xml:space="preserve"> the</w:t>
      </w:r>
      <w:r w:rsidRPr="00B847BF">
        <w:t xml:space="preserve"> levels of resource </w:t>
      </w:r>
      <w:proofErr w:type="spellStart"/>
      <w:r w:rsidRPr="00B847BF">
        <w:t>utilisation</w:t>
      </w:r>
      <w:proofErr w:type="spellEnd"/>
      <w:r w:rsidRPr="00B847BF">
        <w:t xml:space="preserve"> associated with each diagnosis, relative to levels within the ADRG to which the episode belongs. </w:t>
      </w:r>
      <w:r>
        <w:t xml:space="preserve">DCL </w:t>
      </w:r>
      <w:r w:rsidRPr="00B847BF">
        <w:t>values</w:t>
      </w:r>
      <w:r>
        <w:t xml:space="preserve"> are assigned to principal diagnosis and additional diagnosis codes and</w:t>
      </w:r>
      <w:r w:rsidRPr="00B847BF">
        <w:t xml:space="preserve"> range between </w:t>
      </w:r>
      <w:r>
        <w:t>zero</w:t>
      </w:r>
      <w:r w:rsidRPr="00B847BF">
        <w:t xml:space="preserve"> and </w:t>
      </w:r>
      <w:r>
        <w:t>five.</w:t>
      </w:r>
      <w:r w:rsidRPr="00B847BF">
        <w:t xml:space="preserve"> </w:t>
      </w:r>
    </w:p>
    <w:p w14:paraId="67B7A667" w14:textId="77777777" w:rsidR="005C1B62" w:rsidRDefault="005C1B62" w:rsidP="000B5BC9">
      <w:r>
        <w:t xml:space="preserve">It should be noted that DCLs measure relative resource </w:t>
      </w:r>
      <w:proofErr w:type="spellStart"/>
      <w:r>
        <w:t>utilisation</w:t>
      </w:r>
      <w:proofErr w:type="spellEnd"/>
      <w:r>
        <w:t xml:space="preserve"> within an ADRG. Therefore, a DCL of zero indicates that the diagnosis is not associated with higher resource </w:t>
      </w:r>
      <w:proofErr w:type="spellStart"/>
      <w:r>
        <w:t>utilisation</w:t>
      </w:r>
      <w:proofErr w:type="spellEnd"/>
      <w:r>
        <w:t xml:space="preserve"> relative to the average level of the ADRG and does not mean that the diagnosis is associated with nil resource use.</w:t>
      </w:r>
    </w:p>
    <w:p w14:paraId="0B77AEDD" w14:textId="77777777" w:rsidR="005C1B62" w:rsidRPr="00C86A47" w:rsidRDefault="005C1B62" w:rsidP="000B5BC9">
      <w:pPr>
        <w:rPr>
          <w:rStyle w:val="IntenseReference"/>
          <w:b w:val="0"/>
          <w:bCs w:val="0"/>
          <w:i/>
          <w:smallCaps w:val="0"/>
          <w:color w:val="auto"/>
        </w:rPr>
      </w:pPr>
      <w:r>
        <w:t>In AR-DRG V11.0 there are 11</w:t>
      </w:r>
      <w:r w:rsidRPr="00B847BF">
        <w:t>,</w:t>
      </w:r>
      <w:r>
        <w:t>065</w:t>
      </w:r>
      <w:r w:rsidRPr="00B847BF">
        <w:t xml:space="preserve"> </w:t>
      </w:r>
      <w:r>
        <w:t>ICD-10-AM</w:t>
      </w:r>
      <w:r w:rsidRPr="00B847BF">
        <w:t xml:space="preserve"> codes </w:t>
      </w:r>
      <w:r>
        <w:t xml:space="preserve">that are in-scope for receiving </w:t>
      </w:r>
      <w:r w:rsidRPr="00B847BF">
        <w:t>a DCL</w:t>
      </w:r>
      <w:r>
        <w:t xml:space="preserve">. </w:t>
      </w:r>
    </w:p>
    <w:p w14:paraId="097C07EA" w14:textId="77777777" w:rsidR="005C1B62" w:rsidRDefault="005C1B62" w:rsidP="000B5BC9">
      <w:r>
        <w:t>Where an ADRG is subdivided, or ‘split’, using a complexity measure, t</w:t>
      </w:r>
      <w:r w:rsidRPr="00B847BF">
        <w:t xml:space="preserve">he ECCS determines the DRG an episode of care is assigned to within an ADRG. </w:t>
      </w:r>
      <w:r>
        <w:t xml:space="preserve">Occasionally, an ADRG is split using other factors to determine the DRG such as separation mode, length of stay and age. </w:t>
      </w:r>
    </w:p>
    <w:p w14:paraId="76485540" w14:textId="77777777" w:rsidR="005C1B62" w:rsidRDefault="005C1B62" w:rsidP="000B5BC9">
      <w:r>
        <w:t xml:space="preserve">For example, an episode assigned to ADRG B70 </w:t>
      </w:r>
      <w:r w:rsidRPr="00E505BB">
        <w:rPr>
          <w:i/>
        </w:rPr>
        <w:t>Stroke and Other Cerebrovascular Disorders</w:t>
      </w:r>
      <w:r>
        <w:t xml:space="preserve"> would require an ECCS greater than or equal to 4.0 to be assigned to DRG B70A </w:t>
      </w:r>
      <w:r w:rsidRPr="002160BF">
        <w:rPr>
          <w:i/>
        </w:rPr>
        <w:t>Stroke and Other Cerebrovascular Disorders</w:t>
      </w:r>
      <w:r>
        <w:t xml:space="preserve">, </w:t>
      </w:r>
      <w:r w:rsidRPr="00FF4F54">
        <w:rPr>
          <w:i/>
        </w:rPr>
        <w:t>Major Complexity</w:t>
      </w:r>
      <w:r>
        <w:t xml:space="preserve"> in AR</w:t>
      </w:r>
      <w:r>
        <w:noBreakHyphen/>
        <w:t>DRG V11.0.</w:t>
      </w:r>
    </w:p>
    <w:p w14:paraId="4FFB6FC3" w14:textId="77777777" w:rsidR="005C1B62" w:rsidRDefault="005C1B62" w:rsidP="000B5BC9">
      <w:r>
        <w:t>DRGs ending in ‘A’ will be the costliest whereas DRGs ending in ‘D’ will be the least costly. For example:</w:t>
      </w:r>
    </w:p>
    <w:p w14:paraId="7BFB5AE3" w14:textId="77777777" w:rsidR="005C1B62" w:rsidRDefault="005C1B62" w:rsidP="00D65F7D">
      <w:pPr>
        <w:pStyle w:val="ListBullet"/>
        <w:spacing w:before="0" w:after="160" w:line="288" w:lineRule="auto"/>
        <w:ind w:left="714" w:hanging="357"/>
      </w:pPr>
      <w:r w:rsidRPr="00CB3805">
        <w:t>B70A</w:t>
      </w:r>
      <w:r>
        <w:t xml:space="preserve"> </w:t>
      </w:r>
      <w:r w:rsidRPr="00EE3626">
        <w:rPr>
          <w:i/>
        </w:rPr>
        <w:t>Stroke and Other Cerebrovascular Disorders, Major Complexity</w:t>
      </w:r>
    </w:p>
    <w:p w14:paraId="74DAA881" w14:textId="77777777" w:rsidR="005C1B62" w:rsidRDefault="005C1B62" w:rsidP="00D65F7D">
      <w:pPr>
        <w:pStyle w:val="ListBullet"/>
        <w:spacing w:before="0" w:after="160" w:line="288" w:lineRule="auto"/>
        <w:ind w:left="714" w:hanging="357"/>
      </w:pPr>
      <w:r>
        <w:t xml:space="preserve">B70B </w:t>
      </w:r>
      <w:r w:rsidRPr="00EE3626">
        <w:rPr>
          <w:i/>
        </w:rPr>
        <w:t>Stroke and Other Cerebrovascular Disorders, Intermediate Complexity</w:t>
      </w:r>
    </w:p>
    <w:p w14:paraId="037F4864" w14:textId="77777777" w:rsidR="005C1B62" w:rsidRDefault="005C1B62" w:rsidP="00D65F7D">
      <w:pPr>
        <w:pStyle w:val="ListBullet"/>
        <w:spacing w:before="0" w:after="160" w:line="288" w:lineRule="auto"/>
        <w:ind w:left="714" w:hanging="357"/>
      </w:pPr>
      <w:r>
        <w:lastRenderedPageBreak/>
        <w:t xml:space="preserve">B70C </w:t>
      </w:r>
      <w:r w:rsidRPr="00EE3626">
        <w:rPr>
          <w:i/>
        </w:rPr>
        <w:t>Stroke and Other Cerebrovascular Disorders, Minor Complexity</w:t>
      </w:r>
    </w:p>
    <w:p w14:paraId="4508CA9E" w14:textId="77777777" w:rsidR="005C1B62" w:rsidRDefault="005C1B62" w:rsidP="00D65F7D">
      <w:pPr>
        <w:pStyle w:val="ListBullet"/>
        <w:spacing w:before="0" w:after="160" w:line="288" w:lineRule="auto"/>
        <w:ind w:left="714" w:hanging="357"/>
      </w:pPr>
      <w:r>
        <w:t xml:space="preserve">B70D </w:t>
      </w:r>
      <w:r w:rsidRPr="00EE3626">
        <w:rPr>
          <w:i/>
        </w:rPr>
        <w:t>Stroke and Other Cerebrovascular Disorders, Transferred &lt; 5 Days</w:t>
      </w:r>
      <w:r>
        <w:t>.</w:t>
      </w:r>
    </w:p>
    <w:p w14:paraId="7D51E244" w14:textId="77777777" w:rsidR="005C1B62" w:rsidRDefault="005C1B62" w:rsidP="000B5BC9">
      <w:r>
        <w:t xml:space="preserve">Refer to the </w:t>
      </w:r>
      <w:r w:rsidRPr="00E505BB">
        <w:rPr>
          <w:i/>
        </w:rPr>
        <w:t>AR-DRG V11.0 Definitions Manual</w:t>
      </w:r>
      <w:r>
        <w:t xml:space="preserve"> for ECCS boundaries of ADRGs and the </w:t>
      </w:r>
      <w:r>
        <w:br/>
      </w:r>
      <w:r w:rsidRPr="00587C9B">
        <w:rPr>
          <w:i/>
        </w:rPr>
        <w:t>AR-DRG V11.0 Technical Specifications</w:t>
      </w:r>
      <w:r>
        <w:t xml:space="preserve"> for further information regarding the ECC Model and ECCS derivations.</w:t>
      </w:r>
    </w:p>
    <w:p w14:paraId="496246DC" w14:textId="77777777" w:rsidR="005C1B62" w:rsidRDefault="005C1B62" w:rsidP="005C1B62">
      <w:pPr>
        <w:pStyle w:val="Heading2"/>
      </w:pPr>
      <w:bookmarkStart w:id="40" w:name="_Toc92206464"/>
      <w:bookmarkStart w:id="41" w:name="_Toc92206465"/>
      <w:bookmarkStart w:id="42" w:name="_Toc92206466"/>
      <w:bookmarkStart w:id="43" w:name="_Toc92206467"/>
      <w:bookmarkStart w:id="44" w:name="_Toc92206468"/>
      <w:bookmarkStart w:id="45" w:name="_Toc92206469"/>
      <w:bookmarkStart w:id="46" w:name="_Toc92206470"/>
      <w:bookmarkStart w:id="47" w:name="_Toc92206471"/>
      <w:bookmarkStart w:id="48" w:name="_Toc100328191"/>
      <w:bookmarkStart w:id="49" w:name="_Toc124656389"/>
      <w:bookmarkEnd w:id="38"/>
      <w:bookmarkEnd w:id="39"/>
      <w:bookmarkEnd w:id="40"/>
      <w:bookmarkEnd w:id="41"/>
      <w:bookmarkEnd w:id="42"/>
      <w:bookmarkEnd w:id="43"/>
      <w:bookmarkEnd w:id="44"/>
      <w:bookmarkEnd w:id="45"/>
      <w:bookmarkEnd w:id="46"/>
      <w:bookmarkEnd w:id="47"/>
      <w:r>
        <w:t>Additional resources for AR-DRG V11.0</w:t>
      </w:r>
      <w:bookmarkEnd w:id="48"/>
      <w:bookmarkEnd w:id="49"/>
    </w:p>
    <w:p w14:paraId="5A453F03" w14:textId="77777777" w:rsidR="005C1B62" w:rsidRDefault="005C1B62" w:rsidP="000B5BC9">
      <w:r>
        <w:t xml:space="preserve">In addition to the </w:t>
      </w:r>
      <w:r w:rsidRPr="005A68B7">
        <w:rPr>
          <w:i/>
        </w:rPr>
        <w:t>AR-DRG V11.0 Final Report</w:t>
      </w:r>
      <w:r>
        <w:t xml:space="preserve"> other resources have been developed to support the use and implementation of AR-DRG V11.0. </w:t>
      </w:r>
    </w:p>
    <w:p w14:paraId="2D8F2ECE" w14:textId="77777777" w:rsidR="005C1B62" w:rsidRDefault="005C1B62" w:rsidP="005C1B62">
      <w:pPr>
        <w:pStyle w:val="Heading3"/>
      </w:pPr>
      <w:bookmarkStart w:id="50" w:name="_Toc124656390"/>
      <w:r>
        <w:t>AR-DRG V11.0 Technical Specifications</w:t>
      </w:r>
      <w:bookmarkEnd w:id="50"/>
    </w:p>
    <w:p w14:paraId="69037112" w14:textId="77777777" w:rsidR="005C1B62" w:rsidRDefault="005C1B62" w:rsidP="000B5BC9">
      <w:r>
        <w:t xml:space="preserve">This document accompanies the </w:t>
      </w:r>
      <w:r w:rsidRPr="005A68B7">
        <w:rPr>
          <w:i/>
        </w:rPr>
        <w:t>AR-DRG V11.0 Final Report</w:t>
      </w:r>
      <w:r>
        <w:t xml:space="preserve">. It provides the methodology and technical specifications used in developing AR-DRG V11.0 including: </w:t>
      </w:r>
    </w:p>
    <w:p w14:paraId="4415B062" w14:textId="77777777" w:rsidR="005C1B62" w:rsidRPr="00C66180" w:rsidRDefault="005C1B62" w:rsidP="00D65F7D">
      <w:pPr>
        <w:pStyle w:val="ListParagraph"/>
        <w:numPr>
          <w:ilvl w:val="0"/>
          <w:numId w:val="11"/>
        </w:numPr>
        <w:ind w:left="714" w:hanging="357"/>
        <w:contextualSpacing w:val="0"/>
      </w:pPr>
      <w:r w:rsidRPr="008D15FF">
        <w:t>da</w:t>
      </w:r>
      <w:r w:rsidRPr="00C66180">
        <w:t>ta preparation and modification</w:t>
      </w:r>
    </w:p>
    <w:p w14:paraId="0F1C6836" w14:textId="77777777" w:rsidR="005C1B62" w:rsidRPr="00CB3805" w:rsidRDefault="005C1B62" w:rsidP="00D65F7D">
      <w:pPr>
        <w:pStyle w:val="ListParagraph"/>
        <w:numPr>
          <w:ilvl w:val="0"/>
          <w:numId w:val="11"/>
        </w:numPr>
        <w:ind w:left="714" w:hanging="357"/>
        <w:contextualSpacing w:val="0"/>
      </w:pPr>
      <w:r w:rsidRPr="00CB3805">
        <w:t>ADRG intervention hierarchy review</w:t>
      </w:r>
    </w:p>
    <w:p w14:paraId="4FD69378" w14:textId="77777777" w:rsidR="005C1B62" w:rsidRPr="00CB3805" w:rsidRDefault="005C1B62" w:rsidP="00D65F7D">
      <w:pPr>
        <w:pStyle w:val="ListParagraph"/>
        <w:numPr>
          <w:ilvl w:val="0"/>
          <w:numId w:val="11"/>
        </w:numPr>
        <w:ind w:left="714" w:hanging="357"/>
        <w:contextualSpacing w:val="0"/>
      </w:pPr>
      <w:r w:rsidRPr="00CB3805">
        <w:t>derivation of the ECCS</w:t>
      </w:r>
    </w:p>
    <w:p w14:paraId="75E430BE" w14:textId="77777777" w:rsidR="005C1B62" w:rsidRPr="00CB3805" w:rsidRDefault="005C1B62" w:rsidP="00D65F7D">
      <w:pPr>
        <w:pStyle w:val="ListParagraph"/>
        <w:numPr>
          <w:ilvl w:val="0"/>
          <w:numId w:val="11"/>
        </w:numPr>
        <w:ind w:left="714" w:hanging="357"/>
        <w:contextualSpacing w:val="0"/>
      </w:pPr>
      <w:r w:rsidRPr="00CB3805">
        <w:t>ADRG splitting review.</w:t>
      </w:r>
    </w:p>
    <w:p w14:paraId="4E2ED42C" w14:textId="77777777" w:rsidR="005C1B62" w:rsidRDefault="005C1B62" w:rsidP="005C1B62">
      <w:pPr>
        <w:pStyle w:val="Heading3"/>
      </w:pPr>
      <w:bookmarkStart w:id="51" w:name="_Toc124656391"/>
      <w:r>
        <w:t>AR-DRG V11.0 Definitions Manual</w:t>
      </w:r>
      <w:bookmarkEnd w:id="51"/>
    </w:p>
    <w:p w14:paraId="758E6C3B" w14:textId="77777777" w:rsidR="005C1B62" w:rsidRDefault="005C1B62" w:rsidP="000B5BC9">
      <w:r>
        <w:t xml:space="preserve">The </w:t>
      </w:r>
      <w:r w:rsidRPr="005A68B7">
        <w:rPr>
          <w:i/>
        </w:rPr>
        <w:t>AR-DRG Definitions Manual</w:t>
      </w:r>
      <w:r>
        <w:t xml:space="preserve"> is a set of reference documents that details the definition logic for the DRG process performed by the grouper. The manual provides documentation of how particular episodes of care group to DRGs. </w:t>
      </w:r>
    </w:p>
    <w:p w14:paraId="73DB01E0" w14:textId="776DAA7F" w:rsidR="005C1B62" w:rsidRDefault="005C1B62" w:rsidP="000B5BC9">
      <w:r>
        <w:t xml:space="preserve">While the manual assists with the identification of likely DRG assignments for individual episodes, they are not a substitute for the grouping software that is provided by various vendors under </w:t>
      </w:r>
      <w:proofErr w:type="spellStart"/>
      <w:r>
        <w:t>licence</w:t>
      </w:r>
      <w:proofErr w:type="spellEnd"/>
      <w:r>
        <w:t xml:space="preserve"> from</w:t>
      </w:r>
      <w:r w:rsidR="00182054">
        <w:t xml:space="preserve"> </w:t>
      </w:r>
      <w:r w:rsidR="0097703B">
        <w:t>IHACPA</w:t>
      </w:r>
      <w:r>
        <w:t>.</w:t>
      </w:r>
    </w:p>
    <w:p w14:paraId="33E3E4B0" w14:textId="77777777" w:rsidR="005C1B62" w:rsidRDefault="005C1B62" w:rsidP="005C1B62">
      <w:pPr>
        <w:pStyle w:val="Heading3"/>
      </w:pPr>
      <w:bookmarkStart w:id="52" w:name="_Toc124656392"/>
      <w:r>
        <w:t>AR-DRG Descriptions File</w:t>
      </w:r>
      <w:bookmarkEnd w:id="52"/>
    </w:p>
    <w:p w14:paraId="48C90695" w14:textId="4532CE63" w:rsidR="005C1B62" w:rsidRDefault="005C1B62" w:rsidP="000B5BC9">
      <w:r w:rsidRPr="003A23E5">
        <w:t xml:space="preserve">The </w:t>
      </w:r>
      <w:r w:rsidRPr="005A68B7">
        <w:rPr>
          <w:i/>
        </w:rPr>
        <w:t>AR-DRG V11.0 Descriptions</w:t>
      </w:r>
      <w:r w:rsidRPr="00363DA7">
        <w:t xml:space="preserve"> </w:t>
      </w:r>
      <w:r w:rsidRPr="003A23E5">
        <w:t xml:space="preserve">can be found </w:t>
      </w:r>
      <w:r>
        <w:t>on the</w:t>
      </w:r>
      <w:r w:rsidRPr="003A23E5">
        <w:t xml:space="preserve"> </w:t>
      </w:r>
      <w:r w:rsidR="0097703B">
        <w:t xml:space="preserve">IHACPA </w:t>
      </w:r>
      <w:r w:rsidRPr="003A23E5">
        <w:t>website.</w:t>
      </w:r>
      <w:r>
        <w:t xml:space="preserve"> This includes a full listing of long and short descriptions for MDCs, ADRGs and DRGs.</w:t>
      </w:r>
    </w:p>
    <w:p w14:paraId="630E6961" w14:textId="77777777" w:rsidR="005C1B62" w:rsidRDefault="005C1B62" w:rsidP="005C1B62">
      <w:pPr>
        <w:pStyle w:val="Heading3"/>
      </w:pPr>
      <w:bookmarkStart w:id="53" w:name="_Toc124656393"/>
      <w:r>
        <w:t>ICD-10-AM/ACHI/ACS Twelfth Edition</w:t>
      </w:r>
      <w:bookmarkEnd w:id="53"/>
    </w:p>
    <w:p w14:paraId="3AED939E" w14:textId="77777777" w:rsidR="005C1B62" w:rsidRDefault="005C1B62" w:rsidP="000B5BC9">
      <w:r>
        <w:t>AR-DRG V11.0 is underpinned by ICD-10-AM/ACHI/ACS Twelfth Edition.</w:t>
      </w:r>
    </w:p>
    <w:p w14:paraId="39A86657" w14:textId="77777777" w:rsidR="00970318" w:rsidRDefault="00970318" w:rsidP="00DB161C">
      <w:pPr>
        <w:sectPr w:rsidR="00970318" w:rsidSect="00C5503B">
          <w:pgSz w:w="11906" w:h="16838" w:code="9"/>
          <w:pgMar w:top="1440" w:right="1080" w:bottom="1440" w:left="1080" w:header="708" w:footer="708" w:gutter="0"/>
          <w:cols w:space="708"/>
          <w:docGrid w:linePitch="360"/>
        </w:sectPr>
      </w:pPr>
    </w:p>
    <w:p w14:paraId="50165607" w14:textId="77777777" w:rsidR="00F057B2" w:rsidRPr="00510679" w:rsidRDefault="00F057B2" w:rsidP="007D4F6F">
      <w:pPr>
        <w:pStyle w:val="Heading1"/>
        <w:spacing w:after="1080" w:line="240" w:lineRule="auto"/>
        <w:ind w:left="567" w:hanging="567"/>
        <w:contextualSpacing/>
      </w:pPr>
      <w:bookmarkStart w:id="54" w:name="_Toc100328192"/>
      <w:bookmarkStart w:id="55" w:name="_Toc124656394"/>
      <w:r w:rsidRPr="00510679">
        <w:lastRenderedPageBreak/>
        <w:t xml:space="preserve">Development </w:t>
      </w:r>
      <w:r>
        <w:t>process</w:t>
      </w:r>
      <w:bookmarkEnd w:id="54"/>
      <w:bookmarkEnd w:id="55"/>
    </w:p>
    <w:p w14:paraId="03EF2BF4" w14:textId="77777777" w:rsidR="00F057B2" w:rsidRDefault="00F057B2" w:rsidP="00F057B2">
      <w:pPr>
        <w:pStyle w:val="Heading2"/>
        <w:spacing w:before="360" w:after="120" w:line="260" w:lineRule="atLeast"/>
        <w:contextualSpacing/>
      </w:pPr>
      <w:bookmarkStart w:id="56" w:name="_Toc100328193"/>
      <w:bookmarkStart w:id="57" w:name="_Toc124656395"/>
      <w:r>
        <w:t xml:space="preserve">Review of the classification development </w:t>
      </w:r>
      <w:r w:rsidRPr="00310AFE">
        <w:t>cycle</w:t>
      </w:r>
      <w:r>
        <w:t xml:space="preserve"> and processes</w:t>
      </w:r>
      <w:bookmarkEnd w:id="56"/>
      <w:bookmarkEnd w:id="57"/>
    </w:p>
    <w:p w14:paraId="0975F3AE" w14:textId="16DDDC27" w:rsidR="00F057B2" w:rsidRDefault="00F057B2" w:rsidP="00D65F7D">
      <w:pPr>
        <w:pStyle w:val="Default"/>
        <w:spacing w:after="160" w:line="288" w:lineRule="auto"/>
        <w:rPr>
          <w:sz w:val="22"/>
          <w:szCs w:val="22"/>
        </w:rPr>
      </w:pPr>
      <w:r>
        <w:rPr>
          <w:sz w:val="22"/>
          <w:szCs w:val="22"/>
        </w:rPr>
        <w:t xml:space="preserve">In August 2019, </w:t>
      </w:r>
      <w:r w:rsidR="00A94554">
        <w:rPr>
          <w:sz w:val="22"/>
          <w:szCs w:val="22"/>
        </w:rPr>
        <w:t xml:space="preserve">IHACPA </w:t>
      </w:r>
      <w:r>
        <w:rPr>
          <w:sz w:val="22"/>
          <w:szCs w:val="22"/>
        </w:rPr>
        <w:t xml:space="preserve">commissioned a review to evaluate the end-to-end processes of the development cycle for the acute care classifications. The key findings of this review have since been published in </w:t>
      </w:r>
      <w:r w:rsidR="00A94554">
        <w:rPr>
          <w:sz w:val="22"/>
          <w:szCs w:val="22"/>
        </w:rPr>
        <w:t xml:space="preserve">IHACPA’s </w:t>
      </w:r>
      <w:r>
        <w:rPr>
          <w:i/>
          <w:iCs/>
          <w:sz w:val="22"/>
          <w:szCs w:val="22"/>
        </w:rPr>
        <w:t>Consultation and review of the AR-DRG and ICD-10-AM/ACHI/ACS classification systems</w:t>
      </w:r>
      <w:r>
        <w:rPr>
          <w:rStyle w:val="FootnoteReference"/>
          <w:rFonts w:eastAsiaTheme="majorEastAsia"/>
          <w:i/>
          <w:sz w:val="22"/>
          <w:szCs w:val="22"/>
        </w:rPr>
        <w:footnoteReference w:id="1"/>
      </w:r>
      <w:r>
        <w:rPr>
          <w:i/>
          <w:iCs/>
          <w:sz w:val="22"/>
          <w:szCs w:val="22"/>
        </w:rPr>
        <w:t xml:space="preserve"> </w:t>
      </w:r>
      <w:r>
        <w:rPr>
          <w:sz w:val="22"/>
          <w:szCs w:val="22"/>
        </w:rPr>
        <w:t>and feedback was obtained from the key clinical and technical groups involved in the development of the classifications, along with other jurisdictional representatives and stakeholders who use the classifications.</w:t>
      </w:r>
    </w:p>
    <w:p w14:paraId="0D120AFE" w14:textId="77777777" w:rsidR="00F057B2" w:rsidRDefault="00F057B2" w:rsidP="00D65F7D">
      <w:pPr>
        <w:pStyle w:val="Default"/>
        <w:spacing w:after="160" w:line="288" w:lineRule="auto"/>
        <w:rPr>
          <w:sz w:val="22"/>
          <w:szCs w:val="22"/>
        </w:rPr>
      </w:pPr>
      <w:r>
        <w:rPr>
          <w:sz w:val="22"/>
          <w:szCs w:val="22"/>
        </w:rPr>
        <w:t xml:space="preserve">The review identified that while the classification development cycle was generally functioning adequately, it highlighted four key opportunities for improvement that would provide the most benefit to the health care system and stakeholders that use the classifications: </w:t>
      </w:r>
    </w:p>
    <w:p w14:paraId="083C6F45" w14:textId="77777777" w:rsidR="00F057B2" w:rsidRDefault="00F057B2" w:rsidP="00D65F7D">
      <w:pPr>
        <w:pStyle w:val="Default"/>
        <w:numPr>
          <w:ilvl w:val="0"/>
          <w:numId w:val="16"/>
        </w:numPr>
        <w:spacing w:after="160" w:line="288" w:lineRule="auto"/>
        <w:ind w:left="714" w:hanging="357"/>
        <w:rPr>
          <w:sz w:val="22"/>
          <w:szCs w:val="22"/>
        </w:rPr>
      </w:pPr>
      <w:r>
        <w:rPr>
          <w:sz w:val="22"/>
          <w:szCs w:val="22"/>
        </w:rPr>
        <w:t>extending the development cycle timing</w:t>
      </w:r>
    </w:p>
    <w:p w14:paraId="11855800" w14:textId="77777777" w:rsidR="00F057B2" w:rsidRDefault="00F057B2" w:rsidP="00D65F7D">
      <w:pPr>
        <w:pStyle w:val="Default"/>
        <w:numPr>
          <w:ilvl w:val="0"/>
          <w:numId w:val="16"/>
        </w:numPr>
        <w:spacing w:after="160" w:line="288" w:lineRule="auto"/>
        <w:ind w:left="714" w:hanging="357"/>
        <w:rPr>
          <w:sz w:val="22"/>
          <w:szCs w:val="22"/>
        </w:rPr>
      </w:pPr>
      <w:r>
        <w:rPr>
          <w:sz w:val="22"/>
          <w:szCs w:val="22"/>
        </w:rPr>
        <w:t>embedding a principles-based approach to classification development</w:t>
      </w:r>
    </w:p>
    <w:p w14:paraId="438DB8BD" w14:textId="77777777" w:rsidR="00F057B2" w:rsidRDefault="00F057B2" w:rsidP="00D65F7D">
      <w:pPr>
        <w:pStyle w:val="Default"/>
        <w:numPr>
          <w:ilvl w:val="0"/>
          <w:numId w:val="16"/>
        </w:numPr>
        <w:spacing w:after="160" w:line="288" w:lineRule="auto"/>
        <w:ind w:left="714" w:hanging="357"/>
        <w:rPr>
          <w:sz w:val="22"/>
          <w:szCs w:val="22"/>
        </w:rPr>
      </w:pPr>
      <w:r>
        <w:rPr>
          <w:sz w:val="22"/>
          <w:szCs w:val="22"/>
        </w:rPr>
        <w:t>streamlining clinical and technical input to the classifications</w:t>
      </w:r>
    </w:p>
    <w:p w14:paraId="2EF5021A" w14:textId="77777777" w:rsidR="00F057B2" w:rsidRDefault="00F057B2" w:rsidP="00D65F7D">
      <w:pPr>
        <w:pStyle w:val="Default"/>
        <w:numPr>
          <w:ilvl w:val="0"/>
          <w:numId w:val="16"/>
        </w:numPr>
        <w:spacing w:after="160" w:line="288" w:lineRule="auto"/>
        <w:ind w:left="714" w:hanging="357"/>
        <w:rPr>
          <w:sz w:val="22"/>
          <w:szCs w:val="22"/>
        </w:rPr>
      </w:pPr>
      <w:r>
        <w:rPr>
          <w:sz w:val="22"/>
          <w:szCs w:val="22"/>
        </w:rPr>
        <w:t xml:space="preserve">enhancing education materials and other materials to support implementation. </w:t>
      </w:r>
    </w:p>
    <w:p w14:paraId="085E7850" w14:textId="58537C23" w:rsidR="00F057B2" w:rsidRDefault="00F057B2" w:rsidP="00D65F7D">
      <w:pPr>
        <w:pStyle w:val="Default"/>
        <w:spacing w:after="160" w:line="288" w:lineRule="auto"/>
        <w:rPr>
          <w:sz w:val="22"/>
          <w:szCs w:val="22"/>
        </w:rPr>
      </w:pPr>
      <w:r>
        <w:rPr>
          <w:sz w:val="22"/>
          <w:szCs w:val="22"/>
        </w:rPr>
        <w:t xml:space="preserve">In response to the opportunities identified in the review, </w:t>
      </w:r>
      <w:r w:rsidR="00A94554">
        <w:rPr>
          <w:sz w:val="22"/>
          <w:szCs w:val="22"/>
        </w:rPr>
        <w:t xml:space="preserve">IHACPA </w:t>
      </w:r>
      <w:r>
        <w:rPr>
          <w:sz w:val="22"/>
          <w:szCs w:val="22"/>
        </w:rPr>
        <w:t xml:space="preserve">has since: </w:t>
      </w:r>
    </w:p>
    <w:p w14:paraId="2B3A58E0" w14:textId="77777777" w:rsidR="00F057B2" w:rsidRDefault="00F057B2" w:rsidP="00D65F7D">
      <w:pPr>
        <w:pStyle w:val="Default"/>
        <w:numPr>
          <w:ilvl w:val="0"/>
          <w:numId w:val="17"/>
        </w:numPr>
        <w:spacing w:after="160" w:line="288" w:lineRule="auto"/>
        <w:ind w:left="709" w:hanging="357"/>
        <w:rPr>
          <w:sz w:val="22"/>
          <w:szCs w:val="22"/>
        </w:rPr>
      </w:pPr>
      <w:r>
        <w:rPr>
          <w:sz w:val="22"/>
          <w:szCs w:val="22"/>
        </w:rPr>
        <w:t xml:space="preserve">extended the development cycle from two to three years to balance currency against the need for stability and to reduce the burden of implementation for stakeholders, </w:t>
      </w:r>
    </w:p>
    <w:p w14:paraId="78704B9C" w14:textId="77777777" w:rsidR="00F057B2" w:rsidRDefault="00F057B2" w:rsidP="00D65F7D">
      <w:pPr>
        <w:pStyle w:val="Default"/>
        <w:numPr>
          <w:ilvl w:val="0"/>
          <w:numId w:val="17"/>
        </w:numPr>
        <w:spacing w:after="160" w:line="288" w:lineRule="auto"/>
        <w:ind w:left="709" w:hanging="357"/>
        <w:rPr>
          <w:sz w:val="22"/>
          <w:szCs w:val="22"/>
        </w:rPr>
      </w:pPr>
      <w:r>
        <w:rPr>
          <w:sz w:val="22"/>
          <w:szCs w:val="22"/>
        </w:rPr>
        <w:t xml:space="preserve">published the </w:t>
      </w:r>
      <w:r>
        <w:rPr>
          <w:i/>
          <w:iCs/>
          <w:sz w:val="22"/>
          <w:szCs w:val="22"/>
        </w:rPr>
        <w:t>Governance framework for the development of the admitted care classifications</w:t>
      </w:r>
      <w:r>
        <w:rPr>
          <w:rStyle w:val="FootnoteReference"/>
          <w:rFonts w:eastAsiaTheme="majorEastAsia"/>
          <w:i/>
          <w:sz w:val="22"/>
          <w:szCs w:val="22"/>
        </w:rPr>
        <w:footnoteReference w:id="2"/>
      </w:r>
      <w:r>
        <w:rPr>
          <w:i/>
          <w:iCs/>
          <w:sz w:val="22"/>
          <w:szCs w:val="22"/>
        </w:rPr>
        <w:t xml:space="preserve"> </w:t>
      </w:r>
      <w:r>
        <w:rPr>
          <w:sz w:val="22"/>
          <w:szCs w:val="22"/>
        </w:rPr>
        <w:t xml:space="preserve">that outlines the principles used to guide the classification development cycle to ensure the classifications are responsive to the needs of the Australian healthcare system, </w:t>
      </w:r>
    </w:p>
    <w:p w14:paraId="07118F65" w14:textId="77777777" w:rsidR="00F057B2" w:rsidRDefault="00F057B2" w:rsidP="00D65F7D">
      <w:pPr>
        <w:pStyle w:val="Default"/>
        <w:numPr>
          <w:ilvl w:val="0"/>
          <w:numId w:val="17"/>
        </w:numPr>
        <w:spacing w:after="160" w:line="288" w:lineRule="auto"/>
        <w:ind w:left="709" w:hanging="357"/>
      </w:pPr>
      <w:r>
        <w:rPr>
          <w:sz w:val="22"/>
          <w:szCs w:val="22"/>
        </w:rPr>
        <w:t xml:space="preserve">explored options to enhance education for the next edition/version of the admitted care classification by developing an engaging, </w:t>
      </w:r>
      <w:proofErr w:type="gramStart"/>
      <w:r>
        <w:rPr>
          <w:sz w:val="22"/>
          <w:szCs w:val="22"/>
        </w:rPr>
        <w:t>interactive</w:t>
      </w:r>
      <w:proofErr w:type="gramEnd"/>
      <w:r>
        <w:rPr>
          <w:sz w:val="22"/>
          <w:szCs w:val="22"/>
        </w:rPr>
        <w:t xml:space="preserve"> and responsive educational program that has the broadest reach and principally supports the needs of the health information workforce and other users of the classifications.</w:t>
      </w:r>
    </w:p>
    <w:p w14:paraId="47B6C293" w14:textId="77777777" w:rsidR="00F057B2" w:rsidRDefault="00F057B2" w:rsidP="00B94226">
      <w:pPr>
        <w:pStyle w:val="Heading2"/>
        <w:spacing w:before="360" w:after="120" w:line="260" w:lineRule="atLeast"/>
        <w:ind w:left="578" w:hanging="578"/>
        <w:contextualSpacing/>
      </w:pPr>
      <w:bookmarkStart w:id="58" w:name="_Toc100328194"/>
      <w:bookmarkStart w:id="59" w:name="_Toc124656396"/>
      <w:r>
        <w:lastRenderedPageBreak/>
        <w:t>Development of work program</w:t>
      </w:r>
      <w:bookmarkEnd w:id="58"/>
      <w:bookmarkEnd w:id="59"/>
    </w:p>
    <w:p w14:paraId="495353AC" w14:textId="15CE3EDB" w:rsidR="00F057B2" w:rsidRPr="00142414" w:rsidRDefault="00F057B2" w:rsidP="00D65F7D">
      <w:pPr>
        <w:pStyle w:val="Default"/>
        <w:spacing w:after="160" w:line="288" w:lineRule="auto"/>
        <w:rPr>
          <w:sz w:val="22"/>
          <w:szCs w:val="22"/>
        </w:rPr>
      </w:pPr>
      <w:r w:rsidRPr="00142414">
        <w:rPr>
          <w:sz w:val="22"/>
          <w:szCs w:val="22"/>
        </w:rPr>
        <w:t xml:space="preserve">In September 2019, </w:t>
      </w:r>
      <w:r w:rsidR="00A94554">
        <w:rPr>
          <w:sz w:val="22"/>
          <w:szCs w:val="22"/>
        </w:rPr>
        <w:t xml:space="preserve">IHACPA </w:t>
      </w:r>
      <w:r w:rsidRPr="00142414">
        <w:rPr>
          <w:sz w:val="22"/>
          <w:szCs w:val="22"/>
        </w:rPr>
        <w:t>drafted</w:t>
      </w:r>
      <w:r>
        <w:rPr>
          <w:sz w:val="22"/>
          <w:szCs w:val="22"/>
        </w:rPr>
        <w:t xml:space="preserve"> a</w:t>
      </w:r>
      <w:r w:rsidRPr="00142414">
        <w:rPr>
          <w:sz w:val="22"/>
          <w:szCs w:val="22"/>
        </w:rPr>
        <w:t xml:space="preserve"> work program outlining development priorities for AR-DRG V11.0. </w:t>
      </w:r>
      <w:r>
        <w:rPr>
          <w:sz w:val="22"/>
          <w:szCs w:val="22"/>
        </w:rPr>
        <w:t>S</w:t>
      </w:r>
      <w:r w:rsidRPr="00142414">
        <w:rPr>
          <w:sz w:val="22"/>
          <w:szCs w:val="22"/>
        </w:rPr>
        <w:t>takeholder views on priorities were sought and informed the</w:t>
      </w:r>
      <w:r>
        <w:rPr>
          <w:sz w:val="22"/>
          <w:szCs w:val="22"/>
        </w:rPr>
        <w:t xml:space="preserve"> final</w:t>
      </w:r>
      <w:r w:rsidRPr="00142414">
        <w:rPr>
          <w:sz w:val="22"/>
          <w:szCs w:val="22"/>
        </w:rPr>
        <w:t xml:space="preserve"> work program </w:t>
      </w:r>
      <w:r>
        <w:rPr>
          <w:sz w:val="22"/>
          <w:szCs w:val="22"/>
        </w:rPr>
        <w:t>that</w:t>
      </w:r>
      <w:r w:rsidRPr="00142414">
        <w:rPr>
          <w:sz w:val="22"/>
          <w:szCs w:val="22"/>
        </w:rPr>
        <w:t xml:space="preserve"> </w:t>
      </w:r>
      <w:r>
        <w:rPr>
          <w:sz w:val="22"/>
          <w:szCs w:val="22"/>
        </w:rPr>
        <w:t>was sourced from</w:t>
      </w:r>
      <w:r w:rsidRPr="00142414">
        <w:rPr>
          <w:sz w:val="22"/>
          <w:szCs w:val="22"/>
        </w:rPr>
        <w:t xml:space="preserve">: </w:t>
      </w:r>
    </w:p>
    <w:p w14:paraId="1CBDD842" w14:textId="244E1FDE" w:rsidR="00F057B2" w:rsidRPr="00AB2EE4" w:rsidRDefault="00F057B2" w:rsidP="00D65F7D">
      <w:pPr>
        <w:pStyle w:val="Default"/>
        <w:numPr>
          <w:ilvl w:val="0"/>
          <w:numId w:val="17"/>
        </w:numPr>
        <w:spacing w:after="160" w:line="288" w:lineRule="auto"/>
        <w:ind w:left="709" w:hanging="357"/>
        <w:rPr>
          <w:sz w:val="22"/>
          <w:szCs w:val="22"/>
        </w:rPr>
      </w:pPr>
      <w:r w:rsidRPr="009D1510">
        <w:rPr>
          <w:sz w:val="22"/>
          <w:szCs w:val="22"/>
        </w:rPr>
        <w:t xml:space="preserve">feedback received from stakeholders on consultations to </w:t>
      </w:r>
      <w:r w:rsidR="00A94554">
        <w:rPr>
          <w:sz w:val="22"/>
          <w:szCs w:val="22"/>
        </w:rPr>
        <w:t xml:space="preserve">IHACPA’s </w:t>
      </w:r>
      <w:r w:rsidRPr="00A94554">
        <w:rPr>
          <w:sz w:val="22"/>
          <w:szCs w:val="22"/>
        </w:rPr>
        <w:t xml:space="preserve">annual Pricing Framework for Australian Public Hospital Services </w:t>
      </w:r>
    </w:p>
    <w:p w14:paraId="3A1E2F99"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 xml:space="preserve">areas identified through public submissions </w:t>
      </w:r>
    </w:p>
    <w:p w14:paraId="3314CF55"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 xml:space="preserve">issues held over from previous editions of ICD-10-AM/ACHI/ACS and </w:t>
      </w:r>
      <w:r w:rsidRPr="009D1510">
        <w:rPr>
          <w:sz w:val="22"/>
          <w:szCs w:val="22"/>
        </w:rPr>
        <w:br/>
        <w:t xml:space="preserve">AR-DRG V10.0 development </w:t>
      </w:r>
    </w:p>
    <w:p w14:paraId="4062C60C"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issues referred from ICD-10-AM/ACHI/ACS development.</w:t>
      </w:r>
    </w:p>
    <w:p w14:paraId="28548FDB" w14:textId="77777777" w:rsidR="00F057B2" w:rsidRPr="0029332B" w:rsidRDefault="00F057B2" w:rsidP="00D65F7D">
      <w:pPr>
        <w:pStyle w:val="Default"/>
        <w:spacing w:after="160" w:line="288" w:lineRule="auto"/>
        <w:rPr>
          <w:sz w:val="22"/>
          <w:szCs w:val="22"/>
        </w:rPr>
      </w:pPr>
      <w:r w:rsidRPr="001B2AFC">
        <w:rPr>
          <w:sz w:val="22"/>
          <w:szCs w:val="22"/>
        </w:rPr>
        <w:t>To maintain the clinical currency and robustness of the AR</w:t>
      </w:r>
      <w:r w:rsidRPr="001B2AFC">
        <w:rPr>
          <w:sz w:val="22"/>
          <w:szCs w:val="22"/>
        </w:rPr>
        <w:noBreakHyphen/>
        <w:t>DRG classification, each new version</w:t>
      </w:r>
      <w:r>
        <w:rPr>
          <w:sz w:val="22"/>
          <w:szCs w:val="22"/>
        </w:rPr>
        <w:t xml:space="preserve"> also</w:t>
      </w:r>
      <w:r w:rsidRPr="001B2AFC">
        <w:rPr>
          <w:sz w:val="22"/>
          <w:szCs w:val="22"/>
        </w:rPr>
        <w:t xml:space="preserve"> includes a standard set of minimum refinements that are key to achieving this goal</w:t>
      </w:r>
      <w:r>
        <w:rPr>
          <w:sz w:val="22"/>
          <w:szCs w:val="22"/>
        </w:rPr>
        <w:t xml:space="preserve">. </w:t>
      </w:r>
      <w:r w:rsidRPr="0029332B">
        <w:rPr>
          <w:sz w:val="22"/>
          <w:szCs w:val="22"/>
        </w:rPr>
        <w:t xml:space="preserve">These standard reviews follow principles set out in the </w:t>
      </w:r>
      <w:r>
        <w:rPr>
          <w:sz w:val="22"/>
          <w:szCs w:val="22"/>
        </w:rPr>
        <w:t>governance framework</w:t>
      </w:r>
      <w:r w:rsidRPr="009D1510">
        <w:rPr>
          <w:sz w:val="22"/>
          <w:szCs w:val="22"/>
        </w:rPr>
        <w:t>, for example diagnosis exclusion, intervention hierarchy and ADRG splitting principles</w:t>
      </w:r>
      <w:r>
        <w:rPr>
          <w:sz w:val="22"/>
          <w:szCs w:val="22"/>
        </w:rPr>
        <w:t xml:space="preserve"> and use the latest activity and cost data to update the AR-DRGs.</w:t>
      </w:r>
      <w:r w:rsidRPr="0029332B">
        <w:rPr>
          <w:sz w:val="22"/>
          <w:szCs w:val="22"/>
        </w:rPr>
        <w:t xml:space="preserve"> For AR</w:t>
      </w:r>
      <w:r w:rsidRPr="0029332B">
        <w:rPr>
          <w:sz w:val="22"/>
          <w:szCs w:val="22"/>
        </w:rPr>
        <w:noBreakHyphen/>
        <w:t xml:space="preserve">DRG V11.0, </w:t>
      </w:r>
      <w:r>
        <w:rPr>
          <w:sz w:val="22"/>
          <w:szCs w:val="22"/>
        </w:rPr>
        <w:t xml:space="preserve">standard reviews included </w:t>
      </w:r>
      <w:r w:rsidRPr="0029332B">
        <w:rPr>
          <w:sz w:val="22"/>
          <w:szCs w:val="22"/>
        </w:rPr>
        <w:t>refinement of:</w:t>
      </w:r>
    </w:p>
    <w:p w14:paraId="4F1F81B3" w14:textId="265E77A9"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codes in</w:t>
      </w:r>
      <w:r w:rsidR="008517C8">
        <w:rPr>
          <w:sz w:val="22"/>
          <w:szCs w:val="22"/>
        </w:rPr>
        <w:t>-</w:t>
      </w:r>
      <w:r w:rsidRPr="009D1510">
        <w:rPr>
          <w:sz w:val="22"/>
          <w:szCs w:val="22"/>
        </w:rPr>
        <w:t>scope for contributing to complexity</w:t>
      </w:r>
    </w:p>
    <w:p w14:paraId="06BF9243"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 xml:space="preserve">the complexity scoring system </w:t>
      </w:r>
    </w:p>
    <w:p w14:paraId="7E5ACCD5"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 xml:space="preserve">the splitting of ADRGs into end classes (DRGs) that reflect different levels of complexity </w:t>
      </w:r>
    </w:p>
    <w:p w14:paraId="7C7105EE"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the intervention hierarchy</w:t>
      </w:r>
      <w:r>
        <w:rPr>
          <w:sz w:val="22"/>
          <w:szCs w:val="22"/>
        </w:rPr>
        <w:t>, and a review of</w:t>
      </w:r>
      <w:r w:rsidRPr="009D1510">
        <w:rPr>
          <w:sz w:val="22"/>
          <w:szCs w:val="22"/>
        </w:rPr>
        <w:t xml:space="preserve"> </w:t>
      </w:r>
    </w:p>
    <w:p w14:paraId="16FD73B9" w14:textId="77777777" w:rsidR="00F057B2" w:rsidRPr="009D1510" w:rsidRDefault="00F057B2" w:rsidP="00D65F7D">
      <w:pPr>
        <w:pStyle w:val="Default"/>
        <w:numPr>
          <w:ilvl w:val="0"/>
          <w:numId w:val="17"/>
        </w:numPr>
        <w:spacing w:after="160" w:line="288" w:lineRule="auto"/>
        <w:ind w:left="709" w:hanging="357"/>
        <w:rPr>
          <w:sz w:val="22"/>
          <w:szCs w:val="22"/>
        </w:rPr>
      </w:pPr>
      <w:r w:rsidRPr="009D1510">
        <w:rPr>
          <w:sz w:val="22"/>
          <w:szCs w:val="22"/>
        </w:rPr>
        <w:t>episodes that group to ADRG 801 </w:t>
      </w:r>
      <w:r w:rsidRPr="009D1510">
        <w:rPr>
          <w:i/>
          <w:sz w:val="22"/>
          <w:szCs w:val="22"/>
        </w:rPr>
        <w:t>General Interventions Unrelated to Principal Diagnosis</w:t>
      </w:r>
      <w:r w:rsidRPr="009D1510">
        <w:rPr>
          <w:sz w:val="22"/>
          <w:szCs w:val="22"/>
        </w:rPr>
        <w:t xml:space="preserve"> to determine more appropriate grouping where possible.</w:t>
      </w:r>
    </w:p>
    <w:p w14:paraId="144D4837" w14:textId="642945FD" w:rsidR="00F057B2" w:rsidRDefault="00F057B2" w:rsidP="00D65F7D">
      <w:r>
        <w:t xml:space="preserve">The work program was reviewed by </w:t>
      </w:r>
      <w:r w:rsidR="00A94554">
        <w:t xml:space="preserve">IHACPA’s </w:t>
      </w:r>
      <w:r>
        <w:t xml:space="preserve">advisory committees and a list of priorities for </w:t>
      </w:r>
      <w:r>
        <w:br/>
        <w:t xml:space="preserve">ICD-10-AM/ACHI/ACS Twelfth Edition and AR-DRG V11.0 were </w:t>
      </w:r>
      <w:proofErr w:type="spellStart"/>
      <w:r>
        <w:t>finalised</w:t>
      </w:r>
      <w:proofErr w:type="spellEnd"/>
      <w:r>
        <w:t>.</w:t>
      </w:r>
    </w:p>
    <w:p w14:paraId="73D82ECF" w14:textId="77777777" w:rsidR="00F057B2" w:rsidRDefault="00F057B2" w:rsidP="00B94226">
      <w:pPr>
        <w:pStyle w:val="Heading2"/>
        <w:spacing w:before="360" w:after="120" w:line="260" w:lineRule="atLeast"/>
        <w:ind w:left="578" w:hanging="578"/>
        <w:contextualSpacing/>
      </w:pPr>
      <w:bookmarkStart w:id="60" w:name="_Toc100328195"/>
      <w:bookmarkStart w:id="61" w:name="_Toc124656397"/>
      <w:r>
        <w:t>Governance and consultation process</w:t>
      </w:r>
      <w:bookmarkEnd w:id="60"/>
      <w:bookmarkEnd w:id="61"/>
    </w:p>
    <w:p w14:paraId="4788AA51" w14:textId="1E6ED98C" w:rsidR="00F057B2" w:rsidRDefault="00A94554" w:rsidP="000B5BC9">
      <w:r>
        <w:t xml:space="preserve">IHACPA </w:t>
      </w:r>
      <w:r w:rsidR="00F057B2">
        <w:t xml:space="preserve">has two groups that provide clinical and technical advice </w:t>
      </w:r>
      <w:proofErr w:type="gramStart"/>
      <w:r w:rsidR="00F057B2">
        <w:t>in regard to</w:t>
      </w:r>
      <w:proofErr w:type="gramEnd"/>
      <w:r w:rsidR="00F057B2">
        <w:t xml:space="preserve"> the refinement and development of AR-DRGs and to ensure broad consultation on major updates: </w:t>
      </w:r>
    </w:p>
    <w:p w14:paraId="60FACDA6" w14:textId="1D9C9326" w:rsidR="00F057B2" w:rsidRPr="00CB3805" w:rsidRDefault="00F057B2" w:rsidP="00D65F7D">
      <w:pPr>
        <w:pStyle w:val="ListParagraph"/>
        <w:numPr>
          <w:ilvl w:val="0"/>
          <w:numId w:val="19"/>
        </w:numPr>
        <w:ind w:left="714" w:hanging="357"/>
        <w:contextualSpacing w:val="0"/>
      </w:pPr>
      <w:r w:rsidRPr="00CB3805">
        <w:t xml:space="preserve">Classifications Clinical Advisory Group (CCAG) – provides expert clinical advice on development proposals across the admitted care classifications. CCAG is composed of clinicians with medical, surgical, emergency, </w:t>
      </w:r>
      <w:proofErr w:type="gramStart"/>
      <w:r w:rsidRPr="00CB3805">
        <w:t>nursing</w:t>
      </w:r>
      <w:proofErr w:type="gramEnd"/>
      <w:r w:rsidRPr="00CB3805">
        <w:t xml:space="preserve"> and allied health backgrounds, providing advice that facilitates broad canvassing of clinicians to ensure that there is likely to be general acceptance of the developed proposals. The group has two representatives from </w:t>
      </w:r>
      <w:r w:rsidR="00AB2EE4">
        <w:t>IHACPA'</w:t>
      </w:r>
      <w:r w:rsidR="00784C17">
        <w:t xml:space="preserve">s </w:t>
      </w:r>
      <w:r w:rsidRPr="00CB3805">
        <w:t>Clinical Advisory Committee (CAC).</w:t>
      </w:r>
    </w:p>
    <w:p w14:paraId="10B04C8C" w14:textId="77777777" w:rsidR="00F057B2" w:rsidRPr="00CB3805" w:rsidRDefault="00F057B2" w:rsidP="00D65F7D">
      <w:pPr>
        <w:pStyle w:val="ListParagraph"/>
        <w:numPr>
          <w:ilvl w:val="0"/>
          <w:numId w:val="19"/>
        </w:numPr>
        <w:ind w:left="714" w:hanging="357"/>
        <w:contextualSpacing w:val="0"/>
      </w:pPr>
      <w:r w:rsidRPr="00CB3805">
        <w:t>Diagnosis Related Groups Technical Group (DTG) – provides technical input on AR-DRG development. DTG includes representatives from state and territory health departments, the Commonwealth, Australian Government committees, private hospitals, private health insurers and the New Zealand Ministry of Health.</w:t>
      </w:r>
    </w:p>
    <w:p w14:paraId="56755845" w14:textId="77777777" w:rsidR="00F057B2" w:rsidRPr="00B847BF" w:rsidRDefault="00F057B2" w:rsidP="000B5BC9">
      <w:r w:rsidRPr="00B847BF">
        <w:lastRenderedPageBreak/>
        <w:t xml:space="preserve">CCAG and DTG </w:t>
      </w:r>
      <w:r>
        <w:t xml:space="preserve">review and provide </w:t>
      </w:r>
      <w:r w:rsidRPr="00B847BF">
        <w:t xml:space="preserve">advice on </w:t>
      </w:r>
      <w:r>
        <w:t>the</w:t>
      </w:r>
      <w:r w:rsidRPr="00B847BF">
        <w:t xml:space="preserve"> </w:t>
      </w:r>
      <w:r>
        <w:t xml:space="preserve">proposals for </w:t>
      </w:r>
      <w:r w:rsidRPr="00B847BF">
        <w:t>AR-DRG V1</w:t>
      </w:r>
      <w:r>
        <w:t>1</w:t>
      </w:r>
      <w:r w:rsidRPr="00B847BF">
        <w:t>.0.</w:t>
      </w:r>
    </w:p>
    <w:p w14:paraId="6EC83EDB" w14:textId="1AC5D0A1" w:rsidR="00F057B2" w:rsidRDefault="00F057B2" w:rsidP="000B5BC9">
      <w:r w:rsidRPr="00B847BF">
        <w:t xml:space="preserve">Consultation on refinements to the AR-DRG classification also occurs through </w:t>
      </w:r>
      <w:r w:rsidR="00A94554">
        <w:t xml:space="preserve">IHACPA’s </w:t>
      </w:r>
      <w:r w:rsidRPr="00B847BF">
        <w:t>Technical Advisory Committee, Jurisd</w:t>
      </w:r>
      <w:r>
        <w:t xml:space="preserve">ictional Advisory Committee, </w:t>
      </w:r>
      <w:r w:rsidRPr="00B847BF">
        <w:t>Stakeholder Advisory Committee</w:t>
      </w:r>
      <w:r>
        <w:t xml:space="preserve"> and CAC.</w:t>
      </w:r>
    </w:p>
    <w:p w14:paraId="13205810" w14:textId="309F1711" w:rsidR="00F057B2" w:rsidRDefault="00A94554" w:rsidP="000B5BC9">
      <w:r>
        <w:t xml:space="preserve">IHACPA </w:t>
      </w:r>
      <w:r w:rsidR="00F057B2">
        <w:t xml:space="preserve">also </w:t>
      </w:r>
      <w:r w:rsidR="00F057B2" w:rsidRPr="00B847BF">
        <w:t>undertook a public consultation</w:t>
      </w:r>
      <w:r w:rsidR="00F057B2">
        <w:t xml:space="preserve"> during May to June 2021 </w:t>
      </w:r>
      <w:r w:rsidR="00F057B2" w:rsidRPr="00B847BF">
        <w:t xml:space="preserve">on major refinements </w:t>
      </w:r>
      <w:r w:rsidR="00F057B2">
        <w:t xml:space="preserve">proposed for ICD-10-AM/ACHI/ACS Twelfth Edition and </w:t>
      </w:r>
      <w:r w:rsidR="00F057B2" w:rsidRPr="00B847BF">
        <w:t>AR-DRG V1</w:t>
      </w:r>
      <w:r w:rsidR="00F057B2">
        <w:t>1</w:t>
      </w:r>
      <w:r w:rsidR="00F057B2" w:rsidRPr="00B847BF">
        <w:t xml:space="preserve">.0 to ensure the broadest possible consultation. </w:t>
      </w:r>
      <w:r w:rsidR="00F057B2">
        <w:t>Fourteen</w:t>
      </w:r>
      <w:r w:rsidR="00F057B2" w:rsidRPr="00B847BF">
        <w:t xml:space="preserve"> submissions were received, and all submissions are published on </w:t>
      </w:r>
      <w:r>
        <w:t>IHACPA’s</w:t>
      </w:r>
      <w:r w:rsidRPr="00B847BF">
        <w:t xml:space="preserve"> </w:t>
      </w:r>
      <w:r w:rsidR="00F057B2" w:rsidRPr="00B847BF">
        <w:t>website (except if specified as commercial in confidence)</w:t>
      </w:r>
      <w:r w:rsidR="00F057B2">
        <w:rPr>
          <w:rStyle w:val="FootnoteReference"/>
        </w:rPr>
        <w:footnoteReference w:id="3"/>
      </w:r>
      <w:r w:rsidR="00F057B2" w:rsidRPr="00B847BF">
        <w:t xml:space="preserve">. </w:t>
      </w:r>
    </w:p>
    <w:p w14:paraId="5ADF2511" w14:textId="77777777" w:rsidR="00F057B2" w:rsidRDefault="00F057B2" w:rsidP="00B94226">
      <w:pPr>
        <w:pStyle w:val="Heading2"/>
        <w:spacing w:before="360" w:after="120" w:line="260" w:lineRule="atLeast"/>
        <w:ind w:left="578" w:hanging="578"/>
        <w:contextualSpacing/>
      </w:pPr>
      <w:bookmarkStart w:id="62" w:name="_Toc100328196"/>
      <w:bookmarkStart w:id="63" w:name="_Toc124656398"/>
      <w:r>
        <w:t>Data used for AR-DRG Version 11.0</w:t>
      </w:r>
      <w:bookmarkEnd w:id="62"/>
      <w:bookmarkEnd w:id="63"/>
    </w:p>
    <w:p w14:paraId="3D9DF36A" w14:textId="77777777" w:rsidR="00F057B2" w:rsidRDefault="00F057B2" w:rsidP="000B5BC9">
      <w:r>
        <w:t xml:space="preserve">Development of AR-DRG V11.0 was based on </w:t>
      </w:r>
      <w:r w:rsidRPr="005E3093">
        <w:t>2015</w:t>
      </w:r>
      <w:r w:rsidRPr="00363DA7">
        <w:rPr>
          <w:iCs/>
        </w:rPr>
        <w:t>–</w:t>
      </w:r>
      <w:r>
        <w:t>16 to</w:t>
      </w:r>
      <w:r w:rsidRPr="005E3093">
        <w:t xml:space="preserve"> 2018</w:t>
      </w:r>
      <w:r w:rsidRPr="00363DA7">
        <w:rPr>
          <w:iCs/>
        </w:rPr>
        <w:t>–</w:t>
      </w:r>
      <w:r w:rsidRPr="005E3093">
        <w:t>19</w:t>
      </w:r>
      <w:r>
        <w:t xml:space="preserve"> costed public hospital activity data provided by Australian jurisdictions. </w:t>
      </w:r>
    </w:p>
    <w:p w14:paraId="6F8FF51C" w14:textId="7E71D8E1" w:rsidR="00F057B2" w:rsidRDefault="00A94554" w:rsidP="000B5BC9">
      <w:r>
        <w:t xml:space="preserve">IHACPA </w:t>
      </w:r>
      <w:r w:rsidR="00F057B2">
        <w:t xml:space="preserve">explored the possibility of routinely incorporating costed private hospital activity data into AR-DRG development and presented the results to CCAG and DTG. However, due to the absence of specific costs in the costed private hospital activity data (e.g., medical specialist, pathology, and imaging costs) it has not been used to </w:t>
      </w:r>
      <w:proofErr w:type="spellStart"/>
      <w:r w:rsidR="00F057B2">
        <w:t>finalise</w:t>
      </w:r>
      <w:proofErr w:type="spellEnd"/>
      <w:r w:rsidR="00F057B2">
        <w:t xml:space="preserve"> AR-DRG V11.0. </w:t>
      </w:r>
      <w:r>
        <w:t xml:space="preserve">IHACPA </w:t>
      </w:r>
      <w:r w:rsidR="00F057B2">
        <w:t>will continue to work with private sector stakeholders to enhance data quality in private hospital activity data collections.</w:t>
      </w:r>
    </w:p>
    <w:p w14:paraId="04DCB62D" w14:textId="709A1C3B" w:rsidR="00970318" w:rsidRDefault="00F057B2" w:rsidP="000B5BC9">
      <w:pPr>
        <w:rPr>
          <w:highlight w:val="lightGray"/>
        </w:rPr>
      </w:pPr>
      <w:r>
        <w:t xml:space="preserve">Where possible, </w:t>
      </w:r>
      <w:r w:rsidR="00A94554">
        <w:t xml:space="preserve">IHACPA </w:t>
      </w:r>
      <w:r>
        <w:t>has incorporated costed private hospital activity data into AR-DRG V11.0 development analysis especially for issues more prevalent within the private hospital setting.</w:t>
      </w:r>
    </w:p>
    <w:p w14:paraId="0BCCAFD1" w14:textId="77777777" w:rsidR="005C7FD0" w:rsidRDefault="005C7FD0" w:rsidP="00DB161C">
      <w:pPr>
        <w:rPr>
          <w:highlight w:val="lightGray"/>
        </w:rPr>
        <w:sectPr w:rsidR="005C7FD0" w:rsidSect="00C5503B">
          <w:pgSz w:w="11906" w:h="16838" w:code="9"/>
          <w:pgMar w:top="1440" w:right="1080" w:bottom="1440" w:left="1080" w:header="708" w:footer="708" w:gutter="0"/>
          <w:cols w:space="708"/>
          <w:docGrid w:linePitch="360"/>
        </w:sectPr>
      </w:pPr>
    </w:p>
    <w:p w14:paraId="352CF87F" w14:textId="77777777" w:rsidR="00F057B2" w:rsidRDefault="00F057B2" w:rsidP="007D4F6F">
      <w:pPr>
        <w:pStyle w:val="Heading1"/>
        <w:spacing w:after="1080" w:line="240" w:lineRule="auto"/>
        <w:ind w:left="567" w:hanging="567"/>
        <w:contextualSpacing/>
      </w:pPr>
      <w:bookmarkStart w:id="64" w:name="_Toc534875793"/>
      <w:bookmarkStart w:id="65" w:name="_Toc100328197"/>
      <w:bookmarkStart w:id="66" w:name="_Toc124656399"/>
      <w:r w:rsidRPr="00DB50DD">
        <w:lastRenderedPageBreak/>
        <w:t>AR-DRG Version 1</w:t>
      </w:r>
      <w:r>
        <w:t>1</w:t>
      </w:r>
      <w:r w:rsidRPr="00DB50DD">
        <w:t>.0</w:t>
      </w:r>
      <w:bookmarkEnd w:id="64"/>
      <w:bookmarkEnd w:id="65"/>
      <w:bookmarkEnd w:id="66"/>
    </w:p>
    <w:p w14:paraId="1945F508" w14:textId="77777777" w:rsidR="00F057B2" w:rsidRPr="00167A95" w:rsidRDefault="00F057B2" w:rsidP="00F057B2">
      <w:pPr>
        <w:pStyle w:val="Heading2"/>
        <w:spacing w:before="360" w:after="120" w:line="260" w:lineRule="atLeast"/>
        <w:contextualSpacing/>
      </w:pPr>
      <w:bookmarkStart w:id="67" w:name="_Toc534873819"/>
      <w:bookmarkStart w:id="68" w:name="_Toc534874465"/>
      <w:bookmarkStart w:id="69" w:name="_Toc534875590"/>
      <w:bookmarkStart w:id="70" w:name="_Toc534875692"/>
      <w:bookmarkStart w:id="71" w:name="_Toc534875794"/>
      <w:bookmarkStart w:id="72" w:name="_Toc534875902"/>
      <w:bookmarkStart w:id="73" w:name="_Toc534876004"/>
      <w:bookmarkStart w:id="74" w:name="_Toc534955030"/>
      <w:bookmarkStart w:id="75" w:name="_Toc534955093"/>
      <w:bookmarkStart w:id="76" w:name="_Toc534955135"/>
      <w:bookmarkStart w:id="77" w:name="_Toc534955684"/>
      <w:bookmarkStart w:id="78" w:name="_Toc534955737"/>
      <w:bookmarkStart w:id="79" w:name="_Toc534955795"/>
      <w:bookmarkStart w:id="80" w:name="_Toc534955837"/>
      <w:bookmarkStart w:id="81" w:name="_Toc534955927"/>
      <w:bookmarkStart w:id="82" w:name="_Toc534965672"/>
      <w:bookmarkStart w:id="83" w:name="_Refinements_to_diagnosis"/>
      <w:bookmarkStart w:id="84" w:name="_Toc87875734"/>
      <w:bookmarkStart w:id="85" w:name="_Toc88827529"/>
      <w:bookmarkStart w:id="86" w:name="_Toc100328198"/>
      <w:bookmarkStart w:id="87" w:name="_Toc124656400"/>
      <w:bookmarkStart w:id="88" w:name="_Toc534875796"/>
      <w:bookmarkStart w:id="89" w:name="_Ref53487603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167A95">
        <w:t>Endovascular clot retrieval</w:t>
      </w:r>
      <w:bookmarkEnd w:id="86"/>
      <w:bookmarkEnd w:id="87"/>
    </w:p>
    <w:p w14:paraId="2BD60607" w14:textId="77777777" w:rsidR="00F057B2" w:rsidRPr="00AC724B" w:rsidRDefault="00F057B2" w:rsidP="00D65F7D">
      <w:pPr>
        <w:pStyle w:val="Default"/>
        <w:spacing w:after="160" w:line="288" w:lineRule="auto"/>
        <w:rPr>
          <w:sz w:val="22"/>
          <w:szCs w:val="22"/>
        </w:rPr>
      </w:pPr>
      <w:r w:rsidRPr="00AC724B">
        <w:rPr>
          <w:sz w:val="22"/>
          <w:szCs w:val="22"/>
        </w:rPr>
        <w:t xml:space="preserve">Endovascular clot retrieval (ECR), also known as mechanical thrombectomy, involves the delivery of a clot retrieval device via a catheter into the cerebral arteries to remove the obstructing clot and restore blood flow to the brain. It </w:t>
      </w:r>
      <w:r>
        <w:rPr>
          <w:sz w:val="22"/>
          <w:szCs w:val="22"/>
        </w:rPr>
        <w:t>may be</w:t>
      </w:r>
      <w:r w:rsidRPr="00AC724B">
        <w:rPr>
          <w:sz w:val="22"/>
          <w:szCs w:val="22"/>
        </w:rPr>
        <w:t xml:space="preserve"> used in the treatment of acute </w:t>
      </w:r>
      <w:proofErr w:type="spellStart"/>
      <w:r w:rsidRPr="00AC724B">
        <w:rPr>
          <w:sz w:val="22"/>
          <w:szCs w:val="22"/>
        </w:rPr>
        <w:t>ischaemic</w:t>
      </w:r>
      <w:proofErr w:type="spellEnd"/>
      <w:r w:rsidRPr="00AC724B">
        <w:rPr>
          <w:sz w:val="22"/>
          <w:szCs w:val="22"/>
        </w:rPr>
        <w:t xml:space="preserve"> stroke for patients who present within </w:t>
      </w:r>
      <w:r>
        <w:rPr>
          <w:sz w:val="22"/>
          <w:szCs w:val="22"/>
        </w:rPr>
        <w:t>a recommended timeframe from</w:t>
      </w:r>
      <w:r w:rsidRPr="00AC724B">
        <w:rPr>
          <w:sz w:val="22"/>
          <w:szCs w:val="22"/>
        </w:rPr>
        <w:t xml:space="preserve"> </w:t>
      </w:r>
      <w:r>
        <w:rPr>
          <w:sz w:val="22"/>
          <w:szCs w:val="22"/>
        </w:rPr>
        <w:t xml:space="preserve">the onset of </w:t>
      </w:r>
      <w:r w:rsidRPr="00AC724B">
        <w:rPr>
          <w:sz w:val="22"/>
          <w:szCs w:val="22"/>
        </w:rPr>
        <w:t xml:space="preserve">stroke. </w:t>
      </w:r>
      <w:r>
        <w:rPr>
          <w:sz w:val="22"/>
          <w:szCs w:val="22"/>
        </w:rPr>
        <w:t xml:space="preserve">The ACHI code to identify ECR episode is listed in </w:t>
      </w:r>
      <w:r w:rsidRPr="001D3991">
        <w:rPr>
          <w:b/>
          <w:bCs/>
          <w:sz w:val="22"/>
          <w:szCs w:val="22"/>
        </w:rPr>
        <w:t>Appendix A</w:t>
      </w:r>
      <w:r>
        <w:rPr>
          <w:sz w:val="22"/>
          <w:szCs w:val="22"/>
        </w:rPr>
        <w:t>.</w:t>
      </w:r>
    </w:p>
    <w:p w14:paraId="4CB21761" w14:textId="77777777" w:rsidR="00F057B2" w:rsidRDefault="00F057B2" w:rsidP="00D65F7D">
      <w:pPr>
        <w:pStyle w:val="Default"/>
        <w:spacing w:after="160" w:line="288" w:lineRule="auto"/>
        <w:rPr>
          <w:sz w:val="22"/>
          <w:szCs w:val="22"/>
        </w:rPr>
      </w:pPr>
      <w:r w:rsidRPr="00AC724B">
        <w:rPr>
          <w:sz w:val="22"/>
          <w:szCs w:val="22"/>
        </w:rPr>
        <w:t xml:space="preserve">A submission to the </w:t>
      </w:r>
      <w:r w:rsidRPr="00AC724B">
        <w:rPr>
          <w:i/>
          <w:iCs/>
          <w:sz w:val="22"/>
          <w:szCs w:val="22"/>
        </w:rPr>
        <w:t>Consultation paper on the Pricing Framework for Australian public hospital services 2018–19</w:t>
      </w:r>
      <w:r>
        <w:rPr>
          <w:rStyle w:val="FootnoteReference"/>
          <w:rFonts w:eastAsiaTheme="majorEastAsia"/>
          <w:i/>
          <w:sz w:val="22"/>
          <w:szCs w:val="22"/>
        </w:rPr>
        <w:footnoteReference w:id="4"/>
      </w:r>
      <w:r w:rsidRPr="00AC724B">
        <w:rPr>
          <w:i/>
          <w:iCs/>
          <w:sz w:val="22"/>
          <w:szCs w:val="22"/>
        </w:rPr>
        <w:t xml:space="preserve"> </w:t>
      </w:r>
      <w:r w:rsidRPr="00AC724B">
        <w:rPr>
          <w:sz w:val="22"/>
          <w:szCs w:val="22"/>
        </w:rPr>
        <w:t>highlighted that there has been a steady increase in the number of ECR interventions delivered since 2014 and projections indicate that this trend is likely to continue.</w:t>
      </w:r>
    </w:p>
    <w:p w14:paraId="6737C019" w14:textId="77777777" w:rsidR="00F057B2" w:rsidRPr="00AC724B" w:rsidRDefault="00F057B2" w:rsidP="00D65F7D">
      <w:pPr>
        <w:pStyle w:val="Default"/>
        <w:spacing w:after="160" w:line="288" w:lineRule="auto"/>
        <w:rPr>
          <w:sz w:val="22"/>
          <w:szCs w:val="22"/>
        </w:rPr>
      </w:pPr>
      <w:r>
        <w:rPr>
          <w:sz w:val="22"/>
          <w:szCs w:val="22"/>
        </w:rPr>
        <w:t>During AR-DRG V10.0 development, initial analysis on ECR was conducted. The analysis did not support creation of a separate ADRG for ECR in V10.0 but recommended that further analysis be undertaken for V11.0 given the likely uptake of ECR in the future, particularly with its Medicare Benefit Schedule (MBS) listing.</w:t>
      </w:r>
    </w:p>
    <w:p w14:paraId="60D17372" w14:textId="2272BCC1" w:rsidR="00F057B2" w:rsidRPr="00AC724B" w:rsidRDefault="00F057B2" w:rsidP="00D65F7D">
      <w:pPr>
        <w:pStyle w:val="Default"/>
        <w:spacing w:after="160" w:line="288" w:lineRule="auto"/>
        <w:rPr>
          <w:sz w:val="22"/>
          <w:szCs w:val="22"/>
        </w:rPr>
      </w:pPr>
      <w:r>
        <w:rPr>
          <w:sz w:val="22"/>
          <w:szCs w:val="22"/>
        </w:rPr>
        <w:t xml:space="preserve">In AR-DRG V10.0, </w:t>
      </w:r>
      <w:r w:rsidRPr="00AC724B">
        <w:rPr>
          <w:sz w:val="22"/>
          <w:szCs w:val="22"/>
        </w:rPr>
        <w:t xml:space="preserve">ECR episodes group to ADRG B02 </w:t>
      </w:r>
      <w:r w:rsidRPr="00AC724B">
        <w:rPr>
          <w:i/>
          <w:iCs/>
          <w:sz w:val="22"/>
          <w:szCs w:val="22"/>
        </w:rPr>
        <w:t xml:space="preserve">Cranial Interventions </w:t>
      </w:r>
      <w:r w:rsidRPr="00AC724B">
        <w:rPr>
          <w:sz w:val="22"/>
          <w:szCs w:val="22"/>
        </w:rPr>
        <w:t xml:space="preserve">within MDC 01 </w:t>
      </w:r>
      <w:r w:rsidRPr="00AC724B">
        <w:rPr>
          <w:i/>
          <w:iCs/>
          <w:sz w:val="22"/>
          <w:szCs w:val="22"/>
        </w:rPr>
        <w:t>Diseases and Disorders of Nervous System</w:t>
      </w:r>
      <w:r w:rsidRPr="00AC724B">
        <w:rPr>
          <w:sz w:val="22"/>
          <w:szCs w:val="22"/>
        </w:rPr>
        <w:t xml:space="preserve">. Analysis demonstrated that the volume of ECR episodes is increasing in recent years, from 417 episodes in 2015–16 to </w:t>
      </w:r>
      <w:r w:rsidR="00184E37">
        <w:rPr>
          <w:sz w:val="22"/>
          <w:szCs w:val="22"/>
        </w:rPr>
        <w:t xml:space="preserve">1,710 </w:t>
      </w:r>
      <w:r w:rsidRPr="00AC724B">
        <w:rPr>
          <w:sz w:val="22"/>
          <w:szCs w:val="22"/>
        </w:rPr>
        <w:t xml:space="preserve">episodes in 2018–19. ECR episodes appear to be less expensive than non-ECR episodes, especially within </w:t>
      </w:r>
      <w:r>
        <w:rPr>
          <w:sz w:val="22"/>
          <w:szCs w:val="22"/>
        </w:rPr>
        <w:t xml:space="preserve">the </w:t>
      </w:r>
      <w:r w:rsidRPr="00AC724B">
        <w:rPr>
          <w:sz w:val="22"/>
          <w:szCs w:val="22"/>
        </w:rPr>
        <w:t>high</w:t>
      </w:r>
      <w:r>
        <w:rPr>
          <w:sz w:val="22"/>
          <w:szCs w:val="22"/>
        </w:rPr>
        <w:t xml:space="preserve"> complexity DRGs B02A and B02B.</w:t>
      </w:r>
    </w:p>
    <w:p w14:paraId="5E46B9A0" w14:textId="77777777" w:rsidR="00F057B2" w:rsidRPr="00167A95" w:rsidRDefault="00F057B2" w:rsidP="00D65F7D">
      <w:r w:rsidRPr="00420240">
        <w:t xml:space="preserve">A new ADRG B08 </w:t>
      </w:r>
      <w:r w:rsidRPr="00DC04B9">
        <w:rPr>
          <w:i/>
          <w:iCs/>
        </w:rPr>
        <w:t xml:space="preserve">Endovascular Clot Retrieval </w:t>
      </w:r>
      <w:r w:rsidRPr="009E5AA0">
        <w:t xml:space="preserve">is created for ECR episodes within MDC 01 in AR-DRG V11.0. </w:t>
      </w:r>
      <w:r>
        <w:t xml:space="preserve">The ADRG splitting review has selected an optimum threshold of 3, resulting in ‘A’ and ‘B’ DRGs. </w:t>
      </w:r>
      <w:r w:rsidRPr="009E5AA0">
        <w:t>This will prevent the average cost of ADRG B02 being diluted by ECR episodes</w:t>
      </w:r>
      <w:r>
        <w:t xml:space="preserve">, improve the statistical performance of ADRG B02 and MDC </w:t>
      </w:r>
      <w:proofErr w:type="gramStart"/>
      <w:r>
        <w:t>01 as a whole</w:t>
      </w:r>
      <w:proofErr w:type="gramEnd"/>
      <w:r w:rsidRPr="009E5AA0">
        <w:t>.</w:t>
      </w:r>
    </w:p>
    <w:p w14:paraId="5A4C0777" w14:textId="77777777" w:rsidR="00F057B2" w:rsidRPr="00167A95" w:rsidRDefault="00F057B2" w:rsidP="00F057B2">
      <w:pPr>
        <w:pStyle w:val="Heading2"/>
        <w:spacing w:before="360" w:after="120" w:line="260" w:lineRule="atLeast"/>
        <w:contextualSpacing/>
      </w:pPr>
      <w:bookmarkStart w:id="90" w:name="_Toc100328199"/>
      <w:bookmarkStart w:id="91" w:name="_Toc124656401"/>
      <w:r w:rsidRPr="00167A95">
        <w:t>Transcatheter aortic valve implantation</w:t>
      </w:r>
      <w:bookmarkEnd w:id="90"/>
      <w:bookmarkEnd w:id="91"/>
    </w:p>
    <w:p w14:paraId="31C73FFD" w14:textId="77777777" w:rsidR="00F057B2" w:rsidRDefault="00F057B2" w:rsidP="00D65F7D">
      <w:pPr>
        <w:pStyle w:val="Default"/>
        <w:spacing w:after="160" w:line="288" w:lineRule="auto"/>
        <w:rPr>
          <w:sz w:val="22"/>
          <w:szCs w:val="22"/>
        </w:rPr>
      </w:pPr>
      <w:r>
        <w:rPr>
          <w:sz w:val="22"/>
          <w:szCs w:val="22"/>
        </w:rPr>
        <w:t>Surgical aortic valve replacement is used to treat</w:t>
      </w:r>
      <w:r w:rsidRPr="00467051">
        <w:rPr>
          <w:sz w:val="22"/>
          <w:szCs w:val="22"/>
        </w:rPr>
        <w:t xml:space="preserve"> obstruction of blood flow across the aortic valve</w:t>
      </w:r>
      <w:r>
        <w:rPr>
          <w:sz w:val="22"/>
          <w:szCs w:val="22"/>
        </w:rPr>
        <w:t>, known as a</w:t>
      </w:r>
      <w:r w:rsidRPr="00467051">
        <w:rPr>
          <w:sz w:val="22"/>
          <w:szCs w:val="22"/>
        </w:rPr>
        <w:t>ortic stenosis.</w:t>
      </w:r>
      <w:r>
        <w:rPr>
          <w:sz w:val="22"/>
          <w:szCs w:val="22"/>
        </w:rPr>
        <w:t xml:space="preserve"> For patients who are symptomatic with severe aortic stenosis, a transcatheter aortic valve implantation (TAVI) is a lower risk alternative to open chest surgery for patients meeting treatment criteria. </w:t>
      </w:r>
    </w:p>
    <w:p w14:paraId="43EEABFF" w14:textId="77777777" w:rsidR="00F057B2" w:rsidRPr="005A68B7" w:rsidRDefault="00F057B2" w:rsidP="00D65F7D">
      <w:pPr>
        <w:rPr>
          <w:vertAlign w:val="subscript"/>
        </w:rPr>
      </w:pPr>
      <w:r>
        <w:t>A public submission noted a difference in cost and length of stay when comparing TAVI procedures with open chest surgery, suggesting a new ADRG would be appropriate for investigating.</w:t>
      </w:r>
    </w:p>
    <w:p w14:paraId="36491C5F" w14:textId="77777777" w:rsidR="00F057B2" w:rsidRDefault="00F057B2" w:rsidP="00D65F7D">
      <w:pPr>
        <w:pStyle w:val="Default"/>
        <w:spacing w:after="160" w:line="288" w:lineRule="auto"/>
        <w:rPr>
          <w:sz w:val="22"/>
          <w:szCs w:val="22"/>
        </w:rPr>
      </w:pPr>
      <w:r>
        <w:rPr>
          <w:sz w:val="22"/>
          <w:szCs w:val="22"/>
        </w:rPr>
        <w:t xml:space="preserve">During AR-DRG V10.0 development, it was identified that TAVI procedures were grouped to the same ADRG as cardiac valve replacement interventions performed using an open approach. While </w:t>
      </w:r>
      <w:r>
        <w:rPr>
          <w:sz w:val="22"/>
          <w:szCs w:val="22"/>
        </w:rPr>
        <w:lastRenderedPageBreak/>
        <w:t>it has always been</w:t>
      </w:r>
      <w:r w:rsidRPr="005151C6">
        <w:rPr>
          <w:sz w:val="22"/>
          <w:szCs w:val="22"/>
          <w:lang w:val="en-AU"/>
        </w:rPr>
        <w:t xml:space="preserve"> recognised</w:t>
      </w:r>
      <w:r>
        <w:rPr>
          <w:sz w:val="22"/>
          <w:szCs w:val="22"/>
        </w:rPr>
        <w:t xml:space="preserve"> that the percutaneous nature of TAVI is not consistent with the other valve interventions in this ADRG, it was considered the best fit for resource homogeneity</w:t>
      </w:r>
      <w:r w:rsidRPr="00BC2F41">
        <w:rPr>
          <w:sz w:val="22"/>
          <w:szCs w:val="22"/>
        </w:rPr>
        <w:t xml:space="preserve">. </w:t>
      </w:r>
      <w:r w:rsidRPr="005A68B7">
        <w:rPr>
          <w:sz w:val="22"/>
          <w:szCs w:val="22"/>
        </w:rPr>
        <w:t xml:space="preserve">It recommended a re-assessment of TAVI episodes in V11.0 </w:t>
      </w:r>
      <w:proofErr w:type="gramStart"/>
      <w:r w:rsidRPr="005A68B7">
        <w:rPr>
          <w:sz w:val="22"/>
          <w:szCs w:val="22"/>
        </w:rPr>
        <w:t>in light of</w:t>
      </w:r>
      <w:proofErr w:type="gramEnd"/>
      <w:r w:rsidRPr="005A68B7">
        <w:rPr>
          <w:sz w:val="22"/>
          <w:szCs w:val="22"/>
        </w:rPr>
        <w:t xml:space="preserve"> the potential increased uptake due to its recent MBS listing.</w:t>
      </w:r>
    </w:p>
    <w:p w14:paraId="2DD22DF9" w14:textId="633A043C" w:rsidR="00F057B2" w:rsidRDefault="00F057B2" w:rsidP="00D65F7D">
      <w:pPr>
        <w:pStyle w:val="Default"/>
        <w:spacing w:after="160" w:line="288" w:lineRule="auto"/>
        <w:rPr>
          <w:sz w:val="22"/>
          <w:szCs w:val="22"/>
        </w:rPr>
      </w:pPr>
      <w:r>
        <w:rPr>
          <w:sz w:val="22"/>
          <w:szCs w:val="22"/>
        </w:rPr>
        <w:t xml:space="preserve">During AR-DRG V11.0 development, </w:t>
      </w:r>
      <w:r w:rsidR="00182054">
        <w:rPr>
          <w:sz w:val="22"/>
          <w:szCs w:val="22"/>
        </w:rPr>
        <w:t xml:space="preserve">IHACPA </w:t>
      </w:r>
      <w:r>
        <w:rPr>
          <w:sz w:val="22"/>
          <w:szCs w:val="22"/>
        </w:rPr>
        <w:t xml:space="preserve">reviewed the classification of TAVI and broadened the review to include all other percutaneous cardiac valve replacement (PCVR) interventions. The ACHI codes for PCVR interventions and their corresponding ADRGs in AR-DRG V10.0 are listed in </w:t>
      </w:r>
      <w:r w:rsidRPr="001D3991">
        <w:rPr>
          <w:b/>
          <w:bCs/>
          <w:sz w:val="22"/>
          <w:szCs w:val="22"/>
        </w:rPr>
        <w:t>Appendix A</w:t>
      </w:r>
      <w:r>
        <w:rPr>
          <w:sz w:val="22"/>
          <w:szCs w:val="22"/>
        </w:rPr>
        <w:t>.</w:t>
      </w:r>
    </w:p>
    <w:p w14:paraId="733A6B8A" w14:textId="77777777" w:rsidR="00F057B2" w:rsidRDefault="00F057B2" w:rsidP="00D65F7D">
      <w:pPr>
        <w:pStyle w:val="Default"/>
        <w:spacing w:after="160" w:line="288" w:lineRule="auto"/>
        <w:rPr>
          <w:sz w:val="22"/>
          <w:szCs w:val="22"/>
        </w:rPr>
      </w:pPr>
      <w:r>
        <w:rPr>
          <w:sz w:val="22"/>
          <w:szCs w:val="22"/>
        </w:rPr>
        <w:t xml:space="preserve">Analysis demonstrated that the volume of percutaneous heart valve replacement episodes using a </w:t>
      </w:r>
      <w:proofErr w:type="spellStart"/>
      <w:r>
        <w:rPr>
          <w:sz w:val="22"/>
          <w:szCs w:val="22"/>
        </w:rPr>
        <w:t>bioprosthesis</w:t>
      </w:r>
      <w:proofErr w:type="spellEnd"/>
      <w:r>
        <w:rPr>
          <w:sz w:val="22"/>
          <w:szCs w:val="22"/>
        </w:rPr>
        <w:t xml:space="preserve"> has been increasing and exceeds 200 episodes per year from 2015</w:t>
      </w:r>
      <w:r w:rsidRPr="00AC724B">
        <w:rPr>
          <w:sz w:val="22"/>
          <w:szCs w:val="22"/>
        </w:rPr>
        <w:t>–</w:t>
      </w:r>
      <w:r>
        <w:rPr>
          <w:sz w:val="22"/>
          <w:szCs w:val="22"/>
        </w:rPr>
        <w:softHyphen/>
      </w:r>
      <w:r>
        <w:rPr>
          <w:sz w:val="22"/>
          <w:szCs w:val="22"/>
        </w:rPr>
        <w:softHyphen/>
        <w:t xml:space="preserve">16 to </w:t>
      </w:r>
      <w:r>
        <w:rPr>
          <w:sz w:val="22"/>
          <w:szCs w:val="22"/>
        </w:rPr>
        <w:br/>
        <w:t>2018</w:t>
      </w:r>
      <w:r w:rsidRPr="00AC724B">
        <w:rPr>
          <w:sz w:val="22"/>
          <w:szCs w:val="22"/>
        </w:rPr>
        <w:t>–</w:t>
      </w:r>
      <w:r>
        <w:rPr>
          <w:sz w:val="22"/>
          <w:szCs w:val="22"/>
        </w:rPr>
        <w:t>19. This warranted the creation of a separate ADRG for these episodes.</w:t>
      </w:r>
    </w:p>
    <w:p w14:paraId="233C9548" w14:textId="77777777" w:rsidR="00F057B2" w:rsidRDefault="00F057B2" w:rsidP="00D65F7D">
      <w:pPr>
        <w:pStyle w:val="Default"/>
        <w:spacing w:after="160" w:line="288" w:lineRule="auto"/>
        <w:rPr>
          <w:sz w:val="22"/>
          <w:szCs w:val="22"/>
        </w:rPr>
      </w:pPr>
      <w:r>
        <w:rPr>
          <w:sz w:val="22"/>
          <w:szCs w:val="22"/>
        </w:rPr>
        <w:t xml:space="preserve">Therefore, a new ADRG F25 </w:t>
      </w:r>
      <w:r w:rsidRPr="00167A95">
        <w:rPr>
          <w:i/>
          <w:sz w:val="22"/>
          <w:szCs w:val="22"/>
        </w:rPr>
        <w:t xml:space="preserve">Percutaneous Heart Valve Replacement with </w:t>
      </w:r>
      <w:proofErr w:type="spellStart"/>
      <w:r w:rsidRPr="00167A95">
        <w:rPr>
          <w:i/>
          <w:sz w:val="22"/>
          <w:szCs w:val="22"/>
        </w:rPr>
        <w:t>Bioprosthesis</w:t>
      </w:r>
      <w:proofErr w:type="spellEnd"/>
      <w:r>
        <w:rPr>
          <w:sz w:val="22"/>
          <w:szCs w:val="22"/>
        </w:rPr>
        <w:t xml:space="preserve"> was created within MDC 05 in AR-DRG V11.</w:t>
      </w:r>
      <w:r w:rsidRPr="00AC0332">
        <w:rPr>
          <w:sz w:val="22"/>
          <w:szCs w:val="22"/>
        </w:rPr>
        <w:t xml:space="preserve">0. </w:t>
      </w:r>
    </w:p>
    <w:p w14:paraId="6637A047" w14:textId="77777777" w:rsidR="00F057B2" w:rsidRDefault="00F057B2" w:rsidP="00F057B2">
      <w:pPr>
        <w:pStyle w:val="Heading2"/>
        <w:spacing w:before="360" w:after="120" w:line="260" w:lineRule="atLeast"/>
        <w:contextualSpacing/>
      </w:pPr>
      <w:bookmarkStart w:id="92" w:name="_Toc100328200"/>
      <w:bookmarkStart w:id="93" w:name="_Toc124656402"/>
      <w:r w:rsidRPr="00167A95">
        <w:t>Peritonectomy</w:t>
      </w:r>
      <w:bookmarkEnd w:id="92"/>
      <w:bookmarkEnd w:id="93"/>
    </w:p>
    <w:p w14:paraId="7F0CBBAD" w14:textId="77777777" w:rsidR="00F057B2" w:rsidRDefault="00F057B2" w:rsidP="00D65F7D">
      <w:pPr>
        <w:pStyle w:val="Default"/>
        <w:spacing w:after="160" w:line="288" w:lineRule="auto"/>
        <w:rPr>
          <w:sz w:val="22"/>
          <w:szCs w:val="22"/>
        </w:rPr>
      </w:pPr>
      <w:r>
        <w:rPr>
          <w:sz w:val="22"/>
          <w:szCs w:val="22"/>
        </w:rPr>
        <w:t xml:space="preserve">Peritonectomy is the </w:t>
      </w:r>
      <w:r w:rsidRPr="00493FE3">
        <w:rPr>
          <w:sz w:val="22"/>
          <w:szCs w:val="22"/>
        </w:rPr>
        <w:t xml:space="preserve">complete removal of </w:t>
      </w:r>
      <w:r>
        <w:rPr>
          <w:sz w:val="22"/>
          <w:szCs w:val="22"/>
        </w:rPr>
        <w:t xml:space="preserve">a </w:t>
      </w:r>
      <w:proofErr w:type="spellStart"/>
      <w:r w:rsidRPr="00493FE3">
        <w:rPr>
          <w:sz w:val="22"/>
          <w:szCs w:val="22"/>
        </w:rPr>
        <w:t>tumour</w:t>
      </w:r>
      <w:proofErr w:type="spellEnd"/>
      <w:r w:rsidRPr="00493FE3">
        <w:rPr>
          <w:sz w:val="22"/>
          <w:szCs w:val="22"/>
        </w:rPr>
        <w:t xml:space="preserve"> from the peritoneal cavity </w:t>
      </w:r>
      <w:r>
        <w:rPr>
          <w:sz w:val="22"/>
          <w:szCs w:val="22"/>
        </w:rPr>
        <w:t xml:space="preserve">including </w:t>
      </w:r>
      <w:r w:rsidRPr="00493FE3">
        <w:rPr>
          <w:sz w:val="22"/>
          <w:szCs w:val="22"/>
        </w:rPr>
        <w:t>removal of part of the bowel</w:t>
      </w:r>
      <w:r>
        <w:rPr>
          <w:sz w:val="22"/>
          <w:szCs w:val="22"/>
        </w:rPr>
        <w:t xml:space="preserve">. Multiple other </w:t>
      </w:r>
      <w:r w:rsidRPr="00493FE3">
        <w:rPr>
          <w:sz w:val="22"/>
          <w:szCs w:val="22"/>
        </w:rPr>
        <w:t xml:space="preserve">organs may </w:t>
      </w:r>
      <w:r>
        <w:rPr>
          <w:sz w:val="22"/>
          <w:szCs w:val="22"/>
        </w:rPr>
        <w:t>also need to be removed including</w:t>
      </w:r>
      <w:r w:rsidRPr="00493FE3">
        <w:rPr>
          <w:sz w:val="22"/>
          <w:szCs w:val="22"/>
        </w:rPr>
        <w:t xml:space="preserve"> the gall bladder, spleen, stomach, kidney as well as the female reproductive organs (including uterus, </w:t>
      </w:r>
      <w:proofErr w:type="gramStart"/>
      <w:r w:rsidRPr="00493FE3">
        <w:rPr>
          <w:sz w:val="22"/>
          <w:szCs w:val="22"/>
        </w:rPr>
        <w:t>ovaries</w:t>
      </w:r>
      <w:proofErr w:type="gramEnd"/>
      <w:r w:rsidRPr="00493FE3">
        <w:rPr>
          <w:sz w:val="22"/>
          <w:szCs w:val="22"/>
        </w:rPr>
        <w:t xml:space="preserve"> and fallopian tubes). Surgery is followed by treating the surface of the abdominal cavity with heated intraperitoneal chemotherapy</w:t>
      </w:r>
    </w:p>
    <w:p w14:paraId="2688CDAA" w14:textId="77777777" w:rsidR="00F057B2" w:rsidRDefault="00F057B2" w:rsidP="00D65F7D">
      <w:pPr>
        <w:pStyle w:val="Default"/>
        <w:spacing w:after="160" w:line="288" w:lineRule="auto"/>
        <w:rPr>
          <w:sz w:val="22"/>
          <w:szCs w:val="22"/>
        </w:rPr>
      </w:pPr>
      <w:r>
        <w:rPr>
          <w:sz w:val="22"/>
          <w:szCs w:val="22"/>
        </w:rPr>
        <w:t xml:space="preserve">Peritonectomy is a treatment that may be considered for </w:t>
      </w:r>
      <w:proofErr w:type="spellStart"/>
      <w:r>
        <w:rPr>
          <w:sz w:val="22"/>
          <w:szCs w:val="22"/>
        </w:rPr>
        <w:t>pseudmyxoma</w:t>
      </w:r>
      <w:proofErr w:type="spellEnd"/>
      <w:r>
        <w:rPr>
          <w:sz w:val="22"/>
          <w:szCs w:val="22"/>
        </w:rPr>
        <w:t xml:space="preserve"> peritonei, appendix cancer, colorectal cancer, and peritoneal mesothelioma. It may also be considered for ovarian cancer, gastric cancer, and some other rare cancers as a non-standard but potentially therapeutic treatment. The ACHI codes to identify peritonectomy episode is listed in </w:t>
      </w:r>
      <w:r>
        <w:rPr>
          <w:sz w:val="22"/>
          <w:szCs w:val="22"/>
        </w:rPr>
        <w:br/>
      </w:r>
      <w:r w:rsidRPr="001D3991">
        <w:rPr>
          <w:b/>
          <w:bCs/>
          <w:sz w:val="22"/>
          <w:szCs w:val="22"/>
        </w:rPr>
        <w:t>Appendix A</w:t>
      </w:r>
      <w:r>
        <w:rPr>
          <w:sz w:val="22"/>
          <w:szCs w:val="22"/>
        </w:rPr>
        <w:t>.</w:t>
      </w:r>
    </w:p>
    <w:p w14:paraId="6946C94C" w14:textId="77777777" w:rsidR="00F057B2" w:rsidRDefault="00F057B2" w:rsidP="00D65F7D">
      <w:pPr>
        <w:pStyle w:val="Default"/>
        <w:spacing w:after="160" w:line="288" w:lineRule="auto"/>
        <w:rPr>
          <w:sz w:val="22"/>
          <w:szCs w:val="22"/>
        </w:rPr>
      </w:pPr>
      <w:r>
        <w:rPr>
          <w:sz w:val="22"/>
          <w:szCs w:val="22"/>
        </w:rPr>
        <w:t xml:space="preserve">A public submission was received seeking a review of the grouping of peritonectomy within the AR-DRG classification. It specifically highlighted an issue with the grouping of peritonectomy episodes within MDC 06 </w:t>
      </w:r>
      <w:r>
        <w:rPr>
          <w:i/>
          <w:iCs/>
          <w:sz w:val="22"/>
          <w:szCs w:val="22"/>
        </w:rPr>
        <w:t>Diseases and Disorders of the Digestive System</w:t>
      </w:r>
      <w:r>
        <w:rPr>
          <w:sz w:val="22"/>
          <w:szCs w:val="22"/>
        </w:rPr>
        <w:t xml:space="preserve">. Although this is not the only MDC where peritonectomy procedures are classified. </w:t>
      </w:r>
    </w:p>
    <w:p w14:paraId="5BA560F1" w14:textId="77777777" w:rsidR="00F057B2" w:rsidRDefault="00F057B2" w:rsidP="00D65F7D">
      <w:pPr>
        <w:pStyle w:val="Default"/>
        <w:spacing w:after="160" w:line="288" w:lineRule="auto"/>
        <w:rPr>
          <w:sz w:val="22"/>
          <w:szCs w:val="22"/>
        </w:rPr>
      </w:pPr>
      <w:r>
        <w:rPr>
          <w:sz w:val="22"/>
          <w:szCs w:val="22"/>
        </w:rPr>
        <w:t xml:space="preserve">Analysis demonstrated that the volume of peritonectomy episodes has increased in recent years, from 114 episodes in </w:t>
      </w:r>
      <w:r w:rsidRPr="00DC76E1">
        <w:rPr>
          <w:sz w:val="22"/>
          <w:szCs w:val="22"/>
        </w:rPr>
        <w:t>2016</w:t>
      </w:r>
      <w:r>
        <w:rPr>
          <w:sz w:val="22"/>
          <w:szCs w:val="22"/>
        </w:rPr>
        <w:t xml:space="preserve">–17 to </w:t>
      </w:r>
      <w:r w:rsidRPr="00184E37">
        <w:rPr>
          <w:sz w:val="22"/>
          <w:szCs w:val="22"/>
        </w:rPr>
        <w:t>379</w:t>
      </w:r>
      <w:r>
        <w:rPr>
          <w:sz w:val="22"/>
          <w:szCs w:val="22"/>
        </w:rPr>
        <w:t xml:space="preserve"> episodes in 2018–19. The majority of peritonectomy episodes are grouped to MDC 06 </w:t>
      </w:r>
      <w:r>
        <w:rPr>
          <w:i/>
          <w:iCs/>
          <w:sz w:val="22"/>
          <w:szCs w:val="22"/>
        </w:rPr>
        <w:t xml:space="preserve">Diseases and Disorders of the Digestive System </w:t>
      </w:r>
      <w:r>
        <w:rPr>
          <w:sz w:val="22"/>
          <w:szCs w:val="22"/>
        </w:rPr>
        <w:t xml:space="preserve">and MDC 13 </w:t>
      </w:r>
      <w:r>
        <w:rPr>
          <w:i/>
          <w:iCs/>
          <w:sz w:val="22"/>
          <w:szCs w:val="22"/>
        </w:rPr>
        <w:t>Diseases and Disorders of the Female Reproductive System</w:t>
      </w:r>
      <w:r>
        <w:rPr>
          <w:sz w:val="22"/>
          <w:szCs w:val="22"/>
        </w:rPr>
        <w:t>, with those in MDC 06 being significantly more expensive than those in MDC 13.</w:t>
      </w:r>
    </w:p>
    <w:p w14:paraId="7284F2D0" w14:textId="77777777" w:rsidR="00F057B2" w:rsidRDefault="00F057B2" w:rsidP="00D65F7D">
      <w:pPr>
        <w:pStyle w:val="Default"/>
        <w:spacing w:after="160" w:line="288" w:lineRule="auto"/>
        <w:rPr>
          <w:sz w:val="22"/>
          <w:szCs w:val="22"/>
        </w:rPr>
      </w:pPr>
      <w:r>
        <w:rPr>
          <w:sz w:val="22"/>
          <w:szCs w:val="22"/>
        </w:rPr>
        <w:t>Further analysis demonstrated that the peritonectomy episodes in MDC 06 are different to those in MDC 13 in that they are generally reported with hyperthermic intraperitoneal chemotherapy (HIPEC) interventions</w:t>
      </w:r>
      <w:r>
        <w:rPr>
          <w:i/>
          <w:sz w:val="22"/>
          <w:szCs w:val="22"/>
        </w:rPr>
        <w:t>.</w:t>
      </w:r>
      <w:r>
        <w:rPr>
          <w:sz w:val="22"/>
          <w:szCs w:val="22"/>
        </w:rPr>
        <w:t xml:space="preserve"> However, the majority of peritonectomy episodes in MDC 13 do not have those interventions. CCAG confirmed that this indicated the MDC 06 and MDC 13 contained clinically different cohorts.</w:t>
      </w:r>
    </w:p>
    <w:p w14:paraId="7163F9AA" w14:textId="77777777" w:rsidR="00F057B2" w:rsidRDefault="00F057B2" w:rsidP="00D65F7D">
      <w:pPr>
        <w:pStyle w:val="Default"/>
        <w:spacing w:after="160" w:line="288" w:lineRule="auto"/>
        <w:rPr>
          <w:sz w:val="22"/>
          <w:szCs w:val="22"/>
        </w:rPr>
      </w:pPr>
      <w:r>
        <w:rPr>
          <w:sz w:val="22"/>
          <w:szCs w:val="22"/>
        </w:rPr>
        <w:lastRenderedPageBreak/>
        <w:t>A new ADRG in the Pre MDC was considered as a solution due to the cost aspect of peritonectomy, but due to the low volume of episodes the complexity splitting methodology was unable to differentiate higher cost episodes (i.e., those from MDC 06) from lower cost episodes (</w:t>
      </w:r>
      <w:proofErr w:type="gramStart"/>
      <w:r>
        <w:rPr>
          <w:sz w:val="22"/>
          <w:szCs w:val="22"/>
        </w:rPr>
        <w:t>i.e.</w:t>
      </w:r>
      <w:proofErr w:type="gramEnd"/>
      <w:r>
        <w:rPr>
          <w:sz w:val="22"/>
          <w:szCs w:val="22"/>
        </w:rPr>
        <w:t xml:space="preserve"> those from MDC 13). Due to the volume of peritonectomy episodes within MDC 06 exceeding 200 per year in 2017–18 and 2018–19, a specific ADRG within MDC 06 is created - ADRG G13 </w:t>
      </w:r>
      <w:r>
        <w:rPr>
          <w:i/>
          <w:sz w:val="22"/>
          <w:szCs w:val="22"/>
        </w:rPr>
        <w:t xml:space="preserve">Peritonectomy for Gastrointestinal Disorders </w:t>
      </w:r>
      <w:r>
        <w:rPr>
          <w:sz w:val="22"/>
          <w:szCs w:val="22"/>
        </w:rPr>
        <w:t>in AR-DRG V11.0. The ADRG splitting review has recommended no split for G13 due to the low volume of episodes within the ADRG.</w:t>
      </w:r>
    </w:p>
    <w:p w14:paraId="236DE260" w14:textId="77777777" w:rsidR="00F057B2" w:rsidRDefault="00F057B2" w:rsidP="00D65F7D">
      <w:pPr>
        <w:pStyle w:val="Default"/>
        <w:spacing w:after="160" w:line="288" w:lineRule="auto"/>
        <w:rPr>
          <w:sz w:val="22"/>
          <w:szCs w:val="22"/>
        </w:rPr>
      </w:pPr>
      <w:r>
        <w:rPr>
          <w:sz w:val="22"/>
          <w:szCs w:val="22"/>
        </w:rPr>
        <w:t>The low volume of peritonectomy episodes in other MDCs did not meet the criteria to create new ADRGs in other MDCs.</w:t>
      </w:r>
    </w:p>
    <w:p w14:paraId="49923AD7" w14:textId="77777777" w:rsidR="00F057B2" w:rsidRPr="00167A95" w:rsidRDefault="00F057B2" w:rsidP="00F057B2">
      <w:pPr>
        <w:pStyle w:val="Heading2"/>
        <w:spacing w:before="360" w:after="120" w:line="260" w:lineRule="atLeast"/>
        <w:contextualSpacing/>
      </w:pPr>
      <w:bookmarkStart w:id="94" w:name="_Toc100328201"/>
      <w:bookmarkStart w:id="95" w:name="_Toc124656403"/>
      <w:r w:rsidRPr="00167A95">
        <w:t>Nail and nail bed procedures for hand and foot</w:t>
      </w:r>
      <w:bookmarkEnd w:id="94"/>
      <w:bookmarkEnd w:id="95"/>
    </w:p>
    <w:p w14:paraId="09E82C44" w14:textId="77777777" w:rsidR="00F057B2" w:rsidRDefault="00F057B2" w:rsidP="00D65F7D">
      <w:pPr>
        <w:pStyle w:val="Default"/>
        <w:spacing w:after="160" w:line="288" w:lineRule="auto"/>
        <w:rPr>
          <w:sz w:val="22"/>
          <w:szCs w:val="22"/>
        </w:rPr>
      </w:pPr>
      <w:r>
        <w:rPr>
          <w:sz w:val="22"/>
          <w:szCs w:val="22"/>
        </w:rPr>
        <w:t xml:space="preserve">Two public submissions highlighted a grouping anomaly in MDC 08 </w:t>
      </w:r>
      <w:r>
        <w:rPr>
          <w:i/>
          <w:iCs/>
          <w:sz w:val="22"/>
          <w:szCs w:val="22"/>
        </w:rPr>
        <w:t>Diseases and Disorders of the Musculoskeletal System and Connective Tissue</w:t>
      </w:r>
      <w:r>
        <w:rPr>
          <w:sz w:val="22"/>
          <w:szCs w:val="22"/>
        </w:rPr>
        <w:t xml:space="preserve">, whereby episodes that treat conditions of the hand group to ADRG I20 </w:t>
      </w:r>
      <w:r>
        <w:rPr>
          <w:i/>
          <w:iCs/>
          <w:sz w:val="22"/>
          <w:szCs w:val="22"/>
        </w:rPr>
        <w:t>Other Foot Interventions</w:t>
      </w:r>
      <w:r>
        <w:rPr>
          <w:sz w:val="22"/>
          <w:szCs w:val="22"/>
        </w:rPr>
        <w:t xml:space="preserve">. </w:t>
      </w:r>
    </w:p>
    <w:p w14:paraId="2AF6DE3B" w14:textId="77777777" w:rsidR="00F057B2" w:rsidRDefault="00F057B2" w:rsidP="00D65F7D">
      <w:pPr>
        <w:pStyle w:val="Default"/>
        <w:spacing w:after="160" w:line="288" w:lineRule="auto"/>
        <w:rPr>
          <w:sz w:val="22"/>
          <w:szCs w:val="22"/>
        </w:rPr>
      </w:pPr>
      <w:r>
        <w:rPr>
          <w:sz w:val="22"/>
          <w:szCs w:val="22"/>
        </w:rPr>
        <w:t xml:space="preserve">There are intervention codes in ACHI that reflect the anatomical site for interventions relating to hand and foot. Two of these are not sufficiently granular to appropriately inform grouping: </w:t>
      </w:r>
    </w:p>
    <w:p w14:paraId="5BB859BE" w14:textId="77777777" w:rsidR="00F057B2" w:rsidRDefault="00F057B2" w:rsidP="00D65F7D">
      <w:pPr>
        <w:pStyle w:val="Default"/>
        <w:numPr>
          <w:ilvl w:val="0"/>
          <w:numId w:val="21"/>
        </w:numPr>
        <w:spacing w:after="160" w:line="288" w:lineRule="auto"/>
        <w:ind w:left="714" w:hanging="357"/>
        <w:rPr>
          <w:sz w:val="22"/>
          <w:szCs w:val="22"/>
        </w:rPr>
      </w:pPr>
      <w:r>
        <w:rPr>
          <w:sz w:val="22"/>
          <w:szCs w:val="22"/>
        </w:rPr>
        <w:t>46486-</w:t>
      </w:r>
      <w:r w:rsidRPr="009A096C">
        <w:rPr>
          <w:sz w:val="22"/>
          <w:szCs w:val="22"/>
        </w:rPr>
        <w:t xml:space="preserve">00 </w:t>
      </w:r>
      <w:r w:rsidRPr="009A096C">
        <w:rPr>
          <w:bCs/>
          <w:sz w:val="22"/>
          <w:szCs w:val="22"/>
        </w:rPr>
        <w:t xml:space="preserve">[1636] </w:t>
      </w:r>
      <w:r w:rsidRPr="009A096C">
        <w:rPr>
          <w:i/>
          <w:iCs/>
          <w:sz w:val="22"/>
          <w:szCs w:val="22"/>
        </w:rPr>
        <w:t>Primary repair</w:t>
      </w:r>
      <w:r>
        <w:rPr>
          <w:i/>
          <w:iCs/>
          <w:sz w:val="22"/>
          <w:szCs w:val="22"/>
        </w:rPr>
        <w:t xml:space="preserve"> of nail or nail bed </w:t>
      </w:r>
    </w:p>
    <w:p w14:paraId="4A57C5D5" w14:textId="77777777" w:rsidR="00F057B2" w:rsidRPr="009A096C" w:rsidRDefault="00F057B2" w:rsidP="00D65F7D">
      <w:pPr>
        <w:pStyle w:val="Default"/>
        <w:numPr>
          <w:ilvl w:val="0"/>
          <w:numId w:val="21"/>
        </w:numPr>
        <w:spacing w:after="160" w:line="288" w:lineRule="auto"/>
        <w:ind w:left="714" w:hanging="357"/>
        <w:rPr>
          <w:sz w:val="22"/>
          <w:szCs w:val="22"/>
        </w:rPr>
      </w:pPr>
      <w:r w:rsidRPr="009A096C">
        <w:rPr>
          <w:sz w:val="22"/>
          <w:szCs w:val="22"/>
        </w:rPr>
        <w:t xml:space="preserve">46489-00 </w:t>
      </w:r>
      <w:r w:rsidRPr="009A096C">
        <w:rPr>
          <w:bCs/>
          <w:sz w:val="22"/>
          <w:szCs w:val="22"/>
        </w:rPr>
        <w:t xml:space="preserve">[1636] </w:t>
      </w:r>
      <w:r w:rsidRPr="009A096C">
        <w:rPr>
          <w:i/>
          <w:iCs/>
          <w:sz w:val="22"/>
          <w:szCs w:val="22"/>
        </w:rPr>
        <w:t>Secondary repair of nail or nail bed</w:t>
      </w:r>
      <w:r w:rsidRPr="009A096C">
        <w:rPr>
          <w:sz w:val="22"/>
          <w:szCs w:val="22"/>
        </w:rPr>
        <w:t>.</w:t>
      </w:r>
    </w:p>
    <w:p w14:paraId="244D673B" w14:textId="77777777" w:rsidR="00F057B2" w:rsidRDefault="00F057B2" w:rsidP="00D65F7D">
      <w:pPr>
        <w:pStyle w:val="Default"/>
        <w:spacing w:after="160" w:line="288" w:lineRule="auto"/>
        <w:rPr>
          <w:sz w:val="22"/>
          <w:szCs w:val="22"/>
        </w:rPr>
      </w:pPr>
      <w:r w:rsidRPr="009A096C">
        <w:rPr>
          <w:sz w:val="22"/>
          <w:szCs w:val="22"/>
        </w:rPr>
        <w:t>The anomaly occurs when</w:t>
      </w:r>
      <w:r>
        <w:rPr>
          <w:sz w:val="22"/>
          <w:szCs w:val="22"/>
        </w:rPr>
        <w:t xml:space="preserve"> episodes receive a nail or nail bed repair to the hand but do not have a hand specific principal diagnosis. </w:t>
      </w:r>
    </w:p>
    <w:p w14:paraId="487DF6A9" w14:textId="43C154ED" w:rsidR="00F057B2" w:rsidRDefault="00182054" w:rsidP="00D65F7D">
      <w:pPr>
        <w:rPr>
          <w:highlight w:val="yellow"/>
        </w:rPr>
      </w:pPr>
      <w:r>
        <w:t xml:space="preserve">IHACPA </w:t>
      </w:r>
      <w:r w:rsidR="00F057B2">
        <w:t xml:space="preserve">assessed the impact of this grouping anomaly and identified </w:t>
      </w:r>
      <w:r w:rsidR="00F057B2" w:rsidRPr="00005D76">
        <w:t>57</w:t>
      </w:r>
      <w:r w:rsidR="00F057B2">
        <w:t xml:space="preserve"> episodes within ADRG I20 from 2016–17 to 2018–19 that appear to have only fingernail repair interventions. The ACHI codes for nail repair are expanded to distinguish fingernail and toenail repairs in ACHI Twelfth Edition as outlined in </w:t>
      </w:r>
      <w:r w:rsidR="00F057B2" w:rsidRPr="001D3991">
        <w:rPr>
          <w:b/>
          <w:bCs/>
        </w:rPr>
        <w:t>Appendix A</w:t>
      </w:r>
      <w:r w:rsidR="00F057B2" w:rsidRPr="00736A14">
        <w:t>.</w:t>
      </w:r>
      <w:r w:rsidR="00F057B2">
        <w:t xml:space="preserve"> </w:t>
      </w:r>
    </w:p>
    <w:p w14:paraId="236C7C06" w14:textId="77777777" w:rsidR="00F057B2" w:rsidRPr="00167A95" w:rsidRDefault="00F057B2" w:rsidP="000B5BC9">
      <w:r>
        <w:t xml:space="preserve">The Twelfth Edition ACHI codes </w:t>
      </w:r>
      <w:r w:rsidRPr="00E10E0A">
        <w:t xml:space="preserve">allow episodes with a nail repair intervention to group to an anatomically appropriate ADRG. The definitions of ADRGs that use nail repair interventions </w:t>
      </w:r>
      <w:r>
        <w:t>were</w:t>
      </w:r>
      <w:r w:rsidRPr="00E10E0A">
        <w:t xml:space="preserve"> updated to ensure that fingernail repair interventions are used in hand related ADRGs while toenail repair interventions are used in foot related ADRGs.</w:t>
      </w:r>
    </w:p>
    <w:p w14:paraId="13DEC8BA" w14:textId="77777777" w:rsidR="00F057B2" w:rsidRPr="00DC76E1" w:rsidRDefault="00F057B2" w:rsidP="00B94226">
      <w:pPr>
        <w:pStyle w:val="Heading2"/>
        <w:spacing w:before="360" w:after="120" w:line="260" w:lineRule="atLeast"/>
        <w:ind w:left="578" w:hanging="578"/>
        <w:contextualSpacing/>
      </w:pPr>
      <w:bookmarkStart w:id="96" w:name="_Toc100328202"/>
      <w:bookmarkStart w:id="97" w:name="_Toc124656404"/>
      <w:r w:rsidRPr="00DC76E1">
        <w:t>Review of sex edits in the admitted care classifications</w:t>
      </w:r>
      <w:bookmarkEnd w:id="96"/>
      <w:bookmarkEnd w:id="97"/>
    </w:p>
    <w:p w14:paraId="64C7332D" w14:textId="77777777" w:rsidR="00F057B2" w:rsidRDefault="00F057B2" w:rsidP="00D65F7D">
      <w:pPr>
        <w:pStyle w:val="Default"/>
        <w:spacing w:after="160" w:line="288" w:lineRule="auto"/>
        <w:rPr>
          <w:sz w:val="22"/>
          <w:szCs w:val="22"/>
        </w:rPr>
      </w:pPr>
      <w:r>
        <w:rPr>
          <w:sz w:val="22"/>
          <w:szCs w:val="22"/>
        </w:rPr>
        <w:t xml:space="preserve">The concept of sex that has been collected in the health national minimum data sets (NMDS) is described as the characteristics (e.g., </w:t>
      </w:r>
      <w:r w:rsidRPr="00167738">
        <w:rPr>
          <w:sz w:val="22"/>
          <w:szCs w:val="22"/>
        </w:rPr>
        <w:t xml:space="preserve">chromosomal, </w:t>
      </w:r>
      <w:proofErr w:type="gramStart"/>
      <w:r w:rsidRPr="00167738">
        <w:rPr>
          <w:sz w:val="22"/>
          <w:szCs w:val="22"/>
        </w:rPr>
        <w:t>gonadal</w:t>
      </w:r>
      <w:proofErr w:type="gramEnd"/>
      <w:r w:rsidRPr="00167738">
        <w:rPr>
          <w:sz w:val="22"/>
          <w:szCs w:val="22"/>
        </w:rPr>
        <w:t xml:space="preserve"> and anatomical characteristics</w:t>
      </w:r>
      <w:r>
        <w:rPr>
          <w:sz w:val="22"/>
          <w:szCs w:val="22"/>
        </w:rPr>
        <w:t>) associated with biological sex. Where an individual has conflicting biological characteristics, the anatomical characteristics are used to determine their sex for reporting purposes</w:t>
      </w:r>
      <w:r>
        <w:rPr>
          <w:rStyle w:val="FootnoteReference"/>
          <w:rFonts w:eastAsiaTheme="majorEastAsia"/>
          <w:sz w:val="22"/>
          <w:szCs w:val="22"/>
        </w:rPr>
        <w:footnoteReference w:id="5"/>
      </w:r>
      <w:r>
        <w:rPr>
          <w:sz w:val="22"/>
          <w:szCs w:val="22"/>
        </w:rPr>
        <w:t xml:space="preserve">. </w:t>
      </w:r>
    </w:p>
    <w:p w14:paraId="49033A9C" w14:textId="77777777" w:rsidR="00F057B2" w:rsidRDefault="00F057B2" w:rsidP="00D65F7D">
      <w:pPr>
        <w:pStyle w:val="Default"/>
        <w:spacing w:after="160" w:line="288" w:lineRule="auto"/>
        <w:rPr>
          <w:sz w:val="22"/>
          <w:szCs w:val="22"/>
        </w:rPr>
      </w:pPr>
      <w:r>
        <w:rPr>
          <w:sz w:val="22"/>
          <w:szCs w:val="22"/>
        </w:rPr>
        <w:t xml:space="preserve">Feedback indicated that sex may be misreported when patients are not aware of an internal organ or chromosomal abnormality that conflicts with their anatomical characteristics of sex, or when </w:t>
      </w:r>
      <w:r>
        <w:rPr>
          <w:sz w:val="22"/>
          <w:szCs w:val="22"/>
        </w:rPr>
        <w:lastRenderedPageBreak/>
        <w:t>patients respond using the sociological concept of gender – a concept distinct from the biological characteristics that define sex. Additionally, during the development cycle stakeholders in national forums indicated an interest in the reduction on the reliance of the sex variable.</w:t>
      </w:r>
    </w:p>
    <w:p w14:paraId="1BEC56C7" w14:textId="6AE3EDD9" w:rsidR="00F057B2" w:rsidRDefault="00182054" w:rsidP="00D65F7D">
      <w:pPr>
        <w:pStyle w:val="Default"/>
        <w:spacing w:after="160" w:line="288" w:lineRule="auto"/>
        <w:rPr>
          <w:sz w:val="22"/>
          <w:szCs w:val="22"/>
        </w:rPr>
      </w:pPr>
      <w:r>
        <w:rPr>
          <w:sz w:val="22"/>
          <w:szCs w:val="22"/>
        </w:rPr>
        <w:t xml:space="preserve">IHACPA </w:t>
      </w:r>
      <w:r w:rsidR="00F057B2">
        <w:rPr>
          <w:sz w:val="22"/>
          <w:szCs w:val="22"/>
        </w:rPr>
        <w:t xml:space="preserve">confirmed the feedback with DTG members and investigated the use of the sex variable in AR-DRG V10.0, which includes: </w:t>
      </w:r>
    </w:p>
    <w:p w14:paraId="54C9DD8B" w14:textId="77777777" w:rsidR="00F057B2" w:rsidRDefault="00F057B2" w:rsidP="00D65F7D">
      <w:pPr>
        <w:pStyle w:val="ListParagraph"/>
        <w:numPr>
          <w:ilvl w:val="0"/>
          <w:numId w:val="26"/>
        </w:numPr>
        <w:ind w:left="714" w:hanging="357"/>
        <w:contextualSpacing w:val="0"/>
      </w:pPr>
      <w:r>
        <w:t xml:space="preserve">sex as a classification variable – to inform the grouping of an episode to MDC 12 </w:t>
      </w:r>
      <w:r w:rsidRPr="005D6344">
        <w:t>Diseases and Disorders of the Male Reproductive System</w:t>
      </w:r>
      <w:r>
        <w:t xml:space="preserve"> and MDC 13 </w:t>
      </w:r>
      <w:r w:rsidRPr="005D6344">
        <w:t>Diseases and Disorders of the Female Reproductive System</w:t>
      </w:r>
    </w:p>
    <w:p w14:paraId="5F4501C0" w14:textId="77777777" w:rsidR="00F057B2" w:rsidRDefault="00F057B2" w:rsidP="00D65F7D">
      <w:pPr>
        <w:pStyle w:val="ListParagraph"/>
        <w:numPr>
          <w:ilvl w:val="0"/>
          <w:numId w:val="26"/>
        </w:numPr>
        <w:ind w:left="714" w:hanging="357"/>
        <w:contextualSpacing w:val="0"/>
      </w:pPr>
      <w:r>
        <w:t xml:space="preserve">sex conflict test – to change the grouping of episodes that fail the ‘sex conflict test’ to DRG 960Z </w:t>
      </w:r>
      <w:r>
        <w:rPr>
          <w:i/>
          <w:iCs/>
        </w:rPr>
        <w:t xml:space="preserve">Ungroupable </w:t>
      </w:r>
      <w:r>
        <w:t xml:space="preserve">in MDCs 12, 13 and 14 </w:t>
      </w:r>
      <w:r>
        <w:rPr>
          <w:i/>
          <w:iCs/>
        </w:rPr>
        <w:t xml:space="preserve">Pregnancy, </w:t>
      </w:r>
      <w:proofErr w:type="gramStart"/>
      <w:r>
        <w:rPr>
          <w:i/>
          <w:iCs/>
        </w:rPr>
        <w:t>Childbirth</w:t>
      </w:r>
      <w:proofErr w:type="gramEnd"/>
      <w:r>
        <w:rPr>
          <w:i/>
          <w:iCs/>
        </w:rPr>
        <w:t xml:space="preserve"> and the Puerperium</w:t>
      </w:r>
    </w:p>
    <w:p w14:paraId="7560FDEF" w14:textId="77777777" w:rsidR="00F057B2" w:rsidRDefault="00F057B2" w:rsidP="00D65F7D">
      <w:pPr>
        <w:pStyle w:val="ListParagraph"/>
        <w:numPr>
          <w:ilvl w:val="0"/>
          <w:numId w:val="26"/>
        </w:numPr>
        <w:ind w:left="714" w:hanging="357"/>
        <w:contextualSpacing w:val="0"/>
      </w:pPr>
      <w:r>
        <w:t>sex as an edit variable – to promote data quality, flags are generated to warn the user that a patient’s sex does not match with the biological characteristics of a diagnosis or intervention code.</w:t>
      </w:r>
    </w:p>
    <w:p w14:paraId="24FABC34" w14:textId="77777777" w:rsidR="00F057B2" w:rsidRPr="00DC76E1" w:rsidRDefault="00F057B2" w:rsidP="00F057B2">
      <w:pPr>
        <w:pStyle w:val="Heading3"/>
        <w:spacing w:before="240" w:after="120" w:line="240" w:lineRule="auto"/>
        <w:contextualSpacing/>
      </w:pPr>
      <w:bookmarkStart w:id="98" w:name="_Toc124656405"/>
      <w:r w:rsidRPr="00DC76E1">
        <w:t>Limiting the requirement to use ‘sex’ as a classification variable</w:t>
      </w:r>
      <w:bookmarkEnd w:id="98"/>
    </w:p>
    <w:p w14:paraId="4212CC77" w14:textId="77777777" w:rsidR="00F057B2" w:rsidRDefault="00F057B2" w:rsidP="00D65F7D">
      <w:pPr>
        <w:pStyle w:val="Default"/>
        <w:spacing w:after="160" w:line="288" w:lineRule="auto"/>
        <w:rPr>
          <w:sz w:val="22"/>
          <w:szCs w:val="22"/>
        </w:rPr>
      </w:pPr>
      <w:r>
        <w:rPr>
          <w:sz w:val="22"/>
          <w:szCs w:val="22"/>
        </w:rPr>
        <w:t xml:space="preserve">When ‘sex’ is misreported, it may impact the grouping of the episode within the AR-DRG classification, especially in MDCs 12 and 13. For AR-DRG V10.0, there are 67 principal diagnosis codes that require the sex variable to determine whether the episode should be assigned to MDC 12 or 13. For example, S38.2 </w:t>
      </w:r>
      <w:r w:rsidRPr="00923C85">
        <w:rPr>
          <w:i/>
          <w:sz w:val="22"/>
          <w:szCs w:val="22"/>
        </w:rPr>
        <w:t>Traumatic amputation of external genital organs</w:t>
      </w:r>
      <w:r>
        <w:rPr>
          <w:sz w:val="22"/>
          <w:szCs w:val="22"/>
        </w:rPr>
        <w:t xml:space="preserve"> is used to classify both female and male reproductive system organs. </w:t>
      </w:r>
    </w:p>
    <w:p w14:paraId="663AC632" w14:textId="28303E98" w:rsidR="00F057B2" w:rsidRDefault="00182054" w:rsidP="00D65F7D">
      <w:pPr>
        <w:pStyle w:val="Default"/>
        <w:spacing w:after="160" w:line="288" w:lineRule="auto"/>
        <w:rPr>
          <w:sz w:val="22"/>
          <w:szCs w:val="22"/>
        </w:rPr>
      </w:pPr>
      <w:r>
        <w:rPr>
          <w:sz w:val="22"/>
          <w:szCs w:val="22"/>
        </w:rPr>
        <w:t xml:space="preserve">IHACPA </w:t>
      </w:r>
      <w:r w:rsidR="00F057B2">
        <w:rPr>
          <w:sz w:val="22"/>
          <w:szCs w:val="22"/>
        </w:rPr>
        <w:t>has reviewed the 67 principal diagnosis codes to limit the need for sex as a classification variable, and:</w:t>
      </w:r>
    </w:p>
    <w:p w14:paraId="77D26B9D" w14:textId="77777777" w:rsidR="00F057B2" w:rsidRDefault="00F057B2" w:rsidP="00D65F7D">
      <w:pPr>
        <w:pStyle w:val="Default"/>
        <w:numPr>
          <w:ilvl w:val="0"/>
          <w:numId w:val="20"/>
        </w:numPr>
        <w:spacing w:after="160" w:line="288" w:lineRule="auto"/>
        <w:ind w:left="714" w:hanging="357"/>
        <w:rPr>
          <w:sz w:val="22"/>
          <w:szCs w:val="22"/>
        </w:rPr>
      </w:pPr>
      <w:r>
        <w:rPr>
          <w:sz w:val="22"/>
          <w:szCs w:val="22"/>
        </w:rPr>
        <w:t xml:space="preserve">relocated codes that do not relate to the reproductive system to a more appropriate ADRG, for example moving Q96.8 </w:t>
      </w:r>
      <w:r w:rsidRPr="006446AE">
        <w:rPr>
          <w:i/>
          <w:sz w:val="22"/>
          <w:szCs w:val="22"/>
        </w:rPr>
        <w:t>Turner’s syndrome, unspecified</w:t>
      </w:r>
      <w:r>
        <w:rPr>
          <w:sz w:val="22"/>
          <w:szCs w:val="22"/>
        </w:rPr>
        <w:t xml:space="preserve"> to ADRG </w:t>
      </w:r>
      <w:r w:rsidRPr="006446AE">
        <w:rPr>
          <w:sz w:val="22"/>
          <w:szCs w:val="22"/>
        </w:rPr>
        <w:t xml:space="preserve">Z65 </w:t>
      </w:r>
      <w:r w:rsidRPr="006446AE">
        <w:rPr>
          <w:i/>
          <w:sz w:val="22"/>
          <w:szCs w:val="22"/>
        </w:rPr>
        <w:t xml:space="preserve">Congenital </w:t>
      </w:r>
      <w:r>
        <w:rPr>
          <w:i/>
          <w:sz w:val="22"/>
          <w:szCs w:val="22"/>
        </w:rPr>
        <w:t xml:space="preserve">Malformations, Chromosomal Abnormalities and </w:t>
      </w:r>
      <w:r w:rsidRPr="006446AE">
        <w:rPr>
          <w:i/>
          <w:sz w:val="22"/>
          <w:szCs w:val="22"/>
        </w:rPr>
        <w:t xml:space="preserve">Problems </w:t>
      </w:r>
      <w:r>
        <w:rPr>
          <w:i/>
          <w:sz w:val="22"/>
          <w:szCs w:val="22"/>
        </w:rPr>
        <w:t>A</w:t>
      </w:r>
      <w:r w:rsidRPr="006446AE">
        <w:rPr>
          <w:i/>
          <w:sz w:val="22"/>
          <w:szCs w:val="22"/>
        </w:rPr>
        <w:t xml:space="preserve">rising </w:t>
      </w:r>
      <w:r>
        <w:rPr>
          <w:i/>
          <w:sz w:val="22"/>
          <w:szCs w:val="22"/>
        </w:rPr>
        <w:t xml:space="preserve">in the </w:t>
      </w:r>
      <w:r w:rsidRPr="006446AE">
        <w:rPr>
          <w:i/>
          <w:sz w:val="22"/>
          <w:szCs w:val="22"/>
        </w:rPr>
        <w:t>Neonatal Period</w:t>
      </w:r>
      <w:r>
        <w:rPr>
          <w:sz w:val="22"/>
          <w:szCs w:val="22"/>
        </w:rPr>
        <w:t xml:space="preserve"> </w:t>
      </w:r>
    </w:p>
    <w:p w14:paraId="5E77651D" w14:textId="77777777" w:rsidR="00F057B2" w:rsidRDefault="00F057B2" w:rsidP="00D65F7D">
      <w:pPr>
        <w:pStyle w:val="Default"/>
        <w:numPr>
          <w:ilvl w:val="0"/>
          <w:numId w:val="20"/>
        </w:numPr>
        <w:spacing w:after="160" w:line="288" w:lineRule="auto"/>
        <w:ind w:left="714" w:hanging="357"/>
        <w:rPr>
          <w:sz w:val="22"/>
          <w:szCs w:val="22"/>
        </w:rPr>
      </w:pPr>
      <w:r>
        <w:rPr>
          <w:sz w:val="22"/>
          <w:szCs w:val="22"/>
        </w:rPr>
        <w:t>developed new codes in ICD-10-AM Twelfth Edition for concepts relating to the reproductive system that are previously unable to distinguish between the male and female reproductive organs.</w:t>
      </w:r>
    </w:p>
    <w:p w14:paraId="256EE5C6" w14:textId="5DDE287B" w:rsidR="00F057B2" w:rsidRDefault="00F057B2" w:rsidP="00D65F7D">
      <w:pPr>
        <w:pStyle w:val="Default"/>
        <w:spacing w:after="160" w:line="288" w:lineRule="auto"/>
        <w:rPr>
          <w:sz w:val="22"/>
          <w:szCs w:val="22"/>
        </w:rPr>
      </w:pPr>
      <w:r>
        <w:rPr>
          <w:sz w:val="22"/>
          <w:szCs w:val="22"/>
        </w:rPr>
        <w:t xml:space="preserve">In AR-DRG V11.0, only one principal diagnosis code (R10.2 </w:t>
      </w:r>
      <w:r>
        <w:rPr>
          <w:i/>
          <w:iCs/>
          <w:sz w:val="22"/>
          <w:szCs w:val="22"/>
        </w:rPr>
        <w:t>Pelvic and perineal pain</w:t>
      </w:r>
      <w:r>
        <w:rPr>
          <w:sz w:val="22"/>
          <w:szCs w:val="22"/>
        </w:rPr>
        <w:t xml:space="preserve">) requires the patient’s reported biological sex to group an episode into MDC 12 or 13. </w:t>
      </w:r>
      <w:r w:rsidR="00182054">
        <w:rPr>
          <w:sz w:val="22"/>
          <w:szCs w:val="22"/>
        </w:rPr>
        <w:t xml:space="preserve">IHACPA </w:t>
      </w:r>
      <w:r>
        <w:rPr>
          <w:sz w:val="22"/>
          <w:szCs w:val="22"/>
        </w:rPr>
        <w:t>has worked with its technical and clinical working groups to enhance classification guidelines in ICD-10-AM Twelfth Edition in the assignment of R10.2 and will conduct further review in a future development cycle with a view to removing the need for sex as a classification variable altogether.</w:t>
      </w:r>
    </w:p>
    <w:p w14:paraId="2A71A769" w14:textId="77777777" w:rsidR="00F057B2" w:rsidRPr="009A096C" w:rsidRDefault="00F057B2" w:rsidP="00F057B2">
      <w:pPr>
        <w:pStyle w:val="Heading3"/>
        <w:spacing w:before="240" w:after="120" w:line="240" w:lineRule="auto"/>
        <w:contextualSpacing/>
      </w:pPr>
      <w:bookmarkStart w:id="99" w:name="_Toc124656406"/>
      <w:r>
        <w:t>Sex conflict test causing grouping errors</w:t>
      </w:r>
      <w:bookmarkEnd w:id="99"/>
    </w:p>
    <w:p w14:paraId="65302FC0" w14:textId="77777777" w:rsidR="00F057B2" w:rsidRDefault="00F057B2" w:rsidP="000B5BC9">
      <w:r>
        <w:t xml:space="preserve">In AR-DRG V10.0, once an episode is assigned to MDC 12, 13 or 14 by the principal diagnosis, it is subject to the sex conflict test. This requires the sex variable to be a permissible value before it groups to the appropriate ADRG. If the reported sex does not match the sex conflict test for each MDC, then the episode will group to DRG 960Z </w:t>
      </w:r>
      <w:r w:rsidRPr="005747D1">
        <w:rPr>
          <w:i/>
        </w:rPr>
        <w:t>Ungroupable</w:t>
      </w:r>
      <w:r>
        <w:t xml:space="preserve">. </w:t>
      </w:r>
      <w:r w:rsidRPr="008837B4">
        <w:rPr>
          <w:b/>
          <w:bCs/>
        </w:rPr>
        <w:t>Table 1</w:t>
      </w:r>
      <w:r>
        <w:t xml:space="preserve"> demonstrates the permissible values for the MDCs where the sex conflict test is applied.</w:t>
      </w:r>
    </w:p>
    <w:p w14:paraId="04A4B2F8" w14:textId="77777777" w:rsidR="00F057B2" w:rsidRPr="00D65F7D" w:rsidRDefault="00F057B2" w:rsidP="00D65F7D">
      <w:pPr>
        <w:rPr>
          <w:b/>
          <w:color w:val="auto"/>
          <w:sz w:val="18"/>
          <w:szCs w:val="18"/>
        </w:rPr>
      </w:pPr>
      <w:r w:rsidRPr="00D65F7D">
        <w:rPr>
          <w:b/>
          <w:color w:val="auto"/>
          <w:sz w:val="18"/>
          <w:szCs w:val="18"/>
        </w:rPr>
        <w:lastRenderedPageBreak/>
        <w:t>Table 1: MDCs with sex conflict test in AR-DRG V10.0</w:t>
      </w:r>
    </w:p>
    <w:tbl>
      <w:tblPr>
        <w:tblStyle w:val="TableGrid"/>
        <w:tblW w:w="0" w:type="auto"/>
        <w:jc w:val="center"/>
        <w:tblLook w:val="04A0" w:firstRow="1" w:lastRow="0" w:firstColumn="1" w:lastColumn="0" w:noHBand="0" w:noVBand="1"/>
      </w:tblPr>
      <w:tblGrid>
        <w:gridCol w:w="5665"/>
        <w:gridCol w:w="3544"/>
      </w:tblGrid>
      <w:tr w:rsidR="00F057B2" w:rsidRPr="00F057B2" w14:paraId="6FDD4190" w14:textId="77777777" w:rsidTr="00EA1462">
        <w:trPr>
          <w:jc w:val="center"/>
        </w:trPr>
        <w:tc>
          <w:tcPr>
            <w:tcW w:w="5665" w:type="dxa"/>
            <w:shd w:val="clear" w:color="auto" w:fill="104F99" w:themeFill="accent2"/>
            <w:vAlign w:val="center"/>
          </w:tcPr>
          <w:p w14:paraId="3D727BE2" w14:textId="77777777" w:rsidR="00F057B2" w:rsidRPr="00F057B2" w:rsidRDefault="00F057B2" w:rsidP="00D65F7D">
            <w:pPr>
              <w:spacing w:after="160"/>
              <w:rPr>
                <w:b/>
                <w:color w:val="FFFFFF" w:themeColor="accent6"/>
              </w:rPr>
            </w:pPr>
            <w:r w:rsidRPr="00F057B2">
              <w:rPr>
                <w:b/>
                <w:color w:val="FFFFFF" w:themeColor="accent6"/>
              </w:rPr>
              <w:t>MDCs with sex conflict test</w:t>
            </w:r>
          </w:p>
        </w:tc>
        <w:tc>
          <w:tcPr>
            <w:tcW w:w="3544" w:type="dxa"/>
            <w:shd w:val="clear" w:color="auto" w:fill="104F99" w:themeFill="accent2"/>
            <w:vAlign w:val="center"/>
          </w:tcPr>
          <w:p w14:paraId="6C0751E2" w14:textId="77777777" w:rsidR="00F057B2" w:rsidRPr="00F057B2" w:rsidRDefault="00F057B2" w:rsidP="00D65F7D">
            <w:pPr>
              <w:spacing w:after="160"/>
              <w:rPr>
                <w:b/>
                <w:color w:val="FFFFFF" w:themeColor="accent6"/>
              </w:rPr>
            </w:pPr>
            <w:r w:rsidRPr="00F057B2">
              <w:rPr>
                <w:b/>
                <w:color w:val="FFFFFF" w:themeColor="accent6"/>
              </w:rPr>
              <w:t>Permissible values for the sex conflict test in V10.0</w:t>
            </w:r>
          </w:p>
        </w:tc>
      </w:tr>
      <w:tr w:rsidR="00F057B2" w:rsidRPr="00F057B2" w14:paraId="63273386" w14:textId="77777777" w:rsidTr="00F057B2">
        <w:trPr>
          <w:jc w:val="center"/>
        </w:trPr>
        <w:tc>
          <w:tcPr>
            <w:tcW w:w="5665" w:type="dxa"/>
            <w:shd w:val="clear" w:color="auto" w:fill="auto"/>
            <w:vAlign w:val="center"/>
          </w:tcPr>
          <w:p w14:paraId="162911E6" w14:textId="77777777" w:rsidR="00F057B2" w:rsidRPr="00F057B2" w:rsidRDefault="00F057B2" w:rsidP="00D65F7D">
            <w:pPr>
              <w:spacing w:after="160"/>
            </w:pPr>
            <w:r w:rsidRPr="00F057B2">
              <w:t xml:space="preserve">MDC 12 </w:t>
            </w:r>
            <w:r w:rsidRPr="00F057B2">
              <w:rPr>
                <w:i/>
              </w:rPr>
              <w:t>Diseases and Disorders of the Male Reproductive System</w:t>
            </w:r>
          </w:p>
        </w:tc>
        <w:tc>
          <w:tcPr>
            <w:tcW w:w="3544" w:type="dxa"/>
            <w:shd w:val="clear" w:color="auto" w:fill="auto"/>
            <w:vAlign w:val="center"/>
          </w:tcPr>
          <w:p w14:paraId="40A05D47" w14:textId="77777777" w:rsidR="00F057B2" w:rsidRPr="00F057B2" w:rsidRDefault="00F057B2" w:rsidP="00D65F7D">
            <w:pPr>
              <w:spacing w:after="160"/>
            </w:pPr>
            <w:r w:rsidRPr="00F057B2">
              <w:t>‘Male’ (1) or ‘Other’ (3)</w:t>
            </w:r>
          </w:p>
        </w:tc>
      </w:tr>
      <w:tr w:rsidR="00F057B2" w:rsidRPr="00F057B2" w14:paraId="7BA24935" w14:textId="77777777" w:rsidTr="00F057B2">
        <w:trPr>
          <w:jc w:val="center"/>
        </w:trPr>
        <w:tc>
          <w:tcPr>
            <w:tcW w:w="5665" w:type="dxa"/>
            <w:shd w:val="clear" w:color="auto" w:fill="auto"/>
            <w:vAlign w:val="center"/>
          </w:tcPr>
          <w:p w14:paraId="71F08780" w14:textId="77777777" w:rsidR="00F057B2" w:rsidRPr="00F057B2" w:rsidRDefault="00F057B2" w:rsidP="00D65F7D">
            <w:pPr>
              <w:spacing w:after="160"/>
            </w:pPr>
            <w:r w:rsidRPr="00F057B2">
              <w:t xml:space="preserve">MDC 13 </w:t>
            </w:r>
            <w:r w:rsidRPr="00F057B2">
              <w:rPr>
                <w:i/>
              </w:rPr>
              <w:t>Diseases and Disorders of the Female Reproductive System</w:t>
            </w:r>
          </w:p>
        </w:tc>
        <w:tc>
          <w:tcPr>
            <w:tcW w:w="3544" w:type="dxa"/>
            <w:shd w:val="clear" w:color="auto" w:fill="auto"/>
            <w:vAlign w:val="center"/>
          </w:tcPr>
          <w:p w14:paraId="338B21F3" w14:textId="77777777" w:rsidR="00F057B2" w:rsidRPr="00F057B2" w:rsidRDefault="00F057B2" w:rsidP="00D65F7D">
            <w:pPr>
              <w:spacing w:after="160"/>
            </w:pPr>
            <w:r w:rsidRPr="00F057B2">
              <w:t>‘Female’ (2) or ‘Other’ (3)</w:t>
            </w:r>
          </w:p>
        </w:tc>
      </w:tr>
      <w:tr w:rsidR="00F057B2" w:rsidRPr="00F057B2" w14:paraId="7B2986D3" w14:textId="77777777" w:rsidTr="00F057B2">
        <w:trPr>
          <w:jc w:val="center"/>
        </w:trPr>
        <w:tc>
          <w:tcPr>
            <w:tcW w:w="5665" w:type="dxa"/>
            <w:shd w:val="clear" w:color="auto" w:fill="auto"/>
            <w:vAlign w:val="center"/>
          </w:tcPr>
          <w:p w14:paraId="1BDF5F9B" w14:textId="77777777" w:rsidR="00F057B2" w:rsidRPr="00F057B2" w:rsidRDefault="00F057B2" w:rsidP="00D65F7D">
            <w:pPr>
              <w:spacing w:after="160"/>
            </w:pPr>
            <w:r w:rsidRPr="00F057B2">
              <w:t xml:space="preserve">MDC 14 </w:t>
            </w:r>
            <w:r w:rsidRPr="00F057B2">
              <w:rPr>
                <w:i/>
              </w:rPr>
              <w:t xml:space="preserve">Pregnancy, </w:t>
            </w:r>
            <w:proofErr w:type="gramStart"/>
            <w:r w:rsidRPr="00F057B2">
              <w:rPr>
                <w:i/>
              </w:rPr>
              <w:t>Childbirth</w:t>
            </w:r>
            <w:proofErr w:type="gramEnd"/>
            <w:r w:rsidRPr="00F057B2">
              <w:rPr>
                <w:i/>
              </w:rPr>
              <w:t xml:space="preserve"> and the Puerperium</w:t>
            </w:r>
          </w:p>
        </w:tc>
        <w:tc>
          <w:tcPr>
            <w:tcW w:w="3544" w:type="dxa"/>
            <w:shd w:val="clear" w:color="auto" w:fill="auto"/>
            <w:vAlign w:val="center"/>
          </w:tcPr>
          <w:p w14:paraId="63637FC5" w14:textId="77777777" w:rsidR="00F057B2" w:rsidRPr="00F057B2" w:rsidRDefault="00F057B2" w:rsidP="00D65F7D">
            <w:pPr>
              <w:spacing w:after="160"/>
            </w:pPr>
            <w:r w:rsidRPr="00F057B2">
              <w:t>‘Female’ (2) or ‘Other’ (3)</w:t>
            </w:r>
          </w:p>
        </w:tc>
      </w:tr>
    </w:tbl>
    <w:p w14:paraId="032639D4" w14:textId="2EC3D9AA" w:rsidR="00F057B2" w:rsidRDefault="00182054" w:rsidP="00D65F7D">
      <w:pPr>
        <w:spacing w:before="120"/>
      </w:pPr>
      <w:r>
        <w:t xml:space="preserve">IHACPA </w:t>
      </w:r>
      <w:r w:rsidR="00F057B2">
        <w:t xml:space="preserve">received feedback that the sex conflict test can force an episode to group to an error DRG even when the data for that episode is correct. The sex conflict test would be triggered in certain circumstances. For example, when a male presents for surgery to treat a fallopian tube discovered in a previous surgery. These situations are clinically </w:t>
      </w:r>
      <w:proofErr w:type="gramStart"/>
      <w:r w:rsidR="00F057B2">
        <w:t>valid</w:t>
      </w:r>
      <w:proofErr w:type="gramEnd"/>
      <w:r w:rsidR="00F057B2">
        <w:t xml:space="preserve"> but the sex conflict test has no sensitivity to deal with these rare circumstances. </w:t>
      </w:r>
    </w:p>
    <w:p w14:paraId="6C852027" w14:textId="77777777" w:rsidR="00F057B2" w:rsidRDefault="00F057B2" w:rsidP="000B5BC9">
      <w:r>
        <w:t xml:space="preserve">Following consultation with CCAG and DTG, the sex conflict test has been removed from </w:t>
      </w:r>
      <w:r>
        <w:br/>
        <w:t xml:space="preserve">AR-DRG V11.0 to ensure appropriate grouping of episodes. </w:t>
      </w:r>
    </w:p>
    <w:p w14:paraId="4A2F6378" w14:textId="77777777" w:rsidR="00F057B2" w:rsidRDefault="00F057B2" w:rsidP="00F057B2">
      <w:pPr>
        <w:pStyle w:val="Heading3"/>
        <w:spacing w:before="240" w:after="120" w:line="240" w:lineRule="auto"/>
        <w:contextualSpacing/>
      </w:pPr>
      <w:bookmarkStart w:id="100" w:name="_Toc124656407"/>
      <w:r>
        <w:t>Use of ‘sex’ as an edit variable</w:t>
      </w:r>
      <w:bookmarkEnd w:id="100"/>
    </w:p>
    <w:p w14:paraId="1707C159" w14:textId="77777777" w:rsidR="00F057B2" w:rsidRDefault="00F057B2" w:rsidP="00900CDB">
      <w:r>
        <w:t xml:space="preserve">There is no change to the use of sex as an edit variable in AR-DRG V11.0. The sex conflict flag continues to be used to warn users where an ICD-10-AM and ACHI code conflicts with the patient’s reported sex for measures of data quality. The sex conflict flag is a warning flag only and does not impact the grouping of episodes. </w:t>
      </w:r>
    </w:p>
    <w:p w14:paraId="1F912323" w14:textId="77777777" w:rsidR="00F057B2" w:rsidRPr="00363DA7" w:rsidRDefault="00F057B2" w:rsidP="00F057B2">
      <w:pPr>
        <w:pStyle w:val="Heading2"/>
        <w:spacing w:before="360" w:after="120" w:line="260" w:lineRule="atLeast"/>
        <w:contextualSpacing/>
      </w:pPr>
      <w:bookmarkStart w:id="101" w:name="_Toc100328203"/>
      <w:bookmarkStart w:id="102" w:name="_Toc124656408"/>
      <w:r w:rsidRPr="00363DA7">
        <w:t>Alignment of age edits in the admitted care classification</w:t>
      </w:r>
      <w:r>
        <w:t>s</w:t>
      </w:r>
      <w:bookmarkEnd w:id="101"/>
      <w:bookmarkEnd w:id="102"/>
    </w:p>
    <w:p w14:paraId="1DFDCB36" w14:textId="77777777" w:rsidR="00F057B2" w:rsidRPr="00335668" w:rsidRDefault="00F057B2" w:rsidP="00900CDB">
      <w:r w:rsidRPr="00335668">
        <w:t xml:space="preserve">In the AR-DRG classification, age conflict flag </w:t>
      </w:r>
      <w:r w:rsidRPr="00F87B15">
        <w:t xml:space="preserve">arises when a </w:t>
      </w:r>
      <w:r>
        <w:t xml:space="preserve">diagnosis or intervention code is not </w:t>
      </w:r>
      <w:r w:rsidRPr="00F87B15">
        <w:t xml:space="preserve">compatible </w:t>
      </w:r>
      <w:r>
        <w:t>with the patient’s age</w:t>
      </w:r>
      <w:r w:rsidRPr="00F87B15">
        <w:t>.</w:t>
      </w:r>
      <w:r>
        <w:t xml:space="preserve"> The age conflict flag is a warning flag only and does not impact the grouping of episodes.</w:t>
      </w:r>
    </w:p>
    <w:p w14:paraId="2C6993C3" w14:textId="2A822693" w:rsidR="00F057B2" w:rsidRDefault="00F057B2" w:rsidP="00900CDB">
      <w:r w:rsidRPr="00363DA7">
        <w:t xml:space="preserve">During the AR-DRG V11.0 development, </w:t>
      </w:r>
      <w:r w:rsidR="00182054">
        <w:t xml:space="preserve">IHACPA </w:t>
      </w:r>
      <w:r w:rsidRPr="00335668">
        <w:t>reviewed the age edits in the ICD-10-AM Electronic Code Lists (ECLs) and the AR-DRG Definitions Manual and found that while the majority align there are a small percentage of discrepancies between the two.</w:t>
      </w:r>
    </w:p>
    <w:p w14:paraId="69565BB5" w14:textId="5E0EAABF" w:rsidR="00F057B2" w:rsidRPr="00363DA7" w:rsidRDefault="00F057B2" w:rsidP="00900CDB">
      <w:r w:rsidRPr="00335668">
        <w:t xml:space="preserve">In </w:t>
      </w:r>
      <w:r>
        <w:t xml:space="preserve">response, </w:t>
      </w:r>
      <w:r w:rsidR="00182054">
        <w:t xml:space="preserve">IHACPA </w:t>
      </w:r>
      <w:r>
        <w:t xml:space="preserve">has aligned the age edits for ICD-10-AM and ACHI Twelfth Edition with </w:t>
      </w:r>
      <w:r>
        <w:br/>
        <w:t>AR-DRG V11.0. A more comprehensive review of all the edits associated with AR-DRG may be conducted in a future development cycle.</w:t>
      </w:r>
    </w:p>
    <w:p w14:paraId="31090D9D" w14:textId="77777777" w:rsidR="00F057B2" w:rsidRDefault="00F057B2" w:rsidP="00F057B2">
      <w:pPr>
        <w:pStyle w:val="Heading2"/>
        <w:spacing w:before="360" w:after="120" w:line="260" w:lineRule="atLeast"/>
        <w:contextualSpacing/>
      </w:pPr>
      <w:bookmarkStart w:id="103" w:name="_Toc100328204"/>
      <w:bookmarkStart w:id="104" w:name="_Toc124656409"/>
      <w:r>
        <w:t>Standard AR-DRG refinements</w:t>
      </w:r>
      <w:bookmarkEnd w:id="103"/>
      <w:bookmarkEnd w:id="104"/>
    </w:p>
    <w:p w14:paraId="435C183A" w14:textId="77777777" w:rsidR="00F057B2" w:rsidRPr="00D55E54" w:rsidRDefault="00F057B2" w:rsidP="00F057B2">
      <w:pPr>
        <w:pStyle w:val="Heading3"/>
        <w:spacing w:before="240" w:after="120" w:line="240" w:lineRule="auto"/>
        <w:contextualSpacing/>
      </w:pPr>
      <w:bookmarkStart w:id="105" w:name="_Toc124656410"/>
      <w:r w:rsidRPr="00310AFE">
        <w:t>Diagnoses in-</w:t>
      </w:r>
      <w:r w:rsidRPr="00251F19">
        <w:t>scope</w:t>
      </w:r>
      <w:r w:rsidRPr="00310AFE">
        <w:t xml:space="preserve"> for receiving a Diagnosis Complexity Level</w:t>
      </w:r>
      <w:bookmarkEnd w:id="105"/>
    </w:p>
    <w:p w14:paraId="3F1A3AE4" w14:textId="77777777" w:rsidR="00F057B2" w:rsidRDefault="00F057B2" w:rsidP="00D65F7D">
      <w:pPr>
        <w:pStyle w:val="Default"/>
        <w:spacing w:after="160" w:line="288" w:lineRule="auto"/>
        <w:rPr>
          <w:sz w:val="22"/>
          <w:szCs w:val="22"/>
        </w:rPr>
      </w:pPr>
      <w:r>
        <w:rPr>
          <w:sz w:val="22"/>
          <w:szCs w:val="22"/>
        </w:rPr>
        <w:t xml:space="preserve">To maintain clinical currency and robustness of the AR-DRG classification system, a review of diagnosis codes in-scope for contributing to episode complexity is conducted for every new version </w:t>
      </w:r>
      <w:r>
        <w:rPr>
          <w:sz w:val="22"/>
          <w:szCs w:val="22"/>
        </w:rPr>
        <w:lastRenderedPageBreak/>
        <w:t xml:space="preserve">of the AR-DRG classification. </w:t>
      </w:r>
      <w:r w:rsidRPr="008837B4">
        <w:rPr>
          <w:b/>
          <w:bCs/>
          <w:sz w:val="22"/>
          <w:szCs w:val="22"/>
        </w:rPr>
        <w:t>Table 2</w:t>
      </w:r>
      <w:r>
        <w:rPr>
          <w:b/>
          <w:bCs/>
          <w:sz w:val="22"/>
          <w:szCs w:val="22"/>
        </w:rPr>
        <w:t xml:space="preserve"> </w:t>
      </w:r>
      <w:r w:rsidRPr="0079474A">
        <w:rPr>
          <w:sz w:val="22"/>
          <w:szCs w:val="22"/>
        </w:rPr>
        <w:t>details the approach to review the in-scope codes during V8.0 and V10.0</w:t>
      </w:r>
      <w:r>
        <w:rPr>
          <w:sz w:val="22"/>
          <w:szCs w:val="22"/>
        </w:rPr>
        <w:t xml:space="preserve"> development.</w:t>
      </w:r>
    </w:p>
    <w:p w14:paraId="6C522427" w14:textId="77777777" w:rsidR="00F057B2" w:rsidRPr="009A2CDC" w:rsidRDefault="00F057B2" w:rsidP="00D65F7D">
      <w:pPr>
        <w:pStyle w:val="Default"/>
        <w:spacing w:after="160" w:line="288" w:lineRule="auto"/>
        <w:rPr>
          <w:b/>
          <w:color w:val="auto"/>
          <w:sz w:val="18"/>
          <w:szCs w:val="18"/>
        </w:rPr>
      </w:pPr>
      <w:r w:rsidRPr="009A2CDC">
        <w:rPr>
          <w:b/>
          <w:color w:val="auto"/>
          <w:sz w:val="18"/>
          <w:szCs w:val="18"/>
        </w:rPr>
        <w:t>Table 2: Historical developments on diagnoses in-scope for receiving a Diagnosis Complexity Level</w:t>
      </w:r>
    </w:p>
    <w:tbl>
      <w:tblPr>
        <w:tblStyle w:val="ListTable3-Accent11"/>
        <w:tblW w:w="9548" w:type="dxa"/>
        <w:jc w:val="center"/>
        <w:tblLook w:val="04A0" w:firstRow="1" w:lastRow="0" w:firstColumn="1" w:lastColumn="0" w:noHBand="0" w:noVBand="1"/>
      </w:tblPr>
      <w:tblGrid>
        <w:gridCol w:w="2014"/>
        <w:gridCol w:w="7534"/>
      </w:tblGrid>
      <w:tr w:rsidR="00F057B2" w:rsidRPr="00F057B2" w14:paraId="1A1C692F" w14:textId="77777777" w:rsidTr="00F057B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14" w:type="dxa"/>
            <w:shd w:val="clear" w:color="auto" w:fill="104F99"/>
            <w:vAlign w:val="center"/>
          </w:tcPr>
          <w:p w14:paraId="2641D884" w14:textId="77777777" w:rsidR="00F057B2" w:rsidRPr="00F057B2" w:rsidRDefault="00F057B2" w:rsidP="00D65F7D">
            <w:pPr>
              <w:pStyle w:val="Default"/>
              <w:spacing w:after="160" w:line="288" w:lineRule="auto"/>
              <w:rPr>
                <w:color w:val="FFFFFF" w:themeColor="accent6"/>
                <w:sz w:val="22"/>
                <w:szCs w:val="22"/>
              </w:rPr>
            </w:pPr>
            <w:r w:rsidRPr="00F057B2">
              <w:rPr>
                <w:color w:val="FFFFFF" w:themeColor="accent6"/>
                <w:sz w:val="22"/>
                <w:szCs w:val="22"/>
              </w:rPr>
              <w:t>Version</w:t>
            </w:r>
          </w:p>
        </w:tc>
        <w:tc>
          <w:tcPr>
            <w:tcW w:w="7534" w:type="dxa"/>
            <w:shd w:val="clear" w:color="auto" w:fill="104F99"/>
            <w:vAlign w:val="center"/>
          </w:tcPr>
          <w:p w14:paraId="471C0C9B" w14:textId="77777777" w:rsidR="00F057B2" w:rsidRPr="00F057B2" w:rsidRDefault="00F057B2" w:rsidP="00D65F7D">
            <w:pPr>
              <w:pStyle w:val="Default"/>
              <w:spacing w:after="160" w:line="288" w:lineRule="auto"/>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F057B2">
              <w:rPr>
                <w:color w:val="FFFFFF" w:themeColor="accent6"/>
                <w:sz w:val="22"/>
                <w:szCs w:val="22"/>
              </w:rPr>
              <w:t>Development</w:t>
            </w:r>
          </w:p>
        </w:tc>
      </w:tr>
      <w:tr w:rsidR="00F057B2" w:rsidRPr="00F057B2" w14:paraId="21FCEA68" w14:textId="77777777" w:rsidTr="00F057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4" w:type="dxa"/>
            <w:shd w:val="clear" w:color="auto" w:fill="auto"/>
            <w:vAlign w:val="center"/>
          </w:tcPr>
          <w:p w14:paraId="4EFBDF81" w14:textId="77777777" w:rsidR="00F057B2" w:rsidRPr="00F057B2" w:rsidRDefault="00F057B2" w:rsidP="00D65F7D">
            <w:pPr>
              <w:pStyle w:val="Default"/>
              <w:spacing w:after="160" w:line="288" w:lineRule="auto"/>
              <w:rPr>
                <w:b w:val="0"/>
                <w:color w:val="auto"/>
                <w:sz w:val="22"/>
                <w:szCs w:val="22"/>
              </w:rPr>
            </w:pPr>
            <w:r w:rsidRPr="00F057B2">
              <w:rPr>
                <w:b w:val="0"/>
                <w:color w:val="auto"/>
                <w:sz w:val="22"/>
                <w:szCs w:val="22"/>
              </w:rPr>
              <w:t>AR-DRG V8.0</w:t>
            </w:r>
          </w:p>
        </w:tc>
        <w:tc>
          <w:tcPr>
            <w:tcW w:w="7534" w:type="dxa"/>
            <w:shd w:val="clear" w:color="auto" w:fill="auto"/>
            <w:vAlign w:val="center"/>
          </w:tcPr>
          <w:p w14:paraId="2FBA30E1" w14:textId="77777777" w:rsidR="00F057B2" w:rsidRPr="00F057B2" w:rsidRDefault="00F057B2" w:rsidP="00D65F7D">
            <w:pPr>
              <w:pStyle w:val="Default"/>
              <w:spacing w:after="160" w:line="288" w:lineRule="auto"/>
              <w:cnfStyle w:val="000000100000" w:firstRow="0" w:lastRow="0" w:firstColumn="0" w:lastColumn="0" w:oddVBand="0" w:evenVBand="0" w:oddHBand="1" w:evenHBand="0" w:firstRowFirstColumn="0" w:firstRowLastColumn="0" w:lastRowFirstColumn="0" w:lastRowLastColumn="0"/>
              <w:rPr>
                <w:sz w:val="22"/>
                <w:szCs w:val="22"/>
              </w:rPr>
            </w:pPr>
            <w:proofErr w:type="gramStart"/>
            <w:r w:rsidRPr="00F057B2">
              <w:rPr>
                <w:sz w:val="22"/>
                <w:szCs w:val="22"/>
              </w:rPr>
              <w:t>A number of</w:t>
            </w:r>
            <w:proofErr w:type="gramEnd"/>
            <w:r w:rsidRPr="00F057B2">
              <w:rPr>
                <w:sz w:val="22"/>
                <w:szCs w:val="22"/>
              </w:rPr>
              <w:t xml:space="preserve"> diagnosis codes were excluded from receiving a Diagnosis Complexity Level (DCL) in the Episode Clinical Complexity Model (ECC Model) based on the guiding principles</w:t>
            </w:r>
            <w:r w:rsidRPr="00F057B2">
              <w:rPr>
                <w:sz w:val="22"/>
                <w:szCs w:val="22"/>
                <w:lang w:val="en-AU"/>
              </w:rPr>
              <w:t xml:space="preserve"> formalised</w:t>
            </w:r>
            <w:r w:rsidRPr="00F057B2">
              <w:rPr>
                <w:sz w:val="22"/>
                <w:szCs w:val="22"/>
              </w:rPr>
              <w:t xml:space="preserve"> during development. </w:t>
            </w:r>
          </w:p>
          <w:p w14:paraId="14F1F97D" w14:textId="77777777" w:rsidR="00F057B2" w:rsidRPr="00F057B2" w:rsidRDefault="00F057B2" w:rsidP="00D65F7D">
            <w:pPr>
              <w:pStyle w:val="Default"/>
              <w:spacing w:after="160" w:line="288" w:lineRule="auto"/>
              <w:cnfStyle w:val="000000100000" w:firstRow="0" w:lastRow="0" w:firstColumn="0" w:lastColumn="0" w:oddVBand="0" w:evenVBand="0" w:oddHBand="1" w:evenHBand="0" w:firstRowFirstColumn="0" w:firstRowLastColumn="0" w:lastRowFirstColumn="0" w:lastRowLastColumn="0"/>
              <w:rPr>
                <w:b/>
                <w:color w:val="auto"/>
                <w:sz w:val="22"/>
                <w:szCs w:val="22"/>
              </w:rPr>
            </w:pPr>
            <w:r w:rsidRPr="00F057B2">
              <w:rPr>
                <w:sz w:val="22"/>
                <w:szCs w:val="22"/>
              </w:rPr>
              <w:t>These guiding principles aimed to</w:t>
            </w:r>
            <w:r w:rsidRPr="00F057B2">
              <w:rPr>
                <w:sz w:val="22"/>
                <w:szCs w:val="22"/>
                <w:lang w:val="en-AU"/>
              </w:rPr>
              <w:t xml:space="preserve"> characterise</w:t>
            </w:r>
            <w:r w:rsidRPr="00F057B2">
              <w:rPr>
                <w:sz w:val="22"/>
                <w:szCs w:val="22"/>
              </w:rPr>
              <w:t xml:space="preserve"> the scope of the ECC Model in terms of diagnoses considered relevant for Diagnosis Related Group (DRG) classification purposes. However, clinical determination of exclusions for all diagnosis codes was not possible during the development of AR-DRG V8.0.</w:t>
            </w:r>
          </w:p>
        </w:tc>
      </w:tr>
      <w:tr w:rsidR="00F057B2" w:rsidRPr="00F057B2" w14:paraId="292F48AD" w14:textId="77777777" w:rsidTr="00F057B2">
        <w:trPr>
          <w:jc w:val="center"/>
        </w:trPr>
        <w:tc>
          <w:tcPr>
            <w:cnfStyle w:val="001000000000" w:firstRow="0" w:lastRow="0" w:firstColumn="1" w:lastColumn="0" w:oddVBand="0" w:evenVBand="0" w:oddHBand="0" w:evenHBand="0" w:firstRowFirstColumn="0" w:firstRowLastColumn="0" w:lastRowFirstColumn="0" w:lastRowLastColumn="0"/>
            <w:tcW w:w="2014" w:type="dxa"/>
            <w:shd w:val="clear" w:color="auto" w:fill="auto"/>
            <w:vAlign w:val="center"/>
          </w:tcPr>
          <w:p w14:paraId="7EB961E2" w14:textId="77777777" w:rsidR="00F057B2" w:rsidRPr="00F057B2" w:rsidRDefault="00F057B2" w:rsidP="00D65F7D">
            <w:pPr>
              <w:pStyle w:val="Default"/>
              <w:spacing w:after="160" w:line="288" w:lineRule="auto"/>
              <w:rPr>
                <w:b w:val="0"/>
                <w:color w:val="auto"/>
                <w:sz w:val="22"/>
                <w:szCs w:val="22"/>
              </w:rPr>
            </w:pPr>
            <w:r w:rsidRPr="00F057B2">
              <w:rPr>
                <w:b w:val="0"/>
                <w:color w:val="auto"/>
                <w:sz w:val="22"/>
                <w:szCs w:val="22"/>
              </w:rPr>
              <w:t>AR-DRG V10.0</w:t>
            </w:r>
          </w:p>
        </w:tc>
        <w:tc>
          <w:tcPr>
            <w:tcW w:w="7534" w:type="dxa"/>
            <w:shd w:val="clear" w:color="auto" w:fill="auto"/>
            <w:vAlign w:val="center"/>
          </w:tcPr>
          <w:p w14:paraId="28ED0D98" w14:textId="73B936F4" w:rsidR="00F057B2" w:rsidRPr="00F057B2" w:rsidRDefault="00182054" w:rsidP="00D65F7D">
            <w:pPr>
              <w:pStyle w:val="Default"/>
              <w:spacing w:after="160" w:line="288" w:lineRule="auto"/>
              <w:cnfStyle w:val="000000000000" w:firstRow="0" w:lastRow="0" w:firstColumn="0" w:lastColumn="0" w:oddVBand="0" w:evenVBand="0" w:oddHBand="0" w:evenHBand="0" w:firstRowFirstColumn="0" w:firstRowLastColumn="0" w:lastRowFirstColumn="0" w:lastRowLastColumn="0"/>
              <w:rPr>
                <w:b/>
                <w:color w:val="auto"/>
                <w:sz w:val="22"/>
                <w:szCs w:val="22"/>
              </w:rPr>
            </w:pPr>
            <w:r>
              <w:rPr>
                <w:sz w:val="22"/>
                <w:szCs w:val="22"/>
              </w:rPr>
              <w:t xml:space="preserve">IHACPA </w:t>
            </w:r>
            <w:r w:rsidR="00F057B2" w:rsidRPr="00F057B2">
              <w:rPr>
                <w:sz w:val="22"/>
                <w:szCs w:val="22"/>
              </w:rPr>
              <w:t>refined and expanded the guiding principles for diagnosis exclusion. A comprehensive review of all in-scope codes informed by the new guiding principles was undertaken in consultation with CCAG and the DTG in the ECC Model for V10.0, with 1,511 additional codes excluded from receiving a DCL.</w:t>
            </w:r>
          </w:p>
        </w:tc>
      </w:tr>
    </w:tbl>
    <w:p w14:paraId="1603E121" w14:textId="237E191E" w:rsidR="00F057B2" w:rsidRDefault="00182054" w:rsidP="00D65F7D">
      <w:pPr>
        <w:pStyle w:val="Default"/>
        <w:spacing w:before="120" w:after="160" w:line="288" w:lineRule="auto"/>
        <w:rPr>
          <w:sz w:val="22"/>
          <w:szCs w:val="22"/>
        </w:rPr>
      </w:pPr>
      <w:r>
        <w:rPr>
          <w:sz w:val="22"/>
          <w:szCs w:val="22"/>
        </w:rPr>
        <w:t xml:space="preserve">IHACPA </w:t>
      </w:r>
      <w:r w:rsidR="00F057B2">
        <w:rPr>
          <w:sz w:val="22"/>
          <w:szCs w:val="22"/>
        </w:rPr>
        <w:t>developed a method to</w:t>
      </w:r>
      <w:r w:rsidR="00F057B2" w:rsidRPr="005151C6">
        <w:rPr>
          <w:sz w:val="22"/>
          <w:szCs w:val="22"/>
          <w:lang w:val="en-AU"/>
        </w:rPr>
        <w:t xml:space="preserve"> analyse</w:t>
      </w:r>
      <w:r w:rsidR="00F057B2">
        <w:rPr>
          <w:sz w:val="22"/>
          <w:szCs w:val="22"/>
        </w:rPr>
        <w:t xml:space="preserve"> the assignment of diagnosis codes over time to identify codes with an unexpected increase in recent years for assessment against </w:t>
      </w:r>
      <w:r w:rsidR="00F057B2" w:rsidRPr="00DE28B0">
        <w:rPr>
          <w:sz w:val="22"/>
          <w:szCs w:val="22"/>
        </w:rPr>
        <w:t>the guiding principles for diagnosis exclusion</w:t>
      </w:r>
      <w:r w:rsidR="00F057B2">
        <w:rPr>
          <w:sz w:val="22"/>
          <w:szCs w:val="22"/>
        </w:rPr>
        <w:t>.</w:t>
      </w:r>
    </w:p>
    <w:p w14:paraId="2DE05F05" w14:textId="77777777" w:rsidR="00F057B2" w:rsidRDefault="00F057B2" w:rsidP="00900CDB">
      <w:r>
        <w:t xml:space="preserve">All valid diagnosis codes in ICD-10-AM Eleventh Edition were reviewed. This method identified 50 diagnosis codes warranting further assessment. Each of these diagnosis codes was assessed independently against the guiding principles for diagnosis exclusions in the AR-DRG complexity model. These principles are specified in the </w:t>
      </w:r>
      <w:r w:rsidRPr="001317F4">
        <w:rPr>
          <w:i/>
        </w:rPr>
        <w:t>Governance framework for the development of t</w:t>
      </w:r>
      <w:r>
        <w:rPr>
          <w:i/>
        </w:rPr>
        <w:t>he admitted care classifications</w:t>
      </w:r>
      <w:r>
        <w:t xml:space="preserve">. </w:t>
      </w:r>
    </w:p>
    <w:p w14:paraId="13AA06DB" w14:textId="77777777" w:rsidR="00F057B2" w:rsidRDefault="00F057B2" w:rsidP="00900CDB">
      <w:r>
        <w:t xml:space="preserve">The codes proposed for exclusion following the assessment were supported by CCAG. Following feedback from DTG and public consultation, further analysis was conducted to assess the clinical and cost profile of the proposed diagnosis exclusions, as well as the potential impact of excluding those codes from complexity calculation. </w:t>
      </w:r>
    </w:p>
    <w:p w14:paraId="7CD5B055" w14:textId="77777777" w:rsidR="00F057B2" w:rsidRDefault="00F057B2" w:rsidP="00900CDB">
      <w:r>
        <w:t xml:space="preserve">Further consultation was conducted with CCAG and the Australian and New Zealand Neonatal Network (ANZNN) specifically in relation to two proposed diagnosis exclusions. To ensure that the proposed diagnosis exclusions did not have a detrimental impact on the complexity model, analysis was also performed to compare the statistical performance of ADRGs containing episodes with the proposed diagnosis exclusions in AR-DRG V10.0 and V11.0. </w:t>
      </w:r>
    </w:p>
    <w:p w14:paraId="2CDAB699" w14:textId="77777777" w:rsidR="00F057B2" w:rsidRDefault="00F057B2" w:rsidP="00900CDB">
      <w:r>
        <w:t xml:space="preserve">Based on the combination of impact analysis and clinical advice, 47 ICD-10-AM codes were further excluded from the complexity model in AR-DRG V11.0. These are listed in </w:t>
      </w:r>
      <w:r w:rsidRPr="00210A91">
        <w:rPr>
          <w:b/>
          <w:bCs/>
        </w:rPr>
        <w:t>Appendix A</w:t>
      </w:r>
      <w:r>
        <w:t>.</w:t>
      </w:r>
    </w:p>
    <w:p w14:paraId="5D9BE006" w14:textId="77777777" w:rsidR="00F057B2" w:rsidRDefault="00F057B2" w:rsidP="00900CDB">
      <w:r>
        <w:t xml:space="preserve">The four ICD-10-AM Twelfth Edition emergency use codes for coronavirus disease 2019 (COVID-19) were also included in the complexity model in AR-DRG V11.0. They are listed in </w:t>
      </w:r>
      <w:r w:rsidRPr="00210A91">
        <w:rPr>
          <w:b/>
          <w:bCs/>
        </w:rPr>
        <w:t>Appendix A</w:t>
      </w:r>
      <w:r>
        <w:t>.</w:t>
      </w:r>
    </w:p>
    <w:p w14:paraId="3FEE3B38" w14:textId="77777777" w:rsidR="00F057B2" w:rsidRDefault="00F057B2" w:rsidP="00900CDB">
      <w:r>
        <w:lastRenderedPageBreak/>
        <w:t>In total, 11,065 codes are in-scope for receiving a DCL in AR-DRG V11.0, as compared to 11,038 codes in AR-DRG V10.0.</w:t>
      </w:r>
    </w:p>
    <w:p w14:paraId="3162A28B" w14:textId="77777777" w:rsidR="00F057B2" w:rsidRDefault="00F057B2" w:rsidP="00900CDB">
      <w:r>
        <w:t>The full list of Diagnosis Complexity Level unconditional and conditional exclusion codes</w:t>
      </w:r>
      <w:r>
        <w:rPr>
          <w:rStyle w:val="FootnoteReference"/>
        </w:rPr>
        <w:footnoteReference w:id="6"/>
      </w:r>
      <w:r>
        <w:t xml:space="preserve"> can be found in Appendix C of the </w:t>
      </w:r>
      <w:r w:rsidRPr="005D6344">
        <w:rPr>
          <w:i/>
        </w:rPr>
        <w:t>AR-DRG V11.0 Definitions Manual</w:t>
      </w:r>
      <w:r>
        <w:t xml:space="preserve">. </w:t>
      </w:r>
    </w:p>
    <w:p w14:paraId="3002881D" w14:textId="77777777" w:rsidR="00F057B2" w:rsidRPr="007A4AE1" w:rsidRDefault="00F057B2" w:rsidP="00F057B2">
      <w:pPr>
        <w:pStyle w:val="Heading3"/>
        <w:spacing w:before="240" w:after="120" w:line="240" w:lineRule="auto"/>
        <w:contextualSpacing/>
      </w:pPr>
      <w:bookmarkStart w:id="106" w:name="_Toc124656411"/>
      <w:r>
        <w:t>ADRG intervention hierarchy r</w:t>
      </w:r>
      <w:r w:rsidRPr="007A4AE1">
        <w:t>eview</w:t>
      </w:r>
      <w:bookmarkEnd w:id="106"/>
    </w:p>
    <w:p w14:paraId="6C2C7D4D" w14:textId="77777777" w:rsidR="00F057B2" w:rsidRDefault="00F057B2" w:rsidP="00900CDB">
      <w:r w:rsidRPr="007A4AE1">
        <w:t xml:space="preserve">Within </w:t>
      </w:r>
      <w:r>
        <w:t>each MDC in the AR-DRG classification, episodes are allocated to an ADRG in a specific hierarchical order. The hierarchy of the intervention partition is important as episodes have the potential to meet multiple intervention ADRG criteria. When an episode meets multiple intervention ADRG criteria, the episode will be allocated to the first ADRG where it meets the intervention criterion in the ADRG intervention hierarchy.</w:t>
      </w:r>
    </w:p>
    <w:p w14:paraId="01CFD8BB" w14:textId="77777777" w:rsidR="00F057B2" w:rsidRPr="00910E11" w:rsidRDefault="00F057B2" w:rsidP="00900CDB">
      <w:pPr>
        <w:rPr>
          <w:iCs/>
        </w:rPr>
      </w:pPr>
      <w:r>
        <w:t xml:space="preserve">For example, when an episode is assigned to MDC 01 </w:t>
      </w:r>
      <w:r w:rsidRPr="008D15FF">
        <w:rPr>
          <w:i/>
        </w:rPr>
        <w:t>Diseases and Disorders of the Nervous System</w:t>
      </w:r>
      <w:r>
        <w:rPr>
          <w:i/>
        </w:rPr>
        <w:t xml:space="preserve"> </w:t>
      </w:r>
      <w:r>
        <w:t xml:space="preserve">and meets intervention ADRG criteria for both ADRGs B02 </w:t>
      </w:r>
      <w:r w:rsidRPr="00AC724B">
        <w:rPr>
          <w:i/>
          <w:iCs/>
        </w:rPr>
        <w:t xml:space="preserve">Cranial Interventions </w:t>
      </w:r>
      <w:r>
        <w:t xml:space="preserve">and B08 </w:t>
      </w:r>
      <w:r>
        <w:rPr>
          <w:i/>
          <w:iCs/>
        </w:rPr>
        <w:t>Endovascular Clot Retrieval</w:t>
      </w:r>
      <w:r>
        <w:rPr>
          <w:iCs/>
        </w:rPr>
        <w:t>, the episode will be allocated to ADRG B02 as B02 is ranked higher than B08 in the ADRG intervention hierarchy.</w:t>
      </w:r>
    </w:p>
    <w:p w14:paraId="1DBA24D3" w14:textId="77777777" w:rsidR="00F057B2" w:rsidRDefault="00F057B2" w:rsidP="00900CDB">
      <w:r>
        <w:t>The intervention hierarchy is generally based on cost, with high cost ADRGs higher in the hierarchy. However, cost is not the only determinant. Other factors are also considered such as specific ADRGs being positioned higher than non-specific ADRGs and treatment intervention ADRGs being positioned higher than diagnostic intervention ADRGs.</w:t>
      </w:r>
    </w:p>
    <w:p w14:paraId="0923708D" w14:textId="77777777" w:rsidR="00F057B2" w:rsidRDefault="00F057B2" w:rsidP="00900CDB">
      <w:r>
        <w:t xml:space="preserve">An intervention hierarchy review was undertaken for AR-DRG V11.0 according to the intervention hierarchy principles. These principles are specified in the </w:t>
      </w:r>
      <w:r w:rsidRPr="00F93297">
        <w:rPr>
          <w:i/>
        </w:rPr>
        <w:t>Governance framework or the development of the admitted care classifications</w:t>
      </w:r>
      <w:r>
        <w:t xml:space="preserve">. </w:t>
      </w:r>
    </w:p>
    <w:p w14:paraId="3F366648" w14:textId="77777777" w:rsidR="005C7FD0" w:rsidRDefault="00F057B2" w:rsidP="00900CDB">
      <w:r>
        <w:t xml:space="preserve">The review resulted in no change to the intervention hierarchy in AR-DRG V11.0 but informed the positions of ADRGs created in AR-DRG V11.0, as outlined in </w:t>
      </w:r>
      <w:r w:rsidRPr="00210A91">
        <w:rPr>
          <w:b/>
          <w:bCs/>
        </w:rPr>
        <w:t>Table 3</w:t>
      </w:r>
      <w:r>
        <w:t xml:space="preserve"> below.</w:t>
      </w:r>
    </w:p>
    <w:p w14:paraId="6DBB8ADC" w14:textId="63473E85" w:rsidR="00F057B2" w:rsidRPr="009A2CDC" w:rsidRDefault="00F057B2" w:rsidP="00900CDB">
      <w:pPr>
        <w:rPr>
          <w:b/>
          <w:color w:val="auto"/>
          <w:sz w:val="18"/>
          <w:szCs w:val="18"/>
        </w:rPr>
      </w:pPr>
      <w:r w:rsidRPr="009A2CDC">
        <w:rPr>
          <w:b/>
          <w:color w:val="auto"/>
          <w:sz w:val="18"/>
          <w:szCs w:val="18"/>
        </w:rPr>
        <w:t>Table 3: Position of new ADRGs in the intervention hierarchy in AR-DRG V11.0</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02"/>
        <w:gridCol w:w="2777"/>
      </w:tblGrid>
      <w:tr w:rsidR="00F057B2" w:rsidRPr="00F057B2" w14:paraId="29877ABC" w14:textId="77777777" w:rsidTr="00F057B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56" w:type="dxa"/>
            <w:shd w:val="clear" w:color="auto" w:fill="104F99"/>
            <w:vAlign w:val="center"/>
          </w:tcPr>
          <w:p w14:paraId="4ECB152E" w14:textId="77777777" w:rsidR="00F057B2" w:rsidRPr="00F057B2" w:rsidRDefault="00F057B2" w:rsidP="00D65F7D">
            <w:pPr>
              <w:spacing w:after="160"/>
              <w:rPr>
                <w:color w:val="FFFFFF" w:themeColor="accent6"/>
                <w:sz w:val="22"/>
                <w:szCs w:val="22"/>
              </w:rPr>
            </w:pPr>
            <w:r w:rsidRPr="00F057B2">
              <w:rPr>
                <w:color w:val="FFFFFF" w:themeColor="accent6"/>
                <w:sz w:val="22"/>
                <w:szCs w:val="22"/>
              </w:rPr>
              <w:t>MDC</w:t>
            </w:r>
          </w:p>
        </w:tc>
        <w:tc>
          <w:tcPr>
            <w:tcW w:w="3402" w:type="dxa"/>
            <w:shd w:val="clear" w:color="auto" w:fill="104F99"/>
            <w:vAlign w:val="center"/>
          </w:tcPr>
          <w:p w14:paraId="5FF857E8" w14:textId="77777777" w:rsidR="00F057B2" w:rsidRPr="00F057B2" w:rsidRDefault="00F057B2" w:rsidP="00D65F7D">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F057B2">
              <w:rPr>
                <w:color w:val="FFFFFF" w:themeColor="accent6"/>
                <w:sz w:val="22"/>
                <w:szCs w:val="22"/>
              </w:rPr>
              <w:t>ADRG</w:t>
            </w:r>
          </w:p>
        </w:tc>
        <w:tc>
          <w:tcPr>
            <w:tcW w:w="2777" w:type="dxa"/>
            <w:shd w:val="clear" w:color="auto" w:fill="104F99"/>
            <w:vAlign w:val="center"/>
          </w:tcPr>
          <w:p w14:paraId="55514316" w14:textId="77777777" w:rsidR="00F057B2" w:rsidRPr="00F057B2" w:rsidRDefault="00F057B2" w:rsidP="00D65F7D">
            <w:pPr>
              <w:spacing w:after="160"/>
              <w:cnfStyle w:val="100000000000" w:firstRow="1" w:lastRow="0" w:firstColumn="0" w:lastColumn="0" w:oddVBand="0" w:evenVBand="0" w:oddHBand="0" w:evenHBand="0" w:firstRowFirstColumn="0" w:firstRowLastColumn="0" w:lastRowFirstColumn="0" w:lastRowLastColumn="0"/>
              <w:rPr>
                <w:color w:val="FFFFFF" w:themeColor="accent6"/>
                <w:sz w:val="22"/>
                <w:szCs w:val="22"/>
              </w:rPr>
            </w:pPr>
            <w:r w:rsidRPr="00F057B2">
              <w:rPr>
                <w:color w:val="FFFFFF" w:themeColor="accent6"/>
                <w:sz w:val="22"/>
                <w:szCs w:val="22"/>
              </w:rPr>
              <w:t>Position in intervention hierarchy</w:t>
            </w:r>
          </w:p>
        </w:tc>
      </w:tr>
      <w:tr w:rsidR="00F057B2" w:rsidRPr="00F057B2" w14:paraId="4EB35D43" w14:textId="77777777" w:rsidTr="00F05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4D7C4CAC" w14:textId="77777777" w:rsidR="00F057B2" w:rsidRPr="00F057B2" w:rsidRDefault="00F057B2" w:rsidP="00D65F7D">
            <w:pPr>
              <w:spacing w:after="160"/>
              <w:rPr>
                <w:b w:val="0"/>
                <w:sz w:val="22"/>
                <w:szCs w:val="22"/>
              </w:rPr>
            </w:pPr>
            <w:r w:rsidRPr="00F057B2">
              <w:rPr>
                <w:b w:val="0"/>
                <w:sz w:val="22"/>
                <w:szCs w:val="22"/>
              </w:rPr>
              <w:t xml:space="preserve">01 </w:t>
            </w:r>
            <w:r w:rsidRPr="00F057B2">
              <w:rPr>
                <w:b w:val="0"/>
                <w:i/>
                <w:sz w:val="22"/>
                <w:szCs w:val="22"/>
              </w:rPr>
              <w:t>Diseases and Disorders of the Nervous System</w:t>
            </w:r>
          </w:p>
        </w:tc>
        <w:tc>
          <w:tcPr>
            <w:tcW w:w="3402" w:type="dxa"/>
            <w:shd w:val="clear" w:color="auto" w:fill="auto"/>
            <w:vAlign w:val="center"/>
          </w:tcPr>
          <w:p w14:paraId="34963C2D" w14:textId="77777777" w:rsidR="00F057B2" w:rsidRPr="00F057B2" w:rsidRDefault="00F057B2" w:rsidP="00D65F7D">
            <w:pPr>
              <w:tabs>
                <w:tab w:val="left" w:pos="1815"/>
              </w:tabs>
              <w:spacing w:after="160"/>
              <w:cnfStyle w:val="000000100000" w:firstRow="0" w:lastRow="0" w:firstColumn="0" w:lastColumn="0" w:oddVBand="0" w:evenVBand="0" w:oddHBand="1" w:evenHBand="0" w:firstRowFirstColumn="0" w:firstRowLastColumn="0" w:lastRowFirstColumn="0" w:lastRowLastColumn="0"/>
              <w:rPr>
                <w:sz w:val="22"/>
                <w:szCs w:val="22"/>
              </w:rPr>
            </w:pPr>
            <w:r w:rsidRPr="00F057B2">
              <w:rPr>
                <w:iCs/>
                <w:sz w:val="22"/>
                <w:szCs w:val="22"/>
              </w:rPr>
              <w:t>B08</w:t>
            </w:r>
            <w:r w:rsidRPr="00F057B2">
              <w:rPr>
                <w:i/>
                <w:iCs/>
                <w:sz w:val="22"/>
                <w:szCs w:val="22"/>
              </w:rPr>
              <w:t xml:space="preserve"> Endovascular Clot Retrieval </w:t>
            </w:r>
          </w:p>
        </w:tc>
        <w:tc>
          <w:tcPr>
            <w:tcW w:w="2777" w:type="dxa"/>
            <w:shd w:val="clear" w:color="auto" w:fill="auto"/>
            <w:vAlign w:val="center"/>
          </w:tcPr>
          <w:p w14:paraId="028F4E16" w14:textId="77777777" w:rsidR="00F057B2" w:rsidRPr="00F057B2" w:rsidRDefault="00F057B2" w:rsidP="00D65F7D">
            <w:pPr>
              <w:tabs>
                <w:tab w:val="left" w:pos="1815"/>
              </w:tabs>
              <w:spacing w:after="160"/>
              <w:cnfStyle w:val="000000100000" w:firstRow="0" w:lastRow="0" w:firstColumn="0" w:lastColumn="0" w:oddVBand="0" w:evenVBand="0" w:oddHBand="1" w:evenHBand="0" w:firstRowFirstColumn="0" w:firstRowLastColumn="0" w:lastRowFirstColumn="0" w:lastRowLastColumn="0"/>
              <w:rPr>
                <w:iCs/>
                <w:sz w:val="22"/>
                <w:szCs w:val="22"/>
              </w:rPr>
            </w:pPr>
            <w:r w:rsidRPr="00F057B2">
              <w:rPr>
                <w:iCs/>
                <w:sz w:val="22"/>
                <w:szCs w:val="22"/>
              </w:rPr>
              <w:t>2</w:t>
            </w:r>
          </w:p>
        </w:tc>
      </w:tr>
      <w:tr w:rsidR="00F057B2" w:rsidRPr="00F057B2" w14:paraId="22E8D88D" w14:textId="77777777" w:rsidTr="00F057B2">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20DA0D1" w14:textId="77777777" w:rsidR="00F057B2" w:rsidRPr="00F057B2" w:rsidRDefault="00F057B2" w:rsidP="00D65F7D">
            <w:pPr>
              <w:spacing w:after="160"/>
              <w:rPr>
                <w:b w:val="0"/>
                <w:sz w:val="22"/>
                <w:szCs w:val="22"/>
              </w:rPr>
            </w:pPr>
            <w:r w:rsidRPr="00F057B2">
              <w:rPr>
                <w:b w:val="0"/>
                <w:sz w:val="22"/>
                <w:szCs w:val="22"/>
              </w:rPr>
              <w:t xml:space="preserve">05 </w:t>
            </w:r>
            <w:r w:rsidRPr="00F057B2">
              <w:rPr>
                <w:b w:val="0"/>
                <w:i/>
                <w:sz w:val="22"/>
                <w:szCs w:val="22"/>
              </w:rPr>
              <w:t>Diseases and Disorders of the Circulatory System</w:t>
            </w:r>
          </w:p>
        </w:tc>
        <w:tc>
          <w:tcPr>
            <w:tcW w:w="3402" w:type="dxa"/>
            <w:shd w:val="clear" w:color="auto" w:fill="auto"/>
            <w:vAlign w:val="center"/>
          </w:tcPr>
          <w:p w14:paraId="6FDF5BB9" w14:textId="77777777" w:rsidR="00F057B2" w:rsidRPr="00F057B2" w:rsidRDefault="00F057B2" w:rsidP="00D65F7D">
            <w:pPr>
              <w:spacing w:after="160"/>
              <w:cnfStyle w:val="000000000000" w:firstRow="0" w:lastRow="0" w:firstColumn="0" w:lastColumn="0" w:oddVBand="0" w:evenVBand="0" w:oddHBand="0" w:evenHBand="0" w:firstRowFirstColumn="0" w:firstRowLastColumn="0" w:lastRowFirstColumn="0" w:lastRowLastColumn="0"/>
              <w:rPr>
                <w:sz w:val="22"/>
                <w:szCs w:val="22"/>
              </w:rPr>
            </w:pPr>
            <w:r w:rsidRPr="00F057B2">
              <w:rPr>
                <w:iCs/>
                <w:sz w:val="22"/>
                <w:szCs w:val="22"/>
              </w:rPr>
              <w:t>F25</w:t>
            </w:r>
            <w:r w:rsidRPr="00F057B2">
              <w:rPr>
                <w:i/>
                <w:iCs/>
                <w:sz w:val="22"/>
                <w:szCs w:val="22"/>
              </w:rPr>
              <w:t xml:space="preserve"> </w:t>
            </w:r>
            <w:r w:rsidRPr="00F057B2">
              <w:rPr>
                <w:i/>
                <w:sz w:val="22"/>
                <w:szCs w:val="22"/>
              </w:rPr>
              <w:t xml:space="preserve">Percutaneous Heart Valve Replacement with </w:t>
            </w:r>
            <w:proofErr w:type="spellStart"/>
            <w:r w:rsidRPr="00F057B2">
              <w:rPr>
                <w:i/>
                <w:sz w:val="22"/>
                <w:szCs w:val="22"/>
              </w:rPr>
              <w:t>Bioprosthesis</w:t>
            </w:r>
            <w:proofErr w:type="spellEnd"/>
          </w:p>
        </w:tc>
        <w:tc>
          <w:tcPr>
            <w:tcW w:w="2777" w:type="dxa"/>
            <w:shd w:val="clear" w:color="auto" w:fill="auto"/>
            <w:vAlign w:val="center"/>
          </w:tcPr>
          <w:p w14:paraId="66CEB454" w14:textId="77777777" w:rsidR="00F057B2" w:rsidRPr="00F057B2" w:rsidRDefault="00F057B2" w:rsidP="00D65F7D">
            <w:pPr>
              <w:spacing w:after="160"/>
              <w:cnfStyle w:val="000000000000" w:firstRow="0" w:lastRow="0" w:firstColumn="0" w:lastColumn="0" w:oddVBand="0" w:evenVBand="0" w:oddHBand="0" w:evenHBand="0" w:firstRowFirstColumn="0" w:firstRowLastColumn="0" w:lastRowFirstColumn="0" w:lastRowLastColumn="0"/>
              <w:rPr>
                <w:iCs/>
                <w:sz w:val="22"/>
                <w:szCs w:val="22"/>
              </w:rPr>
            </w:pPr>
            <w:r w:rsidRPr="00F057B2">
              <w:rPr>
                <w:iCs/>
                <w:sz w:val="22"/>
                <w:szCs w:val="22"/>
              </w:rPr>
              <w:t>13</w:t>
            </w:r>
          </w:p>
        </w:tc>
      </w:tr>
      <w:tr w:rsidR="00F057B2" w:rsidRPr="00F057B2" w14:paraId="01E966A9" w14:textId="77777777" w:rsidTr="00F05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vAlign w:val="center"/>
          </w:tcPr>
          <w:p w14:paraId="59C8717D" w14:textId="77777777" w:rsidR="00F057B2" w:rsidRPr="00F057B2" w:rsidRDefault="00F057B2" w:rsidP="00D65F7D">
            <w:pPr>
              <w:spacing w:after="160"/>
              <w:rPr>
                <w:b w:val="0"/>
                <w:sz w:val="22"/>
                <w:szCs w:val="22"/>
              </w:rPr>
            </w:pPr>
            <w:r w:rsidRPr="00F057B2">
              <w:rPr>
                <w:b w:val="0"/>
                <w:sz w:val="22"/>
                <w:szCs w:val="22"/>
              </w:rPr>
              <w:t xml:space="preserve">06 </w:t>
            </w:r>
            <w:r w:rsidRPr="00F057B2">
              <w:rPr>
                <w:b w:val="0"/>
                <w:i/>
                <w:sz w:val="22"/>
                <w:szCs w:val="22"/>
              </w:rPr>
              <w:t>Diseases and Disorders of the Digestive System</w:t>
            </w:r>
          </w:p>
        </w:tc>
        <w:tc>
          <w:tcPr>
            <w:tcW w:w="3402" w:type="dxa"/>
            <w:shd w:val="clear" w:color="auto" w:fill="auto"/>
            <w:vAlign w:val="center"/>
          </w:tcPr>
          <w:p w14:paraId="79B6A132" w14:textId="77777777" w:rsidR="00F057B2" w:rsidRPr="00F057B2" w:rsidRDefault="00F057B2" w:rsidP="00D65F7D">
            <w:pPr>
              <w:spacing w:after="160"/>
              <w:cnfStyle w:val="000000100000" w:firstRow="0" w:lastRow="0" w:firstColumn="0" w:lastColumn="0" w:oddVBand="0" w:evenVBand="0" w:oddHBand="1" w:evenHBand="0" w:firstRowFirstColumn="0" w:firstRowLastColumn="0" w:lastRowFirstColumn="0" w:lastRowLastColumn="0"/>
              <w:rPr>
                <w:i/>
                <w:iCs/>
                <w:sz w:val="22"/>
                <w:szCs w:val="22"/>
              </w:rPr>
            </w:pPr>
            <w:r w:rsidRPr="00F057B2">
              <w:rPr>
                <w:iCs/>
                <w:sz w:val="22"/>
                <w:szCs w:val="22"/>
              </w:rPr>
              <w:t>G13</w:t>
            </w:r>
            <w:r w:rsidRPr="00F057B2">
              <w:rPr>
                <w:i/>
                <w:iCs/>
                <w:sz w:val="22"/>
                <w:szCs w:val="22"/>
              </w:rPr>
              <w:t xml:space="preserve"> </w:t>
            </w:r>
            <w:r w:rsidRPr="00F057B2">
              <w:rPr>
                <w:i/>
                <w:sz w:val="22"/>
                <w:szCs w:val="22"/>
              </w:rPr>
              <w:t>Peritonectomy for Gastrointestinal Disorders</w:t>
            </w:r>
          </w:p>
        </w:tc>
        <w:tc>
          <w:tcPr>
            <w:tcW w:w="2777" w:type="dxa"/>
            <w:shd w:val="clear" w:color="auto" w:fill="auto"/>
            <w:vAlign w:val="center"/>
          </w:tcPr>
          <w:p w14:paraId="6E5304BB" w14:textId="77777777" w:rsidR="00F057B2" w:rsidRPr="00F057B2" w:rsidRDefault="00F057B2" w:rsidP="00D65F7D">
            <w:pPr>
              <w:spacing w:after="160"/>
              <w:cnfStyle w:val="000000100000" w:firstRow="0" w:lastRow="0" w:firstColumn="0" w:lastColumn="0" w:oddVBand="0" w:evenVBand="0" w:oddHBand="1" w:evenHBand="0" w:firstRowFirstColumn="0" w:firstRowLastColumn="0" w:lastRowFirstColumn="0" w:lastRowLastColumn="0"/>
              <w:rPr>
                <w:iCs/>
                <w:sz w:val="22"/>
                <w:szCs w:val="22"/>
              </w:rPr>
            </w:pPr>
            <w:r w:rsidRPr="00F057B2">
              <w:rPr>
                <w:iCs/>
                <w:sz w:val="22"/>
                <w:szCs w:val="22"/>
              </w:rPr>
              <w:t>1</w:t>
            </w:r>
          </w:p>
        </w:tc>
      </w:tr>
    </w:tbl>
    <w:p w14:paraId="72140415" w14:textId="77777777" w:rsidR="00F057B2" w:rsidRDefault="00F057B2" w:rsidP="00F057B2">
      <w:pPr>
        <w:pStyle w:val="Heading3"/>
        <w:spacing w:before="240" w:after="120" w:line="240" w:lineRule="auto"/>
        <w:contextualSpacing/>
      </w:pPr>
      <w:bookmarkStart w:id="107" w:name="_Toc124656412"/>
      <w:r>
        <w:lastRenderedPageBreak/>
        <w:t>ADRG splitting review</w:t>
      </w:r>
      <w:bookmarkEnd w:id="107"/>
    </w:p>
    <w:p w14:paraId="04ED9DA9" w14:textId="77777777" w:rsidR="00F057B2" w:rsidRDefault="00F057B2" w:rsidP="00900CDB">
      <w:r>
        <w:t xml:space="preserve">An episode of care is initially assigned to an ADRG which broadly groups episodes with the same diagnosis and intervention profiles. The final stage is to subdivide (or ‘split’) each ADRG into individual DRGs based on the ECCS and occasionally other factors such as separation mode, length of stay and age. </w:t>
      </w:r>
    </w:p>
    <w:p w14:paraId="2AC60289" w14:textId="77777777" w:rsidR="00F057B2" w:rsidRDefault="00F057B2" w:rsidP="00900CDB">
      <w:r>
        <w:t xml:space="preserve">An ADRG splitting review was undertaken for AR-DRG V11.0 according to principles specified in the </w:t>
      </w:r>
      <w:r w:rsidRPr="004262D2">
        <w:rPr>
          <w:i/>
        </w:rPr>
        <w:t>Governance framework for the development of the admitted care classifications</w:t>
      </w:r>
      <w:r>
        <w:t>.</w:t>
      </w:r>
    </w:p>
    <w:p w14:paraId="095C06B5" w14:textId="77777777" w:rsidR="00F057B2" w:rsidRDefault="00F057B2" w:rsidP="00900CDB">
      <w:r>
        <w:t xml:space="preserve">The outcome of the review is detailed in </w:t>
      </w:r>
      <w:r w:rsidRPr="00210A91">
        <w:rPr>
          <w:b/>
          <w:bCs/>
        </w:rPr>
        <w:t>Table 4</w:t>
      </w:r>
      <w:r>
        <w:t>.</w:t>
      </w:r>
    </w:p>
    <w:p w14:paraId="2A7A056D" w14:textId="77777777" w:rsidR="00F057B2" w:rsidRPr="009A2CDC" w:rsidRDefault="00F057B2" w:rsidP="00D65F7D">
      <w:pPr>
        <w:rPr>
          <w:b/>
          <w:color w:val="auto"/>
          <w:sz w:val="18"/>
          <w:szCs w:val="18"/>
        </w:rPr>
      </w:pPr>
      <w:r w:rsidRPr="009A2CDC">
        <w:rPr>
          <w:b/>
          <w:color w:val="auto"/>
          <w:sz w:val="18"/>
          <w:szCs w:val="18"/>
        </w:rPr>
        <w:t>Table 4: Comparison of ADRG splitting profile</w:t>
      </w:r>
    </w:p>
    <w:tbl>
      <w:tblPr>
        <w:tblStyle w:val="ListTable3-Accent11"/>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381"/>
        <w:gridCol w:w="2381"/>
      </w:tblGrid>
      <w:tr w:rsidR="00F057B2" w:rsidRPr="00F057B2" w14:paraId="247D2988" w14:textId="77777777" w:rsidTr="00F057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8" w:type="dxa"/>
            <w:shd w:val="clear" w:color="auto" w:fill="104F99"/>
            <w:vAlign w:val="center"/>
          </w:tcPr>
          <w:p w14:paraId="262EFEDD" w14:textId="77777777" w:rsidR="00F057B2" w:rsidRPr="00F057B2" w:rsidRDefault="00F057B2" w:rsidP="00D65F7D">
            <w:pPr>
              <w:spacing w:after="160"/>
              <w:rPr>
                <w:b w:val="0"/>
                <w:color w:val="FFFFFF" w:themeColor="accent6"/>
                <w:sz w:val="22"/>
                <w:szCs w:val="22"/>
              </w:rPr>
            </w:pPr>
            <w:r w:rsidRPr="00F057B2">
              <w:rPr>
                <w:color w:val="FFFFFF" w:themeColor="accent6"/>
                <w:sz w:val="22"/>
                <w:szCs w:val="22"/>
              </w:rPr>
              <w:t>Number of splits</w:t>
            </w:r>
          </w:p>
        </w:tc>
        <w:tc>
          <w:tcPr>
            <w:tcW w:w="2381" w:type="dxa"/>
            <w:shd w:val="clear" w:color="auto" w:fill="104F99"/>
            <w:vAlign w:val="center"/>
          </w:tcPr>
          <w:p w14:paraId="73F43D13" w14:textId="77777777" w:rsidR="00F057B2" w:rsidRPr="00F057B2" w:rsidRDefault="00F057B2" w:rsidP="00D65F7D">
            <w:pPr>
              <w:spacing w:after="160"/>
              <w:jc w:val="right"/>
              <w:cnfStyle w:val="100000000000" w:firstRow="1" w:lastRow="0" w:firstColumn="0" w:lastColumn="0" w:oddVBand="0" w:evenVBand="0" w:oddHBand="0" w:evenHBand="0" w:firstRowFirstColumn="0" w:firstRowLastColumn="0" w:lastRowFirstColumn="0" w:lastRowLastColumn="0"/>
              <w:rPr>
                <w:b w:val="0"/>
                <w:color w:val="FFFFFF" w:themeColor="accent6"/>
                <w:sz w:val="22"/>
                <w:szCs w:val="22"/>
              </w:rPr>
            </w:pPr>
            <w:r w:rsidRPr="00F057B2">
              <w:rPr>
                <w:color w:val="FFFFFF" w:themeColor="accent6"/>
                <w:sz w:val="22"/>
                <w:szCs w:val="22"/>
              </w:rPr>
              <w:t>AR-DRG V10.0</w:t>
            </w:r>
          </w:p>
        </w:tc>
        <w:tc>
          <w:tcPr>
            <w:tcW w:w="2381" w:type="dxa"/>
            <w:shd w:val="clear" w:color="auto" w:fill="104F99"/>
            <w:vAlign w:val="center"/>
          </w:tcPr>
          <w:p w14:paraId="7BD7E51B" w14:textId="77777777" w:rsidR="00F057B2" w:rsidRPr="00F057B2" w:rsidRDefault="00F057B2" w:rsidP="00D65F7D">
            <w:pPr>
              <w:spacing w:after="160"/>
              <w:jc w:val="right"/>
              <w:cnfStyle w:val="100000000000" w:firstRow="1" w:lastRow="0" w:firstColumn="0" w:lastColumn="0" w:oddVBand="0" w:evenVBand="0" w:oddHBand="0" w:evenHBand="0" w:firstRowFirstColumn="0" w:firstRowLastColumn="0" w:lastRowFirstColumn="0" w:lastRowLastColumn="0"/>
              <w:rPr>
                <w:b w:val="0"/>
                <w:color w:val="FFFFFF" w:themeColor="accent6"/>
                <w:sz w:val="22"/>
                <w:szCs w:val="22"/>
              </w:rPr>
            </w:pPr>
            <w:r w:rsidRPr="00F057B2">
              <w:rPr>
                <w:color w:val="FFFFFF" w:themeColor="accent6"/>
                <w:sz w:val="22"/>
                <w:szCs w:val="22"/>
              </w:rPr>
              <w:t>AR-DRG V11.0</w:t>
            </w:r>
          </w:p>
        </w:tc>
      </w:tr>
      <w:tr w:rsidR="00F057B2" w:rsidRPr="00F057B2" w14:paraId="7FF6A726" w14:textId="77777777" w:rsidTr="00F05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tcPr>
          <w:p w14:paraId="70AF0F75" w14:textId="77777777" w:rsidR="00F057B2" w:rsidRPr="00F057B2" w:rsidRDefault="00F057B2" w:rsidP="00D65F7D">
            <w:pPr>
              <w:spacing w:after="160"/>
              <w:rPr>
                <w:b w:val="0"/>
                <w:sz w:val="22"/>
                <w:szCs w:val="22"/>
              </w:rPr>
            </w:pPr>
            <w:r w:rsidRPr="00F057B2">
              <w:rPr>
                <w:b w:val="0"/>
                <w:sz w:val="22"/>
                <w:szCs w:val="22"/>
              </w:rPr>
              <w:t>0 (Z)</w:t>
            </w:r>
          </w:p>
        </w:tc>
        <w:tc>
          <w:tcPr>
            <w:tcW w:w="2381" w:type="dxa"/>
            <w:vAlign w:val="center"/>
          </w:tcPr>
          <w:p w14:paraId="06F0FF88" w14:textId="77777777" w:rsidR="00F057B2" w:rsidRPr="00F057B2" w:rsidRDefault="00F057B2" w:rsidP="00D65F7D">
            <w:pPr>
              <w:tabs>
                <w:tab w:val="left" w:pos="1815"/>
              </w:tabs>
              <w:spacing w:after="160"/>
              <w:jc w:val="right"/>
              <w:cnfStyle w:val="000000100000" w:firstRow="0" w:lastRow="0" w:firstColumn="0" w:lastColumn="0" w:oddVBand="0" w:evenVBand="0" w:oddHBand="1" w:evenHBand="0" w:firstRowFirstColumn="0" w:firstRowLastColumn="0" w:lastRowFirstColumn="0" w:lastRowLastColumn="0"/>
              <w:rPr>
                <w:sz w:val="22"/>
                <w:szCs w:val="22"/>
              </w:rPr>
            </w:pPr>
            <w:r w:rsidRPr="00F057B2">
              <w:rPr>
                <w:iCs/>
                <w:sz w:val="22"/>
                <w:szCs w:val="22"/>
              </w:rPr>
              <w:t>87</w:t>
            </w:r>
          </w:p>
        </w:tc>
        <w:tc>
          <w:tcPr>
            <w:tcW w:w="2381" w:type="dxa"/>
            <w:vAlign w:val="center"/>
          </w:tcPr>
          <w:p w14:paraId="6687B9FA" w14:textId="77777777" w:rsidR="00F057B2" w:rsidRPr="00F057B2" w:rsidRDefault="00F057B2" w:rsidP="00D65F7D">
            <w:pPr>
              <w:tabs>
                <w:tab w:val="left" w:pos="1815"/>
              </w:tabs>
              <w:spacing w:after="160"/>
              <w:jc w:val="right"/>
              <w:cnfStyle w:val="000000100000" w:firstRow="0" w:lastRow="0" w:firstColumn="0" w:lastColumn="0" w:oddVBand="0" w:evenVBand="0" w:oddHBand="1" w:evenHBand="0" w:firstRowFirstColumn="0" w:firstRowLastColumn="0" w:lastRowFirstColumn="0" w:lastRowLastColumn="0"/>
              <w:rPr>
                <w:iCs/>
                <w:sz w:val="22"/>
                <w:szCs w:val="22"/>
              </w:rPr>
            </w:pPr>
            <w:r w:rsidRPr="00F057B2">
              <w:rPr>
                <w:iCs/>
                <w:sz w:val="22"/>
                <w:szCs w:val="22"/>
              </w:rPr>
              <w:t>87</w:t>
            </w:r>
          </w:p>
        </w:tc>
      </w:tr>
      <w:tr w:rsidR="00F057B2" w:rsidRPr="00F057B2" w14:paraId="2B1CE481" w14:textId="77777777" w:rsidTr="00F057B2">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tcPr>
          <w:p w14:paraId="34775C42" w14:textId="77777777" w:rsidR="00F057B2" w:rsidRPr="00F057B2" w:rsidRDefault="00F057B2" w:rsidP="00D65F7D">
            <w:pPr>
              <w:pStyle w:val="Default"/>
              <w:spacing w:after="160" w:line="288" w:lineRule="auto"/>
              <w:rPr>
                <w:b w:val="0"/>
                <w:color w:val="auto"/>
                <w:sz w:val="22"/>
                <w:szCs w:val="22"/>
              </w:rPr>
            </w:pPr>
            <w:r w:rsidRPr="00F057B2">
              <w:rPr>
                <w:b w:val="0"/>
                <w:color w:val="auto"/>
                <w:sz w:val="22"/>
                <w:szCs w:val="22"/>
              </w:rPr>
              <w:t>1 (A, B)</w:t>
            </w:r>
          </w:p>
        </w:tc>
        <w:tc>
          <w:tcPr>
            <w:tcW w:w="2381" w:type="dxa"/>
            <w:vAlign w:val="center"/>
          </w:tcPr>
          <w:p w14:paraId="621B28C4" w14:textId="77777777" w:rsidR="00F057B2" w:rsidRPr="00F057B2" w:rsidRDefault="00F057B2" w:rsidP="00D65F7D">
            <w:pPr>
              <w:spacing w:after="160"/>
              <w:jc w:val="right"/>
              <w:cnfStyle w:val="000000000000" w:firstRow="0" w:lastRow="0" w:firstColumn="0" w:lastColumn="0" w:oddVBand="0" w:evenVBand="0" w:oddHBand="0" w:evenHBand="0" w:firstRowFirstColumn="0" w:firstRowLastColumn="0" w:lastRowFirstColumn="0" w:lastRowLastColumn="0"/>
              <w:rPr>
                <w:sz w:val="22"/>
                <w:szCs w:val="22"/>
              </w:rPr>
            </w:pPr>
            <w:r w:rsidRPr="00F057B2">
              <w:rPr>
                <w:sz w:val="22"/>
                <w:szCs w:val="22"/>
              </w:rPr>
              <w:t>227</w:t>
            </w:r>
          </w:p>
        </w:tc>
        <w:tc>
          <w:tcPr>
            <w:tcW w:w="2381" w:type="dxa"/>
            <w:vAlign w:val="center"/>
          </w:tcPr>
          <w:p w14:paraId="46F7CA68" w14:textId="77777777" w:rsidR="00F057B2" w:rsidRPr="00F057B2" w:rsidRDefault="00F057B2" w:rsidP="00D65F7D">
            <w:pPr>
              <w:spacing w:after="160"/>
              <w:jc w:val="right"/>
              <w:cnfStyle w:val="000000000000" w:firstRow="0" w:lastRow="0" w:firstColumn="0" w:lastColumn="0" w:oddVBand="0" w:evenVBand="0" w:oddHBand="0" w:evenHBand="0" w:firstRowFirstColumn="0" w:firstRowLastColumn="0" w:lastRowFirstColumn="0" w:lastRowLastColumn="0"/>
              <w:rPr>
                <w:iCs/>
                <w:sz w:val="22"/>
                <w:szCs w:val="22"/>
              </w:rPr>
            </w:pPr>
            <w:r w:rsidRPr="00F057B2">
              <w:rPr>
                <w:iCs/>
                <w:sz w:val="22"/>
                <w:szCs w:val="22"/>
              </w:rPr>
              <w:t>230</w:t>
            </w:r>
          </w:p>
        </w:tc>
      </w:tr>
      <w:tr w:rsidR="00F057B2" w:rsidRPr="00F057B2" w14:paraId="5CE66B7E" w14:textId="77777777" w:rsidTr="00F05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tcPr>
          <w:p w14:paraId="0E76F1D9" w14:textId="77777777" w:rsidR="00F057B2" w:rsidRPr="00F057B2" w:rsidRDefault="00F057B2" w:rsidP="00D65F7D">
            <w:pPr>
              <w:pStyle w:val="Default"/>
              <w:spacing w:after="160" w:line="288" w:lineRule="auto"/>
              <w:rPr>
                <w:b w:val="0"/>
                <w:color w:val="auto"/>
                <w:sz w:val="22"/>
                <w:szCs w:val="22"/>
              </w:rPr>
            </w:pPr>
            <w:r w:rsidRPr="00F057B2">
              <w:rPr>
                <w:b w:val="0"/>
                <w:color w:val="auto"/>
                <w:sz w:val="22"/>
                <w:szCs w:val="22"/>
              </w:rPr>
              <w:t>2 (A, B, C)</w:t>
            </w:r>
          </w:p>
        </w:tc>
        <w:tc>
          <w:tcPr>
            <w:tcW w:w="2381" w:type="dxa"/>
            <w:vAlign w:val="center"/>
          </w:tcPr>
          <w:p w14:paraId="0428C22A" w14:textId="77777777" w:rsidR="00F057B2" w:rsidRPr="00F057B2" w:rsidRDefault="00F057B2" w:rsidP="00D65F7D">
            <w:pPr>
              <w:spacing w:after="160"/>
              <w:jc w:val="right"/>
              <w:cnfStyle w:val="000000100000" w:firstRow="0" w:lastRow="0" w:firstColumn="0" w:lastColumn="0" w:oddVBand="0" w:evenVBand="0" w:oddHBand="1" w:evenHBand="0" w:firstRowFirstColumn="0" w:firstRowLastColumn="0" w:lastRowFirstColumn="0" w:lastRowLastColumn="0"/>
              <w:rPr>
                <w:iCs/>
                <w:sz w:val="22"/>
                <w:szCs w:val="22"/>
              </w:rPr>
            </w:pPr>
            <w:r w:rsidRPr="00F057B2">
              <w:rPr>
                <w:iCs/>
                <w:sz w:val="22"/>
                <w:szCs w:val="22"/>
              </w:rPr>
              <w:t>78</w:t>
            </w:r>
          </w:p>
        </w:tc>
        <w:tc>
          <w:tcPr>
            <w:tcW w:w="2381" w:type="dxa"/>
            <w:vAlign w:val="center"/>
          </w:tcPr>
          <w:p w14:paraId="2AAD7ECE" w14:textId="77777777" w:rsidR="00F057B2" w:rsidRPr="00F057B2" w:rsidRDefault="00F057B2" w:rsidP="00D65F7D">
            <w:pPr>
              <w:spacing w:after="160"/>
              <w:jc w:val="right"/>
              <w:cnfStyle w:val="000000100000" w:firstRow="0" w:lastRow="0" w:firstColumn="0" w:lastColumn="0" w:oddVBand="0" w:evenVBand="0" w:oddHBand="1" w:evenHBand="0" w:firstRowFirstColumn="0" w:firstRowLastColumn="0" w:lastRowFirstColumn="0" w:lastRowLastColumn="0"/>
              <w:rPr>
                <w:iCs/>
                <w:sz w:val="22"/>
                <w:szCs w:val="22"/>
              </w:rPr>
            </w:pPr>
            <w:r w:rsidRPr="00F057B2">
              <w:rPr>
                <w:iCs/>
                <w:sz w:val="22"/>
                <w:szCs w:val="22"/>
              </w:rPr>
              <w:t>78</w:t>
            </w:r>
          </w:p>
        </w:tc>
      </w:tr>
      <w:tr w:rsidR="00F057B2" w:rsidRPr="00F057B2" w14:paraId="78C1F678" w14:textId="77777777" w:rsidTr="00F057B2">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tcPr>
          <w:p w14:paraId="0EB6A5A1" w14:textId="77777777" w:rsidR="00F057B2" w:rsidRPr="00F057B2" w:rsidRDefault="00F057B2" w:rsidP="00D65F7D">
            <w:pPr>
              <w:pStyle w:val="Default"/>
              <w:spacing w:after="160" w:line="288" w:lineRule="auto"/>
              <w:rPr>
                <w:b w:val="0"/>
                <w:color w:val="auto"/>
                <w:sz w:val="22"/>
                <w:szCs w:val="22"/>
              </w:rPr>
            </w:pPr>
            <w:r w:rsidRPr="00F057B2">
              <w:rPr>
                <w:b w:val="0"/>
                <w:color w:val="auto"/>
                <w:sz w:val="22"/>
                <w:szCs w:val="22"/>
              </w:rPr>
              <w:t>3 (A, B, C, D)</w:t>
            </w:r>
          </w:p>
        </w:tc>
        <w:tc>
          <w:tcPr>
            <w:tcW w:w="2381" w:type="dxa"/>
            <w:vAlign w:val="center"/>
          </w:tcPr>
          <w:p w14:paraId="0FFCD7B3" w14:textId="77777777" w:rsidR="00F057B2" w:rsidRPr="00F057B2" w:rsidRDefault="00F057B2" w:rsidP="00D65F7D">
            <w:pPr>
              <w:spacing w:after="160"/>
              <w:jc w:val="right"/>
              <w:cnfStyle w:val="000000000000" w:firstRow="0" w:lastRow="0" w:firstColumn="0" w:lastColumn="0" w:oddVBand="0" w:evenVBand="0" w:oddHBand="0" w:evenHBand="0" w:firstRowFirstColumn="0" w:firstRowLastColumn="0" w:lastRowFirstColumn="0" w:lastRowLastColumn="0"/>
              <w:rPr>
                <w:iCs/>
                <w:sz w:val="22"/>
                <w:szCs w:val="22"/>
              </w:rPr>
            </w:pPr>
            <w:r w:rsidRPr="00F057B2">
              <w:rPr>
                <w:iCs/>
                <w:sz w:val="22"/>
                <w:szCs w:val="22"/>
              </w:rPr>
              <w:t>5</w:t>
            </w:r>
          </w:p>
        </w:tc>
        <w:tc>
          <w:tcPr>
            <w:tcW w:w="2381" w:type="dxa"/>
            <w:vAlign w:val="center"/>
          </w:tcPr>
          <w:p w14:paraId="71EBA911" w14:textId="77777777" w:rsidR="00F057B2" w:rsidRPr="00F057B2" w:rsidRDefault="00F057B2" w:rsidP="00D65F7D">
            <w:pPr>
              <w:spacing w:after="160"/>
              <w:jc w:val="right"/>
              <w:cnfStyle w:val="000000000000" w:firstRow="0" w:lastRow="0" w:firstColumn="0" w:lastColumn="0" w:oddVBand="0" w:evenVBand="0" w:oddHBand="0" w:evenHBand="0" w:firstRowFirstColumn="0" w:firstRowLastColumn="0" w:lastRowFirstColumn="0" w:lastRowLastColumn="0"/>
              <w:rPr>
                <w:iCs/>
                <w:sz w:val="22"/>
                <w:szCs w:val="22"/>
              </w:rPr>
            </w:pPr>
            <w:r w:rsidRPr="00F057B2">
              <w:rPr>
                <w:iCs/>
                <w:sz w:val="22"/>
                <w:szCs w:val="22"/>
              </w:rPr>
              <w:t>5</w:t>
            </w:r>
          </w:p>
        </w:tc>
      </w:tr>
      <w:tr w:rsidR="00F057B2" w:rsidRPr="00F057B2" w14:paraId="67B45512" w14:textId="77777777" w:rsidTr="00F05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shd w:val="clear" w:color="auto" w:fill="auto"/>
            <w:vAlign w:val="center"/>
          </w:tcPr>
          <w:p w14:paraId="44195F31" w14:textId="77777777" w:rsidR="00F057B2" w:rsidRPr="00F057B2" w:rsidRDefault="00F057B2" w:rsidP="00D65F7D">
            <w:pPr>
              <w:pStyle w:val="Default"/>
              <w:spacing w:after="160" w:line="288" w:lineRule="auto"/>
              <w:rPr>
                <w:color w:val="auto"/>
                <w:sz w:val="22"/>
                <w:szCs w:val="22"/>
              </w:rPr>
            </w:pPr>
            <w:r w:rsidRPr="00F057B2">
              <w:rPr>
                <w:color w:val="auto"/>
                <w:sz w:val="22"/>
                <w:szCs w:val="22"/>
              </w:rPr>
              <w:t>Total</w:t>
            </w:r>
          </w:p>
        </w:tc>
        <w:tc>
          <w:tcPr>
            <w:tcW w:w="2381" w:type="dxa"/>
            <w:vAlign w:val="center"/>
          </w:tcPr>
          <w:p w14:paraId="1C65AF8C" w14:textId="77777777" w:rsidR="00F057B2" w:rsidRPr="00F057B2" w:rsidRDefault="00F057B2" w:rsidP="00D65F7D">
            <w:pPr>
              <w:spacing w:after="160"/>
              <w:jc w:val="right"/>
              <w:cnfStyle w:val="000000100000" w:firstRow="0" w:lastRow="0" w:firstColumn="0" w:lastColumn="0" w:oddVBand="0" w:evenVBand="0" w:oddHBand="1" w:evenHBand="0" w:firstRowFirstColumn="0" w:firstRowLastColumn="0" w:lastRowFirstColumn="0" w:lastRowLastColumn="0"/>
              <w:rPr>
                <w:b/>
                <w:iCs/>
                <w:sz w:val="22"/>
                <w:szCs w:val="22"/>
              </w:rPr>
            </w:pPr>
            <w:r w:rsidRPr="00F057B2">
              <w:rPr>
                <w:b/>
                <w:iCs/>
                <w:sz w:val="22"/>
                <w:szCs w:val="22"/>
              </w:rPr>
              <w:t>397</w:t>
            </w:r>
          </w:p>
        </w:tc>
        <w:tc>
          <w:tcPr>
            <w:tcW w:w="2381" w:type="dxa"/>
            <w:vAlign w:val="center"/>
          </w:tcPr>
          <w:p w14:paraId="040C520C" w14:textId="77777777" w:rsidR="00F057B2" w:rsidRPr="00F057B2" w:rsidRDefault="00F057B2" w:rsidP="00D65F7D">
            <w:pPr>
              <w:spacing w:after="160"/>
              <w:jc w:val="right"/>
              <w:cnfStyle w:val="000000100000" w:firstRow="0" w:lastRow="0" w:firstColumn="0" w:lastColumn="0" w:oddVBand="0" w:evenVBand="0" w:oddHBand="1" w:evenHBand="0" w:firstRowFirstColumn="0" w:firstRowLastColumn="0" w:lastRowFirstColumn="0" w:lastRowLastColumn="0"/>
              <w:rPr>
                <w:b/>
                <w:iCs/>
                <w:sz w:val="22"/>
                <w:szCs w:val="22"/>
              </w:rPr>
            </w:pPr>
            <w:r w:rsidRPr="00F057B2">
              <w:rPr>
                <w:b/>
                <w:iCs/>
                <w:sz w:val="22"/>
                <w:szCs w:val="22"/>
              </w:rPr>
              <w:t>400</w:t>
            </w:r>
          </w:p>
        </w:tc>
      </w:tr>
    </w:tbl>
    <w:p w14:paraId="0C309505" w14:textId="77777777" w:rsidR="00F057B2" w:rsidRDefault="00F057B2" w:rsidP="00D65F7D">
      <w:pPr>
        <w:spacing w:before="120"/>
      </w:pPr>
      <w:r>
        <w:t xml:space="preserve">Of the 400 ADRGs in V11.0, 230 ADRGs have one split (A, B). Of these, 397 ADRGs are directly comparable to V10.0. </w:t>
      </w:r>
      <w:r w:rsidRPr="001D3991">
        <w:rPr>
          <w:b/>
          <w:bCs/>
        </w:rPr>
        <w:t>Table 5</w:t>
      </w:r>
      <w:r>
        <w:t xml:space="preserve"> provides a summary of these comparable ADRGs.</w:t>
      </w:r>
    </w:p>
    <w:p w14:paraId="087ADB33" w14:textId="77777777" w:rsidR="00F057B2" w:rsidRPr="00D65F7D" w:rsidRDefault="00F057B2" w:rsidP="00D65F7D">
      <w:pPr>
        <w:rPr>
          <w:b/>
          <w:color w:val="auto"/>
          <w:sz w:val="18"/>
          <w:szCs w:val="18"/>
        </w:rPr>
      </w:pPr>
      <w:r w:rsidRPr="00D65F7D">
        <w:rPr>
          <w:b/>
          <w:color w:val="auto"/>
          <w:sz w:val="18"/>
          <w:szCs w:val="18"/>
        </w:rPr>
        <w:t>Table 5: Comparable ADRGs by number of splits in V10.0 and V11.0</w:t>
      </w:r>
    </w:p>
    <w:tbl>
      <w:tblPr>
        <w:tblW w:w="6799" w:type="dxa"/>
        <w:jc w:val="center"/>
        <w:tblLook w:val="04A0" w:firstRow="1" w:lastRow="0" w:firstColumn="1" w:lastColumn="0" w:noHBand="0" w:noVBand="1"/>
      </w:tblPr>
      <w:tblGrid>
        <w:gridCol w:w="754"/>
        <w:gridCol w:w="1166"/>
        <w:gridCol w:w="1052"/>
        <w:gridCol w:w="932"/>
        <w:gridCol w:w="911"/>
        <w:gridCol w:w="992"/>
        <w:gridCol w:w="992"/>
      </w:tblGrid>
      <w:tr w:rsidR="00EA1462" w:rsidRPr="00EA1462" w14:paraId="4AC2B550" w14:textId="77777777" w:rsidTr="00F057B2">
        <w:trPr>
          <w:cantSplit/>
          <w:trHeight w:val="454"/>
          <w:tblHeader/>
          <w:jc w:val="center"/>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104F99"/>
            <w:noWrap/>
            <w:vAlign w:val="center"/>
            <w:hideMark/>
          </w:tcPr>
          <w:p w14:paraId="6C37E1C1" w14:textId="77777777" w:rsidR="00F057B2" w:rsidRPr="00EA1462" w:rsidRDefault="00F057B2" w:rsidP="00D65F7D">
            <w:pPr>
              <w:jc w:val="center"/>
              <w:rPr>
                <w:rFonts w:cs="Arial"/>
                <w:b/>
                <w:color w:val="FFFFFF" w:themeColor="accent6"/>
                <w:lang w:val="en-US"/>
              </w:rPr>
            </w:pPr>
            <w:r w:rsidRPr="00EA1462">
              <w:rPr>
                <w:rFonts w:cs="Arial"/>
                <w:b/>
                <w:color w:val="FFFFFF" w:themeColor="accent6"/>
                <w:lang w:val="en-US"/>
              </w:rPr>
              <w:t>Number of Splits</w:t>
            </w:r>
          </w:p>
        </w:tc>
        <w:tc>
          <w:tcPr>
            <w:tcW w:w="4879" w:type="dxa"/>
            <w:gridSpan w:val="5"/>
            <w:tcBorders>
              <w:top w:val="single" w:sz="4" w:space="0" w:color="auto"/>
              <w:left w:val="nil"/>
              <w:bottom w:val="single" w:sz="4" w:space="0" w:color="auto"/>
              <w:right w:val="single" w:sz="4" w:space="0" w:color="auto"/>
            </w:tcBorders>
            <w:shd w:val="clear" w:color="auto" w:fill="104F99"/>
            <w:noWrap/>
            <w:vAlign w:val="center"/>
            <w:hideMark/>
          </w:tcPr>
          <w:p w14:paraId="36DCAC17" w14:textId="77777777" w:rsidR="00F057B2" w:rsidRPr="00EA1462" w:rsidRDefault="00F057B2" w:rsidP="00D65F7D">
            <w:pPr>
              <w:jc w:val="center"/>
              <w:rPr>
                <w:rFonts w:cs="Arial"/>
                <w:b/>
                <w:color w:val="FFFFFF" w:themeColor="accent6"/>
                <w:lang w:val="en-US"/>
              </w:rPr>
            </w:pPr>
            <w:r w:rsidRPr="00EA1462">
              <w:rPr>
                <w:rFonts w:cs="Arial"/>
                <w:b/>
                <w:color w:val="FFFFFF" w:themeColor="accent6"/>
                <w:lang w:val="en-US"/>
              </w:rPr>
              <w:t>AR-DRG V10.0</w:t>
            </w:r>
          </w:p>
        </w:tc>
      </w:tr>
      <w:tr w:rsidR="00F057B2" w:rsidRPr="00F057B2" w14:paraId="4F43CEE2" w14:textId="77777777" w:rsidTr="00F057B2">
        <w:trPr>
          <w:cantSplit/>
          <w:trHeight w:val="454"/>
          <w:tblHeader/>
          <w:jc w:val="center"/>
        </w:trPr>
        <w:tc>
          <w:tcPr>
            <w:tcW w:w="1920" w:type="dxa"/>
            <w:gridSpan w:val="2"/>
            <w:vMerge/>
            <w:tcBorders>
              <w:top w:val="single" w:sz="4" w:space="0" w:color="auto"/>
              <w:left w:val="single" w:sz="4" w:space="0" w:color="auto"/>
              <w:bottom w:val="single" w:sz="4" w:space="0" w:color="auto"/>
              <w:right w:val="single" w:sz="4" w:space="0" w:color="auto"/>
            </w:tcBorders>
            <w:shd w:val="clear" w:color="auto" w:fill="104F99"/>
            <w:vAlign w:val="center"/>
            <w:hideMark/>
          </w:tcPr>
          <w:p w14:paraId="2AB2986D" w14:textId="77777777" w:rsidR="00F057B2" w:rsidRPr="00F057B2" w:rsidRDefault="00F057B2" w:rsidP="00D65F7D">
            <w:pPr>
              <w:rPr>
                <w:rFonts w:cs="Arial"/>
                <w:b/>
                <w:color w:val="FFFFFF"/>
                <w:lang w:val="en-US"/>
              </w:rPr>
            </w:pPr>
          </w:p>
        </w:tc>
        <w:tc>
          <w:tcPr>
            <w:tcW w:w="1052" w:type="dxa"/>
            <w:tcBorders>
              <w:top w:val="nil"/>
              <w:left w:val="nil"/>
              <w:bottom w:val="single" w:sz="4" w:space="0" w:color="auto"/>
              <w:right w:val="single" w:sz="4" w:space="0" w:color="auto"/>
            </w:tcBorders>
            <w:shd w:val="clear" w:color="auto" w:fill="104F99"/>
            <w:noWrap/>
            <w:vAlign w:val="center"/>
            <w:hideMark/>
          </w:tcPr>
          <w:p w14:paraId="208E69B0" w14:textId="77777777" w:rsidR="00F057B2" w:rsidRPr="00F057B2" w:rsidRDefault="00F057B2" w:rsidP="00D65F7D">
            <w:pPr>
              <w:jc w:val="center"/>
              <w:rPr>
                <w:rFonts w:cs="Arial"/>
                <w:b/>
                <w:color w:val="FFFFFF"/>
                <w:lang w:val="en-US"/>
              </w:rPr>
            </w:pPr>
            <w:r w:rsidRPr="00F057B2">
              <w:rPr>
                <w:rFonts w:cs="Arial"/>
                <w:b/>
                <w:color w:val="FFFFFF"/>
                <w:lang w:val="en-US"/>
              </w:rPr>
              <w:t>0</w:t>
            </w:r>
          </w:p>
        </w:tc>
        <w:tc>
          <w:tcPr>
            <w:tcW w:w="932" w:type="dxa"/>
            <w:tcBorders>
              <w:top w:val="nil"/>
              <w:left w:val="nil"/>
              <w:bottom w:val="single" w:sz="4" w:space="0" w:color="auto"/>
              <w:right w:val="single" w:sz="4" w:space="0" w:color="auto"/>
            </w:tcBorders>
            <w:shd w:val="clear" w:color="auto" w:fill="104F99"/>
            <w:noWrap/>
            <w:vAlign w:val="center"/>
            <w:hideMark/>
          </w:tcPr>
          <w:p w14:paraId="1279417C" w14:textId="77777777" w:rsidR="00F057B2" w:rsidRPr="00F057B2" w:rsidRDefault="00F057B2" w:rsidP="00D65F7D">
            <w:pPr>
              <w:jc w:val="center"/>
              <w:rPr>
                <w:rFonts w:cs="Arial"/>
                <w:b/>
                <w:color w:val="FFFFFF"/>
                <w:lang w:val="en-US"/>
              </w:rPr>
            </w:pPr>
            <w:r w:rsidRPr="00F057B2">
              <w:rPr>
                <w:rFonts w:cs="Arial"/>
                <w:b/>
                <w:color w:val="FFFFFF"/>
                <w:lang w:val="en-US"/>
              </w:rPr>
              <w:t>1</w:t>
            </w:r>
          </w:p>
        </w:tc>
        <w:tc>
          <w:tcPr>
            <w:tcW w:w="911" w:type="dxa"/>
            <w:tcBorders>
              <w:top w:val="nil"/>
              <w:left w:val="nil"/>
              <w:bottom w:val="single" w:sz="4" w:space="0" w:color="auto"/>
              <w:right w:val="single" w:sz="4" w:space="0" w:color="auto"/>
            </w:tcBorders>
            <w:shd w:val="clear" w:color="auto" w:fill="104F99"/>
            <w:noWrap/>
            <w:vAlign w:val="center"/>
            <w:hideMark/>
          </w:tcPr>
          <w:p w14:paraId="50D1DC88" w14:textId="77777777" w:rsidR="00F057B2" w:rsidRPr="00F057B2" w:rsidRDefault="00F057B2" w:rsidP="00D65F7D">
            <w:pPr>
              <w:jc w:val="center"/>
              <w:rPr>
                <w:rFonts w:cs="Arial"/>
                <w:b/>
                <w:color w:val="FFFFFF"/>
                <w:lang w:val="en-US"/>
              </w:rPr>
            </w:pPr>
            <w:r w:rsidRPr="00F057B2">
              <w:rPr>
                <w:rFonts w:cs="Arial"/>
                <w:b/>
                <w:color w:val="FFFFFF"/>
                <w:lang w:val="en-US"/>
              </w:rPr>
              <w:t>2</w:t>
            </w:r>
          </w:p>
        </w:tc>
        <w:tc>
          <w:tcPr>
            <w:tcW w:w="992" w:type="dxa"/>
            <w:tcBorders>
              <w:top w:val="nil"/>
              <w:left w:val="nil"/>
              <w:bottom w:val="single" w:sz="4" w:space="0" w:color="auto"/>
              <w:right w:val="single" w:sz="4" w:space="0" w:color="auto"/>
            </w:tcBorders>
            <w:shd w:val="clear" w:color="auto" w:fill="104F99"/>
            <w:noWrap/>
            <w:vAlign w:val="center"/>
            <w:hideMark/>
          </w:tcPr>
          <w:p w14:paraId="1E0626DF" w14:textId="77777777" w:rsidR="00F057B2" w:rsidRPr="00F057B2" w:rsidRDefault="00F057B2" w:rsidP="00D65F7D">
            <w:pPr>
              <w:jc w:val="center"/>
              <w:rPr>
                <w:rFonts w:cs="Arial"/>
                <w:b/>
                <w:color w:val="FFFFFF"/>
                <w:lang w:val="en-US"/>
              </w:rPr>
            </w:pPr>
            <w:r w:rsidRPr="00F057B2">
              <w:rPr>
                <w:rFonts w:cs="Arial"/>
                <w:b/>
                <w:color w:val="FFFFFF"/>
                <w:lang w:val="en-US"/>
              </w:rPr>
              <w:t>3</w:t>
            </w:r>
          </w:p>
        </w:tc>
        <w:tc>
          <w:tcPr>
            <w:tcW w:w="992" w:type="dxa"/>
            <w:tcBorders>
              <w:top w:val="nil"/>
              <w:left w:val="nil"/>
              <w:bottom w:val="single" w:sz="4" w:space="0" w:color="auto"/>
              <w:right w:val="single" w:sz="4" w:space="0" w:color="auto"/>
            </w:tcBorders>
            <w:shd w:val="clear" w:color="auto" w:fill="104F99"/>
            <w:noWrap/>
            <w:vAlign w:val="center"/>
            <w:hideMark/>
          </w:tcPr>
          <w:p w14:paraId="6D0E0E34" w14:textId="77777777" w:rsidR="00F057B2" w:rsidRPr="00F057B2" w:rsidRDefault="00F057B2" w:rsidP="00D65F7D">
            <w:pPr>
              <w:jc w:val="center"/>
              <w:rPr>
                <w:rFonts w:cs="Arial"/>
                <w:b/>
                <w:color w:val="FFFFFF"/>
                <w:lang w:val="en-US"/>
              </w:rPr>
            </w:pPr>
            <w:r w:rsidRPr="00F057B2">
              <w:rPr>
                <w:rFonts w:cs="Arial"/>
                <w:b/>
                <w:color w:val="FFFFFF"/>
                <w:lang w:val="en-US"/>
              </w:rPr>
              <w:t>Total</w:t>
            </w:r>
          </w:p>
        </w:tc>
      </w:tr>
      <w:tr w:rsidR="00F057B2" w:rsidRPr="00F057B2" w14:paraId="318B2108" w14:textId="77777777" w:rsidTr="00F057B2">
        <w:trPr>
          <w:cantSplit/>
          <w:trHeight w:val="363"/>
          <w:jc w:val="center"/>
        </w:trPr>
        <w:tc>
          <w:tcPr>
            <w:tcW w:w="754" w:type="dxa"/>
            <w:vMerge w:val="restart"/>
            <w:tcBorders>
              <w:top w:val="nil"/>
              <w:left w:val="single" w:sz="4" w:space="0" w:color="auto"/>
              <w:bottom w:val="single" w:sz="4" w:space="0" w:color="000000"/>
              <w:right w:val="single" w:sz="4" w:space="0" w:color="auto"/>
            </w:tcBorders>
            <w:shd w:val="clear" w:color="auto" w:fill="104F99"/>
            <w:noWrap/>
            <w:textDirection w:val="btLr"/>
            <w:vAlign w:val="center"/>
            <w:hideMark/>
          </w:tcPr>
          <w:p w14:paraId="7764A6D0" w14:textId="77777777" w:rsidR="00F057B2" w:rsidRPr="00EA1462" w:rsidRDefault="00F057B2" w:rsidP="00D65F7D">
            <w:pPr>
              <w:jc w:val="center"/>
              <w:rPr>
                <w:rFonts w:cs="Arial"/>
                <w:b/>
                <w:bCs/>
                <w:color w:val="FFFFFF" w:themeColor="accent6"/>
                <w:lang w:val="en-US"/>
              </w:rPr>
            </w:pPr>
            <w:r w:rsidRPr="00EA1462">
              <w:rPr>
                <w:rFonts w:cs="Arial"/>
                <w:b/>
                <w:bCs/>
                <w:color w:val="FFFFFF" w:themeColor="accent6"/>
                <w:lang w:val="en-US"/>
              </w:rPr>
              <w:t>AR-DRG V11.0</w:t>
            </w:r>
          </w:p>
        </w:tc>
        <w:tc>
          <w:tcPr>
            <w:tcW w:w="1166" w:type="dxa"/>
            <w:tcBorders>
              <w:top w:val="nil"/>
              <w:left w:val="nil"/>
              <w:bottom w:val="single" w:sz="4" w:space="0" w:color="auto"/>
              <w:right w:val="single" w:sz="4" w:space="0" w:color="auto"/>
            </w:tcBorders>
            <w:shd w:val="clear" w:color="auto" w:fill="104F99"/>
            <w:noWrap/>
            <w:vAlign w:val="center"/>
            <w:hideMark/>
          </w:tcPr>
          <w:p w14:paraId="6B607D49" w14:textId="77777777" w:rsidR="00F057B2" w:rsidRPr="00EA1462" w:rsidRDefault="00F057B2" w:rsidP="00D65F7D">
            <w:pPr>
              <w:jc w:val="center"/>
              <w:rPr>
                <w:rFonts w:cs="Arial"/>
                <w:color w:val="FFFFFF" w:themeColor="accent6"/>
                <w:lang w:val="en-US"/>
              </w:rPr>
            </w:pPr>
            <w:r w:rsidRPr="00EA1462">
              <w:rPr>
                <w:rFonts w:cs="Arial"/>
                <w:color w:val="FFFFFF" w:themeColor="accent6"/>
                <w:lang w:val="en-US"/>
              </w:rPr>
              <w:t>0</w:t>
            </w:r>
          </w:p>
        </w:tc>
        <w:tc>
          <w:tcPr>
            <w:tcW w:w="1052" w:type="dxa"/>
            <w:tcBorders>
              <w:top w:val="nil"/>
              <w:left w:val="nil"/>
              <w:bottom w:val="single" w:sz="4" w:space="0" w:color="auto"/>
              <w:right w:val="single" w:sz="4" w:space="0" w:color="auto"/>
            </w:tcBorders>
            <w:shd w:val="clear" w:color="000000" w:fill="D0CECE"/>
            <w:noWrap/>
            <w:vAlign w:val="center"/>
            <w:hideMark/>
          </w:tcPr>
          <w:p w14:paraId="6FB33FF2" w14:textId="77777777" w:rsidR="00F057B2" w:rsidRPr="00F057B2" w:rsidRDefault="00F057B2" w:rsidP="00D65F7D">
            <w:pPr>
              <w:jc w:val="right"/>
              <w:rPr>
                <w:rFonts w:cs="Arial"/>
                <w:color w:val="000000"/>
                <w:lang w:val="en-US"/>
              </w:rPr>
            </w:pPr>
            <w:r w:rsidRPr="00F057B2">
              <w:rPr>
                <w:rFonts w:cs="Arial"/>
                <w:color w:val="000000"/>
                <w:lang w:val="en-US"/>
              </w:rPr>
              <w:t>86</w:t>
            </w:r>
          </w:p>
        </w:tc>
        <w:tc>
          <w:tcPr>
            <w:tcW w:w="932" w:type="dxa"/>
            <w:tcBorders>
              <w:top w:val="nil"/>
              <w:left w:val="nil"/>
              <w:bottom w:val="single" w:sz="4" w:space="0" w:color="auto"/>
              <w:right w:val="single" w:sz="4" w:space="0" w:color="auto"/>
            </w:tcBorders>
            <w:shd w:val="clear" w:color="auto" w:fill="auto"/>
            <w:noWrap/>
            <w:vAlign w:val="center"/>
            <w:hideMark/>
          </w:tcPr>
          <w:p w14:paraId="4AA90C71"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11" w:type="dxa"/>
            <w:tcBorders>
              <w:top w:val="nil"/>
              <w:left w:val="nil"/>
              <w:bottom w:val="single" w:sz="4" w:space="0" w:color="auto"/>
              <w:right w:val="single" w:sz="4" w:space="0" w:color="auto"/>
            </w:tcBorders>
            <w:shd w:val="clear" w:color="auto" w:fill="auto"/>
            <w:noWrap/>
            <w:vAlign w:val="center"/>
            <w:hideMark/>
          </w:tcPr>
          <w:p w14:paraId="524F29AF"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41FF0839"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6FEB50E4" w14:textId="77777777" w:rsidR="00F057B2" w:rsidRPr="00F057B2" w:rsidRDefault="00F057B2" w:rsidP="00D65F7D">
            <w:pPr>
              <w:jc w:val="right"/>
              <w:rPr>
                <w:rFonts w:cs="Arial"/>
                <w:b/>
                <w:color w:val="000000"/>
                <w:lang w:val="en-US"/>
              </w:rPr>
            </w:pPr>
            <w:r w:rsidRPr="00F057B2">
              <w:rPr>
                <w:rFonts w:cs="Arial"/>
                <w:b/>
                <w:color w:val="000000"/>
                <w:lang w:val="en-US"/>
              </w:rPr>
              <w:t>86</w:t>
            </w:r>
          </w:p>
        </w:tc>
      </w:tr>
      <w:tr w:rsidR="00F057B2" w:rsidRPr="00F057B2" w14:paraId="084BE85B" w14:textId="77777777" w:rsidTr="00F057B2">
        <w:trPr>
          <w:cantSplit/>
          <w:trHeight w:val="454"/>
          <w:jc w:val="center"/>
        </w:trPr>
        <w:tc>
          <w:tcPr>
            <w:tcW w:w="754" w:type="dxa"/>
            <w:vMerge/>
            <w:tcBorders>
              <w:top w:val="nil"/>
              <w:left w:val="single" w:sz="4" w:space="0" w:color="auto"/>
              <w:bottom w:val="single" w:sz="4" w:space="0" w:color="000000"/>
              <w:right w:val="single" w:sz="4" w:space="0" w:color="auto"/>
            </w:tcBorders>
            <w:shd w:val="clear" w:color="auto" w:fill="104F99"/>
            <w:vAlign w:val="center"/>
            <w:hideMark/>
          </w:tcPr>
          <w:p w14:paraId="417F0074" w14:textId="77777777" w:rsidR="00F057B2" w:rsidRPr="00EA1462" w:rsidRDefault="00F057B2" w:rsidP="00D65F7D">
            <w:pPr>
              <w:rPr>
                <w:rFonts w:cs="Arial"/>
                <w:color w:val="FFFFFF" w:themeColor="accent6"/>
                <w:lang w:val="en-US"/>
              </w:rPr>
            </w:pPr>
          </w:p>
        </w:tc>
        <w:tc>
          <w:tcPr>
            <w:tcW w:w="1166" w:type="dxa"/>
            <w:tcBorders>
              <w:top w:val="nil"/>
              <w:left w:val="nil"/>
              <w:bottom w:val="single" w:sz="4" w:space="0" w:color="auto"/>
              <w:right w:val="single" w:sz="4" w:space="0" w:color="auto"/>
            </w:tcBorders>
            <w:shd w:val="clear" w:color="auto" w:fill="104F99"/>
            <w:noWrap/>
            <w:vAlign w:val="center"/>
            <w:hideMark/>
          </w:tcPr>
          <w:p w14:paraId="40414618" w14:textId="77777777" w:rsidR="00F057B2" w:rsidRPr="00EA1462" w:rsidRDefault="00F057B2" w:rsidP="00D65F7D">
            <w:pPr>
              <w:jc w:val="center"/>
              <w:rPr>
                <w:rFonts w:cs="Arial"/>
                <w:color w:val="FFFFFF" w:themeColor="accent6"/>
                <w:lang w:val="en-US"/>
              </w:rPr>
            </w:pPr>
            <w:r w:rsidRPr="00EA1462">
              <w:rPr>
                <w:rFonts w:cs="Arial"/>
                <w:color w:val="FFFFFF" w:themeColor="accent6"/>
                <w:lang w:val="en-US"/>
              </w:rPr>
              <w:t>1</w:t>
            </w:r>
          </w:p>
        </w:tc>
        <w:tc>
          <w:tcPr>
            <w:tcW w:w="1052" w:type="dxa"/>
            <w:tcBorders>
              <w:top w:val="nil"/>
              <w:left w:val="nil"/>
              <w:bottom w:val="single" w:sz="4" w:space="0" w:color="auto"/>
              <w:right w:val="single" w:sz="4" w:space="0" w:color="auto"/>
            </w:tcBorders>
            <w:shd w:val="clear" w:color="auto" w:fill="auto"/>
            <w:noWrap/>
            <w:vAlign w:val="center"/>
            <w:hideMark/>
          </w:tcPr>
          <w:p w14:paraId="232AEC66" w14:textId="77777777" w:rsidR="00F057B2" w:rsidRPr="00F057B2" w:rsidRDefault="00F057B2" w:rsidP="00D65F7D">
            <w:pPr>
              <w:jc w:val="right"/>
              <w:rPr>
                <w:rFonts w:cs="Arial"/>
                <w:color w:val="000000"/>
                <w:lang w:val="en-US"/>
              </w:rPr>
            </w:pPr>
            <w:r w:rsidRPr="00F057B2">
              <w:rPr>
                <w:rFonts w:cs="Arial"/>
                <w:color w:val="000000"/>
                <w:lang w:val="en-US"/>
              </w:rPr>
              <w:t>1</w:t>
            </w:r>
          </w:p>
        </w:tc>
        <w:tc>
          <w:tcPr>
            <w:tcW w:w="932" w:type="dxa"/>
            <w:tcBorders>
              <w:top w:val="nil"/>
              <w:left w:val="nil"/>
              <w:bottom w:val="single" w:sz="4" w:space="0" w:color="auto"/>
              <w:right w:val="single" w:sz="4" w:space="0" w:color="auto"/>
            </w:tcBorders>
            <w:shd w:val="clear" w:color="000000" w:fill="D0CECE"/>
            <w:noWrap/>
            <w:vAlign w:val="center"/>
            <w:hideMark/>
          </w:tcPr>
          <w:p w14:paraId="40BBCB30" w14:textId="77777777" w:rsidR="00F057B2" w:rsidRPr="00F057B2" w:rsidRDefault="00F057B2" w:rsidP="00D65F7D">
            <w:pPr>
              <w:jc w:val="right"/>
              <w:rPr>
                <w:rFonts w:cs="Arial"/>
                <w:color w:val="000000"/>
                <w:lang w:val="en-US"/>
              </w:rPr>
            </w:pPr>
            <w:r w:rsidRPr="00F057B2">
              <w:rPr>
                <w:rFonts w:cs="Arial"/>
                <w:color w:val="000000"/>
                <w:lang w:val="en-US"/>
              </w:rPr>
              <w:t>227</w:t>
            </w:r>
          </w:p>
        </w:tc>
        <w:tc>
          <w:tcPr>
            <w:tcW w:w="911" w:type="dxa"/>
            <w:tcBorders>
              <w:top w:val="nil"/>
              <w:left w:val="nil"/>
              <w:bottom w:val="single" w:sz="4" w:space="0" w:color="auto"/>
              <w:right w:val="single" w:sz="4" w:space="0" w:color="auto"/>
            </w:tcBorders>
            <w:shd w:val="clear" w:color="auto" w:fill="auto"/>
            <w:noWrap/>
            <w:vAlign w:val="center"/>
            <w:hideMark/>
          </w:tcPr>
          <w:p w14:paraId="7F6ECADF"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5869D66E"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6F5418E4" w14:textId="77777777" w:rsidR="00F057B2" w:rsidRPr="00F057B2" w:rsidRDefault="00F057B2" w:rsidP="00D65F7D">
            <w:pPr>
              <w:jc w:val="right"/>
              <w:rPr>
                <w:rFonts w:cs="Arial"/>
                <w:b/>
                <w:color w:val="000000"/>
                <w:lang w:val="en-US"/>
              </w:rPr>
            </w:pPr>
            <w:r w:rsidRPr="00F057B2">
              <w:rPr>
                <w:rFonts w:cs="Arial"/>
                <w:b/>
                <w:color w:val="000000"/>
                <w:lang w:val="en-US"/>
              </w:rPr>
              <w:t>228</w:t>
            </w:r>
          </w:p>
        </w:tc>
      </w:tr>
      <w:tr w:rsidR="00F057B2" w:rsidRPr="00F057B2" w14:paraId="4AAA17E8" w14:textId="77777777" w:rsidTr="00F057B2">
        <w:trPr>
          <w:cantSplit/>
          <w:trHeight w:val="454"/>
          <w:jc w:val="center"/>
        </w:trPr>
        <w:tc>
          <w:tcPr>
            <w:tcW w:w="754" w:type="dxa"/>
            <w:vMerge/>
            <w:tcBorders>
              <w:top w:val="nil"/>
              <w:left w:val="single" w:sz="4" w:space="0" w:color="auto"/>
              <w:bottom w:val="single" w:sz="4" w:space="0" w:color="000000"/>
              <w:right w:val="single" w:sz="4" w:space="0" w:color="auto"/>
            </w:tcBorders>
            <w:shd w:val="clear" w:color="auto" w:fill="104F99"/>
            <w:vAlign w:val="center"/>
            <w:hideMark/>
          </w:tcPr>
          <w:p w14:paraId="631D928B" w14:textId="77777777" w:rsidR="00F057B2" w:rsidRPr="00EA1462" w:rsidRDefault="00F057B2" w:rsidP="00D65F7D">
            <w:pPr>
              <w:rPr>
                <w:rFonts w:cs="Arial"/>
                <w:color w:val="FFFFFF" w:themeColor="accent6"/>
                <w:lang w:val="en-US"/>
              </w:rPr>
            </w:pPr>
          </w:p>
        </w:tc>
        <w:tc>
          <w:tcPr>
            <w:tcW w:w="1166" w:type="dxa"/>
            <w:tcBorders>
              <w:top w:val="nil"/>
              <w:left w:val="nil"/>
              <w:bottom w:val="single" w:sz="4" w:space="0" w:color="auto"/>
              <w:right w:val="single" w:sz="4" w:space="0" w:color="auto"/>
            </w:tcBorders>
            <w:shd w:val="clear" w:color="auto" w:fill="104F99"/>
            <w:noWrap/>
            <w:vAlign w:val="center"/>
            <w:hideMark/>
          </w:tcPr>
          <w:p w14:paraId="008BD423" w14:textId="77777777" w:rsidR="00F057B2" w:rsidRPr="00EA1462" w:rsidRDefault="00F057B2" w:rsidP="00D65F7D">
            <w:pPr>
              <w:jc w:val="center"/>
              <w:rPr>
                <w:rFonts w:cs="Arial"/>
                <w:color w:val="FFFFFF" w:themeColor="accent6"/>
                <w:lang w:val="en-US"/>
              </w:rPr>
            </w:pPr>
            <w:r w:rsidRPr="00EA1462">
              <w:rPr>
                <w:rFonts w:cs="Arial"/>
                <w:color w:val="FFFFFF" w:themeColor="accent6"/>
                <w:lang w:val="en-US"/>
              </w:rPr>
              <w:t>2</w:t>
            </w:r>
          </w:p>
        </w:tc>
        <w:tc>
          <w:tcPr>
            <w:tcW w:w="1052" w:type="dxa"/>
            <w:tcBorders>
              <w:top w:val="nil"/>
              <w:left w:val="nil"/>
              <w:bottom w:val="single" w:sz="4" w:space="0" w:color="auto"/>
              <w:right w:val="single" w:sz="4" w:space="0" w:color="auto"/>
            </w:tcBorders>
            <w:shd w:val="clear" w:color="auto" w:fill="auto"/>
            <w:noWrap/>
            <w:vAlign w:val="center"/>
            <w:hideMark/>
          </w:tcPr>
          <w:p w14:paraId="0F55FCF0"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32" w:type="dxa"/>
            <w:tcBorders>
              <w:top w:val="nil"/>
              <w:left w:val="nil"/>
              <w:bottom w:val="single" w:sz="4" w:space="0" w:color="auto"/>
              <w:right w:val="single" w:sz="4" w:space="0" w:color="auto"/>
            </w:tcBorders>
            <w:shd w:val="clear" w:color="auto" w:fill="auto"/>
            <w:noWrap/>
            <w:vAlign w:val="center"/>
            <w:hideMark/>
          </w:tcPr>
          <w:p w14:paraId="70D53BD5"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11" w:type="dxa"/>
            <w:tcBorders>
              <w:top w:val="nil"/>
              <w:left w:val="nil"/>
              <w:bottom w:val="single" w:sz="4" w:space="0" w:color="auto"/>
              <w:right w:val="single" w:sz="4" w:space="0" w:color="auto"/>
            </w:tcBorders>
            <w:shd w:val="clear" w:color="000000" w:fill="D0CECE"/>
            <w:noWrap/>
            <w:vAlign w:val="center"/>
            <w:hideMark/>
          </w:tcPr>
          <w:p w14:paraId="3F654C02" w14:textId="77777777" w:rsidR="00F057B2" w:rsidRPr="00F057B2" w:rsidRDefault="00F057B2" w:rsidP="00D65F7D">
            <w:pPr>
              <w:jc w:val="right"/>
              <w:rPr>
                <w:rFonts w:cs="Arial"/>
                <w:color w:val="000000"/>
                <w:lang w:val="en-US"/>
              </w:rPr>
            </w:pPr>
            <w:r w:rsidRPr="00F057B2">
              <w:rPr>
                <w:rFonts w:cs="Arial"/>
                <w:color w:val="000000"/>
                <w:lang w:val="en-US"/>
              </w:rPr>
              <w:t>78</w:t>
            </w:r>
          </w:p>
        </w:tc>
        <w:tc>
          <w:tcPr>
            <w:tcW w:w="992" w:type="dxa"/>
            <w:tcBorders>
              <w:top w:val="nil"/>
              <w:left w:val="nil"/>
              <w:bottom w:val="single" w:sz="4" w:space="0" w:color="auto"/>
              <w:right w:val="single" w:sz="4" w:space="0" w:color="auto"/>
            </w:tcBorders>
            <w:shd w:val="clear" w:color="auto" w:fill="auto"/>
            <w:noWrap/>
            <w:vAlign w:val="center"/>
            <w:hideMark/>
          </w:tcPr>
          <w:p w14:paraId="2C21C112"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25F888F0" w14:textId="77777777" w:rsidR="00F057B2" w:rsidRPr="00F057B2" w:rsidRDefault="00F057B2" w:rsidP="00D65F7D">
            <w:pPr>
              <w:jc w:val="right"/>
              <w:rPr>
                <w:rFonts w:cs="Arial"/>
                <w:b/>
                <w:color w:val="000000"/>
                <w:lang w:val="en-US"/>
              </w:rPr>
            </w:pPr>
            <w:r w:rsidRPr="00F057B2">
              <w:rPr>
                <w:rFonts w:cs="Arial"/>
                <w:b/>
                <w:color w:val="000000"/>
                <w:lang w:val="en-US"/>
              </w:rPr>
              <w:t>78</w:t>
            </w:r>
          </w:p>
        </w:tc>
      </w:tr>
      <w:tr w:rsidR="00F057B2" w:rsidRPr="00F057B2" w14:paraId="5FDD7B6D" w14:textId="77777777" w:rsidTr="00F057B2">
        <w:trPr>
          <w:cantSplit/>
          <w:trHeight w:val="454"/>
          <w:jc w:val="center"/>
        </w:trPr>
        <w:tc>
          <w:tcPr>
            <w:tcW w:w="754" w:type="dxa"/>
            <w:vMerge/>
            <w:tcBorders>
              <w:top w:val="nil"/>
              <w:left w:val="single" w:sz="4" w:space="0" w:color="auto"/>
              <w:bottom w:val="single" w:sz="4" w:space="0" w:color="000000"/>
              <w:right w:val="single" w:sz="4" w:space="0" w:color="auto"/>
            </w:tcBorders>
            <w:shd w:val="clear" w:color="auto" w:fill="104F99"/>
            <w:vAlign w:val="center"/>
            <w:hideMark/>
          </w:tcPr>
          <w:p w14:paraId="7A640C60" w14:textId="77777777" w:rsidR="00F057B2" w:rsidRPr="00EA1462" w:rsidRDefault="00F057B2" w:rsidP="00D65F7D">
            <w:pPr>
              <w:rPr>
                <w:rFonts w:cs="Arial"/>
                <w:color w:val="FFFFFF" w:themeColor="accent6"/>
                <w:lang w:val="en-US"/>
              </w:rPr>
            </w:pPr>
          </w:p>
        </w:tc>
        <w:tc>
          <w:tcPr>
            <w:tcW w:w="1166" w:type="dxa"/>
            <w:tcBorders>
              <w:top w:val="nil"/>
              <w:left w:val="nil"/>
              <w:bottom w:val="single" w:sz="4" w:space="0" w:color="auto"/>
              <w:right w:val="single" w:sz="4" w:space="0" w:color="auto"/>
            </w:tcBorders>
            <w:shd w:val="clear" w:color="auto" w:fill="104F99"/>
            <w:noWrap/>
            <w:vAlign w:val="center"/>
            <w:hideMark/>
          </w:tcPr>
          <w:p w14:paraId="6B3BAAB2" w14:textId="77777777" w:rsidR="00F057B2" w:rsidRPr="00EA1462" w:rsidRDefault="00F057B2" w:rsidP="00D65F7D">
            <w:pPr>
              <w:jc w:val="center"/>
              <w:rPr>
                <w:rFonts w:cs="Arial"/>
                <w:color w:val="FFFFFF" w:themeColor="accent6"/>
                <w:lang w:val="en-US"/>
              </w:rPr>
            </w:pPr>
            <w:r w:rsidRPr="00EA1462">
              <w:rPr>
                <w:rFonts w:cs="Arial"/>
                <w:color w:val="FFFFFF" w:themeColor="accent6"/>
                <w:lang w:val="en-US"/>
              </w:rPr>
              <w:t>3</w:t>
            </w:r>
          </w:p>
        </w:tc>
        <w:tc>
          <w:tcPr>
            <w:tcW w:w="1052" w:type="dxa"/>
            <w:tcBorders>
              <w:top w:val="nil"/>
              <w:left w:val="nil"/>
              <w:bottom w:val="single" w:sz="4" w:space="0" w:color="auto"/>
              <w:right w:val="single" w:sz="4" w:space="0" w:color="auto"/>
            </w:tcBorders>
            <w:shd w:val="clear" w:color="auto" w:fill="auto"/>
            <w:noWrap/>
            <w:vAlign w:val="center"/>
            <w:hideMark/>
          </w:tcPr>
          <w:p w14:paraId="6B105730"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32" w:type="dxa"/>
            <w:tcBorders>
              <w:top w:val="nil"/>
              <w:left w:val="nil"/>
              <w:bottom w:val="single" w:sz="4" w:space="0" w:color="auto"/>
              <w:right w:val="single" w:sz="4" w:space="0" w:color="auto"/>
            </w:tcBorders>
            <w:shd w:val="clear" w:color="auto" w:fill="auto"/>
            <w:noWrap/>
            <w:vAlign w:val="center"/>
            <w:hideMark/>
          </w:tcPr>
          <w:p w14:paraId="6CEDB543"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11" w:type="dxa"/>
            <w:tcBorders>
              <w:top w:val="nil"/>
              <w:left w:val="nil"/>
              <w:bottom w:val="single" w:sz="4" w:space="0" w:color="auto"/>
              <w:right w:val="single" w:sz="4" w:space="0" w:color="auto"/>
            </w:tcBorders>
            <w:shd w:val="clear" w:color="auto" w:fill="auto"/>
            <w:noWrap/>
            <w:vAlign w:val="center"/>
            <w:hideMark/>
          </w:tcPr>
          <w:p w14:paraId="764FA9AC" w14:textId="77777777" w:rsidR="00F057B2" w:rsidRPr="00F057B2" w:rsidRDefault="00F057B2" w:rsidP="00D65F7D">
            <w:pPr>
              <w:jc w:val="right"/>
              <w:rPr>
                <w:rFonts w:cs="Arial"/>
                <w:color w:val="000000"/>
                <w:lang w:val="en-US"/>
              </w:rPr>
            </w:pPr>
            <w:r w:rsidRPr="00F057B2">
              <w:rPr>
                <w:rFonts w:cs="Arial"/>
                <w:color w:val="000000"/>
                <w:lang w:val="en-US"/>
              </w:rPr>
              <w:t>0</w:t>
            </w:r>
          </w:p>
        </w:tc>
        <w:tc>
          <w:tcPr>
            <w:tcW w:w="992" w:type="dxa"/>
            <w:tcBorders>
              <w:top w:val="nil"/>
              <w:left w:val="nil"/>
              <w:bottom w:val="single" w:sz="4" w:space="0" w:color="auto"/>
              <w:right w:val="single" w:sz="4" w:space="0" w:color="auto"/>
            </w:tcBorders>
            <w:shd w:val="clear" w:color="000000" w:fill="D0CECE"/>
            <w:noWrap/>
            <w:vAlign w:val="center"/>
            <w:hideMark/>
          </w:tcPr>
          <w:p w14:paraId="692D1FB2" w14:textId="77777777" w:rsidR="00F057B2" w:rsidRPr="00F057B2" w:rsidRDefault="00F057B2" w:rsidP="00D65F7D">
            <w:pPr>
              <w:jc w:val="right"/>
              <w:rPr>
                <w:rFonts w:cs="Arial"/>
                <w:color w:val="000000"/>
                <w:lang w:val="en-US"/>
              </w:rPr>
            </w:pPr>
            <w:r w:rsidRPr="00F057B2">
              <w:rPr>
                <w:rFonts w:cs="Arial"/>
                <w:color w:val="000000"/>
                <w:lang w:val="en-US"/>
              </w:rPr>
              <w:t>5</w:t>
            </w:r>
          </w:p>
        </w:tc>
        <w:tc>
          <w:tcPr>
            <w:tcW w:w="992" w:type="dxa"/>
            <w:tcBorders>
              <w:top w:val="nil"/>
              <w:left w:val="nil"/>
              <w:bottom w:val="single" w:sz="4" w:space="0" w:color="auto"/>
              <w:right w:val="single" w:sz="4" w:space="0" w:color="auto"/>
            </w:tcBorders>
            <w:shd w:val="clear" w:color="auto" w:fill="auto"/>
            <w:noWrap/>
            <w:vAlign w:val="center"/>
            <w:hideMark/>
          </w:tcPr>
          <w:p w14:paraId="0325E561" w14:textId="26BFF315" w:rsidR="00F057B2" w:rsidRPr="00F057B2" w:rsidRDefault="000B16D5" w:rsidP="00D65F7D">
            <w:pPr>
              <w:jc w:val="right"/>
              <w:rPr>
                <w:rFonts w:cs="Arial"/>
                <w:b/>
                <w:color w:val="000000"/>
                <w:lang w:val="en-US"/>
              </w:rPr>
            </w:pPr>
            <w:r>
              <w:rPr>
                <w:rFonts w:cs="Arial"/>
                <w:b/>
                <w:color w:val="000000"/>
                <w:lang w:val="en-US"/>
              </w:rPr>
              <w:t>5</w:t>
            </w:r>
          </w:p>
        </w:tc>
      </w:tr>
      <w:tr w:rsidR="00F057B2" w:rsidRPr="00F057B2" w14:paraId="5ECBC0CE" w14:textId="77777777" w:rsidTr="00F057B2">
        <w:trPr>
          <w:cantSplit/>
          <w:trHeight w:val="454"/>
          <w:jc w:val="center"/>
        </w:trPr>
        <w:tc>
          <w:tcPr>
            <w:tcW w:w="754" w:type="dxa"/>
            <w:vMerge/>
            <w:tcBorders>
              <w:top w:val="nil"/>
              <w:left w:val="single" w:sz="4" w:space="0" w:color="auto"/>
              <w:bottom w:val="single" w:sz="4" w:space="0" w:color="000000"/>
              <w:right w:val="single" w:sz="4" w:space="0" w:color="auto"/>
            </w:tcBorders>
            <w:shd w:val="clear" w:color="auto" w:fill="104F99"/>
            <w:vAlign w:val="center"/>
            <w:hideMark/>
          </w:tcPr>
          <w:p w14:paraId="4ED4DF7D" w14:textId="77777777" w:rsidR="00F057B2" w:rsidRPr="00EA1462" w:rsidRDefault="00F057B2" w:rsidP="00D65F7D">
            <w:pPr>
              <w:rPr>
                <w:rFonts w:cs="Arial"/>
                <w:color w:val="FFFFFF" w:themeColor="accent6"/>
                <w:lang w:val="en-US"/>
              </w:rPr>
            </w:pPr>
          </w:p>
        </w:tc>
        <w:tc>
          <w:tcPr>
            <w:tcW w:w="1166" w:type="dxa"/>
            <w:tcBorders>
              <w:top w:val="nil"/>
              <w:left w:val="nil"/>
              <w:bottom w:val="single" w:sz="4" w:space="0" w:color="auto"/>
              <w:right w:val="single" w:sz="4" w:space="0" w:color="auto"/>
            </w:tcBorders>
            <w:shd w:val="clear" w:color="auto" w:fill="104F99"/>
            <w:noWrap/>
            <w:vAlign w:val="center"/>
            <w:hideMark/>
          </w:tcPr>
          <w:p w14:paraId="578E958D" w14:textId="77777777" w:rsidR="00F057B2" w:rsidRPr="00EA1462" w:rsidRDefault="00F057B2" w:rsidP="00D65F7D">
            <w:pPr>
              <w:jc w:val="center"/>
              <w:rPr>
                <w:rFonts w:cs="Arial"/>
                <w:b/>
                <w:color w:val="FFFFFF" w:themeColor="accent6"/>
                <w:lang w:val="en-US"/>
              </w:rPr>
            </w:pPr>
            <w:r w:rsidRPr="00EA1462">
              <w:rPr>
                <w:rFonts w:cs="Arial"/>
                <w:b/>
                <w:color w:val="FFFFFF" w:themeColor="accent6"/>
                <w:lang w:val="en-US"/>
              </w:rPr>
              <w:t>Total</w:t>
            </w:r>
          </w:p>
        </w:tc>
        <w:tc>
          <w:tcPr>
            <w:tcW w:w="1052" w:type="dxa"/>
            <w:tcBorders>
              <w:top w:val="nil"/>
              <w:left w:val="nil"/>
              <w:bottom w:val="single" w:sz="4" w:space="0" w:color="auto"/>
              <w:right w:val="single" w:sz="4" w:space="0" w:color="auto"/>
            </w:tcBorders>
            <w:shd w:val="clear" w:color="auto" w:fill="auto"/>
            <w:noWrap/>
            <w:vAlign w:val="center"/>
            <w:hideMark/>
          </w:tcPr>
          <w:p w14:paraId="140C2595" w14:textId="77777777" w:rsidR="00F057B2" w:rsidRPr="00F057B2" w:rsidRDefault="00F057B2" w:rsidP="00D65F7D">
            <w:pPr>
              <w:jc w:val="right"/>
              <w:rPr>
                <w:rFonts w:cs="Arial"/>
                <w:b/>
                <w:color w:val="000000"/>
                <w:lang w:val="en-US"/>
              </w:rPr>
            </w:pPr>
            <w:r w:rsidRPr="00F057B2">
              <w:rPr>
                <w:rFonts w:cs="Arial"/>
                <w:b/>
                <w:color w:val="000000"/>
                <w:lang w:val="en-US"/>
              </w:rPr>
              <w:t>87</w:t>
            </w:r>
          </w:p>
        </w:tc>
        <w:tc>
          <w:tcPr>
            <w:tcW w:w="932" w:type="dxa"/>
            <w:tcBorders>
              <w:top w:val="nil"/>
              <w:left w:val="nil"/>
              <w:bottom w:val="single" w:sz="4" w:space="0" w:color="auto"/>
              <w:right w:val="single" w:sz="4" w:space="0" w:color="auto"/>
            </w:tcBorders>
            <w:shd w:val="clear" w:color="auto" w:fill="auto"/>
            <w:noWrap/>
            <w:vAlign w:val="center"/>
            <w:hideMark/>
          </w:tcPr>
          <w:p w14:paraId="310A7310" w14:textId="77777777" w:rsidR="00F057B2" w:rsidRPr="00F057B2" w:rsidRDefault="00F057B2" w:rsidP="00D65F7D">
            <w:pPr>
              <w:jc w:val="right"/>
              <w:rPr>
                <w:rFonts w:cs="Arial"/>
                <w:b/>
                <w:color w:val="000000"/>
                <w:lang w:val="en-US"/>
              </w:rPr>
            </w:pPr>
            <w:r w:rsidRPr="00F057B2">
              <w:rPr>
                <w:rFonts w:cs="Arial"/>
                <w:b/>
                <w:color w:val="000000"/>
                <w:lang w:val="en-US"/>
              </w:rPr>
              <w:t>227</w:t>
            </w:r>
          </w:p>
        </w:tc>
        <w:tc>
          <w:tcPr>
            <w:tcW w:w="911" w:type="dxa"/>
            <w:tcBorders>
              <w:top w:val="nil"/>
              <w:left w:val="nil"/>
              <w:bottom w:val="single" w:sz="4" w:space="0" w:color="auto"/>
              <w:right w:val="single" w:sz="4" w:space="0" w:color="auto"/>
            </w:tcBorders>
            <w:shd w:val="clear" w:color="auto" w:fill="auto"/>
            <w:noWrap/>
            <w:vAlign w:val="center"/>
            <w:hideMark/>
          </w:tcPr>
          <w:p w14:paraId="78ECED8C" w14:textId="77777777" w:rsidR="00F057B2" w:rsidRPr="00F057B2" w:rsidRDefault="00F057B2" w:rsidP="00D65F7D">
            <w:pPr>
              <w:jc w:val="right"/>
              <w:rPr>
                <w:rFonts w:cs="Arial"/>
                <w:b/>
                <w:color w:val="000000"/>
                <w:lang w:val="en-US"/>
              </w:rPr>
            </w:pPr>
            <w:r w:rsidRPr="00F057B2">
              <w:rPr>
                <w:rFonts w:cs="Arial"/>
                <w:b/>
                <w:color w:val="000000"/>
                <w:lang w:val="en-US"/>
              </w:rPr>
              <w:t>78</w:t>
            </w:r>
          </w:p>
        </w:tc>
        <w:tc>
          <w:tcPr>
            <w:tcW w:w="992" w:type="dxa"/>
            <w:tcBorders>
              <w:top w:val="nil"/>
              <w:left w:val="nil"/>
              <w:bottom w:val="single" w:sz="4" w:space="0" w:color="auto"/>
              <w:right w:val="single" w:sz="4" w:space="0" w:color="auto"/>
            </w:tcBorders>
            <w:shd w:val="clear" w:color="auto" w:fill="auto"/>
            <w:noWrap/>
            <w:vAlign w:val="center"/>
            <w:hideMark/>
          </w:tcPr>
          <w:p w14:paraId="346211AA" w14:textId="77777777" w:rsidR="00F057B2" w:rsidRPr="00F057B2" w:rsidRDefault="00F057B2" w:rsidP="00D65F7D">
            <w:pPr>
              <w:jc w:val="right"/>
              <w:rPr>
                <w:rFonts w:cs="Arial"/>
                <w:b/>
                <w:color w:val="000000"/>
                <w:lang w:val="en-US"/>
              </w:rPr>
            </w:pPr>
            <w:r w:rsidRPr="00F057B2">
              <w:rPr>
                <w:rFonts w:cs="Arial"/>
                <w:b/>
                <w:color w:val="000000"/>
                <w:lang w:val="en-US"/>
              </w:rPr>
              <w:t>5</w:t>
            </w:r>
          </w:p>
        </w:tc>
        <w:tc>
          <w:tcPr>
            <w:tcW w:w="992" w:type="dxa"/>
            <w:tcBorders>
              <w:top w:val="nil"/>
              <w:left w:val="nil"/>
              <w:bottom w:val="single" w:sz="4" w:space="0" w:color="auto"/>
              <w:right w:val="single" w:sz="4" w:space="0" w:color="auto"/>
            </w:tcBorders>
            <w:shd w:val="clear" w:color="auto" w:fill="auto"/>
            <w:noWrap/>
            <w:vAlign w:val="center"/>
            <w:hideMark/>
          </w:tcPr>
          <w:p w14:paraId="314C7FB3" w14:textId="77777777" w:rsidR="00F057B2" w:rsidRPr="00F057B2" w:rsidRDefault="00F057B2" w:rsidP="00D65F7D">
            <w:pPr>
              <w:jc w:val="right"/>
              <w:rPr>
                <w:rFonts w:cs="Arial"/>
                <w:b/>
                <w:color w:val="000000"/>
                <w:lang w:val="en-US"/>
              </w:rPr>
            </w:pPr>
            <w:r w:rsidRPr="00F057B2">
              <w:rPr>
                <w:rFonts w:cs="Arial"/>
                <w:b/>
                <w:color w:val="000000"/>
                <w:lang w:val="en-US"/>
              </w:rPr>
              <w:t>397</w:t>
            </w:r>
          </w:p>
        </w:tc>
      </w:tr>
    </w:tbl>
    <w:p w14:paraId="49B08351" w14:textId="77777777" w:rsidR="00F057B2" w:rsidRDefault="00F057B2" w:rsidP="00D65F7D">
      <w:pPr>
        <w:spacing w:before="120"/>
      </w:pPr>
      <w:r>
        <w:t xml:space="preserve">Of the 397 comparable ADRGs, 396 have the same number of splits as in V10.0. One ADRG (M04 </w:t>
      </w:r>
      <w:r w:rsidRPr="00F95C63">
        <w:rPr>
          <w:i/>
        </w:rPr>
        <w:t>Testes Interventions</w:t>
      </w:r>
      <w:r>
        <w:t>) has changed from having no split in V10.0 to one split in V11.0.</w:t>
      </w:r>
      <w:bookmarkEnd w:id="88"/>
      <w:bookmarkEnd w:id="89"/>
    </w:p>
    <w:p w14:paraId="13AA8429" w14:textId="77777777" w:rsidR="00F057B2" w:rsidRDefault="00F057B2" w:rsidP="00900CDB">
      <w:r>
        <w:t>The AR-DRG V11.0 Technical Specifications provide further details as to the methodology and outcomes of the ADRG intervention hierarchy and splitting refinements for AR-DRG V11.0.</w:t>
      </w:r>
    </w:p>
    <w:p w14:paraId="0F9CC22F" w14:textId="77777777" w:rsidR="00F057B2" w:rsidRPr="00167A95" w:rsidRDefault="00F057B2" w:rsidP="00F057B2">
      <w:pPr>
        <w:pStyle w:val="Heading3"/>
        <w:spacing w:before="240" w:after="120" w:line="240" w:lineRule="auto"/>
        <w:contextualSpacing/>
      </w:pPr>
      <w:bookmarkStart w:id="108" w:name="_Toc124656413"/>
      <w:r w:rsidRPr="00167A95">
        <w:lastRenderedPageBreak/>
        <w:t xml:space="preserve">Review of ADRG 801 </w:t>
      </w:r>
      <w:r w:rsidRPr="005D6344">
        <w:rPr>
          <w:i/>
        </w:rPr>
        <w:t>General Interventions (GIs) unrelated to principal diagnosis</w:t>
      </w:r>
      <w:bookmarkEnd w:id="108"/>
    </w:p>
    <w:p w14:paraId="0BD23BC6" w14:textId="77777777" w:rsidR="00F057B2" w:rsidRDefault="00F057B2" w:rsidP="00900CDB">
      <w:r>
        <w:t xml:space="preserve">ADRG 801 is valid for circumstances where the principal diagnosis does not relate to a GI performed during the episode, such as instances where patients are admitted for medical treatment and subsequently have treatment for an unrelated complication. </w:t>
      </w:r>
    </w:p>
    <w:p w14:paraId="1B4BE556" w14:textId="1BE3B80C" w:rsidR="00F057B2" w:rsidRDefault="00182054" w:rsidP="00900CDB">
      <w:r>
        <w:t xml:space="preserve">IHACPA </w:t>
      </w:r>
      <w:r w:rsidR="00F057B2">
        <w:t>received 11 public submissions regarding grouping anomalies in the AR-DRG classification where submissions demonstrated the principal diagnosis and GI were related.</w:t>
      </w:r>
    </w:p>
    <w:p w14:paraId="49A9D5E1" w14:textId="77777777" w:rsidR="00F057B2" w:rsidRDefault="00F057B2" w:rsidP="00D65F7D">
      <w:r>
        <w:t>Potential grouping alternatives were proposed for each scenario. Analysis on cost profile, episode movement and grouping alternatives was conducted to inform more appropriate grouping. These alternative groupings were confirmed in consultation with clinical and technical advisory groups and will ensure more appropriate grouping in AR-DRG V11.0.</w:t>
      </w:r>
    </w:p>
    <w:p w14:paraId="137EF713" w14:textId="77777777" w:rsidR="00F057B2" w:rsidRDefault="00F057B2" w:rsidP="00900CDB">
      <w:r>
        <w:t>Seven public submissions were able to be grouped to an appropriate ADRG within the same MDC:</w:t>
      </w:r>
    </w:p>
    <w:p w14:paraId="08D961AE" w14:textId="77777777" w:rsidR="00F057B2" w:rsidRDefault="00F057B2" w:rsidP="00D65F7D">
      <w:pPr>
        <w:pStyle w:val="ListParagraph"/>
        <w:numPr>
          <w:ilvl w:val="0"/>
          <w:numId w:val="25"/>
        </w:numPr>
        <w:ind w:left="714" w:hanging="357"/>
        <w:contextualSpacing w:val="0"/>
      </w:pPr>
      <w:r>
        <w:t>Excision of arteriovenous malformation of the spine</w:t>
      </w:r>
    </w:p>
    <w:p w14:paraId="16851885" w14:textId="77777777" w:rsidR="00F057B2" w:rsidRDefault="00F057B2" w:rsidP="00D65F7D">
      <w:pPr>
        <w:pStyle w:val="ListParagraph"/>
        <w:numPr>
          <w:ilvl w:val="0"/>
          <w:numId w:val="25"/>
        </w:numPr>
        <w:ind w:left="714" w:hanging="357"/>
        <w:contextualSpacing w:val="0"/>
      </w:pPr>
      <w:r>
        <w:t>Repair of postprocedural chyle leak</w:t>
      </w:r>
    </w:p>
    <w:p w14:paraId="0B0A64A9" w14:textId="77777777" w:rsidR="00F057B2" w:rsidRDefault="00F057B2" w:rsidP="00D65F7D">
      <w:pPr>
        <w:pStyle w:val="ListParagraph"/>
        <w:numPr>
          <w:ilvl w:val="0"/>
          <w:numId w:val="25"/>
        </w:numPr>
        <w:ind w:left="714" w:hanging="357"/>
        <w:contextualSpacing w:val="0"/>
      </w:pPr>
      <w:proofErr w:type="spellStart"/>
      <w:r>
        <w:t>Oesophageal</w:t>
      </w:r>
      <w:proofErr w:type="spellEnd"/>
      <w:r>
        <w:t xml:space="preserve"> stenting for varices</w:t>
      </w:r>
    </w:p>
    <w:p w14:paraId="28C45FAB" w14:textId="77777777" w:rsidR="00F057B2" w:rsidRDefault="00F057B2" w:rsidP="00D65F7D">
      <w:pPr>
        <w:pStyle w:val="ListParagraph"/>
        <w:numPr>
          <w:ilvl w:val="0"/>
          <w:numId w:val="25"/>
        </w:numPr>
        <w:ind w:left="714" w:hanging="357"/>
        <w:contextualSpacing w:val="0"/>
      </w:pPr>
      <w:r>
        <w:t>Repair of diastasis recti</w:t>
      </w:r>
    </w:p>
    <w:p w14:paraId="1096E669" w14:textId="77777777" w:rsidR="00F057B2" w:rsidRDefault="00F057B2" w:rsidP="00D65F7D">
      <w:pPr>
        <w:pStyle w:val="ListParagraph"/>
        <w:numPr>
          <w:ilvl w:val="0"/>
          <w:numId w:val="25"/>
        </w:numPr>
        <w:ind w:left="714" w:hanging="357"/>
        <w:contextualSpacing w:val="0"/>
      </w:pPr>
      <w:r>
        <w:t>Orbital reconstruction (post-orbital exenteration) with osseointegration</w:t>
      </w:r>
    </w:p>
    <w:p w14:paraId="081201F8" w14:textId="77777777" w:rsidR="00F057B2" w:rsidRDefault="00F057B2" w:rsidP="00D65F7D">
      <w:pPr>
        <w:pStyle w:val="ListParagraph"/>
        <w:numPr>
          <w:ilvl w:val="0"/>
          <w:numId w:val="25"/>
        </w:numPr>
        <w:ind w:left="714" w:hanging="357"/>
        <w:contextualSpacing w:val="0"/>
      </w:pPr>
      <w:r>
        <w:t>Treatment of bladder outlet obstruction with hyperplasia of the prostate</w:t>
      </w:r>
    </w:p>
    <w:p w14:paraId="35E246EF" w14:textId="77777777" w:rsidR="00F057B2" w:rsidRDefault="00F057B2" w:rsidP="00D65F7D">
      <w:pPr>
        <w:pStyle w:val="ListParagraph"/>
        <w:numPr>
          <w:ilvl w:val="0"/>
          <w:numId w:val="25"/>
        </w:numPr>
        <w:ind w:left="714" w:hanging="357"/>
        <w:contextualSpacing w:val="0"/>
      </w:pPr>
      <w:r>
        <w:t xml:space="preserve">Injury of iliac blood vessels with </w:t>
      </w:r>
      <w:proofErr w:type="spellStart"/>
      <w:r>
        <w:t>embolisation</w:t>
      </w:r>
      <w:proofErr w:type="spellEnd"/>
    </w:p>
    <w:p w14:paraId="44C80F5F" w14:textId="77777777" w:rsidR="00F057B2" w:rsidRDefault="00F057B2" w:rsidP="00900CDB">
      <w:r>
        <w:t xml:space="preserve">Four public submissions required relocating to a different MDC </w:t>
      </w:r>
      <w:proofErr w:type="gramStart"/>
      <w:r>
        <w:t>in order to</w:t>
      </w:r>
      <w:proofErr w:type="gramEnd"/>
      <w:r>
        <w:t xml:space="preserve"> group to an appropriate ADRG:</w:t>
      </w:r>
    </w:p>
    <w:p w14:paraId="4A029377" w14:textId="77777777" w:rsidR="00F057B2" w:rsidRDefault="00F057B2" w:rsidP="00D65F7D">
      <w:pPr>
        <w:pStyle w:val="ListParagraph"/>
        <w:numPr>
          <w:ilvl w:val="0"/>
          <w:numId w:val="24"/>
        </w:numPr>
        <w:ind w:left="714" w:hanging="357"/>
        <w:contextualSpacing w:val="0"/>
      </w:pPr>
      <w:r>
        <w:t>Cerebral amyloid angiopathy with biopsy of the brain</w:t>
      </w:r>
    </w:p>
    <w:p w14:paraId="5FE021E8" w14:textId="77777777" w:rsidR="00F057B2" w:rsidRDefault="00F057B2" w:rsidP="00D65F7D">
      <w:pPr>
        <w:pStyle w:val="ListParagraph"/>
        <w:numPr>
          <w:ilvl w:val="0"/>
          <w:numId w:val="24"/>
        </w:numPr>
        <w:ind w:left="714" w:hanging="357"/>
        <w:contextualSpacing w:val="0"/>
      </w:pPr>
      <w:r>
        <w:t>Endoscopic replacement of device from the stomach</w:t>
      </w:r>
    </w:p>
    <w:p w14:paraId="3481ADC7" w14:textId="77777777" w:rsidR="00F057B2" w:rsidRPr="00BF05D7" w:rsidRDefault="00F057B2" w:rsidP="00D65F7D">
      <w:pPr>
        <w:pStyle w:val="ListParagraph"/>
        <w:numPr>
          <w:ilvl w:val="0"/>
          <w:numId w:val="24"/>
        </w:numPr>
        <w:ind w:left="714" w:hanging="357"/>
        <w:contextualSpacing w:val="0"/>
      </w:pPr>
      <w:r>
        <w:t>Infected corneal graft with reoperation keratoplasty</w:t>
      </w:r>
    </w:p>
    <w:p w14:paraId="6DF485BB" w14:textId="77777777" w:rsidR="00F057B2" w:rsidRPr="00D43B14" w:rsidRDefault="00F057B2" w:rsidP="00900CDB">
      <w:r>
        <w:t>One public submission was not progressed due to the potential impact on episode shifting. The scenario described in this public submission, mechanical thrombectomy of pulmonary embolism, will continue to group to ADRG 801 in Version 11.0.</w:t>
      </w:r>
    </w:p>
    <w:p w14:paraId="58BB39FD" w14:textId="77777777" w:rsidR="00F057B2" w:rsidRDefault="00F057B2" w:rsidP="00F057B2">
      <w:pPr>
        <w:pStyle w:val="Heading2"/>
        <w:spacing w:before="360" w:after="120" w:line="260" w:lineRule="atLeast"/>
        <w:contextualSpacing/>
      </w:pPr>
      <w:bookmarkStart w:id="109" w:name="_Toc100328205"/>
      <w:bookmarkStart w:id="110" w:name="_Toc124656414"/>
      <w:r>
        <w:t>Coronavirus disease 2019 (COVID-19)</w:t>
      </w:r>
      <w:bookmarkEnd w:id="109"/>
      <w:bookmarkEnd w:id="110"/>
    </w:p>
    <w:p w14:paraId="21AC7DD9" w14:textId="77777777" w:rsidR="00F057B2" w:rsidRDefault="00F057B2" w:rsidP="00900CDB">
      <w:r>
        <w:t xml:space="preserve">COVID-19 is the disease caused by </w:t>
      </w:r>
      <w:r w:rsidRPr="00F32C93">
        <w:t xml:space="preserve">severe acute respiratory syndrome coronavirus 2 </w:t>
      </w:r>
      <w:r>
        <w:t>(SARS</w:t>
      </w:r>
      <w:r>
        <w:noBreakHyphen/>
        <w:t>CoV</w:t>
      </w:r>
      <w:r>
        <w:noBreakHyphen/>
        <w:t xml:space="preserve">2). COVID-19 was first reported in national minimum data sets in the 2019-20 financial year and so was not used in the development of AR-DRG V11.0 that has been developed using data from </w:t>
      </w:r>
      <w:r w:rsidRPr="005E3093">
        <w:t>2015</w:t>
      </w:r>
      <w:r w:rsidRPr="00363DA7">
        <w:rPr>
          <w:iCs/>
        </w:rPr>
        <w:t>–</w:t>
      </w:r>
      <w:r>
        <w:t>16 to</w:t>
      </w:r>
      <w:r w:rsidRPr="005E3093">
        <w:t xml:space="preserve"> 2018</w:t>
      </w:r>
      <w:r w:rsidRPr="00363DA7">
        <w:rPr>
          <w:iCs/>
        </w:rPr>
        <w:t>–</w:t>
      </w:r>
      <w:r w:rsidRPr="005E3093">
        <w:t>19</w:t>
      </w:r>
      <w:r>
        <w:t xml:space="preserve">. </w:t>
      </w:r>
    </w:p>
    <w:p w14:paraId="7164A6A0" w14:textId="77777777" w:rsidR="00F057B2" w:rsidRDefault="00F057B2" w:rsidP="00900CDB">
      <w:pPr>
        <w:rPr>
          <w:rFonts w:eastAsiaTheme="minorEastAsia"/>
        </w:rPr>
      </w:pPr>
      <w:r>
        <w:t xml:space="preserve">Although COVID-19 activity and cost data has not been included in the data that informed </w:t>
      </w:r>
      <w:r>
        <w:br/>
        <w:t xml:space="preserve">AR-DRG development, like other new codes incorporated within new AR-DRG versions, </w:t>
      </w:r>
      <w:r>
        <w:br/>
      </w:r>
      <w:r>
        <w:lastRenderedPageBreak/>
        <w:t xml:space="preserve">ICD-10-AM codes for COVID-19 will receive a DCL value. </w:t>
      </w:r>
      <w:r>
        <w:rPr>
          <w:rFonts w:eastAsiaTheme="minorEastAsia"/>
        </w:rPr>
        <w:t>Refer to the AR-DRG V11.0 Technical Specifications for illustrations as to how DCL values are derived.</w:t>
      </w:r>
    </w:p>
    <w:p w14:paraId="3D593C30" w14:textId="77777777" w:rsidR="00F057B2" w:rsidRDefault="00F057B2" w:rsidP="00900CDB">
      <w:r>
        <w:t xml:space="preserve">The World Health Organization issued emergency use codes to capture COVID-19 related concepts that were incorporated in ICD-10-AM Twelfth Edition. The emergency use codes relating to COVID-19 that are acceptable as principal diagnosis from Twelfth Edition are listed in </w:t>
      </w:r>
      <w:r w:rsidRPr="0022080B">
        <w:rPr>
          <w:b/>
        </w:rPr>
        <w:t>Table 6</w:t>
      </w:r>
      <w:r>
        <w:t xml:space="preserve"> with a corresponding ADRGs.</w:t>
      </w:r>
    </w:p>
    <w:p w14:paraId="2366E537" w14:textId="77777777" w:rsidR="00F057B2" w:rsidRPr="009A2CDC" w:rsidRDefault="00F057B2" w:rsidP="00900CDB">
      <w:pPr>
        <w:rPr>
          <w:rFonts w:cs="Arial"/>
          <w:b/>
          <w:color w:val="auto"/>
          <w:sz w:val="18"/>
          <w:szCs w:val="18"/>
        </w:rPr>
      </w:pPr>
      <w:r w:rsidRPr="009A2CDC">
        <w:rPr>
          <w:rFonts w:cs="Arial"/>
          <w:b/>
          <w:color w:val="auto"/>
          <w:sz w:val="18"/>
          <w:szCs w:val="18"/>
        </w:rPr>
        <w:t>Table 6: ICD-10-AM principal diagnosis codes related to COVID-19 with V11.0 ADRG.</w:t>
      </w:r>
    </w:p>
    <w:tbl>
      <w:tblPr>
        <w:tblStyle w:val="TableGrid"/>
        <w:tblW w:w="0" w:type="auto"/>
        <w:tblLook w:val="04A0" w:firstRow="1" w:lastRow="0" w:firstColumn="1" w:lastColumn="0" w:noHBand="0" w:noVBand="1"/>
      </w:tblPr>
      <w:tblGrid>
        <w:gridCol w:w="6799"/>
        <w:gridCol w:w="2412"/>
      </w:tblGrid>
      <w:tr w:rsidR="00EA1462" w:rsidRPr="00EA1462" w14:paraId="08562DB5" w14:textId="77777777" w:rsidTr="00F057B2">
        <w:trPr>
          <w:trHeight w:val="454"/>
        </w:trPr>
        <w:tc>
          <w:tcPr>
            <w:tcW w:w="6799" w:type="dxa"/>
            <w:shd w:val="clear" w:color="auto" w:fill="104F99"/>
          </w:tcPr>
          <w:p w14:paraId="3D743869" w14:textId="77777777" w:rsidR="00F057B2" w:rsidRPr="00EA1462" w:rsidRDefault="00F057B2" w:rsidP="00D65F7D">
            <w:pPr>
              <w:spacing w:after="160"/>
              <w:rPr>
                <w:rFonts w:cs="Arial"/>
                <w:b/>
                <w:color w:val="FFFFFF" w:themeColor="accent6"/>
              </w:rPr>
            </w:pPr>
            <w:r w:rsidRPr="00EA1462">
              <w:rPr>
                <w:rFonts w:cs="Arial"/>
                <w:b/>
                <w:color w:val="FFFFFF" w:themeColor="accent6"/>
              </w:rPr>
              <w:t>ICD-10-AM Twelfth Edition code</w:t>
            </w:r>
          </w:p>
        </w:tc>
        <w:tc>
          <w:tcPr>
            <w:tcW w:w="2412" w:type="dxa"/>
            <w:shd w:val="clear" w:color="auto" w:fill="104F99"/>
          </w:tcPr>
          <w:p w14:paraId="2EA4EE49" w14:textId="77777777" w:rsidR="00F057B2" w:rsidRPr="00EA1462" w:rsidRDefault="00F057B2" w:rsidP="00D65F7D">
            <w:pPr>
              <w:spacing w:after="160"/>
              <w:rPr>
                <w:rFonts w:cs="Arial"/>
                <w:b/>
                <w:color w:val="FFFFFF" w:themeColor="accent6"/>
              </w:rPr>
            </w:pPr>
            <w:r w:rsidRPr="00EA1462">
              <w:rPr>
                <w:rFonts w:cs="Arial"/>
                <w:b/>
                <w:color w:val="FFFFFF" w:themeColor="accent6"/>
              </w:rPr>
              <w:t>V11.0 ADRG</w:t>
            </w:r>
          </w:p>
        </w:tc>
      </w:tr>
      <w:tr w:rsidR="00F057B2" w:rsidRPr="00F057B2" w14:paraId="08BE5AE9" w14:textId="77777777" w:rsidTr="00596EFF">
        <w:trPr>
          <w:trHeight w:val="454"/>
        </w:trPr>
        <w:tc>
          <w:tcPr>
            <w:tcW w:w="6799" w:type="dxa"/>
            <w:vAlign w:val="center"/>
          </w:tcPr>
          <w:p w14:paraId="6D241B4B" w14:textId="77777777" w:rsidR="00F057B2" w:rsidRPr="00F057B2" w:rsidRDefault="00F057B2" w:rsidP="00D65F7D">
            <w:pPr>
              <w:spacing w:after="160"/>
              <w:rPr>
                <w:rFonts w:cs="Arial"/>
              </w:rPr>
            </w:pPr>
            <w:r w:rsidRPr="00F057B2">
              <w:rPr>
                <w:rFonts w:cs="Arial"/>
              </w:rPr>
              <w:t xml:space="preserve">U07.1- </w:t>
            </w:r>
            <w:r w:rsidRPr="00F057B2">
              <w:rPr>
                <w:rFonts w:cs="Arial"/>
                <w:i/>
              </w:rPr>
              <w:t>Coronavirus disease 2019 [COVID-19], virus identified</w:t>
            </w:r>
          </w:p>
        </w:tc>
        <w:tc>
          <w:tcPr>
            <w:tcW w:w="2412" w:type="dxa"/>
            <w:vAlign w:val="center"/>
          </w:tcPr>
          <w:p w14:paraId="1D380256" w14:textId="77777777" w:rsidR="00F057B2" w:rsidRPr="00F057B2" w:rsidRDefault="00F057B2" w:rsidP="00D65F7D">
            <w:pPr>
              <w:spacing w:after="160"/>
              <w:rPr>
                <w:rFonts w:cs="Arial"/>
              </w:rPr>
            </w:pPr>
            <w:r w:rsidRPr="00F057B2">
              <w:rPr>
                <w:rFonts w:cs="Arial"/>
              </w:rPr>
              <w:t xml:space="preserve">T63 </w:t>
            </w:r>
            <w:r w:rsidRPr="00F057B2">
              <w:rPr>
                <w:rFonts w:cs="Arial"/>
                <w:i/>
              </w:rPr>
              <w:t>Viral illnesses</w:t>
            </w:r>
          </w:p>
        </w:tc>
      </w:tr>
      <w:tr w:rsidR="00F057B2" w:rsidRPr="00F057B2" w14:paraId="19272AC6" w14:textId="77777777" w:rsidTr="00596EFF">
        <w:trPr>
          <w:trHeight w:val="454"/>
        </w:trPr>
        <w:tc>
          <w:tcPr>
            <w:tcW w:w="6799" w:type="dxa"/>
            <w:vAlign w:val="center"/>
          </w:tcPr>
          <w:p w14:paraId="09B262EE" w14:textId="77777777" w:rsidR="00F057B2" w:rsidRPr="00F057B2" w:rsidRDefault="00F057B2" w:rsidP="00D65F7D">
            <w:pPr>
              <w:spacing w:after="160"/>
              <w:rPr>
                <w:rFonts w:cs="Arial"/>
              </w:rPr>
            </w:pPr>
            <w:r w:rsidRPr="00F057B2">
              <w:rPr>
                <w:rFonts w:cs="Arial"/>
              </w:rPr>
              <w:t xml:space="preserve">U07.2 </w:t>
            </w:r>
            <w:r w:rsidRPr="00F057B2">
              <w:rPr>
                <w:rFonts w:cs="Arial"/>
                <w:i/>
              </w:rPr>
              <w:t>Coronavirus disease 2019 [COVID-19], virus not identified</w:t>
            </w:r>
          </w:p>
        </w:tc>
        <w:tc>
          <w:tcPr>
            <w:tcW w:w="2412" w:type="dxa"/>
            <w:vAlign w:val="center"/>
          </w:tcPr>
          <w:p w14:paraId="1B8A067A" w14:textId="77777777" w:rsidR="00F057B2" w:rsidRPr="00F057B2" w:rsidRDefault="00F057B2" w:rsidP="00D65F7D">
            <w:pPr>
              <w:spacing w:after="160"/>
              <w:rPr>
                <w:rFonts w:cs="Arial"/>
              </w:rPr>
            </w:pPr>
            <w:r w:rsidRPr="00F057B2">
              <w:rPr>
                <w:rFonts w:cs="Arial"/>
              </w:rPr>
              <w:t xml:space="preserve">T63 </w:t>
            </w:r>
            <w:r w:rsidRPr="00F057B2">
              <w:rPr>
                <w:rFonts w:cs="Arial"/>
                <w:i/>
              </w:rPr>
              <w:t>Viral illnesses</w:t>
            </w:r>
          </w:p>
        </w:tc>
      </w:tr>
      <w:tr w:rsidR="00F057B2" w:rsidRPr="00F057B2" w14:paraId="1A9C7F39" w14:textId="77777777" w:rsidTr="00596EFF">
        <w:trPr>
          <w:trHeight w:val="454"/>
        </w:trPr>
        <w:tc>
          <w:tcPr>
            <w:tcW w:w="6799" w:type="dxa"/>
            <w:vAlign w:val="center"/>
          </w:tcPr>
          <w:p w14:paraId="0EA0A71A" w14:textId="77777777" w:rsidR="00F057B2" w:rsidRPr="00F057B2" w:rsidRDefault="00F057B2" w:rsidP="00D65F7D">
            <w:pPr>
              <w:spacing w:after="160"/>
              <w:rPr>
                <w:rFonts w:cs="Arial"/>
              </w:rPr>
            </w:pPr>
            <w:r w:rsidRPr="00F057B2">
              <w:rPr>
                <w:rFonts w:cs="Arial"/>
              </w:rPr>
              <w:t xml:space="preserve">U07.5 </w:t>
            </w:r>
            <w:r w:rsidRPr="00F057B2">
              <w:rPr>
                <w:rFonts w:cs="Arial"/>
                <w:i/>
              </w:rPr>
              <w:t>Multisystem inflammatory syndrome associated with coronavirus disease 2019 [COVID-19]</w:t>
            </w:r>
          </w:p>
        </w:tc>
        <w:tc>
          <w:tcPr>
            <w:tcW w:w="2412" w:type="dxa"/>
            <w:vAlign w:val="center"/>
          </w:tcPr>
          <w:p w14:paraId="44375AA0" w14:textId="77777777" w:rsidR="00F057B2" w:rsidRPr="00F057B2" w:rsidRDefault="00F057B2" w:rsidP="00D65F7D">
            <w:pPr>
              <w:spacing w:after="160"/>
              <w:rPr>
                <w:rFonts w:cs="Arial"/>
              </w:rPr>
            </w:pPr>
            <w:r w:rsidRPr="00F057B2">
              <w:rPr>
                <w:rFonts w:cs="Arial"/>
              </w:rPr>
              <w:t xml:space="preserve">I66 </w:t>
            </w:r>
            <w:r w:rsidRPr="00F057B2">
              <w:rPr>
                <w:rFonts w:cs="Arial"/>
                <w:i/>
              </w:rPr>
              <w:t>Inflammatory Musculoskeletal Disorders</w:t>
            </w:r>
          </w:p>
        </w:tc>
      </w:tr>
    </w:tbl>
    <w:p w14:paraId="4B28DCA6" w14:textId="77777777" w:rsidR="00F057B2" w:rsidRDefault="00F057B2" w:rsidP="00F057B2">
      <w:pPr>
        <w:pStyle w:val="Heading2"/>
        <w:spacing w:before="360" w:after="120" w:line="260" w:lineRule="atLeast"/>
        <w:contextualSpacing/>
      </w:pPr>
      <w:bookmarkStart w:id="111" w:name="_Toc94715387"/>
      <w:bookmarkStart w:id="112" w:name="_Toc100328206"/>
      <w:bookmarkStart w:id="113" w:name="_Toc124656415"/>
      <w:bookmarkEnd w:id="111"/>
      <w:r>
        <w:t>Areas assessed and not progressed for AR-DRG V11.0</w:t>
      </w:r>
      <w:bookmarkEnd w:id="112"/>
      <w:bookmarkEnd w:id="113"/>
    </w:p>
    <w:p w14:paraId="79A59F2C" w14:textId="0A1874E9" w:rsidR="00F057B2" w:rsidRDefault="00F057B2" w:rsidP="00900CDB">
      <w:r>
        <w:t xml:space="preserve">Several other potential refinements were reviewed for AR-DRG V11.0, however, following analysis and consultation through </w:t>
      </w:r>
      <w:r w:rsidR="003B1877">
        <w:t xml:space="preserve">IHACPA’s </w:t>
      </w:r>
      <w:r>
        <w:t>clinical and technical advisory committees and the public consultation, they have not been progressed for inclusion in AR-DRG V11.0.</w:t>
      </w:r>
    </w:p>
    <w:p w14:paraId="61D8629A" w14:textId="77777777" w:rsidR="00F057B2" w:rsidRDefault="00F057B2" w:rsidP="00F057B2">
      <w:pPr>
        <w:pStyle w:val="Heading3"/>
        <w:spacing w:before="240" w:after="120" w:line="240" w:lineRule="auto"/>
        <w:contextualSpacing/>
      </w:pPr>
      <w:bookmarkStart w:id="114" w:name="_Toc124656416"/>
      <w:r>
        <w:t>Neurostimulators</w:t>
      </w:r>
      <w:bookmarkEnd w:id="114"/>
    </w:p>
    <w:p w14:paraId="454BA575" w14:textId="77777777" w:rsidR="00F057B2" w:rsidRDefault="00F057B2" w:rsidP="00900CDB">
      <w:r>
        <w:t xml:space="preserve">Neurostimulation, also called neuromodulation, is an intervention where nerves are stimulated and can be performed invasively or non-invasively. Neurostimulators are a treatment option for several neurological conditions including Parkinson’s disease, essential tremor, chronic </w:t>
      </w:r>
      <w:proofErr w:type="gramStart"/>
      <w:r>
        <w:t>pain</w:t>
      </w:r>
      <w:proofErr w:type="gramEnd"/>
      <w:r>
        <w:t xml:space="preserve"> and urinary and </w:t>
      </w:r>
      <w:proofErr w:type="spellStart"/>
      <w:r>
        <w:t>faecal</w:t>
      </w:r>
      <w:proofErr w:type="spellEnd"/>
      <w:r>
        <w:t xml:space="preserve"> incontinence. </w:t>
      </w:r>
    </w:p>
    <w:p w14:paraId="0217487C" w14:textId="77777777" w:rsidR="00F057B2" w:rsidRDefault="00F057B2" w:rsidP="00900CDB">
      <w:r>
        <w:t xml:space="preserve">Episodes for insertion of neurostimulators previously grouped to a Pre MDC ADRG in AR-DRG Versions 6.0 to 8.0. In AR-DRG V9.0, a review of the Pre MDC processing was conducted, that highlighted that neurostimulator episodes were clinically disparate and not inherently high cost. Therefore, the Pre MDC ADRG for insertion of neurostimulators was removed and the intervention for insertion of neurostimulators was added to the definitions of several intervention ADRGs across a range of MDCs. </w:t>
      </w:r>
    </w:p>
    <w:p w14:paraId="52445B64" w14:textId="77777777" w:rsidR="00F057B2" w:rsidRDefault="00F057B2" w:rsidP="00900CDB">
      <w:r>
        <w:t xml:space="preserve">Submissions were subsequently received to reinstate a single ADRG for all neurostimulators located in the Pre MDC ADRG due to the perceived consequences on funding. </w:t>
      </w:r>
    </w:p>
    <w:p w14:paraId="2372FAD3" w14:textId="77777777" w:rsidR="00F057B2" w:rsidRDefault="00F057B2" w:rsidP="00900CDB">
      <w:r>
        <w:t xml:space="preserve">Analysis indicated that neurostimulator episodes are allocated across 14 MDCs with the majority grouping to only 5 MDCs. CCAG confirmed that the clinical indications for the insertion of a neurostimulator are different and have various sites of insertion depending on the indication. </w:t>
      </w:r>
    </w:p>
    <w:p w14:paraId="0D0D45ED" w14:textId="77777777" w:rsidR="00F057B2" w:rsidRDefault="00F057B2" w:rsidP="00900CDB">
      <w:r>
        <w:t xml:space="preserve">Analysis of cost profiles demonstrated that prosthesis costs contribute to over half of the total cost for neurostimulator episodes, which is much higher compared to the average across all episodes in </w:t>
      </w:r>
      <w:r>
        <w:lastRenderedPageBreak/>
        <w:t xml:space="preserve">these ADRGs. The results reinforced the decision to remove the Pre MDC ADRG for insertion of neurostimulators in AR-DRG V9.0. </w:t>
      </w:r>
    </w:p>
    <w:p w14:paraId="51403D55" w14:textId="77777777" w:rsidR="00F057B2" w:rsidRDefault="00F057B2" w:rsidP="00900CDB">
      <w:r>
        <w:t>After analysis and consultation, no change was made to the grouping of neurostimulators in AR</w:t>
      </w:r>
      <w:r>
        <w:noBreakHyphen/>
        <w:t>DRG V11.0.</w:t>
      </w:r>
    </w:p>
    <w:p w14:paraId="287DD47A" w14:textId="77777777" w:rsidR="00F057B2" w:rsidRDefault="00F057B2" w:rsidP="00F057B2">
      <w:pPr>
        <w:pStyle w:val="Heading3"/>
        <w:spacing w:before="240" w:after="120" w:line="240" w:lineRule="auto"/>
        <w:contextualSpacing/>
      </w:pPr>
      <w:bookmarkStart w:id="115" w:name="_Toc124656417"/>
      <w:r>
        <w:t>Socioeconomic factors</w:t>
      </w:r>
      <w:bookmarkEnd w:id="115"/>
    </w:p>
    <w:p w14:paraId="7E4D03B0" w14:textId="77777777" w:rsidR="00F057B2" w:rsidRDefault="00F057B2" w:rsidP="00900CDB">
      <w:r>
        <w:t xml:space="preserve">In feedback from the </w:t>
      </w:r>
      <w:r w:rsidRPr="002A66DB">
        <w:rPr>
          <w:i/>
        </w:rPr>
        <w:t>Consultation paper on the</w:t>
      </w:r>
      <w:r>
        <w:t xml:space="preserve"> </w:t>
      </w:r>
      <w:r w:rsidRPr="00363DA7">
        <w:rPr>
          <w:i/>
        </w:rPr>
        <w:t>Pricing Framework for Australian public hospital services 2019–20</w:t>
      </w:r>
      <w:r>
        <w:rPr>
          <w:rStyle w:val="FootnoteReference"/>
          <w:i/>
        </w:rPr>
        <w:footnoteReference w:id="7"/>
      </w:r>
      <w:r>
        <w:t>, it was suggested that socioeconomic factors, such as issues related to housing, economic and psychosocial circumstances, add to the cost and complexity of an episode of care and should be considered in the AR-DRG complexity model.</w:t>
      </w:r>
    </w:p>
    <w:p w14:paraId="6B93800E" w14:textId="77777777" w:rsidR="00F057B2" w:rsidRDefault="00F057B2" w:rsidP="00900CDB">
      <w:r>
        <w:t xml:space="preserve">During the development of the ECC Model in AR-DRG V8.0, socioeconomic factors were excluded from the complexity model as they were not considered to contribute to the clinical complexity of an admitted acute episode. </w:t>
      </w:r>
    </w:p>
    <w:p w14:paraId="14A48283" w14:textId="77777777" w:rsidR="00F057B2" w:rsidRDefault="00F057B2" w:rsidP="00900CDB">
      <w:r>
        <w:t xml:space="preserve">Rather, they </w:t>
      </w:r>
      <w:proofErr w:type="gramStart"/>
      <w:r>
        <w:t>were considered to be</w:t>
      </w:r>
      <w:proofErr w:type="gramEnd"/>
      <w:r>
        <w:t xml:space="preserve"> a pre-disposing factor in leading to an admission or in delaying discharge and sometimes also reflected a lack of services available to discharge a patient safely, but this was not seen to make the episodes clinically more complex.</w:t>
      </w:r>
    </w:p>
    <w:p w14:paraId="062FA4F3" w14:textId="6749CC3C" w:rsidR="00F057B2" w:rsidRDefault="003B1877" w:rsidP="00900CDB">
      <w:r>
        <w:t xml:space="preserve">IHACPA </w:t>
      </w:r>
      <w:r w:rsidR="00F057B2">
        <w:t xml:space="preserve">reviewed the cost profile of episodes of care that contained one or more socioeconomic ICD-10-AM codes taken from Chapter 21 </w:t>
      </w:r>
      <w:r w:rsidR="00F057B2">
        <w:rPr>
          <w:i/>
        </w:rPr>
        <w:t>F</w:t>
      </w:r>
      <w:r w:rsidR="00F057B2" w:rsidRPr="00051AD5">
        <w:rPr>
          <w:i/>
        </w:rPr>
        <w:t>actors influencing health status and contact with health services</w:t>
      </w:r>
      <w:r w:rsidR="00F057B2">
        <w:t>. Analysis demonstrated that episodes that included socioeconomic factors are only marginally more expensive than other episodes within the same DRGs.</w:t>
      </w:r>
    </w:p>
    <w:p w14:paraId="6CD7AB15" w14:textId="152CFF7A" w:rsidR="00F057B2" w:rsidRDefault="00F057B2" w:rsidP="00900CDB">
      <w:r>
        <w:t xml:space="preserve">Further analysis by care type demonstrated that socioeconomic factors are more prominent within the mental health care type. As mental health admitted episodes will be captured under the Australian Mental Health Care Classification (AMHCC) in future ABF arrangements, </w:t>
      </w:r>
      <w:r w:rsidR="003B1877">
        <w:t xml:space="preserve">IHACPA </w:t>
      </w:r>
      <w:r>
        <w:t>has decided not to implement any change in AR-DRG V11.0 with respect to socioeconomic factors.</w:t>
      </w:r>
    </w:p>
    <w:p w14:paraId="28CB364C" w14:textId="77777777" w:rsidR="00F057B2" w:rsidRPr="00A51BF5" w:rsidRDefault="00F057B2" w:rsidP="00900CDB">
      <w:r>
        <w:t xml:space="preserve">However, to support further research in this area, an Australian Coding Standard has been created for Twelfth Edition to guide in the capture of socioeconomic codes for admitted patient care. </w:t>
      </w:r>
    </w:p>
    <w:p w14:paraId="16EECA38" w14:textId="77777777" w:rsidR="00F057B2" w:rsidRDefault="00F057B2" w:rsidP="00F057B2">
      <w:pPr>
        <w:pStyle w:val="Heading3"/>
        <w:spacing w:before="240" w:after="120" w:line="240" w:lineRule="auto"/>
        <w:contextualSpacing/>
      </w:pPr>
      <w:bookmarkStart w:id="116" w:name="_Toc124656418"/>
      <w:r>
        <w:t>Traumatic spinal cord injury</w:t>
      </w:r>
      <w:bookmarkEnd w:id="116"/>
    </w:p>
    <w:p w14:paraId="61D07A31" w14:textId="77777777" w:rsidR="00F057B2" w:rsidRDefault="00F057B2" w:rsidP="00900CDB">
      <w:r>
        <w:t xml:space="preserve">A submission received in response to the </w:t>
      </w:r>
      <w:r w:rsidRPr="00363DA7">
        <w:rPr>
          <w:i/>
        </w:rPr>
        <w:t>Consultation Paper on the Pricing Framework for Australian public hospital services 2020–21</w:t>
      </w:r>
      <w:r>
        <w:rPr>
          <w:rStyle w:val="FootnoteReference"/>
          <w:i/>
        </w:rPr>
        <w:footnoteReference w:id="8"/>
      </w:r>
      <w:r>
        <w:t xml:space="preserve"> requested a review of the funding adequacy for traumatic spinal cord injury (TSCI) episodes. The submission highlighted a research study that stated TSCI episodes in NSW are on average underfunded, including health services with specialist spinal cord injury units. </w:t>
      </w:r>
    </w:p>
    <w:p w14:paraId="15EC9E51" w14:textId="7A51B173" w:rsidR="00F057B2" w:rsidRDefault="003B1877" w:rsidP="00900CDB">
      <w:r>
        <w:t xml:space="preserve">IHACPA </w:t>
      </w:r>
      <w:proofErr w:type="spellStart"/>
      <w:r w:rsidR="00F057B2">
        <w:t>analysed</w:t>
      </w:r>
      <w:proofErr w:type="spellEnd"/>
      <w:r w:rsidR="00F057B2">
        <w:t xml:space="preserve"> TSCI episodes using ICD-10-AM codes confirmed by CCAG members to identify relevant episodes of care. The analysis demonstrated that TSCI episodes group to various MDCs and ADRGs based on interventions and diagnoses. The costs of TSCI episodes vary significantly </w:t>
      </w:r>
      <w:r w:rsidR="00F057B2">
        <w:lastRenderedPageBreak/>
        <w:t xml:space="preserve">across ADRGs and therefore do not meet the criteria for assignment to a Pre MDC due to the large variation in cost distribution and the fact that they are not defined by a particular intervention. </w:t>
      </w:r>
    </w:p>
    <w:p w14:paraId="31824E36" w14:textId="77777777" w:rsidR="00F057B2" w:rsidRDefault="00F057B2" w:rsidP="00900CDB">
      <w:r>
        <w:t xml:space="preserve">Overall, TSCI episodes appear to be more expensive than episodes within the same DRGs. However, after </w:t>
      </w:r>
      <w:proofErr w:type="gramStart"/>
      <w:r>
        <w:t>taking into account</w:t>
      </w:r>
      <w:proofErr w:type="gramEnd"/>
      <w:r>
        <w:t xml:space="preserve"> pricing adjustments (such as short-stay and long-stay outliers, and Intensive Care Unit hours) TSCI episodes are not significantly more costly than other episodes. </w:t>
      </w:r>
    </w:p>
    <w:p w14:paraId="6EFF3DB7" w14:textId="77777777" w:rsidR="00F057B2" w:rsidRPr="00A51BF5" w:rsidRDefault="00F057B2" w:rsidP="00900CDB">
      <w:r>
        <w:t>Analysis of administrative variables such as episodes in specialist hospitals, transfers and type change separations were relatively more expensive. However, following a previous review of administrative variables in AR-DRGs, it was not considered desirable to create additional ADRG splits using these variables. Therefore, no change has been made in relation to the grouping of TSCI episodes in AR-DRG V11.0.</w:t>
      </w:r>
    </w:p>
    <w:p w14:paraId="50EF75FD" w14:textId="77777777" w:rsidR="00F057B2" w:rsidRDefault="00F057B2" w:rsidP="00F057B2">
      <w:pPr>
        <w:pStyle w:val="Heading3"/>
        <w:spacing w:before="240" w:after="120" w:line="240" w:lineRule="auto"/>
        <w:contextualSpacing/>
      </w:pPr>
      <w:bookmarkStart w:id="117" w:name="_Toc124656419"/>
      <w:r>
        <w:t>Diagnosis Complexity Level precision</w:t>
      </w:r>
      <w:bookmarkEnd w:id="117"/>
    </w:p>
    <w:p w14:paraId="0D8E42F4" w14:textId="77777777" w:rsidR="00F057B2" w:rsidRDefault="00F057B2" w:rsidP="00900CDB">
      <w:r>
        <w:t>In AR-DRG V10.0, DCLs are derived by defaulting to the three-character level of the ICD-10-AM codes that belong to the same medical ADRG. This level of precision, at the three-character level, was adopted to balance against sample variation and ensure stability over time.</w:t>
      </w:r>
    </w:p>
    <w:p w14:paraId="25AB4E87" w14:textId="77777777" w:rsidR="00F057B2" w:rsidRDefault="00F057B2" w:rsidP="00900CDB">
      <w:r>
        <w:t xml:space="preserve">However, calculating DCLs at the three-character level does not </w:t>
      </w:r>
      <w:proofErr w:type="spellStart"/>
      <w:r>
        <w:t>utilise</w:t>
      </w:r>
      <w:proofErr w:type="spellEnd"/>
      <w:r>
        <w:t xml:space="preserve"> the differentiation of severity existing at the fourth or fifth-character level where they exist in ICD-10-AM codes. DCL precision refers to the process of deriving DCLs at the </w:t>
      </w:r>
      <w:proofErr w:type="gramStart"/>
      <w:r>
        <w:t>fourth or fifth character</w:t>
      </w:r>
      <w:proofErr w:type="gramEnd"/>
      <w:r>
        <w:t xml:space="preserve"> level of the </w:t>
      </w:r>
      <w:r>
        <w:br/>
        <w:t xml:space="preserve">ICD-10-AM codes where severity is comparable at these more granular levels. </w:t>
      </w:r>
    </w:p>
    <w:p w14:paraId="37F05A40" w14:textId="77777777" w:rsidR="00F057B2" w:rsidRDefault="00F057B2" w:rsidP="00900CDB">
      <w:r>
        <w:t xml:space="preserve">For example, E66 </w:t>
      </w:r>
      <w:r w:rsidRPr="006675D8">
        <w:rPr>
          <w:i/>
        </w:rPr>
        <w:t>Obesity and overweight</w:t>
      </w:r>
      <w:r>
        <w:t xml:space="preserve"> has subdivisions that differentiate severity via Body Mass Index at the fifth-character level:</w:t>
      </w:r>
    </w:p>
    <w:p w14:paraId="1AC30E7D" w14:textId="77777777" w:rsidR="00F057B2" w:rsidRDefault="00F057B2" w:rsidP="009D68AE">
      <w:pPr>
        <w:pStyle w:val="ListParagraph"/>
        <w:numPr>
          <w:ilvl w:val="0"/>
          <w:numId w:val="23"/>
        </w:numPr>
        <w:ind w:left="714" w:hanging="357"/>
        <w:contextualSpacing w:val="0"/>
      </w:pPr>
      <w:r>
        <w:t>E66.1</w:t>
      </w:r>
      <w:r w:rsidRPr="0006581B">
        <w:rPr>
          <w:b/>
        </w:rPr>
        <w:t>0</w:t>
      </w:r>
      <w:r>
        <w:rPr>
          <w:b/>
        </w:rPr>
        <w:t xml:space="preserve"> </w:t>
      </w:r>
      <w:r w:rsidRPr="00333FC9">
        <w:rPr>
          <w:i/>
          <w:iCs/>
        </w:rPr>
        <w:t>Drug-induced obesity, body mass index [BMI] not elsewhere classified</w:t>
      </w:r>
    </w:p>
    <w:p w14:paraId="480F7E97" w14:textId="77777777" w:rsidR="00F057B2" w:rsidRPr="00333FC9" w:rsidRDefault="00F057B2" w:rsidP="009D68AE">
      <w:pPr>
        <w:pStyle w:val="ListParagraph"/>
        <w:numPr>
          <w:ilvl w:val="0"/>
          <w:numId w:val="23"/>
        </w:numPr>
        <w:ind w:left="714" w:hanging="357"/>
        <w:contextualSpacing w:val="0"/>
        <w:rPr>
          <w:i/>
          <w:iCs/>
        </w:rPr>
      </w:pPr>
      <w:r>
        <w:t>E66.1</w:t>
      </w:r>
      <w:r w:rsidRPr="0006581B">
        <w:rPr>
          <w:b/>
        </w:rPr>
        <w:t>1</w:t>
      </w:r>
      <w:r>
        <w:t xml:space="preserve"> </w:t>
      </w:r>
      <w:r w:rsidRPr="00333FC9">
        <w:rPr>
          <w:i/>
          <w:iCs/>
        </w:rPr>
        <w:t>Drug-induced obesity, body mass index [BMI] 30 kg/m</w:t>
      </w:r>
      <w:r w:rsidRPr="00333FC9">
        <w:rPr>
          <w:i/>
          <w:iCs/>
          <w:vertAlign w:val="superscript"/>
        </w:rPr>
        <w:t>2</w:t>
      </w:r>
      <w:r w:rsidRPr="00333FC9">
        <w:rPr>
          <w:i/>
          <w:iCs/>
        </w:rPr>
        <w:t xml:space="preserve"> to 34.99 kg/m</w:t>
      </w:r>
      <w:r w:rsidRPr="00333FC9">
        <w:rPr>
          <w:i/>
          <w:iCs/>
          <w:vertAlign w:val="superscript"/>
        </w:rPr>
        <w:t>2</w:t>
      </w:r>
    </w:p>
    <w:p w14:paraId="15785501" w14:textId="77777777" w:rsidR="00F057B2" w:rsidRDefault="00F057B2" w:rsidP="009D68AE">
      <w:pPr>
        <w:pStyle w:val="ListParagraph"/>
        <w:numPr>
          <w:ilvl w:val="0"/>
          <w:numId w:val="23"/>
        </w:numPr>
        <w:ind w:left="714" w:hanging="357"/>
        <w:contextualSpacing w:val="0"/>
      </w:pPr>
      <w:r>
        <w:t>E66.1</w:t>
      </w:r>
      <w:r w:rsidRPr="0006581B">
        <w:rPr>
          <w:b/>
        </w:rPr>
        <w:t>2</w:t>
      </w:r>
      <w:r>
        <w:rPr>
          <w:b/>
        </w:rPr>
        <w:t xml:space="preserve"> </w:t>
      </w:r>
      <w:r w:rsidRPr="00333FC9">
        <w:rPr>
          <w:i/>
          <w:iCs/>
        </w:rPr>
        <w:t>Drug-induced obesity, body mass index [BMI] 35 kg/m</w:t>
      </w:r>
      <w:r w:rsidRPr="00333FC9">
        <w:rPr>
          <w:i/>
          <w:iCs/>
          <w:vertAlign w:val="superscript"/>
        </w:rPr>
        <w:t>2</w:t>
      </w:r>
      <w:r w:rsidRPr="00333FC9">
        <w:rPr>
          <w:i/>
          <w:iCs/>
        </w:rPr>
        <w:t xml:space="preserve"> to 39.99 kg/m</w:t>
      </w:r>
      <w:r w:rsidRPr="00333FC9">
        <w:rPr>
          <w:i/>
          <w:iCs/>
          <w:vertAlign w:val="superscript"/>
        </w:rPr>
        <w:t>2</w:t>
      </w:r>
    </w:p>
    <w:p w14:paraId="4461BB4A" w14:textId="77777777" w:rsidR="00F057B2" w:rsidRDefault="00F057B2" w:rsidP="009D68AE">
      <w:pPr>
        <w:pStyle w:val="ListParagraph"/>
        <w:numPr>
          <w:ilvl w:val="0"/>
          <w:numId w:val="23"/>
        </w:numPr>
        <w:ind w:left="714" w:hanging="357"/>
        <w:contextualSpacing w:val="0"/>
      </w:pPr>
      <w:r>
        <w:t>E66.1</w:t>
      </w:r>
      <w:r w:rsidRPr="0006581B">
        <w:rPr>
          <w:b/>
        </w:rPr>
        <w:t>3</w:t>
      </w:r>
      <w:r>
        <w:t xml:space="preserve"> </w:t>
      </w:r>
      <w:r w:rsidRPr="00333FC9">
        <w:rPr>
          <w:i/>
          <w:iCs/>
        </w:rPr>
        <w:t>Drug-induced obesity, body mass index [BMI] 40 kg/m</w:t>
      </w:r>
      <w:r w:rsidRPr="00333FC9">
        <w:rPr>
          <w:i/>
          <w:iCs/>
          <w:vertAlign w:val="superscript"/>
        </w:rPr>
        <w:t>2</w:t>
      </w:r>
      <w:r w:rsidRPr="00333FC9">
        <w:rPr>
          <w:i/>
          <w:iCs/>
        </w:rPr>
        <w:t xml:space="preserve"> or more</w:t>
      </w:r>
    </w:p>
    <w:p w14:paraId="745ADB00" w14:textId="77777777" w:rsidR="00F057B2" w:rsidRDefault="00F057B2" w:rsidP="00900CDB">
      <w:r>
        <w:t xml:space="preserve">It was thought that DCL </w:t>
      </w:r>
      <w:proofErr w:type="spellStart"/>
      <w:r>
        <w:t>precisioning</w:t>
      </w:r>
      <w:proofErr w:type="spellEnd"/>
      <w:r>
        <w:t xml:space="preserve"> may support assignment of DCLs to a more refined level of granularity where such severity levels exist. Feedback on the AR-DRG V11.0 work program suggested 46 potential code categories for DCL precision.</w:t>
      </w:r>
    </w:p>
    <w:p w14:paraId="5C907606" w14:textId="2B118995" w:rsidR="00F057B2" w:rsidRDefault="003B1877" w:rsidP="00900CDB">
      <w:r>
        <w:t xml:space="preserve">IHACPA </w:t>
      </w:r>
      <w:r w:rsidR="00F057B2">
        <w:t xml:space="preserve">developed a methodology to assess whether the 46 code categories were better able to differentiate higher cost episodes from lower cost episodes by </w:t>
      </w:r>
      <w:proofErr w:type="spellStart"/>
      <w:r w:rsidR="00F057B2">
        <w:t>utilising</w:t>
      </w:r>
      <w:proofErr w:type="spellEnd"/>
      <w:r w:rsidR="00F057B2">
        <w:t xml:space="preserve"> the codes from the </w:t>
      </w:r>
      <w:proofErr w:type="gramStart"/>
      <w:r w:rsidR="00F057B2">
        <w:t>fourth or fifth character</w:t>
      </w:r>
      <w:proofErr w:type="gramEnd"/>
      <w:r w:rsidR="00F057B2">
        <w:t xml:space="preserve"> level. Of these, 11 code categories resulted in clear and logical cluster selections that were progressed for further analysis, that is, by calculating DCLs at the </w:t>
      </w:r>
      <w:proofErr w:type="gramStart"/>
      <w:r w:rsidR="00F057B2">
        <w:t>fourth or fifth character</w:t>
      </w:r>
      <w:proofErr w:type="gramEnd"/>
      <w:r w:rsidR="00F057B2">
        <w:t xml:space="preserve"> level. The remaining code categories were not progressed due to insufficient sample size, insignificant cost differentials or because the codes at the </w:t>
      </w:r>
      <w:proofErr w:type="gramStart"/>
      <w:r w:rsidR="00F057B2">
        <w:t>fourth or fifth character</w:t>
      </w:r>
      <w:proofErr w:type="gramEnd"/>
      <w:r w:rsidR="00F057B2">
        <w:t xml:space="preserve"> level that indicated severity were not allocated to the same medical ADRG.</w:t>
      </w:r>
    </w:p>
    <w:p w14:paraId="2D0CBB18" w14:textId="77777777" w:rsidR="00F057B2" w:rsidRDefault="00F057B2" w:rsidP="00900CDB">
      <w:r>
        <w:t xml:space="preserve">The 11 code categories that were progressed for further analysis in AR-DRG V11.0 are listed in </w:t>
      </w:r>
      <w:r w:rsidRPr="006804BD">
        <w:rPr>
          <w:b/>
          <w:bCs/>
        </w:rPr>
        <w:t>Appendix A.</w:t>
      </w:r>
    </w:p>
    <w:p w14:paraId="5C72454F" w14:textId="5AD7D5E5" w:rsidR="00F057B2" w:rsidRDefault="00F057B2" w:rsidP="00900CDB">
      <w:r>
        <w:t xml:space="preserve">While DCL precision may improve clinical validity of the complexity model, it assumes severity is equivalent to higher cost as a proxy for complexity. However, this assumption is not always the case </w:t>
      </w:r>
      <w:r>
        <w:lastRenderedPageBreak/>
        <w:t xml:space="preserve">as a more severe condition is sometimes less costly due to poorer outcomes with shorter lengths of stay. Furthermore, DCL </w:t>
      </w:r>
      <w:proofErr w:type="spellStart"/>
      <w:r>
        <w:t>precisioning</w:t>
      </w:r>
      <w:proofErr w:type="spellEnd"/>
      <w:r>
        <w:t xml:space="preserve"> of the 11 code categories resulted in only a marginally improved statistical performance. Following input from CCAG and DTG, </w:t>
      </w:r>
      <w:r w:rsidR="003B1877">
        <w:t xml:space="preserve">IHACPA </w:t>
      </w:r>
      <w:r>
        <w:t>did not progress DCL precision in AR-DRG V11.0.</w:t>
      </w:r>
    </w:p>
    <w:p w14:paraId="26D9CD61" w14:textId="77777777" w:rsidR="00F057B2" w:rsidRDefault="00F057B2" w:rsidP="00F057B2">
      <w:pPr>
        <w:pStyle w:val="Heading3"/>
        <w:spacing w:before="240" w:after="120" w:line="240" w:lineRule="auto"/>
        <w:contextualSpacing/>
      </w:pPr>
      <w:bookmarkStart w:id="118" w:name="_Toc124656420"/>
      <w:r>
        <w:t>Analysis of gestational age for neonates</w:t>
      </w:r>
      <w:bookmarkEnd w:id="118"/>
    </w:p>
    <w:p w14:paraId="0CA8C860" w14:textId="77777777" w:rsidR="00F057B2" w:rsidRDefault="00F057B2" w:rsidP="00900CDB">
      <w:r>
        <w:t xml:space="preserve">In AR-DRG V10.0, admission weight is used as the main driver of most ADRGs within </w:t>
      </w:r>
      <w:r>
        <w:br/>
        <w:t xml:space="preserve">MDC 15 </w:t>
      </w:r>
      <w:r w:rsidRPr="00363DA7">
        <w:rPr>
          <w:i/>
        </w:rPr>
        <w:t>Newborns and Other Neonates</w:t>
      </w:r>
      <w:r>
        <w:t xml:space="preserve">, while gestational age is only used in combination with admission weight in two ADRGs. </w:t>
      </w:r>
    </w:p>
    <w:p w14:paraId="421BBEF3" w14:textId="77777777" w:rsidR="00F057B2" w:rsidRDefault="00F057B2" w:rsidP="00900CDB">
      <w:r>
        <w:t xml:space="preserve">A public submission was received from the Australian and New Zealand Neonatal Network (ANZNN) suggesting that gestational age is a better predictor of clinical complexity in the neonatal MDC than admission weight. </w:t>
      </w:r>
    </w:p>
    <w:p w14:paraId="3D795355" w14:textId="77777777" w:rsidR="00F057B2" w:rsidRDefault="00F057B2" w:rsidP="00900CDB">
      <w:r>
        <w:t xml:space="preserve">Gestational age is currently not collected as a separate variable within the national activity data collection for admitted patients. However, the concept of gestational age is collected using the following ICD-10-AM codes for preterm neonates: </w:t>
      </w:r>
    </w:p>
    <w:p w14:paraId="727EC2A9" w14:textId="77777777" w:rsidR="00F057B2" w:rsidRPr="00333FC9" w:rsidRDefault="00F057B2" w:rsidP="009D68AE">
      <w:pPr>
        <w:pStyle w:val="ListParagraph"/>
        <w:numPr>
          <w:ilvl w:val="0"/>
          <w:numId w:val="22"/>
        </w:numPr>
        <w:ind w:left="714" w:hanging="357"/>
        <w:contextualSpacing w:val="0"/>
        <w:rPr>
          <w:i/>
          <w:iCs/>
        </w:rPr>
      </w:pPr>
      <w:r>
        <w:t xml:space="preserve">P07.21 </w:t>
      </w:r>
      <w:r w:rsidRPr="00333FC9">
        <w:rPr>
          <w:i/>
          <w:iCs/>
        </w:rPr>
        <w:t xml:space="preserve">Extreme immaturity, less than 24 completed weeks </w:t>
      </w:r>
    </w:p>
    <w:p w14:paraId="03FEC4FC" w14:textId="77777777" w:rsidR="00F057B2" w:rsidRPr="00333FC9" w:rsidRDefault="00F057B2" w:rsidP="009D68AE">
      <w:pPr>
        <w:pStyle w:val="ListParagraph"/>
        <w:numPr>
          <w:ilvl w:val="0"/>
          <w:numId w:val="22"/>
        </w:numPr>
        <w:ind w:left="714" w:hanging="357"/>
        <w:contextualSpacing w:val="0"/>
        <w:rPr>
          <w:i/>
          <w:iCs/>
        </w:rPr>
      </w:pPr>
      <w:r>
        <w:t xml:space="preserve">P07.22 </w:t>
      </w:r>
      <w:r w:rsidRPr="00333FC9">
        <w:rPr>
          <w:i/>
          <w:iCs/>
        </w:rPr>
        <w:t>Extreme immaturity, 24 or more completed weeks but less than 28 completed weeks</w:t>
      </w:r>
    </w:p>
    <w:p w14:paraId="5FD7A720" w14:textId="77777777" w:rsidR="00F057B2" w:rsidRPr="00333FC9" w:rsidRDefault="00F057B2" w:rsidP="009D68AE">
      <w:pPr>
        <w:pStyle w:val="ListParagraph"/>
        <w:numPr>
          <w:ilvl w:val="0"/>
          <w:numId w:val="22"/>
        </w:numPr>
        <w:ind w:left="714" w:hanging="357"/>
        <w:contextualSpacing w:val="0"/>
        <w:rPr>
          <w:i/>
          <w:iCs/>
        </w:rPr>
      </w:pPr>
      <w:r>
        <w:t xml:space="preserve">P07.31 </w:t>
      </w:r>
      <w:r w:rsidRPr="00333FC9">
        <w:rPr>
          <w:i/>
          <w:iCs/>
        </w:rPr>
        <w:t>Preterm infant, 28 or more completed weeks but less than 32 completed weeks</w:t>
      </w:r>
    </w:p>
    <w:p w14:paraId="6F335D93" w14:textId="77777777" w:rsidR="00F057B2" w:rsidRPr="00333FC9" w:rsidRDefault="00F057B2" w:rsidP="009D68AE">
      <w:pPr>
        <w:pStyle w:val="ListParagraph"/>
        <w:numPr>
          <w:ilvl w:val="0"/>
          <w:numId w:val="22"/>
        </w:numPr>
        <w:ind w:left="714" w:hanging="357"/>
        <w:contextualSpacing w:val="0"/>
        <w:rPr>
          <w:i/>
          <w:iCs/>
        </w:rPr>
      </w:pPr>
      <w:r>
        <w:t xml:space="preserve">P07.32 </w:t>
      </w:r>
      <w:r w:rsidRPr="00333FC9">
        <w:rPr>
          <w:i/>
          <w:iCs/>
        </w:rPr>
        <w:t>Preterm infant, 32 or more completed weeks but less than 37 completed weeks</w:t>
      </w:r>
    </w:p>
    <w:p w14:paraId="2099C046" w14:textId="77777777" w:rsidR="00F057B2" w:rsidRDefault="00F057B2" w:rsidP="009D68AE">
      <w:pPr>
        <w:pStyle w:val="ListParagraph"/>
        <w:numPr>
          <w:ilvl w:val="0"/>
          <w:numId w:val="22"/>
        </w:numPr>
        <w:ind w:left="714" w:hanging="357"/>
        <w:contextualSpacing w:val="0"/>
      </w:pPr>
      <w:r>
        <w:t xml:space="preserve">P07.30 </w:t>
      </w:r>
      <w:r w:rsidRPr="00333FC9">
        <w:rPr>
          <w:i/>
          <w:iCs/>
        </w:rPr>
        <w:t>Preterm infant, unspecified.</w:t>
      </w:r>
    </w:p>
    <w:p w14:paraId="4571F840" w14:textId="253597F2" w:rsidR="00F057B2" w:rsidRDefault="00F057B2" w:rsidP="00900CDB">
      <w:r>
        <w:t xml:space="preserve">Using the ICD-10-AM codes for preterm neonates, </w:t>
      </w:r>
      <w:r w:rsidR="003B1877">
        <w:t xml:space="preserve">IHACPA </w:t>
      </w:r>
      <w:r>
        <w:t>compared admission weight and gestational age in classifying neonatal episodes. The results demonstrated that gestational age performs slightly better than admission weight in explaining cost variations and there is potential for gestational age to provide additional predictive power for cost variation within the same admission weight groups.</w:t>
      </w:r>
    </w:p>
    <w:p w14:paraId="404D7948" w14:textId="2CDD4499" w:rsidR="00F057B2" w:rsidRDefault="00F057B2" w:rsidP="00900CDB">
      <w:r>
        <w:t xml:space="preserve">The code category P07 </w:t>
      </w:r>
      <w:r w:rsidRPr="00D55E54">
        <w:rPr>
          <w:i/>
        </w:rPr>
        <w:t>Disorders related to short gestation and low birth weight, not elsewhere classified</w:t>
      </w:r>
      <w:r>
        <w:rPr>
          <w:i/>
        </w:rPr>
        <w:t xml:space="preserve"> </w:t>
      </w:r>
      <w:r>
        <w:t xml:space="preserve">was considered in DCL precision as described in </w:t>
      </w:r>
      <w:r w:rsidRPr="006804BD">
        <w:rPr>
          <w:b/>
          <w:bCs/>
        </w:rPr>
        <w:t>Section</w:t>
      </w:r>
      <w:r w:rsidR="00662CC0">
        <w:rPr>
          <w:b/>
          <w:bCs/>
        </w:rPr>
        <w:t xml:space="preserve"> 3.9.4</w:t>
      </w:r>
      <w:r>
        <w:t xml:space="preserve">. However, based on the DCL precision results, </w:t>
      </w:r>
      <w:r w:rsidR="003B1877">
        <w:t xml:space="preserve">IHACPA </w:t>
      </w:r>
      <w:r>
        <w:t>has decided not to progress DCL precision (including code category P07) in AR-DRG V11.0.</w:t>
      </w:r>
    </w:p>
    <w:p w14:paraId="77328450" w14:textId="77777777" w:rsidR="00F057B2" w:rsidRDefault="00F057B2" w:rsidP="00900CDB">
      <w:r>
        <w:t>However, to support further research in this area, additional ICD-10-AM codes have been created in Twelfth Edition to enable a more granular level of gestational age to be captured.</w:t>
      </w:r>
    </w:p>
    <w:p w14:paraId="6C962813" w14:textId="77777777" w:rsidR="00970318" w:rsidRDefault="00970318">
      <w:pPr>
        <w:spacing w:line="259" w:lineRule="auto"/>
        <w:rPr>
          <w:rFonts w:eastAsiaTheme="majorEastAsia" w:cstheme="majorBidi"/>
          <w:b/>
          <w:sz w:val="72"/>
          <w:szCs w:val="32"/>
        </w:rPr>
        <w:sectPr w:rsidR="00970318" w:rsidSect="00C5503B">
          <w:pgSz w:w="11906" w:h="16838" w:code="9"/>
          <w:pgMar w:top="1440" w:right="1080" w:bottom="1440" w:left="1080" w:header="708" w:footer="708" w:gutter="0"/>
          <w:cols w:space="708"/>
          <w:docGrid w:linePitch="360"/>
        </w:sectPr>
      </w:pPr>
    </w:p>
    <w:p w14:paraId="26913396" w14:textId="77777777" w:rsidR="00F057B2" w:rsidRDefault="00F057B2" w:rsidP="007D4F6F">
      <w:pPr>
        <w:pStyle w:val="Heading1"/>
        <w:spacing w:after="1080" w:line="240" w:lineRule="auto"/>
        <w:ind w:left="567" w:hanging="567"/>
        <w:contextualSpacing/>
      </w:pPr>
      <w:bookmarkStart w:id="119" w:name="_Toc100328207"/>
      <w:bookmarkStart w:id="120" w:name="_Toc124656421"/>
      <w:r>
        <w:lastRenderedPageBreak/>
        <w:t>AR-DRG V11.0 Overview</w:t>
      </w:r>
      <w:bookmarkEnd w:id="119"/>
      <w:bookmarkEnd w:id="120"/>
    </w:p>
    <w:p w14:paraId="2B74BE30" w14:textId="77777777" w:rsidR="00F057B2" w:rsidRDefault="00F057B2" w:rsidP="00F057B2">
      <w:pPr>
        <w:pStyle w:val="Heading2"/>
        <w:spacing w:before="360" w:after="120" w:line="260" w:lineRule="atLeast"/>
        <w:contextualSpacing/>
      </w:pPr>
      <w:bookmarkStart w:id="121" w:name="_Toc534955816"/>
      <w:bookmarkStart w:id="122" w:name="_Toc534955845"/>
      <w:bookmarkStart w:id="123" w:name="_Toc534955937"/>
      <w:bookmarkStart w:id="124" w:name="_Toc534965682"/>
      <w:bookmarkStart w:id="125" w:name="_Toc534875816"/>
      <w:bookmarkStart w:id="126" w:name="_Toc534624622"/>
      <w:bookmarkStart w:id="127" w:name="_Toc534719080"/>
      <w:bookmarkStart w:id="128" w:name="_Toc534875818"/>
      <w:bookmarkStart w:id="129" w:name="_Toc100328208"/>
      <w:bookmarkStart w:id="130" w:name="_Toc124656422"/>
      <w:bookmarkEnd w:id="121"/>
      <w:bookmarkEnd w:id="122"/>
      <w:bookmarkEnd w:id="123"/>
      <w:bookmarkEnd w:id="124"/>
      <w:bookmarkEnd w:id="125"/>
      <w:r>
        <w:t xml:space="preserve">ADRG </w:t>
      </w:r>
      <w:bookmarkEnd w:id="126"/>
      <w:bookmarkEnd w:id="127"/>
      <w:bookmarkEnd w:id="128"/>
      <w:r>
        <w:t>Summary</w:t>
      </w:r>
      <w:bookmarkEnd w:id="129"/>
      <w:bookmarkEnd w:id="130"/>
    </w:p>
    <w:p w14:paraId="38B0EFDC" w14:textId="77777777" w:rsidR="00F057B2" w:rsidRDefault="00F057B2" w:rsidP="00900CDB">
      <w:r>
        <w:t xml:space="preserve">There is a total of 400 ADRGs on AR-DRG V11.0. </w:t>
      </w:r>
      <w:r w:rsidRPr="00333FC9">
        <w:rPr>
          <w:b/>
          <w:bCs/>
        </w:rPr>
        <w:t>Table 7</w:t>
      </w:r>
      <w:r>
        <w:t xml:space="preserve"> provides a breakdown of these ADRGs.</w:t>
      </w:r>
    </w:p>
    <w:p w14:paraId="76EE9C24" w14:textId="77777777" w:rsidR="00F057B2" w:rsidRPr="009A2CDC" w:rsidRDefault="00F057B2" w:rsidP="00900CDB">
      <w:pPr>
        <w:rPr>
          <w:b/>
          <w:color w:val="auto"/>
          <w:sz w:val="18"/>
          <w:szCs w:val="18"/>
        </w:rPr>
      </w:pPr>
      <w:r w:rsidRPr="009A2CDC">
        <w:rPr>
          <w:b/>
          <w:color w:val="auto"/>
          <w:sz w:val="18"/>
          <w:szCs w:val="18"/>
        </w:rPr>
        <w:t>Table 7: AR-DRG V11.0 ADRG breakdown</w:t>
      </w:r>
    </w:p>
    <w:tbl>
      <w:tblPr>
        <w:tblW w:w="8466" w:type="dxa"/>
        <w:jc w:val="center"/>
        <w:tblLook w:val="04A0" w:firstRow="1" w:lastRow="0" w:firstColumn="1" w:lastColumn="0" w:noHBand="0" w:noVBand="1"/>
      </w:tblPr>
      <w:tblGrid>
        <w:gridCol w:w="278"/>
        <w:gridCol w:w="5954"/>
        <w:gridCol w:w="2234"/>
      </w:tblGrid>
      <w:tr w:rsidR="00EA1462" w:rsidRPr="00EA1462" w14:paraId="0F02A3F7" w14:textId="77777777" w:rsidTr="00D96CD4">
        <w:trPr>
          <w:trHeight w:val="300"/>
          <w:tblHeader/>
          <w:jc w:val="center"/>
        </w:trPr>
        <w:tc>
          <w:tcPr>
            <w:tcW w:w="6232" w:type="dxa"/>
            <w:gridSpan w:val="2"/>
            <w:tcBorders>
              <w:top w:val="single" w:sz="4" w:space="0" w:color="auto"/>
              <w:left w:val="single" w:sz="4" w:space="0" w:color="auto"/>
              <w:right w:val="nil"/>
            </w:tcBorders>
            <w:shd w:val="clear" w:color="auto" w:fill="104F99"/>
            <w:noWrap/>
            <w:vAlign w:val="center"/>
            <w:hideMark/>
          </w:tcPr>
          <w:p w14:paraId="3AE90D63" w14:textId="77777777" w:rsidR="00F057B2" w:rsidRPr="00EA1462" w:rsidRDefault="00F057B2" w:rsidP="00900CDB">
            <w:pPr>
              <w:rPr>
                <w:rFonts w:cs="Arial"/>
                <w:b/>
                <w:color w:val="FFFFFF" w:themeColor="accent6"/>
              </w:rPr>
            </w:pPr>
            <w:r w:rsidRPr="00EA1462">
              <w:rPr>
                <w:rFonts w:cs="Arial"/>
                <w:b/>
                <w:color w:val="FFFFFF" w:themeColor="accent6"/>
              </w:rPr>
              <w:t>Categories</w:t>
            </w:r>
          </w:p>
        </w:tc>
        <w:tc>
          <w:tcPr>
            <w:tcW w:w="2234" w:type="dxa"/>
            <w:tcBorders>
              <w:top w:val="single" w:sz="4" w:space="0" w:color="auto"/>
              <w:left w:val="nil"/>
              <w:right w:val="single" w:sz="4" w:space="0" w:color="auto"/>
            </w:tcBorders>
            <w:shd w:val="clear" w:color="auto" w:fill="104F99"/>
            <w:noWrap/>
            <w:vAlign w:val="center"/>
            <w:hideMark/>
          </w:tcPr>
          <w:p w14:paraId="19B34FA1" w14:textId="77777777" w:rsidR="00F057B2" w:rsidRPr="00EA1462" w:rsidRDefault="00F057B2" w:rsidP="00900CDB">
            <w:pPr>
              <w:jc w:val="center"/>
              <w:rPr>
                <w:rFonts w:cs="Arial"/>
                <w:b/>
                <w:color w:val="FFFFFF" w:themeColor="accent6"/>
              </w:rPr>
            </w:pPr>
            <w:r w:rsidRPr="00EA1462">
              <w:rPr>
                <w:rFonts w:cs="Arial"/>
                <w:b/>
                <w:color w:val="FFFFFF" w:themeColor="accent6"/>
              </w:rPr>
              <w:t>Number of ADRGs</w:t>
            </w:r>
          </w:p>
        </w:tc>
      </w:tr>
      <w:tr w:rsidR="00F057B2" w:rsidRPr="00D96CD4" w14:paraId="689D14E5" w14:textId="77777777" w:rsidTr="00596EFF">
        <w:trPr>
          <w:trHeight w:val="300"/>
          <w:jc w:val="center"/>
        </w:trPr>
        <w:tc>
          <w:tcPr>
            <w:tcW w:w="6232" w:type="dxa"/>
            <w:gridSpan w:val="2"/>
            <w:tcBorders>
              <w:top w:val="nil"/>
              <w:left w:val="single" w:sz="4" w:space="0" w:color="auto"/>
              <w:bottom w:val="single" w:sz="4" w:space="0" w:color="auto"/>
              <w:right w:val="nil"/>
            </w:tcBorders>
            <w:shd w:val="clear" w:color="auto" w:fill="auto"/>
            <w:noWrap/>
            <w:vAlign w:val="center"/>
            <w:hideMark/>
          </w:tcPr>
          <w:p w14:paraId="7358F15A" w14:textId="77777777" w:rsidR="00F057B2" w:rsidRPr="00D96CD4" w:rsidRDefault="00F057B2" w:rsidP="00900CDB">
            <w:pPr>
              <w:rPr>
                <w:rFonts w:cs="Arial"/>
                <w:color w:val="000000"/>
              </w:rPr>
            </w:pPr>
            <w:r w:rsidRPr="00D96CD4">
              <w:rPr>
                <w:rFonts w:cs="Arial"/>
                <w:color w:val="000000"/>
              </w:rPr>
              <w:t>New ADRGs</w:t>
            </w:r>
          </w:p>
        </w:tc>
        <w:tc>
          <w:tcPr>
            <w:tcW w:w="2234" w:type="dxa"/>
            <w:tcBorders>
              <w:top w:val="nil"/>
              <w:left w:val="nil"/>
              <w:bottom w:val="single" w:sz="4" w:space="0" w:color="auto"/>
              <w:right w:val="single" w:sz="4" w:space="0" w:color="auto"/>
            </w:tcBorders>
            <w:shd w:val="clear" w:color="auto" w:fill="auto"/>
            <w:noWrap/>
            <w:vAlign w:val="center"/>
            <w:hideMark/>
          </w:tcPr>
          <w:p w14:paraId="362FF37F" w14:textId="77777777" w:rsidR="00F057B2" w:rsidRPr="00D96CD4" w:rsidRDefault="00F057B2" w:rsidP="00900CDB">
            <w:pPr>
              <w:jc w:val="center"/>
              <w:rPr>
                <w:rFonts w:cs="Arial"/>
                <w:color w:val="000000"/>
              </w:rPr>
            </w:pPr>
            <w:r w:rsidRPr="00D96CD4">
              <w:rPr>
                <w:rFonts w:cs="Arial"/>
                <w:color w:val="000000"/>
              </w:rPr>
              <w:t>3</w:t>
            </w:r>
          </w:p>
        </w:tc>
      </w:tr>
      <w:tr w:rsidR="00F057B2" w:rsidRPr="00D96CD4" w14:paraId="336C6238" w14:textId="77777777" w:rsidTr="00596EFF">
        <w:trPr>
          <w:trHeight w:val="300"/>
          <w:jc w:val="center"/>
        </w:trPr>
        <w:tc>
          <w:tcPr>
            <w:tcW w:w="6232" w:type="dxa"/>
            <w:gridSpan w:val="2"/>
            <w:tcBorders>
              <w:top w:val="single" w:sz="4" w:space="0" w:color="auto"/>
              <w:left w:val="single" w:sz="4" w:space="0" w:color="auto"/>
              <w:bottom w:val="dashed" w:sz="4" w:space="0" w:color="auto"/>
              <w:right w:val="nil"/>
            </w:tcBorders>
            <w:shd w:val="clear" w:color="auto" w:fill="auto"/>
            <w:noWrap/>
            <w:vAlign w:val="center"/>
            <w:hideMark/>
          </w:tcPr>
          <w:p w14:paraId="6D377326" w14:textId="77777777" w:rsidR="00F057B2" w:rsidRPr="00D96CD4" w:rsidRDefault="00F057B2" w:rsidP="00900CDB">
            <w:pPr>
              <w:rPr>
                <w:rFonts w:cs="Arial"/>
                <w:color w:val="000000"/>
              </w:rPr>
            </w:pPr>
            <w:r w:rsidRPr="00D96CD4">
              <w:rPr>
                <w:rFonts w:cs="Arial"/>
                <w:color w:val="000000"/>
              </w:rPr>
              <w:t>Comparable ADRGs</w:t>
            </w:r>
          </w:p>
        </w:tc>
        <w:tc>
          <w:tcPr>
            <w:tcW w:w="2234" w:type="dxa"/>
            <w:tcBorders>
              <w:top w:val="single" w:sz="4" w:space="0" w:color="auto"/>
              <w:left w:val="nil"/>
              <w:bottom w:val="dashed" w:sz="4" w:space="0" w:color="auto"/>
              <w:right w:val="single" w:sz="4" w:space="0" w:color="auto"/>
            </w:tcBorders>
            <w:shd w:val="clear" w:color="auto" w:fill="auto"/>
            <w:noWrap/>
            <w:vAlign w:val="center"/>
            <w:hideMark/>
          </w:tcPr>
          <w:p w14:paraId="03497078" w14:textId="77777777" w:rsidR="00F057B2" w:rsidRPr="00D96CD4" w:rsidRDefault="00F057B2" w:rsidP="00900CDB">
            <w:pPr>
              <w:jc w:val="center"/>
              <w:rPr>
                <w:rFonts w:cs="Arial"/>
                <w:color w:val="000000"/>
              </w:rPr>
            </w:pPr>
          </w:p>
        </w:tc>
      </w:tr>
      <w:tr w:rsidR="00F057B2" w:rsidRPr="00D96CD4" w14:paraId="26227C54"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000C1C8"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1816F26C" w14:textId="77777777" w:rsidR="00F057B2" w:rsidRPr="00D96CD4" w:rsidRDefault="00F057B2" w:rsidP="00900CDB">
            <w:pPr>
              <w:rPr>
                <w:rFonts w:cs="Arial"/>
                <w:color w:val="000000"/>
              </w:rPr>
            </w:pPr>
            <w:r w:rsidRPr="00D96CD4">
              <w:rPr>
                <w:rFonts w:cs="Arial"/>
                <w:color w:val="000000"/>
              </w:rPr>
              <w:t>ADRGs with same number of splits as V10.0</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435EC7C4" w14:textId="77777777" w:rsidR="00F057B2" w:rsidRPr="00D96CD4" w:rsidRDefault="00F057B2" w:rsidP="00900CDB">
            <w:pPr>
              <w:jc w:val="center"/>
              <w:rPr>
                <w:rFonts w:cs="Arial"/>
                <w:color w:val="000000"/>
              </w:rPr>
            </w:pPr>
            <w:r w:rsidRPr="00D96CD4">
              <w:rPr>
                <w:rFonts w:cs="Arial"/>
                <w:color w:val="000000"/>
              </w:rPr>
              <w:t>396</w:t>
            </w:r>
          </w:p>
        </w:tc>
      </w:tr>
      <w:tr w:rsidR="00F057B2" w:rsidRPr="00D96CD4" w14:paraId="09CBE1AD"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140858FE"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1F4ABDC6" w14:textId="77777777" w:rsidR="00F057B2" w:rsidRPr="00D96CD4" w:rsidRDefault="00F057B2" w:rsidP="00900CDB">
            <w:pPr>
              <w:ind w:left="461"/>
              <w:rPr>
                <w:rFonts w:cs="Arial"/>
                <w:color w:val="000000"/>
              </w:rPr>
            </w:pPr>
            <w:r w:rsidRPr="00D96CD4">
              <w:rPr>
                <w:rFonts w:cs="Arial"/>
                <w:color w:val="000000"/>
              </w:rPr>
              <w:t>Error ADRGs (960, 961 and 963)</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115F22EF" w14:textId="77777777" w:rsidR="00F057B2" w:rsidRPr="00D96CD4" w:rsidRDefault="00F057B2" w:rsidP="00900CDB">
            <w:pPr>
              <w:jc w:val="center"/>
              <w:rPr>
                <w:rFonts w:cs="Arial"/>
                <w:color w:val="000000"/>
              </w:rPr>
            </w:pPr>
            <w:r w:rsidRPr="00D96CD4">
              <w:rPr>
                <w:rFonts w:cs="Arial"/>
                <w:color w:val="000000"/>
              </w:rPr>
              <w:t>3</w:t>
            </w:r>
          </w:p>
        </w:tc>
      </w:tr>
      <w:tr w:rsidR="00F057B2" w:rsidRPr="00D96CD4" w14:paraId="78A161E7"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D9D5BD3"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48D88D69" w14:textId="77777777" w:rsidR="00F057B2" w:rsidRPr="00D96CD4" w:rsidRDefault="00F057B2" w:rsidP="00900CDB">
            <w:pPr>
              <w:ind w:left="461"/>
              <w:rPr>
                <w:rFonts w:cs="Arial"/>
                <w:color w:val="000000"/>
              </w:rPr>
            </w:pPr>
            <w:r w:rsidRPr="00D96CD4">
              <w:rPr>
                <w:rFonts w:cs="Arial"/>
                <w:color w:val="000000"/>
              </w:rPr>
              <w:t>ADRGs with GIs unrelated to principal diagnosis (801)</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36B5D461" w14:textId="77777777" w:rsidR="00F057B2" w:rsidRPr="00D96CD4" w:rsidRDefault="00F057B2" w:rsidP="00900CDB">
            <w:pPr>
              <w:jc w:val="center"/>
              <w:rPr>
                <w:rFonts w:cs="Arial"/>
                <w:color w:val="000000"/>
              </w:rPr>
            </w:pPr>
            <w:r w:rsidRPr="00D96CD4">
              <w:rPr>
                <w:rFonts w:cs="Arial"/>
                <w:color w:val="000000"/>
              </w:rPr>
              <w:t>1</w:t>
            </w:r>
          </w:p>
        </w:tc>
      </w:tr>
      <w:tr w:rsidR="00F057B2" w:rsidRPr="00D96CD4" w14:paraId="7DFEDF74"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6235E4DC"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4899B532" w14:textId="77777777" w:rsidR="00F057B2" w:rsidRPr="00D96CD4" w:rsidRDefault="00F057B2" w:rsidP="00900CDB">
            <w:pPr>
              <w:ind w:left="461"/>
              <w:rPr>
                <w:rFonts w:cs="Arial"/>
                <w:color w:val="000000"/>
              </w:rPr>
            </w:pPr>
            <w:r w:rsidRPr="00D96CD4">
              <w:rPr>
                <w:rFonts w:cs="Arial"/>
                <w:color w:val="000000"/>
              </w:rPr>
              <w:t>ADRGs using administrative variables</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4BC920DF" w14:textId="77777777" w:rsidR="00F057B2" w:rsidRPr="00D96CD4" w:rsidRDefault="00F057B2" w:rsidP="00900CDB">
            <w:pPr>
              <w:jc w:val="center"/>
              <w:rPr>
                <w:rFonts w:cs="Arial"/>
                <w:color w:val="000000"/>
              </w:rPr>
            </w:pPr>
            <w:r w:rsidRPr="00D96CD4">
              <w:rPr>
                <w:rFonts w:cs="Arial"/>
                <w:color w:val="000000"/>
              </w:rPr>
              <w:t>6</w:t>
            </w:r>
          </w:p>
        </w:tc>
      </w:tr>
      <w:tr w:rsidR="00F057B2" w:rsidRPr="00D96CD4" w14:paraId="03111C0B"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35CF5A2E"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6EC3660F" w14:textId="77777777" w:rsidR="00F057B2" w:rsidRPr="00D96CD4" w:rsidRDefault="00F057B2" w:rsidP="00900CDB">
            <w:pPr>
              <w:ind w:left="461"/>
              <w:rPr>
                <w:rFonts w:cs="Arial"/>
                <w:color w:val="000000"/>
              </w:rPr>
            </w:pPr>
            <w:r w:rsidRPr="00D96CD4">
              <w:rPr>
                <w:rFonts w:cs="Arial"/>
                <w:color w:val="000000"/>
              </w:rPr>
              <w:t>ADRGs with manual splits to support stability</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592F3500" w14:textId="77777777" w:rsidR="00F057B2" w:rsidRPr="00D96CD4" w:rsidRDefault="00F057B2" w:rsidP="00900CDB">
            <w:pPr>
              <w:jc w:val="center"/>
              <w:rPr>
                <w:rFonts w:cs="Arial"/>
                <w:color w:val="000000"/>
              </w:rPr>
            </w:pPr>
            <w:r w:rsidRPr="00D96CD4">
              <w:rPr>
                <w:rFonts w:cs="Arial"/>
                <w:color w:val="000000"/>
              </w:rPr>
              <w:t>8</w:t>
            </w:r>
          </w:p>
        </w:tc>
      </w:tr>
      <w:tr w:rsidR="00F057B2" w:rsidRPr="00D96CD4" w14:paraId="5EF7A780"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tcPr>
          <w:p w14:paraId="426D79B5"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tcPr>
          <w:p w14:paraId="7CE2F8EF" w14:textId="77777777" w:rsidR="00F057B2" w:rsidRPr="00D96CD4" w:rsidRDefault="00F057B2" w:rsidP="00900CDB">
            <w:pPr>
              <w:ind w:left="461"/>
              <w:rPr>
                <w:rFonts w:cs="Arial"/>
                <w:color w:val="000000"/>
              </w:rPr>
            </w:pPr>
            <w:r w:rsidRPr="00D96CD4">
              <w:rPr>
                <w:rFonts w:cs="Arial"/>
                <w:color w:val="000000"/>
              </w:rPr>
              <w:t>ADRGs with manual splits due to failure to select an optimum threshold</w:t>
            </w:r>
          </w:p>
        </w:tc>
        <w:tc>
          <w:tcPr>
            <w:tcW w:w="2234" w:type="dxa"/>
            <w:tcBorders>
              <w:top w:val="dashed" w:sz="4" w:space="0" w:color="auto"/>
              <w:left w:val="nil"/>
              <w:bottom w:val="dashed" w:sz="4" w:space="0" w:color="auto"/>
              <w:right w:val="single" w:sz="4" w:space="0" w:color="auto"/>
            </w:tcBorders>
            <w:shd w:val="clear" w:color="auto" w:fill="auto"/>
            <w:noWrap/>
            <w:vAlign w:val="center"/>
          </w:tcPr>
          <w:p w14:paraId="2A74D40C" w14:textId="77777777" w:rsidR="00F057B2" w:rsidRPr="00D96CD4" w:rsidRDefault="00F057B2" w:rsidP="00900CDB">
            <w:pPr>
              <w:jc w:val="center"/>
              <w:rPr>
                <w:rFonts w:cs="Arial"/>
                <w:color w:val="000000"/>
              </w:rPr>
            </w:pPr>
            <w:r w:rsidRPr="00D96CD4">
              <w:rPr>
                <w:rFonts w:cs="Arial"/>
                <w:color w:val="000000"/>
              </w:rPr>
              <w:t>17</w:t>
            </w:r>
          </w:p>
        </w:tc>
      </w:tr>
      <w:tr w:rsidR="00F057B2" w:rsidRPr="00D96CD4" w14:paraId="07427E0E" w14:textId="77777777" w:rsidTr="00596EFF">
        <w:trPr>
          <w:trHeight w:val="300"/>
          <w:jc w:val="center"/>
        </w:trPr>
        <w:tc>
          <w:tcPr>
            <w:tcW w:w="278" w:type="dxa"/>
            <w:tcBorders>
              <w:top w:val="dashed" w:sz="4" w:space="0" w:color="auto"/>
              <w:left w:val="single" w:sz="4" w:space="0" w:color="auto"/>
              <w:bottom w:val="dashed" w:sz="4" w:space="0" w:color="auto"/>
              <w:right w:val="nil"/>
            </w:tcBorders>
            <w:shd w:val="clear" w:color="auto" w:fill="auto"/>
            <w:noWrap/>
            <w:vAlign w:val="center"/>
            <w:hideMark/>
          </w:tcPr>
          <w:p w14:paraId="5DE1BCDA" w14:textId="77777777" w:rsidR="00F057B2" w:rsidRPr="00D96CD4" w:rsidRDefault="00F057B2" w:rsidP="00900CDB">
            <w:pPr>
              <w:rPr>
                <w:rFonts w:cs="Arial"/>
                <w:color w:val="000000"/>
              </w:rPr>
            </w:pPr>
          </w:p>
        </w:tc>
        <w:tc>
          <w:tcPr>
            <w:tcW w:w="5954" w:type="dxa"/>
            <w:tcBorders>
              <w:top w:val="dashed" w:sz="4" w:space="0" w:color="auto"/>
              <w:left w:val="nil"/>
              <w:bottom w:val="dashed" w:sz="4" w:space="0" w:color="auto"/>
              <w:right w:val="nil"/>
            </w:tcBorders>
            <w:shd w:val="clear" w:color="auto" w:fill="auto"/>
            <w:noWrap/>
            <w:vAlign w:val="center"/>
            <w:hideMark/>
          </w:tcPr>
          <w:p w14:paraId="3816F1DB" w14:textId="77777777" w:rsidR="00F057B2" w:rsidRPr="00D96CD4" w:rsidRDefault="00F057B2" w:rsidP="00900CDB">
            <w:pPr>
              <w:ind w:left="461"/>
              <w:rPr>
                <w:rFonts w:cs="Arial"/>
                <w:color w:val="000000"/>
              </w:rPr>
            </w:pPr>
            <w:r w:rsidRPr="00D96CD4">
              <w:rPr>
                <w:rFonts w:cs="Arial"/>
                <w:color w:val="000000"/>
              </w:rPr>
              <w:t>Other ADRGs with same number of splits as V10.0</w:t>
            </w:r>
          </w:p>
        </w:tc>
        <w:tc>
          <w:tcPr>
            <w:tcW w:w="2234" w:type="dxa"/>
            <w:tcBorders>
              <w:top w:val="dashed" w:sz="4" w:space="0" w:color="auto"/>
              <w:left w:val="nil"/>
              <w:bottom w:val="dashed" w:sz="4" w:space="0" w:color="auto"/>
              <w:right w:val="single" w:sz="4" w:space="0" w:color="auto"/>
            </w:tcBorders>
            <w:shd w:val="clear" w:color="auto" w:fill="auto"/>
            <w:noWrap/>
            <w:vAlign w:val="center"/>
            <w:hideMark/>
          </w:tcPr>
          <w:p w14:paraId="63491F4B" w14:textId="77777777" w:rsidR="00F057B2" w:rsidRPr="00D96CD4" w:rsidRDefault="00F057B2" w:rsidP="00900CDB">
            <w:pPr>
              <w:jc w:val="center"/>
              <w:rPr>
                <w:rFonts w:cs="Arial"/>
                <w:color w:val="000000"/>
              </w:rPr>
            </w:pPr>
            <w:r w:rsidRPr="00D96CD4">
              <w:rPr>
                <w:rFonts w:cs="Arial"/>
                <w:color w:val="000000"/>
              </w:rPr>
              <w:t>361</w:t>
            </w:r>
          </w:p>
        </w:tc>
      </w:tr>
      <w:tr w:rsidR="00F057B2" w:rsidRPr="00D96CD4" w14:paraId="0B1285C8" w14:textId="77777777" w:rsidTr="00596EFF">
        <w:trPr>
          <w:trHeight w:val="300"/>
          <w:jc w:val="center"/>
        </w:trPr>
        <w:tc>
          <w:tcPr>
            <w:tcW w:w="278" w:type="dxa"/>
            <w:tcBorders>
              <w:top w:val="dashed" w:sz="4" w:space="0" w:color="auto"/>
              <w:left w:val="single" w:sz="4" w:space="0" w:color="auto"/>
              <w:bottom w:val="single" w:sz="4" w:space="0" w:color="auto"/>
              <w:right w:val="nil"/>
            </w:tcBorders>
            <w:shd w:val="clear" w:color="auto" w:fill="auto"/>
            <w:noWrap/>
            <w:vAlign w:val="center"/>
            <w:hideMark/>
          </w:tcPr>
          <w:p w14:paraId="1CEA9197" w14:textId="77777777" w:rsidR="00F057B2" w:rsidRPr="00D96CD4" w:rsidRDefault="00F057B2" w:rsidP="00900CDB">
            <w:pPr>
              <w:rPr>
                <w:rFonts w:cs="Arial"/>
                <w:color w:val="000000"/>
              </w:rPr>
            </w:pPr>
          </w:p>
        </w:tc>
        <w:tc>
          <w:tcPr>
            <w:tcW w:w="5954" w:type="dxa"/>
            <w:tcBorders>
              <w:top w:val="dashed" w:sz="4" w:space="0" w:color="auto"/>
              <w:left w:val="nil"/>
              <w:bottom w:val="single" w:sz="4" w:space="0" w:color="auto"/>
              <w:right w:val="nil"/>
            </w:tcBorders>
            <w:shd w:val="clear" w:color="auto" w:fill="auto"/>
            <w:noWrap/>
            <w:vAlign w:val="center"/>
            <w:hideMark/>
          </w:tcPr>
          <w:p w14:paraId="6DE011AA" w14:textId="77777777" w:rsidR="00F057B2" w:rsidRPr="00D96CD4" w:rsidRDefault="00F057B2" w:rsidP="00900CDB">
            <w:pPr>
              <w:rPr>
                <w:rFonts w:cs="Arial"/>
                <w:color w:val="000000"/>
              </w:rPr>
            </w:pPr>
            <w:r w:rsidRPr="00D96CD4">
              <w:rPr>
                <w:rFonts w:cs="Arial"/>
                <w:color w:val="000000"/>
              </w:rPr>
              <w:t>ADRG with different number of splits to V10.0</w:t>
            </w:r>
          </w:p>
        </w:tc>
        <w:tc>
          <w:tcPr>
            <w:tcW w:w="2234" w:type="dxa"/>
            <w:tcBorders>
              <w:top w:val="dashed" w:sz="4" w:space="0" w:color="auto"/>
              <w:left w:val="nil"/>
              <w:bottom w:val="single" w:sz="4" w:space="0" w:color="auto"/>
              <w:right w:val="single" w:sz="4" w:space="0" w:color="auto"/>
            </w:tcBorders>
            <w:shd w:val="clear" w:color="auto" w:fill="auto"/>
            <w:noWrap/>
            <w:vAlign w:val="center"/>
            <w:hideMark/>
          </w:tcPr>
          <w:p w14:paraId="48128F5C" w14:textId="77777777" w:rsidR="00F057B2" w:rsidRPr="00D96CD4" w:rsidRDefault="00F057B2" w:rsidP="00900CDB">
            <w:pPr>
              <w:jc w:val="center"/>
              <w:rPr>
                <w:rFonts w:cs="Arial"/>
                <w:color w:val="000000"/>
              </w:rPr>
            </w:pPr>
            <w:r w:rsidRPr="00D96CD4">
              <w:rPr>
                <w:rFonts w:cs="Arial"/>
                <w:color w:val="000000"/>
              </w:rPr>
              <w:t>1</w:t>
            </w:r>
          </w:p>
        </w:tc>
      </w:tr>
      <w:tr w:rsidR="00F057B2" w:rsidRPr="00D96CD4" w14:paraId="3A92964D" w14:textId="77777777" w:rsidTr="00596EFF">
        <w:trPr>
          <w:trHeight w:val="300"/>
          <w:jc w:val="center"/>
        </w:trPr>
        <w:tc>
          <w:tcPr>
            <w:tcW w:w="6232"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A2F676" w14:textId="77777777" w:rsidR="00F057B2" w:rsidRPr="00D96CD4" w:rsidRDefault="00F057B2" w:rsidP="00900CDB">
            <w:pPr>
              <w:rPr>
                <w:rFonts w:cs="Arial"/>
                <w:color w:val="000000"/>
              </w:rPr>
            </w:pPr>
            <w:r w:rsidRPr="00D96CD4">
              <w:rPr>
                <w:rFonts w:cs="Arial"/>
                <w:color w:val="000000"/>
              </w:rPr>
              <w:t>Total</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6D5FE88" w14:textId="77777777" w:rsidR="00F057B2" w:rsidRPr="00D96CD4" w:rsidRDefault="00F057B2" w:rsidP="00900CDB">
            <w:pPr>
              <w:jc w:val="center"/>
              <w:rPr>
                <w:rFonts w:cs="Arial"/>
                <w:color w:val="000000"/>
              </w:rPr>
            </w:pPr>
            <w:r w:rsidRPr="00D96CD4">
              <w:rPr>
                <w:rFonts w:cs="Arial"/>
                <w:color w:val="000000"/>
              </w:rPr>
              <w:t>400</w:t>
            </w:r>
          </w:p>
        </w:tc>
      </w:tr>
    </w:tbl>
    <w:p w14:paraId="249CDB38" w14:textId="77777777" w:rsidR="00F057B2" w:rsidRDefault="00F057B2" w:rsidP="009D68AE">
      <w:pPr>
        <w:spacing w:before="120"/>
      </w:pPr>
      <w:r>
        <w:t>The three</w:t>
      </w:r>
      <w:r w:rsidRPr="007706FE">
        <w:t xml:space="preserve"> new ADRGs </w:t>
      </w:r>
      <w:r>
        <w:t>are detailed</w:t>
      </w:r>
      <w:r w:rsidRPr="007706FE">
        <w:t xml:space="preserve"> in</w:t>
      </w:r>
      <w:r>
        <w:t xml:space="preserve"> </w:t>
      </w:r>
      <w:r w:rsidRPr="001D3991">
        <w:rPr>
          <w:b/>
          <w:bCs/>
        </w:rPr>
        <w:t>Table 8</w:t>
      </w:r>
      <w:r w:rsidRPr="007706FE">
        <w:t>.</w:t>
      </w:r>
    </w:p>
    <w:p w14:paraId="3092C59E" w14:textId="77777777" w:rsidR="00F057B2" w:rsidRPr="00F057B2" w:rsidRDefault="00F057B2" w:rsidP="009A2CDC">
      <w:pPr>
        <w:pStyle w:val="Caption"/>
      </w:pPr>
      <w:bookmarkStart w:id="131" w:name="_Ref344974"/>
      <w:r w:rsidRPr="00F057B2">
        <w:t xml:space="preserve">Table </w:t>
      </w:r>
      <w:bookmarkEnd w:id="131"/>
      <w:r w:rsidRPr="00F057B2">
        <w:t>8: New ADRGs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20"/>
        <w:gridCol w:w="6260"/>
      </w:tblGrid>
      <w:tr w:rsidR="00F057B2" w:rsidRPr="001741B1" w14:paraId="7DF95109" w14:textId="77777777" w:rsidTr="00D96CD4">
        <w:trPr>
          <w:jc w:val="center"/>
        </w:trPr>
        <w:tc>
          <w:tcPr>
            <w:tcW w:w="2220" w:type="dxa"/>
            <w:shd w:val="clear" w:color="auto" w:fill="104F99"/>
            <w:vAlign w:val="center"/>
          </w:tcPr>
          <w:p w14:paraId="09B402D0" w14:textId="77777777" w:rsidR="00F057B2" w:rsidRPr="00D96CD4" w:rsidRDefault="00F057B2" w:rsidP="00900CDB">
            <w:pPr>
              <w:rPr>
                <w:b/>
                <w:color w:val="FFFFFF" w:themeColor="accent6"/>
              </w:rPr>
            </w:pPr>
            <w:r w:rsidRPr="00D96CD4">
              <w:rPr>
                <w:b/>
                <w:color w:val="FFFFFF" w:themeColor="accent6"/>
              </w:rPr>
              <w:t>ADRG</w:t>
            </w:r>
          </w:p>
        </w:tc>
        <w:tc>
          <w:tcPr>
            <w:tcW w:w="6260" w:type="dxa"/>
            <w:shd w:val="clear" w:color="auto" w:fill="104F99"/>
            <w:vAlign w:val="center"/>
          </w:tcPr>
          <w:p w14:paraId="59DC92D1" w14:textId="77777777" w:rsidR="00F057B2" w:rsidRPr="00D96CD4" w:rsidRDefault="00F057B2" w:rsidP="00900CDB">
            <w:pPr>
              <w:rPr>
                <w:b/>
                <w:color w:val="FFFFFF" w:themeColor="accent6"/>
              </w:rPr>
            </w:pPr>
            <w:r w:rsidRPr="00D96CD4">
              <w:rPr>
                <w:b/>
                <w:color w:val="FFFFFF" w:themeColor="accent6"/>
              </w:rPr>
              <w:t>Description</w:t>
            </w:r>
          </w:p>
        </w:tc>
      </w:tr>
      <w:tr w:rsidR="00F057B2" w14:paraId="2F2031FA" w14:textId="77777777" w:rsidTr="00596EFF">
        <w:trPr>
          <w:jc w:val="center"/>
        </w:trPr>
        <w:tc>
          <w:tcPr>
            <w:tcW w:w="2220" w:type="dxa"/>
            <w:vAlign w:val="center"/>
          </w:tcPr>
          <w:p w14:paraId="60A6C2CC" w14:textId="77777777" w:rsidR="00F057B2" w:rsidRPr="005A68B7" w:rsidRDefault="00F057B2" w:rsidP="00900CDB">
            <w:r w:rsidRPr="005A68B7">
              <w:t>B08</w:t>
            </w:r>
          </w:p>
        </w:tc>
        <w:tc>
          <w:tcPr>
            <w:tcW w:w="6260" w:type="dxa"/>
            <w:vAlign w:val="center"/>
          </w:tcPr>
          <w:p w14:paraId="788C081D" w14:textId="77777777" w:rsidR="00F057B2" w:rsidRPr="005A68B7" w:rsidRDefault="00F057B2" w:rsidP="00900CDB">
            <w:r w:rsidRPr="005D6344">
              <w:rPr>
                <w:i/>
              </w:rPr>
              <w:t>Endovascular Clot Retrieval</w:t>
            </w:r>
          </w:p>
        </w:tc>
      </w:tr>
      <w:tr w:rsidR="00F057B2" w14:paraId="7EFC4320" w14:textId="77777777" w:rsidTr="00596EFF">
        <w:trPr>
          <w:jc w:val="center"/>
        </w:trPr>
        <w:tc>
          <w:tcPr>
            <w:tcW w:w="2220" w:type="dxa"/>
            <w:vAlign w:val="center"/>
          </w:tcPr>
          <w:p w14:paraId="012A1DF7" w14:textId="77777777" w:rsidR="00F057B2" w:rsidRPr="005A68B7" w:rsidDel="008508F1" w:rsidRDefault="00F057B2" w:rsidP="00900CDB">
            <w:r w:rsidRPr="005A68B7">
              <w:t>F25</w:t>
            </w:r>
          </w:p>
        </w:tc>
        <w:tc>
          <w:tcPr>
            <w:tcW w:w="6260" w:type="dxa"/>
            <w:vAlign w:val="center"/>
          </w:tcPr>
          <w:p w14:paraId="47CC2D8D" w14:textId="77777777" w:rsidR="00F057B2" w:rsidRPr="005A68B7" w:rsidRDefault="00F057B2" w:rsidP="00900CDB">
            <w:r w:rsidRPr="005D6344">
              <w:rPr>
                <w:i/>
              </w:rPr>
              <w:t xml:space="preserve">Percutaneous Heart Valve Replacement with </w:t>
            </w:r>
            <w:proofErr w:type="spellStart"/>
            <w:r w:rsidRPr="005D6344">
              <w:rPr>
                <w:i/>
              </w:rPr>
              <w:t>Bioprosthesis</w:t>
            </w:r>
            <w:proofErr w:type="spellEnd"/>
          </w:p>
        </w:tc>
      </w:tr>
      <w:tr w:rsidR="00F057B2" w14:paraId="7AB0BB3A" w14:textId="77777777" w:rsidTr="00596EFF">
        <w:trPr>
          <w:jc w:val="center"/>
        </w:trPr>
        <w:tc>
          <w:tcPr>
            <w:tcW w:w="2220" w:type="dxa"/>
            <w:vAlign w:val="center"/>
          </w:tcPr>
          <w:p w14:paraId="2EA8242D" w14:textId="77777777" w:rsidR="00F057B2" w:rsidRPr="005A68B7" w:rsidRDefault="00F057B2" w:rsidP="00900CDB">
            <w:r w:rsidRPr="005A68B7">
              <w:t>G13</w:t>
            </w:r>
          </w:p>
        </w:tc>
        <w:tc>
          <w:tcPr>
            <w:tcW w:w="6260" w:type="dxa"/>
            <w:vAlign w:val="center"/>
          </w:tcPr>
          <w:p w14:paraId="0380AE70" w14:textId="77777777" w:rsidR="00F057B2" w:rsidRPr="005A68B7" w:rsidRDefault="00F057B2" w:rsidP="00900CDB">
            <w:r w:rsidRPr="005D6344">
              <w:rPr>
                <w:i/>
              </w:rPr>
              <w:t>Peritonectomy for Gastrointestinal Disorders</w:t>
            </w:r>
          </w:p>
        </w:tc>
      </w:tr>
    </w:tbl>
    <w:p w14:paraId="690B9747" w14:textId="77777777" w:rsidR="00F057B2" w:rsidRDefault="00F057B2" w:rsidP="00F057B2">
      <w:pPr>
        <w:pStyle w:val="Heading2"/>
        <w:spacing w:before="360" w:after="120" w:line="260" w:lineRule="atLeast"/>
        <w:contextualSpacing/>
      </w:pPr>
      <w:bookmarkStart w:id="132" w:name="_Toc87865220"/>
      <w:bookmarkStart w:id="133" w:name="_Toc87875747"/>
      <w:bookmarkStart w:id="134" w:name="_Toc88827541"/>
      <w:bookmarkStart w:id="135" w:name="_Toc100328209"/>
      <w:bookmarkStart w:id="136" w:name="_Toc124656423"/>
      <w:bookmarkStart w:id="137" w:name="_Toc534624621"/>
      <w:bookmarkStart w:id="138" w:name="_Toc534719079"/>
      <w:bookmarkStart w:id="139" w:name="_Toc534875817"/>
      <w:bookmarkEnd w:id="132"/>
      <w:bookmarkEnd w:id="133"/>
      <w:bookmarkEnd w:id="134"/>
      <w:r>
        <w:t>DRG Summary</w:t>
      </w:r>
      <w:bookmarkEnd w:id="135"/>
      <w:bookmarkEnd w:id="136"/>
    </w:p>
    <w:p w14:paraId="7CB77EB1" w14:textId="77777777" w:rsidR="00F057B2" w:rsidRPr="000B2C22" w:rsidRDefault="00F057B2" w:rsidP="00900CDB">
      <w:r>
        <w:t xml:space="preserve">There </w:t>
      </w:r>
      <w:proofErr w:type="gramStart"/>
      <w:r>
        <w:t>are</w:t>
      </w:r>
      <w:proofErr w:type="gramEnd"/>
      <w:r>
        <w:t xml:space="preserve"> a total of 801 DRGs. </w:t>
      </w:r>
    </w:p>
    <w:p w14:paraId="26844ED4" w14:textId="77777777" w:rsidR="00F057B2" w:rsidRDefault="00F057B2" w:rsidP="00F057B2">
      <w:pPr>
        <w:pStyle w:val="Heading2"/>
        <w:spacing w:before="360" w:after="120" w:line="260" w:lineRule="atLeast"/>
        <w:contextualSpacing/>
      </w:pPr>
      <w:bookmarkStart w:id="140" w:name="_Toc100328210"/>
      <w:bookmarkStart w:id="141" w:name="_Toc124656424"/>
      <w:r>
        <w:lastRenderedPageBreak/>
        <w:t>Statistical Performance</w:t>
      </w:r>
      <w:bookmarkEnd w:id="137"/>
      <w:bookmarkEnd w:id="138"/>
      <w:bookmarkEnd w:id="139"/>
      <w:bookmarkEnd w:id="140"/>
      <w:bookmarkEnd w:id="141"/>
    </w:p>
    <w:p w14:paraId="3CD0DEAD" w14:textId="77777777" w:rsidR="00F057B2" w:rsidRDefault="00F057B2" w:rsidP="00900CDB">
      <w:r>
        <w:t>The performance of the AR-DRG classification has historically been measured using the Reduction in Deviance (RID) statistic. RID measures how much of the variability in cost is explained by the AR-DRG classification. The higher the percentage value, the higher percentage of cost variation is explained by the classification</w:t>
      </w:r>
    </w:p>
    <w:p w14:paraId="33FB6D83" w14:textId="742DEF3E" w:rsidR="00F057B2" w:rsidRDefault="00F057B2" w:rsidP="00900CDB">
      <w:r w:rsidRPr="00C341BD">
        <w:t>The overall statistical performance of AR-DRG V1</w:t>
      </w:r>
      <w:r w:rsidRPr="000D2602">
        <w:t>1</w:t>
      </w:r>
      <w:r w:rsidRPr="00C341BD">
        <w:t xml:space="preserve">.0 </w:t>
      </w:r>
      <w:r>
        <w:t xml:space="preserve">is an RID of </w:t>
      </w:r>
      <w:r w:rsidR="00993F4F">
        <w:t xml:space="preserve">64.3 </w:t>
      </w:r>
      <w:r>
        <w:t>per cent,</w:t>
      </w:r>
      <w:r w:rsidRPr="00C341BD">
        <w:t xml:space="preserve"> which is </w:t>
      </w:r>
      <w:r>
        <w:t xml:space="preserve">comparable to the AR-DRG V10.0 </w:t>
      </w:r>
      <w:r w:rsidRPr="00C341BD">
        <w:t xml:space="preserve">RID of </w:t>
      </w:r>
      <w:r w:rsidR="00993F4F">
        <w:t xml:space="preserve">64.2 </w:t>
      </w:r>
      <w:r>
        <w:t>per cent</w:t>
      </w:r>
      <w:r>
        <w:rPr>
          <w:rStyle w:val="FootnoteReference"/>
        </w:rPr>
        <w:footnoteReference w:id="9"/>
      </w:r>
      <w:r w:rsidRPr="00C341BD">
        <w:t>.</w:t>
      </w:r>
    </w:p>
    <w:p w14:paraId="5CD10209" w14:textId="77777777" w:rsidR="00970318" w:rsidRDefault="00970318" w:rsidP="00DB161C">
      <w:pPr>
        <w:rPr>
          <w:rFonts w:eastAsiaTheme="majorEastAsia" w:cstheme="majorBidi"/>
          <w:b/>
          <w:sz w:val="72"/>
          <w:szCs w:val="32"/>
        </w:rPr>
        <w:sectPr w:rsidR="00970318" w:rsidSect="00C5503B">
          <w:pgSz w:w="11906" w:h="16838" w:code="9"/>
          <w:pgMar w:top="1440" w:right="1080" w:bottom="1440" w:left="1080" w:header="708" w:footer="708" w:gutter="0"/>
          <w:cols w:space="708"/>
          <w:docGrid w:linePitch="360"/>
        </w:sectPr>
      </w:pPr>
    </w:p>
    <w:p w14:paraId="7E588DEE" w14:textId="77777777" w:rsidR="00F057B2" w:rsidRDefault="00F057B2" w:rsidP="00F057B2">
      <w:pPr>
        <w:pStyle w:val="Heading1"/>
        <w:numPr>
          <w:ilvl w:val="0"/>
          <w:numId w:val="0"/>
        </w:numPr>
      </w:pPr>
      <w:bookmarkStart w:id="142" w:name="_Toc100328211"/>
      <w:bookmarkStart w:id="143" w:name="_Toc124656425"/>
      <w:r>
        <w:lastRenderedPageBreak/>
        <w:t>Appendix A: ICD-10-AM and ACHI code references</w:t>
      </w:r>
      <w:bookmarkEnd w:id="142"/>
      <w:bookmarkEnd w:id="143"/>
    </w:p>
    <w:p w14:paraId="2649DB6C" w14:textId="77777777" w:rsidR="00F057B2" w:rsidRPr="003556EC" w:rsidRDefault="00F057B2" w:rsidP="00900CDB">
      <w:r w:rsidRPr="003556EC">
        <w:rPr>
          <w:b/>
        </w:rPr>
        <w:t>Table A1</w:t>
      </w:r>
      <w:r>
        <w:t xml:space="preserve">: ACHI code references for Section </w:t>
      </w:r>
      <w:r w:rsidRPr="00494131">
        <w:t xml:space="preserve">3.1 </w:t>
      </w:r>
      <w:r w:rsidRPr="00024CFC">
        <w:rPr>
          <w:i/>
        </w:rPr>
        <w:t>Endovascular clot retrieval</w:t>
      </w:r>
      <w:r>
        <w:t xml:space="preserve"> </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70157181"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7A7390BA"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Concept</w:t>
            </w:r>
          </w:p>
        </w:tc>
        <w:tc>
          <w:tcPr>
            <w:tcW w:w="7804" w:type="dxa"/>
            <w:shd w:val="clear" w:color="auto" w:fill="104F99"/>
            <w:vAlign w:val="center"/>
          </w:tcPr>
          <w:p w14:paraId="3E842F40"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ACHI code(s) with description</w:t>
            </w:r>
          </w:p>
        </w:tc>
      </w:tr>
      <w:tr w:rsidR="00F057B2" w:rsidRPr="00056D03" w14:paraId="16D7D583"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01B0581B" w14:textId="77777777" w:rsidR="00F057B2" w:rsidRPr="00056D03" w:rsidRDefault="00F057B2" w:rsidP="009D68AE">
            <w:pPr>
              <w:spacing w:after="160"/>
              <w:rPr>
                <w:rFonts w:cs="Arial"/>
                <w:sz w:val="22"/>
                <w:szCs w:val="22"/>
              </w:rPr>
            </w:pPr>
            <w:r w:rsidRPr="00056D03">
              <w:rPr>
                <w:rFonts w:cs="Arial"/>
                <w:sz w:val="22"/>
                <w:szCs w:val="22"/>
              </w:rPr>
              <w:t>Endovascular clot retrieval (ECR)</w:t>
            </w:r>
          </w:p>
        </w:tc>
        <w:tc>
          <w:tcPr>
            <w:tcW w:w="7804" w:type="dxa"/>
            <w:shd w:val="clear" w:color="auto" w:fill="auto"/>
            <w:vAlign w:val="center"/>
          </w:tcPr>
          <w:p w14:paraId="6530A932"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056D03">
              <w:rPr>
                <w:rFonts w:cs="Arial"/>
                <w:sz w:val="22"/>
                <w:szCs w:val="22"/>
              </w:rPr>
              <w:t xml:space="preserve">35414-00 [702] </w:t>
            </w:r>
            <w:r w:rsidRPr="00056D03">
              <w:rPr>
                <w:rFonts w:cs="Arial"/>
                <w:i/>
                <w:sz w:val="22"/>
                <w:szCs w:val="22"/>
              </w:rPr>
              <w:t>Embolectomy or thrombectomy of intracranial artery</w:t>
            </w:r>
          </w:p>
        </w:tc>
      </w:tr>
    </w:tbl>
    <w:p w14:paraId="7126ADBF" w14:textId="4C77FC72" w:rsidR="00F057B2" w:rsidRPr="003556EC" w:rsidRDefault="00F057B2" w:rsidP="009D68AE">
      <w:pPr>
        <w:spacing w:before="120"/>
      </w:pPr>
      <w:r w:rsidRPr="003556EC">
        <w:rPr>
          <w:b/>
        </w:rPr>
        <w:t>Table A2</w:t>
      </w:r>
      <w:r w:rsidRPr="003556EC">
        <w:t>:</w:t>
      </w:r>
      <w:r>
        <w:t xml:space="preserve"> ACHI code references for Section </w:t>
      </w:r>
      <w:r w:rsidRPr="003556EC">
        <w:t xml:space="preserve">3.2 </w:t>
      </w:r>
      <w:r w:rsidRPr="00024CFC">
        <w:rPr>
          <w:i/>
        </w:rPr>
        <w:t>Transcatheter aortic valve implantation</w:t>
      </w:r>
      <w:r>
        <w:t xml:space="preserve"> </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381B2B5F"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73E46A33"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AR-DRG Version</w:t>
            </w:r>
          </w:p>
        </w:tc>
        <w:tc>
          <w:tcPr>
            <w:tcW w:w="7804" w:type="dxa"/>
            <w:shd w:val="clear" w:color="auto" w:fill="104F99"/>
            <w:vAlign w:val="center"/>
          </w:tcPr>
          <w:p w14:paraId="1CCB236F"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ACHI code references</w:t>
            </w:r>
          </w:p>
        </w:tc>
      </w:tr>
      <w:tr w:rsidR="00F057B2" w:rsidRPr="00056D03" w14:paraId="5554D400"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055BB162" w14:textId="77777777" w:rsidR="00F057B2" w:rsidRPr="00056D03" w:rsidRDefault="00F057B2" w:rsidP="009D68AE">
            <w:pPr>
              <w:spacing w:after="160"/>
              <w:rPr>
                <w:rFonts w:cs="Arial"/>
                <w:b w:val="0"/>
                <w:sz w:val="22"/>
                <w:szCs w:val="22"/>
              </w:rPr>
            </w:pPr>
            <w:r w:rsidRPr="00056D03">
              <w:rPr>
                <w:rFonts w:cs="Arial"/>
                <w:sz w:val="22"/>
                <w:szCs w:val="22"/>
              </w:rPr>
              <w:t>Version 10.0</w:t>
            </w:r>
          </w:p>
        </w:tc>
        <w:tc>
          <w:tcPr>
            <w:tcW w:w="7804" w:type="dxa"/>
            <w:shd w:val="clear" w:color="auto" w:fill="auto"/>
            <w:vAlign w:val="center"/>
          </w:tcPr>
          <w:p w14:paraId="29B0B639"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u w:val="single"/>
              </w:rPr>
            </w:pPr>
            <w:r w:rsidRPr="00056D03">
              <w:rPr>
                <w:rFonts w:cs="Arial"/>
                <w:sz w:val="22"/>
                <w:szCs w:val="22"/>
                <w:u w:val="single"/>
              </w:rPr>
              <w:t xml:space="preserve">ACHI Eleventh Edition codes for F03 </w:t>
            </w:r>
            <w:r w:rsidRPr="00056D03">
              <w:rPr>
                <w:rFonts w:cs="Arial"/>
                <w:i/>
                <w:iCs/>
                <w:sz w:val="22"/>
                <w:szCs w:val="22"/>
                <w:u w:val="single"/>
              </w:rPr>
              <w:t>Cardiac Valve Interventions with CPB pump with Invasive Cardiac Investigation</w:t>
            </w:r>
            <w:r w:rsidRPr="00056D03">
              <w:rPr>
                <w:rFonts w:cs="Arial"/>
                <w:sz w:val="22"/>
                <w:szCs w:val="22"/>
                <w:u w:val="single"/>
              </w:rPr>
              <w:t xml:space="preserve"> and F04 </w:t>
            </w:r>
            <w:r w:rsidRPr="00056D03">
              <w:rPr>
                <w:rFonts w:cs="Arial"/>
                <w:i/>
                <w:iCs/>
                <w:sz w:val="22"/>
                <w:szCs w:val="22"/>
                <w:u w:val="single"/>
              </w:rPr>
              <w:t>Cardiac Valve Interventions with CPB pump without Invasive Cardiac Investigation</w:t>
            </w:r>
            <w:r w:rsidRPr="00056D03">
              <w:rPr>
                <w:rFonts w:cs="Arial"/>
                <w:sz w:val="22"/>
                <w:szCs w:val="22"/>
                <w:u w:val="single"/>
              </w:rPr>
              <w:t>:</w:t>
            </w:r>
          </w:p>
          <w:p w14:paraId="7B4B7654"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38488-08 [623] </w:t>
            </w:r>
            <w:r w:rsidRPr="00056D03">
              <w:rPr>
                <w:i/>
                <w:sz w:val="22"/>
                <w:szCs w:val="22"/>
              </w:rPr>
              <w:t xml:space="preserve">Percutaneous replacement of aortic valve with </w:t>
            </w:r>
            <w:proofErr w:type="spellStart"/>
            <w:r w:rsidRPr="00056D03">
              <w:rPr>
                <w:i/>
                <w:sz w:val="22"/>
                <w:szCs w:val="22"/>
              </w:rPr>
              <w:t>bioprosthesis</w:t>
            </w:r>
            <w:proofErr w:type="spellEnd"/>
          </w:p>
          <w:p w14:paraId="19077B9D"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38488-09 [628] </w:t>
            </w:r>
            <w:r w:rsidRPr="00056D03">
              <w:rPr>
                <w:i/>
                <w:sz w:val="22"/>
                <w:szCs w:val="22"/>
              </w:rPr>
              <w:t xml:space="preserve">Percutaneous replacement of mitral valve with </w:t>
            </w:r>
            <w:proofErr w:type="spellStart"/>
            <w:r w:rsidRPr="00056D03">
              <w:rPr>
                <w:i/>
                <w:sz w:val="22"/>
                <w:szCs w:val="22"/>
              </w:rPr>
              <w:t>bioprosthesis</w:t>
            </w:r>
            <w:proofErr w:type="spellEnd"/>
          </w:p>
          <w:p w14:paraId="4F1DFCB1"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38488-10 [634] </w:t>
            </w:r>
            <w:r w:rsidRPr="00056D03">
              <w:rPr>
                <w:i/>
                <w:sz w:val="22"/>
                <w:szCs w:val="22"/>
              </w:rPr>
              <w:t xml:space="preserve">Percutaneous replacement of tricuspid valve with </w:t>
            </w:r>
            <w:proofErr w:type="spellStart"/>
            <w:r w:rsidRPr="00056D03">
              <w:rPr>
                <w:i/>
                <w:sz w:val="22"/>
                <w:szCs w:val="22"/>
              </w:rPr>
              <w:t>bioprosthesis</w:t>
            </w:r>
            <w:proofErr w:type="spellEnd"/>
          </w:p>
          <w:p w14:paraId="4C73F727"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u w:val="single"/>
              </w:rPr>
            </w:pPr>
            <w:r w:rsidRPr="00056D03">
              <w:rPr>
                <w:rFonts w:cs="Arial"/>
                <w:sz w:val="22"/>
                <w:szCs w:val="22"/>
              </w:rPr>
              <w:t xml:space="preserve">38488-11 [637] </w:t>
            </w:r>
            <w:r w:rsidRPr="00056D03">
              <w:rPr>
                <w:rFonts w:cs="Arial"/>
                <w:i/>
                <w:sz w:val="22"/>
                <w:szCs w:val="22"/>
              </w:rPr>
              <w:t xml:space="preserve">Percutaneous replacement of pulmonary valve with </w:t>
            </w:r>
            <w:proofErr w:type="spellStart"/>
            <w:r w:rsidRPr="00056D03">
              <w:rPr>
                <w:rFonts w:cs="Arial"/>
                <w:i/>
                <w:sz w:val="22"/>
                <w:szCs w:val="22"/>
              </w:rPr>
              <w:t>bioprosthesis</w:t>
            </w:r>
            <w:proofErr w:type="spellEnd"/>
          </w:p>
          <w:p w14:paraId="17DD7FBE" w14:textId="3892DAA8" w:rsidR="00F057B2" w:rsidRPr="00056D03" w:rsidRDefault="00F057B2" w:rsidP="009D68AE">
            <w:pPr>
              <w:pStyle w:val="Default"/>
              <w:spacing w:after="160" w:line="288" w:lineRule="auto"/>
              <w:ind w:left="34"/>
              <w:cnfStyle w:val="000000100000" w:firstRow="0" w:lastRow="0" w:firstColumn="0" w:lastColumn="0" w:oddVBand="0" w:evenVBand="0" w:oddHBand="1" w:evenHBand="0" w:firstRowFirstColumn="0" w:firstRowLastColumn="0" w:lastRowFirstColumn="0" w:lastRowLastColumn="0"/>
              <w:rPr>
                <w:i/>
                <w:sz w:val="22"/>
                <w:szCs w:val="22"/>
                <w:u w:val="single"/>
              </w:rPr>
            </w:pPr>
            <w:r w:rsidRPr="00056D03">
              <w:rPr>
                <w:sz w:val="22"/>
                <w:szCs w:val="22"/>
                <w:u w:val="single"/>
              </w:rPr>
              <w:t xml:space="preserve">ACHI Eleventh Edition codes for F05 </w:t>
            </w:r>
            <w:r w:rsidRPr="00056D03">
              <w:rPr>
                <w:i/>
                <w:sz w:val="22"/>
                <w:szCs w:val="22"/>
                <w:u w:val="single"/>
              </w:rPr>
              <w:t xml:space="preserve">Coronary Bypass with Invasive Cardiac Investigation, </w:t>
            </w:r>
            <w:r w:rsidRPr="00056D03">
              <w:rPr>
                <w:sz w:val="22"/>
                <w:szCs w:val="22"/>
                <w:u w:val="single"/>
              </w:rPr>
              <w:t xml:space="preserve">F06 </w:t>
            </w:r>
            <w:r w:rsidRPr="00056D03">
              <w:rPr>
                <w:i/>
                <w:sz w:val="22"/>
                <w:szCs w:val="22"/>
                <w:u w:val="single"/>
              </w:rPr>
              <w:t xml:space="preserve">Coronary Bypass without Cardiac Investigation* </w:t>
            </w:r>
            <w:r w:rsidRPr="00056D03">
              <w:rPr>
                <w:iCs/>
                <w:sz w:val="22"/>
                <w:szCs w:val="22"/>
                <w:u w:val="single"/>
              </w:rPr>
              <w:t>and</w:t>
            </w:r>
            <w:r w:rsidRPr="00056D03">
              <w:rPr>
                <w:i/>
                <w:sz w:val="22"/>
                <w:szCs w:val="22"/>
                <w:u w:val="single"/>
              </w:rPr>
              <w:t xml:space="preserve"> </w:t>
            </w:r>
            <w:r w:rsidRPr="00056D03">
              <w:rPr>
                <w:sz w:val="22"/>
                <w:szCs w:val="22"/>
                <w:u w:val="single"/>
              </w:rPr>
              <w:t xml:space="preserve">F19 </w:t>
            </w:r>
            <w:r w:rsidRPr="00056D03">
              <w:rPr>
                <w:i/>
                <w:sz w:val="22"/>
                <w:szCs w:val="22"/>
                <w:u w:val="single"/>
              </w:rPr>
              <w:t>Trans-Vascular Percutaneous Cardiac Interventions:</w:t>
            </w:r>
          </w:p>
          <w:p w14:paraId="277A5712"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38270-01 [622] </w:t>
            </w:r>
            <w:r w:rsidRPr="00056D03">
              <w:rPr>
                <w:i/>
                <w:sz w:val="22"/>
                <w:szCs w:val="22"/>
              </w:rPr>
              <w:t>Percutaneous balloon aortic valvuloplasty</w:t>
            </w:r>
          </w:p>
          <w:p w14:paraId="1B6B061D"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38270-02 [626] </w:t>
            </w:r>
            <w:r w:rsidRPr="00056D03">
              <w:rPr>
                <w:i/>
                <w:sz w:val="22"/>
                <w:szCs w:val="22"/>
              </w:rPr>
              <w:t>Percutaneous balloon mitral valvuloplasty</w:t>
            </w:r>
          </w:p>
          <w:p w14:paraId="73D63F54" w14:textId="77777777" w:rsidR="00F057B2" w:rsidRPr="00056D03" w:rsidRDefault="00F057B2" w:rsidP="009D68AE">
            <w:pPr>
              <w:pStyle w:val="Default"/>
              <w:spacing w:after="160" w:line="288" w:lineRule="auto"/>
              <w:ind w:firstLine="5"/>
              <w:cnfStyle w:val="000000100000" w:firstRow="0" w:lastRow="0" w:firstColumn="0" w:lastColumn="0" w:oddVBand="0" w:evenVBand="0" w:oddHBand="1" w:evenHBand="0" w:firstRowFirstColumn="0" w:firstRowLastColumn="0" w:lastRowFirstColumn="0" w:lastRowLastColumn="0"/>
              <w:rPr>
                <w:sz w:val="22"/>
                <w:szCs w:val="22"/>
              </w:rPr>
            </w:pPr>
            <w:r w:rsidRPr="00056D03">
              <w:rPr>
                <w:sz w:val="22"/>
                <w:szCs w:val="22"/>
              </w:rPr>
              <w:t xml:space="preserve">38270-03 [637] </w:t>
            </w:r>
            <w:r w:rsidRPr="00056D03">
              <w:rPr>
                <w:i/>
                <w:sz w:val="22"/>
                <w:szCs w:val="22"/>
              </w:rPr>
              <w:t>Percutaneous balloon pulmonary valvuloplasty</w:t>
            </w:r>
          </w:p>
          <w:p w14:paraId="7D486D93" w14:textId="77777777" w:rsidR="00F057B2" w:rsidRPr="00056D03" w:rsidRDefault="00F057B2" w:rsidP="009D68AE">
            <w:pPr>
              <w:pStyle w:val="Default"/>
              <w:spacing w:after="160" w:line="288" w:lineRule="auto"/>
              <w:ind w:left="34"/>
              <w:cnfStyle w:val="000000100000" w:firstRow="0" w:lastRow="0" w:firstColumn="0" w:lastColumn="0" w:oddVBand="0" w:evenVBand="0" w:oddHBand="1" w:evenHBand="0" w:firstRowFirstColumn="0" w:firstRowLastColumn="0" w:lastRowFirstColumn="0" w:lastRowLastColumn="0"/>
              <w:rPr>
                <w:i/>
                <w:sz w:val="22"/>
                <w:szCs w:val="22"/>
              </w:rPr>
            </w:pPr>
            <w:r w:rsidRPr="00056D03">
              <w:rPr>
                <w:sz w:val="22"/>
                <w:szCs w:val="22"/>
              </w:rPr>
              <w:t xml:space="preserve">96222-00 [626] </w:t>
            </w:r>
            <w:r w:rsidRPr="00056D03">
              <w:rPr>
                <w:i/>
                <w:sz w:val="22"/>
                <w:szCs w:val="22"/>
              </w:rPr>
              <w:t>Percutaneous mitral valvuloplasty using closure device</w:t>
            </w:r>
          </w:p>
          <w:p w14:paraId="5EA0AE8A"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i/>
                <w:sz w:val="22"/>
                <w:szCs w:val="22"/>
              </w:rPr>
              <w:t>* Used within the ADRG as a NOT definition</w:t>
            </w:r>
          </w:p>
        </w:tc>
      </w:tr>
      <w:tr w:rsidR="00F057B2" w:rsidRPr="00056D03" w14:paraId="60F25812" w14:textId="77777777" w:rsidTr="00970318">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255E51C" w14:textId="77777777" w:rsidR="00F057B2" w:rsidRPr="00056D03" w:rsidRDefault="00F057B2" w:rsidP="009D68AE">
            <w:pPr>
              <w:spacing w:after="160"/>
              <w:rPr>
                <w:rFonts w:cs="Arial"/>
                <w:sz w:val="22"/>
                <w:szCs w:val="22"/>
              </w:rPr>
            </w:pPr>
            <w:r w:rsidRPr="00056D03">
              <w:rPr>
                <w:rFonts w:cs="Arial"/>
                <w:sz w:val="22"/>
                <w:szCs w:val="22"/>
              </w:rPr>
              <w:t>Version 11.0</w:t>
            </w:r>
          </w:p>
        </w:tc>
        <w:tc>
          <w:tcPr>
            <w:tcW w:w="7804" w:type="dxa"/>
            <w:shd w:val="clear" w:color="auto" w:fill="auto"/>
            <w:vAlign w:val="center"/>
          </w:tcPr>
          <w:p w14:paraId="2443263C" w14:textId="77777777" w:rsidR="00F057B2" w:rsidRPr="00056D03" w:rsidRDefault="00F057B2" w:rsidP="009D68AE">
            <w:pPr>
              <w:pStyle w:val="Default"/>
              <w:spacing w:after="160" w:line="288" w:lineRule="auto"/>
              <w:ind w:left="34"/>
              <w:cnfStyle w:val="000000000000" w:firstRow="0" w:lastRow="0" w:firstColumn="0" w:lastColumn="0" w:oddVBand="0" w:evenVBand="0" w:oddHBand="0" w:evenHBand="0" w:firstRowFirstColumn="0" w:firstRowLastColumn="0" w:lastRowFirstColumn="0" w:lastRowLastColumn="0"/>
              <w:rPr>
                <w:sz w:val="22"/>
                <w:szCs w:val="22"/>
                <w:u w:val="single"/>
              </w:rPr>
            </w:pPr>
            <w:r w:rsidRPr="00056D03">
              <w:rPr>
                <w:sz w:val="22"/>
                <w:szCs w:val="22"/>
                <w:u w:val="single"/>
              </w:rPr>
              <w:t xml:space="preserve">ACHI Twelfth Edition codes for F25 </w:t>
            </w:r>
            <w:r w:rsidRPr="00056D03">
              <w:rPr>
                <w:i/>
                <w:sz w:val="22"/>
                <w:szCs w:val="22"/>
                <w:u w:val="single"/>
              </w:rPr>
              <w:t xml:space="preserve">Percutaneous Heart Valve Replacement with </w:t>
            </w:r>
            <w:proofErr w:type="spellStart"/>
            <w:r w:rsidRPr="00056D03">
              <w:rPr>
                <w:i/>
                <w:sz w:val="22"/>
                <w:szCs w:val="22"/>
                <w:u w:val="single"/>
              </w:rPr>
              <w:t>Bioprosthesis</w:t>
            </w:r>
            <w:proofErr w:type="spellEnd"/>
          </w:p>
          <w:p w14:paraId="3F1E9514" w14:textId="77777777" w:rsidR="00F057B2" w:rsidRPr="00056D03" w:rsidRDefault="00F057B2" w:rsidP="009D68AE">
            <w:pPr>
              <w:tabs>
                <w:tab w:val="left" w:pos="1815"/>
              </w:tabs>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38488-08 [623] </w:t>
            </w:r>
            <w:r w:rsidRPr="00056D03">
              <w:rPr>
                <w:rFonts w:cs="Arial"/>
                <w:i/>
                <w:sz w:val="22"/>
                <w:szCs w:val="22"/>
              </w:rPr>
              <w:t xml:space="preserve">Percutaneous replacement of aortic valve with </w:t>
            </w:r>
            <w:proofErr w:type="spellStart"/>
            <w:r w:rsidRPr="00056D03">
              <w:rPr>
                <w:rFonts w:cs="Arial"/>
                <w:i/>
                <w:sz w:val="22"/>
                <w:szCs w:val="22"/>
              </w:rPr>
              <w:t>bioprosthesis</w:t>
            </w:r>
            <w:proofErr w:type="spellEnd"/>
            <w:r w:rsidRPr="00056D03">
              <w:rPr>
                <w:rFonts w:cs="Arial"/>
                <w:sz w:val="22"/>
                <w:szCs w:val="22"/>
              </w:rPr>
              <w:t xml:space="preserve"> </w:t>
            </w:r>
          </w:p>
          <w:p w14:paraId="1349EC79" w14:textId="77777777" w:rsidR="00F057B2" w:rsidRPr="00056D03" w:rsidRDefault="00F057B2" w:rsidP="009D68AE">
            <w:pPr>
              <w:tabs>
                <w:tab w:val="left" w:pos="1815"/>
              </w:tabs>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38488-09 [628] </w:t>
            </w:r>
            <w:r w:rsidRPr="00056D03">
              <w:rPr>
                <w:rFonts w:cs="Arial"/>
                <w:i/>
                <w:sz w:val="22"/>
                <w:szCs w:val="22"/>
              </w:rPr>
              <w:t xml:space="preserve">Percutaneous replacement of mitral valve with </w:t>
            </w:r>
            <w:proofErr w:type="spellStart"/>
            <w:r w:rsidRPr="00056D03">
              <w:rPr>
                <w:rFonts w:cs="Arial"/>
                <w:i/>
                <w:sz w:val="22"/>
                <w:szCs w:val="22"/>
              </w:rPr>
              <w:t>bioprosthesis</w:t>
            </w:r>
            <w:proofErr w:type="spellEnd"/>
            <w:r w:rsidRPr="00056D03">
              <w:rPr>
                <w:rFonts w:cs="Arial"/>
                <w:sz w:val="22"/>
                <w:szCs w:val="22"/>
              </w:rPr>
              <w:t xml:space="preserve"> </w:t>
            </w:r>
          </w:p>
          <w:p w14:paraId="16018705" w14:textId="77777777" w:rsidR="00F057B2" w:rsidRPr="00056D03" w:rsidRDefault="00F057B2" w:rsidP="009D68AE">
            <w:pPr>
              <w:tabs>
                <w:tab w:val="left" w:pos="1815"/>
              </w:tabs>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lastRenderedPageBreak/>
              <w:t xml:space="preserve">38488-10 [634] </w:t>
            </w:r>
            <w:r w:rsidRPr="00056D03">
              <w:rPr>
                <w:rFonts w:cs="Arial"/>
                <w:i/>
                <w:sz w:val="22"/>
                <w:szCs w:val="22"/>
              </w:rPr>
              <w:t xml:space="preserve">Percutaneous replacement of tricuspid valve with </w:t>
            </w:r>
            <w:proofErr w:type="spellStart"/>
            <w:r w:rsidRPr="00056D03">
              <w:rPr>
                <w:rFonts w:cs="Arial"/>
                <w:i/>
                <w:sz w:val="22"/>
                <w:szCs w:val="22"/>
              </w:rPr>
              <w:t>bioprosthesis</w:t>
            </w:r>
            <w:proofErr w:type="spellEnd"/>
            <w:r w:rsidRPr="00056D03">
              <w:rPr>
                <w:rFonts w:cs="Arial"/>
                <w:sz w:val="22"/>
                <w:szCs w:val="22"/>
              </w:rPr>
              <w:t xml:space="preserve"> </w:t>
            </w:r>
          </w:p>
          <w:p w14:paraId="53A592F9"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056D03">
              <w:rPr>
                <w:rFonts w:cs="Arial"/>
                <w:sz w:val="22"/>
                <w:szCs w:val="22"/>
              </w:rPr>
              <w:t xml:space="preserve">38488-11 [637] </w:t>
            </w:r>
            <w:r w:rsidRPr="00056D03">
              <w:rPr>
                <w:rFonts w:cs="Arial"/>
                <w:i/>
                <w:sz w:val="22"/>
                <w:szCs w:val="22"/>
              </w:rPr>
              <w:t xml:space="preserve">Percutaneous replacement of pulmonary valve with </w:t>
            </w:r>
            <w:proofErr w:type="spellStart"/>
            <w:r w:rsidRPr="00056D03">
              <w:rPr>
                <w:rFonts w:cs="Arial"/>
                <w:i/>
                <w:sz w:val="22"/>
                <w:szCs w:val="22"/>
              </w:rPr>
              <w:t>bioprosthesis</w:t>
            </w:r>
            <w:proofErr w:type="spellEnd"/>
          </w:p>
          <w:p w14:paraId="1204313A" w14:textId="77777777" w:rsidR="00F057B2" w:rsidRPr="00056D03" w:rsidRDefault="00F057B2" w:rsidP="009D68AE">
            <w:pPr>
              <w:pStyle w:val="Default"/>
              <w:spacing w:after="160" w:line="288" w:lineRule="auto"/>
              <w:ind w:left="34"/>
              <w:cnfStyle w:val="000000000000" w:firstRow="0" w:lastRow="0" w:firstColumn="0" w:lastColumn="0" w:oddVBand="0" w:evenVBand="0" w:oddHBand="0" w:evenHBand="0" w:firstRowFirstColumn="0" w:firstRowLastColumn="0" w:lastRowFirstColumn="0" w:lastRowLastColumn="0"/>
              <w:rPr>
                <w:sz w:val="22"/>
                <w:szCs w:val="22"/>
                <w:u w:val="single"/>
              </w:rPr>
            </w:pPr>
            <w:r w:rsidRPr="00056D03">
              <w:rPr>
                <w:sz w:val="22"/>
                <w:szCs w:val="22"/>
                <w:u w:val="single"/>
              </w:rPr>
              <w:t xml:space="preserve">ACHI Twelfth Edition codes removed from F05 </w:t>
            </w:r>
            <w:r w:rsidRPr="00056D03">
              <w:rPr>
                <w:i/>
                <w:sz w:val="22"/>
                <w:szCs w:val="22"/>
                <w:u w:val="single"/>
              </w:rPr>
              <w:t xml:space="preserve">Coronary Bypass with Invasive Cardiac Investigation </w:t>
            </w:r>
            <w:r w:rsidRPr="00056D03">
              <w:rPr>
                <w:iCs/>
                <w:sz w:val="22"/>
                <w:szCs w:val="22"/>
                <w:u w:val="single"/>
              </w:rPr>
              <w:t>and</w:t>
            </w:r>
            <w:r w:rsidRPr="00056D03">
              <w:rPr>
                <w:i/>
                <w:sz w:val="22"/>
                <w:szCs w:val="22"/>
                <w:u w:val="single"/>
              </w:rPr>
              <w:t xml:space="preserve"> </w:t>
            </w:r>
            <w:r w:rsidRPr="00056D03">
              <w:rPr>
                <w:sz w:val="22"/>
                <w:szCs w:val="22"/>
                <w:u w:val="single"/>
              </w:rPr>
              <w:t xml:space="preserve">F06 </w:t>
            </w:r>
            <w:r w:rsidRPr="00056D03">
              <w:rPr>
                <w:i/>
                <w:sz w:val="22"/>
                <w:szCs w:val="22"/>
                <w:u w:val="single"/>
              </w:rPr>
              <w:t>Coronary Bypass without Cardiac Investigation</w:t>
            </w:r>
          </w:p>
          <w:p w14:paraId="45E13E95"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38270-01 [622] </w:t>
            </w:r>
            <w:r w:rsidRPr="00056D03">
              <w:rPr>
                <w:rFonts w:cs="Arial"/>
                <w:i/>
                <w:sz w:val="22"/>
                <w:szCs w:val="22"/>
              </w:rPr>
              <w:t>Percutaneous balloon aortic valvuloplasty</w:t>
            </w:r>
          </w:p>
          <w:p w14:paraId="6D2AC307"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38270-02 [626] </w:t>
            </w:r>
            <w:r w:rsidRPr="00056D03">
              <w:rPr>
                <w:rFonts w:cs="Arial"/>
                <w:i/>
                <w:sz w:val="22"/>
                <w:szCs w:val="22"/>
              </w:rPr>
              <w:t>Percutaneous balloon mitral valvuloplasty</w:t>
            </w:r>
          </w:p>
          <w:p w14:paraId="1C88C8C6"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38270-03 [637] </w:t>
            </w:r>
            <w:r w:rsidRPr="00056D03">
              <w:rPr>
                <w:rFonts w:cs="Arial"/>
                <w:i/>
                <w:sz w:val="22"/>
                <w:szCs w:val="22"/>
              </w:rPr>
              <w:t>Percutaneous balloon pulmonary valvuloplasty</w:t>
            </w:r>
          </w:p>
          <w:p w14:paraId="468B16B1"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056D03">
              <w:rPr>
                <w:rFonts w:cs="Arial"/>
                <w:sz w:val="22"/>
                <w:szCs w:val="22"/>
              </w:rPr>
              <w:t xml:space="preserve">96222-00 [626] </w:t>
            </w:r>
            <w:r w:rsidRPr="00056D03">
              <w:rPr>
                <w:rFonts w:cs="Arial"/>
                <w:i/>
                <w:sz w:val="22"/>
                <w:szCs w:val="22"/>
              </w:rPr>
              <w:t>Percutaneous mitral valvuloplasty using closure device</w:t>
            </w:r>
          </w:p>
        </w:tc>
      </w:tr>
    </w:tbl>
    <w:p w14:paraId="4C29873A" w14:textId="77777777" w:rsidR="00F057B2" w:rsidRPr="003556EC" w:rsidRDefault="00F057B2" w:rsidP="009D68AE">
      <w:pPr>
        <w:spacing w:before="120"/>
      </w:pPr>
      <w:r w:rsidRPr="007334D9">
        <w:rPr>
          <w:b/>
        </w:rPr>
        <w:lastRenderedPageBreak/>
        <w:t>Table A3</w:t>
      </w:r>
      <w:r>
        <w:t xml:space="preserve">: ACHI code references for Section 3.3 </w:t>
      </w:r>
      <w:r w:rsidRPr="00024CFC">
        <w:rPr>
          <w:i/>
        </w:rPr>
        <w:t>Peritonectomy</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67AF8146"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703589FE"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Concept</w:t>
            </w:r>
          </w:p>
        </w:tc>
        <w:tc>
          <w:tcPr>
            <w:tcW w:w="7804" w:type="dxa"/>
            <w:shd w:val="clear" w:color="auto" w:fill="104F99"/>
            <w:vAlign w:val="center"/>
          </w:tcPr>
          <w:p w14:paraId="50FBD1E1"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ACHI code(s) with description</w:t>
            </w:r>
          </w:p>
        </w:tc>
      </w:tr>
      <w:tr w:rsidR="00F057B2" w:rsidRPr="00056D03" w14:paraId="32359BCB"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52FF40C8" w14:textId="77777777" w:rsidR="00F057B2" w:rsidRPr="00056D03" w:rsidRDefault="00F057B2" w:rsidP="009D68AE">
            <w:pPr>
              <w:spacing w:after="160"/>
              <w:rPr>
                <w:rFonts w:cs="Arial"/>
                <w:b w:val="0"/>
                <w:sz w:val="22"/>
                <w:szCs w:val="22"/>
              </w:rPr>
            </w:pPr>
            <w:r w:rsidRPr="00056D03">
              <w:rPr>
                <w:rFonts w:cs="Arial"/>
                <w:sz w:val="22"/>
                <w:szCs w:val="22"/>
              </w:rPr>
              <w:t>Peritonectomy</w:t>
            </w:r>
          </w:p>
        </w:tc>
        <w:tc>
          <w:tcPr>
            <w:tcW w:w="7804" w:type="dxa"/>
            <w:shd w:val="clear" w:color="auto" w:fill="auto"/>
            <w:vAlign w:val="center"/>
          </w:tcPr>
          <w:p w14:paraId="25651725"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056D03">
              <w:rPr>
                <w:rFonts w:cs="Arial"/>
                <w:sz w:val="22"/>
                <w:szCs w:val="22"/>
              </w:rPr>
              <w:t xml:space="preserve">96211-00 [989] </w:t>
            </w:r>
            <w:r w:rsidRPr="00056D03">
              <w:rPr>
                <w:rFonts w:cs="Arial"/>
                <w:i/>
                <w:sz w:val="22"/>
                <w:szCs w:val="22"/>
              </w:rPr>
              <w:t>Peritonectomy</w:t>
            </w:r>
          </w:p>
        </w:tc>
      </w:tr>
      <w:tr w:rsidR="00F057B2" w:rsidRPr="00056D03" w14:paraId="0F998CC8" w14:textId="77777777" w:rsidTr="00970318">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4DA67ACF" w14:textId="77777777" w:rsidR="00F057B2" w:rsidRPr="00056D03" w:rsidRDefault="00F057B2" w:rsidP="009D68AE">
            <w:pPr>
              <w:spacing w:after="160"/>
              <w:rPr>
                <w:rFonts w:cs="Arial"/>
                <w:sz w:val="22"/>
                <w:szCs w:val="22"/>
              </w:rPr>
            </w:pPr>
            <w:r w:rsidRPr="00056D03">
              <w:rPr>
                <w:rFonts w:cs="Arial"/>
                <w:sz w:val="22"/>
                <w:szCs w:val="22"/>
              </w:rPr>
              <w:t>Hyperthermic intraperitoneal chemotherapy (HIPEC) interventions</w:t>
            </w:r>
          </w:p>
        </w:tc>
        <w:tc>
          <w:tcPr>
            <w:tcW w:w="7804" w:type="dxa"/>
            <w:shd w:val="clear" w:color="auto" w:fill="auto"/>
            <w:vAlign w:val="center"/>
          </w:tcPr>
          <w:p w14:paraId="06C23CA8"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96201-00</w:t>
            </w:r>
            <w:r w:rsidRPr="00056D03">
              <w:rPr>
                <w:rFonts w:cs="Arial"/>
                <w:i/>
                <w:sz w:val="22"/>
                <w:szCs w:val="22"/>
              </w:rPr>
              <w:t xml:space="preserve"> </w:t>
            </w:r>
            <w:r w:rsidRPr="00056D03">
              <w:rPr>
                <w:rFonts w:cs="Arial"/>
                <w:sz w:val="22"/>
                <w:szCs w:val="22"/>
              </w:rPr>
              <w:t>[1920]</w:t>
            </w:r>
            <w:r w:rsidRPr="00056D03">
              <w:rPr>
                <w:rFonts w:cs="Arial"/>
                <w:i/>
                <w:sz w:val="22"/>
                <w:szCs w:val="22"/>
              </w:rPr>
              <w:t xml:space="preserve"> Intracavitary administration of pharmacological agent, antineoplastic agent</w:t>
            </w:r>
          </w:p>
          <w:p w14:paraId="649DAA42"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056D03">
              <w:rPr>
                <w:rFonts w:cs="Arial"/>
                <w:sz w:val="22"/>
                <w:szCs w:val="22"/>
              </w:rPr>
              <w:t xml:space="preserve">92178-00 [1880] </w:t>
            </w:r>
            <w:r w:rsidRPr="00056D03">
              <w:rPr>
                <w:rFonts w:cs="Arial"/>
                <w:i/>
                <w:sz w:val="22"/>
                <w:szCs w:val="22"/>
              </w:rPr>
              <w:t>Heat therapy</w:t>
            </w:r>
          </w:p>
        </w:tc>
      </w:tr>
    </w:tbl>
    <w:p w14:paraId="10BA903A" w14:textId="77777777" w:rsidR="00F057B2" w:rsidRPr="003556EC" w:rsidRDefault="00F057B2" w:rsidP="009D68AE">
      <w:pPr>
        <w:spacing w:before="120"/>
      </w:pPr>
      <w:r w:rsidRPr="007334D9">
        <w:rPr>
          <w:b/>
        </w:rPr>
        <w:t>Table A4</w:t>
      </w:r>
      <w:r>
        <w:t xml:space="preserve">: ACHI code references for Section 3.4 </w:t>
      </w:r>
      <w:r w:rsidRPr="00024CFC">
        <w:rPr>
          <w:i/>
        </w:rPr>
        <w:t>Nail and nail bed procedures for hand and foot</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14644A2A"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603BC40E"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Concept</w:t>
            </w:r>
          </w:p>
        </w:tc>
        <w:tc>
          <w:tcPr>
            <w:tcW w:w="7804" w:type="dxa"/>
            <w:shd w:val="clear" w:color="auto" w:fill="104F99"/>
            <w:vAlign w:val="center"/>
          </w:tcPr>
          <w:p w14:paraId="6FDD35C2"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ACHI code(s) with description</w:t>
            </w:r>
          </w:p>
        </w:tc>
      </w:tr>
      <w:tr w:rsidR="00F057B2" w:rsidRPr="00056D03" w14:paraId="76DCC9E3"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667DFC4E" w14:textId="77777777" w:rsidR="00F057B2" w:rsidRPr="00056D03" w:rsidRDefault="00F057B2" w:rsidP="009D68AE">
            <w:pPr>
              <w:spacing w:after="160"/>
              <w:rPr>
                <w:rFonts w:cs="Arial"/>
                <w:b w:val="0"/>
                <w:sz w:val="22"/>
                <w:szCs w:val="22"/>
              </w:rPr>
            </w:pPr>
            <w:r w:rsidRPr="00056D03">
              <w:rPr>
                <w:rFonts w:cs="Arial"/>
                <w:sz w:val="22"/>
                <w:szCs w:val="22"/>
              </w:rPr>
              <w:t>ACHI Eleventh Edition codes</w:t>
            </w:r>
          </w:p>
        </w:tc>
        <w:tc>
          <w:tcPr>
            <w:tcW w:w="7804" w:type="dxa"/>
            <w:shd w:val="clear" w:color="auto" w:fill="auto"/>
            <w:vAlign w:val="center"/>
          </w:tcPr>
          <w:p w14:paraId="0A452E61"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i/>
                <w:sz w:val="22"/>
                <w:szCs w:val="22"/>
              </w:rPr>
            </w:pPr>
            <w:r w:rsidRPr="00056D03">
              <w:rPr>
                <w:rFonts w:cs="Arial"/>
                <w:sz w:val="22"/>
                <w:szCs w:val="22"/>
              </w:rPr>
              <w:t xml:space="preserve">46486-00 [1636] </w:t>
            </w:r>
            <w:r w:rsidRPr="00056D03">
              <w:rPr>
                <w:rFonts w:cs="Arial"/>
                <w:i/>
                <w:sz w:val="22"/>
                <w:szCs w:val="22"/>
              </w:rPr>
              <w:t>Primary repair of nail or nail bed</w:t>
            </w:r>
          </w:p>
          <w:p w14:paraId="1B110440"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46489-00 [1636] </w:t>
            </w:r>
            <w:r w:rsidRPr="00056D03">
              <w:rPr>
                <w:rFonts w:cs="Arial"/>
                <w:i/>
                <w:sz w:val="22"/>
                <w:szCs w:val="22"/>
              </w:rPr>
              <w:t>Secondary repair of nail or nail bed</w:t>
            </w:r>
          </w:p>
        </w:tc>
      </w:tr>
      <w:tr w:rsidR="00F057B2" w:rsidRPr="00056D03" w14:paraId="1AB256AA" w14:textId="77777777" w:rsidTr="00970318">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0F3A03FA" w14:textId="77777777" w:rsidR="00F057B2" w:rsidRPr="00056D03" w:rsidRDefault="00F057B2" w:rsidP="009D68AE">
            <w:pPr>
              <w:spacing w:after="160"/>
              <w:rPr>
                <w:rFonts w:cs="Arial"/>
                <w:sz w:val="22"/>
                <w:szCs w:val="22"/>
              </w:rPr>
            </w:pPr>
            <w:r w:rsidRPr="00056D03">
              <w:rPr>
                <w:rFonts w:cs="Arial"/>
                <w:sz w:val="22"/>
                <w:szCs w:val="22"/>
              </w:rPr>
              <w:t>ACHI Twelfth Edition codes with additional anatomy specified</w:t>
            </w:r>
          </w:p>
        </w:tc>
        <w:tc>
          <w:tcPr>
            <w:tcW w:w="7804" w:type="dxa"/>
            <w:shd w:val="clear" w:color="auto" w:fill="auto"/>
            <w:vAlign w:val="center"/>
          </w:tcPr>
          <w:p w14:paraId="3FB740B2"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46486-01 [1636] </w:t>
            </w:r>
            <w:r w:rsidRPr="00056D03">
              <w:rPr>
                <w:rFonts w:cs="Arial"/>
                <w:i/>
                <w:sz w:val="22"/>
                <w:szCs w:val="22"/>
              </w:rPr>
              <w:t xml:space="preserve">Primary repair of </w:t>
            </w:r>
            <w:r w:rsidRPr="00056D03">
              <w:rPr>
                <w:rFonts w:cs="Arial"/>
                <w:bCs/>
                <w:i/>
                <w:sz w:val="22"/>
                <w:szCs w:val="22"/>
              </w:rPr>
              <w:t xml:space="preserve">fingernail </w:t>
            </w:r>
          </w:p>
          <w:p w14:paraId="7439D350"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46489-01 [1636] </w:t>
            </w:r>
            <w:r w:rsidRPr="00056D03">
              <w:rPr>
                <w:rFonts w:cs="Arial"/>
                <w:i/>
                <w:sz w:val="22"/>
                <w:szCs w:val="22"/>
              </w:rPr>
              <w:t xml:space="preserve">Secondary repair of </w:t>
            </w:r>
            <w:r w:rsidRPr="00056D03">
              <w:rPr>
                <w:rFonts w:cs="Arial"/>
                <w:bCs/>
                <w:i/>
                <w:sz w:val="22"/>
                <w:szCs w:val="22"/>
              </w:rPr>
              <w:t xml:space="preserve">fingernail </w:t>
            </w:r>
          </w:p>
          <w:p w14:paraId="696C9E6B"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46486-02 [1636] </w:t>
            </w:r>
            <w:r w:rsidRPr="00056D03">
              <w:rPr>
                <w:rFonts w:cs="Arial"/>
                <w:i/>
                <w:sz w:val="22"/>
                <w:szCs w:val="22"/>
              </w:rPr>
              <w:t xml:space="preserve">Primary repair of toenail </w:t>
            </w:r>
          </w:p>
          <w:p w14:paraId="0706608B"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056D03">
              <w:rPr>
                <w:rFonts w:cs="Arial"/>
                <w:sz w:val="22"/>
                <w:szCs w:val="22"/>
              </w:rPr>
              <w:t xml:space="preserve">46489-02 [1636] </w:t>
            </w:r>
            <w:r w:rsidRPr="00056D03">
              <w:rPr>
                <w:rFonts w:cs="Arial"/>
                <w:i/>
                <w:sz w:val="22"/>
                <w:szCs w:val="22"/>
              </w:rPr>
              <w:t>Secondary repair of</w:t>
            </w:r>
            <w:r w:rsidRPr="00056D03">
              <w:rPr>
                <w:rFonts w:cs="Arial"/>
                <w:bCs/>
                <w:i/>
                <w:sz w:val="22"/>
                <w:szCs w:val="22"/>
              </w:rPr>
              <w:t xml:space="preserve"> toenail</w:t>
            </w:r>
            <w:r w:rsidRPr="00056D03">
              <w:rPr>
                <w:rFonts w:cs="Arial"/>
                <w:i/>
                <w:sz w:val="22"/>
                <w:szCs w:val="22"/>
              </w:rPr>
              <w:t xml:space="preserve"> </w:t>
            </w:r>
          </w:p>
        </w:tc>
      </w:tr>
    </w:tbl>
    <w:p w14:paraId="1F6F738C" w14:textId="77777777" w:rsidR="0082706D" w:rsidRDefault="0082706D" w:rsidP="0082706D">
      <w:pPr>
        <w:spacing w:before="120"/>
        <w:rPr>
          <w:b/>
        </w:rPr>
      </w:pPr>
    </w:p>
    <w:p w14:paraId="3CCB30CC" w14:textId="77777777" w:rsidR="0082706D" w:rsidRDefault="0082706D">
      <w:pPr>
        <w:spacing w:line="259" w:lineRule="auto"/>
        <w:rPr>
          <w:b/>
        </w:rPr>
      </w:pPr>
      <w:r>
        <w:rPr>
          <w:b/>
        </w:rPr>
        <w:br w:type="page"/>
      </w:r>
    </w:p>
    <w:p w14:paraId="46B38B01" w14:textId="11B08AD8" w:rsidR="00F057B2" w:rsidRPr="00024CFC" w:rsidRDefault="00F057B2" w:rsidP="009D68AE">
      <w:pPr>
        <w:spacing w:before="120"/>
      </w:pPr>
      <w:r w:rsidRPr="00024CFC">
        <w:rPr>
          <w:b/>
        </w:rPr>
        <w:lastRenderedPageBreak/>
        <w:t>Table A5:</w:t>
      </w:r>
      <w:r>
        <w:t xml:space="preserve"> ICD-10-AM code references for Section </w:t>
      </w:r>
      <w:r w:rsidRPr="00024CFC">
        <w:t>3.7.</w:t>
      </w:r>
      <w:r>
        <w:t>1</w:t>
      </w:r>
      <w:r w:rsidRPr="00024CFC">
        <w:t xml:space="preserve"> </w:t>
      </w:r>
      <w:r w:rsidRPr="00024CFC">
        <w:rPr>
          <w:i/>
        </w:rPr>
        <w:t>Diagnoses in-scope for receiving Diagnosis Complexity Level</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0C4E09D3"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70E877A2"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Concept</w:t>
            </w:r>
          </w:p>
        </w:tc>
        <w:tc>
          <w:tcPr>
            <w:tcW w:w="7804" w:type="dxa"/>
            <w:shd w:val="clear" w:color="auto" w:fill="104F99"/>
            <w:vAlign w:val="center"/>
          </w:tcPr>
          <w:p w14:paraId="21426CA0"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ICD-10-AM code(s) with description</w:t>
            </w:r>
          </w:p>
        </w:tc>
      </w:tr>
      <w:tr w:rsidR="00F057B2" w:rsidRPr="00056D03" w14:paraId="23759323"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28DB9302" w14:textId="77777777" w:rsidR="00F057B2" w:rsidRPr="00056D03" w:rsidRDefault="00F057B2" w:rsidP="009D68AE">
            <w:pPr>
              <w:spacing w:after="160"/>
              <w:rPr>
                <w:rFonts w:cs="Arial"/>
                <w:b w:val="0"/>
                <w:sz w:val="22"/>
                <w:szCs w:val="22"/>
              </w:rPr>
            </w:pPr>
            <w:r w:rsidRPr="00056D03">
              <w:rPr>
                <w:rFonts w:cs="Arial"/>
                <w:sz w:val="22"/>
                <w:szCs w:val="22"/>
              </w:rPr>
              <w:t>Codes newly excluded from AR-DRG V11.0 complexity model</w:t>
            </w:r>
          </w:p>
        </w:tc>
        <w:tc>
          <w:tcPr>
            <w:tcW w:w="7804" w:type="dxa"/>
            <w:shd w:val="clear" w:color="auto" w:fill="auto"/>
            <w:vAlign w:val="center"/>
          </w:tcPr>
          <w:p w14:paraId="0AA385C7"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D89.82 </w:t>
            </w:r>
            <w:r w:rsidRPr="00056D03">
              <w:rPr>
                <w:rFonts w:cs="Arial"/>
                <w:i/>
                <w:sz w:val="22"/>
                <w:szCs w:val="22"/>
              </w:rPr>
              <w:t>Immunocompromised status</w:t>
            </w:r>
          </w:p>
          <w:p w14:paraId="3E4FD2CC"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D89.89 </w:t>
            </w:r>
            <w:r w:rsidRPr="00056D03">
              <w:rPr>
                <w:rFonts w:cs="Arial"/>
                <w:i/>
                <w:color w:val="000000"/>
                <w:sz w:val="22"/>
                <w:szCs w:val="22"/>
              </w:rPr>
              <w:t>Other specified disorders involving the immune mechanism, not elsewhere classified</w:t>
            </w:r>
          </w:p>
          <w:p w14:paraId="1756BC18"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E53.8 </w:t>
            </w:r>
            <w:r w:rsidRPr="00056D03">
              <w:rPr>
                <w:rFonts w:cs="Arial"/>
                <w:i/>
                <w:color w:val="000000"/>
                <w:sz w:val="22"/>
                <w:szCs w:val="22"/>
              </w:rPr>
              <w:t>Deficiency of other specified B group vitamins</w:t>
            </w:r>
          </w:p>
          <w:p w14:paraId="757AB257"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E61.1 </w:t>
            </w:r>
            <w:r w:rsidRPr="00056D03">
              <w:rPr>
                <w:rFonts w:cs="Arial"/>
                <w:i/>
                <w:color w:val="000000"/>
                <w:sz w:val="22"/>
                <w:szCs w:val="22"/>
              </w:rPr>
              <w:t>Iron deficiency</w:t>
            </w:r>
          </w:p>
          <w:p w14:paraId="7F18BAB3"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M62.50 </w:t>
            </w:r>
            <w:r w:rsidRPr="00056D03">
              <w:rPr>
                <w:rFonts w:cs="Arial"/>
                <w:i/>
                <w:color w:val="000000"/>
                <w:sz w:val="22"/>
                <w:szCs w:val="22"/>
              </w:rPr>
              <w:t>Muscle wasting and atrophy, not elsewhere classified, multiple sites</w:t>
            </w:r>
          </w:p>
          <w:p w14:paraId="72BF520C"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sz w:val="22"/>
                <w:szCs w:val="22"/>
              </w:rPr>
            </w:pPr>
            <w:r w:rsidRPr="00056D03">
              <w:rPr>
                <w:rFonts w:cs="Arial"/>
                <w:sz w:val="22"/>
                <w:szCs w:val="22"/>
              </w:rPr>
              <w:t xml:space="preserve">Z14–Z16 </w:t>
            </w:r>
            <w:r w:rsidRPr="00056D03">
              <w:rPr>
                <w:rFonts w:cs="Arial"/>
                <w:i/>
                <w:color w:val="000000"/>
                <w:sz w:val="22"/>
                <w:szCs w:val="22"/>
              </w:rPr>
              <w:t>Resistance to antimicrobial drugs</w:t>
            </w:r>
          </w:p>
          <w:p w14:paraId="30BB7B4A"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056D03">
              <w:rPr>
                <w:rFonts w:cs="Arial"/>
                <w:sz w:val="22"/>
                <w:szCs w:val="22"/>
              </w:rPr>
              <w:t xml:space="preserve">U93 </w:t>
            </w:r>
            <w:r w:rsidRPr="00056D03">
              <w:rPr>
                <w:rFonts w:cs="Arial"/>
                <w:i/>
                <w:color w:val="000000"/>
                <w:sz w:val="22"/>
                <w:szCs w:val="22"/>
              </w:rPr>
              <w:t>Extended spectrum beta-lactamase [ESBL] producing organism</w:t>
            </w:r>
          </w:p>
        </w:tc>
      </w:tr>
      <w:tr w:rsidR="00F057B2" w:rsidRPr="00056D03" w14:paraId="47279175" w14:textId="77777777" w:rsidTr="00970318">
        <w:trPr>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709A639A" w14:textId="77777777" w:rsidR="00F057B2" w:rsidRPr="00056D03" w:rsidRDefault="00F057B2" w:rsidP="009D68AE">
            <w:pPr>
              <w:spacing w:after="160"/>
              <w:rPr>
                <w:rFonts w:cs="Arial"/>
                <w:sz w:val="22"/>
                <w:szCs w:val="22"/>
              </w:rPr>
            </w:pPr>
            <w:r w:rsidRPr="00056D03">
              <w:rPr>
                <w:rFonts w:cs="Arial"/>
                <w:sz w:val="22"/>
                <w:szCs w:val="22"/>
              </w:rPr>
              <w:t>ICD-10-AM Twelfth Edition COVID-19 emergency use codes included in the AR-DRG V11.0 complexity model:</w:t>
            </w:r>
          </w:p>
        </w:tc>
        <w:tc>
          <w:tcPr>
            <w:tcW w:w="7804" w:type="dxa"/>
            <w:shd w:val="clear" w:color="auto" w:fill="auto"/>
            <w:vAlign w:val="center"/>
          </w:tcPr>
          <w:p w14:paraId="6DEC0C7E"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U07.11 </w:t>
            </w:r>
            <w:r w:rsidRPr="00056D03">
              <w:rPr>
                <w:rFonts w:cs="Arial"/>
                <w:i/>
                <w:sz w:val="22"/>
                <w:szCs w:val="22"/>
              </w:rPr>
              <w:t>Coronavirus disease 2019 [COVID-19], virus identified, asymptomatic</w:t>
            </w:r>
          </w:p>
          <w:p w14:paraId="13A8403A"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U07.12 </w:t>
            </w:r>
            <w:r w:rsidRPr="00056D03">
              <w:rPr>
                <w:rFonts w:cs="Arial"/>
                <w:i/>
                <w:sz w:val="22"/>
                <w:szCs w:val="22"/>
              </w:rPr>
              <w:t>Coronavirus disease 2019 [COVID-19], virus identified, symptomatic</w:t>
            </w:r>
          </w:p>
          <w:p w14:paraId="38B4ADB0"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sz w:val="22"/>
                <w:szCs w:val="22"/>
              </w:rPr>
            </w:pPr>
            <w:r w:rsidRPr="00056D03">
              <w:rPr>
                <w:rFonts w:cs="Arial"/>
                <w:sz w:val="22"/>
                <w:szCs w:val="22"/>
              </w:rPr>
              <w:t xml:space="preserve">U07.2 </w:t>
            </w:r>
            <w:r w:rsidRPr="00056D03">
              <w:rPr>
                <w:rFonts w:cs="Arial"/>
                <w:i/>
                <w:sz w:val="22"/>
                <w:szCs w:val="22"/>
              </w:rPr>
              <w:t>Coronavirus disease 2019 [COVID-19], virus not identified</w:t>
            </w:r>
          </w:p>
          <w:p w14:paraId="067810C2" w14:textId="77777777" w:rsidR="00F057B2" w:rsidRPr="00056D03" w:rsidRDefault="00F057B2" w:rsidP="009D68AE">
            <w:pPr>
              <w:spacing w:after="160"/>
              <w:cnfStyle w:val="000000000000" w:firstRow="0" w:lastRow="0" w:firstColumn="0" w:lastColumn="0" w:oddVBand="0" w:evenVBand="0" w:oddHBand="0" w:evenHBand="0" w:firstRowFirstColumn="0" w:firstRowLastColumn="0" w:lastRowFirstColumn="0" w:lastRowLastColumn="0"/>
              <w:rPr>
                <w:rFonts w:cs="Arial"/>
                <w:i/>
                <w:sz w:val="22"/>
                <w:szCs w:val="22"/>
              </w:rPr>
            </w:pPr>
            <w:r w:rsidRPr="00056D03">
              <w:rPr>
                <w:rFonts w:cs="Arial"/>
                <w:sz w:val="22"/>
                <w:szCs w:val="22"/>
              </w:rPr>
              <w:t xml:space="preserve">U07.5 </w:t>
            </w:r>
            <w:r w:rsidRPr="00056D03">
              <w:rPr>
                <w:rFonts w:cs="Arial"/>
                <w:i/>
                <w:sz w:val="22"/>
                <w:szCs w:val="22"/>
              </w:rPr>
              <w:t>Multisystem inflammatory syndrome associated with COVID-19</w:t>
            </w:r>
          </w:p>
        </w:tc>
      </w:tr>
    </w:tbl>
    <w:p w14:paraId="54040B12" w14:textId="77777777" w:rsidR="00F057B2" w:rsidRPr="003556EC" w:rsidRDefault="00F057B2" w:rsidP="009D68AE">
      <w:pPr>
        <w:spacing w:before="120"/>
      </w:pPr>
      <w:r w:rsidRPr="00024CFC">
        <w:rPr>
          <w:b/>
        </w:rPr>
        <w:t>Table A6</w:t>
      </w:r>
      <w:r>
        <w:t xml:space="preserve">: ACHI code references for Section </w:t>
      </w:r>
      <w:r w:rsidRPr="00024CFC">
        <w:t>3.</w:t>
      </w:r>
      <w:r>
        <w:t>9</w:t>
      </w:r>
      <w:r w:rsidRPr="00024CFC">
        <w:t xml:space="preserve">.1 </w:t>
      </w:r>
      <w:r w:rsidRPr="00024CFC">
        <w:rPr>
          <w:i/>
        </w:rPr>
        <w:t>Neurostimulators</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056D03" w14:paraId="2FC86CC3"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3A299C03" w14:textId="77777777" w:rsidR="00F057B2" w:rsidRPr="00056D03" w:rsidRDefault="00F057B2" w:rsidP="009D68AE">
            <w:pPr>
              <w:spacing w:after="160"/>
              <w:rPr>
                <w:rFonts w:cs="Arial"/>
                <w:color w:val="FFFFFF" w:themeColor="accent6"/>
                <w:sz w:val="22"/>
                <w:szCs w:val="22"/>
              </w:rPr>
            </w:pPr>
            <w:r w:rsidRPr="00056D03">
              <w:rPr>
                <w:rFonts w:cs="Arial"/>
                <w:color w:val="FFFFFF" w:themeColor="accent6"/>
                <w:sz w:val="22"/>
                <w:szCs w:val="22"/>
              </w:rPr>
              <w:t>Concept</w:t>
            </w:r>
          </w:p>
        </w:tc>
        <w:tc>
          <w:tcPr>
            <w:tcW w:w="7804" w:type="dxa"/>
            <w:shd w:val="clear" w:color="auto" w:fill="104F99"/>
            <w:vAlign w:val="center"/>
          </w:tcPr>
          <w:p w14:paraId="6952FD33" w14:textId="77777777" w:rsidR="00F057B2" w:rsidRPr="00056D03"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056D03">
              <w:rPr>
                <w:rFonts w:cs="Arial"/>
                <w:color w:val="FFFFFF" w:themeColor="accent6"/>
                <w:sz w:val="22"/>
                <w:szCs w:val="22"/>
              </w:rPr>
              <w:t>ACHI code(s) with description</w:t>
            </w:r>
          </w:p>
        </w:tc>
      </w:tr>
      <w:tr w:rsidR="00F057B2" w:rsidRPr="00056D03" w14:paraId="5DC93F09"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7014982" w14:textId="77777777" w:rsidR="00F057B2" w:rsidRPr="00056D03" w:rsidRDefault="00F057B2" w:rsidP="009D68AE">
            <w:pPr>
              <w:spacing w:after="160"/>
              <w:rPr>
                <w:rFonts w:cs="Arial"/>
                <w:b w:val="0"/>
                <w:sz w:val="22"/>
                <w:szCs w:val="22"/>
              </w:rPr>
            </w:pPr>
            <w:r w:rsidRPr="00056D03">
              <w:rPr>
                <w:rFonts w:cs="Arial"/>
                <w:sz w:val="22"/>
                <w:szCs w:val="22"/>
              </w:rPr>
              <w:t>Neurostimulator insertion</w:t>
            </w:r>
          </w:p>
        </w:tc>
        <w:tc>
          <w:tcPr>
            <w:tcW w:w="7804" w:type="dxa"/>
            <w:shd w:val="clear" w:color="auto" w:fill="auto"/>
            <w:vAlign w:val="center"/>
          </w:tcPr>
          <w:p w14:paraId="476DE3CE" w14:textId="77777777" w:rsidR="00F057B2" w:rsidRPr="00056D03" w:rsidRDefault="00F057B2" w:rsidP="009D68AE">
            <w:pPr>
              <w:spacing w:after="160"/>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056D03">
              <w:rPr>
                <w:rFonts w:cs="Arial"/>
                <w:sz w:val="22"/>
                <w:szCs w:val="22"/>
              </w:rPr>
              <w:t xml:space="preserve">39134-01 [1604] </w:t>
            </w:r>
            <w:r w:rsidRPr="00056D03">
              <w:rPr>
                <w:rFonts w:cs="Arial"/>
                <w:i/>
                <w:sz w:val="22"/>
                <w:szCs w:val="22"/>
              </w:rPr>
              <w:t>Insertion of subcutaneously implanted neurostimulator</w:t>
            </w:r>
          </w:p>
        </w:tc>
      </w:tr>
    </w:tbl>
    <w:p w14:paraId="0C841703" w14:textId="77777777" w:rsidR="00F057B2" w:rsidRPr="003556EC" w:rsidRDefault="00F057B2" w:rsidP="009D68AE">
      <w:pPr>
        <w:spacing w:before="120"/>
      </w:pPr>
      <w:r w:rsidRPr="00024CFC">
        <w:rPr>
          <w:b/>
        </w:rPr>
        <w:t>Table A7</w:t>
      </w:r>
      <w:r>
        <w:t xml:space="preserve">: ICD-10-AM code references for Section </w:t>
      </w:r>
      <w:r w:rsidRPr="00024CFC">
        <w:t>3.</w:t>
      </w:r>
      <w:r>
        <w:t>9</w:t>
      </w:r>
      <w:r w:rsidRPr="00024CFC">
        <w:t>.</w:t>
      </w:r>
      <w:r>
        <w:t>2</w:t>
      </w:r>
      <w:r w:rsidRPr="00024CFC">
        <w:t xml:space="preserve"> </w:t>
      </w:r>
      <w:r>
        <w:rPr>
          <w:i/>
        </w:rPr>
        <w:t>Socioeconomic factors</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970318" w14:paraId="76AF4C94"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4273804B" w14:textId="77777777" w:rsidR="00F057B2" w:rsidRPr="00970318" w:rsidRDefault="00F057B2" w:rsidP="009D68AE">
            <w:pPr>
              <w:spacing w:after="160"/>
              <w:rPr>
                <w:rFonts w:cs="Arial"/>
                <w:color w:val="FFFFFF" w:themeColor="accent6"/>
                <w:sz w:val="22"/>
                <w:szCs w:val="22"/>
              </w:rPr>
            </w:pPr>
            <w:r w:rsidRPr="00970318">
              <w:rPr>
                <w:rFonts w:cs="Arial"/>
                <w:color w:val="FFFFFF" w:themeColor="accent6"/>
                <w:sz w:val="22"/>
                <w:szCs w:val="22"/>
              </w:rPr>
              <w:t>Concept</w:t>
            </w:r>
          </w:p>
        </w:tc>
        <w:tc>
          <w:tcPr>
            <w:tcW w:w="7804" w:type="dxa"/>
            <w:shd w:val="clear" w:color="auto" w:fill="104F99"/>
            <w:vAlign w:val="center"/>
          </w:tcPr>
          <w:p w14:paraId="640D8B8B" w14:textId="77777777" w:rsidR="00F057B2" w:rsidRPr="00970318"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970318">
              <w:rPr>
                <w:rFonts w:cs="Arial"/>
                <w:color w:val="FFFFFF" w:themeColor="accent6"/>
                <w:sz w:val="22"/>
                <w:szCs w:val="22"/>
              </w:rPr>
              <w:t>ICD-10-AM code(s) with description</w:t>
            </w:r>
          </w:p>
        </w:tc>
      </w:tr>
      <w:tr w:rsidR="00F057B2" w:rsidRPr="00970318" w14:paraId="70AAFB06"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3E19B7FC" w14:textId="77777777" w:rsidR="00F057B2" w:rsidRPr="00970318" w:rsidRDefault="00F057B2" w:rsidP="009D68AE">
            <w:pPr>
              <w:spacing w:after="160"/>
              <w:rPr>
                <w:rFonts w:cs="Arial"/>
                <w:sz w:val="22"/>
                <w:szCs w:val="22"/>
              </w:rPr>
            </w:pPr>
            <w:r w:rsidRPr="00970318">
              <w:rPr>
                <w:rFonts w:cs="Arial"/>
                <w:sz w:val="22"/>
                <w:szCs w:val="22"/>
              </w:rPr>
              <w:t>Socioeconomic and psychosocial factors</w:t>
            </w:r>
          </w:p>
        </w:tc>
        <w:tc>
          <w:tcPr>
            <w:tcW w:w="7804" w:type="dxa"/>
            <w:shd w:val="clear" w:color="auto" w:fill="auto"/>
            <w:vAlign w:val="center"/>
          </w:tcPr>
          <w:p w14:paraId="7BB41FE0"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Z55</w:t>
            </w:r>
            <w:r w:rsidRPr="00970318">
              <w:rPr>
                <w:rFonts w:cs="Arial"/>
                <w:i/>
                <w:color w:val="000000"/>
                <w:sz w:val="22"/>
                <w:szCs w:val="22"/>
              </w:rPr>
              <w:tab/>
              <w:t>Problems related to education and literacy</w:t>
            </w:r>
          </w:p>
          <w:p w14:paraId="4837D2B4"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Z56</w:t>
            </w:r>
            <w:r w:rsidRPr="00970318">
              <w:rPr>
                <w:rFonts w:cs="Arial"/>
                <w:i/>
                <w:color w:val="000000"/>
                <w:sz w:val="22"/>
                <w:szCs w:val="22"/>
              </w:rPr>
              <w:tab/>
              <w:t>Problems related to employment and unemployment</w:t>
            </w:r>
          </w:p>
          <w:p w14:paraId="209B26D3"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Z57</w:t>
            </w:r>
            <w:r w:rsidRPr="00970318">
              <w:rPr>
                <w:rFonts w:cs="Arial"/>
                <w:i/>
                <w:color w:val="000000"/>
                <w:sz w:val="22"/>
                <w:szCs w:val="22"/>
              </w:rPr>
              <w:tab/>
              <w:t>Occupational exposure to risk-factors</w:t>
            </w:r>
          </w:p>
          <w:p w14:paraId="7B2D218C"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Z58</w:t>
            </w:r>
            <w:r w:rsidRPr="00970318">
              <w:rPr>
                <w:rFonts w:cs="Arial"/>
                <w:i/>
                <w:color w:val="000000"/>
                <w:sz w:val="22"/>
                <w:szCs w:val="22"/>
              </w:rPr>
              <w:tab/>
              <w:t>Problems related to physical environment</w:t>
            </w:r>
          </w:p>
          <w:p w14:paraId="0D6D0135"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Z59</w:t>
            </w:r>
            <w:r w:rsidRPr="00970318">
              <w:rPr>
                <w:rFonts w:cs="Arial"/>
                <w:i/>
                <w:color w:val="000000"/>
                <w:sz w:val="22"/>
                <w:szCs w:val="22"/>
              </w:rPr>
              <w:tab/>
              <w:t>Problems related to housing and economic circumstances</w:t>
            </w:r>
          </w:p>
          <w:p w14:paraId="29D3FFC8"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Z60</w:t>
            </w:r>
            <w:r w:rsidRPr="00970318">
              <w:rPr>
                <w:rFonts w:cs="Arial"/>
                <w:i/>
                <w:color w:val="000000"/>
                <w:sz w:val="22"/>
                <w:szCs w:val="22"/>
              </w:rPr>
              <w:tab/>
              <w:t>Problems related to social environment</w:t>
            </w:r>
          </w:p>
          <w:p w14:paraId="450877F8"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Z61</w:t>
            </w:r>
            <w:r w:rsidRPr="00970318">
              <w:rPr>
                <w:rFonts w:cs="Arial"/>
                <w:i/>
                <w:color w:val="000000"/>
                <w:sz w:val="22"/>
                <w:szCs w:val="22"/>
              </w:rPr>
              <w:tab/>
              <w:t>Problems related to negative life events in childhood</w:t>
            </w:r>
          </w:p>
          <w:p w14:paraId="70EF368A"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lastRenderedPageBreak/>
              <w:t>Z62</w:t>
            </w:r>
            <w:r w:rsidRPr="00970318">
              <w:rPr>
                <w:rFonts w:cs="Arial"/>
                <w:i/>
                <w:color w:val="000000"/>
                <w:sz w:val="22"/>
                <w:szCs w:val="22"/>
              </w:rPr>
              <w:tab/>
              <w:t>Other problems related to upbringing</w:t>
            </w:r>
          </w:p>
          <w:p w14:paraId="240C36FC"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Z63</w:t>
            </w:r>
            <w:r w:rsidRPr="00970318">
              <w:rPr>
                <w:rFonts w:cs="Arial"/>
                <w:i/>
                <w:color w:val="000000"/>
                <w:sz w:val="22"/>
                <w:szCs w:val="22"/>
              </w:rPr>
              <w:tab/>
              <w:t>Other problems related to primary support group, including family circumstances</w:t>
            </w:r>
          </w:p>
          <w:p w14:paraId="03A615ED"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Z64</w:t>
            </w:r>
            <w:r w:rsidRPr="00970318">
              <w:rPr>
                <w:rFonts w:cs="Arial"/>
                <w:i/>
                <w:color w:val="000000"/>
                <w:sz w:val="22"/>
                <w:szCs w:val="22"/>
              </w:rPr>
              <w:tab/>
              <w:t>Problems related to certain psychosocial circumstances</w:t>
            </w:r>
          </w:p>
          <w:p w14:paraId="15A3D74D"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Z65</w:t>
            </w:r>
            <w:r w:rsidRPr="00970318">
              <w:rPr>
                <w:rFonts w:cs="Arial"/>
                <w:i/>
                <w:color w:val="000000"/>
                <w:sz w:val="22"/>
                <w:szCs w:val="22"/>
              </w:rPr>
              <w:tab/>
              <w:t>Problems related to other psychosocial circumstances</w:t>
            </w:r>
          </w:p>
          <w:p w14:paraId="49877346"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Z74</w:t>
            </w:r>
            <w:r w:rsidRPr="00970318">
              <w:rPr>
                <w:rFonts w:cs="Arial"/>
                <w:i/>
                <w:color w:val="000000"/>
                <w:sz w:val="22"/>
                <w:szCs w:val="22"/>
              </w:rPr>
              <w:tab/>
              <w:t>Problems related to care-provider dependency</w:t>
            </w:r>
          </w:p>
          <w:p w14:paraId="6C5E1726" w14:textId="77777777" w:rsidR="00F057B2" w:rsidRPr="00970318" w:rsidRDefault="00F057B2" w:rsidP="009D68AE">
            <w:pPr>
              <w:spacing w:after="160"/>
              <w:ind w:left="879" w:hanging="879"/>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Z76</w:t>
            </w:r>
            <w:r w:rsidRPr="00970318">
              <w:rPr>
                <w:rFonts w:cs="Arial"/>
                <w:i/>
                <w:color w:val="000000"/>
                <w:sz w:val="22"/>
                <w:szCs w:val="22"/>
              </w:rPr>
              <w:tab/>
              <w:t>Persons encountering health services in other circumstances</w:t>
            </w:r>
          </w:p>
        </w:tc>
      </w:tr>
    </w:tbl>
    <w:p w14:paraId="531225BC" w14:textId="77777777" w:rsidR="00F057B2" w:rsidRPr="003556EC" w:rsidRDefault="00F057B2" w:rsidP="009D68AE">
      <w:pPr>
        <w:spacing w:before="120"/>
      </w:pPr>
      <w:r w:rsidRPr="00024CFC">
        <w:rPr>
          <w:b/>
        </w:rPr>
        <w:lastRenderedPageBreak/>
        <w:t>Table A</w:t>
      </w:r>
      <w:r>
        <w:rPr>
          <w:b/>
        </w:rPr>
        <w:t>8</w:t>
      </w:r>
      <w:r>
        <w:t xml:space="preserve">: ICD-10-AM code references for Section </w:t>
      </w:r>
      <w:r w:rsidRPr="00024CFC">
        <w:t>3.</w:t>
      </w:r>
      <w:r>
        <w:t>9</w:t>
      </w:r>
      <w:r w:rsidRPr="00024CFC">
        <w:t>.</w:t>
      </w:r>
      <w:r>
        <w:t>3</w:t>
      </w:r>
      <w:r w:rsidRPr="00024CFC">
        <w:t xml:space="preserve"> </w:t>
      </w:r>
      <w:r>
        <w:rPr>
          <w:i/>
        </w:rPr>
        <w:t>Traumatic spinal cord injury</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970318" w14:paraId="4942B694"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7A3E8D03" w14:textId="77777777" w:rsidR="00F057B2" w:rsidRPr="00970318" w:rsidRDefault="00F057B2" w:rsidP="009D68AE">
            <w:pPr>
              <w:spacing w:after="160"/>
              <w:rPr>
                <w:rFonts w:cs="Arial"/>
                <w:color w:val="FFFFFF" w:themeColor="accent6"/>
                <w:sz w:val="22"/>
                <w:szCs w:val="22"/>
              </w:rPr>
            </w:pPr>
            <w:r w:rsidRPr="00970318">
              <w:rPr>
                <w:rFonts w:cs="Arial"/>
                <w:color w:val="FFFFFF" w:themeColor="accent6"/>
                <w:sz w:val="22"/>
                <w:szCs w:val="22"/>
              </w:rPr>
              <w:t>Concept</w:t>
            </w:r>
          </w:p>
        </w:tc>
        <w:tc>
          <w:tcPr>
            <w:tcW w:w="7804" w:type="dxa"/>
            <w:shd w:val="clear" w:color="auto" w:fill="104F99"/>
            <w:vAlign w:val="center"/>
          </w:tcPr>
          <w:p w14:paraId="4CB4A5A0" w14:textId="77777777" w:rsidR="00F057B2" w:rsidRPr="00970318"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970318">
              <w:rPr>
                <w:rFonts w:cs="Arial"/>
                <w:color w:val="FFFFFF" w:themeColor="accent6"/>
                <w:sz w:val="22"/>
                <w:szCs w:val="22"/>
              </w:rPr>
              <w:t>ICD-10-AM code(s) with description</w:t>
            </w:r>
          </w:p>
        </w:tc>
      </w:tr>
      <w:tr w:rsidR="00F057B2" w:rsidRPr="00970318" w14:paraId="2DB5BDEE"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1F63223C" w14:textId="77777777" w:rsidR="00F057B2" w:rsidRPr="00970318" w:rsidRDefault="00F057B2" w:rsidP="009D68AE">
            <w:pPr>
              <w:spacing w:after="160"/>
              <w:rPr>
                <w:rFonts w:cs="Arial"/>
                <w:sz w:val="22"/>
                <w:szCs w:val="22"/>
              </w:rPr>
            </w:pPr>
            <w:r w:rsidRPr="00970318">
              <w:rPr>
                <w:rFonts w:cs="Arial"/>
                <w:sz w:val="22"/>
                <w:szCs w:val="22"/>
              </w:rPr>
              <w:t>Traumatic spinal cord injuries</w:t>
            </w:r>
          </w:p>
        </w:tc>
        <w:tc>
          <w:tcPr>
            <w:tcW w:w="7804" w:type="dxa"/>
            <w:shd w:val="clear" w:color="auto" w:fill="auto"/>
            <w:vAlign w:val="center"/>
          </w:tcPr>
          <w:p w14:paraId="392522CD"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S14.0</w:t>
            </w:r>
            <w:r w:rsidRPr="00970318">
              <w:rPr>
                <w:rFonts w:cs="Arial"/>
                <w:i/>
                <w:color w:val="000000"/>
                <w:sz w:val="22"/>
                <w:szCs w:val="22"/>
              </w:rPr>
              <w:tab/>
              <w:t>Concussion and oedema of cervical spinal cord</w:t>
            </w:r>
          </w:p>
          <w:p w14:paraId="60B4E57E"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S14.10</w:t>
            </w:r>
            <w:r w:rsidRPr="00970318">
              <w:rPr>
                <w:rFonts w:cs="Arial"/>
                <w:i/>
                <w:color w:val="000000"/>
                <w:sz w:val="22"/>
                <w:szCs w:val="22"/>
              </w:rPr>
              <w:tab/>
              <w:t>Injury of cervical spinal cord, unspecified</w:t>
            </w:r>
          </w:p>
          <w:p w14:paraId="16D4F681"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S14.11</w:t>
            </w:r>
            <w:r w:rsidRPr="00970318">
              <w:rPr>
                <w:rFonts w:cs="Arial"/>
                <w:i/>
                <w:color w:val="000000"/>
                <w:sz w:val="22"/>
                <w:szCs w:val="22"/>
              </w:rPr>
              <w:tab/>
              <w:t>Complete lesion of cervical spinal cord</w:t>
            </w:r>
          </w:p>
          <w:p w14:paraId="030183A4"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S14.12</w:t>
            </w:r>
            <w:r w:rsidRPr="00970318">
              <w:rPr>
                <w:rFonts w:cs="Arial"/>
                <w:i/>
                <w:color w:val="000000"/>
                <w:sz w:val="22"/>
                <w:szCs w:val="22"/>
              </w:rPr>
              <w:tab/>
              <w:t>Central cord syndrome (incomplete cord injury) of cervical spinal cord</w:t>
            </w:r>
          </w:p>
          <w:p w14:paraId="6C23D6B5"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S14.13</w:t>
            </w:r>
            <w:r w:rsidRPr="00970318">
              <w:rPr>
                <w:rFonts w:cs="Arial"/>
                <w:i/>
                <w:color w:val="000000"/>
                <w:sz w:val="22"/>
                <w:szCs w:val="22"/>
              </w:rPr>
              <w:tab/>
              <w:t>Other incomplete cord syndrome of cervical spinal cord</w:t>
            </w:r>
          </w:p>
          <w:p w14:paraId="35F0DD6F"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S14.70</w:t>
            </w:r>
            <w:r w:rsidRPr="00970318">
              <w:rPr>
                <w:rFonts w:cs="Arial"/>
                <w:i/>
                <w:color w:val="000000"/>
                <w:sz w:val="22"/>
                <w:szCs w:val="22"/>
              </w:rPr>
              <w:tab/>
              <w:t>Functional spinal cord injury, cervical level unspecified</w:t>
            </w:r>
          </w:p>
          <w:p w14:paraId="746BC9A8"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S14.71</w:t>
            </w:r>
            <w:r w:rsidRPr="00970318">
              <w:rPr>
                <w:rFonts w:cs="Arial"/>
                <w:i/>
                <w:color w:val="000000"/>
                <w:sz w:val="22"/>
                <w:szCs w:val="22"/>
              </w:rPr>
              <w:tab/>
              <w:t>Functional spinal cord injury, C1</w:t>
            </w:r>
          </w:p>
          <w:p w14:paraId="6624262B"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S14.72</w:t>
            </w:r>
            <w:r w:rsidRPr="00970318">
              <w:rPr>
                <w:rFonts w:cs="Arial"/>
                <w:i/>
                <w:color w:val="000000"/>
                <w:sz w:val="22"/>
                <w:szCs w:val="22"/>
              </w:rPr>
              <w:tab/>
              <w:t>Functional spinal cord injury, C2</w:t>
            </w:r>
          </w:p>
          <w:p w14:paraId="13D92E71"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S14.73</w:t>
            </w:r>
            <w:r w:rsidRPr="00970318">
              <w:rPr>
                <w:rFonts w:cs="Arial"/>
                <w:i/>
                <w:color w:val="000000"/>
                <w:sz w:val="22"/>
                <w:szCs w:val="22"/>
              </w:rPr>
              <w:tab/>
              <w:t>Functional spinal cord injury, C3</w:t>
            </w:r>
          </w:p>
          <w:p w14:paraId="0DD77155"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S14.74</w:t>
            </w:r>
            <w:r w:rsidRPr="00970318">
              <w:rPr>
                <w:rFonts w:cs="Arial"/>
                <w:i/>
                <w:color w:val="000000"/>
                <w:sz w:val="22"/>
                <w:szCs w:val="22"/>
              </w:rPr>
              <w:tab/>
              <w:t>Functional spinal cord injury, C4</w:t>
            </w:r>
          </w:p>
          <w:p w14:paraId="1D2379E9"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S14.75</w:t>
            </w:r>
            <w:r w:rsidRPr="00970318">
              <w:rPr>
                <w:rFonts w:cs="Arial"/>
                <w:i/>
                <w:color w:val="000000"/>
                <w:sz w:val="22"/>
                <w:szCs w:val="22"/>
              </w:rPr>
              <w:tab/>
              <w:t>Functional spinal cord injury, C5</w:t>
            </w:r>
          </w:p>
          <w:p w14:paraId="7508A3AD"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S14.76</w:t>
            </w:r>
            <w:r w:rsidRPr="00970318">
              <w:rPr>
                <w:rFonts w:cs="Arial"/>
                <w:i/>
                <w:color w:val="000000"/>
                <w:sz w:val="22"/>
                <w:szCs w:val="22"/>
              </w:rPr>
              <w:tab/>
              <w:t>Functional spinal cord injury, C6</w:t>
            </w:r>
          </w:p>
          <w:p w14:paraId="677C215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S14.77</w:t>
            </w:r>
            <w:r w:rsidRPr="00970318">
              <w:rPr>
                <w:rFonts w:cs="Arial"/>
                <w:i/>
                <w:color w:val="000000"/>
                <w:sz w:val="22"/>
                <w:szCs w:val="22"/>
              </w:rPr>
              <w:tab/>
              <w:t>Functional spinal cord injury, C7</w:t>
            </w:r>
          </w:p>
          <w:p w14:paraId="20185D21"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S14.78</w:t>
            </w:r>
            <w:r w:rsidRPr="00970318">
              <w:rPr>
                <w:rFonts w:cs="Arial"/>
                <w:i/>
                <w:color w:val="000000"/>
                <w:sz w:val="22"/>
                <w:szCs w:val="22"/>
              </w:rPr>
              <w:tab/>
              <w:t>Functional spinal cord injury, C8</w:t>
            </w:r>
          </w:p>
          <w:p w14:paraId="61B96FE3"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S24.0</w:t>
            </w:r>
            <w:r w:rsidRPr="00970318">
              <w:rPr>
                <w:rFonts w:cs="Arial"/>
                <w:i/>
                <w:color w:val="000000"/>
                <w:sz w:val="22"/>
                <w:szCs w:val="22"/>
              </w:rPr>
              <w:tab/>
              <w:t>Concussion and oedema of thoracic spinal cord</w:t>
            </w:r>
          </w:p>
          <w:p w14:paraId="22063A73"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S24.10</w:t>
            </w:r>
            <w:r w:rsidRPr="00970318">
              <w:rPr>
                <w:rFonts w:cs="Arial"/>
                <w:i/>
                <w:color w:val="000000"/>
                <w:sz w:val="22"/>
                <w:szCs w:val="22"/>
              </w:rPr>
              <w:tab/>
              <w:t>Injury of thoracic spinal cord unspecified</w:t>
            </w:r>
          </w:p>
          <w:p w14:paraId="63FCFF3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S24.11</w:t>
            </w:r>
            <w:r w:rsidRPr="00970318">
              <w:rPr>
                <w:rFonts w:cs="Arial"/>
                <w:i/>
                <w:color w:val="000000"/>
                <w:sz w:val="22"/>
                <w:szCs w:val="22"/>
              </w:rPr>
              <w:tab/>
              <w:t>Complete lesion of thoracic spinal cord</w:t>
            </w:r>
          </w:p>
          <w:p w14:paraId="7BD84FC6"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S24.12</w:t>
            </w:r>
            <w:r w:rsidRPr="00970318">
              <w:rPr>
                <w:rFonts w:cs="Arial"/>
                <w:i/>
                <w:color w:val="000000"/>
                <w:sz w:val="22"/>
                <w:szCs w:val="22"/>
              </w:rPr>
              <w:tab/>
              <w:t>Incomplete cord syndrome of thoracic spinal cord</w:t>
            </w:r>
          </w:p>
          <w:p w14:paraId="34795ADD"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S24.70</w:t>
            </w:r>
            <w:r w:rsidRPr="00970318">
              <w:rPr>
                <w:rFonts w:cs="Arial"/>
                <w:i/>
                <w:color w:val="000000"/>
                <w:sz w:val="22"/>
                <w:szCs w:val="22"/>
              </w:rPr>
              <w:tab/>
              <w:t>Functional spinal cord injury, thoracic level unspecified</w:t>
            </w:r>
          </w:p>
          <w:p w14:paraId="2E9F948C"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lastRenderedPageBreak/>
              <w:t>S24.71</w:t>
            </w:r>
            <w:r w:rsidRPr="00970318">
              <w:rPr>
                <w:rFonts w:cs="Arial"/>
                <w:i/>
                <w:color w:val="000000"/>
                <w:sz w:val="22"/>
                <w:szCs w:val="22"/>
              </w:rPr>
              <w:tab/>
              <w:t>Functional spinal cord injury, T1</w:t>
            </w:r>
          </w:p>
          <w:p w14:paraId="3B12848B"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S24.72</w:t>
            </w:r>
            <w:r w:rsidRPr="00970318">
              <w:rPr>
                <w:rFonts w:cs="Arial"/>
                <w:i/>
                <w:color w:val="000000"/>
                <w:sz w:val="22"/>
                <w:szCs w:val="22"/>
              </w:rPr>
              <w:tab/>
              <w:t>Functional spinal cord injury, T2/T3</w:t>
            </w:r>
          </w:p>
          <w:p w14:paraId="50739F7D"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S24.73</w:t>
            </w:r>
            <w:r w:rsidRPr="00970318">
              <w:rPr>
                <w:rFonts w:cs="Arial"/>
                <w:i/>
                <w:color w:val="000000"/>
                <w:sz w:val="22"/>
                <w:szCs w:val="22"/>
              </w:rPr>
              <w:tab/>
              <w:t>Functional spinal cord injury, T4/T5</w:t>
            </w:r>
          </w:p>
          <w:p w14:paraId="7EBA53D3"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S24.74</w:t>
            </w:r>
            <w:r w:rsidRPr="00970318">
              <w:rPr>
                <w:rFonts w:cs="Arial"/>
                <w:i/>
                <w:color w:val="000000"/>
                <w:sz w:val="22"/>
                <w:szCs w:val="22"/>
              </w:rPr>
              <w:tab/>
              <w:t>Functional spinal cord injury, T6/T7</w:t>
            </w:r>
          </w:p>
          <w:p w14:paraId="4D2EC88D"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S24.75</w:t>
            </w:r>
            <w:r w:rsidRPr="00970318">
              <w:rPr>
                <w:rFonts w:cs="Arial"/>
                <w:i/>
                <w:color w:val="000000"/>
                <w:sz w:val="22"/>
                <w:szCs w:val="22"/>
              </w:rPr>
              <w:tab/>
              <w:t>Functional spinal cord injury, T8/T9</w:t>
            </w:r>
          </w:p>
          <w:p w14:paraId="16D0AFA7"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S24.76</w:t>
            </w:r>
            <w:r w:rsidRPr="00970318">
              <w:rPr>
                <w:rFonts w:cs="Arial"/>
                <w:i/>
                <w:color w:val="000000"/>
                <w:sz w:val="22"/>
                <w:szCs w:val="22"/>
              </w:rPr>
              <w:tab/>
              <w:t>Functional spinal cord injury, T10/T11</w:t>
            </w:r>
          </w:p>
          <w:p w14:paraId="5EEF58C2"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S24.77</w:t>
            </w:r>
            <w:r w:rsidRPr="00970318">
              <w:rPr>
                <w:rFonts w:cs="Arial"/>
                <w:i/>
                <w:color w:val="000000"/>
                <w:sz w:val="22"/>
                <w:szCs w:val="22"/>
              </w:rPr>
              <w:tab/>
              <w:t>Functional spinal cord injury, T12</w:t>
            </w:r>
          </w:p>
          <w:p w14:paraId="1F2CE212"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S34.0</w:t>
            </w:r>
            <w:r w:rsidRPr="00970318">
              <w:rPr>
                <w:rFonts w:cs="Arial"/>
                <w:i/>
                <w:color w:val="000000"/>
                <w:sz w:val="22"/>
                <w:szCs w:val="22"/>
              </w:rPr>
              <w:tab/>
              <w:t>Concussion and oedema of lumbar spinal cord [conus medullaris]</w:t>
            </w:r>
          </w:p>
          <w:p w14:paraId="17E98CFB"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S34.1</w:t>
            </w:r>
            <w:r w:rsidRPr="00970318">
              <w:rPr>
                <w:rFonts w:cs="Arial"/>
                <w:i/>
                <w:color w:val="000000"/>
                <w:sz w:val="22"/>
                <w:szCs w:val="22"/>
              </w:rPr>
              <w:tab/>
              <w:t>Other injury of lumbar spinal cord [conus medullaris]</w:t>
            </w:r>
          </w:p>
          <w:p w14:paraId="75D234C0"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S34.3</w:t>
            </w:r>
            <w:r w:rsidRPr="00970318">
              <w:rPr>
                <w:rFonts w:cs="Arial"/>
                <w:i/>
                <w:color w:val="000000"/>
                <w:sz w:val="22"/>
                <w:szCs w:val="22"/>
              </w:rPr>
              <w:tab/>
              <w:t>Injury of cauda equina</w:t>
            </w:r>
          </w:p>
          <w:p w14:paraId="1C3E931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S34.70</w:t>
            </w:r>
            <w:r w:rsidRPr="00970318">
              <w:rPr>
                <w:rFonts w:cs="Arial"/>
                <w:i/>
                <w:color w:val="000000"/>
                <w:sz w:val="22"/>
                <w:szCs w:val="22"/>
              </w:rPr>
              <w:tab/>
              <w:t>Functional spinal cord injury, lumbar level unspecified</w:t>
            </w:r>
          </w:p>
          <w:p w14:paraId="279E0EE9"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S34.71</w:t>
            </w:r>
            <w:r w:rsidRPr="00970318">
              <w:rPr>
                <w:rFonts w:cs="Arial"/>
                <w:i/>
                <w:color w:val="000000"/>
                <w:sz w:val="22"/>
                <w:szCs w:val="22"/>
              </w:rPr>
              <w:tab/>
              <w:t>Functional spinal cord injury, L1</w:t>
            </w:r>
          </w:p>
          <w:p w14:paraId="75AEB88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S34.72</w:t>
            </w:r>
            <w:r w:rsidRPr="00970318">
              <w:rPr>
                <w:rFonts w:cs="Arial"/>
                <w:i/>
                <w:color w:val="000000"/>
                <w:sz w:val="22"/>
                <w:szCs w:val="22"/>
              </w:rPr>
              <w:tab/>
              <w:t>Functional spinal cord injury, L2</w:t>
            </w:r>
          </w:p>
          <w:p w14:paraId="4AEA734E"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S34.73</w:t>
            </w:r>
            <w:r w:rsidRPr="00970318">
              <w:rPr>
                <w:rFonts w:cs="Arial"/>
                <w:i/>
                <w:color w:val="000000"/>
                <w:sz w:val="22"/>
                <w:szCs w:val="22"/>
              </w:rPr>
              <w:tab/>
              <w:t>Functional spinal cord injury, L3</w:t>
            </w:r>
          </w:p>
          <w:p w14:paraId="1F5643D7"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S34.74</w:t>
            </w:r>
            <w:r w:rsidRPr="00970318">
              <w:rPr>
                <w:rFonts w:cs="Arial"/>
                <w:i/>
                <w:color w:val="000000"/>
                <w:sz w:val="22"/>
                <w:szCs w:val="22"/>
              </w:rPr>
              <w:tab/>
              <w:t>Functional spinal cord injury, L4</w:t>
            </w:r>
          </w:p>
          <w:p w14:paraId="4B75540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S34.75</w:t>
            </w:r>
            <w:r w:rsidRPr="00970318">
              <w:rPr>
                <w:rFonts w:cs="Arial"/>
                <w:i/>
                <w:color w:val="000000"/>
                <w:sz w:val="22"/>
                <w:szCs w:val="22"/>
              </w:rPr>
              <w:tab/>
              <w:t>Functional spinal cord injury, L5</w:t>
            </w:r>
          </w:p>
          <w:p w14:paraId="6F25E1AA"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S34.76</w:t>
            </w:r>
            <w:r w:rsidRPr="00970318">
              <w:rPr>
                <w:rFonts w:cs="Arial"/>
                <w:i/>
                <w:color w:val="000000"/>
                <w:sz w:val="22"/>
                <w:szCs w:val="22"/>
              </w:rPr>
              <w:tab/>
              <w:t>Functional spinal cord injury, sacrum</w:t>
            </w:r>
          </w:p>
          <w:p w14:paraId="1B4F3564"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T06.0</w:t>
            </w:r>
            <w:r w:rsidRPr="00970318">
              <w:rPr>
                <w:rFonts w:cs="Arial"/>
                <w:i/>
                <w:color w:val="000000"/>
                <w:sz w:val="22"/>
                <w:szCs w:val="22"/>
              </w:rPr>
              <w:tab/>
              <w:t>Injuries of brain and cranial nerves with injuries of nerves and spinal cord at neck level</w:t>
            </w:r>
          </w:p>
          <w:p w14:paraId="48BFEFE8"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T06.1</w:t>
            </w:r>
            <w:r w:rsidRPr="00970318">
              <w:rPr>
                <w:rFonts w:cs="Arial"/>
                <w:i/>
                <w:color w:val="000000"/>
                <w:sz w:val="22"/>
                <w:szCs w:val="22"/>
              </w:rPr>
              <w:tab/>
              <w:t>Injuries of nerves and spinal cord involving other multiple body regions</w:t>
            </w:r>
          </w:p>
          <w:p w14:paraId="06636210" w14:textId="77777777" w:rsidR="00F057B2" w:rsidRPr="00970318" w:rsidRDefault="00F057B2" w:rsidP="009D68AE">
            <w:pPr>
              <w:spacing w:after="160"/>
              <w:ind w:left="1026" w:hanging="1026"/>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iCs/>
                <w:color w:val="000000"/>
                <w:sz w:val="22"/>
                <w:szCs w:val="22"/>
              </w:rPr>
              <w:t>T09.3</w:t>
            </w:r>
            <w:r w:rsidRPr="00970318">
              <w:rPr>
                <w:rFonts w:cs="Arial"/>
                <w:i/>
                <w:color w:val="000000"/>
                <w:sz w:val="22"/>
                <w:szCs w:val="22"/>
              </w:rPr>
              <w:tab/>
              <w:t>Injury of spinal cord, level unspecified</w:t>
            </w:r>
          </w:p>
        </w:tc>
      </w:tr>
    </w:tbl>
    <w:p w14:paraId="4020B073" w14:textId="77777777" w:rsidR="00F057B2" w:rsidRPr="003556EC" w:rsidRDefault="00F057B2" w:rsidP="009D68AE">
      <w:pPr>
        <w:spacing w:before="120"/>
      </w:pPr>
      <w:r w:rsidRPr="00024CFC">
        <w:rPr>
          <w:b/>
        </w:rPr>
        <w:lastRenderedPageBreak/>
        <w:t>Table A</w:t>
      </w:r>
      <w:r>
        <w:rPr>
          <w:b/>
        </w:rPr>
        <w:t>9</w:t>
      </w:r>
      <w:r>
        <w:t xml:space="preserve">: ICD-10-AM code references for Section </w:t>
      </w:r>
      <w:r w:rsidRPr="00024CFC">
        <w:t>3.</w:t>
      </w:r>
      <w:r>
        <w:t>9</w:t>
      </w:r>
      <w:r w:rsidRPr="00024CFC">
        <w:t xml:space="preserve">.4 </w:t>
      </w:r>
      <w:r w:rsidRPr="00024CFC">
        <w:rPr>
          <w:i/>
        </w:rPr>
        <w:t>DCL precision</w:t>
      </w:r>
    </w:p>
    <w:tbl>
      <w:tblPr>
        <w:tblStyle w:val="ListTable3-Accent11"/>
        <w:tblW w:w="9926" w:type="dxa"/>
        <w:jc w:val="center"/>
        <w:tblLayout w:type="fixed"/>
        <w:tblLook w:val="04A0" w:firstRow="1" w:lastRow="0" w:firstColumn="1" w:lastColumn="0" w:noHBand="0" w:noVBand="1"/>
      </w:tblPr>
      <w:tblGrid>
        <w:gridCol w:w="2122"/>
        <w:gridCol w:w="7804"/>
      </w:tblGrid>
      <w:tr w:rsidR="00F057B2" w:rsidRPr="00970318" w14:paraId="6D426539" w14:textId="77777777" w:rsidTr="0097031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122" w:type="dxa"/>
            <w:shd w:val="clear" w:color="auto" w:fill="104F99"/>
            <w:vAlign w:val="center"/>
          </w:tcPr>
          <w:p w14:paraId="411E08D7" w14:textId="77777777" w:rsidR="00F057B2" w:rsidRPr="00970318" w:rsidRDefault="00F057B2" w:rsidP="009D68AE">
            <w:pPr>
              <w:spacing w:after="160"/>
              <w:rPr>
                <w:rFonts w:cs="Arial"/>
                <w:color w:val="FFFFFF" w:themeColor="accent6"/>
                <w:sz w:val="22"/>
                <w:szCs w:val="22"/>
              </w:rPr>
            </w:pPr>
            <w:r w:rsidRPr="00970318">
              <w:rPr>
                <w:rFonts w:cs="Arial"/>
                <w:color w:val="FFFFFF" w:themeColor="accent6"/>
                <w:sz w:val="22"/>
                <w:szCs w:val="22"/>
              </w:rPr>
              <w:t>Concept</w:t>
            </w:r>
          </w:p>
        </w:tc>
        <w:tc>
          <w:tcPr>
            <w:tcW w:w="7804" w:type="dxa"/>
            <w:shd w:val="clear" w:color="auto" w:fill="104F99"/>
            <w:vAlign w:val="center"/>
          </w:tcPr>
          <w:p w14:paraId="3845EA83" w14:textId="77777777" w:rsidR="00F057B2" w:rsidRPr="00970318" w:rsidRDefault="00F057B2" w:rsidP="009D68AE">
            <w:pPr>
              <w:spacing w:after="160"/>
              <w:cnfStyle w:val="100000000000" w:firstRow="1" w:lastRow="0" w:firstColumn="0" w:lastColumn="0" w:oddVBand="0" w:evenVBand="0" w:oddHBand="0" w:evenHBand="0" w:firstRowFirstColumn="0" w:firstRowLastColumn="0" w:lastRowFirstColumn="0" w:lastRowLastColumn="0"/>
              <w:rPr>
                <w:rFonts w:cs="Arial"/>
                <w:color w:val="FFFFFF" w:themeColor="accent6"/>
                <w:sz w:val="22"/>
                <w:szCs w:val="22"/>
              </w:rPr>
            </w:pPr>
            <w:r w:rsidRPr="00970318">
              <w:rPr>
                <w:rFonts w:cs="Arial"/>
                <w:color w:val="FFFFFF" w:themeColor="accent6"/>
                <w:sz w:val="22"/>
                <w:szCs w:val="22"/>
              </w:rPr>
              <w:t>ICD-10-AM code(s) with description</w:t>
            </w:r>
          </w:p>
        </w:tc>
      </w:tr>
      <w:tr w:rsidR="00F057B2" w:rsidRPr="00970318" w14:paraId="70D905F0" w14:textId="77777777" w:rsidTr="009703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vAlign w:val="center"/>
          </w:tcPr>
          <w:p w14:paraId="27324068" w14:textId="77777777" w:rsidR="00F057B2" w:rsidRPr="00970318" w:rsidRDefault="00F057B2" w:rsidP="009D68AE">
            <w:pPr>
              <w:spacing w:after="160"/>
              <w:rPr>
                <w:rFonts w:cs="Arial"/>
                <w:sz w:val="22"/>
                <w:szCs w:val="22"/>
              </w:rPr>
            </w:pPr>
            <w:r w:rsidRPr="00970318">
              <w:rPr>
                <w:rFonts w:cs="Arial"/>
                <w:sz w:val="22"/>
                <w:szCs w:val="22"/>
              </w:rPr>
              <w:t>ICD-10-AM Eleventh Edition code category candidates progressed for analysis</w:t>
            </w:r>
          </w:p>
          <w:p w14:paraId="4DDDA3A2" w14:textId="77777777" w:rsidR="00F057B2" w:rsidRPr="00970318" w:rsidRDefault="00F057B2" w:rsidP="009D68AE">
            <w:pPr>
              <w:spacing w:after="160"/>
              <w:rPr>
                <w:rFonts w:cs="Arial"/>
                <w:b w:val="0"/>
                <w:sz w:val="22"/>
                <w:szCs w:val="22"/>
              </w:rPr>
            </w:pPr>
          </w:p>
        </w:tc>
        <w:tc>
          <w:tcPr>
            <w:tcW w:w="7804" w:type="dxa"/>
            <w:shd w:val="clear" w:color="auto" w:fill="auto"/>
            <w:vAlign w:val="center"/>
          </w:tcPr>
          <w:p w14:paraId="4ADB4D20"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i/>
                <w:sz w:val="22"/>
                <w:szCs w:val="22"/>
              </w:rPr>
            </w:pPr>
            <w:r w:rsidRPr="00970318">
              <w:rPr>
                <w:rFonts w:cs="Arial"/>
                <w:sz w:val="22"/>
                <w:szCs w:val="22"/>
              </w:rPr>
              <w:t>D57</w:t>
            </w:r>
            <w:r w:rsidRPr="00970318">
              <w:rPr>
                <w:rFonts w:cs="Arial"/>
                <w:sz w:val="22"/>
                <w:szCs w:val="22"/>
              </w:rPr>
              <w:tab/>
            </w:r>
            <w:r w:rsidRPr="00970318">
              <w:rPr>
                <w:rFonts w:cs="Arial"/>
                <w:i/>
                <w:sz w:val="22"/>
                <w:szCs w:val="22"/>
              </w:rPr>
              <w:t xml:space="preserve">Sickle-cell disorders </w:t>
            </w:r>
          </w:p>
          <w:p w14:paraId="5A2AA535"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E66 </w:t>
            </w:r>
            <w:r w:rsidRPr="00970318">
              <w:rPr>
                <w:rFonts w:cs="Arial"/>
                <w:sz w:val="22"/>
                <w:szCs w:val="22"/>
              </w:rPr>
              <w:tab/>
            </w:r>
            <w:r w:rsidRPr="00970318">
              <w:rPr>
                <w:rFonts w:cs="Arial"/>
                <w:i/>
                <w:sz w:val="22"/>
                <w:szCs w:val="22"/>
              </w:rPr>
              <w:t>Obesity and overweight</w:t>
            </w:r>
          </w:p>
          <w:p w14:paraId="3110C144"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F04 </w:t>
            </w:r>
            <w:r w:rsidRPr="00970318">
              <w:rPr>
                <w:rFonts w:cs="Arial"/>
                <w:sz w:val="22"/>
                <w:szCs w:val="22"/>
              </w:rPr>
              <w:tab/>
            </w:r>
            <w:r w:rsidRPr="00970318">
              <w:rPr>
                <w:rFonts w:cs="Arial"/>
                <w:i/>
                <w:sz w:val="22"/>
                <w:szCs w:val="22"/>
              </w:rPr>
              <w:t>Organic amnesic syndrome, not induced by alcohol and other psychoactive substances</w:t>
            </w:r>
          </w:p>
          <w:p w14:paraId="6AD30D77"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I70 </w:t>
            </w:r>
            <w:r w:rsidRPr="00970318">
              <w:rPr>
                <w:rFonts w:cs="Arial"/>
                <w:sz w:val="22"/>
                <w:szCs w:val="22"/>
              </w:rPr>
              <w:tab/>
            </w:r>
            <w:r w:rsidRPr="00970318">
              <w:rPr>
                <w:rFonts w:cs="Arial"/>
                <w:i/>
                <w:sz w:val="22"/>
                <w:szCs w:val="22"/>
              </w:rPr>
              <w:t xml:space="preserve">Atherosclerosis </w:t>
            </w:r>
          </w:p>
          <w:p w14:paraId="3DB87E2C"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lastRenderedPageBreak/>
              <w:t xml:space="preserve">I83 </w:t>
            </w:r>
            <w:r w:rsidRPr="00970318">
              <w:rPr>
                <w:rFonts w:cs="Arial"/>
                <w:sz w:val="22"/>
                <w:szCs w:val="22"/>
              </w:rPr>
              <w:tab/>
            </w:r>
            <w:r w:rsidRPr="00970318">
              <w:rPr>
                <w:rFonts w:cs="Arial"/>
                <w:i/>
                <w:sz w:val="22"/>
                <w:szCs w:val="22"/>
              </w:rPr>
              <w:t>Varicose veins of lower extremities</w:t>
            </w:r>
          </w:p>
          <w:p w14:paraId="69CD4635"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J96 </w:t>
            </w:r>
            <w:r w:rsidRPr="00970318">
              <w:rPr>
                <w:rFonts w:cs="Arial"/>
                <w:sz w:val="22"/>
                <w:szCs w:val="22"/>
              </w:rPr>
              <w:tab/>
            </w:r>
            <w:r w:rsidRPr="00970318">
              <w:rPr>
                <w:rFonts w:cs="Arial"/>
                <w:i/>
                <w:sz w:val="22"/>
                <w:szCs w:val="22"/>
              </w:rPr>
              <w:t>Respiratory failure, not elsewhere classified</w:t>
            </w:r>
          </w:p>
          <w:p w14:paraId="030B527F"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K25 </w:t>
            </w:r>
            <w:r w:rsidRPr="00970318">
              <w:rPr>
                <w:rFonts w:cs="Arial"/>
                <w:sz w:val="22"/>
                <w:szCs w:val="22"/>
              </w:rPr>
              <w:tab/>
            </w:r>
            <w:r w:rsidRPr="00970318">
              <w:rPr>
                <w:rFonts w:cs="Arial"/>
                <w:i/>
                <w:sz w:val="22"/>
                <w:szCs w:val="22"/>
              </w:rPr>
              <w:t>Gastric ulcer</w:t>
            </w:r>
            <w:r w:rsidRPr="00970318">
              <w:rPr>
                <w:rFonts w:cs="Arial"/>
                <w:sz w:val="22"/>
                <w:szCs w:val="22"/>
              </w:rPr>
              <w:t xml:space="preserve"> </w:t>
            </w:r>
          </w:p>
          <w:p w14:paraId="6468938C"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K26 </w:t>
            </w:r>
            <w:r w:rsidRPr="00970318">
              <w:rPr>
                <w:rFonts w:cs="Arial"/>
                <w:sz w:val="22"/>
                <w:szCs w:val="22"/>
              </w:rPr>
              <w:tab/>
            </w:r>
            <w:r w:rsidRPr="00970318">
              <w:rPr>
                <w:rFonts w:cs="Arial"/>
                <w:i/>
                <w:sz w:val="22"/>
                <w:szCs w:val="22"/>
              </w:rPr>
              <w:t>Duodenal ulcer</w:t>
            </w:r>
          </w:p>
          <w:p w14:paraId="1AF151A8"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K43 </w:t>
            </w:r>
            <w:r w:rsidRPr="00970318">
              <w:rPr>
                <w:rFonts w:cs="Arial"/>
                <w:sz w:val="22"/>
                <w:szCs w:val="22"/>
              </w:rPr>
              <w:tab/>
            </w:r>
            <w:r w:rsidRPr="00970318">
              <w:rPr>
                <w:rFonts w:cs="Arial"/>
                <w:i/>
                <w:sz w:val="22"/>
                <w:szCs w:val="22"/>
              </w:rPr>
              <w:t>Ventral hernia</w:t>
            </w:r>
          </w:p>
          <w:p w14:paraId="36D664D0"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sz w:val="22"/>
                <w:szCs w:val="22"/>
              </w:rPr>
            </w:pPr>
            <w:r w:rsidRPr="00970318">
              <w:rPr>
                <w:rFonts w:cs="Arial"/>
                <w:sz w:val="22"/>
                <w:szCs w:val="22"/>
              </w:rPr>
              <w:t xml:space="preserve">N45 </w:t>
            </w:r>
            <w:r w:rsidRPr="00970318">
              <w:rPr>
                <w:rFonts w:cs="Arial"/>
                <w:sz w:val="22"/>
                <w:szCs w:val="22"/>
              </w:rPr>
              <w:tab/>
            </w:r>
            <w:r w:rsidRPr="00970318">
              <w:rPr>
                <w:rFonts w:cs="Arial"/>
                <w:i/>
                <w:sz w:val="22"/>
                <w:szCs w:val="22"/>
              </w:rPr>
              <w:t>Orchitis and epididymitis</w:t>
            </w:r>
          </w:p>
          <w:p w14:paraId="59E63DAD" w14:textId="77777777" w:rsidR="00F057B2" w:rsidRPr="00970318" w:rsidRDefault="00F057B2" w:rsidP="00662CC0">
            <w:pPr>
              <w:spacing w:after="160"/>
              <w:ind w:left="1021" w:hanging="1021"/>
              <w:cnfStyle w:val="000000100000" w:firstRow="0" w:lastRow="0" w:firstColumn="0" w:lastColumn="0" w:oddVBand="0" w:evenVBand="0" w:oddHBand="1" w:evenHBand="0" w:firstRowFirstColumn="0" w:firstRowLastColumn="0" w:lastRowFirstColumn="0" w:lastRowLastColumn="0"/>
              <w:rPr>
                <w:rFonts w:cs="Arial"/>
                <w:i/>
                <w:color w:val="000000"/>
                <w:sz w:val="22"/>
                <w:szCs w:val="22"/>
              </w:rPr>
            </w:pPr>
            <w:r w:rsidRPr="00970318">
              <w:rPr>
                <w:rFonts w:cs="Arial"/>
                <w:sz w:val="22"/>
                <w:szCs w:val="22"/>
              </w:rPr>
              <w:t xml:space="preserve">P07 </w:t>
            </w:r>
            <w:r w:rsidRPr="00970318">
              <w:rPr>
                <w:rFonts w:cs="Arial"/>
                <w:sz w:val="22"/>
                <w:szCs w:val="22"/>
              </w:rPr>
              <w:tab/>
            </w:r>
            <w:r w:rsidRPr="00970318">
              <w:rPr>
                <w:rFonts w:cs="Arial"/>
                <w:i/>
                <w:sz w:val="22"/>
                <w:szCs w:val="22"/>
              </w:rPr>
              <w:t>Disorders related to short gestation and low birth weight, not elsewhere classified</w:t>
            </w:r>
          </w:p>
        </w:tc>
      </w:tr>
    </w:tbl>
    <w:p w14:paraId="5D95AD79" w14:textId="77777777" w:rsidR="003657C7" w:rsidRDefault="003657C7" w:rsidP="00970318">
      <w:pPr>
        <w:sectPr w:rsidR="003657C7" w:rsidSect="00C5503B">
          <w:pgSz w:w="11906" w:h="16838" w:code="9"/>
          <w:pgMar w:top="1440" w:right="1080" w:bottom="1440" w:left="1080" w:header="708" w:footer="708" w:gutter="0"/>
          <w:cols w:space="708"/>
          <w:docGrid w:linePitch="360"/>
        </w:sectPr>
      </w:pPr>
    </w:p>
    <w:p w14:paraId="16A454E9" w14:textId="361F07FB" w:rsidR="00502A09" w:rsidRDefault="00502A09" w:rsidP="00502A09">
      <w:pPr>
        <w:spacing w:after="360"/>
        <w:rPr>
          <w:color w:val="FFFFFF" w:themeColor="background2"/>
        </w:rPr>
      </w:pPr>
      <w:r>
        <w:rPr>
          <w:noProof/>
          <w:color w:val="FFFFFF" w:themeColor="background2"/>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502A09" w:rsidRDefault="00502A09" w:rsidP="00502A09">
      <w:pPr>
        <w:spacing w:after="360"/>
        <w:rPr>
          <w:color w:val="FFFFFF" w:themeColor="background2"/>
        </w:rPr>
      </w:pPr>
      <w:r w:rsidRPr="00502A09">
        <w:rPr>
          <w:color w:val="FFFFFF" w:themeColor="background2"/>
        </w:rPr>
        <w:t xml:space="preserve">Independent </w:t>
      </w:r>
      <w:r>
        <w:rPr>
          <w:color w:val="FFFFFF" w:themeColor="background2"/>
        </w:rPr>
        <w:t>Health and Aged Care Pricing Authority</w:t>
      </w:r>
    </w:p>
    <w:p w14:paraId="6E4B7912" w14:textId="793805FD" w:rsidR="00502A09" w:rsidRPr="00502A09" w:rsidRDefault="00183129" w:rsidP="00502A09">
      <w:pPr>
        <w:spacing w:after="360"/>
        <w:rPr>
          <w:color w:val="54C1AF" w:themeColor="background1"/>
        </w:rPr>
      </w:pPr>
      <w:r>
        <w:rPr>
          <w:color w:val="54C1AF" w:themeColor="background1"/>
        </w:rPr>
        <w:t xml:space="preserve">Eora Nation, </w:t>
      </w:r>
      <w:r w:rsidR="00502A09" w:rsidRPr="00502A09">
        <w:rPr>
          <w:color w:val="54C1AF" w:themeColor="background1"/>
        </w:rPr>
        <w:t xml:space="preserve">Level </w:t>
      </w:r>
      <w:r w:rsidR="007403BC">
        <w:rPr>
          <w:color w:val="54C1AF" w:themeColor="background1"/>
        </w:rPr>
        <w:t>12</w:t>
      </w:r>
      <w:r w:rsidR="00502A09" w:rsidRPr="00502A09">
        <w:rPr>
          <w:color w:val="54C1AF" w:themeColor="background1"/>
        </w:rPr>
        <w:t>, 1 Oxford Street</w:t>
      </w:r>
      <w:r w:rsidR="00502A09" w:rsidRPr="00502A09">
        <w:rPr>
          <w:color w:val="54C1AF" w:themeColor="background1"/>
        </w:rPr>
        <w:br/>
        <w:t>Sydney NSW 2000</w:t>
      </w:r>
    </w:p>
    <w:p w14:paraId="422F9348" w14:textId="0C6D0750" w:rsidR="00502A09" w:rsidRPr="00D62E94" w:rsidRDefault="00502A09" w:rsidP="00502A09">
      <w:pPr>
        <w:spacing w:after="360"/>
        <w:rPr>
          <w:color w:val="54C1AF" w:themeColor="accent5"/>
        </w:rPr>
      </w:pPr>
      <w:r w:rsidRPr="00502A09">
        <w:rPr>
          <w:color w:val="FFFFFF" w:themeColor="background2"/>
        </w:rPr>
        <w:t xml:space="preserve">Phone </w:t>
      </w:r>
      <w:r w:rsidRPr="00502A09">
        <w:rPr>
          <w:color w:val="54C1AF" w:themeColor="background1"/>
        </w:rPr>
        <w:t>02 8215 1100</w:t>
      </w:r>
      <w:r w:rsidRPr="00502A09">
        <w:rPr>
          <w:color w:val="FFFFFF" w:themeColor="background2"/>
        </w:rPr>
        <w:br/>
        <w:t xml:space="preserve">Email </w:t>
      </w:r>
      <w:hyperlink r:id="rId20" w:history="1">
        <w:r w:rsidR="00276510" w:rsidRPr="00D62E94">
          <w:rPr>
            <w:rStyle w:val="Hyperlink"/>
            <w:color w:val="54C1AF" w:themeColor="accent5"/>
          </w:rPr>
          <w:t>enquiries.ihacpa@ihacpa.gov.au</w:t>
        </w:r>
      </w:hyperlink>
      <w:r w:rsidRPr="00502A09">
        <w:rPr>
          <w:color w:val="FFFFFF" w:themeColor="background2"/>
        </w:rPr>
        <w:br/>
        <w:t xml:space="preserve">Twitter </w:t>
      </w:r>
      <w:hyperlink r:id="rId21" w:history="1">
        <w:r w:rsidRPr="00D62E94">
          <w:rPr>
            <w:rStyle w:val="Hyperlink"/>
            <w:color w:val="54C1AF" w:themeColor="accent5"/>
          </w:rPr>
          <w:t>@IH</w:t>
        </w:r>
        <w:r w:rsidR="007403BC" w:rsidRPr="00D62E94">
          <w:rPr>
            <w:rStyle w:val="Hyperlink"/>
            <w:color w:val="54C1AF" w:themeColor="accent5"/>
          </w:rPr>
          <w:t>AC</w:t>
        </w:r>
        <w:r w:rsidRPr="00D62E94">
          <w:rPr>
            <w:rStyle w:val="Hyperlink"/>
            <w:color w:val="54C1AF" w:themeColor="accent5"/>
          </w:rPr>
          <w:t>PA</w:t>
        </w:r>
      </w:hyperlink>
    </w:p>
    <w:p w14:paraId="55FBC7ED" w14:textId="2FF2C616" w:rsidR="00502A09" w:rsidRPr="00D62E94" w:rsidRDefault="005E71D6" w:rsidP="00E50F56">
      <w:pPr>
        <w:spacing w:after="360"/>
        <w:rPr>
          <w:color w:val="54C1AF" w:themeColor="accent5"/>
        </w:rPr>
      </w:pPr>
      <w:hyperlink r:id="rId22" w:history="1">
        <w:r w:rsidR="00502A09" w:rsidRPr="00D62E94">
          <w:rPr>
            <w:rStyle w:val="Hyperlink"/>
            <w:color w:val="54C1AF" w:themeColor="accent5"/>
          </w:rPr>
          <w:t>www.ih</w:t>
        </w:r>
        <w:r w:rsidR="007403BC" w:rsidRPr="00D62E94">
          <w:rPr>
            <w:rStyle w:val="Hyperlink"/>
            <w:color w:val="54C1AF" w:themeColor="accent5"/>
          </w:rPr>
          <w:t>ac</w:t>
        </w:r>
        <w:r w:rsidR="00502A09" w:rsidRPr="00D62E94">
          <w:rPr>
            <w:rStyle w:val="Hyperlink"/>
            <w:color w:val="54C1AF" w:themeColor="accent5"/>
          </w:rPr>
          <w:t>pa.gov.au</w:t>
        </w:r>
      </w:hyperlink>
    </w:p>
    <w:sectPr w:rsidR="00502A09" w:rsidRPr="00D62E94" w:rsidSect="00C5503B">
      <w:headerReference w:type="default" r:id="rId23"/>
      <w:footerReference w:type="default" r:id="rId2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0246" w14:textId="77777777" w:rsidR="008106B1" w:rsidRDefault="008106B1" w:rsidP="00DC0458">
      <w:pPr>
        <w:spacing w:after="0" w:line="240" w:lineRule="auto"/>
      </w:pPr>
      <w:r>
        <w:separator/>
      </w:r>
    </w:p>
  </w:endnote>
  <w:endnote w:type="continuationSeparator" w:id="0">
    <w:p w14:paraId="5A5904DE" w14:textId="77777777" w:rsidR="008106B1" w:rsidRDefault="008106B1"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libri"/>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altName w:val="Josefin Sans"/>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7E3567E0" w:rsidR="00493FE8" w:rsidRDefault="00493FE8" w:rsidP="00E24D0E">
    <w:pPr>
      <w:pStyle w:val="Footer"/>
      <w:tabs>
        <w:tab w:val="clear" w:pos="4680"/>
        <w:tab w:val="clear" w:pos="9360"/>
        <w:tab w:val="center" w:pos="9498"/>
        <w:tab w:val="right" w:pos="9746"/>
      </w:tabs>
    </w:pPr>
    <w:r w:rsidRPr="00D20B03">
      <w:rPr>
        <w:b/>
        <w:bCs/>
      </w:rPr>
      <w:t>IHACPA</w:t>
    </w:r>
    <w:r>
      <w:t xml:space="preserve"> </w:t>
    </w:r>
    <w:r w:rsidR="00367B5A">
      <w:t>Australian Refined Diagnosis Related Groups Version 11.0 Final Report</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0096" w14:textId="0AB44A7B" w:rsidR="00D62E94" w:rsidRDefault="00D62E94" w:rsidP="00E24D0E">
    <w:pPr>
      <w:pStyle w:val="Footer"/>
      <w:tabs>
        <w:tab w:val="clear" w:pos="4680"/>
        <w:tab w:val="clear" w:pos="9360"/>
        <w:tab w:val="center" w:pos="9498"/>
        <w:tab w:val="right" w:pos="9746"/>
      </w:tabs>
    </w:pPr>
    <w:r>
      <w:rPr>
        <w:b/>
        <w:bCs/>
      </w:rPr>
      <w:t xml:space="preserve"> </w:t>
    </w:r>
    <w:r>
      <w:t>.0 Final Report</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3209" w14:textId="77777777" w:rsidR="008106B1" w:rsidRDefault="008106B1" w:rsidP="00DC0458">
      <w:pPr>
        <w:spacing w:after="0" w:line="240" w:lineRule="auto"/>
      </w:pPr>
      <w:r>
        <w:separator/>
      </w:r>
    </w:p>
  </w:footnote>
  <w:footnote w:type="continuationSeparator" w:id="0">
    <w:p w14:paraId="76CF93D3" w14:textId="77777777" w:rsidR="008106B1" w:rsidRDefault="008106B1" w:rsidP="00DC0458">
      <w:pPr>
        <w:spacing w:after="0" w:line="240" w:lineRule="auto"/>
      </w:pPr>
      <w:r>
        <w:continuationSeparator/>
      </w:r>
    </w:p>
  </w:footnote>
  <w:footnote w:id="1">
    <w:p w14:paraId="24844B87" w14:textId="0ECB7DD9" w:rsidR="00F057B2" w:rsidRPr="009D68AE" w:rsidRDefault="00F057B2" w:rsidP="00784C17">
      <w:pPr>
        <w:pStyle w:val="FootnoteText"/>
        <w:rPr>
          <w:sz w:val="18"/>
          <w:szCs w:val="18"/>
          <w:lang w:val="en-US"/>
        </w:rPr>
      </w:pPr>
      <w:r w:rsidRPr="00784C17">
        <w:rPr>
          <w:rStyle w:val="FootnoteReference"/>
          <w:rFonts w:eastAsiaTheme="majorEastAsia"/>
          <w:sz w:val="18"/>
          <w:szCs w:val="18"/>
        </w:rPr>
        <w:footnoteRef/>
      </w:r>
      <w:r w:rsidRPr="009D68AE">
        <w:rPr>
          <w:sz w:val="18"/>
          <w:szCs w:val="18"/>
        </w:rPr>
        <w:t xml:space="preserve"> </w:t>
      </w:r>
      <w:r w:rsidRPr="009D68AE">
        <w:rPr>
          <w:i/>
          <w:iCs/>
          <w:sz w:val="18"/>
          <w:szCs w:val="18"/>
        </w:rPr>
        <w:t>Consultation and review of the AR-DRG and ICD-10-AM/ACHI/ACS classification systems</w:t>
      </w:r>
      <w:r w:rsidRPr="009D68AE">
        <w:rPr>
          <w:sz w:val="18"/>
          <w:szCs w:val="18"/>
        </w:rPr>
        <w:t xml:space="preserve"> </w:t>
      </w:r>
      <w:r w:rsidRPr="009D68AE">
        <w:rPr>
          <w:sz w:val="18"/>
          <w:szCs w:val="18"/>
        </w:rPr>
        <w:br/>
      </w:r>
      <w:hyperlink r:id="rId1" w:history="1">
        <w:r w:rsidR="00784C17" w:rsidRPr="00784C17">
          <w:rPr>
            <w:rStyle w:val="Hyperlink"/>
            <w:sz w:val="18"/>
            <w:szCs w:val="18"/>
          </w:rPr>
          <w:t>https://www.ihacpa.gov.au/development-cycle-review</w:t>
        </w:r>
      </w:hyperlink>
    </w:p>
  </w:footnote>
  <w:footnote w:id="2">
    <w:p w14:paraId="02524DD1" w14:textId="0A2DBD8F" w:rsidR="00F057B2" w:rsidRPr="009D68AE" w:rsidRDefault="00F057B2" w:rsidP="00784C17">
      <w:pPr>
        <w:pStyle w:val="FootnoteText"/>
        <w:rPr>
          <w:sz w:val="18"/>
          <w:szCs w:val="18"/>
        </w:rPr>
      </w:pPr>
      <w:r w:rsidRPr="00784C17">
        <w:rPr>
          <w:rStyle w:val="FootnoteReference"/>
          <w:rFonts w:eastAsiaTheme="majorEastAsia"/>
          <w:sz w:val="18"/>
          <w:szCs w:val="18"/>
        </w:rPr>
        <w:footnoteRef/>
      </w:r>
      <w:r w:rsidRPr="009D68AE">
        <w:rPr>
          <w:sz w:val="18"/>
          <w:szCs w:val="18"/>
        </w:rPr>
        <w:t xml:space="preserve"> </w:t>
      </w:r>
      <w:r w:rsidRPr="009D68AE">
        <w:rPr>
          <w:i/>
          <w:sz w:val="18"/>
          <w:szCs w:val="18"/>
        </w:rPr>
        <w:t>Governance framework for the development of the admitted care classifications</w:t>
      </w:r>
      <w:r w:rsidRPr="009D68AE">
        <w:rPr>
          <w:sz w:val="18"/>
          <w:szCs w:val="18"/>
        </w:rPr>
        <w:t xml:space="preserve"> </w:t>
      </w:r>
      <w:r w:rsidRPr="009D68AE">
        <w:rPr>
          <w:sz w:val="18"/>
          <w:szCs w:val="18"/>
        </w:rPr>
        <w:br/>
      </w:r>
      <w:hyperlink r:id="rId2" w:history="1">
        <w:r w:rsidR="00784C17" w:rsidRPr="00784C17">
          <w:rPr>
            <w:rStyle w:val="Hyperlink"/>
            <w:sz w:val="18"/>
            <w:szCs w:val="18"/>
            <w:lang w:val="en-US"/>
          </w:rPr>
          <w:t>https://www.ihacpa.gov.au/resources/governance-framework-development-admitted-care-classifications</w:t>
        </w:r>
      </w:hyperlink>
    </w:p>
  </w:footnote>
  <w:footnote w:id="3">
    <w:p w14:paraId="2A800CC0" w14:textId="2F4E4C04" w:rsidR="00F057B2" w:rsidRPr="009D68AE" w:rsidRDefault="00F057B2" w:rsidP="00784C17">
      <w:pPr>
        <w:pStyle w:val="FootnoteText"/>
        <w:rPr>
          <w:sz w:val="18"/>
          <w:szCs w:val="18"/>
        </w:rPr>
      </w:pPr>
      <w:r w:rsidRPr="009D68AE">
        <w:rPr>
          <w:rStyle w:val="FootnoteReference"/>
          <w:rFonts w:eastAsiaTheme="majorEastAsia"/>
          <w:sz w:val="18"/>
          <w:szCs w:val="18"/>
        </w:rPr>
        <w:footnoteRef/>
      </w:r>
      <w:r w:rsidRPr="009D68AE">
        <w:rPr>
          <w:sz w:val="18"/>
          <w:szCs w:val="18"/>
        </w:rPr>
        <w:t xml:space="preserve"> </w:t>
      </w:r>
      <w:r w:rsidRPr="009D68AE">
        <w:rPr>
          <w:i/>
          <w:sz w:val="18"/>
          <w:szCs w:val="18"/>
        </w:rPr>
        <w:t xml:space="preserve">Development of admitted care classifications – Public Consultation </w:t>
      </w:r>
      <w:r w:rsidRPr="009D68AE">
        <w:rPr>
          <w:i/>
          <w:sz w:val="18"/>
          <w:szCs w:val="18"/>
        </w:rPr>
        <w:br/>
      </w:r>
      <w:hyperlink r:id="rId3" w:history="1">
        <w:r w:rsidR="00784C17" w:rsidRPr="00784C17">
          <w:rPr>
            <w:rStyle w:val="Hyperlink"/>
            <w:sz w:val="18"/>
            <w:szCs w:val="18"/>
            <w:lang w:val="en-US"/>
          </w:rPr>
          <w:t>https://www.ihacpa.gov.au/resources/development-admitted-care-classifications</w:t>
        </w:r>
      </w:hyperlink>
    </w:p>
  </w:footnote>
  <w:footnote w:id="4">
    <w:p w14:paraId="680AE400" w14:textId="690CA26B" w:rsidR="00F057B2" w:rsidRPr="002A66DB" w:rsidRDefault="00F057B2" w:rsidP="00784C17">
      <w:pPr>
        <w:pStyle w:val="FootnoteText"/>
        <w:rPr>
          <w:lang w:val="en-US"/>
        </w:rPr>
      </w:pPr>
      <w:r>
        <w:rPr>
          <w:rStyle w:val="FootnoteReference"/>
          <w:rFonts w:eastAsiaTheme="majorEastAsia"/>
        </w:rPr>
        <w:footnoteRef/>
      </w:r>
      <w:r>
        <w:t xml:space="preserve"> </w:t>
      </w:r>
      <w:r w:rsidRPr="00E23440">
        <w:rPr>
          <w:i/>
          <w:sz w:val="18"/>
        </w:rPr>
        <w:t>Consultation paper on the</w:t>
      </w:r>
      <w:r w:rsidRPr="00E23440">
        <w:rPr>
          <w:sz w:val="18"/>
        </w:rPr>
        <w:t xml:space="preserve"> </w:t>
      </w:r>
      <w:r w:rsidRPr="00E23440">
        <w:rPr>
          <w:i/>
          <w:sz w:val="18"/>
        </w:rPr>
        <w:t>Pricing Framework for Australian public hospital services 2018–19</w:t>
      </w:r>
      <w:r w:rsidRPr="00E23440">
        <w:rPr>
          <w:sz w:val="18"/>
        </w:rPr>
        <w:t xml:space="preserve"> </w:t>
      </w:r>
      <w:r>
        <w:rPr>
          <w:sz w:val="18"/>
        </w:rPr>
        <w:br/>
      </w:r>
      <w:hyperlink r:id="rId4" w:history="1">
        <w:r w:rsidR="00784C17">
          <w:rPr>
            <w:rStyle w:val="Hyperlink"/>
            <w:sz w:val="18"/>
          </w:rPr>
          <w:t>https://www.ihacpa.gov.au/resources/consultation-paper-pricing-framework-australian-public-hospital-services-2018-19</w:t>
        </w:r>
      </w:hyperlink>
      <w:r>
        <w:rPr>
          <w:sz w:val="18"/>
        </w:rPr>
        <w:t xml:space="preserve"> </w:t>
      </w:r>
    </w:p>
  </w:footnote>
  <w:footnote w:id="5">
    <w:p w14:paraId="04D9C66B" w14:textId="77777777" w:rsidR="00F057B2" w:rsidRPr="009D68AE" w:rsidRDefault="00F057B2" w:rsidP="00784C17">
      <w:pPr>
        <w:pStyle w:val="FootnoteText"/>
        <w:rPr>
          <w:sz w:val="18"/>
          <w:szCs w:val="18"/>
        </w:rPr>
      </w:pPr>
      <w:r w:rsidRPr="009D68AE">
        <w:rPr>
          <w:rStyle w:val="FootnoteReference"/>
          <w:rFonts w:eastAsiaTheme="majorEastAsia"/>
          <w:sz w:val="18"/>
          <w:szCs w:val="18"/>
        </w:rPr>
        <w:footnoteRef/>
      </w:r>
      <w:r w:rsidRPr="009D68AE">
        <w:rPr>
          <w:sz w:val="18"/>
          <w:szCs w:val="18"/>
        </w:rPr>
        <w:t xml:space="preserve"> Australian Institute of Health and Welfare (2017) Metadata Online Registry (METeOR) </w:t>
      </w:r>
      <w:r w:rsidRPr="009D68AE">
        <w:rPr>
          <w:i/>
          <w:sz w:val="18"/>
          <w:szCs w:val="18"/>
        </w:rPr>
        <w:t>Person—sex, code X</w:t>
      </w:r>
      <w:r w:rsidRPr="009D68AE">
        <w:rPr>
          <w:sz w:val="18"/>
          <w:szCs w:val="18"/>
        </w:rPr>
        <w:t xml:space="preserve">, </w:t>
      </w:r>
      <w:hyperlink r:id="rId5" w:history="1">
        <w:r w:rsidRPr="00784C17">
          <w:rPr>
            <w:rStyle w:val="Hyperlink"/>
            <w:sz w:val="18"/>
            <w:szCs w:val="18"/>
            <w:lang w:val="en-US"/>
          </w:rPr>
          <w:t>https://meteor.aihw.gov.au/content/index.phtml/itemId/635126</w:t>
        </w:r>
      </w:hyperlink>
      <w:r w:rsidRPr="009D68AE">
        <w:rPr>
          <w:sz w:val="18"/>
          <w:szCs w:val="18"/>
        </w:rPr>
        <w:t xml:space="preserve"> </w:t>
      </w:r>
    </w:p>
  </w:footnote>
  <w:footnote w:id="6">
    <w:p w14:paraId="319DB85C" w14:textId="77777777" w:rsidR="00F057B2" w:rsidRPr="009D68AE" w:rsidRDefault="00F057B2" w:rsidP="00784C17">
      <w:pPr>
        <w:pStyle w:val="FootnoteText"/>
        <w:rPr>
          <w:sz w:val="18"/>
          <w:szCs w:val="18"/>
          <w:lang w:val="en-US"/>
        </w:rPr>
      </w:pPr>
      <w:r w:rsidRPr="009D68AE">
        <w:rPr>
          <w:rStyle w:val="FootnoteReference"/>
          <w:rFonts w:eastAsiaTheme="majorEastAsia"/>
          <w:sz w:val="18"/>
          <w:szCs w:val="18"/>
        </w:rPr>
        <w:footnoteRef/>
      </w:r>
      <w:r w:rsidRPr="009D68AE">
        <w:rPr>
          <w:sz w:val="18"/>
          <w:szCs w:val="18"/>
        </w:rPr>
        <w:t xml:space="preserve"> Unconditional exclusion codes are diagnosis codes that have been excluded from consideration in the ECC Model. Conditional exclusion codes are diagnosis codes that are excluded conditionally, depending on other diagnoses assigned in the episode.</w:t>
      </w:r>
    </w:p>
  </w:footnote>
  <w:footnote w:id="7">
    <w:p w14:paraId="0AB671D3" w14:textId="49B6DFA5" w:rsidR="00F057B2" w:rsidRPr="005151C6" w:rsidRDefault="00F057B2" w:rsidP="00784C17">
      <w:pPr>
        <w:pStyle w:val="FootnoteText"/>
        <w:rPr>
          <w:sz w:val="18"/>
          <w:lang w:val="en-US"/>
        </w:rPr>
      </w:pPr>
      <w:r w:rsidRPr="005151C6">
        <w:rPr>
          <w:rStyle w:val="FootnoteReference"/>
          <w:rFonts w:eastAsiaTheme="majorEastAsia"/>
          <w:sz w:val="18"/>
        </w:rPr>
        <w:footnoteRef/>
      </w:r>
      <w:r w:rsidRPr="005151C6">
        <w:rPr>
          <w:sz w:val="18"/>
        </w:rPr>
        <w:t xml:space="preserve"> </w:t>
      </w:r>
      <w:r w:rsidRPr="005151C6">
        <w:rPr>
          <w:i/>
          <w:sz w:val="18"/>
        </w:rPr>
        <w:t>Consultation paper on the</w:t>
      </w:r>
      <w:r w:rsidRPr="005151C6">
        <w:rPr>
          <w:sz w:val="18"/>
        </w:rPr>
        <w:t xml:space="preserve"> </w:t>
      </w:r>
      <w:r w:rsidRPr="005151C6">
        <w:rPr>
          <w:i/>
          <w:sz w:val="18"/>
        </w:rPr>
        <w:t xml:space="preserve">Pricing Framework for Australian public hospital services 2019–20 </w:t>
      </w:r>
      <w:hyperlink r:id="rId6" w:history="1">
        <w:r w:rsidR="00784C17">
          <w:rPr>
            <w:rStyle w:val="Hyperlink"/>
            <w:sz w:val="18"/>
          </w:rPr>
          <w:t>https://www.ihacpa.gov.au/resources/consultation-paper-pricing-framework-australian-public-hospital-services-2019-20</w:t>
        </w:r>
      </w:hyperlink>
      <w:r>
        <w:rPr>
          <w:sz w:val="18"/>
        </w:rPr>
        <w:t xml:space="preserve"> </w:t>
      </w:r>
    </w:p>
  </w:footnote>
  <w:footnote w:id="8">
    <w:p w14:paraId="14395B4F" w14:textId="79C4AC9F" w:rsidR="00F057B2" w:rsidRPr="002A66DB" w:rsidRDefault="00F057B2" w:rsidP="00784C17">
      <w:pPr>
        <w:pStyle w:val="FootnoteText"/>
        <w:rPr>
          <w:lang w:val="en-US"/>
        </w:rPr>
      </w:pPr>
      <w:r w:rsidRPr="005151C6">
        <w:rPr>
          <w:rStyle w:val="FootnoteReference"/>
          <w:rFonts w:eastAsiaTheme="majorEastAsia"/>
          <w:sz w:val="18"/>
        </w:rPr>
        <w:footnoteRef/>
      </w:r>
      <w:r w:rsidRPr="005151C6">
        <w:rPr>
          <w:sz w:val="18"/>
        </w:rPr>
        <w:t xml:space="preserve"> </w:t>
      </w:r>
      <w:r w:rsidRPr="005151C6">
        <w:rPr>
          <w:i/>
          <w:sz w:val="18"/>
        </w:rPr>
        <w:t xml:space="preserve">Consultation Paper on the Pricing Framework for Australian public hospital services 2020–21 </w:t>
      </w:r>
      <w:r>
        <w:rPr>
          <w:sz w:val="18"/>
        </w:rPr>
        <w:br/>
      </w:r>
      <w:hyperlink r:id="rId7" w:history="1">
        <w:r w:rsidR="00784C17">
          <w:rPr>
            <w:rStyle w:val="Hyperlink"/>
            <w:sz w:val="18"/>
          </w:rPr>
          <w:t>https://www.ihacpa.gov.au/resources/consultation-paper-pricing-framework-australian-public-hospital-services-2020-21</w:t>
        </w:r>
      </w:hyperlink>
      <w:r>
        <w:rPr>
          <w:sz w:val="18"/>
        </w:rPr>
        <w:t xml:space="preserve"> </w:t>
      </w:r>
    </w:p>
  </w:footnote>
  <w:footnote w:id="9">
    <w:p w14:paraId="4FA50C30" w14:textId="77777777" w:rsidR="00F057B2" w:rsidRPr="009D68AE" w:rsidRDefault="00F057B2" w:rsidP="00784C17">
      <w:pPr>
        <w:pStyle w:val="FootnoteText"/>
        <w:rPr>
          <w:sz w:val="18"/>
          <w:szCs w:val="18"/>
        </w:rPr>
      </w:pPr>
      <w:r w:rsidRPr="00784C17">
        <w:rPr>
          <w:rStyle w:val="FootnoteReference"/>
          <w:rFonts w:eastAsiaTheme="majorEastAsia"/>
          <w:sz w:val="18"/>
          <w:szCs w:val="18"/>
        </w:rPr>
        <w:footnoteRef/>
      </w:r>
      <w:r w:rsidRPr="009D68AE">
        <w:rPr>
          <w:sz w:val="18"/>
          <w:szCs w:val="18"/>
        </w:rPr>
        <w:t xml:space="preserve"> The RID of AR-DRG V10.0 is slightly different from that reported in AR-DRG V10.0 Final Report. This is because the RID in AR-DRG V10.0 Final Report was calculated using data from 2013–14 to 2015–16, while the RID in AR-DRG V11.0 Final Report was calculated using data from 2015–16 to 2018–19.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20A109B8">
          <wp:simplePos x="0" y="0"/>
          <wp:positionH relativeFrom="margin">
            <wp:posOffset>-685800</wp:posOffset>
          </wp:positionH>
          <wp:positionV relativeFrom="paragraph">
            <wp:posOffset>-449580</wp:posOffset>
          </wp:positionV>
          <wp:extent cx="7573925" cy="10712174"/>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4CCC0" w14:textId="77777777" w:rsidR="003526B8" w:rsidRDefault="003526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01F1E5D9">
          <wp:simplePos x="0" y="0"/>
          <wp:positionH relativeFrom="column">
            <wp:posOffset>-677810</wp:posOffset>
          </wp:positionH>
          <wp:positionV relativeFrom="paragraph">
            <wp:posOffset>-449580</wp:posOffset>
          </wp:positionV>
          <wp:extent cx="7566497" cy="10699668"/>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497"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80609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3C2E83"/>
    <w:multiLevelType w:val="hybridMultilevel"/>
    <w:tmpl w:val="41249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9333FA"/>
    <w:multiLevelType w:val="hybridMultilevel"/>
    <w:tmpl w:val="5932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715F9"/>
    <w:multiLevelType w:val="hybridMultilevel"/>
    <w:tmpl w:val="462E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90FAE"/>
    <w:multiLevelType w:val="hybridMultilevel"/>
    <w:tmpl w:val="70145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E2F2B"/>
    <w:multiLevelType w:val="hybridMultilevel"/>
    <w:tmpl w:val="A32C41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C95B49"/>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8A77599"/>
    <w:multiLevelType w:val="hybridMultilevel"/>
    <w:tmpl w:val="A0508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35ED2"/>
    <w:multiLevelType w:val="hybridMultilevel"/>
    <w:tmpl w:val="E86C1C6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96409"/>
    <w:multiLevelType w:val="hybridMultilevel"/>
    <w:tmpl w:val="D89A4F0C"/>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11" w15:restartNumberingAfterBreak="0">
    <w:nsid w:val="37FD233D"/>
    <w:multiLevelType w:val="hybridMultilevel"/>
    <w:tmpl w:val="0256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D00DA9"/>
    <w:multiLevelType w:val="hybridMultilevel"/>
    <w:tmpl w:val="08F61226"/>
    <w:lvl w:ilvl="0" w:tplc="BCACC498">
      <w:start w:val="1"/>
      <w:numFmt w:val="bullet"/>
      <w:lvlText w:val=""/>
      <w:lvlJc w:val="left"/>
      <w:pPr>
        <w:ind w:left="720" w:hanging="360"/>
      </w:pPr>
      <w:rPr>
        <w:rFonts w:ascii="Symbol" w:hAnsi="Symbol" w:hint="default"/>
      </w:rPr>
    </w:lvl>
    <w:lvl w:ilvl="1" w:tplc="F7505858">
      <w:start w:val="1"/>
      <w:numFmt w:val="bullet"/>
      <w:lvlText w:val="o"/>
      <w:lvlJc w:val="left"/>
      <w:pPr>
        <w:ind w:left="1440" w:hanging="360"/>
      </w:pPr>
      <w:rPr>
        <w:rFonts w:ascii="Courier New" w:hAnsi="Courier New" w:cs="Courier New" w:hint="default"/>
      </w:rPr>
    </w:lvl>
    <w:lvl w:ilvl="2" w:tplc="00C4C51A">
      <w:start w:val="1"/>
      <w:numFmt w:val="bullet"/>
      <w:lvlText w:val=""/>
      <w:lvlJc w:val="left"/>
      <w:pPr>
        <w:ind w:left="2160" w:hanging="360"/>
      </w:pPr>
      <w:rPr>
        <w:rFonts w:ascii="Wingdings" w:hAnsi="Wingdings" w:hint="default"/>
      </w:rPr>
    </w:lvl>
    <w:lvl w:ilvl="3" w:tplc="4B580848">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3717F"/>
    <w:multiLevelType w:val="hybridMultilevel"/>
    <w:tmpl w:val="5E0A3A26"/>
    <w:lvl w:ilvl="0" w:tplc="4D32E8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BE1065"/>
    <w:multiLevelType w:val="hybridMultilevel"/>
    <w:tmpl w:val="3800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B0D0069"/>
    <w:multiLevelType w:val="hybridMultilevel"/>
    <w:tmpl w:val="C70E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B0F54"/>
    <w:multiLevelType w:val="hybridMultilevel"/>
    <w:tmpl w:val="844A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D57B7"/>
    <w:multiLevelType w:val="hybridMultilevel"/>
    <w:tmpl w:val="7ADCB1AE"/>
    <w:lvl w:ilvl="0" w:tplc="0C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3256D7A"/>
    <w:multiLevelType w:val="hybridMultilevel"/>
    <w:tmpl w:val="AB6A911A"/>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1" w15:restartNumberingAfterBreak="0">
    <w:nsid w:val="5A5E13C6"/>
    <w:multiLevelType w:val="hybridMultilevel"/>
    <w:tmpl w:val="775C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4F717D"/>
    <w:multiLevelType w:val="hybridMultilevel"/>
    <w:tmpl w:val="33AE21F2"/>
    <w:lvl w:ilvl="0" w:tplc="0C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AF178FB"/>
    <w:multiLevelType w:val="hybridMultilevel"/>
    <w:tmpl w:val="F7342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250A7"/>
    <w:multiLevelType w:val="hybridMultilevel"/>
    <w:tmpl w:val="22B2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
  </w:num>
  <w:num w:numId="4">
    <w:abstractNumId w:val="20"/>
  </w:num>
  <w:num w:numId="5">
    <w:abstractNumId w:val="1"/>
  </w:num>
  <w:num w:numId="6">
    <w:abstractNumId w:val="19"/>
  </w:num>
  <w:num w:numId="7">
    <w:abstractNumId w:val="12"/>
  </w:num>
  <w:num w:numId="8">
    <w:abstractNumId w:val="24"/>
  </w:num>
  <w:num w:numId="9">
    <w:abstractNumId w:val="0"/>
  </w:num>
  <w:num w:numId="10">
    <w:abstractNumId w:val="2"/>
  </w:num>
  <w:num w:numId="11">
    <w:abstractNumId w:val="8"/>
  </w:num>
  <w:num w:numId="12">
    <w:abstractNumId w:val="5"/>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9"/>
  </w:num>
  <w:num w:numId="19">
    <w:abstractNumId w:val="21"/>
  </w:num>
  <w:num w:numId="20">
    <w:abstractNumId w:val="14"/>
  </w:num>
  <w:num w:numId="21">
    <w:abstractNumId w:val="17"/>
  </w:num>
  <w:num w:numId="22">
    <w:abstractNumId w:val="6"/>
  </w:num>
  <w:num w:numId="23">
    <w:abstractNumId w:val="3"/>
  </w:num>
  <w:num w:numId="24">
    <w:abstractNumId w:val="16"/>
  </w:num>
  <w:num w:numId="25">
    <w:abstractNumId w:val="10"/>
  </w:num>
  <w:num w:numId="26">
    <w:abstractNumId w:val="23"/>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5D76"/>
    <w:rsid w:val="00006557"/>
    <w:rsid w:val="00007BBC"/>
    <w:rsid w:val="00010DBE"/>
    <w:rsid w:val="00020A8B"/>
    <w:rsid w:val="00040667"/>
    <w:rsid w:val="000415B2"/>
    <w:rsid w:val="00056D03"/>
    <w:rsid w:val="00077CF5"/>
    <w:rsid w:val="000965C5"/>
    <w:rsid w:val="000A1964"/>
    <w:rsid w:val="000B16D5"/>
    <w:rsid w:val="000B5951"/>
    <w:rsid w:val="000B5BC9"/>
    <w:rsid w:val="000C39D8"/>
    <w:rsid w:val="000F1C1F"/>
    <w:rsid w:val="001035A0"/>
    <w:rsid w:val="00115614"/>
    <w:rsid w:val="001650A8"/>
    <w:rsid w:val="00165D3D"/>
    <w:rsid w:val="00182054"/>
    <w:rsid w:val="001829AA"/>
    <w:rsid w:val="00183129"/>
    <w:rsid w:val="00184E37"/>
    <w:rsid w:val="001904BF"/>
    <w:rsid w:val="001B29EE"/>
    <w:rsid w:val="001D5BBA"/>
    <w:rsid w:val="001D7EE8"/>
    <w:rsid w:val="001E2B0D"/>
    <w:rsid w:val="001F34B0"/>
    <w:rsid w:val="001F4298"/>
    <w:rsid w:val="002020BE"/>
    <w:rsid w:val="00233D00"/>
    <w:rsid w:val="00256D3F"/>
    <w:rsid w:val="00257856"/>
    <w:rsid w:val="00257DF2"/>
    <w:rsid w:val="00264D19"/>
    <w:rsid w:val="002709C4"/>
    <w:rsid w:val="00276510"/>
    <w:rsid w:val="0029465C"/>
    <w:rsid w:val="002B2B58"/>
    <w:rsid w:val="002F174B"/>
    <w:rsid w:val="002F3832"/>
    <w:rsid w:val="0030315D"/>
    <w:rsid w:val="00320840"/>
    <w:rsid w:val="0032358C"/>
    <w:rsid w:val="003526B8"/>
    <w:rsid w:val="003657C7"/>
    <w:rsid w:val="00367B5A"/>
    <w:rsid w:val="00371EAC"/>
    <w:rsid w:val="003773A8"/>
    <w:rsid w:val="0038159C"/>
    <w:rsid w:val="003B1877"/>
    <w:rsid w:val="003B24B2"/>
    <w:rsid w:val="003C360C"/>
    <w:rsid w:val="003C76F2"/>
    <w:rsid w:val="003D3EC5"/>
    <w:rsid w:val="003F21CB"/>
    <w:rsid w:val="00403646"/>
    <w:rsid w:val="00440461"/>
    <w:rsid w:val="00451341"/>
    <w:rsid w:val="004621A6"/>
    <w:rsid w:val="004930EE"/>
    <w:rsid w:val="00493FE8"/>
    <w:rsid w:val="0049520A"/>
    <w:rsid w:val="004D7DD4"/>
    <w:rsid w:val="004E11B1"/>
    <w:rsid w:val="00502A09"/>
    <w:rsid w:val="00533885"/>
    <w:rsid w:val="00543703"/>
    <w:rsid w:val="005972D0"/>
    <w:rsid w:val="005B5672"/>
    <w:rsid w:val="005C1B62"/>
    <w:rsid w:val="005C7FD0"/>
    <w:rsid w:val="005E71D6"/>
    <w:rsid w:val="005F7854"/>
    <w:rsid w:val="00602276"/>
    <w:rsid w:val="006058CF"/>
    <w:rsid w:val="00636846"/>
    <w:rsid w:val="00643011"/>
    <w:rsid w:val="00662CC0"/>
    <w:rsid w:val="00685E62"/>
    <w:rsid w:val="006C13CE"/>
    <w:rsid w:val="006C1761"/>
    <w:rsid w:val="006E265B"/>
    <w:rsid w:val="006E351D"/>
    <w:rsid w:val="006F2EFC"/>
    <w:rsid w:val="00707A91"/>
    <w:rsid w:val="00726935"/>
    <w:rsid w:val="007403BC"/>
    <w:rsid w:val="0077245A"/>
    <w:rsid w:val="00775E50"/>
    <w:rsid w:val="007764C1"/>
    <w:rsid w:val="00784C17"/>
    <w:rsid w:val="00790C87"/>
    <w:rsid w:val="007C1BF1"/>
    <w:rsid w:val="007D4F6F"/>
    <w:rsid w:val="007F3660"/>
    <w:rsid w:val="00801B78"/>
    <w:rsid w:val="00805170"/>
    <w:rsid w:val="00807920"/>
    <w:rsid w:val="008106B1"/>
    <w:rsid w:val="00820D64"/>
    <w:rsid w:val="0082706D"/>
    <w:rsid w:val="008517C8"/>
    <w:rsid w:val="00880CE0"/>
    <w:rsid w:val="008A6658"/>
    <w:rsid w:val="008C006A"/>
    <w:rsid w:val="008C6256"/>
    <w:rsid w:val="008D1714"/>
    <w:rsid w:val="008D3054"/>
    <w:rsid w:val="00900CDB"/>
    <w:rsid w:val="0092426A"/>
    <w:rsid w:val="00934A3C"/>
    <w:rsid w:val="0093534E"/>
    <w:rsid w:val="009503F6"/>
    <w:rsid w:val="00970318"/>
    <w:rsid w:val="009721F9"/>
    <w:rsid w:val="0097703B"/>
    <w:rsid w:val="00993F4F"/>
    <w:rsid w:val="009A2CDC"/>
    <w:rsid w:val="009C7B9F"/>
    <w:rsid w:val="009D68AE"/>
    <w:rsid w:val="009E386D"/>
    <w:rsid w:val="009E5FB4"/>
    <w:rsid w:val="00A36A90"/>
    <w:rsid w:val="00A47BBB"/>
    <w:rsid w:val="00A5626C"/>
    <w:rsid w:val="00A7337B"/>
    <w:rsid w:val="00A77B94"/>
    <w:rsid w:val="00A94554"/>
    <w:rsid w:val="00AB2EE4"/>
    <w:rsid w:val="00AC3DF7"/>
    <w:rsid w:val="00AD22E1"/>
    <w:rsid w:val="00AE3CB8"/>
    <w:rsid w:val="00AF6386"/>
    <w:rsid w:val="00B11E69"/>
    <w:rsid w:val="00B776F9"/>
    <w:rsid w:val="00B94226"/>
    <w:rsid w:val="00B94FC4"/>
    <w:rsid w:val="00B95A9B"/>
    <w:rsid w:val="00BB36F0"/>
    <w:rsid w:val="00BB4F2C"/>
    <w:rsid w:val="00BB5DE8"/>
    <w:rsid w:val="00BC01D2"/>
    <w:rsid w:val="00BD25FC"/>
    <w:rsid w:val="00C4675D"/>
    <w:rsid w:val="00C471F6"/>
    <w:rsid w:val="00C5503B"/>
    <w:rsid w:val="00C61A87"/>
    <w:rsid w:val="00C637F1"/>
    <w:rsid w:val="00C86BFF"/>
    <w:rsid w:val="00C926A4"/>
    <w:rsid w:val="00C93CE9"/>
    <w:rsid w:val="00C9519B"/>
    <w:rsid w:val="00CA1A28"/>
    <w:rsid w:val="00CB4D04"/>
    <w:rsid w:val="00CF26C0"/>
    <w:rsid w:val="00D07C0F"/>
    <w:rsid w:val="00D20B03"/>
    <w:rsid w:val="00D214AE"/>
    <w:rsid w:val="00D62E94"/>
    <w:rsid w:val="00D65F7D"/>
    <w:rsid w:val="00D8514A"/>
    <w:rsid w:val="00D8680B"/>
    <w:rsid w:val="00D9124B"/>
    <w:rsid w:val="00D96CD4"/>
    <w:rsid w:val="00DA1178"/>
    <w:rsid w:val="00DB161C"/>
    <w:rsid w:val="00DC00FF"/>
    <w:rsid w:val="00DC0458"/>
    <w:rsid w:val="00DC11EE"/>
    <w:rsid w:val="00DD17BE"/>
    <w:rsid w:val="00E23664"/>
    <w:rsid w:val="00E24D0E"/>
    <w:rsid w:val="00E353BC"/>
    <w:rsid w:val="00E40CCE"/>
    <w:rsid w:val="00E426C6"/>
    <w:rsid w:val="00E50F56"/>
    <w:rsid w:val="00E52087"/>
    <w:rsid w:val="00E6121E"/>
    <w:rsid w:val="00E77DC5"/>
    <w:rsid w:val="00EA070A"/>
    <w:rsid w:val="00EA1462"/>
    <w:rsid w:val="00EA48D2"/>
    <w:rsid w:val="00EA4BD2"/>
    <w:rsid w:val="00EB40B0"/>
    <w:rsid w:val="00EC413E"/>
    <w:rsid w:val="00EC4537"/>
    <w:rsid w:val="00EC6EE5"/>
    <w:rsid w:val="00F016EC"/>
    <w:rsid w:val="00F057B2"/>
    <w:rsid w:val="00F36DAD"/>
    <w:rsid w:val="00F51659"/>
    <w:rsid w:val="00F638B7"/>
    <w:rsid w:val="00F67821"/>
    <w:rsid w:val="00F72C9E"/>
    <w:rsid w:val="00F87F2B"/>
    <w:rsid w:val="00F95700"/>
    <w:rsid w:val="00FA0B55"/>
    <w:rsid w:val="00FC1944"/>
    <w:rsid w:val="00FC29BB"/>
    <w:rsid w:val="00FC3951"/>
    <w:rsid w:val="00FC4B2D"/>
    <w:rsid w:val="00FF015C"/>
    <w:rsid w:val="00FF2D7D"/>
    <w:rsid w:val="0275C9EE"/>
    <w:rsid w:val="03D4ECC6"/>
    <w:rsid w:val="2506B968"/>
    <w:rsid w:val="36C09B19"/>
    <w:rsid w:val="3E24BE47"/>
    <w:rsid w:val="51583B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9520A"/>
    <w:pPr>
      <w:keepNext/>
      <w:keepLines/>
      <w:numPr>
        <w:numId w:val="14"/>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49520A"/>
    <w:pPr>
      <w:keepNext/>
      <w:keepLines/>
      <w:numPr>
        <w:ilvl w:val="1"/>
        <w:numId w:val="14"/>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F36DAD"/>
    <w:pPr>
      <w:keepNext/>
      <w:keepLines/>
      <w:numPr>
        <w:ilvl w:val="2"/>
        <w:numId w:val="14"/>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numPr>
        <w:ilvl w:val="3"/>
        <w:numId w:val="14"/>
      </w:numPr>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numPr>
        <w:ilvl w:val="4"/>
        <w:numId w:val="14"/>
      </w:numPr>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5C1B62"/>
    <w:pPr>
      <w:keepNext/>
      <w:keepLines/>
      <w:numPr>
        <w:ilvl w:val="5"/>
        <w:numId w:val="14"/>
      </w:numPr>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5C1B62"/>
    <w:pPr>
      <w:keepNext/>
      <w:keepLines/>
      <w:numPr>
        <w:ilvl w:val="6"/>
        <w:numId w:val="14"/>
      </w:numPr>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5C1B62"/>
    <w:pPr>
      <w:keepNext/>
      <w:keepLines/>
      <w:numPr>
        <w:ilvl w:val="7"/>
        <w:numId w:val="14"/>
      </w:numPr>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5C1B62"/>
    <w:pPr>
      <w:keepNext/>
      <w:keepLines/>
      <w:numPr>
        <w:ilvl w:val="8"/>
        <w:numId w:val="14"/>
      </w:numPr>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A"/>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49520A"/>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F36DAD"/>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Level2"/>
    <w:link w:val="ListLevel1Char"/>
    <w:qFormat/>
    <w:rsid w:val="0049520A"/>
    <w:pPr>
      <w:numPr>
        <w:numId w:val="5"/>
      </w:numPr>
    </w:p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Recommendation,List Paragraph1,Bullet table,Bullet L1,List Paragraph11,Bullet point,Figure_name,Numbered Indented Text,Bullet- First level,List NUmber,Listenabsatz1,lp1,Body text,NAST Quote,standard lewis,List Number1,Body Text1"/>
    <w:basedOn w:val="Normal"/>
    <w:link w:val="ListParagraphChar"/>
    <w:uiPriority w:val="34"/>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uiPriority w:val="5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276510"/>
    <w:pPr>
      <w:spacing w:after="360"/>
    </w:pPr>
    <w:rPr>
      <w:b/>
      <w:sz w:val="28"/>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link w:val="NoSpacingChar"/>
    <w:uiPriority w:val="1"/>
    <w:qFormat/>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styleId="TOC2">
    <w:name w:val="toc 2"/>
    <w:basedOn w:val="Normal"/>
    <w:next w:val="Normal"/>
    <w:autoRedefine/>
    <w:uiPriority w:val="39"/>
    <w:unhideWhenUsed/>
    <w:rsid w:val="00367B5A"/>
    <w:pPr>
      <w:spacing w:after="100"/>
      <w:ind w:left="220"/>
    </w:pPr>
  </w:style>
  <w:style w:type="paragraph" w:styleId="TOCHeading">
    <w:name w:val="TOC Heading"/>
    <w:basedOn w:val="Heading1"/>
    <w:next w:val="Normal"/>
    <w:uiPriority w:val="39"/>
    <w:unhideWhenUsed/>
    <w:qFormat/>
    <w:rsid w:val="00367B5A"/>
    <w:pPr>
      <w:spacing w:before="240" w:after="0" w:line="259" w:lineRule="auto"/>
      <w:outlineLvl w:val="9"/>
    </w:pPr>
    <w:rPr>
      <w:rFonts w:asciiTheme="majorHAnsi" w:hAnsiTheme="majorHAnsi"/>
      <w:b w:val="0"/>
      <w:color w:val="0F1D23" w:themeColor="accent1" w:themeShade="BF"/>
      <w:sz w:val="32"/>
      <w:lang w:val="en-US"/>
    </w:rPr>
  </w:style>
  <w:style w:type="paragraph" w:styleId="TOC3">
    <w:name w:val="toc 3"/>
    <w:basedOn w:val="Normal"/>
    <w:next w:val="Normal"/>
    <w:autoRedefine/>
    <w:uiPriority w:val="39"/>
    <w:unhideWhenUsed/>
    <w:rsid w:val="00367B5A"/>
    <w:pPr>
      <w:spacing w:after="100"/>
      <w:ind w:left="440"/>
    </w:pPr>
  </w:style>
  <w:style w:type="character" w:customStyle="1" w:styleId="ListParagraphChar">
    <w:name w:val="List Paragraph Char"/>
    <w:aliases w:val="Recommendation Char,List Paragraph1 Char,Bullet table Char,Bullet L1 Char,List Paragraph11 Char,Bullet point Char,Figure_name Char,Numbered Indented Text Char,Bullet- First level Char,List NUmber Char,Listenabsatz1 Char,lp1 Char"/>
    <w:link w:val="ListParagraph"/>
    <w:uiPriority w:val="34"/>
    <w:locked/>
    <w:rsid w:val="00AF6386"/>
    <w:rPr>
      <w:rFonts w:ascii="Arial" w:hAnsi="Arial"/>
      <w:color w:val="15272F" w:themeColor="text1"/>
    </w:rPr>
  </w:style>
  <w:style w:type="character" w:customStyle="1" w:styleId="NoSpacingChar">
    <w:name w:val="No Spacing Char"/>
    <w:basedOn w:val="DefaultParagraphFont"/>
    <w:link w:val="NoSpacing"/>
    <w:uiPriority w:val="1"/>
    <w:rsid w:val="00AF6386"/>
    <w:rPr>
      <w:rFonts w:ascii="Arial" w:hAnsi="Arial"/>
      <w:color w:val="15272F" w:themeColor="text1"/>
    </w:rPr>
  </w:style>
  <w:style w:type="paragraph" w:customStyle="1" w:styleId="Default">
    <w:name w:val="Default"/>
    <w:rsid w:val="00AF6386"/>
    <w:pPr>
      <w:autoSpaceDE w:val="0"/>
      <w:autoSpaceDN w:val="0"/>
      <w:adjustRightInd w:val="0"/>
      <w:spacing w:after="0" w:line="240" w:lineRule="auto"/>
    </w:pPr>
    <w:rPr>
      <w:rFonts w:ascii="Arial" w:eastAsia="Times New Roman" w:hAnsi="Arial" w:cs="Arial"/>
      <w:color w:val="000000"/>
      <w:sz w:val="24"/>
      <w:szCs w:val="24"/>
      <w:lang w:val="en-US" w:eastAsia="en-AU"/>
    </w:rPr>
  </w:style>
  <w:style w:type="paragraph" w:styleId="ListBullet">
    <w:name w:val="List Bullet"/>
    <w:basedOn w:val="Normal"/>
    <w:autoRedefine/>
    <w:uiPriority w:val="3"/>
    <w:rsid w:val="005C1B62"/>
    <w:pPr>
      <w:numPr>
        <w:numId w:val="9"/>
      </w:numPr>
      <w:spacing w:before="60" w:after="60" w:line="260" w:lineRule="atLeast"/>
    </w:pPr>
    <w:rPr>
      <w:rFonts w:eastAsia="Times New Roman" w:cs="Times New Roman"/>
      <w:color w:val="auto"/>
      <w:szCs w:val="24"/>
      <w:lang w:val="en-AU" w:eastAsia="en-AU"/>
    </w:rPr>
  </w:style>
  <w:style w:type="paragraph" w:styleId="Caption">
    <w:name w:val="caption"/>
    <w:basedOn w:val="Normal"/>
    <w:next w:val="Normal"/>
    <w:autoRedefine/>
    <w:unhideWhenUsed/>
    <w:rsid w:val="009A2CDC"/>
    <w:pPr>
      <w:keepNext/>
    </w:pPr>
    <w:rPr>
      <w:rFonts w:eastAsia="Times New Roman" w:cs="Times New Roman"/>
      <w:b/>
      <w:bCs/>
      <w:color w:val="auto"/>
      <w:sz w:val="18"/>
      <w:szCs w:val="18"/>
      <w:lang w:val="en-AU" w:eastAsia="en-AU"/>
    </w:rPr>
  </w:style>
  <w:style w:type="character" w:styleId="IntenseReference">
    <w:name w:val="Intense Reference"/>
    <w:basedOn w:val="DefaultParagraphFont"/>
    <w:uiPriority w:val="32"/>
    <w:qFormat/>
    <w:rsid w:val="005C1B62"/>
    <w:rPr>
      <w:b/>
      <w:bCs/>
      <w:smallCaps/>
      <w:color w:val="104F99" w:themeColor="accent2"/>
      <w:spacing w:val="5"/>
      <w:u w:val="single"/>
    </w:rPr>
  </w:style>
  <w:style w:type="character" w:customStyle="1" w:styleId="Heading6Char">
    <w:name w:val="Heading 6 Char"/>
    <w:basedOn w:val="DefaultParagraphFont"/>
    <w:link w:val="Heading6"/>
    <w:uiPriority w:val="9"/>
    <w:semiHidden/>
    <w:rsid w:val="005C1B62"/>
    <w:rPr>
      <w:rFonts w:asciiTheme="majorHAnsi" w:eastAsiaTheme="majorEastAsia" w:hAnsiTheme="majorHAnsi" w:cstheme="majorBidi"/>
      <w:color w:val="0A1317" w:themeColor="accent1" w:themeShade="7F"/>
    </w:rPr>
  </w:style>
  <w:style w:type="character" w:customStyle="1" w:styleId="Heading7Char">
    <w:name w:val="Heading 7 Char"/>
    <w:basedOn w:val="DefaultParagraphFont"/>
    <w:link w:val="Heading7"/>
    <w:uiPriority w:val="9"/>
    <w:semiHidden/>
    <w:rsid w:val="005C1B62"/>
    <w:rPr>
      <w:rFonts w:asciiTheme="majorHAnsi" w:eastAsiaTheme="majorEastAsia" w:hAnsiTheme="majorHAnsi" w:cstheme="majorBidi"/>
      <w:i/>
      <w:iCs/>
      <w:color w:val="0A1317" w:themeColor="accent1" w:themeShade="7F"/>
    </w:rPr>
  </w:style>
  <w:style w:type="character" w:customStyle="1" w:styleId="Heading8Char">
    <w:name w:val="Heading 8 Char"/>
    <w:basedOn w:val="DefaultParagraphFont"/>
    <w:link w:val="Heading8"/>
    <w:uiPriority w:val="9"/>
    <w:semiHidden/>
    <w:rsid w:val="005C1B62"/>
    <w:rPr>
      <w:rFonts w:asciiTheme="majorHAnsi" w:eastAsiaTheme="majorEastAsia" w:hAnsiTheme="majorHAnsi" w:cstheme="majorBidi"/>
      <w:color w:val="294D5D" w:themeColor="text1" w:themeTint="D8"/>
      <w:sz w:val="21"/>
      <w:szCs w:val="21"/>
    </w:rPr>
  </w:style>
  <w:style w:type="character" w:customStyle="1" w:styleId="Heading9Char">
    <w:name w:val="Heading 9 Char"/>
    <w:basedOn w:val="DefaultParagraphFont"/>
    <w:link w:val="Heading9"/>
    <w:uiPriority w:val="9"/>
    <w:semiHidden/>
    <w:rsid w:val="005C1B62"/>
    <w:rPr>
      <w:rFonts w:asciiTheme="majorHAnsi" w:eastAsiaTheme="majorEastAsia" w:hAnsiTheme="majorHAnsi" w:cstheme="majorBidi"/>
      <w:i/>
      <w:iCs/>
      <w:color w:val="294D5D" w:themeColor="text1" w:themeTint="D8"/>
      <w:sz w:val="21"/>
      <w:szCs w:val="21"/>
    </w:rPr>
  </w:style>
  <w:style w:type="paragraph" w:styleId="FootnoteText">
    <w:name w:val="footnote text"/>
    <w:basedOn w:val="Normal"/>
    <w:link w:val="FootnoteTextChar"/>
    <w:autoRedefine/>
    <w:uiPriority w:val="99"/>
    <w:rsid w:val="00784C17"/>
    <w:pPr>
      <w:spacing w:after="0" w:line="240" w:lineRule="auto"/>
      <w:ind w:left="142" w:hanging="142"/>
    </w:pPr>
    <w:rPr>
      <w:rFonts w:eastAsia="Times New Roman" w:cs="Times New Roman"/>
      <w:color w:val="auto"/>
      <w:szCs w:val="20"/>
      <w:lang w:val="en-AU" w:eastAsia="en-AU"/>
    </w:rPr>
  </w:style>
  <w:style w:type="character" w:customStyle="1" w:styleId="FootnoteTextChar">
    <w:name w:val="Footnote Text Char"/>
    <w:basedOn w:val="DefaultParagraphFont"/>
    <w:link w:val="FootnoteText"/>
    <w:uiPriority w:val="99"/>
    <w:rsid w:val="00784C17"/>
    <w:rPr>
      <w:rFonts w:ascii="Arial" w:eastAsia="Times New Roman" w:hAnsi="Arial" w:cs="Times New Roman"/>
      <w:szCs w:val="20"/>
      <w:lang w:val="en-AU" w:eastAsia="en-AU"/>
    </w:rPr>
  </w:style>
  <w:style w:type="character" w:styleId="FootnoteReference">
    <w:name w:val="footnote reference"/>
    <w:basedOn w:val="DefaultParagraphFont"/>
    <w:uiPriority w:val="99"/>
    <w:rsid w:val="00F057B2"/>
    <w:rPr>
      <w:vertAlign w:val="superscript"/>
    </w:rPr>
  </w:style>
  <w:style w:type="table" w:customStyle="1" w:styleId="ListTable3-Accent11">
    <w:name w:val="List Table 3 - Accent 11"/>
    <w:basedOn w:val="TableNormal"/>
    <w:uiPriority w:val="48"/>
    <w:rsid w:val="00F057B2"/>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15272F" w:themeColor="accent1"/>
        <w:left w:val="single" w:sz="4" w:space="0" w:color="15272F" w:themeColor="accent1"/>
        <w:bottom w:val="single" w:sz="4" w:space="0" w:color="15272F" w:themeColor="accent1"/>
        <w:right w:val="single" w:sz="4" w:space="0" w:color="15272F" w:themeColor="accent1"/>
      </w:tblBorders>
    </w:tblPr>
    <w:tblStylePr w:type="firstRow">
      <w:rPr>
        <w:b/>
        <w:bCs/>
        <w:color w:val="54C1AF" w:themeColor="background1"/>
      </w:rPr>
      <w:tblPr/>
      <w:tcPr>
        <w:shd w:val="clear" w:color="auto" w:fill="15272F" w:themeFill="accent1"/>
      </w:tcPr>
    </w:tblStylePr>
    <w:tblStylePr w:type="lastRow">
      <w:rPr>
        <w:b/>
        <w:bCs/>
      </w:rPr>
      <w:tblPr/>
      <w:tcPr>
        <w:tcBorders>
          <w:top w:val="double" w:sz="4" w:space="0" w:color="15272F" w:themeColor="accen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accent1"/>
          <w:right w:val="single" w:sz="4" w:space="0" w:color="15272F" w:themeColor="accent1"/>
        </w:tcBorders>
      </w:tcPr>
    </w:tblStylePr>
    <w:tblStylePr w:type="band1Horz">
      <w:tblPr/>
      <w:tcPr>
        <w:tcBorders>
          <w:top w:val="single" w:sz="4" w:space="0" w:color="15272F" w:themeColor="accent1"/>
          <w:bottom w:val="single" w:sz="4" w:space="0" w:color="15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accent1"/>
          <w:left w:val="nil"/>
        </w:tcBorders>
      </w:tcPr>
    </w:tblStylePr>
    <w:tblStylePr w:type="swCell">
      <w:tblPr/>
      <w:tcPr>
        <w:tcBorders>
          <w:top w:val="double" w:sz="4" w:space="0" w:color="15272F" w:themeColor="accent1"/>
          <w:right w:val="nil"/>
        </w:tcBorders>
      </w:tcPr>
    </w:tblStylePr>
  </w:style>
  <w:style w:type="character" w:styleId="CommentReference">
    <w:name w:val="annotation reference"/>
    <w:basedOn w:val="DefaultParagraphFont"/>
    <w:uiPriority w:val="99"/>
    <w:semiHidden/>
    <w:unhideWhenUsed/>
    <w:rsid w:val="002F3832"/>
    <w:rPr>
      <w:sz w:val="16"/>
      <w:szCs w:val="16"/>
    </w:rPr>
  </w:style>
  <w:style w:type="paragraph" w:styleId="CommentText">
    <w:name w:val="annotation text"/>
    <w:basedOn w:val="Normal"/>
    <w:link w:val="CommentTextChar"/>
    <w:uiPriority w:val="99"/>
    <w:semiHidden/>
    <w:unhideWhenUsed/>
    <w:rsid w:val="002F3832"/>
    <w:pPr>
      <w:spacing w:line="240" w:lineRule="auto"/>
    </w:pPr>
    <w:rPr>
      <w:sz w:val="20"/>
      <w:szCs w:val="20"/>
    </w:rPr>
  </w:style>
  <w:style w:type="character" w:customStyle="1" w:styleId="CommentTextChar">
    <w:name w:val="Comment Text Char"/>
    <w:basedOn w:val="DefaultParagraphFont"/>
    <w:link w:val="CommentText"/>
    <w:uiPriority w:val="99"/>
    <w:semiHidden/>
    <w:rsid w:val="002F3832"/>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2F3832"/>
    <w:rPr>
      <w:b/>
      <w:bCs/>
    </w:rPr>
  </w:style>
  <w:style w:type="character" w:customStyle="1" w:styleId="CommentSubjectChar">
    <w:name w:val="Comment Subject Char"/>
    <w:basedOn w:val="CommentTextChar"/>
    <w:link w:val="CommentSubject"/>
    <w:uiPriority w:val="99"/>
    <w:semiHidden/>
    <w:rsid w:val="002F3832"/>
    <w:rPr>
      <w:rFonts w:ascii="Arial" w:hAnsi="Arial"/>
      <w:b/>
      <w:bCs/>
      <w:color w:val="15272F" w:themeColor="text1"/>
      <w:sz w:val="20"/>
      <w:szCs w:val="20"/>
    </w:rPr>
  </w:style>
  <w:style w:type="character" w:styleId="FollowedHyperlink">
    <w:name w:val="FollowedHyperlink"/>
    <w:basedOn w:val="DefaultParagraphFont"/>
    <w:uiPriority w:val="99"/>
    <w:semiHidden/>
    <w:unhideWhenUsed/>
    <w:rsid w:val="00AB2EE4"/>
    <w:rPr>
      <w:color w:val="104F99" w:themeColor="followedHyperlink"/>
      <w:u w:val="single"/>
    </w:rPr>
  </w:style>
  <w:style w:type="paragraph" w:styleId="Revision">
    <w:name w:val="Revision"/>
    <w:hidden/>
    <w:uiPriority w:val="99"/>
    <w:semiHidden/>
    <w:rsid w:val="00AB2EE4"/>
    <w:pPr>
      <w:spacing w:after="0" w:line="240" w:lineRule="auto"/>
    </w:pPr>
    <w:rPr>
      <w:rFonts w:ascii="Arial" w:hAnsi="Arial"/>
      <w:color w:val="1527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IHACPA"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nquiries.ihacpa@ihacp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ihacp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acpa.gov.au/resources/development-admitted-care-classifications" TargetMode="External"/><Relationship Id="rId7" Type="http://schemas.openxmlformats.org/officeDocument/2006/relationships/hyperlink" Target="https://www.ihacpa.gov.au/resources/consultation-paper-pricing-framework-australian-public-hospital-services-2020-21" TargetMode="External"/><Relationship Id="rId2" Type="http://schemas.openxmlformats.org/officeDocument/2006/relationships/hyperlink" Target="https://www.ihacpa.gov.au/resources/governance-framework-development-admitted-care-classifications" TargetMode="External"/><Relationship Id="rId1" Type="http://schemas.openxmlformats.org/officeDocument/2006/relationships/hyperlink" Target="https://www.ihacpa.gov.au/development-cycle-review" TargetMode="External"/><Relationship Id="rId6" Type="http://schemas.openxmlformats.org/officeDocument/2006/relationships/hyperlink" Target="https://www.ihacpa.gov.au/resources/consultation-paper-pricing-framework-australian-public-hospital-services-2019-20" TargetMode="External"/><Relationship Id="rId5" Type="http://schemas.openxmlformats.org/officeDocument/2006/relationships/hyperlink" Target="https://meteor.aihw.gov.au/content/index.phtml/itemId/635126" TargetMode="External"/><Relationship Id="rId4" Type="http://schemas.openxmlformats.org/officeDocument/2006/relationships/hyperlink" Target="https://www.ihacpa.gov.au/resources/consultation-paper-pricing-framework-australian-public-hospital-services-201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8" ma:contentTypeDescription="Create a new document." ma:contentTypeScope="" ma:versionID="9f5b88082782bc2895508121d9c4a487">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625e27645a5741d57a68ea3e682a5868"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DFDCB-1335-4834-AC94-8499D401E3D9}">
  <ds:schemaRefs>
    <ds:schemaRef ds:uri="http://schemas.microsoft.com/office/2006/metadata/properties"/>
    <ds:schemaRef ds:uri="http://purl.org/dc/terms/"/>
    <ds:schemaRef ds:uri="33d10c6f-0c16-4b9b-af64-e700fb2b70ed"/>
    <ds:schemaRef ds:uri="2890e816-91e8-4f4f-9f85-30577999f8b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B770D2-F328-40D2-8ACB-FFE1069D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4.xml><?xml version="1.0" encoding="utf-8"?>
<ds:datastoreItem xmlns:ds="http://schemas.openxmlformats.org/officeDocument/2006/customXml" ds:itemID="{97C0B3D3-796A-42F8-A098-234497BAD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9952</Words>
  <Characters>56729</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HONIG, Tracey</cp:lastModifiedBy>
  <cp:revision>2</cp:revision>
  <cp:lastPrinted>2023-01-13T07:59:00Z</cp:lastPrinted>
  <dcterms:created xsi:type="dcterms:W3CDTF">2023-03-15T23:54:00Z</dcterms:created>
  <dcterms:modified xsi:type="dcterms:W3CDTF">2023-03-15T23:54:00Z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y fmtid="{D5CDD505-2E9C-101B-9397-08002B2CF9AE}" pid="3" name="MediaServiceImageTags">
    <vt:lpwstr/>
  </property>
</Properties>
</file>