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3.xml" ContentType="application/vnd.openxmlformats-officedocument.wordprocessingml.header+xml"/>
  <Override PartName="/word/footer37.xml" ContentType="application/vnd.openxmlformats-officedocument.wordprocessingml.footer+xml"/>
  <Override PartName="/word/header4.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header5.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header6.xml" ContentType="application/vnd.openxmlformats-officedocument.wordprocessingml.header+xml"/>
  <Override PartName="/word/footer90.xml" ContentType="application/vnd.openxmlformats-officedocument.wordprocessingml.footer+xml"/>
  <Override PartName="/word/header7.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header8.xml" ContentType="application/vnd.openxmlformats-officedocument.wordprocessingml.header+xml"/>
  <Override PartName="/word/footer11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header11.xml" ContentType="application/vnd.openxmlformats-officedocument.wordprocessingml.header+xml"/>
  <Override PartName="/word/footer1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64BF0" w14:textId="6CA253BC" w:rsidR="00390694" w:rsidRPr="000C3EA0" w:rsidRDefault="008B279C" w:rsidP="000C3EA0">
      <w:pPr>
        <w:spacing w:before="100" w:beforeAutospacing="1" w:after="1920" w:line="192" w:lineRule="auto"/>
        <w:jc w:val="center"/>
        <w:rPr>
          <w:rFonts w:asciiTheme="majorHAnsi" w:hAnsiTheme="majorHAnsi"/>
          <w:color w:val="FFFFFF" w:themeColor="background2"/>
          <w:sz w:val="130"/>
          <w:szCs w:val="130"/>
        </w:rPr>
      </w:pPr>
      <w:r w:rsidRPr="000C3EA0">
        <w:rPr>
          <w:rFonts w:asciiTheme="majorHAnsi" w:hAnsiTheme="majorHAnsi"/>
          <w:noProof/>
          <w:color w:val="FFFFFF" w:themeColor="background2"/>
          <w:sz w:val="130"/>
          <w:szCs w:val="130"/>
          <w:lang w:eastAsia="en-AU"/>
        </w:rPr>
        <w:drawing>
          <wp:anchor distT="0" distB="0" distL="114300" distR="114300" simplePos="0" relativeHeight="252002304" behindDoc="1" locked="0" layoutInCell="1" allowOverlap="1" wp14:anchorId="1E294125" wp14:editId="7DD34F65">
            <wp:simplePos x="0" y="0"/>
            <wp:positionH relativeFrom="margin">
              <wp:posOffset>-743239</wp:posOffset>
            </wp:positionH>
            <wp:positionV relativeFrom="margin">
              <wp:posOffset>-473363</wp:posOffset>
            </wp:positionV>
            <wp:extent cx="6378575" cy="9029412"/>
            <wp:effectExtent l="0" t="0" r="0" b="635"/>
            <wp:wrapNone/>
            <wp:docPr id="154" name="Picture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a:extLst>
                        <a:ext uri="{C183D7F6-B498-43B3-948B-1728B52AA6E4}">
                          <adec:decorative xmlns:adec="http://schemas.microsoft.com/office/drawing/2017/decorative" val="1"/>
                        </a:ext>
                      </a:extLst>
                    </pic:cNvPr>
                    <pic:cNvPicPr/>
                  </pic:nvPicPr>
                  <pic:blipFill>
                    <a:blip r:embed="rId8"/>
                    <a:stretch>
                      <a:fillRect/>
                    </a:stretch>
                  </pic:blipFill>
                  <pic:spPr>
                    <a:xfrm>
                      <a:off x="0" y="0"/>
                      <a:ext cx="6379435" cy="9030630"/>
                    </a:xfrm>
                    <a:prstGeom prst="rect">
                      <a:avLst/>
                    </a:prstGeom>
                  </pic:spPr>
                </pic:pic>
              </a:graphicData>
            </a:graphic>
            <wp14:sizeRelH relativeFrom="margin">
              <wp14:pctWidth>0</wp14:pctWidth>
            </wp14:sizeRelH>
            <wp14:sizeRelV relativeFrom="margin">
              <wp14:pctHeight>0</wp14:pctHeight>
            </wp14:sizeRelV>
          </wp:anchor>
        </w:drawing>
      </w:r>
      <w:r w:rsidR="00390694" w:rsidRPr="000C3EA0">
        <w:rPr>
          <w:rFonts w:asciiTheme="majorHAnsi" w:hAnsiTheme="majorHAnsi"/>
          <w:color w:val="FFFFFF" w:themeColor="background2"/>
          <w:sz w:val="130"/>
          <w:szCs w:val="130"/>
        </w:rPr>
        <w:t>A</w:t>
      </w:r>
      <w:r w:rsidR="008E403F" w:rsidRPr="000C3EA0">
        <w:rPr>
          <w:rFonts w:asciiTheme="majorHAnsi" w:hAnsiTheme="majorHAnsi"/>
          <w:color w:val="FFFFFF" w:themeColor="background2"/>
          <w:sz w:val="130"/>
          <w:szCs w:val="130"/>
        </w:rPr>
        <w:t>nnual</w:t>
      </w:r>
      <w:r w:rsidR="00447AFB" w:rsidRPr="000C3EA0">
        <w:rPr>
          <w:rFonts w:asciiTheme="majorHAnsi" w:hAnsiTheme="majorHAnsi"/>
          <w:color w:val="FFFFFF" w:themeColor="background2"/>
          <w:sz w:val="130"/>
          <w:szCs w:val="130"/>
        </w:rPr>
        <w:br/>
      </w:r>
      <w:r w:rsidR="00390694" w:rsidRPr="000C3EA0">
        <w:rPr>
          <w:rFonts w:asciiTheme="majorHAnsi" w:hAnsiTheme="majorHAnsi"/>
          <w:color w:val="FFFFFF" w:themeColor="background2"/>
          <w:sz w:val="130"/>
          <w:szCs w:val="130"/>
        </w:rPr>
        <w:t>R</w:t>
      </w:r>
      <w:r w:rsidR="008E403F" w:rsidRPr="000C3EA0">
        <w:rPr>
          <w:rFonts w:asciiTheme="majorHAnsi" w:hAnsiTheme="majorHAnsi"/>
          <w:color w:val="FFFFFF" w:themeColor="background2"/>
          <w:sz w:val="130"/>
          <w:szCs w:val="130"/>
        </w:rPr>
        <w:t>eport</w:t>
      </w:r>
    </w:p>
    <w:p w14:paraId="33259037" w14:textId="2B6C7735" w:rsidR="00390694" w:rsidRPr="00AE7B9E" w:rsidRDefault="00390694" w:rsidP="000C3EA0">
      <w:pPr>
        <w:pStyle w:val="Year"/>
        <w:spacing w:after="4200"/>
        <w:rPr>
          <w:rFonts w:ascii="Futura PT Medium" w:hAnsi="Futura PT Medium"/>
          <w:color w:val="FFFFFF" w:themeColor="background2"/>
          <w:sz w:val="84"/>
          <w:szCs w:val="84"/>
        </w:rPr>
      </w:pPr>
      <w:r w:rsidRPr="00AE7B9E">
        <w:rPr>
          <w:rFonts w:ascii="Futura PT Medium" w:hAnsi="Futura PT Medium"/>
          <w:color w:val="FFFFFF" w:themeColor="background2"/>
          <w:sz w:val="84"/>
          <w:szCs w:val="84"/>
        </w:rPr>
        <w:t>202</w:t>
      </w:r>
      <w:r w:rsidR="008839FE" w:rsidRPr="00AE7B9E">
        <w:rPr>
          <w:rFonts w:ascii="Futura PT Medium" w:hAnsi="Futura PT Medium"/>
          <w:color w:val="FFFFFF" w:themeColor="background2"/>
          <w:sz w:val="84"/>
          <w:szCs w:val="84"/>
        </w:rPr>
        <w:t>1</w:t>
      </w:r>
      <w:r w:rsidR="00DF0D1E" w:rsidRPr="00AE7B9E">
        <w:rPr>
          <w:rFonts w:ascii="Futura PT Medium" w:hAnsi="Futura PT Medium"/>
          <w:color w:val="FFFFFF" w:themeColor="background2"/>
          <w:sz w:val="84"/>
          <w:szCs w:val="84"/>
        </w:rPr>
        <w:t>–</w:t>
      </w:r>
      <w:r w:rsidRPr="00AE7B9E">
        <w:rPr>
          <w:rFonts w:ascii="Futura PT Medium" w:hAnsi="Futura PT Medium"/>
          <w:color w:val="FFFFFF" w:themeColor="background2"/>
          <w:sz w:val="84"/>
          <w:szCs w:val="84"/>
        </w:rPr>
        <w:t>2</w:t>
      </w:r>
      <w:r w:rsidR="008839FE" w:rsidRPr="00AE7B9E">
        <w:rPr>
          <w:rFonts w:ascii="Futura PT Medium" w:hAnsi="Futura PT Medium"/>
          <w:color w:val="FFFFFF" w:themeColor="background2"/>
          <w:sz w:val="84"/>
          <w:szCs w:val="84"/>
        </w:rPr>
        <w:t>2</w:t>
      </w:r>
    </w:p>
    <w:p w14:paraId="5C40F3C9" w14:textId="42D54301" w:rsidR="00447AFB" w:rsidRPr="00447AFB" w:rsidRDefault="00447AFB" w:rsidP="00EE1FE9">
      <w:pPr>
        <w:pStyle w:val="Year"/>
        <w:rPr>
          <w:color w:val="FFFFFF" w:themeColor="background2"/>
          <w:sz w:val="28"/>
          <w:szCs w:val="28"/>
        </w:rPr>
      </w:pPr>
      <w:r>
        <w:rPr>
          <w:noProof/>
          <w:lang w:eastAsia="en-AU"/>
        </w:rPr>
        <w:drawing>
          <wp:inline distT="0" distB="0" distL="0" distR="0" wp14:anchorId="0A78672A" wp14:editId="78C01585">
            <wp:extent cx="488129" cy="739775"/>
            <wp:effectExtent l="0" t="0" r="7620" b="3175"/>
            <wp:docPr id="3" name="Picture 3" descr="Independent Hospital Pricing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dependent Hospital Pricing Authority logo"/>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488129" cy="739775"/>
                    </a:xfrm>
                    <a:prstGeom prst="rect">
                      <a:avLst/>
                    </a:prstGeom>
                    <a:noFill/>
                    <a:ln>
                      <a:noFill/>
                    </a:ln>
                  </pic:spPr>
                </pic:pic>
              </a:graphicData>
            </a:graphic>
          </wp:inline>
        </w:drawing>
      </w:r>
    </w:p>
    <w:p w14:paraId="08E8FD74" w14:textId="4674E801" w:rsidR="00DD1A86" w:rsidRPr="000C3EA0" w:rsidRDefault="00390694" w:rsidP="00447AFB">
      <w:pPr>
        <w:pStyle w:val="Subtitle"/>
        <w:spacing w:before="600"/>
        <w:rPr>
          <w:sz w:val="24"/>
          <w:szCs w:val="24"/>
        </w:rPr>
      </w:pPr>
      <w:r w:rsidRPr="000C3EA0">
        <w:rPr>
          <w:sz w:val="24"/>
          <w:szCs w:val="24"/>
        </w:rPr>
        <w:t>Independent Hospital Pricing Authority</w:t>
      </w:r>
    </w:p>
    <w:p w14:paraId="07CFB657" w14:textId="77777777" w:rsidR="00DD1A86" w:rsidRDefault="00DD1A86" w:rsidP="00390694">
      <w:pPr>
        <w:sectPr w:rsidR="00DD1A86" w:rsidSect="000C3EA0">
          <w:footerReference w:type="even" r:id="rId10"/>
          <w:footerReference w:type="default" r:id="rId11"/>
          <w:pgSz w:w="9979" w:h="14175"/>
          <w:pgMar w:top="709" w:right="1134" w:bottom="1134" w:left="1134" w:header="709" w:footer="709" w:gutter="0"/>
          <w:cols w:space="708"/>
          <w:docGrid w:linePitch="360"/>
        </w:sectPr>
      </w:pPr>
    </w:p>
    <w:p w14:paraId="08BCBBF3" w14:textId="0B253D76" w:rsidR="00E14AB4" w:rsidRPr="00CE1E27" w:rsidRDefault="00E14AB4" w:rsidP="00E14AB4">
      <w:pPr>
        <w:pStyle w:val="H4"/>
        <w:spacing w:before="0"/>
        <w:rPr>
          <w:bCs w:val="0"/>
        </w:rPr>
      </w:pPr>
      <w:bookmarkStart w:id="0" w:name="_Toc44349571"/>
      <w:bookmarkStart w:id="1" w:name="_Toc44350163"/>
      <w:bookmarkStart w:id="2" w:name="_Toc45192378"/>
      <w:bookmarkStart w:id="3" w:name="_Toc45636762"/>
      <w:bookmarkStart w:id="4" w:name="_Toc45705618"/>
      <w:bookmarkStart w:id="5" w:name="_Toc46151558"/>
      <w:bookmarkStart w:id="6" w:name="_Toc50378054"/>
      <w:bookmarkStart w:id="7" w:name="_Toc76743776"/>
      <w:bookmarkStart w:id="8" w:name="_Toc76744203"/>
      <w:bookmarkStart w:id="9" w:name="_Toc76746599"/>
      <w:bookmarkStart w:id="10" w:name="_Toc77354650"/>
      <w:r>
        <w:rPr>
          <w:bCs w:val="0"/>
        </w:rPr>
        <w:lastRenderedPageBreak/>
        <w:t>Acknowledgement of Country</w:t>
      </w:r>
    </w:p>
    <w:p w14:paraId="02F5FF88" w14:textId="2FE3EBFC" w:rsidR="00E14AB4" w:rsidRDefault="00E14AB4" w:rsidP="00E14AB4">
      <w:pPr>
        <w:pStyle w:val="Body"/>
        <w:ind w:right="3033"/>
      </w:pPr>
      <w:r w:rsidRPr="003159AF">
        <w:t xml:space="preserve">We, the </w:t>
      </w:r>
      <w:r w:rsidRPr="00877086">
        <w:t>Independent H</w:t>
      </w:r>
      <w:r w:rsidR="008843E3">
        <w:t>ealth</w:t>
      </w:r>
      <w:r w:rsidRPr="00877086">
        <w:t xml:space="preserve"> </w:t>
      </w:r>
      <w:r w:rsidR="004E27F2">
        <w:t>and Aged Care Pricing</w:t>
      </w:r>
      <w:r w:rsidRPr="00877086">
        <w:t xml:space="preserve"> Authority</w:t>
      </w:r>
      <w:r w:rsidRPr="003159AF">
        <w:t xml:space="preserve">, acknowledge the Traditional Owners and Custodians of Country throughout Australia. </w:t>
      </w:r>
      <w:r>
        <w:t xml:space="preserve">We acknowledge and respect the Traditional Custodians, </w:t>
      </w:r>
      <w:r w:rsidRPr="001B6F60">
        <w:t xml:space="preserve">the Gadigal people, </w:t>
      </w:r>
      <w:r>
        <w:t xml:space="preserve">whose ancestral lands are where </w:t>
      </w:r>
      <w:r w:rsidR="008843E3">
        <w:t>our</w:t>
      </w:r>
      <w:r>
        <w:t xml:space="preserve"> office</w:t>
      </w:r>
      <w:r w:rsidR="008843E3">
        <w:t>s</w:t>
      </w:r>
      <w:r>
        <w:t xml:space="preserve"> are located in</w:t>
      </w:r>
      <w:r w:rsidR="0010615D">
        <w:t xml:space="preserve"> the</w:t>
      </w:r>
      <w:r>
        <w:t xml:space="preserve"> </w:t>
      </w:r>
      <w:r w:rsidRPr="001B6F60">
        <w:t>Eora Nation</w:t>
      </w:r>
      <w:r w:rsidR="0010615D">
        <w:t xml:space="preserve">. </w:t>
      </w:r>
      <w:r>
        <w:t xml:space="preserve">We </w:t>
      </w:r>
      <w:r w:rsidRPr="001B6F60">
        <w:t>recognise their continuing connection to land, water and culture</w:t>
      </w:r>
      <w:r>
        <w:t xml:space="preserve"> and </w:t>
      </w:r>
      <w:r w:rsidRPr="001B6F60">
        <w:t>pay our respect to elders today and those who walk in spirit.</w:t>
      </w:r>
    </w:p>
    <w:p w14:paraId="110212BB" w14:textId="65ED4CA9" w:rsidR="004E27F2" w:rsidRPr="00CB4335" w:rsidRDefault="004E27F2" w:rsidP="00535C85">
      <w:pPr>
        <w:pStyle w:val="H4"/>
        <w:spacing w:before="360"/>
        <w:rPr>
          <w:bCs w:val="0"/>
        </w:rPr>
      </w:pPr>
      <w:r w:rsidRPr="00CB4335">
        <w:rPr>
          <w:bCs w:val="0"/>
        </w:rPr>
        <w:t xml:space="preserve">Introduction </w:t>
      </w:r>
    </w:p>
    <w:p w14:paraId="540FC96A" w14:textId="4387B6FB" w:rsidR="00EE1B16" w:rsidRDefault="00EE1B16" w:rsidP="00EE1B16">
      <w:pPr>
        <w:pStyle w:val="Body"/>
        <w:ind w:right="3033"/>
      </w:pPr>
      <w:bookmarkStart w:id="11" w:name="_Hlk114560336"/>
      <w:r w:rsidRPr="00CB4335">
        <w:t xml:space="preserve">During the drafting of this report, </w:t>
      </w:r>
      <w:r>
        <w:t>the</w:t>
      </w:r>
      <w:r w:rsidRPr="00CB4335">
        <w:t xml:space="preserve"> </w:t>
      </w:r>
      <w:r>
        <w:t>Independent Hospital Pricing Authority</w:t>
      </w:r>
      <w:r w:rsidRPr="00CB4335">
        <w:t xml:space="preserve"> commenced a formal transition as its functions were expanded to include the provision of costing and pricing advice on aged care services </w:t>
      </w:r>
      <w:r>
        <w:t>to the Commonwealth Government.</w:t>
      </w:r>
    </w:p>
    <w:p w14:paraId="4E6FB8DA" w14:textId="408A540B" w:rsidR="00EE1B16" w:rsidRDefault="00017C02" w:rsidP="00EE1B16">
      <w:pPr>
        <w:pStyle w:val="Body"/>
        <w:ind w:right="3033"/>
      </w:pPr>
      <w:r>
        <w:t>A</w:t>
      </w:r>
      <w:r w:rsidR="00EE1B16">
        <w:t xml:space="preserve">mendments to the </w:t>
      </w:r>
      <w:r w:rsidR="00EE1B16" w:rsidRPr="00CB4335">
        <w:rPr>
          <w:i/>
          <w:iCs/>
        </w:rPr>
        <w:t>National Health Reform Act 201</w:t>
      </w:r>
      <w:r>
        <w:rPr>
          <w:i/>
          <w:iCs/>
        </w:rPr>
        <w:t xml:space="preserve">1 </w:t>
      </w:r>
      <w:r w:rsidRPr="00CB4335">
        <w:t>that saw th</w:t>
      </w:r>
      <w:r>
        <w:t>e</w:t>
      </w:r>
      <w:r w:rsidRPr="00CB4335">
        <w:t xml:space="preserve"> agency’s </w:t>
      </w:r>
      <w:r w:rsidR="00EE1B16">
        <w:t>name</w:t>
      </w:r>
      <w:r>
        <w:t xml:space="preserve"> change</w:t>
      </w:r>
      <w:r w:rsidR="00EE1B16">
        <w:t xml:space="preserve"> to the Independent Health and Aged Care Pricing Authority</w:t>
      </w:r>
      <w:r>
        <w:t xml:space="preserve"> came into effect outside the reporting period of this annual report, on 12 August 2022.</w:t>
      </w:r>
    </w:p>
    <w:bookmarkEnd w:id="11"/>
    <w:p w14:paraId="07C190CD" w14:textId="3159F77A" w:rsidR="00417A60" w:rsidRPr="00CE1E27" w:rsidRDefault="00417A60" w:rsidP="00535C85">
      <w:pPr>
        <w:pStyle w:val="H4"/>
        <w:spacing w:before="1680"/>
        <w:rPr>
          <w:bCs w:val="0"/>
        </w:rPr>
      </w:pPr>
      <w:r w:rsidRPr="00CE1E27">
        <w:rPr>
          <w:bCs w:val="0"/>
        </w:rPr>
        <w:t>Contact</w:t>
      </w:r>
    </w:p>
    <w:p w14:paraId="27DCCD8F" w14:textId="7D93BAD8" w:rsidR="00417A60" w:rsidRPr="00A64835" w:rsidRDefault="00417A60" w:rsidP="00417A60">
      <w:pPr>
        <w:pStyle w:val="Body"/>
      </w:pPr>
      <w:r w:rsidRPr="00A64835">
        <w:t xml:space="preserve">If you have any queries about this annual report please </w:t>
      </w:r>
      <w:r w:rsidR="00EE1B16">
        <w:t>contact us.</w:t>
      </w:r>
    </w:p>
    <w:p w14:paraId="5CC6AC8E" w14:textId="2E866105" w:rsidR="00417A60" w:rsidRPr="00CE1E27" w:rsidRDefault="00417A60" w:rsidP="00417A60">
      <w:pPr>
        <w:pStyle w:val="Body"/>
        <w:rPr>
          <w:b/>
          <w:bCs/>
        </w:rPr>
      </w:pPr>
      <w:r w:rsidRPr="00CE1E27">
        <w:rPr>
          <w:b/>
          <w:bCs/>
        </w:rPr>
        <w:t>Independent H</w:t>
      </w:r>
      <w:r w:rsidR="004E27F2">
        <w:rPr>
          <w:b/>
          <w:bCs/>
        </w:rPr>
        <w:t>ealth and Aged Care Pricing</w:t>
      </w:r>
      <w:r w:rsidRPr="00CE1E27">
        <w:rPr>
          <w:b/>
          <w:bCs/>
        </w:rPr>
        <w:t xml:space="preserve"> Authority</w:t>
      </w:r>
      <w:r>
        <w:rPr>
          <w:b/>
          <w:bCs/>
        </w:rPr>
        <w:br/>
      </w:r>
      <w:r w:rsidRPr="00A64835">
        <w:t>Communication and Media Section</w:t>
      </w:r>
      <w:r>
        <w:rPr>
          <w:b/>
          <w:bCs/>
        </w:rPr>
        <w:br/>
      </w:r>
      <w:r>
        <w:t xml:space="preserve">Eora Nation, </w:t>
      </w:r>
      <w:r w:rsidRPr="00A64835">
        <w:t>PO Box 483</w:t>
      </w:r>
      <w:r>
        <w:rPr>
          <w:b/>
          <w:bCs/>
        </w:rPr>
        <w:br/>
      </w:r>
      <w:r w:rsidRPr="00A64835">
        <w:t>Darlinghurst NSW 1300</w:t>
      </w:r>
    </w:p>
    <w:p w14:paraId="4CD6B9F9" w14:textId="2773F338" w:rsidR="00417A60" w:rsidRPr="00A64835" w:rsidRDefault="00417A60" w:rsidP="00417A60">
      <w:pPr>
        <w:pStyle w:val="Body"/>
      </w:pPr>
      <w:r w:rsidRPr="00CE1E27">
        <w:rPr>
          <w:b/>
          <w:bCs/>
        </w:rPr>
        <w:t>Email</w:t>
      </w:r>
      <w:r w:rsidRPr="00F55FE1">
        <w:rPr>
          <w:b/>
          <w:bCs/>
        </w:rPr>
        <w:t xml:space="preserve"> </w:t>
      </w:r>
      <w:hyperlink r:id="rId12" w:history="1">
        <w:r w:rsidR="008843E3" w:rsidRPr="00226678">
          <w:rPr>
            <w:rStyle w:val="Hyperlink"/>
          </w:rPr>
          <w:t>communications.ihacpa@ihacpa.gov.au</w:t>
        </w:r>
      </w:hyperlink>
      <w:r>
        <w:br/>
      </w:r>
      <w:r w:rsidR="00EE1B16">
        <w:rPr>
          <w:b/>
          <w:bCs/>
        </w:rPr>
        <w:t>P</w:t>
      </w:r>
      <w:r w:rsidRPr="008E51AC">
        <w:rPr>
          <w:b/>
          <w:bCs/>
        </w:rPr>
        <w:t>hone</w:t>
      </w:r>
      <w:r w:rsidRPr="00F55FE1">
        <w:rPr>
          <w:b/>
          <w:bCs/>
        </w:rPr>
        <w:t xml:space="preserve"> </w:t>
      </w:r>
      <w:r w:rsidRPr="00A64835">
        <w:t>02 8215 1100</w:t>
      </w:r>
      <w:r>
        <w:br/>
      </w:r>
      <w:r w:rsidRPr="00CE1E27">
        <w:rPr>
          <w:b/>
          <w:bCs/>
        </w:rPr>
        <w:t>ABN</w:t>
      </w:r>
      <w:r w:rsidRPr="00A64835">
        <w:t xml:space="preserve"> 27 598 959 960</w:t>
      </w:r>
    </w:p>
    <w:p w14:paraId="64A95EFF" w14:textId="1B643B51" w:rsidR="00417A60" w:rsidRDefault="00417A60" w:rsidP="00417A60">
      <w:pPr>
        <w:pStyle w:val="Body"/>
        <w:rPr>
          <w:rStyle w:val="Hyperlink"/>
        </w:rPr>
      </w:pPr>
      <w:r w:rsidRPr="00CE1E27">
        <w:rPr>
          <w:b/>
          <w:bCs/>
        </w:rPr>
        <w:t>Website</w:t>
      </w:r>
      <w:r w:rsidRPr="00A64835">
        <w:t xml:space="preserve"> </w:t>
      </w:r>
      <w:hyperlink r:id="rId13" w:history="1">
        <w:r w:rsidR="004E27F2" w:rsidRPr="00374C3C">
          <w:rPr>
            <w:rStyle w:val="Hyperlink"/>
          </w:rPr>
          <w:t>www.ihacpa.gov.au</w:t>
        </w:r>
      </w:hyperlink>
    </w:p>
    <w:p w14:paraId="2E623746" w14:textId="7A3C7012" w:rsidR="00417A60" w:rsidRPr="00CE1E27" w:rsidRDefault="00EE1B16" w:rsidP="00417A60">
      <w:pPr>
        <w:pStyle w:val="H4"/>
      </w:pPr>
      <w:r>
        <w:t xml:space="preserve">Connect </w:t>
      </w:r>
    </w:p>
    <w:p w14:paraId="67C78399" w14:textId="010E12F7" w:rsidR="00CB4335" w:rsidRPr="00A64835" w:rsidRDefault="00CB4335" w:rsidP="00CB4335">
      <w:pPr>
        <w:pStyle w:val="Body"/>
      </w:pPr>
      <w:r>
        <w:rPr>
          <w:b/>
          <w:bCs/>
          <w:noProof/>
        </w:rPr>
        <w:drawing>
          <wp:inline distT="0" distB="0" distL="0" distR="0" wp14:anchorId="4CC6729A" wp14:editId="3AE79F69">
            <wp:extent cx="142030" cy="129118"/>
            <wp:effectExtent l="0" t="0" r="0" b="0"/>
            <wp:docPr id="8" name="Graphic 8" descr="LinkedI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LinkedIn icon"/>
                    <pic:cNvPicPr/>
                  </pic:nvPicPr>
                  <pic:blipFill>
                    <a:blip r:embed="rId14">
                      <a:extLst>
                        <a:ext uri="{96DAC541-7B7A-43D3-8B79-37D633B846F1}">
                          <asvg:svgBlip xmlns:asvg="http://schemas.microsoft.com/office/drawing/2016/SVG/main" r:embed="rId15"/>
                        </a:ext>
                      </a:extLst>
                    </a:blip>
                    <a:stretch>
                      <a:fillRect/>
                    </a:stretch>
                  </pic:blipFill>
                  <pic:spPr>
                    <a:xfrm>
                      <a:off x="0" y="0"/>
                      <a:ext cx="142030" cy="129118"/>
                    </a:xfrm>
                    <a:prstGeom prst="rect">
                      <a:avLst/>
                    </a:prstGeom>
                  </pic:spPr>
                </pic:pic>
              </a:graphicData>
            </a:graphic>
          </wp:inline>
        </w:drawing>
      </w:r>
      <w:r>
        <w:rPr>
          <w:b/>
          <w:bCs/>
        </w:rPr>
        <w:t xml:space="preserve">  </w:t>
      </w:r>
      <w:r w:rsidRPr="00CE1E27">
        <w:rPr>
          <w:b/>
          <w:bCs/>
        </w:rPr>
        <w:t>LinkedIn</w:t>
      </w:r>
      <w:r w:rsidRPr="00A64835">
        <w:t xml:space="preserve"> </w:t>
      </w:r>
      <w:hyperlink r:id="rId16" w:history="1">
        <w:r w:rsidRPr="00FC6F3D">
          <w:rPr>
            <w:rStyle w:val="Hyperlink"/>
          </w:rPr>
          <w:t>Independent Health and Aged Care Pricing Authority</w:t>
        </w:r>
      </w:hyperlink>
    </w:p>
    <w:p w14:paraId="6C106A2F" w14:textId="77777777" w:rsidR="00CB4335" w:rsidRDefault="00CB4335" w:rsidP="00CB4335">
      <w:pPr>
        <w:pStyle w:val="Body"/>
      </w:pPr>
      <w:r w:rsidRPr="00930D00">
        <w:rPr>
          <w:noProof/>
        </w:rPr>
        <w:drawing>
          <wp:inline distT="0" distB="0" distL="0" distR="0" wp14:anchorId="2517836B" wp14:editId="560AEC1A">
            <wp:extent cx="135890" cy="126365"/>
            <wp:effectExtent l="0" t="0" r="3810" b="635"/>
            <wp:docPr id="29" name="Graphic 8" descr="Twitter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Graphic 8" descr="Twitter icon"/>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5890" cy="126365"/>
                    </a:xfrm>
                    <a:prstGeom prst="rect">
                      <a:avLst/>
                    </a:prstGeom>
                    <a:noFill/>
                    <a:ln>
                      <a:noFill/>
                    </a:ln>
                  </pic:spPr>
                </pic:pic>
              </a:graphicData>
            </a:graphic>
          </wp:inline>
        </w:drawing>
      </w:r>
      <w:r>
        <w:rPr>
          <w:b/>
          <w:bCs/>
        </w:rPr>
        <w:t xml:space="preserve">  </w:t>
      </w:r>
      <w:hyperlink r:id="rId18" w:history="1">
        <w:r w:rsidRPr="00843866">
          <w:rPr>
            <w:rStyle w:val="Hyperlink"/>
            <w:b/>
            <w:bCs/>
          </w:rPr>
          <w:t>Twitter</w:t>
        </w:r>
      </w:hyperlink>
      <w:r w:rsidRPr="00843866">
        <w:t xml:space="preserve"> </w:t>
      </w:r>
      <w:r>
        <w:t xml:space="preserve"> </w:t>
      </w:r>
      <w:r w:rsidRPr="00843866">
        <w:t>|</w:t>
      </w:r>
      <w:r>
        <w:t xml:space="preserve">  </w:t>
      </w:r>
      <w:r>
        <w:rPr>
          <w:b/>
          <w:bCs/>
          <w:noProof/>
        </w:rPr>
        <w:drawing>
          <wp:inline distT="0" distB="0" distL="0" distR="0" wp14:anchorId="714BC73E" wp14:editId="77017414">
            <wp:extent cx="142029" cy="129118"/>
            <wp:effectExtent l="0" t="0" r="0" b="0"/>
            <wp:docPr id="12" name="Graphic 12" descr="Youtub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Youtube icon"/>
                    <pic:cNvPicPr/>
                  </pic:nvPicPr>
                  <pic:blipFill>
                    <a:blip r:embed="rId19">
                      <a:extLst>
                        <a:ext uri="{96DAC541-7B7A-43D3-8B79-37D633B846F1}">
                          <asvg:svgBlip xmlns:asvg="http://schemas.microsoft.com/office/drawing/2016/SVG/main" r:embed="rId20"/>
                        </a:ext>
                      </a:extLst>
                    </a:blip>
                    <a:stretch>
                      <a:fillRect/>
                    </a:stretch>
                  </pic:blipFill>
                  <pic:spPr>
                    <a:xfrm>
                      <a:off x="0" y="0"/>
                      <a:ext cx="142029" cy="129118"/>
                    </a:xfrm>
                    <a:prstGeom prst="rect">
                      <a:avLst/>
                    </a:prstGeom>
                  </pic:spPr>
                </pic:pic>
              </a:graphicData>
            </a:graphic>
          </wp:inline>
        </w:drawing>
      </w:r>
      <w:r w:rsidRPr="00843866">
        <w:t xml:space="preserve"> </w:t>
      </w:r>
      <w:r>
        <w:t xml:space="preserve"> </w:t>
      </w:r>
      <w:hyperlink r:id="rId21" w:history="1">
        <w:r w:rsidRPr="00843866">
          <w:rPr>
            <w:rStyle w:val="Hyperlink"/>
            <w:b/>
            <w:bCs/>
          </w:rPr>
          <w:t>YouTube</w:t>
        </w:r>
      </w:hyperlink>
      <w:r w:rsidRPr="00843866">
        <w:t xml:space="preserve"> </w:t>
      </w:r>
      <w:r>
        <w:t xml:space="preserve"> </w:t>
      </w:r>
      <w:r w:rsidRPr="00843866">
        <w:t>|</w:t>
      </w:r>
      <w:r>
        <w:t xml:space="preserve">  </w:t>
      </w:r>
      <w:r>
        <w:rPr>
          <w:b/>
          <w:bCs/>
          <w:noProof/>
        </w:rPr>
        <w:drawing>
          <wp:inline distT="0" distB="0" distL="0" distR="0" wp14:anchorId="1E073095" wp14:editId="6E34E478">
            <wp:extent cx="142029" cy="129118"/>
            <wp:effectExtent l="0" t="0" r="0" b="0"/>
            <wp:docPr id="17" name="Graphic 17" descr="Soundclou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Soundcloud icon"/>
                    <pic:cNvPicPr/>
                  </pic:nvPicPr>
                  <pic:blipFill>
                    <a:blip r:embed="rId22">
                      <a:extLst>
                        <a:ext uri="{96DAC541-7B7A-43D3-8B79-37D633B846F1}">
                          <asvg:svgBlip xmlns:asvg="http://schemas.microsoft.com/office/drawing/2016/SVG/main" r:embed="rId23"/>
                        </a:ext>
                      </a:extLst>
                    </a:blip>
                    <a:stretch>
                      <a:fillRect/>
                    </a:stretch>
                  </pic:blipFill>
                  <pic:spPr>
                    <a:xfrm>
                      <a:off x="0" y="0"/>
                      <a:ext cx="142029" cy="129118"/>
                    </a:xfrm>
                    <a:prstGeom prst="rect">
                      <a:avLst/>
                    </a:prstGeom>
                  </pic:spPr>
                </pic:pic>
              </a:graphicData>
            </a:graphic>
          </wp:inline>
        </w:drawing>
      </w:r>
      <w:r w:rsidRPr="00843866">
        <w:t xml:space="preserve"> </w:t>
      </w:r>
      <w:r>
        <w:t xml:space="preserve"> </w:t>
      </w:r>
      <w:hyperlink r:id="rId24" w:history="1">
        <w:r w:rsidRPr="00843866">
          <w:rPr>
            <w:rStyle w:val="Hyperlink"/>
            <w:b/>
            <w:bCs/>
          </w:rPr>
          <w:t>SoundCloud</w:t>
        </w:r>
      </w:hyperlink>
      <w:r w:rsidRPr="00A64835">
        <w:t xml:space="preserve"> </w:t>
      </w:r>
      <w:r>
        <w:t xml:space="preserve"> |  @IHACPA</w:t>
      </w:r>
    </w:p>
    <w:p w14:paraId="75788595" w14:textId="1D3A6FBA" w:rsidR="00AE7B9E" w:rsidRDefault="00AE7B9E" w:rsidP="00417A60">
      <w:pPr>
        <w:pStyle w:val="Body"/>
        <w:sectPr w:rsidR="00AE7B9E" w:rsidSect="00D222F6">
          <w:headerReference w:type="default" r:id="rId25"/>
          <w:footerReference w:type="default" r:id="rId26"/>
          <w:pgSz w:w="9979" w:h="14175"/>
          <w:pgMar w:top="1418" w:right="1134" w:bottom="1134" w:left="1134" w:header="709" w:footer="709" w:gutter="0"/>
          <w:pgNumType w:fmt="lowerRoman" w:start="1"/>
          <w:cols w:space="708"/>
          <w:docGrid w:linePitch="360"/>
        </w:sectPr>
      </w:pPr>
    </w:p>
    <w:p w14:paraId="7C79FDEA" w14:textId="05D6080A" w:rsidR="00E14AB4" w:rsidRPr="00C526F5" w:rsidRDefault="00E14AB4" w:rsidP="00F26CE2">
      <w:pPr>
        <w:pStyle w:val="Heading1"/>
        <w:spacing w:after="120"/>
        <w:rPr>
          <w:color w:val="003F2C" w:themeColor="text2"/>
        </w:rPr>
      </w:pPr>
      <w:bookmarkStart w:id="12" w:name="_Toc114824416"/>
      <w:r>
        <w:rPr>
          <w:color w:val="003F2C" w:themeColor="text2"/>
        </w:rPr>
        <w:lastRenderedPageBreak/>
        <w:t>About this report</w:t>
      </w:r>
      <w:bookmarkEnd w:id="12"/>
    </w:p>
    <w:p w14:paraId="36B94432" w14:textId="2E7B5360" w:rsidR="00E14AB4" w:rsidRDefault="00E14AB4" w:rsidP="00E14AB4">
      <w:pPr>
        <w:pStyle w:val="Body"/>
        <w:ind w:right="2041"/>
      </w:pPr>
      <w:r w:rsidRPr="005479B4">
        <w:t xml:space="preserve">This </w:t>
      </w:r>
      <w:r w:rsidRPr="00801924">
        <w:t xml:space="preserve">annual report describes the operations and performance of the Independent Hospital Pricing Authority (IHPA) during 2021–22. </w:t>
      </w:r>
      <w:r w:rsidRPr="00877086">
        <w:t>The report was prepared in accordance with legislated reporting requirements under the </w:t>
      </w:r>
      <w:r w:rsidRPr="00877086">
        <w:rPr>
          <w:i/>
          <w:iCs/>
        </w:rPr>
        <w:t>Public Governance, Performance and Accountability Act 2013</w:t>
      </w:r>
      <w:r w:rsidRPr="00801924">
        <w:t>.</w:t>
      </w:r>
    </w:p>
    <w:p w14:paraId="6FC2717F" w14:textId="54FBA755" w:rsidR="00AE7B9E" w:rsidRPr="00CE1E27" w:rsidRDefault="00AE7B9E" w:rsidP="00AE7B9E">
      <w:pPr>
        <w:pStyle w:val="H4"/>
      </w:pPr>
      <w:r w:rsidRPr="00CE1E27">
        <w:t>Online version</w:t>
      </w:r>
    </w:p>
    <w:p w14:paraId="1188F892" w14:textId="687A1F5B" w:rsidR="00AE7B9E" w:rsidRDefault="00AE7B9E" w:rsidP="00AE7B9E">
      <w:pPr>
        <w:pStyle w:val="Body"/>
        <w:rPr>
          <w:rStyle w:val="Hyperlink"/>
        </w:rPr>
      </w:pPr>
      <w:r w:rsidRPr="00A64835">
        <w:t>An online version of this annual report can be accessed at:</w:t>
      </w:r>
      <w:r>
        <w:br/>
      </w:r>
      <w:hyperlink r:id="rId27" w:history="1">
        <w:r w:rsidR="00FA2B2A" w:rsidRPr="00374C3C">
          <w:rPr>
            <w:rStyle w:val="Hyperlink"/>
          </w:rPr>
          <w:t>www.ihacpa.gov.au/ihpa-annual-report-2021-22</w:t>
        </w:r>
      </w:hyperlink>
    </w:p>
    <w:p w14:paraId="04865425" w14:textId="33FE7F5D" w:rsidR="00E14AB4" w:rsidRPr="00CE1E27" w:rsidRDefault="00E14AB4" w:rsidP="00E14AB4">
      <w:pPr>
        <w:pStyle w:val="H4"/>
      </w:pPr>
      <w:r>
        <w:t>Attribution</w:t>
      </w:r>
    </w:p>
    <w:p w14:paraId="4E9D1284" w14:textId="15965983" w:rsidR="00E14AB4" w:rsidRDefault="00E14AB4" w:rsidP="00E14AB4">
      <w:pPr>
        <w:pStyle w:val="Body"/>
        <w:ind w:right="2041"/>
      </w:pPr>
      <w:r w:rsidRPr="00801924">
        <w:t xml:space="preserve">We request that use of all or part of this report include the following attribution: </w:t>
      </w:r>
      <w:r w:rsidRPr="00B812E4">
        <w:t xml:space="preserve">Independent Hospital Pricing </w:t>
      </w:r>
      <w:r w:rsidRPr="000365F5">
        <w:t>Authority Annual Report 2021–22</w:t>
      </w:r>
    </w:p>
    <w:p w14:paraId="204370C6" w14:textId="690B9E47" w:rsidR="00E14AB4" w:rsidRPr="00CE1E27" w:rsidRDefault="00E14AB4" w:rsidP="00E14AB4">
      <w:pPr>
        <w:pStyle w:val="H4"/>
      </w:pPr>
      <w:r>
        <w:t>Cover design</w:t>
      </w:r>
    </w:p>
    <w:p w14:paraId="604B20A6" w14:textId="36B34CEE" w:rsidR="00E14AB4" w:rsidRPr="000365F5" w:rsidRDefault="00E14AB4" w:rsidP="00E14AB4">
      <w:pPr>
        <w:pStyle w:val="Body"/>
        <w:ind w:right="2041"/>
      </w:pPr>
      <w:r w:rsidRPr="00877086">
        <w:t xml:space="preserve">The design of the front cover reflects IHPA’s visual identity with the use of its </w:t>
      </w:r>
      <w:r>
        <w:t xml:space="preserve">corporate logo and </w:t>
      </w:r>
      <w:r w:rsidRPr="00877086">
        <w:t>brand</w:t>
      </w:r>
      <w:r>
        <w:t>ed</w:t>
      </w:r>
      <w:r w:rsidRPr="00877086">
        <w:t xml:space="preserve"> elements. </w:t>
      </w:r>
      <w:r w:rsidRPr="000365F5">
        <w:t xml:space="preserve">These elements appear </w:t>
      </w:r>
      <w:r>
        <w:t>o</w:t>
      </w:r>
      <w:r w:rsidRPr="000365F5">
        <w:t xml:space="preserve">n the </w:t>
      </w:r>
      <w:r>
        <w:t xml:space="preserve">cover </w:t>
      </w:r>
      <w:r w:rsidRPr="000365F5">
        <w:t xml:space="preserve">design </w:t>
      </w:r>
      <w:r>
        <w:t xml:space="preserve">and </w:t>
      </w:r>
      <w:r w:rsidRPr="000365F5">
        <w:t>throughout the report.</w:t>
      </w:r>
      <w:r>
        <w:t xml:space="preserve"> The concept of the front cover of this annual report presented 10 stacked hexagons to represent a key milestone celebrated by the agency in 2021–22, IHPA’s 10</w:t>
      </w:r>
      <w:r w:rsidR="00FA2B2A">
        <w:t>-</w:t>
      </w:r>
      <w:r>
        <w:t>year anniversary.</w:t>
      </w:r>
    </w:p>
    <w:p w14:paraId="36F68CF4" w14:textId="718D676B" w:rsidR="00E14AB4" w:rsidRPr="00CE1E27" w:rsidRDefault="00E14AB4" w:rsidP="00E14AB4">
      <w:pPr>
        <w:pStyle w:val="H4"/>
      </w:pPr>
      <w:r>
        <w:t>Copyright</w:t>
      </w:r>
    </w:p>
    <w:p w14:paraId="7A814EC9" w14:textId="77777777" w:rsidR="00AE7B9E" w:rsidRPr="00A64835" w:rsidRDefault="00AE7B9E" w:rsidP="00AE7B9E">
      <w:pPr>
        <w:pStyle w:val="Body"/>
      </w:pPr>
      <w:r w:rsidRPr="00A64835">
        <w:t>Online ISSN: 2201</w:t>
      </w:r>
      <w:r>
        <w:rPr>
          <w:rFonts w:ascii="Cambria Math" w:hAnsi="Cambria Math" w:cs="Cambria Math"/>
        </w:rPr>
        <w:t>–</w:t>
      </w:r>
      <w:r w:rsidRPr="00A64835">
        <w:t>1862</w:t>
      </w:r>
      <w:r>
        <w:br/>
      </w:r>
      <w:r w:rsidRPr="00A64835">
        <w:t>Print ISSN: 2201</w:t>
      </w:r>
      <w:r>
        <w:rPr>
          <w:rFonts w:ascii="Cambria Math" w:hAnsi="Cambria Math" w:cs="Cambria Math"/>
        </w:rPr>
        <w:t>–</w:t>
      </w:r>
      <w:r w:rsidRPr="00A64835">
        <w:t>0718</w:t>
      </w:r>
    </w:p>
    <w:p w14:paraId="4DB86543" w14:textId="50045BAE" w:rsidR="00AE7B9E" w:rsidRDefault="00AE7B9E" w:rsidP="00AE7B9E">
      <w:pPr>
        <w:pStyle w:val="Body"/>
        <w:rPr>
          <w:b/>
          <w:bCs/>
        </w:rPr>
      </w:pPr>
      <w:r w:rsidRPr="0015755F">
        <w:rPr>
          <w:b/>
          <w:bCs/>
        </w:rPr>
        <w:t>© Independent Hospital Pricing Authority 202</w:t>
      </w:r>
      <w:r w:rsidR="00F26CE2">
        <w:rPr>
          <w:b/>
          <w:bCs/>
        </w:rPr>
        <w:t>2</w:t>
      </w:r>
    </w:p>
    <w:p w14:paraId="36119913" w14:textId="77777777" w:rsidR="00AE7B9E" w:rsidRPr="0015755F" w:rsidRDefault="00AE7B9E" w:rsidP="00AE7B9E">
      <w:pPr>
        <w:pStyle w:val="Body"/>
        <w:rPr>
          <w:b/>
          <w:bCs/>
        </w:rPr>
      </w:pPr>
      <w:r>
        <w:rPr>
          <w:noProof/>
          <w:lang w:eastAsia="en-AU"/>
        </w:rPr>
        <w:drawing>
          <wp:inline distT="0" distB="0" distL="0" distR="0" wp14:anchorId="697B600A" wp14:editId="3D205A71">
            <wp:extent cx="842838" cy="301288"/>
            <wp:effectExtent l="0" t="0" r="0" b="0"/>
            <wp:docPr id="10" name="Picture 10" descr="Creative Commons Attribution 3.0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reative Commons Attribution 3.0 Australia licence"/>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877244" cy="313587"/>
                    </a:xfrm>
                    <a:prstGeom prst="rect">
                      <a:avLst/>
                    </a:prstGeom>
                    <a:noFill/>
                    <a:ln>
                      <a:noFill/>
                    </a:ln>
                  </pic:spPr>
                </pic:pic>
              </a:graphicData>
            </a:graphic>
          </wp:inline>
        </w:drawing>
      </w:r>
    </w:p>
    <w:p w14:paraId="7C2EF024" w14:textId="77777777" w:rsidR="00F26CE2" w:rsidRPr="00B812E4" w:rsidRDefault="00F26CE2" w:rsidP="00F26CE2">
      <w:pPr>
        <w:pStyle w:val="Body"/>
        <w:ind w:right="2041"/>
      </w:pPr>
      <w:r w:rsidRPr="00B812E4">
        <w:t>With the exception of the IHPA logo, photos and signatures and where otherwise noted, all material presented in this document is provided under a Creative Commons Attribution 3.0 Australia licence.</w:t>
      </w:r>
    </w:p>
    <w:p w14:paraId="2FBF9728" w14:textId="77777777" w:rsidR="00F26CE2" w:rsidRDefault="00F26CE2" w:rsidP="00F26CE2">
      <w:pPr>
        <w:pStyle w:val="Body"/>
        <w:ind w:right="2041"/>
      </w:pPr>
      <w:r w:rsidRPr="00B812E4">
        <w:t>The details of the relevant licence conditions are available on the Creative Commons website, (</w:t>
      </w:r>
      <w:hyperlink r:id="rId29" w:history="1">
        <w:r w:rsidRPr="00B812E4">
          <w:rPr>
            <w:rStyle w:val="Hyperlink"/>
          </w:rPr>
          <w:t>www.creativecommons.org/licenses/by/3.0/au</w:t>
        </w:r>
      </w:hyperlink>
      <w:r w:rsidRPr="00B812E4">
        <w:t>) as is the full legal code for the CC BY 3 AU licence.</w:t>
      </w:r>
    </w:p>
    <w:p w14:paraId="292B9006" w14:textId="02EEE9E0" w:rsidR="00F26CE2" w:rsidRPr="00CE1E27" w:rsidRDefault="00F26CE2" w:rsidP="00F26CE2">
      <w:pPr>
        <w:pStyle w:val="H4"/>
      </w:pPr>
      <w:r>
        <w:t>Document control</w:t>
      </w:r>
    </w:p>
    <w:p w14:paraId="4016E093" w14:textId="77777777" w:rsidR="00F26CE2" w:rsidRDefault="00F26CE2" w:rsidP="00F26CE2">
      <w:pPr>
        <w:pStyle w:val="Body"/>
        <w:ind w:right="2041"/>
      </w:pPr>
      <w:r w:rsidRPr="005479B4">
        <w:t>This document is maintained in electronic form and is uncontrolled in printed form. It is the responsibility of the user to verify that this copy is the latest revision.</w:t>
      </w:r>
    </w:p>
    <w:p w14:paraId="6D5361BB" w14:textId="77777777" w:rsidR="00F26CE2" w:rsidRDefault="00F26CE2" w:rsidP="00417A60">
      <w:pPr>
        <w:pStyle w:val="Body"/>
        <w:sectPr w:rsidR="00F26CE2" w:rsidSect="009B22CC">
          <w:footerReference w:type="default" r:id="rId30"/>
          <w:pgSz w:w="9979" w:h="14175"/>
          <w:pgMar w:top="1418" w:right="1134" w:bottom="1134" w:left="1134" w:header="709" w:footer="709" w:gutter="0"/>
          <w:pgNumType w:fmt="lowerRoman" w:start="1"/>
          <w:cols w:space="708"/>
          <w:docGrid w:linePitch="360"/>
        </w:sectPr>
      </w:pPr>
    </w:p>
    <w:p w14:paraId="758AA5C6" w14:textId="04EAC248" w:rsidR="009B22CC" w:rsidRDefault="00222F49" w:rsidP="00222F49">
      <w:pPr>
        <w:pStyle w:val="Body"/>
        <w:rPr>
          <w:noProof/>
          <w:lang w:eastAsia="en-AU"/>
        </w:rPr>
      </w:pPr>
      <w:r>
        <w:rPr>
          <w:noProof/>
          <w:lang w:eastAsia="en-AU"/>
        </w:rPr>
        <w:lastRenderedPageBreak/>
        <w:drawing>
          <wp:anchor distT="0" distB="0" distL="114300" distR="114300" simplePos="0" relativeHeight="252056576" behindDoc="1" locked="0" layoutInCell="1" allowOverlap="1" wp14:anchorId="3D2BF130" wp14:editId="2E99C4BD">
            <wp:simplePos x="0" y="0"/>
            <wp:positionH relativeFrom="column">
              <wp:posOffset>-720090</wp:posOffset>
            </wp:positionH>
            <wp:positionV relativeFrom="paragraph">
              <wp:posOffset>-900430</wp:posOffset>
            </wp:positionV>
            <wp:extent cx="6402211" cy="8995144"/>
            <wp:effectExtent l="0" t="0" r="0"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a:blip r:embed="rId31"/>
                    <a:stretch>
                      <a:fillRect/>
                    </a:stretch>
                  </pic:blipFill>
                  <pic:spPr>
                    <a:xfrm>
                      <a:off x="0" y="0"/>
                      <a:ext cx="6402211" cy="8995144"/>
                    </a:xfrm>
                    <a:prstGeom prst="rect">
                      <a:avLst/>
                    </a:prstGeom>
                  </pic:spPr>
                </pic:pic>
              </a:graphicData>
            </a:graphic>
            <wp14:sizeRelH relativeFrom="page">
              <wp14:pctWidth>0</wp14:pctWidth>
            </wp14:sizeRelH>
            <wp14:sizeRelV relativeFrom="page">
              <wp14:pctHeight>0</wp14:pctHeight>
            </wp14:sizeRelV>
          </wp:anchor>
        </w:drawing>
      </w:r>
    </w:p>
    <w:p w14:paraId="597F479B" w14:textId="46C8156D" w:rsidR="00222F49" w:rsidRDefault="00222F49" w:rsidP="00222F49">
      <w:pPr>
        <w:pStyle w:val="Body"/>
        <w:rPr>
          <w:noProof/>
          <w:lang w:eastAsia="en-AU"/>
        </w:rPr>
        <w:sectPr w:rsidR="00222F49" w:rsidSect="00FC542C">
          <w:headerReference w:type="default" r:id="rId32"/>
          <w:footerReference w:type="default" r:id="rId33"/>
          <w:pgSz w:w="9979" w:h="14175"/>
          <w:pgMar w:top="1418" w:right="1134" w:bottom="1134" w:left="1134" w:header="709" w:footer="709" w:gutter="0"/>
          <w:pgNumType w:fmt="lowerRoman"/>
          <w:cols w:space="708"/>
          <w:docGrid w:linePitch="360"/>
        </w:sectPr>
      </w:pPr>
    </w:p>
    <w:p w14:paraId="56CA9C65" w14:textId="66EC8A50" w:rsidR="00D222F6" w:rsidRDefault="00D222F6">
      <w:pPr>
        <w:pStyle w:val="H1"/>
        <w:numPr>
          <w:ilvl w:val="0"/>
          <w:numId w:val="23"/>
        </w:numPr>
        <w:spacing w:before="840"/>
      </w:pPr>
      <w:bookmarkStart w:id="13" w:name="_Toc114824417"/>
      <w:r>
        <w:rPr>
          <w:noProof/>
          <w:lang w:eastAsia="en-AU"/>
        </w:rPr>
        <w:lastRenderedPageBreak/>
        <w:drawing>
          <wp:anchor distT="0" distB="0" distL="114300" distR="114300" simplePos="0" relativeHeight="252049408" behindDoc="1" locked="0" layoutInCell="1" allowOverlap="1" wp14:anchorId="3A9253F7" wp14:editId="5C1D41A1">
            <wp:simplePos x="0" y="0"/>
            <wp:positionH relativeFrom="column">
              <wp:posOffset>-771525</wp:posOffset>
            </wp:positionH>
            <wp:positionV relativeFrom="paragraph">
              <wp:posOffset>-900430</wp:posOffset>
            </wp:positionV>
            <wp:extent cx="6443085" cy="9062274"/>
            <wp:effectExtent l="0" t="0" r="0" b="571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34"/>
                    <a:stretch>
                      <a:fillRect/>
                    </a:stretch>
                  </pic:blipFill>
                  <pic:spPr bwMode="auto">
                    <a:xfrm>
                      <a:off x="0" y="0"/>
                      <a:ext cx="6443085" cy="90622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79E">
        <w:rPr>
          <w:noProof/>
          <w:lang w:eastAsia="en-AU"/>
        </w:rPr>
        <w:t xml:space="preserve"> </w:t>
      </w:r>
      <w:r>
        <w:rPr>
          <w:noProof/>
          <w:lang w:eastAsia="en-AU"/>
        </w:rPr>
        <w:t>Introduction</w:t>
      </w:r>
      <w:bookmarkEnd w:id="13"/>
    </w:p>
    <w:p w14:paraId="35DEACA7" w14:textId="77777777" w:rsidR="00D222F6" w:rsidRPr="000E7CB6" w:rsidRDefault="00D222F6" w:rsidP="00D222F6">
      <w:pPr>
        <w:spacing w:before="2040" w:after="0"/>
        <w:jc w:val="center"/>
        <w:rPr>
          <w:color w:val="FFFFFF" w:themeColor="background2"/>
          <w:sz w:val="200"/>
          <w:szCs w:val="200"/>
        </w:rPr>
      </w:pPr>
      <w:r w:rsidRPr="000E7CB6">
        <w:rPr>
          <w:noProof/>
          <w:color w:val="FFFFFF" w:themeColor="background2"/>
          <w:sz w:val="200"/>
          <w:szCs w:val="200"/>
          <w:lang w:eastAsia="en-AU"/>
        </w:rPr>
        <w:t>01</w:t>
      </w:r>
    </w:p>
    <w:p w14:paraId="51A701D8" w14:textId="08AC29A2" w:rsidR="00AE7B9E" w:rsidRDefault="00AE7B9E" w:rsidP="00417A60">
      <w:pPr>
        <w:pStyle w:val="Body"/>
      </w:pPr>
    </w:p>
    <w:p w14:paraId="1FFB0C0F" w14:textId="32D933DA" w:rsidR="00F26CE2" w:rsidRPr="00417A60" w:rsidRDefault="00F26CE2" w:rsidP="00417A60">
      <w:pPr>
        <w:pStyle w:val="Body"/>
        <w:sectPr w:rsidR="00F26CE2" w:rsidRPr="00417A60" w:rsidSect="00FC542C">
          <w:pgSz w:w="9979" w:h="14175"/>
          <w:pgMar w:top="1418" w:right="1134" w:bottom="1134" w:left="1134" w:header="709" w:footer="709" w:gutter="0"/>
          <w:pgNumType w:start="1"/>
          <w:cols w:space="708"/>
          <w:docGrid w:linePitch="360"/>
        </w:sectPr>
      </w:pPr>
    </w:p>
    <w:bookmarkEnd w:id="0"/>
    <w:bookmarkEnd w:id="1"/>
    <w:bookmarkEnd w:id="2"/>
    <w:bookmarkEnd w:id="3"/>
    <w:bookmarkEnd w:id="4"/>
    <w:bookmarkEnd w:id="5"/>
    <w:bookmarkEnd w:id="6"/>
    <w:bookmarkEnd w:id="7"/>
    <w:bookmarkEnd w:id="8"/>
    <w:bookmarkEnd w:id="9"/>
    <w:bookmarkEnd w:id="10"/>
    <w:p w14:paraId="50D1280E" w14:textId="77777777" w:rsidR="0059207F" w:rsidRDefault="0059207F" w:rsidP="007D1622">
      <w:pPr>
        <w:pStyle w:val="Body"/>
        <w:rPr>
          <w:color w:val="008F54" w:themeColor="accent1"/>
        </w:rPr>
        <w:sectPr w:rsidR="0059207F" w:rsidSect="009076D5">
          <w:footerReference w:type="default" r:id="rId35"/>
          <w:type w:val="continuous"/>
          <w:pgSz w:w="9979" w:h="14175"/>
          <w:pgMar w:top="1418" w:right="1134" w:bottom="1134" w:left="1134" w:header="709" w:footer="709" w:gutter="0"/>
          <w:pgNumType w:fmt="lowerRoman"/>
          <w:cols w:num="2" w:space="708"/>
          <w:docGrid w:linePitch="360"/>
        </w:sectPr>
      </w:pPr>
    </w:p>
    <w:p w14:paraId="74DA7DFD" w14:textId="7D204326" w:rsidR="002125A9" w:rsidRPr="00FA7880" w:rsidRDefault="002125A9" w:rsidP="0059207F">
      <w:pPr>
        <w:pStyle w:val="Body"/>
        <w:rPr>
          <w:rStyle w:val="BodyChar"/>
        </w:rPr>
      </w:pPr>
      <w:r>
        <w:rPr>
          <w:noProof/>
        </w:rPr>
        <w:lastRenderedPageBreak/>
        <w:drawing>
          <wp:inline distT="0" distB="0" distL="0" distR="0" wp14:anchorId="59BD0CE7" wp14:editId="2E9C0E86">
            <wp:extent cx="2223064" cy="1347781"/>
            <wp:effectExtent l="0" t="0" r="0" b="0"/>
            <wp:docPr id="1" name="Picture 1" descr="Photo of Mr David Tune AO PSM&#10;Chai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 of Mr David Tune AO PSM&#10;Chair, Independent Hospital Pricing Authority"/>
                    <pic:cNvPicPr>
                      <a:picLocks noChangeAspect="1" noChangeArrowheads="1"/>
                    </pic:cNvPicPr>
                  </pic:nvPicPr>
                  <pic:blipFill>
                    <a:blip r:embed="rId36"/>
                    <a:stretch>
                      <a:fillRect/>
                    </a:stretch>
                  </pic:blipFill>
                  <pic:spPr bwMode="auto">
                    <a:xfrm>
                      <a:off x="0" y="0"/>
                      <a:ext cx="2223064" cy="1347781"/>
                    </a:xfrm>
                    <a:prstGeom prst="rect">
                      <a:avLst/>
                    </a:prstGeom>
                    <a:noFill/>
                    <a:ln>
                      <a:noFill/>
                    </a:ln>
                  </pic:spPr>
                </pic:pic>
              </a:graphicData>
            </a:graphic>
          </wp:inline>
        </w:drawing>
      </w:r>
    </w:p>
    <w:p w14:paraId="6CE98AD9" w14:textId="1AC0E33E" w:rsidR="002125A9" w:rsidRPr="00C526F5" w:rsidRDefault="002125A9" w:rsidP="002125A9">
      <w:pPr>
        <w:pStyle w:val="Heading1"/>
        <w:rPr>
          <w:color w:val="003F2C" w:themeColor="text2"/>
        </w:rPr>
      </w:pPr>
      <w:bookmarkStart w:id="14" w:name="_Toc114824418"/>
      <w:r>
        <w:rPr>
          <w:color w:val="003F2C" w:themeColor="text2"/>
        </w:rPr>
        <w:t>1.1 Chair</w:t>
      </w:r>
      <w:r w:rsidRPr="001A268B">
        <w:rPr>
          <w:rFonts w:cs="Times New Roman (Headings CS)"/>
          <w:color w:val="003F2C" w:themeColor="text2"/>
          <w:spacing w:val="-100"/>
        </w:rPr>
        <w:t>’s</w:t>
      </w:r>
      <w:r>
        <w:rPr>
          <w:color w:val="003F2C" w:themeColor="text2"/>
        </w:rPr>
        <w:t xml:space="preserve"> welcome</w:t>
      </w:r>
      <w:bookmarkEnd w:id="14"/>
    </w:p>
    <w:p w14:paraId="5610951E" w14:textId="450118D1" w:rsidR="00440484" w:rsidRPr="00B245F7" w:rsidRDefault="00C33E54" w:rsidP="00CB0DAD">
      <w:pPr>
        <w:pStyle w:val="H3"/>
        <w:spacing w:before="0"/>
        <w:ind w:right="-185"/>
        <w:rPr>
          <w:color w:val="003F2C" w:themeColor="text1"/>
        </w:rPr>
      </w:pPr>
      <w:r w:rsidRPr="00B245F7">
        <w:rPr>
          <w:color w:val="003F2C" w:themeColor="text1"/>
        </w:rPr>
        <w:t>Chai</w:t>
      </w:r>
      <w:r w:rsidR="00CB0DAD" w:rsidRPr="00B245F7">
        <w:rPr>
          <w:color w:val="003F2C" w:themeColor="text1"/>
        </w:rPr>
        <w:t>r</w:t>
      </w:r>
      <w:r w:rsidRPr="00B245F7">
        <w:rPr>
          <w:color w:val="003F2C" w:themeColor="text1"/>
        </w:rPr>
        <w:t xml:space="preserve">, </w:t>
      </w:r>
      <w:r w:rsidR="00F83E39">
        <w:rPr>
          <w:color w:val="003F2C" w:themeColor="text1"/>
        </w:rPr>
        <w:t xml:space="preserve">Mr </w:t>
      </w:r>
      <w:r w:rsidRPr="00B245F7">
        <w:rPr>
          <w:color w:val="003F2C" w:themeColor="text1"/>
        </w:rPr>
        <w:t>David Tune AO PSM</w:t>
      </w:r>
    </w:p>
    <w:p w14:paraId="759C7D86" w14:textId="26BA2E0E" w:rsidR="00471DFC" w:rsidRDefault="00471DFC" w:rsidP="00D0747D">
      <w:pPr>
        <w:pStyle w:val="Body"/>
        <w:rPr>
          <w:b/>
          <w:bCs/>
        </w:rPr>
      </w:pPr>
      <w:r w:rsidRPr="00471DFC">
        <w:rPr>
          <w:b/>
          <w:bCs/>
        </w:rPr>
        <w:t>I am pleased to present the Independent Hospital Pricing Authority’s (IHPA) Annual</w:t>
      </w:r>
      <w:r w:rsidR="00131F2D">
        <w:rPr>
          <w:b/>
          <w:bCs/>
        </w:rPr>
        <w:t> </w:t>
      </w:r>
      <w:r w:rsidRPr="00471DFC">
        <w:rPr>
          <w:b/>
          <w:bCs/>
        </w:rPr>
        <w:t>Report for 2021–22.</w:t>
      </w:r>
    </w:p>
    <w:p w14:paraId="747BA5C7" w14:textId="335BF258" w:rsidR="00C33E54" w:rsidRPr="007A1B06" w:rsidRDefault="00C33E54" w:rsidP="00C33E54">
      <w:pPr>
        <w:pStyle w:val="Body"/>
      </w:pPr>
      <w:r w:rsidRPr="007A1B06">
        <w:t xml:space="preserve">As the </w:t>
      </w:r>
      <w:r w:rsidRPr="009F70FA">
        <w:t xml:space="preserve">first annual report I present as </w:t>
      </w:r>
      <w:r>
        <w:t xml:space="preserve">the </w:t>
      </w:r>
      <w:r w:rsidRPr="007A1B06">
        <w:t>Chair of IHPA, it was a pleasure to lead the agency</w:t>
      </w:r>
      <w:r w:rsidRPr="009F70FA">
        <w:t xml:space="preserve"> as it marked a key milestone in its history and</w:t>
      </w:r>
      <w:r w:rsidRPr="007A1B06">
        <w:t xml:space="preserve"> delivered yet another substantial work program</w:t>
      </w:r>
      <w:r w:rsidR="0010615D">
        <w:t>.</w:t>
      </w:r>
    </w:p>
    <w:p w14:paraId="1F79EC3E" w14:textId="16B27853" w:rsidR="009076D5" w:rsidRPr="00AF525D" w:rsidRDefault="00C33E54" w:rsidP="009076D5">
      <w:pPr>
        <w:pStyle w:val="H4"/>
      </w:pPr>
      <w:r w:rsidRPr="00C33E54">
        <w:t>Foundations for the future of funding</w:t>
      </w:r>
    </w:p>
    <w:p w14:paraId="505669A6" w14:textId="32A2AC24" w:rsidR="00017C02" w:rsidRDefault="008843E3" w:rsidP="008843E3">
      <w:pPr>
        <w:pStyle w:val="Body"/>
        <w:ind w:right="-327"/>
      </w:pPr>
      <w:r w:rsidRPr="008843E3">
        <w:t>In December 2021, the Authority celebrated its 10</w:t>
      </w:r>
      <w:r w:rsidR="00302AD8">
        <w:t>th </w:t>
      </w:r>
      <w:r w:rsidRPr="008843E3">
        <w:t>year designing pricing systems that support a sustainable, locally controlled network of public hospital services.</w:t>
      </w:r>
    </w:p>
    <w:p w14:paraId="44171669" w14:textId="337DF2D3" w:rsidR="008843E3" w:rsidRDefault="00017C02" w:rsidP="008843E3">
      <w:pPr>
        <w:pStyle w:val="Body"/>
        <w:ind w:right="-327"/>
      </w:pPr>
      <w:r>
        <w:t>IHPA has been a key part of the national health reforms since 2011. It has made significant contributions to the healthcare sector through its robust</w:t>
      </w:r>
      <w:r w:rsidR="00131F2D">
        <w:t> </w:t>
      </w:r>
      <w:r>
        <w:t xml:space="preserve">national pricing model, clinically meaningful classifications, extensive cost and activity data collection, and transparent policy framework.  </w:t>
      </w:r>
      <w:r w:rsidR="00C33E54">
        <w:br w:type="column"/>
      </w:r>
      <w:r w:rsidR="008843E3">
        <w:t xml:space="preserve">IHPA’s contribution has only been made possible through the support of its stakeholders across the public health sector. </w:t>
      </w:r>
    </w:p>
    <w:p w14:paraId="226AB136" w14:textId="77777777" w:rsidR="007D1622" w:rsidRDefault="008843E3" w:rsidP="008843E3">
      <w:pPr>
        <w:pStyle w:val="Body"/>
        <w:ind w:right="-327"/>
      </w:pPr>
      <w:r>
        <w:t>I acknowledge the ongoing engagement of the health sector as we have continued to implement, refine and enhance activity based funding. Your joint efforts have played a large part in each of IHPA’s achievements.</w:t>
      </w:r>
    </w:p>
    <w:p w14:paraId="62E0DD3B" w14:textId="77777777" w:rsidR="00017C02" w:rsidRPr="00AF525D" w:rsidRDefault="00017C02" w:rsidP="00017C02">
      <w:pPr>
        <w:pStyle w:val="H4"/>
      </w:pPr>
      <w:r>
        <w:t>Responding to evolving needs of the health system</w:t>
      </w:r>
    </w:p>
    <w:p w14:paraId="67940728" w14:textId="77777777" w:rsidR="00017C02" w:rsidRDefault="00017C02" w:rsidP="00017C02">
      <w:pPr>
        <w:pStyle w:val="Body"/>
      </w:pPr>
      <w:r>
        <w:t xml:space="preserve">While coronavirus disease 2019 (COVID-19) continues to have significant impacts within the health system, IHPA is monitoring the influence on healthcare costs and delivery nationally. </w:t>
      </w:r>
    </w:p>
    <w:p w14:paraId="34E38ADC" w14:textId="61186DAF" w:rsidR="00017C02" w:rsidRDefault="00017C02" w:rsidP="00017C02">
      <w:pPr>
        <w:pStyle w:val="Body"/>
      </w:pPr>
      <w:r>
        <w:t>Released in March 2022, the National Efficient Price Determination 2022–23 was the first Determination that reflected the impact of COVID</w:t>
      </w:r>
      <w:r w:rsidR="00131F2D">
        <w:noBreakHyphen/>
      </w:r>
      <w:r>
        <w:t xml:space="preserve">19 on the pricing of public hospital services. While the </w:t>
      </w:r>
      <w:r w:rsidR="000B2FAD">
        <w:t xml:space="preserve">full </w:t>
      </w:r>
      <w:r>
        <w:t>impact of COVID-19 on public hospital cost and activity data</w:t>
      </w:r>
      <w:r w:rsidR="00131F2D">
        <w:t> </w:t>
      </w:r>
      <w:r>
        <w:t>may not be understood for some time, IHPA</w:t>
      </w:r>
      <w:r w:rsidR="00131F2D">
        <w:t> </w:t>
      </w:r>
      <w:r>
        <w:t>prioritised assessing and accounting for the impact of COVID-19 on public hospital activity, costs and models of care for 2022–23.</w:t>
      </w:r>
    </w:p>
    <w:p w14:paraId="7947FE17" w14:textId="44F9136A" w:rsidR="00017C02" w:rsidRDefault="00017C02" w:rsidP="008843E3">
      <w:pPr>
        <w:pStyle w:val="Body"/>
        <w:ind w:right="-327"/>
        <w:sectPr w:rsidR="00017C02" w:rsidSect="00124C58">
          <w:pgSz w:w="9979" w:h="14175"/>
          <w:pgMar w:top="1418" w:right="1134" w:bottom="1134" w:left="1134" w:header="709" w:footer="709" w:gutter="0"/>
          <w:cols w:num="2" w:space="708"/>
          <w:docGrid w:linePitch="360"/>
        </w:sectPr>
      </w:pPr>
    </w:p>
    <w:p w14:paraId="70052D2C" w14:textId="2D5B0F35" w:rsidR="008843E3" w:rsidRDefault="008843E3" w:rsidP="008843E3">
      <w:pPr>
        <w:pStyle w:val="Body"/>
      </w:pPr>
      <w:r>
        <w:lastRenderedPageBreak/>
        <w:t xml:space="preserve">IHPA continues to progress work on </w:t>
      </w:r>
      <w:r w:rsidR="0010615D">
        <w:t xml:space="preserve">the </w:t>
      </w:r>
      <w:r>
        <w:t>development of innovative funding models and pricing methodologies. With this, IHPA continues to take the lead in the development and implementation of funding models that will support</w:t>
      </w:r>
      <w:r w:rsidR="00131F2D">
        <w:t> </w:t>
      </w:r>
      <w:r>
        <w:t xml:space="preserve">health care into the future. </w:t>
      </w:r>
    </w:p>
    <w:p w14:paraId="11A2F5FC" w14:textId="18C7EB9D" w:rsidR="008843E3" w:rsidRDefault="008843E3" w:rsidP="008843E3">
      <w:pPr>
        <w:pStyle w:val="Body"/>
      </w:pPr>
      <w:r>
        <w:t xml:space="preserve">It is our hope, collectively as the Pricing Authority, that in partnership with </w:t>
      </w:r>
      <w:r w:rsidR="000B2FAD">
        <w:t xml:space="preserve">jurisdictions and </w:t>
      </w:r>
      <w:r>
        <w:t>other national bodies, this</w:t>
      </w:r>
      <w:r w:rsidR="00131F2D">
        <w:t> </w:t>
      </w:r>
      <w:r>
        <w:t>work will forge continuous pathways for patient</w:t>
      </w:r>
      <w:r w:rsidR="00131F2D">
        <w:noBreakHyphen/>
      </w:r>
      <w:r>
        <w:t xml:space="preserve">centred care and help shape strategies that prioritise value-based care, ultimately improving health outcomes for all Australians. </w:t>
      </w:r>
    </w:p>
    <w:p w14:paraId="51C8E952" w14:textId="3A5F21C2" w:rsidR="00D42F44" w:rsidRDefault="000B2FAD" w:rsidP="008843E3">
      <w:pPr>
        <w:pStyle w:val="Body"/>
      </w:pPr>
      <w:r w:rsidRPr="000B2FAD">
        <w:t xml:space="preserve">The first measure contributed to reforms to modernise and improve the private health insurance Prostheses List, with IHPA preparing a report that established the benchmark price that is paid for prostheses in the public sector. The report was delivered in March 2022 and </w:t>
      </w:r>
      <w:r w:rsidR="00D42F44">
        <w:t xml:space="preserve">has </w:t>
      </w:r>
      <w:r w:rsidR="00D42F44" w:rsidRPr="00D42F44">
        <w:t>already influenced purchasing practices</w:t>
      </w:r>
      <w:r w:rsidR="00D42F44">
        <w:t xml:space="preserve"> across the sector.</w:t>
      </w:r>
    </w:p>
    <w:p w14:paraId="67DA505F" w14:textId="469364D8" w:rsidR="000B2FAD" w:rsidRDefault="000B2FAD" w:rsidP="008843E3">
      <w:pPr>
        <w:pStyle w:val="Body"/>
      </w:pPr>
      <w:r w:rsidRPr="000B2FAD">
        <w:t>The second measure, with broader impacts on the agency, is the expansion of the agency’s functions to support the provision of pricing advice on aged care, commencing with advice on residential aged care to take effect from 1 July 2023. The expansion reflects the contribution made by IHPA to the implementation of activity based funding nationally over the past decade and the high degree of confidence stakeholders have in the transparent delivery of its work.</w:t>
      </w:r>
    </w:p>
    <w:p w14:paraId="30F63C57" w14:textId="789E6503" w:rsidR="00302AD8" w:rsidRPr="00302AD8" w:rsidRDefault="00302AD8" w:rsidP="00302AD8">
      <w:pPr>
        <w:pStyle w:val="Body"/>
      </w:pPr>
    </w:p>
    <w:p w14:paraId="5AEB74E6" w14:textId="0BF0D3B3" w:rsidR="00C33E54" w:rsidRPr="00AF525D" w:rsidRDefault="00C33E54" w:rsidP="00017C02">
      <w:pPr>
        <w:pStyle w:val="H4"/>
      </w:pPr>
      <w:r>
        <w:br w:type="column"/>
      </w:r>
      <w:r w:rsidRPr="00C33E54">
        <w:t>Valuable stakeholder partnerships</w:t>
      </w:r>
    </w:p>
    <w:p w14:paraId="137F0C0B" w14:textId="6F962CE8" w:rsidR="008843E3" w:rsidRDefault="008843E3" w:rsidP="008843E3">
      <w:pPr>
        <w:pStyle w:val="Body"/>
      </w:pPr>
      <w:r>
        <w:t>The National Partnership on COVID-19 Response</w:t>
      </w:r>
      <w:r w:rsidR="00131F2D">
        <w:t> </w:t>
      </w:r>
      <w:r>
        <w:t>has been an important part of IHPA’s engagement across the past year. I thank all of our stakeholders involved in data collection and analysis process</w:t>
      </w:r>
      <w:r w:rsidR="0025786E">
        <w:t>es</w:t>
      </w:r>
      <w:r>
        <w:t xml:space="preserve"> as we have navigated a challenging time for the sector.</w:t>
      </w:r>
    </w:p>
    <w:p w14:paraId="0BFDC523" w14:textId="77777777" w:rsidR="008843E3" w:rsidRDefault="008843E3" w:rsidP="008843E3">
      <w:pPr>
        <w:pStyle w:val="Body"/>
      </w:pPr>
      <w:r>
        <w:t xml:space="preserve">IHPA continues to build many trusted partnerships with all Australian governments, peak bodies and associations and values the contribution of all stakeholders who have supported the agency’s work program. Engaging with, and listening to, our key stakeholders is a critical part of our ability to fulfil our statutory functions, and we look forward to building these strategic partnerships across the aged care sector in the coming years. </w:t>
      </w:r>
    </w:p>
    <w:p w14:paraId="550791A4" w14:textId="7C15A2E3" w:rsidR="00C33E54" w:rsidRDefault="008843E3" w:rsidP="008843E3">
      <w:pPr>
        <w:pStyle w:val="Body"/>
      </w:pPr>
      <w:r>
        <w:t>I would like to highlight the contributions made by</w:t>
      </w:r>
      <w:r w:rsidR="00131F2D">
        <w:t> </w:t>
      </w:r>
      <w:r>
        <w:t>our Clinical Advisory Committee, led by A/Prof Alasdair MacDonald. The expert advice of each member on the committee is essential to the decisions we make.</w:t>
      </w:r>
    </w:p>
    <w:p w14:paraId="23A60835" w14:textId="4E32A767" w:rsidR="00471DFC" w:rsidRDefault="00471DFC" w:rsidP="009076D5">
      <w:pPr>
        <w:pStyle w:val="Body"/>
        <w:sectPr w:rsidR="00471DFC" w:rsidSect="004A0F06">
          <w:footerReference w:type="default" r:id="rId37"/>
          <w:pgSz w:w="9979" w:h="14175"/>
          <w:pgMar w:top="1418" w:right="1134" w:bottom="1134" w:left="1134" w:header="709" w:footer="709" w:gutter="0"/>
          <w:cols w:num="2" w:space="708"/>
          <w:docGrid w:linePitch="360"/>
        </w:sectPr>
      </w:pPr>
    </w:p>
    <w:p w14:paraId="132751DE" w14:textId="25A91946" w:rsidR="00AF525D" w:rsidRPr="00AF525D" w:rsidRDefault="00D87044" w:rsidP="00D87044">
      <w:pPr>
        <w:pStyle w:val="H4"/>
        <w:spacing w:before="0"/>
      </w:pPr>
      <w:r>
        <w:lastRenderedPageBreak/>
        <w:t>Commendation</w:t>
      </w:r>
    </w:p>
    <w:p w14:paraId="42E701E4" w14:textId="77777777" w:rsidR="008843E3" w:rsidRDefault="008843E3" w:rsidP="008843E3">
      <w:pPr>
        <w:pStyle w:val="Body"/>
      </w:pPr>
      <w:r>
        <w:t xml:space="preserve">This year the Pricing Authority said farewell to two long standing members, A/Prof Bruce Chater and Mr Shane Solomon. Bruce was appointed as a member of the Pricing Authority in February 2012 and provided invaluable contributions across his time with the Pricing Authority. </w:t>
      </w:r>
    </w:p>
    <w:p w14:paraId="33406E8E" w14:textId="387D6279" w:rsidR="008843E3" w:rsidRDefault="008843E3" w:rsidP="008843E3">
      <w:pPr>
        <w:pStyle w:val="Body"/>
      </w:pPr>
      <w:r>
        <w:t>On behalf of the Pricing Authority, I commend Mr</w:t>
      </w:r>
      <w:r w:rsidR="00131F2D">
        <w:t> </w:t>
      </w:r>
      <w:r>
        <w:t>Shane Solomon. As inaugural Chair of the Pricing Authority, Shane has skilfully guided the agency from its inception and continued to make substantial contributions to the safe and efficient delivery of healthcare nationally throughout his term as Chair.</w:t>
      </w:r>
    </w:p>
    <w:p w14:paraId="49DE188C" w14:textId="6F45B431" w:rsidR="008843E3" w:rsidRDefault="008843E3" w:rsidP="008843E3">
      <w:pPr>
        <w:pStyle w:val="Body"/>
      </w:pPr>
      <w:r>
        <w:t xml:space="preserve">Following over 10 years with IHPA, six of which were as Chief Executive Officer, Mr James Downie resigned in June of this year. I speak for the Pricing Authority, staff and stakeholders in thanking James for his outstanding performance and leadership across his time with the organisation. </w:t>
      </w:r>
    </w:p>
    <w:p w14:paraId="6860A054" w14:textId="51EB25AC" w:rsidR="008843E3" w:rsidRPr="00017C02" w:rsidRDefault="008843E3" w:rsidP="008843E3">
      <w:pPr>
        <w:pStyle w:val="Body"/>
      </w:pPr>
      <w:r>
        <w:t>I congratulate Dr Adam Coltz</w:t>
      </w:r>
      <w:r w:rsidR="00581F04">
        <w:t>a</w:t>
      </w:r>
      <w:r>
        <w:t xml:space="preserve">u for his appointment to the Pricing Authority. Adam brings many years of healthcare delivery and leadership experience across rural and remote Australia to </w:t>
      </w:r>
      <w:r w:rsidRPr="00017C02">
        <w:t xml:space="preserve">the Pricing Authority.  </w:t>
      </w:r>
    </w:p>
    <w:p w14:paraId="599750C3" w14:textId="5DF39ED0" w:rsidR="000A083E" w:rsidRPr="00017C02" w:rsidRDefault="008843E3" w:rsidP="008843E3">
      <w:pPr>
        <w:pStyle w:val="Body"/>
      </w:pPr>
      <w:r w:rsidRPr="00017C02">
        <w:t>I also acknowledge IHPA staff for their continued commitment to the delivery of a successful program of work this year.</w:t>
      </w:r>
    </w:p>
    <w:p w14:paraId="1D473EAE" w14:textId="77777777" w:rsidR="00844721" w:rsidRPr="00017C02" w:rsidRDefault="00844721" w:rsidP="00844721">
      <w:pPr>
        <w:pStyle w:val="H4"/>
        <w:spacing w:before="0"/>
      </w:pPr>
      <w:r w:rsidRPr="00017C02">
        <w:br w:type="column"/>
      </w:r>
      <w:r w:rsidRPr="00017C02">
        <w:t>Looking ahead</w:t>
      </w:r>
    </w:p>
    <w:p w14:paraId="47ADEFDA" w14:textId="77777777" w:rsidR="00B3582B" w:rsidRPr="00017C02" w:rsidRDefault="00B3582B" w:rsidP="00B3582B">
      <w:pPr>
        <w:pStyle w:val="Body"/>
      </w:pPr>
      <w:r w:rsidRPr="00017C02">
        <w:t>In an evolving environment, I am confident that we will continue to build upon our solid foundation. We remain committed to the highest standards of transparency and accountability, grounded in an open and consultative approach in working with Australian governments and other stakeholders.</w:t>
      </w:r>
    </w:p>
    <w:p w14:paraId="76D7625F" w14:textId="77777777" w:rsidR="00B3582B" w:rsidRPr="00017C02" w:rsidRDefault="00B3582B" w:rsidP="00B3582B">
      <w:pPr>
        <w:pStyle w:val="Body"/>
      </w:pPr>
      <w:r w:rsidRPr="00017C02">
        <w:t xml:space="preserve">In the year ahead, the Pricing Authority looks forward to contributing further to the delivery of sustainable, efficient and quality public hospital and residential aged care services for all Australians. </w:t>
      </w:r>
    </w:p>
    <w:p w14:paraId="7D63707C" w14:textId="7925BFDD" w:rsidR="00CA0051" w:rsidRPr="00017C02" w:rsidRDefault="00B3582B" w:rsidP="00CA0051">
      <w:pPr>
        <w:pStyle w:val="Body"/>
        <w:spacing w:after="240"/>
      </w:pPr>
      <w:r w:rsidRPr="00017C02">
        <w:t>I look forward to working with the Board, IHPA</w:t>
      </w:r>
      <w:r w:rsidR="00131F2D">
        <w:t> </w:t>
      </w:r>
      <w:r w:rsidRPr="00017C02">
        <w:t>staff, and our network of stakeholders as we</w:t>
      </w:r>
      <w:r w:rsidR="00131F2D">
        <w:t> </w:t>
      </w:r>
      <w:r w:rsidRPr="00017C02">
        <w:t>continue to drive positive impacts in both health and aged care.</w:t>
      </w:r>
    </w:p>
    <w:p w14:paraId="08E09643" w14:textId="708FB158" w:rsidR="00844721" w:rsidRPr="00017C02" w:rsidRDefault="00CA0051" w:rsidP="00CA0051">
      <w:pPr>
        <w:pStyle w:val="Body"/>
        <w:spacing w:after="0" w:line="360" w:lineRule="auto"/>
      </w:pPr>
      <w:r w:rsidRPr="00017C02">
        <w:rPr>
          <w:rFonts w:asciiTheme="majorHAnsi" w:hAnsiTheme="majorHAnsi"/>
          <w:noProof/>
          <w:lang w:eastAsia="en-AU"/>
        </w:rPr>
        <w:drawing>
          <wp:inline distT="0" distB="0" distL="0" distR="0" wp14:anchorId="5391D67A" wp14:editId="0A7E6F1C">
            <wp:extent cx="842026" cy="513471"/>
            <wp:effectExtent l="0" t="0" r="0" b="1270"/>
            <wp:docPr id="2" name="Picture 2" descr="Signature of Mr David Tune. AO PSM, Chai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ignature of Mr David Tune. AO PSM, Chair Independent Hospital Pricing Authority"/>
                    <pic:cNvPicPr>
                      <a:picLocks noChangeAspect="1" noChangeArrowheads="1"/>
                    </pic:cNvPicPr>
                  </pic:nvPicPr>
                  <pic:blipFill>
                    <a:blip r:embed="rId38"/>
                    <a:stretch>
                      <a:fillRect/>
                    </a:stretch>
                  </pic:blipFill>
                  <pic:spPr bwMode="auto">
                    <a:xfrm>
                      <a:off x="0" y="0"/>
                      <a:ext cx="858539" cy="523541"/>
                    </a:xfrm>
                    <a:prstGeom prst="rect">
                      <a:avLst/>
                    </a:prstGeom>
                    <a:noFill/>
                    <a:ln>
                      <a:noFill/>
                    </a:ln>
                  </pic:spPr>
                </pic:pic>
              </a:graphicData>
            </a:graphic>
          </wp:inline>
        </w:drawing>
      </w:r>
      <w:r w:rsidR="00844721" w:rsidRPr="00017C02">
        <w:br/>
      </w:r>
      <w:r w:rsidR="00844721" w:rsidRPr="00017C02">
        <w:rPr>
          <w:b/>
          <w:bCs/>
        </w:rPr>
        <w:t>Mr David Tune AO PSM</w:t>
      </w:r>
    </w:p>
    <w:p w14:paraId="4A9060B5" w14:textId="601EBC00" w:rsidR="00844721" w:rsidRPr="00AF525D" w:rsidRDefault="00844721" w:rsidP="00131F2D">
      <w:pPr>
        <w:pStyle w:val="Body"/>
        <w:spacing w:after="480"/>
        <w:ind w:right="-327"/>
      </w:pPr>
      <w:r w:rsidRPr="00017C02">
        <w:t>Chair</w:t>
      </w:r>
      <w:r w:rsidRPr="00017C02">
        <w:br/>
        <w:t xml:space="preserve">Independent </w:t>
      </w:r>
      <w:r w:rsidR="00131F2D">
        <w:t>H</w:t>
      </w:r>
      <w:r w:rsidR="00C70EA1">
        <w:t>ospital</w:t>
      </w:r>
      <w:r w:rsidR="00131F2D">
        <w:t xml:space="preserve"> </w:t>
      </w:r>
      <w:r w:rsidRPr="00017C02">
        <w:t>Pricing</w:t>
      </w:r>
      <w:r w:rsidR="000A083E" w:rsidRPr="00017C02">
        <w:t> </w:t>
      </w:r>
      <w:r w:rsidRPr="00017C02">
        <w:t>Authority</w:t>
      </w:r>
      <w:r w:rsidRPr="00017C02">
        <w:rPr>
          <w:b/>
          <w:bCs/>
        </w:rPr>
        <w:br/>
      </w:r>
      <w:r w:rsidR="00D87044" w:rsidRPr="00017C02">
        <w:t>7</w:t>
      </w:r>
      <w:r w:rsidRPr="00017C02">
        <w:t xml:space="preserve"> </w:t>
      </w:r>
      <w:r w:rsidR="00D87044" w:rsidRPr="00017C02">
        <w:t>September</w:t>
      </w:r>
      <w:r w:rsidRPr="00017C02">
        <w:t xml:space="preserve"> 2022</w:t>
      </w:r>
    </w:p>
    <w:p w14:paraId="4B0ADC86" w14:textId="77777777" w:rsidR="003A39F9" w:rsidRDefault="003A39F9" w:rsidP="00EE45FC">
      <w:pPr>
        <w:pStyle w:val="indexcopy"/>
        <w:sectPr w:rsidR="003A39F9" w:rsidSect="00E57FF2">
          <w:footerReference w:type="default" r:id="rId39"/>
          <w:pgSz w:w="9979" w:h="14175"/>
          <w:pgMar w:top="1418" w:right="1134" w:bottom="1134" w:left="1134" w:header="709" w:footer="709" w:gutter="0"/>
          <w:cols w:num="2" w:space="708"/>
          <w:docGrid w:linePitch="360"/>
        </w:sectPr>
      </w:pPr>
    </w:p>
    <w:p w14:paraId="70D3BDE5" w14:textId="730EF9C7" w:rsidR="00CB0DAD" w:rsidRDefault="00CB0DAD" w:rsidP="00CB0DAD">
      <w:pPr>
        <w:pStyle w:val="Body"/>
      </w:pPr>
    </w:p>
    <w:p w14:paraId="6556EFAB" w14:textId="77777777" w:rsidR="00B22DF6" w:rsidRDefault="00B22DF6" w:rsidP="00B22DF6">
      <w:pPr>
        <w:pStyle w:val="Body"/>
        <w:rPr>
          <w:rStyle w:val="BodyChar"/>
        </w:rPr>
        <w:sectPr w:rsidR="00B22DF6" w:rsidSect="00CB0DAD">
          <w:footerReference w:type="default" r:id="rId40"/>
          <w:type w:val="continuous"/>
          <w:pgSz w:w="9979" w:h="14175"/>
          <w:pgMar w:top="1418" w:right="1134" w:bottom="1134" w:left="1134" w:header="709" w:footer="709" w:gutter="0"/>
          <w:cols w:num="2" w:space="708"/>
          <w:docGrid w:linePitch="360"/>
        </w:sectPr>
      </w:pPr>
    </w:p>
    <w:p w14:paraId="7FB8AD28" w14:textId="6AD7D974" w:rsidR="001E05C7" w:rsidRPr="00FA7880" w:rsidRDefault="001E05C7" w:rsidP="00B22DF6">
      <w:pPr>
        <w:pStyle w:val="Body"/>
        <w:rPr>
          <w:rStyle w:val="BodyChar"/>
        </w:rPr>
      </w:pPr>
      <w:r>
        <w:rPr>
          <w:noProof/>
        </w:rPr>
        <w:lastRenderedPageBreak/>
        <w:drawing>
          <wp:inline distT="0" distB="0" distL="0" distR="0" wp14:anchorId="75BE3624" wp14:editId="09B1FDEE">
            <wp:extent cx="2223060" cy="1347779"/>
            <wp:effectExtent l="0" t="0" r="0" b="0"/>
            <wp:docPr id="16" name="Picture 16" descr="Photo of Associate Professor&#10;Alasdair MacDonald&#10;Chair, Clinical Advisory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hoto of Associate Professor&#10;Alasdair MacDonald&#10;Chair, Clinical Advisory Committee"/>
                    <pic:cNvPicPr>
                      <a:picLocks noChangeAspect="1" noChangeArrowheads="1"/>
                    </pic:cNvPicPr>
                  </pic:nvPicPr>
                  <pic:blipFill>
                    <a:blip r:embed="rId41"/>
                    <a:stretch>
                      <a:fillRect/>
                    </a:stretch>
                  </pic:blipFill>
                  <pic:spPr bwMode="auto">
                    <a:xfrm>
                      <a:off x="0" y="0"/>
                      <a:ext cx="2223060" cy="1347779"/>
                    </a:xfrm>
                    <a:prstGeom prst="rect">
                      <a:avLst/>
                    </a:prstGeom>
                    <a:noFill/>
                    <a:ln>
                      <a:noFill/>
                    </a:ln>
                  </pic:spPr>
                </pic:pic>
              </a:graphicData>
            </a:graphic>
          </wp:inline>
        </w:drawing>
      </w:r>
    </w:p>
    <w:p w14:paraId="270E1FFF" w14:textId="68609975" w:rsidR="001E05C7" w:rsidRDefault="001E05C7" w:rsidP="001E05C7">
      <w:pPr>
        <w:pStyle w:val="Heading1"/>
        <w:spacing w:before="0" w:beforeAutospacing="0"/>
        <w:rPr>
          <w:color w:val="003F2C" w:themeColor="text2"/>
        </w:rPr>
      </w:pPr>
      <w:bookmarkStart w:id="15" w:name="_Toc114824419"/>
      <w:r>
        <w:rPr>
          <w:color w:val="003F2C" w:themeColor="text2"/>
        </w:rPr>
        <w:t xml:space="preserve">1.2 </w:t>
      </w:r>
      <w:r w:rsidR="000B2FAD">
        <w:rPr>
          <w:color w:val="003F2C" w:themeColor="text2"/>
        </w:rPr>
        <w:t xml:space="preserve">Clinical </w:t>
      </w:r>
      <w:r>
        <w:rPr>
          <w:color w:val="003F2C" w:themeColor="text2"/>
        </w:rPr>
        <w:t>Advisory Committee Chair</w:t>
      </w:r>
      <w:r w:rsidRPr="001A268B">
        <w:rPr>
          <w:rFonts w:cs="Times New Roman (Headings CS)"/>
          <w:color w:val="003F2C" w:themeColor="text2"/>
          <w:spacing w:val="-100"/>
        </w:rPr>
        <w:t>’s</w:t>
      </w:r>
      <w:r w:rsidRPr="00783BD7">
        <w:rPr>
          <w:rFonts w:cs="Times New Roman (Headings CS)"/>
          <w:color w:val="003F2C" w:themeColor="text2"/>
          <w:spacing w:val="70"/>
        </w:rPr>
        <w:t xml:space="preserve"> </w:t>
      </w:r>
      <w:r>
        <w:rPr>
          <w:color w:val="003F2C" w:themeColor="text2"/>
        </w:rPr>
        <w:t>letter</w:t>
      </w:r>
      <w:bookmarkEnd w:id="15"/>
    </w:p>
    <w:p w14:paraId="7F9C6567" w14:textId="0A8ABABA" w:rsidR="00CB0DAD" w:rsidRPr="00B245F7" w:rsidRDefault="00CB0DAD" w:rsidP="00CB0DAD">
      <w:pPr>
        <w:pStyle w:val="H3"/>
        <w:spacing w:before="0"/>
        <w:rPr>
          <w:color w:val="003F2C" w:themeColor="text1"/>
        </w:rPr>
      </w:pPr>
      <w:r w:rsidRPr="00B245F7">
        <w:rPr>
          <w:color w:val="003F2C" w:themeColor="text1"/>
        </w:rPr>
        <w:t>Chair, C</w:t>
      </w:r>
      <w:r w:rsidR="001E05C7">
        <w:rPr>
          <w:color w:val="003F2C" w:themeColor="text1"/>
        </w:rPr>
        <w:t xml:space="preserve">linical </w:t>
      </w:r>
      <w:r w:rsidRPr="00B245F7">
        <w:rPr>
          <w:color w:val="003F2C" w:themeColor="text1"/>
        </w:rPr>
        <w:t>A</w:t>
      </w:r>
      <w:r w:rsidR="001E05C7">
        <w:rPr>
          <w:color w:val="003F2C" w:themeColor="text1"/>
        </w:rPr>
        <w:t xml:space="preserve">dvisory </w:t>
      </w:r>
      <w:r w:rsidRPr="00B245F7">
        <w:rPr>
          <w:color w:val="003F2C" w:themeColor="text1"/>
        </w:rPr>
        <w:t>C</w:t>
      </w:r>
      <w:r w:rsidR="001E05C7">
        <w:rPr>
          <w:color w:val="003F2C" w:themeColor="text1"/>
        </w:rPr>
        <w:t>ommittee</w:t>
      </w:r>
      <w:r w:rsidRPr="00B245F7">
        <w:rPr>
          <w:color w:val="003F2C" w:themeColor="text1"/>
        </w:rPr>
        <w:t xml:space="preserve">, </w:t>
      </w:r>
      <w:r w:rsidR="001E05C7">
        <w:rPr>
          <w:color w:val="003F2C" w:themeColor="text1"/>
        </w:rPr>
        <w:t xml:space="preserve">A/Prof </w:t>
      </w:r>
      <w:r w:rsidRPr="00B245F7">
        <w:rPr>
          <w:color w:val="003F2C" w:themeColor="text1"/>
        </w:rPr>
        <w:t>Alasdair Mac</w:t>
      </w:r>
      <w:r w:rsidR="001E05C7">
        <w:rPr>
          <w:color w:val="003F2C" w:themeColor="text1"/>
        </w:rPr>
        <w:t>D</w:t>
      </w:r>
      <w:r w:rsidRPr="00B245F7">
        <w:rPr>
          <w:color w:val="003F2C" w:themeColor="text1"/>
        </w:rPr>
        <w:t>onald</w:t>
      </w:r>
    </w:p>
    <w:p w14:paraId="7C79EA13" w14:textId="77777777" w:rsidR="00CA0051" w:rsidRPr="00CA0051" w:rsidRDefault="00CA0051" w:rsidP="00CA0051">
      <w:pPr>
        <w:pStyle w:val="Body"/>
        <w:rPr>
          <w:b/>
          <w:bCs/>
        </w:rPr>
      </w:pPr>
      <w:r w:rsidRPr="00CA0051">
        <w:rPr>
          <w:b/>
          <w:bCs/>
        </w:rPr>
        <w:t>It is a privilege to work alongside my fellow advisory committee members, Independent Hospital Pricing Authority (IHPA) staff, and the Board as the Chair of the Clinical Advisory Committee once again.</w:t>
      </w:r>
    </w:p>
    <w:p w14:paraId="128A7AA0" w14:textId="77777777" w:rsidR="00CA0051" w:rsidRPr="00CA0051" w:rsidRDefault="00CA0051" w:rsidP="00CA0051">
      <w:pPr>
        <w:pStyle w:val="Body"/>
        <w:ind w:right="-327"/>
      </w:pPr>
      <w:r w:rsidRPr="00CA0051">
        <w:t>As a multidisciplinary group whose members have extensive clinical knowledge and skills across a wide range of areas in the health sector, the Clinical Advisory Committee brought together the expertise of 21 members to provide advice on IHPA’s activity based funding work program.</w:t>
      </w:r>
    </w:p>
    <w:p w14:paraId="01644C37" w14:textId="1AD0859F" w:rsidR="000B2FAD" w:rsidRDefault="0024596A" w:rsidP="00CA0051">
      <w:pPr>
        <w:pStyle w:val="Body"/>
      </w:pPr>
      <w:r>
        <w:br w:type="column"/>
      </w:r>
      <w:r w:rsidR="000B2FAD" w:rsidRPr="00CA0051">
        <w:t xml:space="preserve">Each year, IHPA has made significant progress on the development of the health classifications that underpin pricing and funding on an activity basis. Despite the unprecedented challenges facing the health sector in recent years, the agency has achieved important milestones that have ensured the classification systems reflect contemporary clinical practice and terminology to account for the costs of care. </w:t>
      </w:r>
    </w:p>
    <w:p w14:paraId="7B6505C0" w14:textId="0DC2B346" w:rsidR="0000796F" w:rsidRDefault="00CA0051" w:rsidP="00CA0051">
      <w:pPr>
        <w:pStyle w:val="Body"/>
      </w:pPr>
      <w:r>
        <w:t xml:space="preserve">During 2021–22, this included releasing new versions of the admitted care and subacute and non-acute care classifications and implementing pricing of admitted mental health care using the Australian Mental Health Care Classification. </w:t>
      </w:r>
    </w:p>
    <w:p w14:paraId="63A93B4E" w14:textId="4782AE49" w:rsidR="00CA0051" w:rsidRDefault="00CA0051" w:rsidP="00CA0051">
      <w:pPr>
        <w:pStyle w:val="Body"/>
      </w:pPr>
      <w:r>
        <w:t>In</w:t>
      </w:r>
      <w:r w:rsidR="00131F2D">
        <w:t> </w:t>
      </w:r>
      <w:r>
        <w:t>December 2021, IHPA released Version 5.0 of the Australian National Subacute and Non-Acute Patient Classification. Since commencing work to develop the classification in 2018, the committee worked closely with IHPA to refine the classification through broad consultation and</w:t>
      </w:r>
      <w:r w:rsidR="00131F2D">
        <w:t> </w:t>
      </w:r>
      <w:r>
        <w:t>detailed statistical analysis.</w:t>
      </w:r>
    </w:p>
    <w:p w14:paraId="6E551E43" w14:textId="166E45B8" w:rsidR="00CA0051" w:rsidRDefault="00CA0051" w:rsidP="00CA0051">
      <w:pPr>
        <w:pStyle w:val="Body"/>
      </w:pPr>
      <w:r>
        <w:t>The committee was pleased to guide the implementation of pricing admitted mental health care using the Australian Mental Health Care Classification Version 1.0 and pricing of admitted care using ICD</w:t>
      </w:r>
      <w:r w:rsidR="002A6D60">
        <w:t>-</w:t>
      </w:r>
      <w:r>
        <w:t>10-AM/ACHI/ACS Twelfth Edition, which will both be used for pricing from 1</w:t>
      </w:r>
      <w:r w:rsidR="00131F2D">
        <w:t> </w:t>
      </w:r>
      <w:r>
        <w:t xml:space="preserve">July 2022. </w:t>
      </w:r>
    </w:p>
    <w:p w14:paraId="5276E501" w14:textId="1F7572BF" w:rsidR="00CA0051" w:rsidRDefault="00CA0051" w:rsidP="00CA0051">
      <w:pPr>
        <w:pStyle w:val="Body"/>
      </w:pPr>
      <w:r>
        <w:t xml:space="preserve">For the first time, the committee extended its advice to inform the development of education for new editions of classifications. IHPA launched a dedicated platform for self-paced learning in May 2022. With 1,900 registrations within the first month of its launch, I am looking forward to continuing work with IHPA and the committee to build upon the learning opportunities that broadening education will provide to health professionals in the coming years. </w:t>
      </w:r>
    </w:p>
    <w:p w14:paraId="76B778A2" w14:textId="47C95EFE" w:rsidR="00417DC8" w:rsidRDefault="00AF28FE" w:rsidP="00CA0051">
      <w:pPr>
        <w:pStyle w:val="Body"/>
        <w:sectPr w:rsidR="00417DC8" w:rsidSect="00B22DF6">
          <w:pgSz w:w="9979" w:h="14175"/>
          <w:pgMar w:top="1418" w:right="1134" w:bottom="1134" w:left="1134" w:header="709" w:footer="709" w:gutter="0"/>
          <w:cols w:num="2" w:space="708"/>
          <w:docGrid w:linePitch="360"/>
        </w:sectPr>
      </w:pPr>
      <w:r w:rsidRPr="00AF28FE">
        <w:t>The committee provides ongoing input to the policies outlined in the annual Pricing Framework for Australian Public Hospital Services to ensure they reflect contemporary clinical practice</w:t>
      </w:r>
      <w:r>
        <w:t xml:space="preserve"> </w:t>
      </w:r>
      <w:r w:rsidRPr="00AF28FE">
        <w:t>and</w:t>
      </w:r>
      <w:r>
        <w:t> </w:t>
      </w:r>
      <w:r w:rsidRPr="00AF28FE">
        <w:t>terminology.</w:t>
      </w:r>
    </w:p>
    <w:p w14:paraId="14947910" w14:textId="69568955" w:rsidR="00CA0051" w:rsidRDefault="00CA0051" w:rsidP="00417DC8">
      <w:pPr>
        <w:pStyle w:val="Body"/>
        <w:keepNext/>
        <w:ind w:right="99"/>
      </w:pPr>
      <w:r w:rsidRPr="00CA0051">
        <w:lastRenderedPageBreak/>
        <w:t>IHPA commenced implementing the new clauses of the 2020–25 Addendum to the National Health Reform Agreement from 1 July 2020, which included clauses that support jurisdictions to trial innovative models of care. The committee worked with IHPA to achieve a significant milestone in supporting innovative models of care that have the potential to create better incentives for improved continuity of care,</w:t>
      </w:r>
      <w:r>
        <w:t xml:space="preserve"> </w:t>
      </w:r>
      <w:r w:rsidRPr="00CA0051">
        <w:t>through the development of a discussion paper on future funding models and development of a proof of concept for a capitation payment model for chronic conditions.</w:t>
      </w:r>
    </w:p>
    <w:p w14:paraId="14C92ECB" w14:textId="77777777" w:rsidR="00CA0051" w:rsidRDefault="00CA0051" w:rsidP="00CA0051">
      <w:pPr>
        <w:pStyle w:val="Body"/>
      </w:pPr>
      <w:r w:rsidRPr="00DF7746">
        <w:t>The committee is working closely with IHPA and the healthcare sector more broadly to consider clinical engagement, change management and evaluation to support the development of contemporary funding models.</w:t>
      </w:r>
    </w:p>
    <w:p w14:paraId="0514EA21" w14:textId="3E0F63AD" w:rsidR="00CA0051" w:rsidRPr="00C526F5" w:rsidRDefault="00CA0051" w:rsidP="00CA0051">
      <w:pPr>
        <w:pStyle w:val="Body"/>
      </w:pPr>
      <w:r w:rsidRPr="00DF7746">
        <w:t>Under the National Partnership on COVID-19 Response, committee members provided feedback</w:t>
      </w:r>
      <w:r w:rsidR="00131F2D">
        <w:t> </w:t>
      </w:r>
      <w:r w:rsidRPr="00DF7746">
        <w:t>on the national activity based funding classifications and the updates to the coding and classification systems for reporting COVID-19 in Australian public hospitals, including admitted, emergency and non-admitted care.</w:t>
      </w:r>
    </w:p>
    <w:p w14:paraId="2B6C21AC" w14:textId="2EEF020A" w:rsidR="00CA0051" w:rsidRPr="00CA0051" w:rsidRDefault="00CA0051" w:rsidP="00CA0051">
      <w:pPr>
        <w:pStyle w:val="Body"/>
        <w:keepNext/>
        <w:ind w:right="99"/>
      </w:pPr>
      <w:r w:rsidRPr="00CA0051">
        <w:t>I would like to express my sincere thanks to my fellow committee members for their meaningful contribution and thoughtful consideration of the complex, and at times highly technical, issues over the past year. I deeply appreciate their</w:t>
      </w:r>
      <w:r w:rsidR="00131F2D">
        <w:t> </w:t>
      </w:r>
      <w:r w:rsidRPr="00CA0051">
        <w:t xml:space="preserve">commitment to improving efficiency, accountability and transparency across the public healthcare system. </w:t>
      </w:r>
    </w:p>
    <w:p w14:paraId="49E01B63" w14:textId="4C3B970C" w:rsidR="00417DC8" w:rsidRDefault="00CA0051" w:rsidP="009D1C00">
      <w:pPr>
        <w:pStyle w:val="Body"/>
        <w:keepNext/>
        <w:ind w:right="99"/>
      </w:pPr>
      <w:r w:rsidRPr="00CA0051">
        <w:t xml:space="preserve">There were a few changes to the membership of the committee over this past year. </w:t>
      </w:r>
      <w:r w:rsidR="009D1C00">
        <w:t>We</w:t>
      </w:r>
      <w:r w:rsidRPr="009D1C00">
        <w:t xml:space="preserve"> welcomed</w:t>
      </w:r>
      <w:r w:rsidRPr="00CA0051">
        <w:t xml:space="preserve"> A/Prof Nicole Phillips</w:t>
      </w:r>
      <w:r w:rsidR="0000796F">
        <w:t xml:space="preserve">, </w:t>
      </w:r>
      <w:r w:rsidRPr="00CA0051">
        <w:t>Dr Tracy Smith, Ms</w:t>
      </w:r>
      <w:r w:rsidR="00131F2D">
        <w:t> </w:t>
      </w:r>
      <w:r w:rsidRPr="00CA0051">
        <w:t>Monica Taylor, Dr Elaine Pretorius and Ms</w:t>
      </w:r>
      <w:r w:rsidR="00131F2D">
        <w:t> </w:t>
      </w:r>
      <w:r w:rsidRPr="00CA0051">
        <w:t>Elizabeth Prowse as new appointees to the</w:t>
      </w:r>
      <w:r w:rsidR="00131F2D">
        <w:t> </w:t>
      </w:r>
      <w:r w:rsidRPr="00CA0051">
        <w:t xml:space="preserve">committee. </w:t>
      </w:r>
      <w:r w:rsidR="0024596A">
        <w:br w:type="column"/>
      </w:r>
      <w:r w:rsidRPr="00CA0051">
        <w:t>I would like to thank Mr Anthony Graham Fish, Prof Leon Flicker, A/Prof Paul Varghese, A/Prof</w:t>
      </w:r>
      <w:r w:rsidR="00131F2D">
        <w:t> </w:t>
      </w:r>
      <w:r w:rsidRPr="00CA0051">
        <w:t>Bernard Whitfield, Dr Amod Karnik, Dr</w:t>
      </w:r>
      <w:r w:rsidR="00131F2D">
        <w:t> </w:t>
      </w:r>
      <w:r w:rsidRPr="00CA0051">
        <w:t>Phil Sargent and A/Prof Joanna Sutherland for their many years of greatly valued expertise and contributions.</w:t>
      </w:r>
    </w:p>
    <w:p w14:paraId="64A2926E" w14:textId="433A0053" w:rsidR="00CA0051" w:rsidRDefault="00CA0051" w:rsidP="00CA0051">
      <w:pPr>
        <w:pStyle w:val="Body"/>
      </w:pPr>
      <w:r w:rsidRPr="00CA0051">
        <w:t>On behalf of the Clinical Advisory Committee, I</w:t>
      </w:r>
      <w:r w:rsidR="00131F2D">
        <w:t> </w:t>
      </w:r>
      <w:r w:rsidRPr="00CA0051">
        <w:t>acknowledge and commend the Pricing Authority, the Chief Executive Officer and IHPA staff for delivering a successful program of work in 2021–22. In particular, I would like to personally thank Mr Shane Solomon (former Chair of the Pricing</w:t>
      </w:r>
      <w:r>
        <w:t xml:space="preserve"> Authority) and Mr James Downie (former</w:t>
      </w:r>
      <w:r w:rsidR="00131F2D">
        <w:t> </w:t>
      </w:r>
      <w:r>
        <w:t>Chief Executive Officer) for their immense</w:t>
      </w:r>
      <w:r w:rsidR="00131F2D">
        <w:t> </w:t>
      </w:r>
      <w:r>
        <w:t>contribution and leadership.</w:t>
      </w:r>
    </w:p>
    <w:p w14:paraId="756643B9" w14:textId="7EEFD22F" w:rsidR="00CA0051" w:rsidRDefault="00CA0051" w:rsidP="00CA0051">
      <w:pPr>
        <w:pStyle w:val="Body"/>
      </w:pPr>
      <w:r>
        <w:t>I look forward to continuing to lead the work of the Clinical Advisory Committee in the coming year and welcome the opportunity to support the</w:t>
      </w:r>
      <w:r w:rsidR="00131F2D">
        <w:t> </w:t>
      </w:r>
      <w:r>
        <w:t>agency to drive its strategic agenda in the year</w:t>
      </w:r>
      <w:r w:rsidR="00131F2D">
        <w:t> </w:t>
      </w:r>
      <w:r>
        <w:t>ahead.</w:t>
      </w:r>
      <w:r w:rsidRPr="00CA0051">
        <w:t xml:space="preserve"> </w:t>
      </w:r>
    </w:p>
    <w:p w14:paraId="2DB59FBF" w14:textId="1208C47A" w:rsidR="00417DC8" w:rsidRDefault="00417DC8" w:rsidP="00417DC8">
      <w:pPr>
        <w:pStyle w:val="Body"/>
      </w:pPr>
      <w:r>
        <w:rPr>
          <w:noProof/>
          <w:lang w:eastAsia="en-AU"/>
        </w:rPr>
        <w:drawing>
          <wp:inline distT="0" distB="0" distL="0" distR="0" wp14:anchorId="1EE9BFC7" wp14:editId="086EEFBE">
            <wp:extent cx="1422400" cy="519175"/>
            <wp:effectExtent l="0" t="0" r="0" b="0"/>
            <wp:docPr id="5" name="Picture 5" descr="Signature of Associate Professor Alasdair MacDonald, Chair, Clinical Advisory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ignature of Associate Professor Alasdair MacDonald, Chair, Clinical Advisory Committee"/>
                    <pic:cNvPicPr>
                      <a:picLocks noChangeAspect="1" noChangeArrowheads="1"/>
                    </pic:cNvPicPr>
                  </pic:nvPicPr>
                  <pic:blipFill>
                    <a:blip r:embed="rId42" cstate="print">
                      <a:extLst>
                        <a:ext uri="{28A0092B-C50C-407E-A947-70E740481C1C}">
                          <a14:useLocalDpi xmlns:a14="http://schemas.microsoft.com/office/drawing/2010/main"/>
                        </a:ext>
                      </a:extLst>
                    </a:blip>
                    <a:stretch>
                      <a:fillRect/>
                    </a:stretch>
                  </pic:blipFill>
                  <pic:spPr bwMode="auto">
                    <a:xfrm>
                      <a:off x="0" y="0"/>
                      <a:ext cx="1422400" cy="519175"/>
                    </a:xfrm>
                    <a:prstGeom prst="rect">
                      <a:avLst/>
                    </a:prstGeom>
                    <a:noFill/>
                    <a:ln>
                      <a:noFill/>
                    </a:ln>
                  </pic:spPr>
                </pic:pic>
              </a:graphicData>
            </a:graphic>
          </wp:inline>
        </w:drawing>
      </w:r>
    </w:p>
    <w:p w14:paraId="2BBE2141" w14:textId="77777777" w:rsidR="00417DC8" w:rsidRDefault="00417DC8" w:rsidP="00417DC8">
      <w:pPr>
        <w:pStyle w:val="Body"/>
      </w:pPr>
      <w:r w:rsidRPr="004408B7">
        <w:rPr>
          <w:b/>
          <w:bCs/>
        </w:rPr>
        <w:t>Associate Professor</w:t>
      </w:r>
      <w:r w:rsidRPr="004D13E1">
        <w:rPr>
          <w:b/>
          <w:bCs/>
        </w:rPr>
        <w:br/>
      </w:r>
      <w:r w:rsidRPr="00A9038D">
        <w:rPr>
          <w:b/>
          <w:bCs/>
        </w:rPr>
        <w:t>Alasdair MacDonald</w:t>
      </w:r>
    </w:p>
    <w:p w14:paraId="380E7D4D" w14:textId="77777777" w:rsidR="00417DC8" w:rsidRDefault="00417DC8" w:rsidP="00417DC8">
      <w:pPr>
        <w:pStyle w:val="Body"/>
      </w:pPr>
      <w:r>
        <w:t>Chair, Clinical Advisory Committee</w:t>
      </w:r>
      <w:r>
        <w:br/>
      </w:r>
      <w:r w:rsidRPr="00137322">
        <w:t>1</w:t>
      </w:r>
      <w:r>
        <w:t>7</w:t>
      </w:r>
      <w:r w:rsidRPr="00137322">
        <w:t xml:space="preserve"> August</w:t>
      </w:r>
      <w:r w:rsidRPr="004A7250">
        <w:t xml:space="preserve"> 2</w:t>
      </w:r>
      <w:r>
        <w:t>022</w:t>
      </w:r>
    </w:p>
    <w:p w14:paraId="11DB8623" w14:textId="77777777" w:rsidR="00417DC8" w:rsidRDefault="00417DC8" w:rsidP="00417DC8">
      <w:pPr>
        <w:pStyle w:val="Body"/>
      </w:pPr>
    </w:p>
    <w:p w14:paraId="7DE8BB06" w14:textId="77777777" w:rsidR="004861D9" w:rsidRDefault="004861D9" w:rsidP="00EE45FC">
      <w:pPr>
        <w:pStyle w:val="indexcopy"/>
        <w:sectPr w:rsidR="004861D9" w:rsidSect="0024596A">
          <w:footerReference w:type="default" r:id="rId43"/>
          <w:pgSz w:w="9979" w:h="14175"/>
          <w:pgMar w:top="1418" w:right="1134" w:bottom="1134" w:left="1134" w:header="709" w:footer="709" w:gutter="0"/>
          <w:cols w:num="2" w:space="708"/>
          <w:docGrid w:linePitch="360"/>
        </w:sectPr>
      </w:pPr>
    </w:p>
    <w:p w14:paraId="4D3F0D93" w14:textId="77777777" w:rsidR="00D76556" w:rsidRPr="00EB111A" w:rsidRDefault="00D76556" w:rsidP="00D76556">
      <w:pPr>
        <w:pStyle w:val="Heading1"/>
        <w:spacing w:before="0" w:beforeAutospacing="0"/>
        <w:rPr>
          <w:color w:val="003F2C" w:themeColor="text1"/>
        </w:rPr>
      </w:pPr>
      <w:bookmarkStart w:id="16" w:name="_Toc114824420"/>
      <w:r>
        <w:rPr>
          <w:color w:val="003F2C" w:themeColor="text1"/>
        </w:rPr>
        <w:lastRenderedPageBreak/>
        <w:t xml:space="preserve">1.3 </w:t>
      </w:r>
      <w:r w:rsidRPr="00EB111A">
        <w:rPr>
          <w:color w:val="003F2C" w:themeColor="text1"/>
        </w:rPr>
        <w:t>Letter of transmittal</w:t>
      </w:r>
      <w:bookmarkEnd w:id="16"/>
    </w:p>
    <w:p w14:paraId="3B441CAE" w14:textId="45CC37FD" w:rsidR="004861D9" w:rsidRDefault="007208C4" w:rsidP="00D76556">
      <w:r>
        <w:rPr>
          <w:noProof/>
        </w:rPr>
        <w:drawing>
          <wp:inline distT="0" distB="0" distL="0" distR="0" wp14:anchorId="7C8894CD" wp14:editId="2195F93D">
            <wp:extent cx="4363949" cy="6175539"/>
            <wp:effectExtent l="127000" t="127000" r="132080" b="123825"/>
            <wp:docPr id="9" name="Picture 9" descr="Letter of Transmittal from the Independent Hospital Pricing Authority Chief Executive Officer to the Minister of Health submitting the Annual Report 2021–22, and the financial statements of the Independent Hospital Pricing Authority for presentation to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etter of Transmittal from the Independent Hospital Pricing Authority Chief Executive Officer to the Minister of Health submitting the Annual Report 2021–22, and the financial statements of the Independent Hospital Pricing Authority for presentation to Parliament."/>
                    <pic:cNvPicPr/>
                  </pic:nvPicPr>
                  <pic:blipFill>
                    <a:blip r:embed="rId44"/>
                    <a:stretch>
                      <a:fillRect/>
                    </a:stretch>
                  </pic:blipFill>
                  <pic:spPr>
                    <a:xfrm>
                      <a:off x="0" y="0"/>
                      <a:ext cx="4363949" cy="6175539"/>
                    </a:xfrm>
                    <a:prstGeom prst="rect">
                      <a:avLst/>
                    </a:prstGeom>
                    <a:ln>
                      <a:noFill/>
                    </a:ln>
                    <a:effectLst>
                      <a:outerShdw blurRad="190500" algn="tl" rotWithShape="0">
                        <a:srgbClr val="000000">
                          <a:alpha val="10000"/>
                        </a:srgbClr>
                      </a:outerShdw>
                    </a:effectLst>
                  </pic:spPr>
                </pic:pic>
              </a:graphicData>
            </a:graphic>
          </wp:inline>
        </w:drawing>
      </w:r>
    </w:p>
    <w:p w14:paraId="70566EDC" w14:textId="3A1E6637" w:rsidR="00D76556" w:rsidRDefault="00D76556" w:rsidP="00EE45FC">
      <w:pPr>
        <w:pStyle w:val="indexcopy"/>
        <w:sectPr w:rsidR="00D76556" w:rsidSect="00D76556">
          <w:footerReference w:type="default" r:id="rId45"/>
          <w:pgSz w:w="9979" w:h="14175"/>
          <w:pgMar w:top="1418" w:right="1134" w:bottom="1134" w:left="1134" w:header="709" w:footer="709" w:gutter="0"/>
          <w:cols w:space="708"/>
          <w:docGrid w:linePitch="360"/>
        </w:sectPr>
      </w:pPr>
    </w:p>
    <w:p w14:paraId="260129BF" w14:textId="7D31E459" w:rsidR="00456249" w:rsidRDefault="00456249" w:rsidP="00456249">
      <w:pPr>
        <w:pStyle w:val="Body"/>
        <w:rPr>
          <w:noProof/>
          <w:lang w:eastAsia="en-AU"/>
        </w:rPr>
      </w:pPr>
      <w:r>
        <w:rPr>
          <w:noProof/>
          <w:lang w:eastAsia="en-AU"/>
        </w:rPr>
        <w:lastRenderedPageBreak/>
        <w:drawing>
          <wp:anchor distT="0" distB="0" distL="114300" distR="114300" simplePos="0" relativeHeight="252057600" behindDoc="1" locked="0" layoutInCell="1" allowOverlap="1" wp14:anchorId="7E121C5F" wp14:editId="696B9574">
            <wp:simplePos x="0" y="0"/>
            <wp:positionH relativeFrom="column">
              <wp:posOffset>-720090</wp:posOffset>
            </wp:positionH>
            <wp:positionV relativeFrom="paragraph">
              <wp:posOffset>-630556</wp:posOffset>
            </wp:positionV>
            <wp:extent cx="6409779" cy="9005777"/>
            <wp:effectExtent l="0" t="0" r="381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46"/>
                    <a:stretch>
                      <a:fillRect/>
                    </a:stretch>
                  </pic:blipFill>
                  <pic:spPr>
                    <a:xfrm>
                      <a:off x="0" y="0"/>
                      <a:ext cx="6409779" cy="9005777"/>
                    </a:xfrm>
                    <a:prstGeom prst="rect">
                      <a:avLst/>
                    </a:prstGeom>
                  </pic:spPr>
                </pic:pic>
              </a:graphicData>
            </a:graphic>
            <wp14:sizeRelH relativeFrom="page">
              <wp14:pctWidth>0</wp14:pctWidth>
            </wp14:sizeRelH>
            <wp14:sizeRelV relativeFrom="page">
              <wp14:pctHeight>0</wp14:pctHeight>
            </wp14:sizeRelV>
          </wp:anchor>
        </w:drawing>
      </w:r>
    </w:p>
    <w:p w14:paraId="76255FC4" w14:textId="208DDBB1" w:rsidR="00456249" w:rsidRDefault="00456249" w:rsidP="00456249">
      <w:pPr>
        <w:pStyle w:val="Body"/>
        <w:rPr>
          <w:noProof/>
          <w:lang w:eastAsia="en-AU"/>
        </w:rPr>
        <w:sectPr w:rsidR="00456249" w:rsidSect="00E57FF2">
          <w:footerReference w:type="default" r:id="rId47"/>
          <w:pgSz w:w="9979" w:h="14175"/>
          <w:pgMar w:top="993" w:right="1134" w:bottom="1134" w:left="1134" w:header="709" w:footer="709" w:gutter="0"/>
          <w:cols w:space="708"/>
          <w:docGrid w:linePitch="360"/>
        </w:sectPr>
      </w:pPr>
    </w:p>
    <w:p w14:paraId="0F40C6D9" w14:textId="1B82FD7A" w:rsidR="004A6A4B" w:rsidRDefault="004A6A4B">
      <w:pPr>
        <w:pStyle w:val="H1"/>
        <w:numPr>
          <w:ilvl w:val="0"/>
          <w:numId w:val="23"/>
        </w:numPr>
        <w:spacing w:before="1080"/>
      </w:pPr>
      <w:bookmarkStart w:id="17" w:name="_Toc114824421"/>
      <w:r>
        <w:rPr>
          <w:noProof/>
          <w:lang w:eastAsia="en-AU"/>
        </w:rPr>
        <w:lastRenderedPageBreak/>
        <w:drawing>
          <wp:anchor distT="0" distB="0" distL="114300" distR="114300" simplePos="0" relativeHeight="252053504" behindDoc="1" locked="0" layoutInCell="1" allowOverlap="1" wp14:anchorId="39607988" wp14:editId="5F51666B">
            <wp:simplePos x="0" y="0"/>
            <wp:positionH relativeFrom="column">
              <wp:posOffset>-720090</wp:posOffset>
            </wp:positionH>
            <wp:positionV relativeFrom="paragraph">
              <wp:posOffset>-629285</wp:posOffset>
            </wp:positionV>
            <wp:extent cx="6443085" cy="9062273"/>
            <wp:effectExtent l="0" t="0" r="0" b="5715"/>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48"/>
                    <a:stretch>
                      <a:fillRect/>
                    </a:stretch>
                  </pic:blipFill>
                  <pic:spPr bwMode="auto">
                    <a:xfrm>
                      <a:off x="0" y="0"/>
                      <a:ext cx="6443085" cy="9062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79E">
        <w:rPr>
          <w:noProof/>
          <w:lang w:eastAsia="en-AU"/>
        </w:rPr>
        <w:t xml:space="preserve"> </w:t>
      </w:r>
      <w:r>
        <w:rPr>
          <w:noProof/>
          <w:lang w:eastAsia="en-AU"/>
        </w:rPr>
        <w:t>Contents</w:t>
      </w:r>
      <w:bookmarkEnd w:id="17"/>
    </w:p>
    <w:p w14:paraId="43193704" w14:textId="77777777" w:rsidR="004A6A4B" w:rsidRPr="000E7CB6" w:rsidRDefault="004A6A4B" w:rsidP="004A6A4B">
      <w:pPr>
        <w:spacing w:before="2040" w:after="0"/>
        <w:jc w:val="center"/>
        <w:rPr>
          <w:color w:val="FFFFFF" w:themeColor="background2"/>
          <w:sz w:val="200"/>
          <w:szCs w:val="200"/>
        </w:rPr>
      </w:pPr>
      <w:r w:rsidRPr="000E7CB6">
        <w:rPr>
          <w:noProof/>
          <w:color w:val="FFFFFF" w:themeColor="background2"/>
          <w:sz w:val="200"/>
          <w:szCs w:val="200"/>
          <w:lang w:eastAsia="en-AU"/>
        </w:rPr>
        <w:t>0</w:t>
      </w:r>
      <w:r>
        <w:rPr>
          <w:noProof/>
          <w:color w:val="FFFFFF" w:themeColor="background2"/>
          <w:sz w:val="200"/>
          <w:szCs w:val="200"/>
          <w:lang w:eastAsia="en-AU"/>
        </w:rPr>
        <w:t>2</w:t>
      </w:r>
    </w:p>
    <w:p w14:paraId="70443B67" w14:textId="01511FE4" w:rsidR="009076D5" w:rsidRDefault="009076D5" w:rsidP="0053761D"/>
    <w:p w14:paraId="20411E62" w14:textId="77777777" w:rsidR="004A6A4B" w:rsidRDefault="004A6A4B" w:rsidP="0053761D"/>
    <w:p w14:paraId="0F5544CB" w14:textId="70D9D819" w:rsidR="004A6A4B" w:rsidRDefault="004A6A4B" w:rsidP="0053761D">
      <w:pPr>
        <w:sectPr w:rsidR="004A6A4B" w:rsidSect="00E57FF2">
          <w:footerReference w:type="default" r:id="rId49"/>
          <w:pgSz w:w="9979" w:h="14175"/>
          <w:pgMar w:top="993" w:right="1134" w:bottom="1134" w:left="1134" w:header="709" w:footer="709" w:gutter="0"/>
          <w:cols w:space="708"/>
          <w:docGrid w:linePitch="360"/>
        </w:sectPr>
      </w:pPr>
    </w:p>
    <w:p w14:paraId="674A9720" w14:textId="77777777" w:rsidR="003601F1" w:rsidRDefault="009A2D17" w:rsidP="00E250AA">
      <w:pPr>
        <w:pStyle w:val="Heading1"/>
        <w:spacing w:before="0" w:beforeAutospacing="0" w:after="240"/>
        <w:rPr>
          <w:color w:val="008F54" w:themeColor="accent1"/>
        </w:rPr>
      </w:pPr>
      <w:bookmarkStart w:id="18" w:name="_Toc44350165"/>
      <w:bookmarkStart w:id="19" w:name="_Toc44350629"/>
      <w:bookmarkStart w:id="20" w:name="_Toc45192380"/>
      <w:bookmarkStart w:id="21" w:name="_Toc45636764"/>
      <w:bookmarkStart w:id="22" w:name="_Toc45705620"/>
      <w:bookmarkStart w:id="23" w:name="_Toc46151560"/>
      <w:bookmarkStart w:id="24" w:name="_Toc50378056"/>
      <w:bookmarkStart w:id="25" w:name="_Toc76744205"/>
      <w:bookmarkStart w:id="26" w:name="_Toc76746601"/>
      <w:bookmarkStart w:id="27" w:name="_Toc77354652"/>
      <w:bookmarkStart w:id="28" w:name="_Toc79162156"/>
      <w:bookmarkStart w:id="29" w:name="_Toc114824422"/>
      <w:r w:rsidRPr="006158D5">
        <w:rPr>
          <w:color w:val="008F54" w:themeColor="accent1"/>
        </w:rPr>
        <w:lastRenderedPageBreak/>
        <w:t>Contents</w:t>
      </w:r>
      <w:bookmarkEnd w:id="18"/>
      <w:bookmarkEnd w:id="19"/>
      <w:bookmarkEnd w:id="20"/>
      <w:bookmarkEnd w:id="21"/>
      <w:bookmarkEnd w:id="22"/>
      <w:bookmarkEnd w:id="23"/>
      <w:bookmarkEnd w:id="24"/>
      <w:bookmarkEnd w:id="25"/>
      <w:bookmarkEnd w:id="26"/>
      <w:bookmarkEnd w:id="27"/>
      <w:bookmarkEnd w:id="28"/>
      <w:bookmarkEnd w:id="29"/>
    </w:p>
    <w:p w14:paraId="0EC76948" w14:textId="537B2DCD" w:rsidR="003601F1" w:rsidRPr="009D007A" w:rsidRDefault="009A2D17" w:rsidP="004F7900">
      <w:pPr>
        <w:pStyle w:val="TOCBody"/>
        <w:spacing w:after="120"/>
        <w:rPr>
          <w:rFonts w:eastAsiaTheme="minorEastAsia"/>
          <w:b w:val="0"/>
          <w:bCs w:val="0"/>
          <w:sz w:val="24"/>
          <w:szCs w:val="24"/>
          <w:lang w:val="en-PH"/>
        </w:rPr>
      </w:pPr>
      <w:r w:rsidRPr="009D007A">
        <w:rPr>
          <w:rFonts w:asciiTheme="majorHAnsi" w:eastAsiaTheme="majorEastAsia" w:hAnsiTheme="majorHAnsi" w:cstheme="majorBidi"/>
          <w:b w:val="0"/>
          <w:bCs w:val="0"/>
          <w:color w:val="003F2C" w:themeColor="text2"/>
          <w:spacing w:val="-12"/>
          <w:sz w:val="22"/>
          <w:szCs w:val="22"/>
        </w:rPr>
        <w:fldChar w:fldCharType="begin"/>
      </w:r>
      <w:r w:rsidRPr="009D007A">
        <w:rPr>
          <w:b w:val="0"/>
          <w:bCs w:val="0"/>
          <w:color w:val="003F2C" w:themeColor="text2"/>
          <w:sz w:val="22"/>
          <w:szCs w:val="22"/>
        </w:rPr>
        <w:instrText xml:space="preserve"> TOC \h \z \t "Heading 1,2,H1,1" </w:instrText>
      </w:r>
      <w:r w:rsidRPr="009D007A">
        <w:rPr>
          <w:rFonts w:asciiTheme="majorHAnsi" w:eastAsiaTheme="majorEastAsia" w:hAnsiTheme="majorHAnsi" w:cstheme="majorBidi"/>
          <w:b w:val="0"/>
          <w:bCs w:val="0"/>
          <w:color w:val="003F2C" w:themeColor="text2"/>
          <w:spacing w:val="-12"/>
          <w:sz w:val="22"/>
          <w:szCs w:val="22"/>
        </w:rPr>
        <w:fldChar w:fldCharType="separate"/>
      </w:r>
      <w:hyperlink w:anchor="_Toc114824416" w:history="1">
        <w:r w:rsidR="003601F1" w:rsidRPr="009D007A">
          <w:rPr>
            <w:rStyle w:val="Hyperlink"/>
            <w:b w:val="0"/>
            <w:bCs w:val="0"/>
          </w:rPr>
          <w:t>About this report</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_Toc114824416 \h </w:instrText>
        </w:r>
        <w:r w:rsidR="003601F1" w:rsidRPr="009D007A">
          <w:rPr>
            <w:b w:val="0"/>
            <w:bCs w:val="0"/>
            <w:webHidden/>
          </w:rPr>
        </w:r>
        <w:r w:rsidR="003601F1" w:rsidRPr="009D007A">
          <w:rPr>
            <w:b w:val="0"/>
            <w:bCs w:val="0"/>
            <w:webHidden/>
          </w:rPr>
          <w:fldChar w:fldCharType="separate"/>
        </w:r>
        <w:r w:rsidR="00783BD7">
          <w:rPr>
            <w:b w:val="0"/>
            <w:bCs w:val="0"/>
            <w:webHidden/>
          </w:rPr>
          <w:t>i</w:t>
        </w:r>
        <w:r w:rsidR="003601F1" w:rsidRPr="009D007A">
          <w:rPr>
            <w:b w:val="0"/>
            <w:bCs w:val="0"/>
            <w:webHidden/>
          </w:rPr>
          <w:fldChar w:fldCharType="end"/>
        </w:r>
      </w:hyperlink>
    </w:p>
    <w:p w14:paraId="131EA376" w14:textId="7B50E74A" w:rsidR="003601F1" w:rsidRPr="009D007A" w:rsidRDefault="00000000" w:rsidP="004F7900">
      <w:pPr>
        <w:pStyle w:val="TOCHeader"/>
        <w:spacing w:after="120"/>
        <w:rPr>
          <w:rFonts w:eastAsiaTheme="minorEastAsia"/>
          <w:b w:val="0"/>
          <w:bCs w:val="0"/>
          <w:sz w:val="22"/>
          <w:szCs w:val="22"/>
          <w:lang w:val="en-PH"/>
        </w:rPr>
      </w:pPr>
      <w:hyperlink w:anchor="_Toc114824417" w:history="1">
        <w:r w:rsidR="003601F1" w:rsidRPr="009D007A">
          <w:rPr>
            <w:rStyle w:val="Hyperlink"/>
            <w:b w:val="0"/>
            <w:bCs w:val="0"/>
            <w:sz w:val="22"/>
            <w:szCs w:val="22"/>
            <w:lang w:eastAsia="en-AU"/>
          </w:rPr>
          <w:t>Introduction</w:t>
        </w:r>
        <w:r w:rsidR="003601F1" w:rsidRPr="009D007A">
          <w:rPr>
            <w:b w:val="0"/>
            <w:bCs w:val="0"/>
            <w:webHidden/>
            <w:sz w:val="22"/>
            <w:szCs w:val="22"/>
          </w:rPr>
          <w:tab/>
        </w:r>
        <w:r w:rsidR="003601F1" w:rsidRPr="009D007A">
          <w:rPr>
            <w:b w:val="0"/>
            <w:bCs w:val="0"/>
            <w:webHidden/>
            <w:sz w:val="22"/>
            <w:szCs w:val="22"/>
          </w:rPr>
          <w:fldChar w:fldCharType="begin"/>
        </w:r>
        <w:r w:rsidR="003601F1" w:rsidRPr="009D007A">
          <w:rPr>
            <w:b w:val="0"/>
            <w:bCs w:val="0"/>
            <w:webHidden/>
            <w:sz w:val="22"/>
            <w:szCs w:val="22"/>
          </w:rPr>
          <w:instrText xml:space="preserve"> PAGEREF _Toc114824417 \h </w:instrText>
        </w:r>
        <w:r w:rsidR="003601F1" w:rsidRPr="009D007A">
          <w:rPr>
            <w:b w:val="0"/>
            <w:bCs w:val="0"/>
            <w:webHidden/>
            <w:sz w:val="22"/>
            <w:szCs w:val="22"/>
          </w:rPr>
        </w:r>
        <w:r w:rsidR="003601F1" w:rsidRPr="009D007A">
          <w:rPr>
            <w:b w:val="0"/>
            <w:bCs w:val="0"/>
            <w:webHidden/>
            <w:sz w:val="22"/>
            <w:szCs w:val="22"/>
          </w:rPr>
          <w:fldChar w:fldCharType="separate"/>
        </w:r>
        <w:r w:rsidR="00783BD7">
          <w:rPr>
            <w:b w:val="0"/>
            <w:bCs w:val="0"/>
            <w:webHidden/>
            <w:sz w:val="22"/>
            <w:szCs w:val="22"/>
          </w:rPr>
          <w:t>1</w:t>
        </w:r>
        <w:r w:rsidR="003601F1" w:rsidRPr="009D007A">
          <w:rPr>
            <w:b w:val="0"/>
            <w:bCs w:val="0"/>
            <w:webHidden/>
            <w:sz w:val="22"/>
            <w:szCs w:val="22"/>
          </w:rPr>
          <w:fldChar w:fldCharType="end"/>
        </w:r>
      </w:hyperlink>
    </w:p>
    <w:p w14:paraId="1971911A" w14:textId="6B36E427" w:rsidR="003601F1" w:rsidRPr="009D007A" w:rsidRDefault="00000000" w:rsidP="004F7900">
      <w:pPr>
        <w:pStyle w:val="TOCBody"/>
        <w:spacing w:after="120"/>
        <w:rPr>
          <w:rFonts w:eastAsiaTheme="minorEastAsia"/>
          <w:b w:val="0"/>
          <w:bCs w:val="0"/>
          <w:sz w:val="24"/>
          <w:szCs w:val="24"/>
          <w:lang w:val="en-PH"/>
        </w:rPr>
      </w:pPr>
      <w:hyperlink w:anchor="_Toc114824418" w:history="1">
        <w:r w:rsidR="003601F1" w:rsidRPr="009D007A">
          <w:rPr>
            <w:rStyle w:val="Hyperlink"/>
            <w:b w:val="0"/>
            <w:bCs w:val="0"/>
          </w:rPr>
          <w:t>1.1 Chair’s welcome</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_Toc114824418 \h </w:instrText>
        </w:r>
        <w:r w:rsidR="003601F1" w:rsidRPr="009D007A">
          <w:rPr>
            <w:b w:val="0"/>
            <w:bCs w:val="0"/>
            <w:webHidden/>
          </w:rPr>
        </w:r>
        <w:r w:rsidR="003601F1" w:rsidRPr="009D007A">
          <w:rPr>
            <w:b w:val="0"/>
            <w:bCs w:val="0"/>
            <w:webHidden/>
          </w:rPr>
          <w:fldChar w:fldCharType="separate"/>
        </w:r>
        <w:r w:rsidR="00783BD7">
          <w:rPr>
            <w:b w:val="0"/>
            <w:bCs w:val="0"/>
            <w:webHidden/>
          </w:rPr>
          <w:t>2</w:t>
        </w:r>
        <w:r w:rsidR="003601F1" w:rsidRPr="009D007A">
          <w:rPr>
            <w:b w:val="0"/>
            <w:bCs w:val="0"/>
            <w:webHidden/>
          </w:rPr>
          <w:fldChar w:fldCharType="end"/>
        </w:r>
      </w:hyperlink>
    </w:p>
    <w:p w14:paraId="34D864DE" w14:textId="0A76CC9C" w:rsidR="003601F1" w:rsidRPr="009D007A" w:rsidRDefault="00000000" w:rsidP="004F7900">
      <w:pPr>
        <w:pStyle w:val="TOCBody"/>
        <w:spacing w:after="120"/>
        <w:rPr>
          <w:rFonts w:eastAsiaTheme="minorEastAsia"/>
          <w:b w:val="0"/>
          <w:bCs w:val="0"/>
          <w:sz w:val="24"/>
          <w:szCs w:val="24"/>
          <w:lang w:val="en-PH"/>
        </w:rPr>
      </w:pPr>
      <w:hyperlink w:anchor="_Toc114824419" w:history="1">
        <w:r w:rsidR="003601F1" w:rsidRPr="009D007A">
          <w:rPr>
            <w:rStyle w:val="Hyperlink"/>
            <w:b w:val="0"/>
            <w:bCs w:val="0"/>
          </w:rPr>
          <w:t>1.2 Clinical Advisory Committee Chair’s letter</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_Toc114824419 \h </w:instrText>
        </w:r>
        <w:r w:rsidR="003601F1" w:rsidRPr="009D007A">
          <w:rPr>
            <w:b w:val="0"/>
            <w:bCs w:val="0"/>
            <w:webHidden/>
          </w:rPr>
        </w:r>
        <w:r w:rsidR="003601F1" w:rsidRPr="009D007A">
          <w:rPr>
            <w:b w:val="0"/>
            <w:bCs w:val="0"/>
            <w:webHidden/>
          </w:rPr>
          <w:fldChar w:fldCharType="separate"/>
        </w:r>
        <w:r w:rsidR="00783BD7">
          <w:rPr>
            <w:b w:val="0"/>
            <w:bCs w:val="0"/>
            <w:webHidden/>
          </w:rPr>
          <w:t>5</w:t>
        </w:r>
        <w:r w:rsidR="003601F1" w:rsidRPr="009D007A">
          <w:rPr>
            <w:b w:val="0"/>
            <w:bCs w:val="0"/>
            <w:webHidden/>
          </w:rPr>
          <w:fldChar w:fldCharType="end"/>
        </w:r>
      </w:hyperlink>
    </w:p>
    <w:p w14:paraId="6CA26AFE" w14:textId="70FC9F80" w:rsidR="003601F1" w:rsidRPr="009D007A" w:rsidRDefault="00000000" w:rsidP="004F7900">
      <w:pPr>
        <w:pStyle w:val="TOCBody"/>
        <w:spacing w:after="120"/>
        <w:rPr>
          <w:rFonts w:eastAsiaTheme="minorEastAsia"/>
          <w:b w:val="0"/>
          <w:bCs w:val="0"/>
          <w:sz w:val="24"/>
          <w:szCs w:val="24"/>
          <w:lang w:val="en-PH"/>
        </w:rPr>
      </w:pPr>
      <w:hyperlink w:anchor="_Toc114824420" w:history="1">
        <w:r w:rsidR="003601F1" w:rsidRPr="009D007A">
          <w:rPr>
            <w:rStyle w:val="Hyperlink"/>
            <w:b w:val="0"/>
            <w:bCs w:val="0"/>
          </w:rPr>
          <w:t>1.3 Letter of transmittal</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_Toc114824420 \h </w:instrText>
        </w:r>
        <w:r w:rsidR="003601F1" w:rsidRPr="009D007A">
          <w:rPr>
            <w:b w:val="0"/>
            <w:bCs w:val="0"/>
            <w:webHidden/>
          </w:rPr>
        </w:r>
        <w:r w:rsidR="003601F1" w:rsidRPr="009D007A">
          <w:rPr>
            <w:b w:val="0"/>
            <w:bCs w:val="0"/>
            <w:webHidden/>
          </w:rPr>
          <w:fldChar w:fldCharType="separate"/>
        </w:r>
        <w:r w:rsidR="00783BD7">
          <w:rPr>
            <w:b w:val="0"/>
            <w:bCs w:val="0"/>
            <w:webHidden/>
          </w:rPr>
          <w:t>7</w:t>
        </w:r>
        <w:r w:rsidR="003601F1" w:rsidRPr="009D007A">
          <w:rPr>
            <w:b w:val="0"/>
            <w:bCs w:val="0"/>
            <w:webHidden/>
          </w:rPr>
          <w:fldChar w:fldCharType="end"/>
        </w:r>
      </w:hyperlink>
    </w:p>
    <w:p w14:paraId="2DEF8404" w14:textId="1548B97D" w:rsidR="003601F1" w:rsidRPr="009D007A" w:rsidRDefault="00000000" w:rsidP="004F7900">
      <w:pPr>
        <w:pStyle w:val="TOCHeader"/>
        <w:spacing w:after="120"/>
        <w:rPr>
          <w:rFonts w:eastAsiaTheme="minorEastAsia"/>
          <w:b w:val="0"/>
          <w:bCs w:val="0"/>
          <w:sz w:val="22"/>
          <w:szCs w:val="22"/>
          <w:lang w:val="en-PH"/>
        </w:rPr>
      </w:pPr>
      <w:hyperlink w:anchor="_Toc114824421" w:history="1">
        <w:r w:rsidR="003601F1" w:rsidRPr="009D007A">
          <w:rPr>
            <w:rStyle w:val="Hyperlink"/>
            <w:b w:val="0"/>
            <w:bCs w:val="0"/>
            <w:sz w:val="22"/>
            <w:szCs w:val="22"/>
            <w:lang w:eastAsia="en-AU"/>
          </w:rPr>
          <w:t>Contents</w:t>
        </w:r>
        <w:r w:rsidR="003601F1" w:rsidRPr="009D007A">
          <w:rPr>
            <w:b w:val="0"/>
            <w:bCs w:val="0"/>
            <w:webHidden/>
            <w:sz w:val="22"/>
            <w:szCs w:val="22"/>
          </w:rPr>
          <w:tab/>
        </w:r>
        <w:r w:rsidR="003601F1" w:rsidRPr="009D007A">
          <w:rPr>
            <w:b w:val="0"/>
            <w:bCs w:val="0"/>
            <w:webHidden/>
            <w:sz w:val="22"/>
            <w:szCs w:val="22"/>
          </w:rPr>
          <w:fldChar w:fldCharType="begin"/>
        </w:r>
        <w:r w:rsidR="003601F1" w:rsidRPr="009D007A">
          <w:rPr>
            <w:b w:val="0"/>
            <w:bCs w:val="0"/>
            <w:webHidden/>
            <w:sz w:val="22"/>
            <w:szCs w:val="22"/>
          </w:rPr>
          <w:instrText xml:space="preserve"> PAGEREF _Toc114824421 \h </w:instrText>
        </w:r>
        <w:r w:rsidR="003601F1" w:rsidRPr="009D007A">
          <w:rPr>
            <w:b w:val="0"/>
            <w:bCs w:val="0"/>
            <w:webHidden/>
            <w:sz w:val="22"/>
            <w:szCs w:val="22"/>
          </w:rPr>
        </w:r>
        <w:r w:rsidR="003601F1" w:rsidRPr="009D007A">
          <w:rPr>
            <w:b w:val="0"/>
            <w:bCs w:val="0"/>
            <w:webHidden/>
            <w:sz w:val="22"/>
            <w:szCs w:val="22"/>
          </w:rPr>
          <w:fldChar w:fldCharType="separate"/>
        </w:r>
        <w:r w:rsidR="00783BD7">
          <w:rPr>
            <w:b w:val="0"/>
            <w:bCs w:val="0"/>
            <w:webHidden/>
            <w:sz w:val="22"/>
            <w:szCs w:val="22"/>
          </w:rPr>
          <w:t>9</w:t>
        </w:r>
        <w:r w:rsidR="003601F1" w:rsidRPr="009D007A">
          <w:rPr>
            <w:b w:val="0"/>
            <w:bCs w:val="0"/>
            <w:webHidden/>
            <w:sz w:val="22"/>
            <w:szCs w:val="22"/>
          </w:rPr>
          <w:fldChar w:fldCharType="end"/>
        </w:r>
      </w:hyperlink>
    </w:p>
    <w:p w14:paraId="58A85D1A" w14:textId="0E9621E4" w:rsidR="003601F1" w:rsidRPr="009D007A" w:rsidRDefault="00000000" w:rsidP="004F7900">
      <w:pPr>
        <w:pStyle w:val="TOCBody"/>
        <w:spacing w:after="120"/>
        <w:rPr>
          <w:rFonts w:eastAsiaTheme="minorEastAsia"/>
          <w:b w:val="0"/>
          <w:bCs w:val="0"/>
          <w:sz w:val="24"/>
          <w:szCs w:val="24"/>
          <w:lang w:val="en-PH"/>
        </w:rPr>
      </w:pPr>
      <w:hyperlink w:anchor="_Toc114824422" w:history="1">
        <w:r w:rsidR="003601F1" w:rsidRPr="009D007A">
          <w:rPr>
            <w:rStyle w:val="Hyperlink"/>
            <w:b w:val="0"/>
            <w:bCs w:val="0"/>
          </w:rPr>
          <w:t>Contents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_Toc114824422 \h </w:instrText>
        </w:r>
        <w:r w:rsidR="003601F1" w:rsidRPr="009D007A">
          <w:rPr>
            <w:b w:val="0"/>
            <w:bCs w:val="0"/>
            <w:webHidden/>
          </w:rPr>
        </w:r>
        <w:r w:rsidR="003601F1" w:rsidRPr="009D007A">
          <w:rPr>
            <w:b w:val="0"/>
            <w:bCs w:val="0"/>
            <w:webHidden/>
          </w:rPr>
          <w:fldChar w:fldCharType="separate"/>
        </w:r>
        <w:r w:rsidR="00783BD7">
          <w:rPr>
            <w:b w:val="0"/>
            <w:bCs w:val="0"/>
            <w:webHidden/>
          </w:rPr>
          <w:t>10</w:t>
        </w:r>
        <w:r w:rsidR="003601F1" w:rsidRPr="009D007A">
          <w:rPr>
            <w:b w:val="0"/>
            <w:bCs w:val="0"/>
            <w:webHidden/>
          </w:rPr>
          <w:fldChar w:fldCharType="end"/>
        </w:r>
      </w:hyperlink>
    </w:p>
    <w:p w14:paraId="4E088B81" w14:textId="574208AC" w:rsidR="003601F1" w:rsidRPr="009D007A" w:rsidRDefault="00000000" w:rsidP="004F7900">
      <w:pPr>
        <w:pStyle w:val="TOCHeader"/>
        <w:spacing w:after="120"/>
        <w:rPr>
          <w:rFonts w:eastAsiaTheme="minorEastAsia"/>
          <w:b w:val="0"/>
          <w:bCs w:val="0"/>
          <w:sz w:val="22"/>
          <w:szCs w:val="22"/>
          <w:lang w:val="en-PH"/>
        </w:rPr>
      </w:pPr>
      <w:hyperlink w:anchor="_Toc114824423" w:history="1">
        <w:r w:rsidR="003601F1" w:rsidRPr="009D007A">
          <w:rPr>
            <w:rStyle w:val="Hyperlink"/>
            <w:b w:val="0"/>
            <w:bCs w:val="0"/>
            <w:sz w:val="22"/>
            <w:szCs w:val="22"/>
            <w:lang w:eastAsia="en-AU"/>
          </w:rPr>
          <w:t>Overview</w:t>
        </w:r>
        <w:r w:rsidR="003601F1" w:rsidRPr="009D007A">
          <w:rPr>
            <w:b w:val="0"/>
            <w:bCs w:val="0"/>
            <w:webHidden/>
            <w:sz w:val="22"/>
            <w:szCs w:val="22"/>
          </w:rPr>
          <w:tab/>
        </w:r>
        <w:r w:rsidR="003601F1" w:rsidRPr="009D007A">
          <w:rPr>
            <w:b w:val="0"/>
            <w:bCs w:val="0"/>
            <w:webHidden/>
            <w:sz w:val="22"/>
            <w:szCs w:val="22"/>
          </w:rPr>
          <w:fldChar w:fldCharType="begin"/>
        </w:r>
        <w:r w:rsidR="003601F1" w:rsidRPr="009D007A">
          <w:rPr>
            <w:b w:val="0"/>
            <w:bCs w:val="0"/>
            <w:webHidden/>
            <w:sz w:val="22"/>
            <w:szCs w:val="22"/>
          </w:rPr>
          <w:instrText xml:space="preserve"> PAGEREF _Toc114824423 \h </w:instrText>
        </w:r>
        <w:r w:rsidR="003601F1" w:rsidRPr="009D007A">
          <w:rPr>
            <w:b w:val="0"/>
            <w:bCs w:val="0"/>
            <w:webHidden/>
            <w:sz w:val="22"/>
            <w:szCs w:val="22"/>
          </w:rPr>
        </w:r>
        <w:r w:rsidR="003601F1" w:rsidRPr="009D007A">
          <w:rPr>
            <w:b w:val="0"/>
            <w:bCs w:val="0"/>
            <w:webHidden/>
            <w:sz w:val="22"/>
            <w:szCs w:val="22"/>
          </w:rPr>
          <w:fldChar w:fldCharType="separate"/>
        </w:r>
        <w:r w:rsidR="00783BD7">
          <w:rPr>
            <w:b w:val="0"/>
            <w:bCs w:val="0"/>
            <w:webHidden/>
            <w:sz w:val="22"/>
            <w:szCs w:val="22"/>
          </w:rPr>
          <w:t>13</w:t>
        </w:r>
        <w:r w:rsidR="003601F1" w:rsidRPr="009D007A">
          <w:rPr>
            <w:b w:val="0"/>
            <w:bCs w:val="0"/>
            <w:webHidden/>
            <w:sz w:val="22"/>
            <w:szCs w:val="22"/>
          </w:rPr>
          <w:fldChar w:fldCharType="end"/>
        </w:r>
      </w:hyperlink>
    </w:p>
    <w:p w14:paraId="38DCC4A2" w14:textId="72591F04" w:rsidR="003601F1" w:rsidRPr="009D007A" w:rsidRDefault="00000000" w:rsidP="004F7900">
      <w:pPr>
        <w:pStyle w:val="TOCBody"/>
        <w:spacing w:after="120"/>
        <w:rPr>
          <w:rFonts w:eastAsiaTheme="minorEastAsia"/>
          <w:b w:val="0"/>
          <w:bCs w:val="0"/>
          <w:sz w:val="24"/>
          <w:szCs w:val="24"/>
          <w:lang w:val="en-PH"/>
        </w:rPr>
      </w:pPr>
      <w:hyperlink w:anchor="_Toc114824424" w:history="1">
        <w:r w:rsidR="003601F1" w:rsidRPr="009D007A">
          <w:rPr>
            <w:rStyle w:val="Hyperlink"/>
            <w:b w:val="0"/>
            <w:bCs w:val="0"/>
          </w:rPr>
          <w:t>3.1 CEO letter</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_Toc114824424 \h </w:instrText>
        </w:r>
        <w:r w:rsidR="003601F1" w:rsidRPr="009D007A">
          <w:rPr>
            <w:b w:val="0"/>
            <w:bCs w:val="0"/>
            <w:webHidden/>
          </w:rPr>
        </w:r>
        <w:r w:rsidR="003601F1" w:rsidRPr="009D007A">
          <w:rPr>
            <w:b w:val="0"/>
            <w:bCs w:val="0"/>
            <w:webHidden/>
          </w:rPr>
          <w:fldChar w:fldCharType="separate"/>
        </w:r>
        <w:r w:rsidR="00783BD7">
          <w:rPr>
            <w:b w:val="0"/>
            <w:bCs w:val="0"/>
            <w:webHidden/>
          </w:rPr>
          <w:t>14</w:t>
        </w:r>
        <w:r w:rsidR="003601F1" w:rsidRPr="009D007A">
          <w:rPr>
            <w:b w:val="0"/>
            <w:bCs w:val="0"/>
            <w:webHidden/>
          </w:rPr>
          <w:fldChar w:fldCharType="end"/>
        </w:r>
      </w:hyperlink>
    </w:p>
    <w:p w14:paraId="08703C7E" w14:textId="25647057" w:rsidR="003601F1" w:rsidRPr="009D007A" w:rsidRDefault="00000000" w:rsidP="004F7900">
      <w:pPr>
        <w:pStyle w:val="TOCBody"/>
        <w:spacing w:after="120"/>
        <w:rPr>
          <w:rFonts w:eastAsiaTheme="minorEastAsia"/>
          <w:b w:val="0"/>
          <w:bCs w:val="0"/>
          <w:sz w:val="24"/>
          <w:szCs w:val="24"/>
          <w:lang w:val="en-PH"/>
        </w:rPr>
      </w:pPr>
      <w:hyperlink w:anchor="_Toc114824425" w:history="1">
        <w:r w:rsidR="003601F1" w:rsidRPr="009D007A">
          <w:rPr>
            <w:rStyle w:val="Hyperlink"/>
            <w:b w:val="0"/>
            <w:bCs w:val="0"/>
          </w:rPr>
          <w:t>3.2 Vision</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_Toc114824425 \h </w:instrText>
        </w:r>
        <w:r w:rsidR="003601F1" w:rsidRPr="009D007A">
          <w:rPr>
            <w:b w:val="0"/>
            <w:bCs w:val="0"/>
            <w:webHidden/>
          </w:rPr>
        </w:r>
        <w:r w:rsidR="003601F1" w:rsidRPr="009D007A">
          <w:rPr>
            <w:b w:val="0"/>
            <w:bCs w:val="0"/>
            <w:webHidden/>
          </w:rPr>
          <w:fldChar w:fldCharType="separate"/>
        </w:r>
        <w:r w:rsidR="00783BD7">
          <w:rPr>
            <w:b w:val="0"/>
            <w:bCs w:val="0"/>
            <w:webHidden/>
          </w:rPr>
          <w:t>17</w:t>
        </w:r>
        <w:r w:rsidR="003601F1" w:rsidRPr="009D007A">
          <w:rPr>
            <w:b w:val="0"/>
            <w:bCs w:val="0"/>
            <w:webHidden/>
          </w:rPr>
          <w:fldChar w:fldCharType="end"/>
        </w:r>
      </w:hyperlink>
    </w:p>
    <w:p w14:paraId="54CD65BE" w14:textId="59709FE0" w:rsidR="003601F1" w:rsidRPr="009D007A" w:rsidRDefault="00000000" w:rsidP="004F7900">
      <w:pPr>
        <w:pStyle w:val="TOCBody"/>
        <w:spacing w:after="120"/>
        <w:rPr>
          <w:rFonts w:eastAsiaTheme="minorEastAsia"/>
          <w:b w:val="0"/>
          <w:bCs w:val="0"/>
          <w:sz w:val="24"/>
          <w:szCs w:val="24"/>
          <w:lang w:val="en-PH"/>
        </w:rPr>
      </w:pPr>
      <w:hyperlink w:anchor="_Toc114824426" w:history="1">
        <w:r w:rsidR="003601F1" w:rsidRPr="009D007A">
          <w:rPr>
            <w:rStyle w:val="Hyperlink"/>
            <w:b w:val="0"/>
            <w:bCs w:val="0"/>
          </w:rPr>
          <w:t>3.3 Who we are</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_Toc114824426 \h </w:instrText>
        </w:r>
        <w:r w:rsidR="003601F1" w:rsidRPr="009D007A">
          <w:rPr>
            <w:b w:val="0"/>
            <w:bCs w:val="0"/>
            <w:webHidden/>
          </w:rPr>
        </w:r>
        <w:r w:rsidR="003601F1" w:rsidRPr="009D007A">
          <w:rPr>
            <w:b w:val="0"/>
            <w:bCs w:val="0"/>
            <w:webHidden/>
          </w:rPr>
          <w:fldChar w:fldCharType="separate"/>
        </w:r>
        <w:r w:rsidR="00783BD7">
          <w:rPr>
            <w:b w:val="0"/>
            <w:bCs w:val="0"/>
            <w:webHidden/>
          </w:rPr>
          <w:t>18</w:t>
        </w:r>
        <w:r w:rsidR="003601F1" w:rsidRPr="009D007A">
          <w:rPr>
            <w:b w:val="0"/>
            <w:bCs w:val="0"/>
            <w:webHidden/>
          </w:rPr>
          <w:fldChar w:fldCharType="end"/>
        </w:r>
      </w:hyperlink>
    </w:p>
    <w:p w14:paraId="66C51E29" w14:textId="60A08EC3" w:rsidR="003601F1" w:rsidRPr="009D007A" w:rsidRDefault="00000000" w:rsidP="004F7900">
      <w:pPr>
        <w:pStyle w:val="TOCBody"/>
        <w:spacing w:after="120"/>
        <w:rPr>
          <w:rFonts w:eastAsiaTheme="minorEastAsia"/>
          <w:b w:val="0"/>
          <w:bCs w:val="0"/>
          <w:sz w:val="24"/>
          <w:szCs w:val="24"/>
          <w:lang w:val="en-PH"/>
        </w:rPr>
      </w:pPr>
      <w:hyperlink w:anchor="_Toc114824427" w:history="1">
        <w:r w:rsidR="003601F1" w:rsidRPr="009D007A">
          <w:rPr>
            <w:rStyle w:val="Hyperlink"/>
            <w:b w:val="0"/>
            <w:bCs w:val="0"/>
          </w:rPr>
          <w:t>3.4 What we do</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_Toc114824427 \h </w:instrText>
        </w:r>
        <w:r w:rsidR="003601F1" w:rsidRPr="009D007A">
          <w:rPr>
            <w:b w:val="0"/>
            <w:bCs w:val="0"/>
            <w:webHidden/>
          </w:rPr>
        </w:r>
        <w:r w:rsidR="003601F1" w:rsidRPr="009D007A">
          <w:rPr>
            <w:b w:val="0"/>
            <w:bCs w:val="0"/>
            <w:webHidden/>
          </w:rPr>
          <w:fldChar w:fldCharType="separate"/>
        </w:r>
        <w:r w:rsidR="00783BD7">
          <w:rPr>
            <w:b w:val="0"/>
            <w:bCs w:val="0"/>
            <w:webHidden/>
          </w:rPr>
          <w:t>27</w:t>
        </w:r>
        <w:r w:rsidR="003601F1" w:rsidRPr="009D007A">
          <w:rPr>
            <w:b w:val="0"/>
            <w:bCs w:val="0"/>
            <w:webHidden/>
          </w:rPr>
          <w:fldChar w:fldCharType="end"/>
        </w:r>
      </w:hyperlink>
    </w:p>
    <w:p w14:paraId="3322F991" w14:textId="10DB8E91" w:rsidR="003601F1" w:rsidRPr="009D007A" w:rsidRDefault="00000000" w:rsidP="004F7900">
      <w:pPr>
        <w:pStyle w:val="TOCHeader"/>
        <w:spacing w:after="120"/>
        <w:rPr>
          <w:rFonts w:eastAsiaTheme="minorEastAsia"/>
          <w:b w:val="0"/>
          <w:bCs w:val="0"/>
          <w:sz w:val="22"/>
          <w:szCs w:val="22"/>
          <w:lang w:val="en-PH"/>
        </w:rPr>
      </w:pPr>
      <w:hyperlink w:anchor="_Toc114824428" w:history="1">
        <w:r w:rsidR="003601F1" w:rsidRPr="009D007A">
          <w:rPr>
            <w:rStyle w:val="Hyperlink"/>
            <w:b w:val="0"/>
            <w:bCs w:val="0"/>
            <w:sz w:val="22"/>
            <w:szCs w:val="22"/>
            <w:lang w:eastAsia="en-AU"/>
          </w:rPr>
          <w:t>Performance statements</w:t>
        </w:r>
        <w:r w:rsidR="003601F1" w:rsidRPr="009D007A">
          <w:rPr>
            <w:b w:val="0"/>
            <w:bCs w:val="0"/>
            <w:webHidden/>
            <w:sz w:val="22"/>
            <w:szCs w:val="22"/>
          </w:rPr>
          <w:tab/>
        </w:r>
        <w:r w:rsidR="003601F1" w:rsidRPr="009D007A">
          <w:rPr>
            <w:b w:val="0"/>
            <w:bCs w:val="0"/>
            <w:webHidden/>
            <w:sz w:val="22"/>
            <w:szCs w:val="22"/>
          </w:rPr>
          <w:fldChar w:fldCharType="begin"/>
        </w:r>
        <w:r w:rsidR="003601F1" w:rsidRPr="009D007A">
          <w:rPr>
            <w:b w:val="0"/>
            <w:bCs w:val="0"/>
            <w:webHidden/>
            <w:sz w:val="22"/>
            <w:szCs w:val="22"/>
          </w:rPr>
          <w:instrText xml:space="preserve"> PAGEREF _Toc114824428 \h </w:instrText>
        </w:r>
        <w:r w:rsidR="003601F1" w:rsidRPr="009D007A">
          <w:rPr>
            <w:b w:val="0"/>
            <w:bCs w:val="0"/>
            <w:webHidden/>
            <w:sz w:val="22"/>
            <w:szCs w:val="22"/>
          </w:rPr>
        </w:r>
        <w:r w:rsidR="003601F1" w:rsidRPr="009D007A">
          <w:rPr>
            <w:b w:val="0"/>
            <w:bCs w:val="0"/>
            <w:webHidden/>
            <w:sz w:val="22"/>
            <w:szCs w:val="22"/>
          </w:rPr>
          <w:fldChar w:fldCharType="separate"/>
        </w:r>
        <w:r w:rsidR="00783BD7">
          <w:rPr>
            <w:b w:val="0"/>
            <w:bCs w:val="0"/>
            <w:webHidden/>
            <w:sz w:val="22"/>
            <w:szCs w:val="22"/>
          </w:rPr>
          <w:t>33</w:t>
        </w:r>
        <w:r w:rsidR="003601F1" w:rsidRPr="009D007A">
          <w:rPr>
            <w:b w:val="0"/>
            <w:bCs w:val="0"/>
            <w:webHidden/>
            <w:sz w:val="22"/>
            <w:szCs w:val="22"/>
          </w:rPr>
          <w:fldChar w:fldCharType="end"/>
        </w:r>
      </w:hyperlink>
    </w:p>
    <w:p w14:paraId="5FCCEE04" w14:textId="5B57645C" w:rsidR="003601F1" w:rsidRPr="009D007A" w:rsidRDefault="00000000" w:rsidP="004F7900">
      <w:pPr>
        <w:pStyle w:val="TOCBody"/>
        <w:spacing w:after="120"/>
        <w:rPr>
          <w:rFonts w:eastAsiaTheme="minorEastAsia"/>
          <w:b w:val="0"/>
          <w:bCs w:val="0"/>
          <w:sz w:val="24"/>
          <w:szCs w:val="24"/>
          <w:lang w:val="en-PH"/>
        </w:rPr>
      </w:pPr>
      <w:hyperlink w:anchor="_Toc114824429" w:history="1">
        <w:r w:rsidR="003601F1" w:rsidRPr="009D007A">
          <w:rPr>
            <w:rStyle w:val="Hyperlink"/>
            <w:b w:val="0"/>
            <w:bCs w:val="0"/>
          </w:rPr>
          <w:t>4.1 Introductory statement</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_Toc114824429 \h </w:instrText>
        </w:r>
        <w:r w:rsidR="003601F1" w:rsidRPr="009D007A">
          <w:rPr>
            <w:b w:val="0"/>
            <w:bCs w:val="0"/>
            <w:webHidden/>
          </w:rPr>
        </w:r>
        <w:r w:rsidR="003601F1" w:rsidRPr="009D007A">
          <w:rPr>
            <w:b w:val="0"/>
            <w:bCs w:val="0"/>
            <w:webHidden/>
          </w:rPr>
          <w:fldChar w:fldCharType="separate"/>
        </w:r>
        <w:r w:rsidR="00783BD7">
          <w:rPr>
            <w:b w:val="0"/>
            <w:bCs w:val="0"/>
            <w:webHidden/>
          </w:rPr>
          <w:t>34</w:t>
        </w:r>
        <w:r w:rsidR="003601F1" w:rsidRPr="009D007A">
          <w:rPr>
            <w:b w:val="0"/>
            <w:bCs w:val="0"/>
            <w:webHidden/>
          </w:rPr>
          <w:fldChar w:fldCharType="end"/>
        </w:r>
      </w:hyperlink>
    </w:p>
    <w:p w14:paraId="53D3EE16" w14:textId="4527804F" w:rsidR="003601F1" w:rsidRPr="009D007A" w:rsidRDefault="00000000" w:rsidP="004F7900">
      <w:pPr>
        <w:pStyle w:val="TOCBody"/>
        <w:spacing w:after="120"/>
        <w:rPr>
          <w:rFonts w:eastAsiaTheme="minorEastAsia"/>
          <w:b w:val="0"/>
          <w:bCs w:val="0"/>
          <w:sz w:val="24"/>
          <w:szCs w:val="24"/>
          <w:lang w:val="en-PH"/>
        </w:rPr>
      </w:pPr>
      <w:hyperlink w:anchor="_Toc114824430" w:history="1">
        <w:r w:rsidR="003601F1" w:rsidRPr="009D007A">
          <w:rPr>
            <w:rStyle w:val="Hyperlink"/>
            <w:b w:val="0"/>
            <w:bCs w:val="0"/>
          </w:rPr>
          <w:t>4.2 Reporting sources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_Toc114824430 \h </w:instrText>
        </w:r>
        <w:r w:rsidR="003601F1" w:rsidRPr="009D007A">
          <w:rPr>
            <w:b w:val="0"/>
            <w:bCs w:val="0"/>
            <w:webHidden/>
          </w:rPr>
        </w:r>
        <w:r w:rsidR="003601F1" w:rsidRPr="009D007A">
          <w:rPr>
            <w:b w:val="0"/>
            <w:bCs w:val="0"/>
            <w:webHidden/>
          </w:rPr>
          <w:fldChar w:fldCharType="separate"/>
        </w:r>
        <w:r w:rsidR="00783BD7">
          <w:rPr>
            <w:b w:val="0"/>
            <w:bCs w:val="0"/>
            <w:webHidden/>
          </w:rPr>
          <w:t>35</w:t>
        </w:r>
        <w:r w:rsidR="003601F1" w:rsidRPr="009D007A">
          <w:rPr>
            <w:b w:val="0"/>
            <w:bCs w:val="0"/>
            <w:webHidden/>
          </w:rPr>
          <w:fldChar w:fldCharType="end"/>
        </w:r>
      </w:hyperlink>
    </w:p>
    <w:p w14:paraId="0461ABA5" w14:textId="1024EDAF" w:rsidR="003601F1" w:rsidRPr="009D007A" w:rsidRDefault="00000000" w:rsidP="004F7900">
      <w:pPr>
        <w:pStyle w:val="TOCBody"/>
        <w:spacing w:after="120"/>
        <w:rPr>
          <w:rFonts w:eastAsiaTheme="minorEastAsia"/>
          <w:b w:val="0"/>
          <w:bCs w:val="0"/>
          <w:sz w:val="24"/>
          <w:szCs w:val="24"/>
          <w:lang w:val="en-PH"/>
        </w:rPr>
      </w:pPr>
      <w:hyperlink w:anchor="_Toc114824431" w:history="1">
        <w:r w:rsidR="003601F1" w:rsidRPr="009D007A">
          <w:rPr>
            <w:rStyle w:val="Hyperlink"/>
            <w:b w:val="0"/>
            <w:bCs w:val="0"/>
          </w:rPr>
          <w:t>4.3 Activities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_Toc114824431 \h </w:instrText>
        </w:r>
        <w:r w:rsidR="003601F1" w:rsidRPr="009D007A">
          <w:rPr>
            <w:b w:val="0"/>
            <w:bCs w:val="0"/>
            <w:webHidden/>
          </w:rPr>
        </w:r>
        <w:r w:rsidR="003601F1" w:rsidRPr="009D007A">
          <w:rPr>
            <w:b w:val="0"/>
            <w:bCs w:val="0"/>
            <w:webHidden/>
          </w:rPr>
          <w:fldChar w:fldCharType="separate"/>
        </w:r>
        <w:r w:rsidR="00783BD7">
          <w:rPr>
            <w:b w:val="0"/>
            <w:bCs w:val="0"/>
            <w:webHidden/>
          </w:rPr>
          <w:t>37</w:t>
        </w:r>
        <w:r w:rsidR="003601F1" w:rsidRPr="009D007A">
          <w:rPr>
            <w:b w:val="0"/>
            <w:bCs w:val="0"/>
            <w:webHidden/>
          </w:rPr>
          <w:fldChar w:fldCharType="end"/>
        </w:r>
      </w:hyperlink>
    </w:p>
    <w:p w14:paraId="320290C4" w14:textId="01359F76" w:rsidR="003601F1" w:rsidRPr="009D007A" w:rsidRDefault="00000000" w:rsidP="004F7900">
      <w:pPr>
        <w:pStyle w:val="TOCHeader"/>
        <w:spacing w:after="120"/>
        <w:rPr>
          <w:rFonts w:eastAsiaTheme="minorEastAsia"/>
          <w:b w:val="0"/>
          <w:bCs w:val="0"/>
          <w:sz w:val="22"/>
          <w:szCs w:val="22"/>
          <w:lang w:val="en-PH"/>
        </w:rPr>
      </w:pPr>
      <w:hyperlink w:anchor="_Toc114824432" w:history="1">
        <w:r w:rsidR="003601F1" w:rsidRPr="009D007A">
          <w:rPr>
            <w:rStyle w:val="Hyperlink"/>
            <w:b w:val="0"/>
            <w:bCs w:val="0"/>
            <w:sz w:val="22"/>
            <w:szCs w:val="22"/>
          </w:rPr>
          <w:t>Management and accountability</w:t>
        </w:r>
        <w:r w:rsidR="003601F1" w:rsidRPr="009D007A">
          <w:rPr>
            <w:b w:val="0"/>
            <w:bCs w:val="0"/>
            <w:webHidden/>
            <w:sz w:val="22"/>
            <w:szCs w:val="22"/>
          </w:rPr>
          <w:tab/>
        </w:r>
        <w:r w:rsidR="003601F1" w:rsidRPr="009D007A">
          <w:rPr>
            <w:b w:val="0"/>
            <w:bCs w:val="0"/>
            <w:webHidden/>
            <w:sz w:val="22"/>
            <w:szCs w:val="22"/>
          </w:rPr>
          <w:fldChar w:fldCharType="begin"/>
        </w:r>
        <w:r w:rsidR="003601F1" w:rsidRPr="009D007A">
          <w:rPr>
            <w:b w:val="0"/>
            <w:bCs w:val="0"/>
            <w:webHidden/>
            <w:sz w:val="22"/>
            <w:szCs w:val="22"/>
          </w:rPr>
          <w:instrText xml:space="preserve"> PAGEREF _Toc114824432 \h </w:instrText>
        </w:r>
        <w:r w:rsidR="003601F1" w:rsidRPr="009D007A">
          <w:rPr>
            <w:b w:val="0"/>
            <w:bCs w:val="0"/>
            <w:webHidden/>
            <w:sz w:val="22"/>
            <w:szCs w:val="22"/>
          </w:rPr>
        </w:r>
        <w:r w:rsidR="003601F1" w:rsidRPr="009D007A">
          <w:rPr>
            <w:b w:val="0"/>
            <w:bCs w:val="0"/>
            <w:webHidden/>
            <w:sz w:val="22"/>
            <w:szCs w:val="22"/>
          </w:rPr>
          <w:fldChar w:fldCharType="separate"/>
        </w:r>
        <w:r w:rsidR="00783BD7">
          <w:rPr>
            <w:b w:val="0"/>
            <w:bCs w:val="0"/>
            <w:webHidden/>
            <w:sz w:val="22"/>
            <w:szCs w:val="22"/>
          </w:rPr>
          <w:t>61</w:t>
        </w:r>
        <w:r w:rsidR="003601F1" w:rsidRPr="009D007A">
          <w:rPr>
            <w:b w:val="0"/>
            <w:bCs w:val="0"/>
            <w:webHidden/>
            <w:sz w:val="22"/>
            <w:szCs w:val="22"/>
          </w:rPr>
          <w:fldChar w:fldCharType="end"/>
        </w:r>
      </w:hyperlink>
    </w:p>
    <w:p w14:paraId="27786F0B" w14:textId="2140BD40" w:rsidR="003601F1" w:rsidRPr="009D007A" w:rsidRDefault="00000000" w:rsidP="004F7900">
      <w:pPr>
        <w:pStyle w:val="TOCBody"/>
        <w:spacing w:after="120"/>
        <w:rPr>
          <w:rFonts w:eastAsiaTheme="minorEastAsia"/>
          <w:b w:val="0"/>
          <w:bCs w:val="0"/>
          <w:sz w:val="24"/>
          <w:szCs w:val="24"/>
          <w:lang w:val="en-PH"/>
        </w:rPr>
      </w:pPr>
      <w:hyperlink w:anchor="_Toc114824433" w:history="1">
        <w:r w:rsidR="003601F1" w:rsidRPr="009D007A">
          <w:rPr>
            <w:rStyle w:val="Hyperlink"/>
            <w:b w:val="0"/>
            <w:bCs w:val="0"/>
          </w:rPr>
          <w:t>5.1 Responsible Minister</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_Toc114824433 \h </w:instrText>
        </w:r>
        <w:r w:rsidR="003601F1" w:rsidRPr="009D007A">
          <w:rPr>
            <w:b w:val="0"/>
            <w:bCs w:val="0"/>
            <w:webHidden/>
          </w:rPr>
        </w:r>
        <w:r w:rsidR="003601F1" w:rsidRPr="009D007A">
          <w:rPr>
            <w:b w:val="0"/>
            <w:bCs w:val="0"/>
            <w:webHidden/>
          </w:rPr>
          <w:fldChar w:fldCharType="separate"/>
        </w:r>
        <w:r w:rsidR="00783BD7">
          <w:rPr>
            <w:b w:val="0"/>
            <w:bCs w:val="0"/>
            <w:webHidden/>
          </w:rPr>
          <w:t>62</w:t>
        </w:r>
        <w:r w:rsidR="003601F1" w:rsidRPr="009D007A">
          <w:rPr>
            <w:b w:val="0"/>
            <w:bCs w:val="0"/>
            <w:webHidden/>
          </w:rPr>
          <w:fldChar w:fldCharType="end"/>
        </w:r>
      </w:hyperlink>
    </w:p>
    <w:p w14:paraId="5248C98B" w14:textId="2C292AD7" w:rsidR="003601F1" w:rsidRPr="009D007A" w:rsidRDefault="00000000" w:rsidP="004F7900">
      <w:pPr>
        <w:pStyle w:val="TOCBody"/>
        <w:spacing w:after="120"/>
        <w:rPr>
          <w:rFonts w:eastAsiaTheme="minorEastAsia"/>
          <w:b w:val="0"/>
          <w:bCs w:val="0"/>
          <w:sz w:val="24"/>
          <w:szCs w:val="24"/>
          <w:lang w:val="en-PH"/>
        </w:rPr>
      </w:pPr>
      <w:hyperlink w:anchor="_Toc114824434" w:history="1">
        <w:r w:rsidR="003601F1" w:rsidRPr="009D007A">
          <w:rPr>
            <w:rStyle w:val="Hyperlink"/>
            <w:b w:val="0"/>
            <w:bCs w:val="0"/>
          </w:rPr>
          <w:t>5.2 Legislation</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_Toc114824434 \h </w:instrText>
        </w:r>
        <w:r w:rsidR="003601F1" w:rsidRPr="009D007A">
          <w:rPr>
            <w:b w:val="0"/>
            <w:bCs w:val="0"/>
            <w:webHidden/>
          </w:rPr>
        </w:r>
        <w:r w:rsidR="003601F1" w:rsidRPr="009D007A">
          <w:rPr>
            <w:b w:val="0"/>
            <w:bCs w:val="0"/>
            <w:webHidden/>
          </w:rPr>
          <w:fldChar w:fldCharType="separate"/>
        </w:r>
        <w:r w:rsidR="00783BD7">
          <w:rPr>
            <w:b w:val="0"/>
            <w:bCs w:val="0"/>
            <w:webHidden/>
          </w:rPr>
          <w:t>62</w:t>
        </w:r>
        <w:r w:rsidR="003601F1" w:rsidRPr="009D007A">
          <w:rPr>
            <w:b w:val="0"/>
            <w:bCs w:val="0"/>
            <w:webHidden/>
          </w:rPr>
          <w:fldChar w:fldCharType="end"/>
        </w:r>
      </w:hyperlink>
    </w:p>
    <w:p w14:paraId="4D68BD73" w14:textId="0E0343C6" w:rsidR="003601F1" w:rsidRPr="009D007A" w:rsidRDefault="00000000" w:rsidP="004F7900">
      <w:pPr>
        <w:pStyle w:val="TOCBody"/>
        <w:spacing w:after="120"/>
        <w:rPr>
          <w:rFonts w:eastAsiaTheme="minorEastAsia"/>
          <w:b w:val="0"/>
          <w:bCs w:val="0"/>
          <w:sz w:val="24"/>
          <w:szCs w:val="24"/>
          <w:lang w:val="en-PH"/>
        </w:rPr>
      </w:pPr>
      <w:hyperlink w:anchor="_Toc114824435" w:history="1">
        <w:r w:rsidR="003601F1" w:rsidRPr="009D007A">
          <w:rPr>
            <w:rStyle w:val="Hyperlink"/>
            <w:b w:val="0"/>
            <w:bCs w:val="0"/>
          </w:rPr>
          <w:t>5.3 Corporate governance</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_Toc114824435 \h </w:instrText>
        </w:r>
        <w:r w:rsidR="003601F1" w:rsidRPr="009D007A">
          <w:rPr>
            <w:b w:val="0"/>
            <w:bCs w:val="0"/>
            <w:webHidden/>
          </w:rPr>
        </w:r>
        <w:r w:rsidR="003601F1" w:rsidRPr="009D007A">
          <w:rPr>
            <w:b w:val="0"/>
            <w:bCs w:val="0"/>
            <w:webHidden/>
          </w:rPr>
          <w:fldChar w:fldCharType="separate"/>
        </w:r>
        <w:r w:rsidR="00783BD7">
          <w:rPr>
            <w:b w:val="0"/>
            <w:bCs w:val="0"/>
            <w:webHidden/>
          </w:rPr>
          <w:t>65</w:t>
        </w:r>
        <w:r w:rsidR="003601F1" w:rsidRPr="009D007A">
          <w:rPr>
            <w:b w:val="0"/>
            <w:bCs w:val="0"/>
            <w:webHidden/>
          </w:rPr>
          <w:fldChar w:fldCharType="end"/>
        </w:r>
      </w:hyperlink>
    </w:p>
    <w:p w14:paraId="4638CA74" w14:textId="2CB801E4" w:rsidR="003601F1" w:rsidRPr="009D007A" w:rsidRDefault="00000000" w:rsidP="004F7900">
      <w:pPr>
        <w:pStyle w:val="TOCBody"/>
        <w:spacing w:after="120"/>
        <w:rPr>
          <w:rFonts w:eastAsiaTheme="minorEastAsia"/>
          <w:b w:val="0"/>
          <w:bCs w:val="0"/>
          <w:sz w:val="24"/>
          <w:szCs w:val="24"/>
          <w:lang w:val="en-PH"/>
        </w:rPr>
      </w:pPr>
      <w:hyperlink w:anchor="_Toc114824436" w:history="1">
        <w:r w:rsidR="003601F1" w:rsidRPr="009D007A">
          <w:rPr>
            <w:rStyle w:val="Hyperlink"/>
            <w:b w:val="0"/>
            <w:bCs w:val="0"/>
          </w:rPr>
          <w:t>5.4 Committees and working groups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_Toc114824436 \h </w:instrText>
        </w:r>
        <w:r w:rsidR="003601F1" w:rsidRPr="009D007A">
          <w:rPr>
            <w:b w:val="0"/>
            <w:bCs w:val="0"/>
            <w:webHidden/>
          </w:rPr>
        </w:r>
        <w:r w:rsidR="003601F1" w:rsidRPr="009D007A">
          <w:rPr>
            <w:b w:val="0"/>
            <w:bCs w:val="0"/>
            <w:webHidden/>
          </w:rPr>
          <w:fldChar w:fldCharType="separate"/>
        </w:r>
        <w:r w:rsidR="00783BD7">
          <w:rPr>
            <w:b w:val="0"/>
            <w:bCs w:val="0"/>
            <w:webHidden/>
          </w:rPr>
          <w:t>69</w:t>
        </w:r>
        <w:r w:rsidR="003601F1" w:rsidRPr="009D007A">
          <w:rPr>
            <w:b w:val="0"/>
            <w:bCs w:val="0"/>
            <w:webHidden/>
          </w:rPr>
          <w:fldChar w:fldCharType="end"/>
        </w:r>
      </w:hyperlink>
    </w:p>
    <w:p w14:paraId="0BBBB0A4" w14:textId="26DB3365" w:rsidR="003601F1" w:rsidRPr="009D007A" w:rsidRDefault="00000000" w:rsidP="004F7900">
      <w:pPr>
        <w:pStyle w:val="TOCBody"/>
        <w:spacing w:after="120"/>
        <w:rPr>
          <w:rFonts w:eastAsiaTheme="minorEastAsia"/>
          <w:b w:val="0"/>
          <w:bCs w:val="0"/>
          <w:sz w:val="24"/>
          <w:szCs w:val="24"/>
          <w:lang w:val="en-PH"/>
        </w:rPr>
      </w:pPr>
      <w:hyperlink w:anchor="_Toc114824437" w:history="1">
        <w:r w:rsidR="003601F1" w:rsidRPr="009D007A">
          <w:rPr>
            <w:rStyle w:val="Hyperlink"/>
            <w:b w:val="0"/>
            <w:bCs w:val="0"/>
          </w:rPr>
          <w:t>5.5 Key corporate governance practices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_Toc114824437 \h </w:instrText>
        </w:r>
        <w:r w:rsidR="003601F1" w:rsidRPr="009D007A">
          <w:rPr>
            <w:b w:val="0"/>
            <w:bCs w:val="0"/>
            <w:webHidden/>
          </w:rPr>
        </w:r>
        <w:r w:rsidR="003601F1" w:rsidRPr="009D007A">
          <w:rPr>
            <w:b w:val="0"/>
            <w:bCs w:val="0"/>
            <w:webHidden/>
          </w:rPr>
          <w:fldChar w:fldCharType="separate"/>
        </w:r>
        <w:r w:rsidR="00783BD7">
          <w:rPr>
            <w:b w:val="0"/>
            <w:bCs w:val="0"/>
            <w:webHidden/>
          </w:rPr>
          <w:t>76</w:t>
        </w:r>
        <w:r w:rsidR="003601F1" w:rsidRPr="009D007A">
          <w:rPr>
            <w:b w:val="0"/>
            <w:bCs w:val="0"/>
            <w:webHidden/>
          </w:rPr>
          <w:fldChar w:fldCharType="end"/>
        </w:r>
      </w:hyperlink>
    </w:p>
    <w:p w14:paraId="16C0C7E4" w14:textId="7BF2128E" w:rsidR="003601F1" w:rsidRPr="009D007A" w:rsidRDefault="00000000" w:rsidP="004F7900">
      <w:pPr>
        <w:pStyle w:val="TOCBody"/>
        <w:spacing w:after="120"/>
        <w:rPr>
          <w:rStyle w:val="Hyperlink"/>
          <w:b w:val="0"/>
          <w:bCs w:val="0"/>
        </w:rPr>
        <w:sectPr w:rsidR="003601F1" w:rsidRPr="009D007A" w:rsidSect="00D222F6">
          <w:footerReference w:type="default" r:id="rId50"/>
          <w:pgSz w:w="9979" w:h="14175"/>
          <w:pgMar w:top="568" w:right="1048" w:bottom="1134" w:left="1134" w:header="709" w:footer="709" w:gutter="0"/>
          <w:cols w:space="708"/>
          <w:docGrid w:linePitch="360"/>
        </w:sectPr>
      </w:pPr>
      <w:hyperlink w:anchor="_Toc114824438" w:history="1">
        <w:r w:rsidR="003601F1" w:rsidRPr="009D007A">
          <w:rPr>
            <w:rStyle w:val="Hyperlink"/>
            <w:b w:val="0"/>
            <w:bCs w:val="0"/>
          </w:rPr>
          <w:t>5.6 Management of human resources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_Toc114824438 \h </w:instrText>
        </w:r>
        <w:r w:rsidR="003601F1" w:rsidRPr="009D007A">
          <w:rPr>
            <w:b w:val="0"/>
            <w:bCs w:val="0"/>
            <w:webHidden/>
          </w:rPr>
        </w:r>
        <w:r w:rsidR="003601F1" w:rsidRPr="009D007A">
          <w:rPr>
            <w:b w:val="0"/>
            <w:bCs w:val="0"/>
            <w:webHidden/>
          </w:rPr>
          <w:fldChar w:fldCharType="separate"/>
        </w:r>
        <w:r w:rsidR="00783BD7">
          <w:rPr>
            <w:b w:val="0"/>
            <w:bCs w:val="0"/>
            <w:webHidden/>
          </w:rPr>
          <w:t>78</w:t>
        </w:r>
        <w:r w:rsidR="003601F1" w:rsidRPr="009D007A">
          <w:rPr>
            <w:b w:val="0"/>
            <w:bCs w:val="0"/>
            <w:webHidden/>
          </w:rPr>
          <w:fldChar w:fldCharType="end"/>
        </w:r>
      </w:hyperlink>
    </w:p>
    <w:p w14:paraId="3A7437A7" w14:textId="765DE913" w:rsidR="003601F1" w:rsidRPr="009D007A" w:rsidRDefault="003601F1" w:rsidP="004F7900">
      <w:pPr>
        <w:pStyle w:val="TOCBody"/>
        <w:spacing w:after="120"/>
        <w:rPr>
          <w:rFonts w:eastAsiaTheme="minorEastAsia"/>
          <w:b w:val="0"/>
          <w:bCs w:val="0"/>
          <w:sz w:val="24"/>
          <w:szCs w:val="24"/>
          <w:lang w:val="en-PH"/>
        </w:rPr>
      </w:pPr>
    </w:p>
    <w:p w14:paraId="1787E4BA" w14:textId="1B83163C" w:rsidR="003601F1" w:rsidRPr="009D007A" w:rsidRDefault="00000000" w:rsidP="004F7900">
      <w:pPr>
        <w:pStyle w:val="TOCHeader"/>
        <w:spacing w:after="120"/>
        <w:rPr>
          <w:rFonts w:eastAsiaTheme="minorEastAsia"/>
          <w:b w:val="0"/>
          <w:bCs w:val="0"/>
          <w:sz w:val="22"/>
          <w:szCs w:val="22"/>
          <w:lang w:val="en-PH"/>
        </w:rPr>
      </w:pPr>
      <w:hyperlink w:anchor="_Toc114824439" w:history="1">
        <w:r w:rsidR="003601F1" w:rsidRPr="009D007A">
          <w:rPr>
            <w:rStyle w:val="Hyperlink"/>
            <w:b w:val="0"/>
            <w:bCs w:val="0"/>
            <w:sz w:val="22"/>
            <w:szCs w:val="22"/>
          </w:rPr>
          <w:t>F</w:t>
        </w:r>
        <w:r w:rsidR="003601F1" w:rsidRPr="009D007A">
          <w:rPr>
            <w:rStyle w:val="Hyperlink"/>
            <w:b w:val="0"/>
            <w:bCs w:val="0"/>
            <w:sz w:val="22"/>
            <w:szCs w:val="22"/>
            <w:lang w:eastAsia="en-AU"/>
          </w:rPr>
          <w:t>inancial management</w:t>
        </w:r>
        <w:r w:rsidR="003601F1" w:rsidRPr="009D007A">
          <w:rPr>
            <w:b w:val="0"/>
            <w:bCs w:val="0"/>
            <w:webHidden/>
            <w:sz w:val="22"/>
            <w:szCs w:val="22"/>
          </w:rPr>
          <w:tab/>
        </w:r>
        <w:r w:rsidR="003601F1" w:rsidRPr="009D007A">
          <w:rPr>
            <w:b w:val="0"/>
            <w:bCs w:val="0"/>
            <w:webHidden/>
            <w:sz w:val="22"/>
            <w:szCs w:val="22"/>
          </w:rPr>
          <w:fldChar w:fldCharType="begin"/>
        </w:r>
        <w:r w:rsidR="003601F1" w:rsidRPr="009D007A">
          <w:rPr>
            <w:b w:val="0"/>
            <w:bCs w:val="0"/>
            <w:webHidden/>
            <w:sz w:val="22"/>
            <w:szCs w:val="22"/>
          </w:rPr>
          <w:instrText xml:space="preserve"> PAGEREF _Toc114824439 \h </w:instrText>
        </w:r>
        <w:r w:rsidR="003601F1" w:rsidRPr="009D007A">
          <w:rPr>
            <w:b w:val="0"/>
            <w:bCs w:val="0"/>
            <w:webHidden/>
            <w:sz w:val="22"/>
            <w:szCs w:val="22"/>
          </w:rPr>
        </w:r>
        <w:r w:rsidR="003601F1" w:rsidRPr="009D007A">
          <w:rPr>
            <w:b w:val="0"/>
            <w:bCs w:val="0"/>
            <w:webHidden/>
            <w:sz w:val="22"/>
            <w:szCs w:val="22"/>
          </w:rPr>
          <w:fldChar w:fldCharType="separate"/>
        </w:r>
        <w:r w:rsidR="00783BD7">
          <w:rPr>
            <w:b w:val="0"/>
            <w:bCs w:val="0"/>
            <w:webHidden/>
            <w:sz w:val="22"/>
            <w:szCs w:val="22"/>
          </w:rPr>
          <w:t>85</w:t>
        </w:r>
        <w:r w:rsidR="003601F1" w:rsidRPr="009D007A">
          <w:rPr>
            <w:b w:val="0"/>
            <w:bCs w:val="0"/>
            <w:webHidden/>
            <w:sz w:val="22"/>
            <w:szCs w:val="22"/>
          </w:rPr>
          <w:fldChar w:fldCharType="end"/>
        </w:r>
      </w:hyperlink>
    </w:p>
    <w:p w14:paraId="535E6BFE" w14:textId="79BE7BAE" w:rsidR="003601F1" w:rsidRPr="009D007A" w:rsidRDefault="00000000" w:rsidP="004F7900">
      <w:pPr>
        <w:pStyle w:val="TOCBody"/>
        <w:spacing w:after="120"/>
        <w:rPr>
          <w:rFonts w:eastAsiaTheme="minorEastAsia"/>
          <w:b w:val="0"/>
          <w:bCs w:val="0"/>
          <w:sz w:val="24"/>
          <w:szCs w:val="24"/>
          <w:lang w:val="en-PH"/>
        </w:rPr>
      </w:pPr>
      <w:hyperlink w:anchor="_Toc114824440" w:history="1">
        <w:r w:rsidR="003601F1" w:rsidRPr="009D007A">
          <w:rPr>
            <w:rStyle w:val="Hyperlink"/>
            <w:b w:val="0"/>
            <w:bCs w:val="0"/>
          </w:rPr>
          <w:t>Financial statements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_Toc114824440 \h </w:instrText>
        </w:r>
        <w:r w:rsidR="003601F1" w:rsidRPr="009D007A">
          <w:rPr>
            <w:b w:val="0"/>
            <w:bCs w:val="0"/>
            <w:webHidden/>
          </w:rPr>
        </w:r>
        <w:r w:rsidR="003601F1" w:rsidRPr="009D007A">
          <w:rPr>
            <w:b w:val="0"/>
            <w:bCs w:val="0"/>
            <w:webHidden/>
          </w:rPr>
          <w:fldChar w:fldCharType="separate"/>
        </w:r>
        <w:r w:rsidR="00783BD7">
          <w:rPr>
            <w:b w:val="0"/>
            <w:bCs w:val="0"/>
            <w:webHidden/>
          </w:rPr>
          <w:t>86</w:t>
        </w:r>
        <w:r w:rsidR="003601F1" w:rsidRPr="009D007A">
          <w:rPr>
            <w:b w:val="0"/>
            <w:bCs w:val="0"/>
            <w:webHidden/>
          </w:rPr>
          <w:fldChar w:fldCharType="end"/>
        </w:r>
      </w:hyperlink>
    </w:p>
    <w:p w14:paraId="6861C07E" w14:textId="40F2C491" w:rsidR="003601F1" w:rsidRPr="009D007A" w:rsidRDefault="00000000" w:rsidP="004F7900">
      <w:pPr>
        <w:pStyle w:val="TOCHeader"/>
        <w:spacing w:after="120"/>
        <w:rPr>
          <w:rFonts w:eastAsiaTheme="minorEastAsia"/>
          <w:b w:val="0"/>
          <w:bCs w:val="0"/>
          <w:sz w:val="22"/>
          <w:szCs w:val="22"/>
          <w:lang w:val="en-PH"/>
        </w:rPr>
      </w:pPr>
      <w:hyperlink w:anchor="_Toc114824441" w:history="1">
        <w:r w:rsidR="003601F1" w:rsidRPr="009D007A">
          <w:rPr>
            <w:rStyle w:val="Hyperlink"/>
            <w:b w:val="0"/>
            <w:bCs w:val="0"/>
            <w:sz w:val="22"/>
            <w:szCs w:val="22"/>
          </w:rPr>
          <w:t>A</w:t>
        </w:r>
        <w:r w:rsidR="003601F1" w:rsidRPr="009D007A">
          <w:rPr>
            <w:rStyle w:val="Hyperlink"/>
            <w:b w:val="0"/>
            <w:bCs w:val="0"/>
            <w:sz w:val="22"/>
            <w:szCs w:val="22"/>
            <w:lang w:eastAsia="en-AU"/>
          </w:rPr>
          <w:t>ppendices</w:t>
        </w:r>
        <w:r w:rsidR="003601F1" w:rsidRPr="009D007A">
          <w:rPr>
            <w:b w:val="0"/>
            <w:bCs w:val="0"/>
            <w:webHidden/>
            <w:sz w:val="22"/>
            <w:szCs w:val="22"/>
          </w:rPr>
          <w:tab/>
        </w:r>
        <w:r w:rsidR="003601F1" w:rsidRPr="009D007A">
          <w:rPr>
            <w:b w:val="0"/>
            <w:bCs w:val="0"/>
            <w:webHidden/>
            <w:sz w:val="22"/>
            <w:szCs w:val="22"/>
          </w:rPr>
          <w:fldChar w:fldCharType="begin"/>
        </w:r>
        <w:r w:rsidR="003601F1" w:rsidRPr="009D007A">
          <w:rPr>
            <w:b w:val="0"/>
            <w:bCs w:val="0"/>
            <w:webHidden/>
            <w:sz w:val="22"/>
            <w:szCs w:val="22"/>
          </w:rPr>
          <w:instrText xml:space="preserve"> PAGEREF _Toc114824441 \h </w:instrText>
        </w:r>
        <w:r w:rsidR="003601F1" w:rsidRPr="009D007A">
          <w:rPr>
            <w:b w:val="0"/>
            <w:bCs w:val="0"/>
            <w:webHidden/>
            <w:sz w:val="22"/>
            <w:szCs w:val="22"/>
          </w:rPr>
        </w:r>
        <w:r w:rsidR="003601F1" w:rsidRPr="009D007A">
          <w:rPr>
            <w:b w:val="0"/>
            <w:bCs w:val="0"/>
            <w:webHidden/>
            <w:sz w:val="22"/>
            <w:szCs w:val="22"/>
          </w:rPr>
          <w:fldChar w:fldCharType="separate"/>
        </w:r>
        <w:r w:rsidR="00783BD7">
          <w:rPr>
            <w:b w:val="0"/>
            <w:bCs w:val="0"/>
            <w:webHidden/>
            <w:sz w:val="22"/>
            <w:szCs w:val="22"/>
          </w:rPr>
          <w:t>113</w:t>
        </w:r>
        <w:r w:rsidR="003601F1" w:rsidRPr="009D007A">
          <w:rPr>
            <w:b w:val="0"/>
            <w:bCs w:val="0"/>
            <w:webHidden/>
            <w:sz w:val="22"/>
            <w:szCs w:val="22"/>
          </w:rPr>
          <w:fldChar w:fldCharType="end"/>
        </w:r>
      </w:hyperlink>
    </w:p>
    <w:p w14:paraId="09229E15" w14:textId="0AED44AD" w:rsidR="003601F1" w:rsidRPr="009D007A" w:rsidRDefault="00000000" w:rsidP="004F7900">
      <w:pPr>
        <w:pStyle w:val="TOCBody"/>
        <w:spacing w:after="120"/>
        <w:rPr>
          <w:rFonts w:eastAsiaTheme="minorEastAsia"/>
          <w:b w:val="0"/>
          <w:bCs w:val="0"/>
          <w:sz w:val="24"/>
          <w:szCs w:val="24"/>
          <w:lang w:val="en-PH"/>
        </w:rPr>
      </w:pPr>
      <w:hyperlink w:anchor="_Toc114824442" w:history="1">
        <w:r w:rsidR="003601F1" w:rsidRPr="009D007A">
          <w:rPr>
            <w:rStyle w:val="Hyperlink"/>
            <w:b w:val="0"/>
            <w:bCs w:val="0"/>
          </w:rPr>
          <w:t>Appendix A: Figures and tables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_Toc114824442 \h </w:instrText>
        </w:r>
        <w:r w:rsidR="003601F1" w:rsidRPr="009D007A">
          <w:rPr>
            <w:b w:val="0"/>
            <w:bCs w:val="0"/>
            <w:webHidden/>
          </w:rPr>
        </w:r>
        <w:r w:rsidR="003601F1" w:rsidRPr="009D007A">
          <w:rPr>
            <w:b w:val="0"/>
            <w:bCs w:val="0"/>
            <w:webHidden/>
          </w:rPr>
          <w:fldChar w:fldCharType="separate"/>
        </w:r>
        <w:r w:rsidR="00783BD7">
          <w:rPr>
            <w:b w:val="0"/>
            <w:bCs w:val="0"/>
            <w:webHidden/>
          </w:rPr>
          <w:t>114</w:t>
        </w:r>
        <w:r w:rsidR="003601F1" w:rsidRPr="009D007A">
          <w:rPr>
            <w:b w:val="0"/>
            <w:bCs w:val="0"/>
            <w:webHidden/>
          </w:rPr>
          <w:fldChar w:fldCharType="end"/>
        </w:r>
      </w:hyperlink>
    </w:p>
    <w:p w14:paraId="10174C38" w14:textId="2FF25F3B" w:rsidR="003601F1" w:rsidRPr="009D007A" w:rsidRDefault="00000000" w:rsidP="004F7900">
      <w:pPr>
        <w:pStyle w:val="TOCBody"/>
        <w:spacing w:after="120"/>
        <w:rPr>
          <w:rFonts w:eastAsiaTheme="minorEastAsia"/>
          <w:b w:val="0"/>
          <w:bCs w:val="0"/>
          <w:sz w:val="24"/>
          <w:szCs w:val="24"/>
          <w:lang w:val="en-PH"/>
        </w:rPr>
      </w:pPr>
      <w:hyperlink w:anchor="_Toc114824443" w:history="1">
        <w:r w:rsidR="003601F1" w:rsidRPr="009D007A">
          <w:rPr>
            <w:rStyle w:val="Hyperlink"/>
            <w:b w:val="0"/>
            <w:bCs w:val="0"/>
          </w:rPr>
          <w:t>Appendix B: Acronyms and abbreviations</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_Toc114824443 \h </w:instrText>
        </w:r>
        <w:r w:rsidR="003601F1" w:rsidRPr="009D007A">
          <w:rPr>
            <w:b w:val="0"/>
            <w:bCs w:val="0"/>
            <w:webHidden/>
          </w:rPr>
        </w:r>
        <w:r w:rsidR="003601F1" w:rsidRPr="009D007A">
          <w:rPr>
            <w:b w:val="0"/>
            <w:bCs w:val="0"/>
            <w:webHidden/>
          </w:rPr>
          <w:fldChar w:fldCharType="separate"/>
        </w:r>
        <w:r w:rsidR="00783BD7">
          <w:rPr>
            <w:b w:val="0"/>
            <w:bCs w:val="0"/>
            <w:webHidden/>
          </w:rPr>
          <w:t>115</w:t>
        </w:r>
        <w:r w:rsidR="003601F1" w:rsidRPr="009D007A">
          <w:rPr>
            <w:b w:val="0"/>
            <w:bCs w:val="0"/>
            <w:webHidden/>
          </w:rPr>
          <w:fldChar w:fldCharType="end"/>
        </w:r>
      </w:hyperlink>
    </w:p>
    <w:p w14:paraId="68D3C9D9" w14:textId="1DDCB391" w:rsidR="003601F1" w:rsidRPr="009D007A" w:rsidRDefault="00000000" w:rsidP="004F7900">
      <w:pPr>
        <w:pStyle w:val="TOCBody"/>
        <w:spacing w:after="120"/>
        <w:rPr>
          <w:rFonts w:eastAsiaTheme="minorEastAsia"/>
          <w:b w:val="0"/>
          <w:bCs w:val="0"/>
          <w:sz w:val="24"/>
          <w:szCs w:val="24"/>
          <w:lang w:val="en-PH"/>
        </w:rPr>
      </w:pPr>
      <w:hyperlink w:anchor="_Toc114824444" w:history="1">
        <w:r w:rsidR="003601F1" w:rsidRPr="009D007A">
          <w:rPr>
            <w:rStyle w:val="Hyperlink"/>
            <w:b w:val="0"/>
            <w:bCs w:val="0"/>
          </w:rPr>
          <w:t>Appendix C: Glossary</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_Toc114824444 \h </w:instrText>
        </w:r>
        <w:r w:rsidR="003601F1" w:rsidRPr="009D007A">
          <w:rPr>
            <w:b w:val="0"/>
            <w:bCs w:val="0"/>
            <w:webHidden/>
          </w:rPr>
        </w:r>
        <w:r w:rsidR="003601F1" w:rsidRPr="009D007A">
          <w:rPr>
            <w:b w:val="0"/>
            <w:bCs w:val="0"/>
            <w:webHidden/>
          </w:rPr>
          <w:fldChar w:fldCharType="separate"/>
        </w:r>
        <w:r w:rsidR="00783BD7">
          <w:rPr>
            <w:b w:val="0"/>
            <w:bCs w:val="0"/>
            <w:webHidden/>
          </w:rPr>
          <w:t>116</w:t>
        </w:r>
        <w:r w:rsidR="003601F1" w:rsidRPr="009D007A">
          <w:rPr>
            <w:b w:val="0"/>
            <w:bCs w:val="0"/>
            <w:webHidden/>
          </w:rPr>
          <w:fldChar w:fldCharType="end"/>
        </w:r>
      </w:hyperlink>
    </w:p>
    <w:p w14:paraId="1FF36AF1" w14:textId="02105C77" w:rsidR="003601F1" w:rsidRPr="009D007A" w:rsidRDefault="00000000" w:rsidP="004F7900">
      <w:pPr>
        <w:pStyle w:val="TOCBody"/>
        <w:spacing w:after="120"/>
        <w:rPr>
          <w:rFonts w:eastAsiaTheme="minorEastAsia"/>
          <w:b w:val="0"/>
          <w:bCs w:val="0"/>
          <w:sz w:val="24"/>
          <w:szCs w:val="24"/>
          <w:lang w:val="en-PH"/>
        </w:rPr>
      </w:pPr>
      <w:hyperlink w:anchor="_Toc114824445" w:history="1">
        <w:r w:rsidR="003601F1" w:rsidRPr="009D007A">
          <w:rPr>
            <w:rStyle w:val="Hyperlink"/>
            <w:b w:val="0"/>
            <w:bCs w:val="0"/>
          </w:rPr>
          <w:t>Appendix D: Compliance index</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_Toc114824445 \h </w:instrText>
        </w:r>
        <w:r w:rsidR="003601F1" w:rsidRPr="009D007A">
          <w:rPr>
            <w:b w:val="0"/>
            <w:bCs w:val="0"/>
            <w:webHidden/>
          </w:rPr>
        </w:r>
        <w:r w:rsidR="003601F1" w:rsidRPr="009D007A">
          <w:rPr>
            <w:b w:val="0"/>
            <w:bCs w:val="0"/>
            <w:webHidden/>
          </w:rPr>
          <w:fldChar w:fldCharType="separate"/>
        </w:r>
        <w:r w:rsidR="00783BD7">
          <w:rPr>
            <w:b w:val="0"/>
            <w:bCs w:val="0"/>
            <w:webHidden/>
          </w:rPr>
          <w:t>119</w:t>
        </w:r>
        <w:r w:rsidR="003601F1" w:rsidRPr="009D007A">
          <w:rPr>
            <w:b w:val="0"/>
            <w:bCs w:val="0"/>
            <w:webHidden/>
          </w:rPr>
          <w:fldChar w:fldCharType="end"/>
        </w:r>
      </w:hyperlink>
    </w:p>
    <w:p w14:paraId="585A629C" w14:textId="519B934D" w:rsidR="003601F1" w:rsidRPr="009D007A" w:rsidRDefault="00000000" w:rsidP="004F7900">
      <w:pPr>
        <w:pStyle w:val="TOCBody"/>
        <w:spacing w:after="120"/>
        <w:rPr>
          <w:rFonts w:eastAsiaTheme="minorEastAsia"/>
          <w:b w:val="0"/>
          <w:bCs w:val="0"/>
          <w:sz w:val="24"/>
          <w:szCs w:val="24"/>
          <w:lang w:val="en-PH"/>
        </w:rPr>
      </w:pPr>
      <w:hyperlink w:anchor="_Toc114824446" w:history="1">
        <w:r w:rsidR="003601F1" w:rsidRPr="009D007A">
          <w:rPr>
            <w:rStyle w:val="Hyperlink"/>
            <w:b w:val="0"/>
            <w:bCs w:val="0"/>
          </w:rPr>
          <w:t>Appendix E: Index</w:t>
        </w:r>
        <w:r w:rsidR="003601F1" w:rsidRPr="009D007A">
          <w:rPr>
            <w:b w:val="0"/>
            <w:bCs w:val="0"/>
            <w:webHidden/>
          </w:rPr>
          <w:tab/>
        </w:r>
        <w:r w:rsidR="003601F1" w:rsidRPr="009D007A">
          <w:rPr>
            <w:b w:val="0"/>
            <w:bCs w:val="0"/>
            <w:webHidden/>
          </w:rPr>
          <w:fldChar w:fldCharType="begin"/>
        </w:r>
        <w:r w:rsidR="003601F1" w:rsidRPr="009D007A">
          <w:rPr>
            <w:b w:val="0"/>
            <w:bCs w:val="0"/>
            <w:webHidden/>
          </w:rPr>
          <w:instrText xml:space="preserve"> PAGEREF _Toc114824446 \h </w:instrText>
        </w:r>
        <w:r w:rsidR="003601F1" w:rsidRPr="009D007A">
          <w:rPr>
            <w:b w:val="0"/>
            <w:bCs w:val="0"/>
            <w:webHidden/>
          </w:rPr>
        </w:r>
        <w:r w:rsidR="003601F1" w:rsidRPr="009D007A">
          <w:rPr>
            <w:b w:val="0"/>
            <w:bCs w:val="0"/>
            <w:webHidden/>
          </w:rPr>
          <w:fldChar w:fldCharType="separate"/>
        </w:r>
        <w:r w:rsidR="00783BD7">
          <w:rPr>
            <w:b w:val="0"/>
            <w:bCs w:val="0"/>
            <w:webHidden/>
          </w:rPr>
          <w:t>123</w:t>
        </w:r>
        <w:r w:rsidR="003601F1" w:rsidRPr="009D007A">
          <w:rPr>
            <w:b w:val="0"/>
            <w:bCs w:val="0"/>
            <w:webHidden/>
          </w:rPr>
          <w:fldChar w:fldCharType="end"/>
        </w:r>
      </w:hyperlink>
    </w:p>
    <w:p w14:paraId="52980BE2" w14:textId="5D8263F5" w:rsidR="00796658" w:rsidRDefault="009A2D17" w:rsidP="004F7900">
      <w:pPr>
        <w:pStyle w:val="TOCBody"/>
        <w:spacing w:after="0"/>
      </w:pPr>
      <w:r w:rsidRPr="009D007A">
        <w:rPr>
          <w:b w:val="0"/>
          <w:bCs w:val="0"/>
          <w:sz w:val="22"/>
          <w:szCs w:val="22"/>
        </w:rPr>
        <w:fldChar w:fldCharType="end"/>
      </w:r>
    </w:p>
    <w:p w14:paraId="3421CF1D" w14:textId="101361B5" w:rsidR="00796658" w:rsidRDefault="00796658" w:rsidP="007F327F">
      <w:pPr>
        <w:pStyle w:val="Body"/>
        <w:sectPr w:rsidR="00796658" w:rsidSect="00D222F6">
          <w:footerReference w:type="default" r:id="rId51"/>
          <w:pgSz w:w="9979" w:h="14175"/>
          <w:pgMar w:top="568" w:right="1048" w:bottom="1134" w:left="1134" w:header="709" w:footer="709" w:gutter="0"/>
          <w:cols w:space="708"/>
          <w:docGrid w:linePitch="360"/>
        </w:sectPr>
      </w:pPr>
    </w:p>
    <w:p w14:paraId="1B26A201" w14:textId="10EAC98E" w:rsidR="00796658" w:rsidRDefault="00796658" w:rsidP="007F327F">
      <w:pPr>
        <w:pStyle w:val="Body"/>
      </w:pPr>
      <w:r>
        <w:rPr>
          <w:noProof/>
          <w:lang w:eastAsia="en-AU"/>
        </w:rPr>
        <w:lastRenderedPageBreak/>
        <w:drawing>
          <wp:anchor distT="0" distB="0" distL="114300" distR="114300" simplePos="0" relativeHeight="252059648" behindDoc="1" locked="0" layoutInCell="1" allowOverlap="1" wp14:anchorId="1A4308FB" wp14:editId="50D30A8F">
            <wp:simplePos x="0" y="0"/>
            <wp:positionH relativeFrom="column">
              <wp:posOffset>-720015</wp:posOffset>
            </wp:positionH>
            <wp:positionV relativeFrom="paragraph">
              <wp:posOffset>-629285</wp:posOffset>
            </wp:positionV>
            <wp:extent cx="6434368" cy="9040537"/>
            <wp:effectExtent l="0" t="0" r="5080" b="1905"/>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a:blip r:embed="rId52"/>
                    <a:stretch>
                      <a:fillRect/>
                    </a:stretch>
                  </pic:blipFill>
                  <pic:spPr>
                    <a:xfrm>
                      <a:off x="0" y="0"/>
                      <a:ext cx="6434368" cy="9040537"/>
                    </a:xfrm>
                    <a:prstGeom prst="rect">
                      <a:avLst/>
                    </a:prstGeom>
                  </pic:spPr>
                </pic:pic>
              </a:graphicData>
            </a:graphic>
            <wp14:sizeRelH relativeFrom="page">
              <wp14:pctWidth>0</wp14:pctWidth>
            </wp14:sizeRelH>
            <wp14:sizeRelV relativeFrom="page">
              <wp14:pctHeight>0</wp14:pctHeight>
            </wp14:sizeRelV>
          </wp:anchor>
        </w:drawing>
      </w:r>
    </w:p>
    <w:p w14:paraId="2C5A484F" w14:textId="5EC0C038" w:rsidR="004A6A4B" w:rsidRDefault="004A6A4B" w:rsidP="007F327F">
      <w:pPr>
        <w:pStyle w:val="Body"/>
        <w:sectPr w:rsidR="004A6A4B" w:rsidSect="00D222F6">
          <w:footerReference w:type="default" r:id="rId53"/>
          <w:pgSz w:w="9979" w:h="14175"/>
          <w:pgMar w:top="568" w:right="1048" w:bottom="1134" w:left="1134" w:header="709" w:footer="709" w:gutter="0"/>
          <w:cols w:space="708"/>
          <w:docGrid w:linePitch="360"/>
        </w:sectPr>
      </w:pPr>
    </w:p>
    <w:p w14:paraId="115E4FA0" w14:textId="0B42DFB4" w:rsidR="00A20CD9" w:rsidRDefault="004A6A4B">
      <w:pPr>
        <w:pStyle w:val="H1"/>
        <w:numPr>
          <w:ilvl w:val="0"/>
          <w:numId w:val="23"/>
        </w:numPr>
        <w:spacing w:before="1080"/>
      </w:pPr>
      <w:bookmarkStart w:id="30" w:name="_Toc114824423"/>
      <w:r>
        <w:rPr>
          <w:noProof/>
          <w:lang w:eastAsia="en-AU"/>
        </w:rPr>
        <w:lastRenderedPageBreak/>
        <w:drawing>
          <wp:anchor distT="0" distB="0" distL="114300" distR="114300" simplePos="0" relativeHeight="252055552" behindDoc="1" locked="0" layoutInCell="1" allowOverlap="1" wp14:anchorId="329533F1" wp14:editId="4B48FB2C">
            <wp:simplePos x="0" y="0"/>
            <wp:positionH relativeFrom="column">
              <wp:posOffset>-746760</wp:posOffset>
            </wp:positionH>
            <wp:positionV relativeFrom="paragraph">
              <wp:posOffset>-629285</wp:posOffset>
            </wp:positionV>
            <wp:extent cx="6391072" cy="8989118"/>
            <wp:effectExtent l="0" t="0" r="0" b="254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54"/>
                    <a:stretch>
                      <a:fillRect/>
                    </a:stretch>
                  </pic:blipFill>
                  <pic:spPr bwMode="auto">
                    <a:xfrm>
                      <a:off x="0" y="0"/>
                      <a:ext cx="6391072" cy="8989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79E">
        <w:rPr>
          <w:noProof/>
          <w:lang w:eastAsia="en-AU"/>
        </w:rPr>
        <w:t xml:space="preserve"> </w:t>
      </w:r>
      <w:r>
        <w:rPr>
          <w:noProof/>
          <w:lang w:eastAsia="en-AU"/>
        </w:rPr>
        <w:t>Overview</w:t>
      </w:r>
      <w:bookmarkEnd w:id="30"/>
    </w:p>
    <w:p w14:paraId="6A216698" w14:textId="05AB5665" w:rsidR="00A20CD9" w:rsidRPr="000E7CB6" w:rsidRDefault="00A20CD9" w:rsidP="00A20CD9">
      <w:pPr>
        <w:spacing w:before="2040" w:after="0"/>
        <w:jc w:val="center"/>
        <w:rPr>
          <w:color w:val="FFFFFF" w:themeColor="background2"/>
          <w:sz w:val="200"/>
          <w:szCs w:val="200"/>
        </w:rPr>
      </w:pPr>
      <w:r w:rsidRPr="000E7CB6">
        <w:rPr>
          <w:noProof/>
          <w:color w:val="FFFFFF" w:themeColor="background2"/>
          <w:sz w:val="200"/>
          <w:szCs w:val="200"/>
          <w:lang w:eastAsia="en-AU"/>
        </w:rPr>
        <w:t>0</w:t>
      </w:r>
      <w:r w:rsidR="004A6A4B">
        <w:rPr>
          <w:noProof/>
          <w:color w:val="FFFFFF" w:themeColor="background2"/>
          <w:sz w:val="200"/>
          <w:szCs w:val="200"/>
          <w:lang w:eastAsia="en-AU"/>
        </w:rPr>
        <w:t>3</w:t>
      </w:r>
    </w:p>
    <w:p w14:paraId="2FFE76B8" w14:textId="0CFF10B3" w:rsidR="00A20CD9" w:rsidRDefault="00A20CD9" w:rsidP="007F327F">
      <w:pPr>
        <w:pStyle w:val="Body"/>
      </w:pPr>
    </w:p>
    <w:p w14:paraId="30304904" w14:textId="77777777" w:rsidR="00A20CD9" w:rsidRDefault="00A20CD9" w:rsidP="007F327F">
      <w:pPr>
        <w:pStyle w:val="Body"/>
      </w:pPr>
    </w:p>
    <w:p w14:paraId="41427EBA" w14:textId="77777777" w:rsidR="00A20CD9" w:rsidRDefault="00A20CD9" w:rsidP="007F327F">
      <w:pPr>
        <w:pStyle w:val="Body"/>
        <w:sectPr w:rsidR="00A20CD9" w:rsidSect="00D222F6">
          <w:footerReference w:type="default" r:id="rId55"/>
          <w:pgSz w:w="9979" w:h="14175"/>
          <w:pgMar w:top="568" w:right="1048" w:bottom="1134" w:left="1134" w:header="709" w:footer="709" w:gutter="0"/>
          <w:cols w:space="708"/>
          <w:docGrid w:linePitch="360"/>
        </w:sectPr>
      </w:pPr>
    </w:p>
    <w:p w14:paraId="76737591" w14:textId="46722BB2" w:rsidR="001B25C8" w:rsidRPr="00FA7880" w:rsidRDefault="001B25C8" w:rsidP="00B22DF6">
      <w:pPr>
        <w:pStyle w:val="Body"/>
        <w:rPr>
          <w:rStyle w:val="BodyChar"/>
        </w:rPr>
      </w:pPr>
      <w:r>
        <w:rPr>
          <w:noProof/>
        </w:rPr>
        <w:lastRenderedPageBreak/>
        <w:drawing>
          <wp:inline distT="0" distB="0" distL="0" distR="0" wp14:anchorId="2503146C" wp14:editId="4B701339">
            <wp:extent cx="2250365" cy="1364333"/>
            <wp:effectExtent l="0" t="0" r="0" b="0"/>
            <wp:docPr id="14" name="Picture 14" descr="Photo of Ms Joanne Fitzgerald, Acting Chief Executive Office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 of Ms Joanne Fitzgerald, Acting Chief Executive Officer, Independent Hospital Pricing Authority"/>
                    <pic:cNvPicPr>
                      <a:picLocks noChangeAspect="1" noChangeArrowheads="1"/>
                    </pic:cNvPicPr>
                  </pic:nvPicPr>
                  <pic:blipFill>
                    <a:blip r:embed="rId56"/>
                    <a:stretch>
                      <a:fillRect/>
                    </a:stretch>
                  </pic:blipFill>
                  <pic:spPr bwMode="auto">
                    <a:xfrm>
                      <a:off x="0" y="0"/>
                      <a:ext cx="2250365" cy="1364333"/>
                    </a:xfrm>
                    <a:prstGeom prst="rect">
                      <a:avLst/>
                    </a:prstGeom>
                    <a:noFill/>
                    <a:ln>
                      <a:noFill/>
                    </a:ln>
                  </pic:spPr>
                </pic:pic>
              </a:graphicData>
            </a:graphic>
          </wp:inline>
        </w:drawing>
      </w:r>
    </w:p>
    <w:p w14:paraId="0197B699" w14:textId="43585CA8" w:rsidR="001B25C8" w:rsidRPr="001B25C8" w:rsidRDefault="001B25C8" w:rsidP="001B25C8">
      <w:pPr>
        <w:pStyle w:val="Heading1"/>
        <w:ind w:right="-142"/>
        <w:rPr>
          <w:color w:val="008F54" w:themeColor="accent1"/>
        </w:rPr>
      </w:pPr>
      <w:bookmarkStart w:id="31" w:name="_Toc114824424"/>
      <w:r w:rsidRPr="001B25C8">
        <w:rPr>
          <w:color w:val="008F54" w:themeColor="accent1"/>
        </w:rPr>
        <w:t>3.</w:t>
      </w:r>
      <w:r w:rsidR="00DD1A16">
        <w:rPr>
          <w:color w:val="008F54" w:themeColor="accent1"/>
        </w:rPr>
        <w:t>1</w:t>
      </w:r>
      <w:r w:rsidRPr="001B25C8">
        <w:rPr>
          <w:color w:val="008F54" w:themeColor="accent1"/>
        </w:rPr>
        <w:t xml:space="preserve"> CEO letter</w:t>
      </w:r>
      <w:bookmarkEnd w:id="31"/>
    </w:p>
    <w:p w14:paraId="49A5C1E5" w14:textId="0E1CF6F9" w:rsidR="003D4BB0" w:rsidRPr="001B25C8" w:rsidRDefault="003D4BB0" w:rsidP="003D4BB0">
      <w:pPr>
        <w:pStyle w:val="H3"/>
        <w:spacing w:before="0"/>
      </w:pPr>
      <w:r w:rsidRPr="001B25C8">
        <w:t xml:space="preserve">Acting Chief Executive Officer, </w:t>
      </w:r>
      <w:r w:rsidR="00CA0051">
        <w:t xml:space="preserve">Ms </w:t>
      </w:r>
      <w:r w:rsidRPr="001B25C8">
        <w:t>Joanne Fitzgerald</w:t>
      </w:r>
    </w:p>
    <w:p w14:paraId="3A87DD29" w14:textId="77777777" w:rsidR="00CA0051" w:rsidRPr="00CA0051" w:rsidRDefault="00CA0051" w:rsidP="00CA0051">
      <w:pPr>
        <w:pStyle w:val="Body"/>
        <w:rPr>
          <w:b/>
          <w:bCs/>
        </w:rPr>
      </w:pPr>
      <w:r w:rsidRPr="00CA0051">
        <w:rPr>
          <w:b/>
          <w:bCs/>
        </w:rPr>
        <w:t>2021–22 was a year of significant change for the Independent Hospital Pricing Authority (IHPA).</w:t>
      </w:r>
    </w:p>
    <w:p w14:paraId="6286BBC5" w14:textId="0AD0DA8D" w:rsidR="00CA0051" w:rsidRDefault="00CA0051" w:rsidP="00CA0051">
      <w:pPr>
        <w:pStyle w:val="Body"/>
      </w:pPr>
      <w:r w:rsidRPr="00CA0051">
        <w:t>In addition to our regular program of work, this year we celebrated a key milestone in the life of the agency, welcomed reforms in the aged care sector that would expand the agency, and continued to respond to ongoing challenges presented by coronavirus disease 2019 (COVID</w:t>
      </w:r>
      <w:r w:rsidRPr="00CA0051">
        <w:noBreakHyphen/>
        <w:t>19)</w:t>
      </w:r>
      <w:r w:rsidR="0043214E">
        <w:t>.</w:t>
      </w:r>
    </w:p>
    <w:p w14:paraId="343BDD39" w14:textId="77777777" w:rsidR="00DD1A16" w:rsidRDefault="00DD1A16" w:rsidP="00DD1A16">
      <w:pPr>
        <w:pStyle w:val="H4"/>
        <w:spacing w:before="0"/>
      </w:pPr>
      <w:r>
        <w:t>10 years</w:t>
      </w:r>
    </w:p>
    <w:p w14:paraId="77A29B43" w14:textId="42EC436A" w:rsidR="00DD1A16" w:rsidRPr="00CA0051" w:rsidRDefault="00DD1A16" w:rsidP="00DD1A16">
      <w:pPr>
        <w:pStyle w:val="Body"/>
      </w:pPr>
      <w:r w:rsidRPr="00CA0051">
        <w:t>Wednesday 15 December 2021 marked the</w:t>
      </w:r>
      <w:r w:rsidR="00CB4335">
        <w:t> </w:t>
      </w:r>
      <w:r w:rsidRPr="00CA0051">
        <w:t>10</w:t>
      </w:r>
      <w:r w:rsidR="00CB4335">
        <w:noBreakHyphen/>
      </w:r>
      <w:r w:rsidRPr="00CA0051">
        <w:t>year anniversary of the Authority’s establishment. Reflecting on the significance and ongoing relevance of our growing work program, I am certain this will prove to be an important cornerstone for IHPA for many years to come.</w:t>
      </w:r>
    </w:p>
    <w:p w14:paraId="63EDC8C3" w14:textId="77777777" w:rsidR="00DD1A16" w:rsidRPr="00CA0051" w:rsidRDefault="00DD1A16" w:rsidP="00CA0051">
      <w:pPr>
        <w:pStyle w:val="Body"/>
      </w:pPr>
    </w:p>
    <w:p w14:paraId="362F8B3D" w14:textId="53B6B197" w:rsidR="0020177C" w:rsidRDefault="003D4BB0" w:rsidP="00DD1A16">
      <w:pPr>
        <w:pStyle w:val="Body"/>
      </w:pPr>
      <w:r>
        <w:br w:type="column"/>
      </w:r>
      <w:r w:rsidR="00CA0051" w:rsidRPr="00CA0051">
        <w:t>Our achievements over the past decade have been possible only as a result of the skill, dedication and commitment of a diverse team and of our many stakeholders. I would like to commend the Pricing Authority for their dedicated and informed leadership, all of our staff</w:t>
      </w:r>
      <w:r w:rsidR="00CB4335">
        <w:t> </w:t>
      </w:r>
      <w:r w:rsidR="00CA0051" w:rsidRPr="00CA0051">
        <w:t>both past and present for their commitment to</w:t>
      </w:r>
      <w:r w:rsidR="00CB4335">
        <w:t> </w:t>
      </w:r>
      <w:r w:rsidR="00CA0051" w:rsidRPr="00CA0051">
        <w:t>their</w:t>
      </w:r>
      <w:r w:rsidR="00CB4335">
        <w:t> </w:t>
      </w:r>
      <w:r w:rsidR="00CA0051" w:rsidRPr="00CA0051">
        <w:t>roles and to our stakeholders who have provided their guidance to support IHPA</w:t>
      </w:r>
      <w:r w:rsidR="00CB4335">
        <w:t> </w:t>
      </w:r>
      <w:r w:rsidR="00CA0051" w:rsidRPr="00CA0051">
        <w:t>through this past decade.</w:t>
      </w:r>
    </w:p>
    <w:p w14:paraId="58FD6BFD" w14:textId="77777777" w:rsidR="00DD1A16" w:rsidRDefault="00DD1A16" w:rsidP="00DD1A16">
      <w:pPr>
        <w:pStyle w:val="H4"/>
      </w:pPr>
      <w:r>
        <w:t>Key highlights</w:t>
      </w:r>
    </w:p>
    <w:p w14:paraId="0D24B808" w14:textId="77777777" w:rsidR="00DD1A16" w:rsidRPr="00CA0051" w:rsidRDefault="00DD1A16" w:rsidP="00DD1A16">
      <w:pPr>
        <w:pStyle w:val="Body"/>
      </w:pPr>
      <w:r w:rsidRPr="00CA0051">
        <w:t xml:space="preserve">The recent year has been marked by a number of firsts for IHPA. </w:t>
      </w:r>
    </w:p>
    <w:p w14:paraId="54B4CCB1" w14:textId="77777777" w:rsidR="00DD1A16" w:rsidRPr="00CA0051" w:rsidRDefault="00DD1A16" w:rsidP="00DD1A16">
      <w:pPr>
        <w:pStyle w:val="Body"/>
      </w:pPr>
      <w:r w:rsidRPr="00CA0051">
        <w:t xml:space="preserve">The ICD-10-AM/ACHI/ACS Twelfth Edition was released in March 2022 for implementation from 1 July 2022. For the first time, IHPA delivered education to support the implementation of the new admitted care classifications. </w:t>
      </w:r>
    </w:p>
    <w:p w14:paraId="2A02DEE7" w14:textId="404D0EC6" w:rsidR="00DD1A16" w:rsidRDefault="00DD1A16" w:rsidP="00DD1A16">
      <w:pPr>
        <w:pStyle w:val="Body"/>
      </w:pPr>
      <w:r w:rsidRPr="00CA0051">
        <w:t>Following early consultation with jurisdictions on the emerging issues associated with COVID-19 during 2020–21, the 2022–23 pricing model is the first to reflect the early impacts of COVID-19 on the delivery of public hospital services. Released in March 2022, the National Efficient Price and National Efficient Cost Determinations 2022–23 are based on public hospital cost and activity data from the 2019–20 financial year.</w:t>
      </w:r>
    </w:p>
    <w:p w14:paraId="4B2E0A46" w14:textId="77777777" w:rsidR="00DD1A16" w:rsidRPr="00CA0051" w:rsidRDefault="00DD1A16" w:rsidP="00DD1A16">
      <w:pPr>
        <w:pStyle w:val="Body"/>
      </w:pPr>
      <w:r w:rsidRPr="00CA0051">
        <w:t xml:space="preserve">IHPA is now preparing for the release of the 2023–24 Determinations, which will be calculated based on the first full financial year of data impacted by the response to the pandemic. </w:t>
      </w:r>
    </w:p>
    <w:p w14:paraId="2C345A4A" w14:textId="6DD89CC3" w:rsidR="00DD1A16" w:rsidRDefault="00DD1A16" w:rsidP="00DD1A16">
      <w:pPr>
        <w:pStyle w:val="Body"/>
        <w:sectPr w:rsidR="00DD1A16" w:rsidSect="00B22DF6">
          <w:footerReference w:type="default" r:id="rId57"/>
          <w:pgSz w:w="9979" w:h="14175"/>
          <w:pgMar w:top="1418" w:right="1049" w:bottom="1134" w:left="1134" w:header="709" w:footer="709" w:gutter="0"/>
          <w:cols w:num="2" w:space="708"/>
          <w:docGrid w:linePitch="360"/>
        </w:sectPr>
      </w:pPr>
    </w:p>
    <w:p w14:paraId="34CC3744" w14:textId="405384C5" w:rsidR="00CA0051" w:rsidRPr="00CA0051" w:rsidRDefault="00CA0051" w:rsidP="00CA0051">
      <w:pPr>
        <w:pStyle w:val="Body"/>
      </w:pPr>
      <w:r w:rsidRPr="00CA0051">
        <w:lastRenderedPageBreak/>
        <w:t xml:space="preserve">As I highlight our achievements, I would like to acknowledge the jurisdictions and healthcare professionals, who, through their collaboration and reporting, have enabled IHPA to ensure </w:t>
      </w:r>
      <w:r w:rsidR="007208C4">
        <w:t>a</w:t>
      </w:r>
      <w:r w:rsidRPr="00CA0051">
        <w:t xml:space="preserve"> swift response </w:t>
      </w:r>
      <w:r w:rsidR="007208C4">
        <w:t xml:space="preserve">to updating </w:t>
      </w:r>
      <w:r w:rsidRPr="00CA0051">
        <w:t>classifications, data collection and costing standards</w:t>
      </w:r>
      <w:r w:rsidR="007208C4">
        <w:t>, supporting pricing models to adapt.</w:t>
      </w:r>
      <w:r w:rsidRPr="00CA0051">
        <w:t xml:space="preserve"> </w:t>
      </w:r>
    </w:p>
    <w:p w14:paraId="19710DDD" w14:textId="2FE76B74" w:rsidR="00CA0051" w:rsidRPr="00CA0051" w:rsidRDefault="00CA0051" w:rsidP="00CA0051">
      <w:pPr>
        <w:pStyle w:val="Body"/>
      </w:pPr>
      <w:r w:rsidRPr="00CA0051">
        <w:t>Despite the impacts to resources and reporting capacity as a result of COVID-19, 553 Australian public hospitals submitted cost and activity data as part of IHPA’s National Hospital Cost Data Collection, which was published in March 2022.</w:t>
      </w:r>
    </w:p>
    <w:p w14:paraId="2A62BCF3" w14:textId="5C12137C" w:rsidR="0020177C" w:rsidRDefault="00CA0051" w:rsidP="00CA0051">
      <w:pPr>
        <w:pStyle w:val="Body"/>
      </w:pPr>
      <w:r w:rsidRPr="00CA0051">
        <w:t>Consistent with the requirements of the new clauses of the 2020–25 Addendum to the National Health Reform Agreement, IHPA contributed to the development of joint advice with the Administrator of the National Health Funding Pool and the Australian Commission on Safety and Quality in Health Care on options to reduce avoidable and preventable hospitalisations.</w:t>
      </w:r>
    </w:p>
    <w:p w14:paraId="6FBAA371" w14:textId="251E78CF" w:rsidR="00DD1A16" w:rsidRPr="00CA0051" w:rsidRDefault="00DD1A16" w:rsidP="00DD1A16">
      <w:pPr>
        <w:pStyle w:val="Body"/>
      </w:pPr>
      <w:r>
        <w:t xml:space="preserve">The </w:t>
      </w:r>
      <w:r w:rsidRPr="00CA0051">
        <w:t>advice was provided to the Health Ministers’ Meeting in October 2021.</w:t>
      </w:r>
      <w:r w:rsidR="004A7729">
        <w:t xml:space="preserve"> </w:t>
      </w:r>
      <w:r w:rsidRPr="00CA0051">
        <w:t>IHPA’s approach for 2022–23, aimed at supporting initiatives that place the patient at the centre of care, is set out in the Pricing Framework for Australian Public Hospital Services 2022–23.</w:t>
      </w:r>
    </w:p>
    <w:p w14:paraId="661D097B" w14:textId="5F194744" w:rsidR="00DD1A16" w:rsidRPr="00CA0051" w:rsidRDefault="00DD1A16" w:rsidP="00DD1A16">
      <w:pPr>
        <w:pStyle w:val="Body"/>
      </w:pPr>
      <w:r w:rsidRPr="00CA0051">
        <w:t xml:space="preserve">Over the course of the past 10 years, we have seen a significant reduction in the rate of growth in public hospital costs since 2011–12, which is shown in the sustained growth rate of 2.2 per cent for the cost per national weighted activity unit (highlighted later in this report at page </w:t>
      </w:r>
      <w:r w:rsidR="00CC2854">
        <w:t>29</w:t>
      </w:r>
      <w:r w:rsidRPr="00CA0051">
        <w:t>).</w:t>
      </w:r>
    </w:p>
    <w:p w14:paraId="77360DC1" w14:textId="77777777" w:rsidR="00DD1A16" w:rsidRDefault="00DD1A16" w:rsidP="00CA0051">
      <w:pPr>
        <w:pStyle w:val="Body"/>
      </w:pPr>
    </w:p>
    <w:p w14:paraId="3672CD02" w14:textId="50FF762F" w:rsidR="00BD3774" w:rsidRPr="00BD3774" w:rsidRDefault="002C76D5" w:rsidP="00BD3774">
      <w:pPr>
        <w:pStyle w:val="H4"/>
      </w:pPr>
      <w:r>
        <w:br w:type="column"/>
      </w:r>
      <w:r w:rsidR="00BD3774" w:rsidRPr="00BD3774">
        <w:t xml:space="preserve">Expansion </w:t>
      </w:r>
    </w:p>
    <w:p w14:paraId="253955F3" w14:textId="081D7DC3" w:rsidR="005424F6" w:rsidRPr="00DD1A16" w:rsidRDefault="007208C4" w:rsidP="005424F6">
      <w:pPr>
        <w:pStyle w:val="Body"/>
        <w:rPr>
          <w:lang w:val="en-PH"/>
        </w:rPr>
      </w:pPr>
      <w:r>
        <w:t>T</w:t>
      </w:r>
      <w:r w:rsidR="00BD3774" w:rsidRPr="00BD3774">
        <w:t xml:space="preserve">he </w:t>
      </w:r>
      <w:hyperlink r:id="rId58" w:history="1">
        <w:r w:rsidR="00BD3774" w:rsidRPr="00BD3774">
          <w:rPr>
            <w:rStyle w:val="Hyperlink"/>
          </w:rPr>
          <w:t>Federal Budget 2021–22</w:t>
        </w:r>
      </w:hyperlink>
      <w:r w:rsidR="00BD3774" w:rsidRPr="00BD3774">
        <w:t xml:space="preserve"> </w:t>
      </w:r>
      <w:r w:rsidR="00BD3774" w:rsidRPr="00BD3774">
        <w:rPr>
          <w:lang w:val="en-PH"/>
        </w:rPr>
        <w:t>included measures that expand IHPA’s remit. Under these measures an expanded IHPA will provide advice to inform Commonwealth Government decisions on the costing and pricing of aged care services from 1 July 2023 and support the reforms to the Prostheses List.</w:t>
      </w:r>
    </w:p>
    <w:p w14:paraId="23A3135C" w14:textId="2EE78340" w:rsidR="00DD1A16" w:rsidRDefault="00DD1A16" w:rsidP="00DD1A16">
      <w:pPr>
        <w:pStyle w:val="Body"/>
        <w:rPr>
          <w:lang w:val="en-PH"/>
        </w:rPr>
      </w:pPr>
      <w:r w:rsidRPr="00DD1A16">
        <w:rPr>
          <w:lang w:val="en-PH"/>
        </w:rPr>
        <w:t>The expansion of IHPA’s functions has in turn seen an expansion of the agency to support the delivery of the broadening work program. In the past year, IHPA has welcomed an additional two Executive Directors and 33 staff members as the agency prepares for this important contribution to the health and aged care sector reforms.</w:t>
      </w:r>
    </w:p>
    <w:p w14:paraId="40C84B11" w14:textId="77777777" w:rsidR="0043214E" w:rsidRDefault="0043214E" w:rsidP="0043214E">
      <w:pPr>
        <w:pStyle w:val="H4"/>
      </w:pPr>
      <w:r>
        <w:t>Long-lasting partnerships</w:t>
      </w:r>
    </w:p>
    <w:p w14:paraId="02A2F61C" w14:textId="4231BF74" w:rsidR="0043214E" w:rsidRDefault="0043214E" w:rsidP="00DD1A16">
      <w:pPr>
        <w:pStyle w:val="Body"/>
        <w:rPr>
          <w:lang w:val="en-PH"/>
        </w:rPr>
      </w:pPr>
      <w:r w:rsidRPr="00BD3774">
        <w:rPr>
          <w:lang w:val="en-PH"/>
        </w:rPr>
        <w:t>IHPA’s achievements throughout 2021–22 would not have been possible without the valued input and collaboration of our many stakeholders. Engaging with a broad range of stakeholders continues to drive improvements in every area of our work. In 2021</w:t>
      </w:r>
      <w:r>
        <w:rPr>
          <w:lang w:val="en-PH"/>
        </w:rPr>
        <w:t>–</w:t>
      </w:r>
      <w:r w:rsidRPr="00BD3774">
        <w:rPr>
          <w:lang w:val="en-PH"/>
        </w:rPr>
        <w:t>22, this involved undertaking four public consultations, one virtual conference and launching an inaugural seven-part webinar</w:t>
      </w:r>
      <w:r>
        <w:rPr>
          <w:lang w:val="en-PH"/>
        </w:rPr>
        <w:t> </w:t>
      </w:r>
      <w:r w:rsidRPr="00BD3774">
        <w:rPr>
          <w:lang w:val="en-PH"/>
        </w:rPr>
        <w:t>series</w:t>
      </w:r>
      <w:r>
        <w:rPr>
          <w:lang w:val="en-PH"/>
        </w:rPr>
        <w:t>.</w:t>
      </w:r>
    </w:p>
    <w:p w14:paraId="098AA893" w14:textId="5284A0F4" w:rsidR="0043214E" w:rsidRPr="00856C96" w:rsidRDefault="0043214E" w:rsidP="00DD1A16">
      <w:pPr>
        <w:pStyle w:val="Body"/>
      </w:pPr>
      <w:r w:rsidRPr="00BD3774">
        <w:rPr>
          <w:lang w:val="en-PH"/>
        </w:rPr>
        <w:t xml:space="preserve">In May 2022, IHPA hosted its ninth Activity Based Funding Conference virtually. Over the two-day scientific program, we welcomed 47 local and international speakers and </w:t>
      </w:r>
      <w:r>
        <w:rPr>
          <w:lang w:val="en-PH"/>
        </w:rPr>
        <w:t xml:space="preserve">over </w:t>
      </w:r>
      <w:r w:rsidRPr="00BD3774">
        <w:rPr>
          <w:lang w:val="en-PH"/>
        </w:rPr>
        <w:t>2,37</w:t>
      </w:r>
      <w:r>
        <w:rPr>
          <w:lang w:val="en-PH"/>
        </w:rPr>
        <w:t>0</w:t>
      </w:r>
      <w:r w:rsidRPr="00BD3774">
        <w:rPr>
          <w:lang w:val="en-PH"/>
        </w:rPr>
        <w:t xml:space="preserve"> delegates from around the world to explore and debate the application of activity based funding under the theme ‘Innovation and</w:t>
      </w:r>
      <w:r w:rsidRPr="00BD3774">
        <w:t xml:space="preserve"> collaboration: Activity based funding for sustainability in health care’</w:t>
      </w:r>
      <w:r>
        <w:t>.</w:t>
      </w:r>
    </w:p>
    <w:p w14:paraId="20D3C30C" w14:textId="375A7B4F" w:rsidR="00DD1A16" w:rsidRDefault="00DD1A16" w:rsidP="005424F6">
      <w:pPr>
        <w:pStyle w:val="Body"/>
        <w:sectPr w:rsidR="00DD1A16" w:rsidSect="0031251A">
          <w:footerReference w:type="default" r:id="rId59"/>
          <w:pgSz w:w="9979" w:h="14175"/>
          <w:pgMar w:top="1418" w:right="1049" w:bottom="1134" w:left="1134" w:header="709" w:footer="709" w:gutter="0"/>
          <w:cols w:num="2" w:space="708"/>
          <w:docGrid w:linePitch="360"/>
        </w:sectPr>
      </w:pPr>
    </w:p>
    <w:p w14:paraId="6C22F4B2" w14:textId="77777777" w:rsidR="00BD3774" w:rsidRPr="00BD3774" w:rsidRDefault="00BD3774" w:rsidP="00BD3774">
      <w:pPr>
        <w:pStyle w:val="H4"/>
      </w:pPr>
      <w:r w:rsidRPr="00BD3774">
        <w:lastRenderedPageBreak/>
        <w:t xml:space="preserve">Thank you </w:t>
      </w:r>
    </w:p>
    <w:p w14:paraId="466AB3D2" w14:textId="77777777" w:rsidR="0043214E" w:rsidRDefault="0043214E" w:rsidP="0043214E">
      <w:pPr>
        <w:pStyle w:val="Body"/>
      </w:pPr>
      <w:r>
        <w:t xml:space="preserve">There have been several changes to the Pricing Authority team this year. I would like to thank A/Prof Bruce Chater whose appointment with the Pricing Authority ended in March this year. Bruce has been a member of the Pricing Authority since 2012 and we have benefitted greatly from his expertise during his tenure, particularly relating to rural healthcare delivery. </w:t>
      </w:r>
    </w:p>
    <w:p w14:paraId="4764D6BA" w14:textId="2AE07D30" w:rsidR="0043214E" w:rsidRDefault="0043214E" w:rsidP="0043214E">
      <w:pPr>
        <w:pStyle w:val="Body"/>
      </w:pPr>
      <w:r>
        <w:t>I am also very pleased to welcome to the Pricing Authority Mr David Tune AO PSM as Chair and member, Dr Adam Coltzau.</w:t>
      </w:r>
    </w:p>
    <w:p w14:paraId="14123DC3" w14:textId="2E247337" w:rsidR="00BD3774" w:rsidRPr="00BD3774" w:rsidRDefault="00BD3774" w:rsidP="00BD3774">
      <w:pPr>
        <w:pStyle w:val="Body"/>
      </w:pPr>
      <w:r w:rsidRPr="00BD3774">
        <w:t>I would like to take this opportunity to thank two important individuals that have contributed significantly to this formative decade of IHPA and</w:t>
      </w:r>
      <w:r w:rsidR="00CB4335">
        <w:t> </w:t>
      </w:r>
      <w:r w:rsidRPr="00BD3774">
        <w:t xml:space="preserve">the national health reform agenda. </w:t>
      </w:r>
    </w:p>
    <w:p w14:paraId="10C83842" w14:textId="5918C094" w:rsidR="00BD3774" w:rsidRPr="00BD3774" w:rsidRDefault="00DD1A16" w:rsidP="00BD3774">
      <w:pPr>
        <w:pStyle w:val="Body"/>
      </w:pPr>
      <w:r w:rsidRPr="00BD3774">
        <w:t>The inaugural Chair, Mr Shane Solomon, ended</w:t>
      </w:r>
      <w:r w:rsidR="00131F2D">
        <w:t> </w:t>
      </w:r>
      <w:r w:rsidRPr="00BD3774">
        <w:t>his tenure with IHPA in January 2022.</w:t>
      </w:r>
      <w:r>
        <w:t xml:space="preserve"> </w:t>
      </w:r>
      <w:r w:rsidRPr="00BD3774">
        <w:t>Shane has been a key figure in the development and implementation of activity based funding across the country</w:t>
      </w:r>
      <w:r w:rsidR="00FB48FC">
        <w:t>. H</w:t>
      </w:r>
      <w:r w:rsidRPr="00BD3774">
        <w:t>is wealth of expertise has been instrumental in establishing a strong foundation for the safe and efficient delivery of</w:t>
      </w:r>
      <w:r w:rsidR="00131F2D">
        <w:t> </w:t>
      </w:r>
      <w:r w:rsidRPr="00BD3774">
        <w:t>public hospital services as Australia faced significant funding</w:t>
      </w:r>
      <w:r w:rsidR="00CB4335">
        <w:t> </w:t>
      </w:r>
      <w:r w:rsidRPr="00BD3774">
        <w:t>reforms.</w:t>
      </w:r>
    </w:p>
    <w:p w14:paraId="56A3F0A7" w14:textId="34F6F0EC" w:rsidR="00BD3774" w:rsidRPr="00BD3774" w:rsidRDefault="00E663AF" w:rsidP="00BD3774">
      <w:pPr>
        <w:pStyle w:val="Body"/>
      </w:pPr>
      <w:r>
        <w:br w:type="column"/>
      </w:r>
      <w:r w:rsidR="00BD3774" w:rsidRPr="00BD3774">
        <w:t>Mr James Downie resigned as Chief Executive Officer, leaving IHPA on 22 June 2022. James</w:t>
      </w:r>
      <w:r w:rsidR="00CB4335">
        <w:t> </w:t>
      </w:r>
      <w:r w:rsidR="00BD3774" w:rsidRPr="00BD3774">
        <w:t>was highly regarded throughout his 10</w:t>
      </w:r>
      <w:r w:rsidR="00CB4335">
        <w:t> </w:t>
      </w:r>
      <w:r w:rsidR="00BD3774" w:rsidRPr="00BD3774">
        <w:t>years with the agency, with six years as Chief</w:t>
      </w:r>
      <w:r w:rsidR="00CB4335">
        <w:t> </w:t>
      </w:r>
      <w:r w:rsidR="00BD3774" w:rsidRPr="00BD3774">
        <w:t>Executive Officer. As one of the founding staff members, James has contributed beyond measure to the design and implementation of hospital pricing systems nationally and building IHPA into the trusted organisation it is today. The</w:t>
      </w:r>
      <w:r w:rsidR="00CB4335">
        <w:t> </w:t>
      </w:r>
      <w:r w:rsidR="00BD3774" w:rsidRPr="00BD3774">
        <w:t>unwavering trust and confidence of governments, the health sector and Australian public in IHPA is in large part due to the efforts of</w:t>
      </w:r>
      <w:r w:rsidR="00CB4335">
        <w:t> </w:t>
      </w:r>
      <w:r w:rsidR="00BD3774" w:rsidRPr="00BD3774">
        <w:t>these two individuals.</w:t>
      </w:r>
    </w:p>
    <w:p w14:paraId="5C08944B" w14:textId="6E1DC065" w:rsidR="0043214E" w:rsidRPr="00BD3774" w:rsidRDefault="00BD3774" w:rsidP="00BD3774">
      <w:pPr>
        <w:pStyle w:val="Body"/>
      </w:pPr>
      <w:r w:rsidRPr="00BD3774">
        <w:t>I take this opportunity to acknowledge the contributions of the Pricing Authority. I also wish to thank the Clinical Advisory Committee for their expert guidance to deliver a clinically relevant annual program of work.</w:t>
      </w:r>
    </w:p>
    <w:p w14:paraId="21797A3E" w14:textId="0C358703" w:rsidR="00F25BDE" w:rsidRDefault="00BD3774" w:rsidP="00BD3774">
      <w:pPr>
        <w:pStyle w:val="Body"/>
      </w:pPr>
      <w:r w:rsidRPr="00BD3774">
        <w:t xml:space="preserve">And finally, I extend my thanks to all IHPA staff </w:t>
      </w:r>
      <w:r w:rsidR="00CB4335">
        <w:t>—</w:t>
      </w:r>
      <w:r w:rsidRPr="00BD3774">
        <w:t xml:space="preserve"> for their support, commitment and dedication to the agency’s vision once again. </w:t>
      </w:r>
    </w:p>
    <w:p w14:paraId="75A2B791" w14:textId="62BDABEC" w:rsidR="00BD3774" w:rsidRPr="00BD3774" w:rsidRDefault="00BD3774" w:rsidP="00F25BDE">
      <w:pPr>
        <w:pStyle w:val="Body"/>
        <w:spacing w:after="240"/>
      </w:pPr>
      <w:r w:rsidRPr="00BD3774">
        <w:t>I am delighted to be leading an organisation that strives for excellence in delivering its purpose.</w:t>
      </w:r>
    </w:p>
    <w:p w14:paraId="4B0AC958" w14:textId="77777777" w:rsidR="00E663AF" w:rsidRDefault="00E663AF" w:rsidP="00E663AF">
      <w:pPr>
        <w:pStyle w:val="Body"/>
      </w:pPr>
      <w:r w:rsidRPr="00B812E4">
        <w:rPr>
          <w:noProof/>
          <w:lang w:eastAsia="en-AU"/>
        </w:rPr>
        <w:drawing>
          <wp:inline distT="0" distB="0" distL="0" distR="0" wp14:anchorId="6D229FD7" wp14:editId="54F71515">
            <wp:extent cx="647356" cy="449067"/>
            <wp:effectExtent l="0" t="0" r="635" b="8255"/>
            <wp:docPr id="24" name="Picture 24" descr="Signature of Ms Joanne Fitzgerald, Acting Chief Executive Office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ignature of Ms Joanne Fitzgerald, Acting Chief Executive Officer, Independent Hospital Pricing Authority"/>
                    <pic:cNvPicPr>
                      <a:picLocks noChangeAspect="1" noChangeArrowheads="1"/>
                    </pic:cNvPicPr>
                  </pic:nvPicPr>
                  <pic:blipFill>
                    <a:blip r:embed="rId60"/>
                    <a:stretch>
                      <a:fillRect/>
                    </a:stretch>
                  </pic:blipFill>
                  <pic:spPr bwMode="auto">
                    <a:xfrm>
                      <a:off x="0" y="0"/>
                      <a:ext cx="647356" cy="449067"/>
                    </a:xfrm>
                    <a:prstGeom prst="rect">
                      <a:avLst/>
                    </a:prstGeom>
                    <a:noFill/>
                    <a:ln>
                      <a:noFill/>
                    </a:ln>
                  </pic:spPr>
                </pic:pic>
              </a:graphicData>
            </a:graphic>
          </wp:inline>
        </w:drawing>
      </w:r>
    </w:p>
    <w:p w14:paraId="77DB1E51" w14:textId="77777777" w:rsidR="00E663AF" w:rsidRDefault="00E663AF" w:rsidP="00E663AF">
      <w:pPr>
        <w:pStyle w:val="Body"/>
      </w:pPr>
      <w:r>
        <w:rPr>
          <w:b/>
          <w:bCs/>
        </w:rPr>
        <w:t>Ms Joanne Fitzgerald</w:t>
      </w:r>
    </w:p>
    <w:p w14:paraId="60EEFA72" w14:textId="25A0E487" w:rsidR="00E663AF" w:rsidRDefault="00E663AF" w:rsidP="009C432D">
      <w:pPr>
        <w:ind w:right="-284"/>
      </w:pPr>
      <w:r>
        <w:rPr>
          <w:color w:val="1C1C1C"/>
          <w:sz w:val="18"/>
          <w:szCs w:val="18"/>
        </w:rPr>
        <w:t xml:space="preserve">Acting </w:t>
      </w:r>
      <w:r w:rsidRPr="00B812E4">
        <w:rPr>
          <w:color w:val="1C1C1C"/>
          <w:sz w:val="18"/>
          <w:szCs w:val="18"/>
        </w:rPr>
        <w:t>Chief Executive Officer</w:t>
      </w:r>
      <w:r w:rsidRPr="00B812E4">
        <w:rPr>
          <w:color w:val="1C1C1C"/>
          <w:sz w:val="18"/>
          <w:szCs w:val="18"/>
        </w:rPr>
        <w:br/>
        <w:t xml:space="preserve">Independent </w:t>
      </w:r>
      <w:r w:rsidR="00F25BDE">
        <w:rPr>
          <w:color w:val="1C1C1C"/>
          <w:sz w:val="18"/>
          <w:szCs w:val="18"/>
        </w:rPr>
        <w:t>H</w:t>
      </w:r>
      <w:r w:rsidR="0025786E">
        <w:rPr>
          <w:color w:val="1C1C1C"/>
          <w:sz w:val="18"/>
          <w:szCs w:val="18"/>
        </w:rPr>
        <w:t>ospital</w:t>
      </w:r>
      <w:r w:rsidR="00131F2D">
        <w:rPr>
          <w:color w:val="1C1C1C"/>
          <w:sz w:val="18"/>
          <w:szCs w:val="18"/>
        </w:rPr>
        <w:t xml:space="preserve"> </w:t>
      </w:r>
      <w:r w:rsidRPr="00B812E4">
        <w:rPr>
          <w:color w:val="1C1C1C"/>
          <w:sz w:val="18"/>
          <w:szCs w:val="18"/>
        </w:rPr>
        <w:t>Pricing Authority</w:t>
      </w:r>
      <w:r w:rsidRPr="00B812E4">
        <w:rPr>
          <w:color w:val="1C1C1C"/>
          <w:sz w:val="18"/>
          <w:szCs w:val="18"/>
        </w:rPr>
        <w:br/>
      </w:r>
      <w:r w:rsidR="00A55146">
        <w:rPr>
          <w:color w:val="1C1C1C"/>
          <w:sz w:val="18"/>
          <w:szCs w:val="18"/>
        </w:rPr>
        <w:t>9</w:t>
      </w:r>
      <w:r w:rsidRPr="00D544BC">
        <w:rPr>
          <w:color w:val="1C1C1C"/>
          <w:sz w:val="18"/>
          <w:szCs w:val="18"/>
        </w:rPr>
        <w:t xml:space="preserve"> September 2022</w:t>
      </w:r>
    </w:p>
    <w:p w14:paraId="63E75B5D" w14:textId="77777777" w:rsidR="003D4BB0" w:rsidRDefault="003D4BB0" w:rsidP="003D4BB0">
      <w:pPr>
        <w:pStyle w:val="Body"/>
      </w:pPr>
    </w:p>
    <w:p w14:paraId="149DD512" w14:textId="77777777" w:rsidR="0043214E" w:rsidRDefault="0043214E" w:rsidP="003D4BB0">
      <w:pPr>
        <w:pStyle w:val="Body"/>
      </w:pPr>
    </w:p>
    <w:p w14:paraId="1DA56950" w14:textId="13BEAA74" w:rsidR="0043214E" w:rsidRDefault="0043214E" w:rsidP="003D4BB0">
      <w:pPr>
        <w:pStyle w:val="Body"/>
        <w:sectPr w:rsidR="0043214E" w:rsidSect="0031251A">
          <w:footerReference w:type="default" r:id="rId61"/>
          <w:pgSz w:w="9979" w:h="14175"/>
          <w:pgMar w:top="1418" w:right="1049" w:bottom="1134" w:left="1134" w:header="709" w:footer="709" w:gutter="0"/>
          <w:cols w:num="2" w:space="708"/>
          <w:docGrid w:linePitch="360"/>
        </w:sectPr>
      </w:pPr>
    </w:p>
    <w:p w14:paraId="3721322E" w14:textId="75D67E17" w:rsidR="00F25BDE" w:rsidRDefault="00F25BDE" w:rsidP="00F25BDE">
      <w:pPr>
        <w:pStyle w:val="Body"/>
        <w:rPr>
          <w:color w:val="008F54" w:themeColor="accent1"/>
        </w:rPr>
      </w:pPr>
    </w:p>
    <w:p w14:paraId="40B03CD4" w14:textId="77777777" w:rsidR="00F25BDE" w:rsidRDefault="00F25BDE" w:rsidP="00F25BDE">
      <w:pPr>
        <w:pStyle w:val="Body"/>
        <w:rPr>
          <w:color w:val="008F54" w:themeColor="accent1"/>
        </w:rPr>
      </w:pPr>
    </w:p>
    <w:p w14:paraId="4FBAAB5C" w14:textId="7EAD8639" w:rsidR="00473BC3" w:rsidRPr="00DF13C2" w:rsidRDefault="00473BC3" w:rsidP="00473BC3">
      <w:pPr>
        <w:pStyle w:val="Heading1"/>
        <w:rPr>
          <w:color w:val="008F54" w:themeColor="accent1"/>
        </w:rPr>
      </w:pPr>
      <w:bookmarkStart w:id="32" w:name="_Toc114824425"/>
      <w:r w:rsidRPr="00DF13C2">
        <w:rPr>
          <w:color w:val="008F54" w:themeColor="accent1"/>
        </w:rPr>
        <w:lastRenderedPageBreak/>
        <w:t>3.</w:t>
      </w:r>
      <w:r w:rsidR="00DD1A16">
        <w:rPr>
          <w:color w:val="008F54" w:themeColor="accent1"/>
        </w:rPr>
        <w:t>2</w:t>
      </w:r>
      <w:r w:rsidRPr="00DF13C2">
        <w:rPr>
          <w:color w:val="008F54" w:themeColor="accent1"/>
        </w:rPr>
        <w:t xml:space="preserve"> Vision</w:t>
      </w:r>
      <w:bookmarkEnd w:id="32"/>
    </w:p>
    <w:p w14:paraId="22A6C346" w14:textId="70DCE237" w:rsidR="00DF13C2" w:rsidRPr="004579ED" w:rsidRDefault="00DF13C2" w:rsidP="00473BC3">
      <w:pPr>
        <w:pStyle w:val="Body"/>
      </w:pPr>
      <w:r w:rsidRPr="00DF13C2">
        <w:t>To design pricing systems that promote safe, efficient public hospital care for all Australians.</w:t>
      </w:r>
    </w:p>
    <w:p w14:paraId="614C262B" w14:textId="7783280B" w:rsidR="00473BC3" w:rsidRPr="00BD3774" w:rsidRDefault="00BD3774" w:rsidP="00290A5F">
      <w:pPr>
        <w:pStyle w:val="FigureHeading"/>
        <w:spacing w:after="240"/>
      </w:pPr>
      <w:bookmarkStart w:id="33" w:name="_Toc114824650"/>
      <w:r w:rsidRPr="00AD6CAF">
        <w:t xml:space="preserve">Figure </w:t>
      </w:r>
      <w:r w:rsidR="00290A5F">
        <w:t>1</w:t>
      </w:r>
      <w:r w:rsidRPr="00AD6CAF">
        <w:t>:</w:t>
      </w:r>
      <w:r w:rsidRPr="00BD3774">
        <w:t xml:space="preserve"> </w:t>
      </w:r>
      <w:r w:rsidR="00C2236B">
        <w:t xml:space="preserve">The </w:t>
      </w:r>
      <w:r w:rsidRPr="00BD3774">
        <w:t>Pricing Authority</w:t>
      </w:r>
      <w:r w:rsidR="00C2236B">
        <w:t xml:space="preserve"> and</w:t>
      </w:r>
      <w:r w:rsidRPr="00BD3774">
        <w:t xml:space="preserve"> Executive </w:t>
      </w:r>
      <w:r w:rsidR="00F25BDE">
        <w:t>team</w:t>
      </w:r>
      <w:bookmarkEnd w:id="33"/>
    </w:p>
    <w:p w14:paraId="1E920133" w14:textId="2F0EE9E9" w:rsidR="00A20CD9" w:rsidRDefault="00BD3774" w:rsidP="007F327F">
      <w:pPr>
        <w:pStyle w:val="Body"/>
      </w:pPr>
      <w:r>
        <w:rPr>
          <w:noProof/>
        </w:rPr>
        <w:drawing>
          <wp:inline distT="0" distB="0" distL="0" distR="0" wp14:anchorId="3239262F" wp14:editId="5FE489FB">
            <wp:extent cx="4895215" cy="2726954"/>
            <wp:effectExtent l="0" t="0" r="0" b="3810"/>
            <wp:docPr id="4" name="Picture 4" descr="Group photo of the Pricing Authority and Executive team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oup photo of the Pricing Authority and Executive team members."/>
                    <pic:cNvPicPr>
                      <a:picLocks noChangeAspect="1" noChangeArrowheads="1"/>
                    </pic:cNvPicPr>
                  </pic:nvPicPr>
                  <pic:blipFill rotWithShape="1">
                    <a:blip r:embed="rId62"/>
                    <a:srcRect r="10" b="10"/>
                    <a:stretch/>
                  </pic:blipFill>
                  <pic:spPr bwMode="auto">
                    <a:xfrm>
                      <a:off x="0" y="0"/>
                      <a:ext cx="4895215" cy="2726954"/>
                    </a:xfrm>
                    <a:prstGeom prst="rect">
                      <a:avLst/>
                    </a:prstGeom>
                    <a:noFill/>
                  </pic:spPr>
                </pic:pic>
              </a:graphicData>
            </a:graphic>
          </wp:inline>
        </w:drawing>
      </w:r>
    </w:p>
    <w:p w14:paraId="5C089AFB" w14:textId="11985F91" w:rsidR="005F65A6" w:rsidRDefault="00C2236B" w:rsidP="00B1663E">
      <w:pPr>
        <w:pStyle w:val="Body"/>
      </w:pPr>
      <w:r w:rsidRPr="00746927">
        <w:t>From the left</w:t>
      </w:r>
      <w:r>
        <w:t>:</w:t>
      </w:r>
      <w:r w:rsidRPr="00746927">
        <w:t xml:space="preserve"> </w:t>
      </w:r>
      <w:r>
        <w:t xml:space="preserve">Ms Genevieve Donnelly, </w:t>
      </w:r>
      <w:r w:rsidRPr="00B1663E">
        <w:t xml:space="preserve">Executive Director, Aged Care Policy and Communications, </w:t>
      </w:r>
      <w:r w:rsidR="005F65A6">
        <w:t>Mr Glenn Appleyard, Member, Pricing Authority,</w:t>
      </w:r>
      <w:r w:rsidR="005F65A6" w:rsidRPr="005F65A6">
        <w:t xml:space="preserve"> </w:t>
      </w:r>
      <w:r w:rsidR="005F65A6" w:rsidRPr="00B1663E">
        <w:t>Ms Joanne Fitzgerald, Acting Chief Executive Officer,</w:t>
      </w:r>
      <w:r w:rsidR="005F65A6" w:rsidRPr="005F65A6">
        <w:t xml:space="preserve"> </w:t>
      </w:r>
      <w:r w:rsidR="005F65A6">
        <w:t xml:space="preserve">Ms Prudence Ford, </w:t>
      </w:r>
      <w:r w:rsidR="005F65A6" w:rsidRPr="004A7729">
        <w:t>Member, Pricing Authority</w:t>
      </w:r>
      <w:r w:rsidR="005F65A6" w:rsidRPr="00B1663E">
        <w:t>, Dr Adam Coltzau, Member, Pricing Authority</w:t>
      </w:r>
      <w:r w:rsidR="005F65A6">
        <w:t>,</w:t>
      </w:r>
      <w:r w:rsidR="005F65A6" w:rsidRPr="005F65A6">
        <w:t xml:space="preserve"> </w:t>
      </w:r>
      <w:r w:rsidR="005F65A6">
        <w:t>Mr David Tune AO PSM, Chair, Pricing Authority,</w:t>
      </w:r>
      <w:r w:rsidR="005F65A6" w:rsidRPr="005F65A6">
        <w:t xml:space="preserve"> </w:t>
      </w:r>
      <w:r w:rsidR="005F65A6">
        <w:t>Prof Kees van Gool, Executive Director, Pricing and Analytics,</w:t>
      </w:r>
      <w:r w:rsidR="005F65A6" w:rsidRPr="005F65A6">
        <w:t xml:space="preserve"> </w:t>
      </w:r>
      <w:r w:rsidR="005F65A6" w:rsidRPr="004A7729">
        <w:t xml:space="preserve">Distinguished </w:t>
      </w:r>
      <w:r w:rsidR="005F65A6">
        <w:t>Prof</w:t>
      </w:r>
      <w:r w:rsidR="005F65A6" w:rsidRPr="00B1663E">
        <w:t xml:space="preserve"> Jane Hall, Member, Pricing Authority</w:t>
      </w:r>
      <w:r w:rsidR="005F65A6">
        <w:t xml:space="preserve">, </w:t>
      </w:r>
      <w:r w:rsidR="005F65A6" w:rsidRPr="00746927">
        <w:t>Ms Julia Hume</w:t>
      </w:r>
      <w:r w:rsidR="005F65A6">
        <w:t>, Executive Director, Costing and Data Infrastructure,</w:t>
      </w:r>
      <w:r w:rsidR="005F65A6" w:rsidRPr="005F65A6">
        <w:t xml:space="preserve"> </w:t>
      </w:r>
      <w:r w:rsidR="005F65A6" w:rsidRPr="00746927">
        <w:t>Ms Chereta Daylight</w:t>
      </w:r>
      <w:r w:rsidR="005F65A6">
        <w:t>, Acting Executive Director, Hospital Policy and Classification.</w:t>
      </w:r>
    </w:p>
    <w:p w14:paraId="331EB700" w14:textId="3C92D2BC" w:rsidR="00B1663E" w:rsidRDefault="00B1663E" w:rsidP="00B1663E">
      <w:pPr>
        <w:pStyle w:val="Body"/>
      </w:pPr>
      <w:r>
        <w:t>Missing from the Pricing Authority: Ms Jennifer Williams</w:t>
      </w:r>
      <w:r w:rsidR="00C645AE">
        <w:t xml:space="preserve"> AM</w:t>
      </w:r>
      <w:r w:rsidR="00AD6CAF">
        <w:t xml:space="preserve">, </w:t>
      </w:r>
      <w:r>
        <w:t>Deputy Chair, Ms Jenny Richter</w:t>
      </w:r>
      <w:r w:rsidR="00C645AE">
        <w:t xml:space="preserve"> AM</w:t>
      </w:r>
      <w:r>
        <w:t xml:space="preserve">, Member, </w:t>
      </w:r>
      <w:r w:rsidR="004A7729">
        <w:t>Dr</w:t>
      </w:r>
      <w:r w:rsidR="00125EF5">
        <w:t> </w:t>
      </w:r>
      <w:r>
        <w:t>Kate</w:t>
      </w:r>
      <w:r w:rsidR="00125EF5">
        <w:t> </w:t>
      </w:r>
      <w:r>
        <w:t>Taylor, Member.</w:t>
      </w:r>
    </w:p>
    <w:p w14:paraId="548A1DC2" w14:textId="34EB0282" w:rsidR="00CC2082" w:rsidRDefault="00CC2082" w:rsidP="0053761D">
      <w:pPr>
        <w:sectPr w:rsidR="00CC2082" w:rsidSect="00F53F44">
          <w:footerReference w:type="default" r:id="rId63"/>
          <w:type w:val="continuous"/>
          <w:pgSz w:w="9979" w:h="14175"/>
          <w:pgMar w:top="1418" w:right="1134" w:bottom="1134" w:left="1134" w:header="709" w:footer="709" w:gutter="0"/>
          <w:cols w:space="708"/>
          <w:docGrid w:linePitch="360"/>
        </w:sectPr>
      </w:pPr>
    </w:p>
    <w:p w14:paraId="43F011F5" w14:textId="474930FF" w:rsidR="00F53F44" w:rsidRPr="00DF13C2" w:rsidRDefault="00F53F44" w:rsidP="0031251A">
      <w:pPr>
        <w:pStyle w:val="Heading1"/>
        <w:rPr>
          <w:color w:val="008F54" w:themeColor="accent1"/>
        </w:rPr>
      </w:pPr>
      <w:bookmarkStart w:id="34" w:name="_3.3_Who_we"/>
      <w:bookmarkStart w:id="35" w:name="_Toc114824426"/>
      <w:bookmarkEnd w:id="34"/>
      <w:r w:rsidRPr="00DF13C2">
        <w:rPr>
          <w:color w:val="008F54" w:themeColor="accent1"/>
        </w:rPr>
        <w:lastRenderedPageBreak/>
        <w:t>3.</w:t>
      </w:r>
      <w:r w:rsidR="00DD1A16">
        <w:rPr>
          <w:color w:val="008F54" w:themeColor="accent1"/>
        </w:rPr>
        <w:t>3</w:t>
      </w:r>
      <w:r w:rsidRPr="00DF13C2">
        <w:rPr>
          <w:color w:val="008F54" w:themeColor="accent1"/>
        </w:rPr>
        <w:t xml:space="preserve"> Who we are</w:t>
      </w:r>
      <w:bookmarkEnd w:id="35"/>
    </w:p>
    <w:p w14:paraId="480BBA82" w14:textId="7249E8F3" w:rsidR="00CC0F33" w:rsidRDefault="00CC0F33" w:rsidP="0053761D">
      <w:pPr>
        <w:sectPr w:rsidR="00CC0F33" w:rsidSect="00F53F44">
          <w:footerReference w:type="default" r:id="rId64"/>
          <w:pgSz w:w="9979" w:h="14175"/>
          <w:pgMar w:top="1418" w:right="1134" w:bottom="1134" w:left="1134" w:header="709" w:footer="709" w:gutter="0"/>
          <w:cols w:space="708"/>
          <w:docGrid w:linePitch="360"/>
        </w:sectPr>
      </w:pPr>
    </w:p>
    <w:p w14:paraId="7D60C4EE" w14:textId="77777777" w:rsidR="00BD3774" w:rsidRDefault="00BD3774" w:rsidP="00BD3774">
      <w:pPr>
        <w:pStyle w:val="Body"/>
      </w:pPr>
      <w:r w:rsidRPr="00877086">
        <w:t>The Independent Hospital Pricing Authority (IHPA)</w:t>
      </w:r>
      <w:r>
        <w:t> </w:t>
      </w:r>
      <w:r w:rsidRPr="00877086">
        <w:t>is an independent government agency established</w:t>
      </w:r>
      <w:r>
        <w:t> </w:t>
      </w:r>
      <w:r w:rsidRPr="00877086">
        <w:t xml:space="preserve">by the Commonwealth as part of the </w:t>
      </w:r>
      <w:r w:rsidRPr="00877086">
        <w:rPr>
          <w:i/>
          <w:iCs/>
        </w:rPr>
        <w:t>National Health Reform Act 2011</w:t>
      </w:r>
      <w:r w:rsidRPr="00877086">
        <w:t xml:space="preserve"> to contribute to</w:t>
      </w:r>
      <w:r>
        <w:t> </w:t>
      </w:r>
      <w:r w:rsidRPr="00877086">
        <w:t>significant reforms to improve Australian public hospitals.</w:t>
      </w:r>
    </w:p>
    <w:p w14:paraId="046FE81C" w14:textId="77777777" w:rsidR="00BD3774" w:rsidRPr="004C5F76" w:rsidRDefault="00BD3774" w:rsidP="00BD3774">
      <w:pPr>
        <w:pStyle w:val="Body"/>
      </w:pPr>
      <w:r w:rsidRPr="004C5F76">
        <w:t>IHPA is a corporate Commonwealth entity consisting of</w:t>
      </w:r>
      <w:r>
        <w:t> </w:t>
      </w:r>
      <w:r w:rsidRPr="004C5F76">
        <w:t>a Chair, Deputy Chair and up to seven other</w:t>
      </w:r>
      <w:r>
        <w:t> </w:t>
      </w:r>
      <w:r w:rsidRPr="004C5F76">
        <w:t>members.</w:t>
      </w:r>
    </w:p>
    <w:p w14:paraId="54282135" w14:textId="77777777" w:rsidR="00BD3774" w:rsidRPr="004C5F76" w:rsidRDefault="00BD3774" w:rsidP="00BD3774">
      <w:pPr>
        <w:pStyle w:val="Body"/>
      </w:pPr>
      <w:r w:rsidRPr="004C5F76">
        <w:t>The Chief Executive Officer is responsible for the day</w:t>
      </w:r>
      <w:r w:rsidRPr="004C5F76">
        <w:rPr>
          <w:rFonts w:cs="Cambria Math"/>
        </w:rPr>
        <w:t>‑</w:t>
      </w:r>
      <w:r w:rsidRPr="004C5F76">
        <w:t>to</w:t>
      </w:r>
      <w:r w:rsidRPr="004C5F76">
        <w:rPr>
          <w:rFonts w:cs="Cambria Math"/>
        </w:rPr>
        <w:t>‑</w:t>
      </w:r>
      <w:r w:rsidRPr="004C5F76">
        <w:t xml:space="preserve">day management of IHPA and its staff. Under section163(4) of the </w:t>
      </w:r>
      <w:r w:rsidRPr="004C5F76">
        <w:rPr>
          <w:i/>
          <w:iCs/>
        </w:rPr>
        <w:t>National Health Reform Act 2011</w:t>
      </w:r>
      <w:r w:rsidRPr="004C5F76">
        <w:t>, the Chief Executive Officer is</w:t>
      </w:r>
      <w:r>
        <w:t> </w:t>
      </w:r>
      <w:r w:rsidRPr="004C5F76">
        <w:t xml:space="preserve">the accountable authority of IHPA for the purposes of the </w:t>
      </w:r>
      <w:r w:rsidRPr="004C5F76">
        <w:rPr>
          <w:i/>
          <w:iCs/>
        </w:rPr>
        <w:t>P</w:t>
      </w:r>
      <w:r w:rsidRPr="004C5F76">
        <w:rPr>
          <w:i/>
        </w:rPr>
        <w:t>ublic Governance, Performance and Accountability Act 2013</w:t>
      </w:r>
      <w:r w:rsidRPr="004C5F76">
        <w:t xml:space="preserve"> and therefore for the purposes of this annual report.</w:t>
      </w:r>
    </w:p>
    <w:p w14:paraId="228EE072" w14:textId="75344F62" w:rsidR="00BD3774" w:rsidRDefault="00BD3774" w:rsidP="00BD3774">
      <w:pPr>
        <w:pStyle w:val="Body"/>
      </w:pPr>
      <w:r>
        <w:t>Based in Sydney, IHPA achieves its annual program of work, through consultation and collaboration with Commonwealth, state and territory governments, advisory committees, key</w:t>
      </w:r>
      <w:r w:rsidR="00125EF5">
        <w:t> </w:t>
      </w:r>
      <w:r>
        <w:t>stakeholders and the public.</w:t>
      </w:r>
    </w:p>
    <w:p w14:paraId="500DB01C" w14:textId="77777777" w:rsidR="0031251A" w:rsidRPr="00DF13C2" w:rsidRDefault="0031251A" w:rsidP="0031251A">
      <w:pPr>
        <w:pStyle w:val="H3"/>
        <w:spacing w:before="0"/>
      </w:pPr>
      <w:r>
        <w:br w:type="column"/>
      </w:r>
      <w:r w:rsidRPr="00DF13C2">
        <w:t>Values</w:t>
      </w:r>
    </w:p>
    <w:p w14:paraId="1F8348FA" w14:textId="11DEA598" w:rsidR="00F43A02" w:rsidRDefault="00F43A02" w:rsidP="00F43A02">
      <w:pPr>
        <w:pStyle w:val="Body"/>
      </w:pPr>
      <w:r>
        <w:t>IHPA’s organisational values shape the culture of the agency and form the basis for stakeholder engagement to achieve our vision. Our core values are as follows:</w:t>
      </w:r>
    </w:p>
    <w:p w14:paraId="0A935333" w14:textId="77777777" w:rsidR="00F43A02" w:rsidRDefault="00F43A02" w:rsidP="00F43A02">
      <w:pPr>
        <w:pStyle w:val="Bullets"/>
      </w:pPr>
      <w:r>
        <w:t>We act with independence, transparency, fairness, respect, accuracy and accountability.</w:t>
      </w:r>
    </w:p>
    <w:p w14:paraId="50EB7DBB" w14:textId="77777777" w:rsidR="00F43A02" w:rsidRDefault="00F43A02" w:rsidP="00F43A02">
      <w:pPr>
        <w:pStyle w:val="Bullets"/>
      </w:pPr>
      <w:r>
        <w:t>We value collaboration and demonstrate our values in the way we interact internally, with our stakeholders and the broader community.</w:t>
      </w:r>
    </w:p>
    <w:p w14:paraId="75433D3B" w14:textId="77777777" w:rsidR="00F43A02" w:rsidRDefault="00F43A02" w:rsidP="00F43A02">
      <w:pPr>
        <w:pStyle w:val="Bullets"/>
      </w:pPr>
      <w:r>
        <w:t>We value the work, talent and contribution of our staff, and create organisation‑wide development strategies to maintain and grow expertise and intellectual capital.</w:t>
      </w:r>
    </w:p>
    <w:p w14:paraId="54FD967E" w14:textId="3196DFA3" w:rsidR="00F43A02" w:rsidRDefault="00F43A02" w:rsidP="00F43A02">
      <w:pPr>
        <w:pStyle w:val="Bullets"/>
      </w:pPr>
      <w:r>
        <w:t>Our staff act ethically, support a collaborative culture and take pride in their work.</w:t>
      </w:r>
    </w:p>
    <w:p w14:paraId="226D2698" w14:textId="77777777" w:rsidR="00F53F44" w:rsidRDefault="00F53F44" w:rsidP="0053761D"/>
    <w:p w14:paraId="15A9FD29" w14:textId="77777777" w:rsidR="00F53F44" w:rsidRDefault="00F53F44" w:rsidP="0053761D">
      <w:pPr>
        <w:sectPr w:rsidR="00F53F44" w:rsidSect="0031251A">
          <w:type w:val="continuous"/>
          <w:pgSz w:w="9979" w:h="14175"/>
          <w:pgMar w:top="1418" w:right="1134" w:bottom="1134" w:left="1134" w:header="709" w:footer="709" w:gutter="0"/>
          <w:cols w:num="2" w:space="708"/>
          <w:docGrid w:linePitch="360"/>
        </w:sectPr>
      </w:pPr>
    </w:p>
    <w:p w14:paraId="04E4CCED" w14:textId="1FFD1BB9" w:rsidR="00F53F44" w:rsidRDefault="00D9485B" w:rsidP="00D9485B">
      <w:pPr>
        <w:pStyle w:val="FigureHeading"/>
      </w:pPr>
      <w:bookmarkStart w:id="36" w:name="_Toc114824651"/>
      <w:bookmarkStart w:id="37" w:name="OrganisationalStructure"/>
      <w:r>
        <w:lastRenderedPageBreak/>
        <w:t xml:space="preserve">Figure </w:t>
      </w:r>
      <w:r w:rsidR="00290A5F">
        <w:t>2</w:t>
      </w:r>
      <w:r>
        <w:t>: IHPA’s organisational structure as at 30 June 2022</w:t>
      </w:r>
      <w:bookmarkEnd w:id="36"/>
    </w:p>
    <w:bookmarkEnd w:id="37"/>
    <w:p w14:paraId="2C05BC53" w14:textId="06B88713" w:rsidR="00F53F44" w:rsidRDefault="005C2D50" w:rsidP="0053761D">
      <w:r>
        <w:rPr>
          <w:noProof/>
        </w:rPr>
        <w:drawing>
          <wp:inline distT="0" distB="0" distL="0" distR="0" wp14:anchorId="7F32356A" wp14:editId="05459946">
            <wp:extent cx="4896485" cy="3805555"/>
            <wp:effectExtent l="0" t="0" r="0" b="0"/>
            <wp:docPr id="13" name="Picture 13" descr="The Pricing Authority Chair is Mr David Tune AO PSM.&#10;&#10;The Chief Executive Officer (Ms Joanne Fitzgerald, acting in this role), reports to the Pricing Authority. &#10;&#10;Reporting to the Chief Executive Officer, are five branches. This includes Pricing and Analytics, Costing and Data Infrastructure, Hospital Policy and Classification, Aged Care Policy and Communications, and the Office of the CEO.&#10;&#10;Reporting to the Pricing and Analytics Branch are three sections, including Analytics, Pricing Development, and Pricing Implementation. Reporting to the Costing and Data Infrastructure Branch are four sections, including Aged Care Costing, Data Acquisition, Information Infrastructure, and Hospital Costing. Reporting to the Hospital Policy and Classification Branch are three sections, including Acute Care Classifications, Classifications and Hospital Policy. Reporting to the Aged Care Policy and Communications Branch are two sections, including Aged Care Policy and Communications and Media. Reporting to the Office of the CEO Branch are two sections, including Legal, Corporate Services and Secretariat, and Fin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e Pricing Authority Chair is Mr David Tune AO PSM.&#10;&#10;The Chief Executive Officer (Ms Joanne Fitzgerald, acting in this role), reports to the Pricing Authority. &#10;&#10;Reporting to the Chief Executive Officer, are five branches. This includes Pricing and Analytics, Costing and Data Infrastructure, Hospital Policy and Classification, Aged Care Policy and Communications, and the Office of the CEO.&#10;&#10;Reporting to the Pricing and Analytics Branch are three sections, including Analytics, Pricing Development, and Pricing Implementation. Reporting to the Costing and Data Infrastructure Branch are four sections, including Aged Care Costing, Data Acquisition, Information Infrastructure, and Hospital Costing. Reporting to the Hospital Policy and Classification Branch are three sections, including Acute Care Classifications, Classifications and Hospital Policy. Reporting to the Aged Care Policy and Communications Branch are two sections, including Aged Care Policy and Communications and Media. Reporting to the Office of the CEO Branch are two sections, including Legal, Corporate Services and Secretariat, and Finance.&#10;"/>
                    <pic:cNvPicPr/>
                  </pic:nvPicPr>
                  <pic:blipFill rotWithShape="1">
                    <a:blip r:embed="rId65"/>
                    <a:srcRect l="-3098" t="-1" r="-2894" b="-5991"/>
                    <a:stretch/>
                  </pic:blipFill>
                  <pic:spPr>
                    <a:xfrm>
                      <a:off x="0" y="0"/>
                      <a:ext cx="4896485" cy="3805555"/>
                    </a:xfrm>
                    <a:prstGeom prst="rect">
                      <a:avLst/>
                    </a:prstGeom>
                  </pic:spPr>
                </pic:pic>
              </a:graphicData>
            </a:graphic>
          </wp:inline>
        </w:drawing>
      </w:r>
    </w:p>
    <w:p w14:paraId="41156A85" w14:textId="77777777" w:rsidR="00D9485B" w:rsidRDefault="00D9485B" w:rsidP="0053761D"/>
    <w:p w14:paraId="0DEDCF0E" w14:textId="73167F0F" w:rsidR="00D9485B" w:rsidRDefault="00D9485B" w:rsidP="0053761D">
      <w:pPr>
        <w:sectPr w:rsidR="00D9485B" w:rsidSect="00D9485B">
          <w:footerReference w:type="default" r:id="rId66"/>
          <w:pgSz w:w="9979" w:h="14175"/>
          <w:pgMar w:top="1418" w:right="1134" w:bottom="1134" w:left="1134" w:header="709" w:footer="709" w:gutter="0"/>
          <w:cols w:space="708"/>
          <w:docGrid w:linePitch="360"/>
        </w:sectPr>
      </w:pPr>
    </w:p>
    <w:p w14:paraId="4158A33F" w14:textId="0C55DCF7" w:rsidR="00BB3F13" w:rsidRPr="00B221DC" w:rsidRDefault="00B221DC" w:rsidP="00BB3F13">
      <w:pPr>
        <w:pStyle w:val="H3"/>
      </w:pPr>
      <w:r>
        <w:lastRenderedPageBreak/>
        <w:t>The Pricing Authority</w:t>
      </w:r>
    </w:p>
    <w:p w14:paraId="2762F34E" w14:textId="198AB871" w:rsidR="00BD3774" w:rsidRPr="00BD3774" w:rsidRDefault="00BD3774" w:rsidP="00BD3774">
      <w:pPr>
        <w:pStyle w:val="Body"/>
      </w:pPr>
      <w:r w:rsidRPr="00BD3774">
        <w:t>The Pricing Authority is responsible for promoting improved efficiency in, and access to, public hospital services. This is achieved by providing independent advice to Australian governments in</w:t>
      </w:r>
      <w:r w:rsidR="00125EF5">
        <w:t> </w:t>
      </w:r>
      <w:r w:rsidRPr="00BD3774">
        <w:t>relation to the efficient costs of services, developing and implementing robust systems to promote activity based funding for these services and determining the national efficient price and</w:t>
      </w:r>
      <w:r w:rsidR="00125EF5">
        <w:t> </w:t>
      </w:r>
      <w:r w:rsidRPr="00BD3774">
        <w:t>the national efficient cost for public hospital</w:t>
      </w:r>
      <w:r w:rsidR="00125EF5">
        <w:t> </w:t>
      </w:r>
      <w:r w:rsidRPr="00BD3774">
        <w:t>services.</w:t>
      </w:r>
    </w:p>
    <w:p w14:paraId="1A1CBF45" w14:textId="1C2A5FFF" w:rsidR="00BD3774" w:rsidRPr="00BD3774" w:rsidRDefault="00BD3774" w:rsidP="00BD3774">
      <w:pPr>
        <w:pStyle w:val="Body"/>
      </w:pPr>
      <w:r w:rsidRPr="00BD3774">
        <w:t>Pricing Authority members are appointed for a period of up to five years. The Chair is appointed by the Commonwealth Minister for Health and Aged Care, the Deputy Chair is appointed with the agreement of First Ministers of all states and territories and the remaining Pricing Authority members are appointed with the agreement of the</w:t>
      </w:r>
      <w:r w:rsidR="00125EF5">
        <w:t> </w:t>
      </w:r>
      <w:r w:rsidRPr="00BD3774">
        <w:t>Prime Minister and First Ministers of the states and</w:t>
      </w:r>
      <w:r w:rsidR="00125EF5">
        <w:t> </w:t>
      </w:r>
      <w:r w:rsidRPr="00BD3774">
        <w:t>territories.</w:t>
      </w:r>
    </w:p>
    <w:p w14:paraId="5BE27BED" w14:textId="0F86C541" w:rsidR="00BD3774" w:rsidRPr="00BD3774" w:rsidRDefault="00125EF5" w:rsidP="00BD3774">
      <w:pPr>
        <w:pStyle w:val="Body"/>
      </w:pPr>
      <w:r>
        <w:br w:type="column"/>
      </w:r>
      <w:r w:rsidR="00BD3774" w:rsidRPr="00BD3774">
        <w:t>Members of the Pricing Authority bring significant and varied expertise to their role, including substantial experience and knowledge of the health industry, healthcare needs and the provision of health care in regional and rural</w:t>
      </w:r>
      <w:r>
        <w:t> </w:t>
      </w:r>
      <w:r w:rsidR="00BD3774" w:rsidRPr="00BD3774">
        <w:t>areas.</w:t>
      </w:r>
    </w:p>
    <w:p w14:paraId="1AB92657" w14:textId="51ADF6E6" w:rsidR="00BD3774" w:rsidRDefault="00BD3774" w:rsidP="00BD3774">
      <w:pPr>
        <w:pStyle w:val="Body"/>
      </w:pPr>
      <w:r w:rsidRPr="00BD3774">
        <w:t>The Pricing Authority is supported by a Chief</w:t>
      </w:r>
      <w:r w:rsidR="00125EF5">
        <w:t> </w:t>
      </w:r>
      <w:r w:rsidRPr="00BD3774">
        <w:t>Executive Officer, who is responsible for the</w:t>
      </w:r>
      <w:r w:rsidR="00125EF5">
        <w:t> </w:t>
      </w:r>
      <w:r w:rsidRPr="00BD3774">
        <w:t>day to day running of IHPA. All Pricing Authority members are non-executive.</w:t>
      </w:r>
    </w:p>
    <w:p w14:paraId="540EFBDC" w14:textId="77777777" w:rsidR="00125EF5" w:rsidRDefault="00125EF5" w:rsidP="00BD3774">
      <w:pPr>
        <w:pStyle w:val="Body"/>
      </w:pPr>
    </w:p>
    <w:p w14:paraId="2926531D" w14:textId="77777777" w:rsidR="00BB3F13" w:rsidRDefault="00BB3F13" w:rsidP="0053761D"/>
    <w:p w14:paraId="37127DB7" w14:textId="17AB7EA6" w:rsidR="00125EF5" w:rsidRDefault="00125EF5" w:rsidP="0053761D">
      <w:pPr>
        <w:sectPr w:rsidR="00125EF5" w:rsidSect="00125EF5">
          <w:footerReference w:type="default" r:id="rId67"/>
          <w:pgSz w:w="9979" w:h="14175"/>
          <w:pgMar w:top="1418" w:right="1134" w:bottom="1134" w:left="1134" w:header="709" w:footer="709" w:gutter="0"/>
          <w:cols w:num="2" w:space="708"/>
          <w:docGrid w:linePitch="360"/>
        </w:sectPr>
      </w:pPr>
    </w:p>
    <w:p w14:paraId="165DFF8E" w14:textId="1DD13370" w:rsidR="0008659D" w:rsidRDefault="0008659D" w:rsidP="0008659D">
      <w:pPr>
        <w:pStyle w:val="Body"/>
      </w:pPr>
      <w:r>
        <w:rPr>
          <w:noProof/>
        </w:rPr>
        <w:lastRenderedPageBreak/>
        <w:drawing>
          <wp:inline distT="0" distB="0" distL="0" distR="0" wp14:anchorId="7DAF1D89" wp14:editId="424640D6">
            <wp:extent cx="2223135" cy="1994535"/>
            <wp:effectExtent l="0" t="0" r="0" b="0"/>
            <wp:docPr id="41" name="Picture 41" descr="Photo of Mr David Tune AO PSM, Chai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hoto of Mr David Tune AO PSM, Chair, Pricing Authority."/>
                    <pic:cNvPicPr/>
                  </pic:nvPicPr>
                  <pic:blipFill>
                    <a:blip r:embed="rId68"/>
                    <a:stretch>
                      <a:fillRect/>
                    </a:stretch>
                  </pic:blipFill>
                  <pic:spPr>
                    <a:xfrm>
                      <a:off x="0" y="0"/>
                      <a:ext cx="2223135" cy="1994535"/>
                    </a:xfrm>
                    <a:prstGeom prst="rect">
                      <a:avLst/>
                    </a:prstGeom>
                  </pic:spPr>
                </pic:pic>
              </a:graphicData>
            </a:graphic>
          </wp:inline>
        </w:drawing>
      </w:r>
    </w:p>
    <w:p w14:paraId="31F1AD86" w14:textId="74771B57" w:rsidR="0008659D" w:rsidRDefault="0008659D" w:rsidP="0008659D">
      <w:pPr>
        <w:pStyle w:val="H4"/>
      </w:pPr>
      <w:r>
        <w:t>Mr David Tune AO PSM</w:t>
      </w:r>
      <w:r w:rsidR="00F66193">
        <w:t>, Chair</w:t>
      </w:r>
    </w:p>
    <w:p w14:paraId="169596B9" w14:textId="7E38672C" w:rsidR="00410201" w:rsidRPr="00410201" w:rsidRDefault="00410201" w:rsidP="00410201">
      <w:pPr>
        <w:rPr>
          <w:color w:val="1C1C1C"/>
          <w:sz w:val="18"/>
          <w:szCs w:val="18"/>
        </w:rPr>
      </w:pPr>
      <w:r w:rsidRPr="00410201">
        <w:rPr>
          <w:color w:val="1C1C1C"/>
          <w:sz w:val="18"/>
          <w:szCs w:val="18"/>
        </w:rPr>
        <w:t>Mr David Tune AO PSM was appointed Chair</w:t>
      </w:r>
      <w:r w:rsidR="00125EF5">
        <w:rPr>
          <w:color w:val="1C1C1C"/>
          <w:sz w:val="18"/>
          <w:szCs w:val="18"/>
        </w:rPr>
        <w:t> </w:t>
      </w:r>
      <w:r w:rsidRPr="00410201">
        <w:rPr>
          <w:color w:val="1C1C1C"/>
          <w:sz w:val="18"/>
          <w:szCs w:val="18"/>
        </w:rPr>
        <w:t>of the Pricing Authority with effect from 1 February 2022.</w:t>
      </w:r>
    </w:p>
    <w:p w14:paraId="03C3ED9C" w14:textId="77777777" w:rsidR="00410201" w:rsidRPr="00410201" w:rsidRDefault="00410201" w:rsidP="00410201">
      <w:pPr>
        <w:rPr>
          <w:color w:val="1C1C1C"/>
          <w:sz w:val="18"/>
          <w:szCs w:val="18"/>
        </w:rPr>
      </w:pPr>
      <w:r w:rsidRPr="00410201">
        <w:rPr>
          <w:color w:val="1C1C1C"/>
          <w:sz w:val="18"/>
          <w:szCs w:val="18"/>
        </w:rPr>
        <w:t>He was formerly the Chair of the Aged Care Sector Committee that provided advice to the Commonwealth Government on aged care from early 2015 to July 2021.</w:t>
      </w:r>
    </w:p>
    <w:p w14:paraId="0E7F2835" w14:textId="77777777" w:rsidR="00410201" w:rsidRPr="00410201" w:rsidRDefault="00410201" w:rsidP="00410201">
      <w:pPr>
        <w:rPr>
          <w:color w:val="1C1C1C"/>
          <w:sz w:val="18"/>
          <w:szCs w:val="18"/>
        </w:rPr>
      </w:pPr>
      <w:r w:rsidRPr="00410201">
        <w:rPr>
          <w:color w:val="1C1C1C"/>
          <w:sz w:val="18"/>
          <w:szCs w:val="18"/>
        </w:rPr>
        <w:t>He has undertaken many reviews for the Commonwealth and state governments, including the Legislative Review of Aged Care in 2016.</w:t>
      </w:r>
    </w:p>
    <w:p w14:paraId="3F362503" w14:textId="77777777" w:rsidR="00410201" w:rsidRPr="00410201" w:rsidRDefault="00410201" w:rsidP="00410201">
      <w:pPr>
        <w:rPr>
          <w:color w:val="1C1C1C"/>
          <w:sz w:val="18"/>
          <w:szCs w:val="18"/>
        </w:rPr>
      </w:pPr>
      <w:r w:rsidRPr="00410201">
        <w:rPr>
          <w:color w:val="1C1C1C"/>
          <w:sz w:val="18"/>
          <w:szCs w:val="18"/>
        </w:rPr>
        <w:t>Mr Tune was Secretary of the Commonwealth Department of Finance from 2009 until 2014.</w:t>
      </w:r>
    </w:p>
    <w:p w14:paraId="1F35F409" w14:textId="39E61E24" w:rsidR="00F53F44" w:rsidRDefault="0008659D" w:rsidP="0053761D">
      <w:r>
        <w:br w:type="column"/>
      </w:r>
      <w:r>
        <w:rPr>
          <w:noProof/>
        </w:rPr>
        <w:drawing>
          <wp:inline distT="0" distB="0" distL="0" distR="0" wp14:anchorId="6BCB686E" wp14:editId="09820B18">
            <wp:extent cx="2223135" cy="1994535"/>
            <wp:effectExtent l="0" t="0" r="0" b="0"/>
            <wp:docPr id="43" name="Picture 43" descr="Photo of Ms Jennifer Williams AM, Deputy Chai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hoto of Ms Jennifer Williams AM, Deputy Chair, Pricing Authority"/>
                    <pic:cNvPicPr/>
                  </pic:nvPicPr>
                  <pic:blipFill>
                    <a:blip r:embed="rId69"/>
                    <a:stretch>
                      <a:fillRect/>
                    </a:stretch>
                  </pic:blipFill>
                  <pic:spPr>
                    <a:xfrm>
                      <a:off x="0" y="0"/>
                      <a:ext cx="2223135" cy="1994535"/>
                    </a:xfrm>
                    <a:prstGeom prst="rect">
                      <a:avLst/>
                    </a:prstGeom>
                  </pic:spPr>
                </pic:pic>
              </a:graphicData>
            </a:graphic>
          </wp:inline>
        </w:drawing>
      </w:r>
    </w:p>
    <w:p w14:paraId="28BA82D8" w14:textId="019C3A18" w:rsidR="0008659D" w:rsidRDefault="0008659D" w:rsidP="0008659D">
      <w:pPr>
        <w:pStyle w:val="H4"/>
      </w:pPr>
      <w:r>
        <w:t>Ms Jennifer Williams</w:t>
      </w:r>
      <w:r w:rsidR="00C645AE">
        <w:t xml:space="preserve"> AM</w:t>
      </w:r>
      <w:r w:rsidR="00F66193">
        <w:t>, Deputy Chair</w:t>
      </w:r>
    </w:p>
    <w:p w14:paraId="3348F54F" w14:textId="5DDCAA1D" w:rsidR="00410201" w:rsidRPr="00410201" w:rsidRDefault="00410201" w:rsidP="00410201">
      <w:pPr>
        <w:rPr>
          <w:color w:val="1C1C1C"/>
          <w:sz w:val="18"/>
          <w:szCs w:val="18"/>
        </w:rPr>
      </w:pPr>
      <w:r w:rsidRPr="00410201">
        <w:rPr>
          <w:color w:val="1C1C1C"/>
          <w:sz w:val="18"/>
          <w:szCs w:val="18"/>
        </w:rPr>
        <w:t>Ms Jennifer Williams</w:t>
      </w:r>
      <w:r w:rsidR="00C645AE">
        <w:rPr>
          <w:color w:val="1C1C1C"/>
          <w:sz w:val="18"/>
          <w:szCs w:val="18"/>
        </w:rPr>
        <w:t xml:space="preserve"> AM</w:t>
      </w:r>
      <w:r w:rsidRPr="00410201">
        <w:rPr>
          <w:color w:val="1C1C1C"/>
          <w:sz w:val="18"/>
          <w:szCs w:val="18"/>
        </w:rPr>
        <w:t xml:space="preserve"> is a non-executive director and holds a number of </w:t>
      </w:r>
      <w:r w:rsidR="00FA64CB">
        <w:rPr>
          <w:color w:val="1C1C1C"/>
          <w:sz w:val="18"/>
          <w:szCs w:val="18"/>
        </w:rPr>
        <w:t>B</w:t>
      </w:r>
      <w:r w:rsidRPr="00410201">
        <w:rPr>
          <w:color w:val="1C1C1C"/>
          <w:sz w:val="18"/>
          <w:szCs w:val="18"/>
        </w:rPr>
        <w:t>oard positions including Chair of Northern Health and Chair of Yooralla.</w:t>
      </w:r>
    </w:p>
    <w:p w14:paraId="10F7B271" w14:textId="75770647" w:rsidR="00410201" w:rsidRPr="00410201" w:rsidRDefault="00410201" w:rsidP="00410201">
      <w:pPr>
        <w:rPr>
          <w:color w:val="1C1C1C"/>
          <w:sz w:val="18"/>
          <w:szCs w:val="18"/>
        </w:rPr>
      </w:pPr>
      <w:r w:rsidRPr="00410201">
        <w:rPr>
          <w:color w:val="1C1C1C"/>
          <w:sz w:val="18"/>
          <w:szCs w:val="18"/>
        </w:rPr>
        <w:t xml:space="preserve">Her other </w:t>
      </w:r>
      <w:r w:rsidR="00FA64CB">
        <w:rPr>
          <w:color w:val="1C1C1C"/>
          <w:sz w:val="18"/>
          <w:szCs w:val="18"/>
        </w:rPr>
        <w:t>B</w:t>
      </w:r>
      <w:r w:rsidRPr="00410201">
        <w:rPr>
          <w:color w:val="1C1C1C"/>
          <w:sz w:val="18"/>
          <w:szCs w:val="18"/>
        </w:rPr>
        <w:t>oard appointments are with Barwon Health and the Victorian Health Building Authority Advisory Board. She has previously held the positions of Chief Executive of the Australian Red Cross Blood Service, Chief Executive of Alfred Health and Chief Executive of Austin Health.</w:t>
      </w:r>
    </w:p>
    <w:p w14:paraId="09854B42" w14:textId="77777777" w:rsidR="00410201" w:rsidRPr="00410201" w:rsidRDefault="00410201" w:rsidP="00410201">
      <w:pPr>
        <w:rPr>
          <w:color w:val="1C1C1C"/>
          <w:sz w:val="18"/>
          <w:szCs w:val="18"/>
        </w:rPr>
      </w:pPr>
      <w:r w:rsidRPr="00410201">
        <w:rPr>
          <w:color w:val="1C1C1C"/>
          <w:sz w:val="18"/>
          <w:szCs w:val="18"/>
        </w:rPr>
        <w:t>She has considerable experience in the health sector over several decades working across the hospital, aged care and community sectors.</w:t>
      </w:r>
    </w:p>
    <w:p w14:paraId="33FA8297" w14:textId="7FA5496E" w:rsidR="009D15C8" w:rsidRDefault="009D15C8" w:rsidP="0008659D">
      <w:pPr>
        <w:sectPr w:rsidR="009D15C8" w:rsidSect="00010118">
          <w:footerReference w:type="default" r:id="rId70"/>
          <w:pgSz w:w="9979" w:h="14175"/>
          <w:pgMar w:top="1418" w:right="1134" w:bottom="1134" w:left="1134" w:header="709" w:footer="709" w:gutter="0"/>
          <w:cols w:num="2" w:space="708"/>
          <w:docGrid w:linePitch="360"/>
        </w:sectPr>
      </w:pPr>
    </w:p>
    <w:p w14:paraId="0DA4D76B" w14:textId="18D47393" w:rsidR="009D15C8" w:rsidRDefault="009D15C8" w:rsidP="009D15C8">
      <w:pPr>
        <w:pStyle w:val="Body"/>
      </w:pPr>
      <w:r>
        <w:rPr>
          <w:noProof/>
        </w:rPr>
        <w:lastRenderedPageBreak/>
        <w:drawing>
          <wp:inline distT="0" distB="0" distL="0" distR="0" wp14:anchorId="2962851A" wp14:editId="69A546AB">
            <wp:extent cx="2223135" cy="1994535"/>
            <wp:effectExtent l="0" t="0" r="0" b="0"/>
            <wp:docPr id="6" name="Picture 6" descr="Photo of Mr Glenn Appleyard,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of Mr Glenn Appleyard, Member, Pricing Authority"/>
                    <pic:cNvPicPr/>
                  </pic:nvPicPr>
                  <pic:blipFill>
                    <a:blip r:embed="rId71"/>
                    <a:stretch>
                      <a:fillRect/>
                    </a:stretch>
                  </pic:blipFill>
                  <pic:spPr>
                    <a:xfrm>
                      <a:off x="0" y="0"/>
                      <a:ext cx="2223135" cy="1994535"/>
                    </a:xfrm>
                    <a:prstGeom prst="rect">
                      <a:avLst/>
                    </a:prstGeom>
                  </pic:spPr>
                </pic:pic>
              </a:graphicData>
            </a:graphic>
          </wp:inline>
        </w:drawing>
      </w:r>
    </w:p>
    <w:p w14:paraId="6BB238F7" w14:textId="57670DD2" w:rsidR="009D15C8" w:rsidRDefault="009D15C8" w:rsidP="009D15C8">
      <w:pPr>
        <w:pStyle w:val="H4"/>
      </w:pPr>
      <w:r w:rsidRPr="009D15C8">
        <w:t>Mr Glenn Appleyard</w:t>
      </w:r>
    </w:p>
    <w:p w14:paraId="44CBD178" w14:textId="77777777" w:rsidR="00410201" w:rsidRPr="00410201" w:rsidRDefault="00410201" w:rsidP="00410201">
      <w:pPr>
        <w:rPr>
          <w:color w:val="1C1C1C"/>
          <w:sz w:val="18"/>
          <w:szCs w:val="18"/>
        </w:rPr>
      </w:pPr>
      <w:r w:rsidRPr="00410201">
        <w:rPr>
          <w:color w:val="1C1C1C"/>
          <w:sz w:val="18"/>
          <w:szCs w:val="18"/>
        </w:rPr>
        <w:t>Mr Glenn Appleyard was a member of the Australian Accounting Standards Board from 1 January 2003 to 31 December 2011.</w:t>
      </w:r>
    </w:p>
    <w:p w14:paraId="5A2FC341" w14:textId="77777777" w:rsidR="00410201" w:rsidRPr="00410201" w:rsidRDefault="00410201" w:rsidP="00410201">
      <w:pPr>
        <w:rPr>
          <w:color w:val="1C1C1C"/>
          <w:sz w:val="18"/>
          <w:szCs w:val="18"/>
        </w:rPr>
      </w:pPr>
      <w:r w:rsidRPr="00410201">
        <w:rPr>
          <w:color w:val="1C1C1C"/>
          <w:sz w:val="18"/>
          <w:szCs w:val="18"/>
        </w:rPr>
        <w:t>Glenn has held several senior positions within the public service including Deputy Secretary in the Tasmanian and Victorian Departments of Treasury and Finance and Regional Director for the Australian Bureau of Statistics in Tasmania.</w:t>
      </w:r>
    </w:p>
    <w:p w14:paraId="75628C92" w14:textId="77777777" w:rsidR="00410201" w:rsidRPr="00410201" w:rsidRDefault="00410201" w:rsidP="00410201">
      <w:pPr>
        <w:rPr>
          <w:color w:val="1C1C1C"/>
          <w:sz w:val="18"/>
          <w:szCs w:val="18"/>
        </w:rPr>
      </w:pPr>
      <w:r w:rsidRPr="00410201">
        <w:rPr>
          <w:color w:val="1C1C1C"/>
          <w:sz w:val="18"/>
          <w:szCs w:val="18"/>
        </w:rPr>
        <w:t>He was a member of the Commonwealth Grants Commission for 11 years and was the Chair of the Tasmanian Economic Regulator.</w:t>
      </w:r>
    </w:p>
    <w:p w14:paraId="17856845" w14:textId="2D82609B" w:rsidR="00F53F44" w:rsidRDefault="009D15C8" w:rsidP="0053761D">
      <w:r>
        <w:br w:type="column"/>
      </w:r>
      <w:r>
        <w:rPr>
          <w:noProof/>
        </w:rPr>
        <w:drawing>
          <wp:inline distT="0" distB="0" distL="0" distR="0" wp14:anchorId="2BD1C55E" wp14:editId="0F1B0FD5">
            <wp:extent cx="2223135" cy="1994535"/>
            <wp:effectExtent l="0" t="0" r="0" b="0"/>
            <wp:docPr id="18" name="Picture 18" descr="Photo of Associate Professor Bruce Chater,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 of Associate Professor Bruce Chater, Member, Pricing Authority"/>
                    <pic:cNvPicPr/>
                  </pic:nvPicPr>
                  <pic:blipFill>
                    <a:blip r:embed="rId72"/>
                    <a:stretch>
                      <a:fillRect/>
                    </a:stretch>
                  </pic:blipFill>
                  <pic:spPr>
                    <a:xfrm>
                      <a:off x="0" y="0"/>
                      <a:ext cx="2223135" cy="1994535"/>
                    </a:xfrm>
                    <a:prstGeom prst="rect">
                      <a:avLst/>
                    </a:prstGeom>
                  </pic:spPr>
                </pic:pic>
              </a:graphicData>
            </a:graphic>
          </wp:inline>
        </w:drawing>
      </w:r>
    </w:p>
    <w:p w14:paraId="0D16E45E" w14:textId="185751BC" w:rsidR="009D15C8" w:rsidRDefault="009D15C8" w:rsidP="009D15C8">
      <w:pPr>
        <w:pStyle w:val="H4"/>
      </w:pPr>
      <w:r w:rsidRPr="009D15C8">
        <w:t>Associate Professor Bruce Chater</w:t>
      </w:r>
    </w:p>
    <w:p w14:paraId="1CC880B7" w14:textId="4AEC8ACB" w:rsidR="00410201" w:rsidRPr="00410201" w:rsidRDefault="00410201" w:rsidP="00410201">
      <w:pPr>
        <w:pStyle w:val="Body"/>
      </w:pPr>
      <w:r w:rsidRPr="00410201">
        <w:t xml:space="preserve">Associate Professor Bruce Chater is head of the Mayne Academy of Rural and Remote Medicine at the University of Queensland. He </w:t>
      </w:r>
      <w:r w:rsidR="009D1C00" w:rsidRPr="009D1C00">
        <w:t>undertakes this work</w:t>
      </w:r>
      <w:r w:rsidR="009D1C00">
        <w:t xml:space="preserve"> </w:t>
      </w:r>
      <w:r w:rsidRPr="00410201">
        <w:t>from his rural base of Theodore, Queensland, where he continues as a practising rural doctor.</w:t>
      </w:r>
    </w:p>
    <w:p w14:paraId="52FEB53C" w14:textId="283E5F74" w:rsidR="00410201" w:rsidRPr="00410201" w:rsidRDefault="00410201" w:rsidP="00410201">
      <w:pPr>
        <w:pStyle w:val="Body"/>
      </w:pPr>
      <w:r w:rsidRPr="00410201">
        <w:t>Bruce has been involved in ensuring that rural health services provide high-quality and professional services to rural communities. He</w:t>
      </w:r>
      <w:r w:rsidR="00125EF5">
        <w:t> </w:t>
      </w:r>
      <w:r w:rsidRPr="00410201">
        <w:t>was</w:t>
      </w:r>
      <w:r w:rsidR="00125EF5">
        <w:t> </w:t>
      </w:r>
      <w:r w:rsidRPr="00410201">
        <w:t>the founding convener of the Rural Doctors Association of Queensland and Australia, founding Chair of the National Rural Health Alliance, Chair of the Rural Working Party of the</w:t>
      </w:r>
      <w:r w:rsidR="00125EF5">
        <w:t> </w:t>
      </w:r>
      <w:r w:rsidRPr="00410201">
        <w:t>World Organization of Family Doctors and served as President of the Australian College of Rural and Remote Medicine.</w:t>
      </w:r>
    </w:p>
    <w:p w14:paraId="1207EEDF" w14:textId="3913BDBE" w:rsidR="009D15C8" w:rsidRDefault="00410201" w:rsidP="0046415D">
      <w:pPr>
        <w:pStyle w:val="Body"/>
      </w:pPr>
      <w:r w:rsidRPr="00410201">
        <w:t>Bruce’s appointment with the Pricing Authority ended on 23 March 2022.</w:t>
      </w:r>
    </w:p>
    <w:p w14:paraId="7B9152A9" w14:textId="503B67BF" w:rsidR="00880116" w:rsidRDefault="00880116" w:rsidP="0053761D">
      <w:pPr>
        <w:sectPr w:rsidR="00880116" w:rsidSect="00010118">
          <w:footerReference w:type="default" r:id="rId73"/>
          <w:pgSz w:w="9979" w:h="14175"/>
          <w:pgMar w:top="1418" w:right="1134" w:bottom="1134" w:left="1134" w:header="709" w:footer="709" w:gutter="0"/>
          <w:cols w:num="2" w:space="708"/>
          <w:docGrid w:linePitch="360"/>
        </w:sectPr>
      </w:pPr>
    </w:p>
    <w:p w14:paraId="2CCFC445" w14:textId="77777777" w:rsidR="00880116" w:rsidRDefault="00880116" w:rsidP="00880116">
      <w:r>
        <w:rPr>
          <w:noProof/>
        </w:rPr>
        <w:lastRenderedPageBreak/>
        <w:drawing>
          <wp:inline distT="0" distB="0" distL="0" distR="0" wp14:anchorId="102BA650" wp14:editId="6537CB62">
            <wp:extent cx="2223135" cy="1994535"/>
            <wp:effectExtent l="0" t="0" r="0" b="0"/>
            <wp:docPr id="19" name="Picture 19" descr="Photo of Ms Prudence Ford,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 of Ms Prudence Ford, Member, Pricing Authority"/>
                    <pic:cNvPicPr/>
                  </pic:nvPicPr>
                  <pic:blipFill>
                    <a:blip r:embed="rId74"/>
                    <a:stretch>
                      <a:fillRect/>
                    </a:stretch>
                  </pic:blipFill>
                  <pic:spPr>
                    <a:xfrm>
                      <a:off x="0" y="0"/>
                      <a:ext cx="2223135" cy="1994535"/>
                    </a:xfrm>
                    <a:prstGeom prst="rect">
                      <a:avLst/>
                    </a:prstGeom>
                  </pic:spPr>
                </pic:pic>
              </a:graphicData>
            </a:graphic>
          </wp:inline>
        </w:drawing>
      </w:r>
    </w:p>
    <w:p w14:paraId="5D1775CE" w14:textId="343771BF" w:rsidR="00A14A90" w:rsidRDefault="00A14A90" w:rsidP="00880116">
      <w:pPr>
        <w:pStyle w:val="H4"/>
      </w:pPr>
      <w:r w:rsidRPr="00A14A90">
        <w:t>Ms Prudence Ford</w:t>
      </w:r>
    </w:p>
    <w:p w14:paraId="35A38346" w14:textId="749CC18E" w:rsidR="00410201" w:rsidRPr="00410201" w:rsidRDefault="00410201" w:rsidP="00410201">
      <w:pPr>
        <w:rPr>
          <w:color w:val="1C1C1C"/>
          <w:sz w:val="18"/>
          <w:szCs w:val="18"/>
        </w:rPr>
      </w:pPr>
      <w:r w:rsidRPr="00410201">
        <w:rPr>
          <w:color w:val="1C1C1C"/>
          <w:sz w:val="18"/>
          <w:szCs w:val="18"/>
        </w:rPr>
        <w:t>Ms Prudence Ford is a member of the Health Consumers’ Council of W</w:t>
      </w:r>
      <w:r w:rsidR="00C2236B">
        <w:rPr>
          <w:color w:val="1C1C1C"/>
          <w:sz w:val="18"/>
          <w:szCs w:val="18"/>
        </w:rPr>
        <w:t xml:space="preserve">estern </w:t>
      </w:r>
      <w:r w:rsidRPr="00410201">
        <w:rPr>
          <w:color w:val="1C1C1C"/>
          <w:sz w:val="18"/>
          <w:szCs w:val="18"/>
        </w:rPr>
        <w:t>A</w:t>
      </w:r>
      <w:r w:rsidR="00C2236B">
        <w:rPr>
          <w:color w:val="1C1C1C"/>
          <w:sz w:val="18"/>
          <w:szCs w:val="18"/>
        </w:rPr>
        <w:t>ustralia</w:t>
      </w:r>
      <w:r w:rsidRPr="00410201">
        <w:rPr>
          <w:color w:val="1C1C1C"/>
          <w:sz w:val="18"/>
          <w:szCs w:val="18"/>
        </w:rPr>
        <w:t>. She</w:t>
      </w:r>
      <w:r w:rsidR="00125EF5">
        <w:rPr>
          <w:color w:val="1C1C1C"/>
          <w:sz w:val="18"/>
          <w:szCs w:val="18"/>
        </w:rPr>
        <w:t> </w:t>
      </w:r>
      <w:r w:rsidRPr="00410201">
        <w:rPr>
          <w:color w:val="1C1C1C"/>
          <w:sz w:val="18"/>
          <w:szCs w:val="18"/>
        </w:rPr>
        <w:t>was an inaugural member of the Medical Board of Australia, and was previously a member of the National Blood Authority, the National Health and Medical Research Council, the</w:t>
      </w:r>
      <w:r w:rsidR="00125EF5">
        <w:rPr>
          <w:color w:val="1C1C1C"/>
          <w:sz w:val="18"/>
          <w:szCs w:val="18"/>
        </w:rPr>
        <w:t> </w:t>
      </w:r>
      <w:r w:rsidRPr="00410201">
        <w:rPr>
          <w:color w:val="1C1C1C"/>
          <w:sz w:val="18"/>
          <w:szCs w:val="18"/>
        </w:rPr>
        <w:t>Brightwater Care Group Board (a provider of</w:t>
      </w:r>
      <w:r w:rsidR="00125EF5">
        <w:rPr>
          <w:color w:val="1C1C1C"/>
          <w:sz w:val="18"/>
          <w:szCs w:val="18"/>
        </w:rPr>
        <w:t> </w:t>
      </w:r>
      <w:r w:rsidRPr="00410201">
        <w:rPr>
          <w:color w:val="1C1C1C"/>
          <w:sz w:val="18"/>
          <w:szCs w:val="18"/>
        </w:rPr>
        <w:t>Aged and Disability Care Services) and the Western Australian Medical Board.</w:t>
      </w:r>
    </w:p>
    <w:p w14:paraId="5CEFDE62" w14:textId="77777777" w:rsidR="00410201" w:rsidRPr="00410201" w:rsidRDefault="00410201" w:rsidP="00410201">
      <w:pPr>
        <w:rPr>
          <w:color w:val="1C1C1C"/>
          <w:sz w:val="18"/>
          <w:szCs w:val="18"/>
        </w:rPr>
      </w:pPr>
      <w:r w:rsidRPr="00410201">
        <w:rPr>
          <w:color w:val="1C1C1C"/>
          <w:sz w:val="18"/>
          <w:szCs w:val="18"/>
        </w:rPr>
        <w:t>Prudence has had 30 years’ experience in the public service at Commonwealth and state levels. She has held senior executive positions in the (then) Commonwealth Departments of Community Services and Health, Finance, and the Attorney General and in the Western Australian Departments of Health and the Premier and Cabinet.</w:t>
      </w:r>
    </w:p>
    <w:p w14:paraId="35034F9F" w14:textId="77777777" w:rsidR="004450F4" w:rsidRDefault="00A14A90" w:rsidP="004450F4">
      <w:r>
        <w:br w:type="column"/>
      </w:r>
      <w:r w:rsidR="004450F4">
        <w:rPr>
          <w:noProof/>
        </w:rPr>
        <w:drawing>
          <wp:inline distT="0" distB="0" distL="0" distR="0" wp14:anchorId="3B1C361F" wp14:editId="3B340C16">
            <wp:extent cx="2223135" cy="1994535"/>
            <wp:effectExtent l="0" t="0" r="0" b="0"/>
            <wp:docPr id="57" name="Picture 57" descr="Photo of Dr Adam Coltzau,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Photo of Dr Adam Coltzau, Member, Pricing Authority"/>
                    <pic:cNvPicPr/>
                  </pic:nvPicPr>
                  <pic:blipFill>
                    <a:blip r:embed="rId75"/>
                    <a:stretch>
                      <a:fillRect/>
                    </a:stretch>
                  </pic:blipFill>
                  <pic:spPr>
                    <a:xfrm>
                      <a:off x="0" y="0"/>
                      <a:ext cx="2223135" cy="1994535"/>
                    </a:xfrm>
                    <a:prstGeom prst="rect">
                      <a:avLst/>
                    </a:prstGeom>
                  </pic:spPr>
                </pic:pic>
              </a:graphicData>
            </a:graphic>
          </wp:inline>
        </w:drawing>
      </w:r>
    </w:p>
    <w:p w14:paraId="6407862F" w14:textId="788851D1" w:rsidR="004450F4" w:rsidRDefault="004450F4" w:rsidP="004450F4">
      <w:pPr>
        <w:pStyle w:val="H4"/>
      </w:pPr>
      <w:r w:rsidRPr="004450F4">
        <w:t>Dr Adam Coltzau</w:t>
      </w:r>
    </w:p>
    <w:p w14:paraId="0894EB14" w14:textId="77777777" w:rsidR="00410201" w:rsidRPr="00410201" w:rsidRDefault="00410201" w:rsidP="00410201">
      <w:pPr>
        <w:pStyle w:val="Body"/>
      </w:pPr>
      <w:r w:rsidRPr="00410201">
        <w:t>Dr Adam Coltzau is the director of medical services at St George Hospital in rural Queensland.</w:t>
      </w:r>
    </w:p>
    <w:p w14:paraId="540B1FE7" w14:textId="7238D9A3" w:rsidR="00410201" w:rsidRPr="00410201" w:rsidRDefault="00410201" w:rsidP="00236754">
      <w:pPr>
        <w:pStyle w:val="Body"/>
      </w:pPr>
      <w:r w:rsidRPr="00410201">
        <w:t>He is a rural generalist with advanced skills in obstetrics and anaesthetics and is a Fellow of both</w:t>
      </w:r>
      <w:r w:rsidR="00125EF5">
        <w:t> </w:t>
      </w:r>
      <w:r w:rsidRPr="00410201">
        <w:t>the Royal Australian College of General Practitioners and Australian College of Rural and</w:t>
      </w:r>
      <w:r w:rsidR="00125EF5">
        <w:t> </w:t>
      </w:r>
      <w:r w:rsidRPr="00410201">
        <w:t>Remote Medicine</w:t>
      </w:r>
      <w:r w:rsidR="00B43BBB">
        <w:t>, with extensive experience in hospital management and aged care.</w:t>
      </w:r>
    </w:p>
    <w:p w14:paraId="49D3BF41" w14:textId="0FCCC1E3" w:rsidR="00410201" w:rsidRPr="00410201" w:rsidRDefault="00410201" w:rsidP="00410201">
      <w:pPr>
        <w:pStyle w:val="Body"/>
      </w:pPr>
      <w:r w:rsidRPr="00410201">
        <w:t>He is a senior clinical lecturer at the University of Queensland Rural Clinical School and General practitioner training supervisor</w:t>
      </w:r>
      <w:r w:rsidR="00B43BBB">
        <w:t>.</w:t>
      </w:r>
    </w:p>
    <w:p w14:paraId="5B5CEE63" w14:textId="77777777" w:rsidR="00410201" w:rsidRPr="00410201" w:rsidRDefault="00410201" w:rsidP="00410201">
      <w:pPr>
        <w:pStyle w:val="Body"/>
      </w:pPr>
      <w:r w:rsidRPr="00410201">
        <w:t>As the 2017 Queensland General Practitioner of the year, Adam is a former president and served on the boards of the Rural Doctors Association of Queensland and the Rural Doctors Association of Australia.</w:t>
      </w:r>
    </w:p>
    <w:p w14:paraId="17323AA3" w14:textId="77777777" w:rsidR="00410201" w:rsidRPr="00410201" w:rsidRDefault="00410201" w:rsidP="00410201">
      <w:pPr>
        <w:pStyle w:val="Body"/>
      </w:pPr>
      <w:r w:rsidRPr="00410201">
        <w:t>Adam has served as the inaugural chair of the Board of the Rural Doctors Foundation, a charity he helped set up to improve health services in rural Australia.</w:t>
      </w:r>
    </w:p>
    <w:p w14:paraId="51A3AFA0" w14:textId="111D0972" w:rsidR="009D15C8" w:rsidRDefault="009D15C8" w:rsidP="0046415D">
      <w:pPr>
        <w:pStyle w:val="Body"/>
      </w:pPr>
    </w:p>
    <w:p w14:paraId="373859D4" w14:textId="77777777" w:rsidR="009D15C8" w:rsidRDefault="009D15C8" w:rsidP="0053761D">
      <w:pPr>
        <w:sectPr w:rsidR="009D15C8" w:rsidSect="00010118">
          <w:footerReference w:type="default" r:id="rId76"/>
          <w:pgSz w:w="9979" w:h="14175"/>
          <w:pgMar w:top="1418" w:right="1134" w:bottom="1134" w:left="1134" w:header="709" w:footer="709" w:gutter="0"/>
          <w:cols w:num="2" w:space="708"/>
          <w:docGrid w:linePitch="360"/>
        </w:sectPr>
      </w:pPr>
    </w:p>
    <w:p w14:paraId="571A86BC" w14:textId="77777777" w:rsidR="00A856B6" w:rsidRDefault="00A856B6" w:rsidP="00A856B6">
      <w:r>
        <w:rPr>
          <w:noProof/>
        </w:rPr>
        <w:lastRenderedPageBreak/>
        <w:drawing>
          <wp:inline distT="0" distB="0" distL="0" distR="0" wp14:anchorId="255F2F40" wp14:editId="0CAA4526">
            <wp:extent cx="2223135" cy="1994535"/>
            <wp:effectExtent l="0" t="0" r="0" b="0"/>
            <wp:docPr id="58" name="Picture 58" descr="Photo of Distinguished Professor Jane Hall,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hoto of Distinguished Professor Jane Hall, Member, Pricing Authority"/>
                    <pic:cNvPicPr/>
                  </pic:nvPicPr>
                  <pic:blipFill>
                    <a:blip r:embed="rId77"/>
                    <a:stretch>
                      <a:fillRect/>
                    </a:stretch>
                  </pic:blipFill>
                  <pic:spPr>
                    <a:xfrm>
                      <a:off x="0" y="0"/>
                      <a:ext cx="2223135" cy="1994535"/>
                    </a:xfrm>
                    <a:prstGeom prst="rect">
                      <a:avLst/>
                    </a:prstGeom>
                  </pic:spPr>
                </pic:pic>
              </a:graphicData>
            </a:graphic>
          </wp:inline>
        </w:drawing>
      </w:r>
    </w:p>
    <w:p w14:paraId="01AD6B60" w14:textId="2E4B0A0E" w:rsidR="00A856B6" w:rsidRDefault="00F66193" w:rsidP="00A856B6">
      <w:pPr>
        <w:pStyle w:val="H4"/>
      </w:pPr>
      <w:r>
        <w:t>Distinguished Professor</w:t>
      </w:r>
      <w:r w:rsidR="00A856B6" w:rsidRPr="00A856B6">
        <w:t xml:space="preserve"> Jane Hall</w:t>
      </w:r>
    </w:p>
    <w:p w14:paraId="5F789367" w14:textId="72538424" w:rsidR="00410201" w:rsidRPr="00410201" w:rsidRDefault="00410201" w:rsidP="00410201">
      <w:pPr>
        <w:rPr>
          <w:color w:val="1C1C1C"/>
          <w:sz w:val="18"/>
          <w:szCs w:val="18"/>
        </w:rPr>
      </w:pPr>
      <w:r w:rsidRPr="00F51DC2">
        <w:rPr>
          <w:color w:val="1C1C1C"/>
          <w:sz w:val="18"/>
          <w:szCs w:val="18"/>
        </w:rPr>
        <w:t>Professor Jane Hall is Distinguished Professor</w:t>
      </w:r>
      <w:r w:rsidRPr="00410201">
        <w:rPr>
          <w:color w:val="1C1C1C"/>
          <w:sz w:val="18"/>
          <w:szCs w:val="18"/>
        </w:rPr>
        <w:t xml:space="preserve"> of Health Economics in the Business School at the University of Technology Sydney. </w:t>
      </w:r>
    </w:p>
    <w:p w14:paraId="2FBBC5D6" w14:textId="77777777" w:rsidR="00410201" w:rsidRPr="00410201" w:rsidRDefault="00410201" w:rsidP="00410201">
      <w:pPr>
        <w:rPr>
          <w:color w:val="1C1C1C"/>
          <w:sz w:val="18"/>
          <w:szCs w:val="18"/>
        </w:rPr>
      </w:pPr>
      <w:r w:rsidRPr="00410201">
        <w:rPr>
          <w:color w:val="1C1C1C"/>
          <w:sz w:val="18"/>
          <w:szCs w:val="18"/>
        </w:rPr>
        <w:t>She is a Fellow of the Academy of Social Sciences in Australia and of the Australian Academy of Health and Medical Sciences.</w:t>
      </w:r>
    </w:p>
    <w:p w14:paraId="51A18067" w14:textId="24F72B9C" w:rsidR="00410201" w:rsidRPr="00410201" w:rsidRDefault="00410201" w:rsidP="00410201">
      <w:pPr>
        <w:rPr>
          <w:color w:val="1C1C1C"/>
          <w:sz w:val="18"/>
          <w:szCs w:val="18"/>
        </w:rPr>
      </w:pPr>
      <w:r w:rsidRPr="00410201">
        <w:rPr>
          <w:color w:val="1C1C1C"/>
          <w:sz w:val="18"/>
          <w:szCs w:val="18"/>
        </w:rPr>
        <w:t>Jane has worked across many areas of health</w:t>
      </w:r>
      <w:r w:rsidR="00F51DC2">
        <w:rPr>
          <w:color w:val="1C1C1C"/>
          <w:sz w:val="18"/>
          <w:szCs w:val="18"/>
        </w:rPr>
        <w:t> </w:t>
      </w:r>
      <w:r w:rsidRPr="00410201">
        <w:rPr>
          <w:color w:val="1C1C1C"/>
          <w:sz w:val="18"/>
          <w:szCs w:val="18"/>
        </w:rPr>
        <w:t>economics, including funding and financing</w:t>
      </w:r>
      <w:r w:rsidR="00F51DC2">
        <w:rPr>
          <w:color w:val="1C1C1C"/>
          <w:sz w:val="18"/>
          <w:szCs w:val="18"/>
        </w:rPr>
        <w:t> </w:t>
      </w:r>
      <w:r w:rsidRPr="00410201">
        <w:rPr>
          <w:color w:val="1C1C1C"/>
          <w:sz w:val="18"/>
          <w:szCs w:val="18"/>
        </w:rPr>
        <w:t>issues.</w:t>
      </w:r>
    </w:p>
    <w:p w14:paraId="3BC7CB35" w14:textId="77777777" w:rsidR="00410201" w:rsidRPr="00410201" w:rsidRDefault="00410201" w:rsidP="00410201">
      <w:pPr>
        <w:rPr>
          <w:color w:val="1C1C1C"/>
          <w:sz w:val="18"/>
          <w:szCs w:val="18"/>
        </w:rPr>
      </w:pPr>
      <w:r w:rsidRPr="00410201">
        <w:rPr>
          <w:color w:val="1C1C1C"/>
          <w:sz w:val="18"/>
          <w:szCs w:val="18"/>
        </w:rPr>
        <w:t>She has experience across a range of health policy issues in Australia and internationally.</w:t>
      </w:r>
    </w:p>
    <w:p w14:paraId="76AA4F14" w14:textId="77777777" w:rsidR="00A856B6" w:rsidRDefault="00A856B6" w:rsidP="00A856B6">
      <w:r>
        <w:br w:type="column"/>
      </w:r>
      <w:r>
        <w:rPr>
          <w:noProof/>
        </w:rPr>
        <w:drawing>
          <wp:inline distT="0" distB="0" distL="0" distR="0" wp14:anchorId="3CA1774B" wp14:editId="615493DD">
            <wp:extent cx="2223135" cy="1994535"/>
            <wp:effectExtent l="0" t="0" r="0" b="0"/>
            <wp:docPr id="59" name="Picture 59" descr="Photo of Ms Jenny Richter AM,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hoto of Ms Jenny Richter AM, Member, Pricing Authority"/>
                    <pic:cNvPicPr/>
                  </pic:nvPicPr>
                  <pic:blipFill>
                    <a:blip r:embed="rId78"/>
                    <a:stretch>
                      <a:fillRect/>
                    </a:stretch>
                  </pic:blipFill>
                  <pic:spPr>
                    <a:xfrm>
                      <a:off x="0" y="0"/>
                      <a:ext cx="2223135" cy="1994535"/>
                    </a:xfrm>
                    <a:prstGeom prst="rect">
                      <a:avLst/>
                    </a:prstGeom>
                  </pic:spPr>
                </pic:pic>
              </a:graphicData>
            </a:graphic>
          </wp:inline>
        </w:drawing>
      </w:r>
    </w:p>
    <w:p w14:paraId="6DC73560" w14:textId="3AE0737D" w:rsidR="00A856B6" w:rsidRDefault="00A856B6" w:rsidP="00A856B6">
      <w:pPr>
        <w:pStyle w:val="H4"/>
      </w:pPr>
      <w:r w:rsidRPr="00A856B6">
        <w:t>Ms Jenny Richter</w:t>
      </w:r>
      <w:r w:rsidR="00C645AE">
        <w:t xml:space="preserve"> AM</w:t>
      </w:r>
    </w:p>
    <w:p w14:paraId="6A34AA15" w14:textId="692062C4" w:rsidR="00410201" w:rsidRPr="00410201" w:rsidRDefault="00410201" w:rsidP="00410201">
      <w:pPr>
        <w:pStyle w:val="Body"/>
      </w:pPr>
      <w:r w:rsidRPr="00410201">
        <w:t xml:space="preserve">Ms Jenny Richter </w:t>
      </w:r>
      <w:r w:rsidR="00C645AE">
        <w:t xml:space="preserve">AM </w:t>
      </w:r>
      <w:r w:rsidRPr="00410201">
        <w:t>is a non-executive director and holds board positions with the South Australian Health and Medical Research Institute, Cancer</w:t>
      </w:r>
      <w:r w:rsidR="00F51DC2">
        <w:t> </w:t>
      </w:r>
      <w:r w:rsidRPr="00410201">
        <w:t xml:space="preserve">Council SA (Deputy Chair), Cancer Council Australia (Deputy Chair) and the Southern Adelaide Local Health Network (Deputy Chair), where she also chairs the Clinical Governance Board Sub-Committee. </w:t>
      </w:r>
    </w:p>
    <w:p w14:paraId="016DD793" w14:textId="4C18FC0C" w:rsidR="00410201" w:rsidRPr="00410201" w:rsidRDefault="00410201" w:rsidP="00410201">
      <w:pPr>
        <w:pStyle w:val="Body"/>
      </w:pPr>
      <w:r w:rsidRPr="00410201">
        <w:t>Jenny has previously held a number of executive roles including five years as Deputy Chief Executive for SA Health and as Chief Executive Officer of Central Adelaide Local Health Network. She is also a past board member of</w:t>
      </w:r>
      <w:r w:rsidR="00F51DC2">
        <w:t> </w:t>
      </w:r>
      <w:r w:rsidRPr="00410201">
        <w:t>ECH a South Australian aged care provider.</w:t>
      </w:r>
    </w:p>
    <w:p w14:paraId="59A12456" w14:textId="77777777" w:rsidR="00A856B6" w:rsidRDefault="00A856B6" w:rsidP="0046415D">
      <w:pPr>
        <w:pStyle w:val="Body"/>
      </w:pPr>
    </w:p>
    <w:p w14:paraId="276B92BE" w14:textId="77777777" w:rsidR="009D15C8" w:rsidRDefault="009D15C8" w:rsidP="0046415D">
      <w:pPr>
        <w:pStyle w:val="Body"/>
        <w:sectPr w:rsidR="009D15C8" w:rsidSect="00010118">
          <w:footerReference w:type="default" r:id="rId79"/>
          <w:pgSz w:w="9979" w:h="14175"/>
          <w:pgMar w:top="1418" w:right="1134" w:bottom="1134" w:left="1134" w:header="709" w:footer="709" w:gutter="0"/>
          <w:cols w:num="2" w:space="708"/>
          <w:docGrid w:linePitch="360"/>
        </w:sectPr>
      </w:pPr>
    </w:p>
    <w:p w14:paraId="68303174" w14:textId="77777777" w:rsidR="00A856B6" w:rsidRDefault="00A856B6" w:rsidP="00A856B6">
      <w:r>
        <w:rPr>
          <w:noProof/>
        </w:rPr>
        <w:lastRenderedPageBreak/>
        <w:drawing>
          <wp:inline distT="0" distB="0" distL="0" distR="0" wp14:anchorId="0C16F353" wp14:editId="16768390">
            <wp:extent cx="2223135" cy="1994535"/>
            <wp:effectExtent l="0" t="0" r="0" b="0"/>
            <wp:docPr id="65" name="Picture 65" descr="Dr Kate Taylor, Member,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r Kate Taylor, Member, Pricing Authority"/>
                    <pic:cNvPicPr/>
                  </pic:nvPicPr>
                  <pic:blipFill>
                    <a:blip r:embed="rId80"/>
                    <a:stretch>
                      <a:fillRect/>
                    </a:stretch>
                  </pic:blipFill>
                  <pic:spPr>
                    <a:xfrm>
                      <a:off x="0" y="0"/>
                      <a:ext cx="2223135" cy="1994535"/>
                    </a:xfrm>
                    <a:prstGeom prst="rect">
                      <a:avLst/>
                    </a:prstGeom>
                  </pic:spPr>
                </pic:pic>
              </a:graphicData>
            </a:graphic>
          </wp:inline>
        </w:drawing>
      </w:r>
    </w:p>
    <w:p w14:paraId="4E85C32F" w14:textId="1424D0CE" w:rsidR="00A856B6" w:rsidRDefault="00A856B6" w:rsidP="00A856B6">
      <w:pPr>
        <w:pStyle w:val="H4"/>
      </w:pPr>
      <w:r w:rsidRPr="00A856B6">
        <w:t>Dr Kate Taylor</w:t>
      </w:r>
    </w:p>
    <w:p w14:paraId="0A84242D" w14:textId="2A811DFC" w:rsidR="00410201" w:rsidRPr="00410201" w:rsidRDefault="00410201" w:rsidP="00410201">
      <w:pPr>
        <w:pStyle w:val="Body"/>
      </w:pPr>
      <w:r w:rsidRPr="00410201">
        <w:t>Dr Kate Taylor is the Vice President of Eye Care Solutions for Revenio Group Oyj, the global leader in ophthalmic equipment and solutions that acquired Oculo, where Kate was the Founder and C</w:t>
      </w:r>
      <w:r w:rsidR="00746927">
        <w:t>hief Executive Officer</w:t>
      </w:r>
      <w:r w:rsidRPr="00410201">
        <w:t>. Oculo is a cloud-based clinical platform connecting eye care professionals and their patients. Before Oculo, Kate built the Global Health Initiative at the World</w:t>
      </w:r>
      <w:r w:rsidR="006B53AD">
        <w:t> </w:t>
      </w:r>
      <w:r w:rsidRPr="00410201">
        <w:t>Economic Forum and worked with McKinsey &amp; Co. Her initial training was in medicine and public</w:t>
      </w:r>
      <w:r w:rsidR="00F51DC2">
        <w:t> </w:t>
      </w:r>
      <w:r w:rsidRPr="00410201">
        <w:t xml:space="preserve">health. </w:t>
      </w:r>
    </w:p>
    <w:p w14:paraId="0A6C8DEB" w14:textId="7AE8451C" w:rsidR="00410201" w:rsidRPr="00410201" w:rsidRDefault="00410201" w:rsidP="00410201">
      <w:pPr>
        <w:pStyle w:val="Body"/>
      </w:pPr>
      <w:r w:rsidRPr="00410201">
        <w:t>Kate also serves as a member of the Australian Digital Health Agency’s Clinical and Technical Advisory Committee. She was previously involved with the Board of the Mental Health Cooperative Research Centre in Australia, which researches early detection and treatment for dementias, and</w:t>
      </w:r>
      <w:r w:rsidR="00F51DC2">
        <w:t> </w:t>
      </w:r>
      <w:r w:rsidRPr="00410201">
        <w:t>internationally with the Boards of Roll Back Malaria, Stop TB, and the GAVI Alliance.</w:t>
      </w:r>
    </w:p>
    <w:p w14:paraId="04AC7C7B" w14:textId="77777777" w:rsidR="009D15C8" w:rsidRDefault="009D15C8" w:rsidP="0046415D">
      <w:pPr>
        <w:pStyle w:val="Body"/>
      </w:pPr>
    </w:p>
    <w:p w14:paraId="2803A7EC" w14:textId="6D2D79F4" w:rsidR="00A856B6" w:rsidRDefault="00A856B6" w:rsidP="0053761D">
      <w:pPr>
        <w:sectPr w:rsidR="00A856B6" w:rsidSect="00010118">
          <w:footerReference w:type="default" r:id="rId81"/>
          <w:pgSz w:w="9979" w:h="14175"/>
          <w:pgMar w:top="1418" w:right="1134" w:bottom="1134" w:left="1134" w:header="709" w:footer="709" w:gutter="0"/>
          <w:cols w:num="2" w:space="708"/>
          <w:docGrid w:linePitch="360"/>
        </w:sectPr>
      </w:pPr>
    </w:p>
    <w:p w14:paraId="5FA69192" w14:textId="7A835574" w:rsidR="004C4F1C" w:rsidRPr="006E02BB" w:rsidRDefault="00CC0F33" w:rsidP="004C4F1C">
      <w:pPr>
        <w:pStyle w:val="H3"/>
      </w:pPr>
      <w:r>
        <w:lastRenderedPageBreak/>
        <w:t xml:space="preserve">Our </w:t>
      </w:r>
      <w:r w:rsidR="00AD6CAF">
        <w:t>Executive</w:t>
      </w:r>
      <w:r w:rsidR="004C4F1C" w:rsidRPr="006E02BB">
        <w:t xml:space="preserve"> team</w:t>
      </w:r>
    </w:p>
    <w:p w14:paraId="13019C8A" w14:textId="1AF45E50" w:rsidR="00746927" w:rsidRDefault="00746927" w:rsidP="00290A5F">
      <w:pPr>
        <w:pStyle w:val="FigureHeading"/>
      </w:pPr>
      <w:bookmarkStart w:id="38" w:name="_Toc114824652"/>
      <w:r w:rsidRPr="00410201">
        <w:t xml:space="preserve">Figure </w:t>
      </w:r>
      <w:r w:rsidR="00290A5F">
        <w:t>3</w:t>
      </w:r>
      <w:r w:rsidRPr="00410201">
        <w:t xml:space="preserve">: </w:t>
      </w:r>
      <w:r w:rsidR="00AD6CAF">
        <w:t xml:space="preserve">IHPA </w:t>
      </w:r>
      <w:r w:rsidRPr="00410201">
        <w:t>Executive team</w:t>
      </w:r>
      <w:bookmarkEnd w:id="38"/>
    </w:p>
    <w:p w14:paraId="3FDF0810" w14:textId="77777777" w:rsidR="00746927" w:rsidRDefault="00746927" w:rsidP="00746927">
      <w:pPr>
        <w:pStyle w:val="Body"/>
        <w:rPr>
          <w:b/>
          <w:bCs/>
        </w:rPr>
      </w:pPr>
      <w:r>
        <w:rPr>
          <w:noProof/>
        </w:rPr>
        <w:drawing>
          <wp:inline distT="0" distB="0" distL="0" distR="0" wp14:anchorId="7C0BCC72" wp14:editId="58E4B4F5">
            <wp:extent cx="4896485" cy="2781935"/>
            <wp:effectExtent l="0" t="0" r="5715" b="0"/>
            <wp:docPr id="61" name="Picture 61" descr="Group photo of the Independent Hospital Pricing Authority  Executive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oup photo of the Independent Hospital Pricing Authority  Executive team"/>
                    <pic:cNvPicPr/>
                  </pic:nvPicPr>
                  <pic:blipFill rotWithShape="1">
                    <a:blip r:embed="rId82"/>
                    <a:srcRect l="984" t="1" b="-985"/>
                    <a:stretch/>
                  </pic:blipFill>
                  <pic:spPr bwMode="auto">
                    <a:xfrm>
                      <a:off x="0" y="0"/>
                      <a:ext cx="4896485" cy="2781935"/>
                    </a:xfrm>
                    <a:prstGeom prst="rect">
                      <a:avLst/>
                    </a:prstGeom>
                    <a:ln>
                      <a:noFill/>
                    </a:ln>
                    <a:extLst>
                      <a:ext uri="{53640926-AAD7-44D8-BBD7-CCE9431645EC}">
                        <a14:shadowObscured xmlns:a14="http://schemas.microsoft.com/office/drawing/2010/main"/>
                      </a:ext>
                    </a:extLst>
                  </pic:spPr>
                </pic:pic>
              </a:graphicData>
            </a:graphic>
          </wp:inline>
        </w:drawing>
      </w:r>
    </w:p>
    <w:p w14:paraId="722EA151" w14:textId="4EB9DA5C" w:rsidR="00CC0F33" w:rsidRDefault="00CC0F33" w:rsidP="00C2236B">
      <w:pPr>
        <w:pStyle w:val="Body"/>
        <w:sectPr w:rsidR="00CC0F33" w:rsidSect="004C4F1C">
          <w:footerReference w:type="default" r:id="rId83"/>
          <w:pgSz w:w="9979" w:h="14175"/>
          <w:pgMar w:top="1418" w:right="1134" w:bottom="1134" w:left="1134" w:header="709" w:footer="709" w:gutter="0"/>
          <w:cols w:space="708"/>
          <w:docGrid w:linePitch="360"/>
        </w:sectPr>
      </w:pPr>
      <w:r w:rsidRPr="00746927">
        <w:t>From the left</w:t>
      </w:r>
      <w:r>
        <w:t>:</w:t>
      </w:r>
      <w:r w:rsidRPr="00746927">
        <w:t xml:space="preserve"> Prof Kees van Gool,</w:t>
      </w:r>
      <w:r>
        <w:t xml:space="preserve"> Executive Director, Pricing and Analytics,</w:t>
      </w:r>
      <w:r w:rsidRPr="00746927">
        <w:t xml:space="preserve"> Ms Chereta Daylight</w:t>
      </w:r>
      <w:r>
        <w:t>, Acting</w:t>
      </w:r>
      <w:r w:rsidR="002F24E1">
        <w:t> </w:t>
      </w:r>
      <w:r>
        <w:t>Executive Director, Hospital Policy and Classification</w:t>
      </w:r>
      <w:r w:rsidRPr="00746927">
        <w:t>, Ms Julia Hume</w:t>
      </w:r>
      <w:r>
        <w:t xml:space="preserve">, Executive Director, Costing </w:t>
      </w:r>
      <w:r w:rsidR="00C2236B">
        <w:t>and Data Infrastructure</w:t>
      </w:r>
      <w:r w:rsidRPr="00746927">
        <w:t>, Ms Joanne Fitzgerald</w:t>
      </w:r>
      <w:r w:rsidR="00C2236B">
        <w:t>, Acting Chief Executive Officer</w:t>
      </w:r>
      <w:r>
        <w:t>, Ms Olga Liavas</w:t>
      </w:r>
      <w:r w:rsidR="00C2236B">
        <w:t>, Executive Officer</w:t>
      </w:r>
      <w:r>
        <w:t xml:space="preserve">, </w:t>
      </w:r>
      <w:r w:rsidR="00C2236B">
        <w:t xml:space="preserve">Ms Genevieve Donnelly, Executive Director, Aged Care Policy and Communications, </w:t>
      </w:r>
      <w:r>
        <w:t>Mr Chris Milja</w:t>
      </w:r>
      <w:r w:rsidR="00C2236B">
        <w:t>k, Chief</w:t>
      </w:r>
      <w:r w:rsidR="002F24E1">
        <w:t> </w:t>
      </w:r>
      <w:r w:rsidR="00C2236B">
        <w:t>Financial Officer.</w:t>
      </w:r>
    </w:p>
    <w:p w14:paraId="7B56831E" w14:textId="001D3341" w:rsidR="00CC0F33" w:rsidRPr="00CC0F33" w:rsidRDefault="006158D5" w:rsidP="00CC0F33">
      <w:pPr>
        <w:pStyle w:val="Heading1"/>
        <w:rPr>
          <w:color w:val="008F54" w:themeColor="accent1"/>
        </w:rPr>
      </w:pPr>
      <w:bookmarkStart w:id="39" w:name="_Toc114824427"/>
      <w:r w:rsidRPr="00F379AD">
        <w:rPr>
          <w:color w:val="008F54" w:themeColor="accent1"/>
        </w:rPr>
        <w:lastRenderedPageBreak/>
        <w:t>3.</w:t>
      </w:r>
      <w:r w:rsidR="00DD1A16">
        <w:rPr>
          <w:color w:val="008F54" w:themeColor="accent1"/>
        </w:rPr>
        <w:t>4</w:t>
      </w:r>
      <w:r w:rsidRPr="00F379AD">
        <w:rPr>
          <w:color w:val="008F54" w:themeColor="accent1"/>
        </w:rPr>
        <w:t xml:space="preserve"> What we do</w:t>
      </w:r>
      <w:bookmarkEnd w:id="39"/>
    </w:p>
    <w:p w14:paraId="66E900F4" w14:textId="13D68216" w:rsidR="006158D5" w:rsidRPr="006158D5" w:rsidRDefault="006158D5" w:rsidP="006158D5">
      <w:pPr>
        <w:pStyle w:val="Heading2"/>
        <w:sectPr w:rsidR="006158D5" w:rsidRPr="006158D5" w:rsidSect="00C01667">
          <w:footerReference w:type="default" r:id="rId84"/>
          <w:pgSz w:w="9979" w:h="14175"/>
          <w:pgMar w:top="1418" w:right="1134" w:bottom="1134" w:left="1134" w:header="709" w:footer="709" w:gutter="0"/>
          <w:cols w:space="708"/>
          <w:docGrid w:linePitch="360"/>
        </w:sectPr>
      </w:pPr>
    </w:p>
    <w:p w14:paraId="4EF96761" w14:textId="26ED2439" w:rsidR="00410201" w:rsidRPr="00EC374B" w:rsidRDefault="00410201" w:rsidP="00410201">
      <w:pPr>
        <w:pStyle w:val="Body"/>
        <w:rPr>
          <w:lang w:val="en-PH"/>
        </w:rPr>
      </w:pPr>
      <w:bookmarkStart w:id="40" w:name="_Hlk112421959"/>
      <w:r w:rsidRPr="00EC374B">
        <w:rPr>
          <w:lang w:val="en-PH"/>
        </w:rPr>
        <w:t xml:space="preserve">IHPA undertakes several major areas of work to inform the annual determination of the </w:t>
      </w:r>
      <w:r>
        <w:rPr>
          <w:lang w:val="en-PH"/>
        </w:rPr>
        <w:t>n</w:t>
      </w:r>
      <w:r w:rsidRPr="00EC374B">
        <w:rPr>
          <w:lang w:val="en-PH"/>
        </w:rPr>
        <w:t xml:space="preserve">ational </w:t>
      </w:r>
      <w:r>
        <w:rPr>
          <w:lang w:val="en-PH"/>
        </w:rPr>
        <w:t>e</w:t>
      </w:r>
      <w:r w:rsidRPr="00EC374B">
        <w:rPr>
          <w:lang w:val="en-PH"/>
        </w:rPr>
        <w:t xml:space="preserve">fficient </w:t>
      </w:r>
      <w:r>
        <w:rPr>
          <w:lang w:val="en-PH"/>
        </w:rPr>
        <w:t>p</w:t>
      </w:r>
      <w:r w:rsidRPr="00EC374B">
        <w:rPr>
          <w:lang w:val="en-PH"/>
        </w:rPr>
        <w:t xml:space="preserve">rice </w:t>
      </w:r>
      <w:r>
        <w:rPr>
          <w:lang w:val="en-PH"/>
        </w:rPr>
        <w:t xml:space="preserve">and national efficient cost </w:t>
      </w:r>
      <w:r w:rsidRPr="00EC374B">
        <w:rPr>
          <w:lang w:val="en-PH"/>
        </w:rPr>
        <w:t>(collectively referred to as the Determinations) and</w:t>
      </w:r>
      <w:r w:rsidR="00290A5F">
        <w:rPr>
          <w:lang w:val="en-PH"/>
        </w:rPr>
        <w:t> </w:t>
      </w:r>
      <w:r w:rsidRPr="00EC374B">
        <w:rPr>
          <w:lang w:val="en-PH"/>
        </w:rPr>
        <w:t>implement activity based funding. This</w:t>
      </w:r>
      <w:r w:rsidR="00290A5F">
        <w:rPr>
          <w:lang w:val="en-PH"/>
        </w:rPr>
        <w:t> </w:t>
      </w:r>
      <w:r w:rsidRPr="00EC374B">
        <w:rPr>
          <w:lang w:val="en-PH"/>
        </w:rPr>
        <w:t>includes developing national health classifications, the</w:t>
      </w:r>
      <w:r w:rsidR="00290A5F">
        <w:rPr>
          <w:lang w:val="en-PH"/>
        </w:rPr>
        <w:t> </w:t>
      </w:r>
      <w:r w:rsidRPr="00EC374B">
        <w:rPr>
          <w:lang w:val="en-PH"/>
        </w:rPr>
        <w:t>collection of cost and activity data, and resolving disputes on cost-shifting and</w:t>
      </w:r>
      <w:r w:rsidR="00290A5F">
        <w:rPr>
          <w:lang w:val="en-PH"/>
        </w:rPr>
        <w:t> </w:t>
      </w:r>
      <w:r w:rsidRPr="00EC374B">
        <w:rPr>
          <w:lang w:val="en-PH"/>
        </w:rPr>
        <w:t>cross-border issues, as required.</w:t>
      </w:r>
    </w:p>
    <w:p w14:paraId="50FFCC81" w14:textId="66EAD02E" w:rsidR="00410201" w:rsidRPr="00EC374B" w:rsidRDefault="00410201" w:rsidP="00410201">
      <w:pPr>
        <w:pStyle w:val="Body"/>
        <w:rPr>
          <w:lang w:val="en-PH"/>
        </w:rPr>
      </w:pPr>
      <w:r w:rsidRPr="00EC374B">
        <w:rPr>
          <w:lang w:val="en-PH"/>
        </w:rPr>
        <w:t>This is informed by ongoing consultation with all Australian health departments, expert advisory committees and key stakeholders to ensure IHPA’s pricing model responds to the needs of the health</w:t>
      </w:r>
      <w:r w:rsidR="00290A5F">
        <w:rPr>
          <w:lang w:val="en-PH"/>
        </w:rPr>
        <w:t> </w:t>
      </w:r>
      <w:r w:rsidRPr="00EC374B">
        <w:rPr>
          <w:lang w:val="en-PH"/>
        </w:rPr>
        <w:t xml:space="preserve">system. </w:t>
      </w:r>
    </w:p>
    <w:p w14:paraId="005549A8" w14:textId="5ED2B628" w:rsidR="00410201" w:rsidRPr="00EC374B" w:rsidRDefault="00410201" w:rsidP="00410201">
      <w:pPr>
        <w:pStyle w:val="Body"/>
        <w:rPr>
          <w:lang w:val="en-PH"/>
        </w:rPr>
      </w:pPr>
      <w:r w:rsidRPr="00EC374B">
        <w:rPr>
          <w:lang w:val="en-PH"/>
        </w:rPr>
        <w:t>The Determinations</w:t>
      </w:r>
      <w:r>
        <w:rPr>
          <w:lang w:val="en-PH"/>
        </w:rPr>
        <w:t>,</w:t>
      </w:r>
      <w:r w:rsidRPr="00EC374B">
        <w:rPr>
          <w:lang w:val="en-PH"/>
        </w:rPr>
        <w:t xml:space="preserve"> in conjunction with data regarding the actual volume and type of hospital services provided by states and territories, are</w:t>
      </w:r>
      <w:r w:rsidR="00290A5F">
        <w:rPr>
          <w:lang w:val="en-PH"/>
        </w:rPr>
        <w:t> </w:t>
      </w:r>
      <w:r w:rsidRPr="00EC374B">
        <w:rPr>
          <w:lang w:val="en-PH"/>
        </w:rPr>
        <w:t xml:space="preserve">used by the Administrator of the </w:t>
      </w:r>
      <w:hyperlink r:id="rId85" w:history="1">
        <w:r w:rsidRPr="00EC374B">
          <w:rPr>
            <w:rStyle w:val="Hyperlink"/>
            <w:lang w:val="en-PH"/>
          </w:rPr>
          <w:t>National</w:t>
        </w:r>
        <w:r w:rsidR="00290A5F">
          <w:rPr>
            <w:rStyle w:val="Hyperlink"/>
            <w:lang w:val="en-PH"/>
          </w:rPr>
          <w:t> </w:t>
        </w:r>
        <w:r w:rsidRPr="00EC374B">
          <w:rPr>
            <w:rStyle w:val="Hyperlink"/>
            <w:lang w:val="en-PH"/>
          </w:rPr>
          <w:t>Health Funding Pool</w:t>
        </w:r>
      </w:hyperlink>
      <w:r w:rsidRPr="00EC374B">
        <w:rPr>
          <w:lang w:val="en-PH"/>
        </w:rPr>
        <w:t xml:space="preserve"> to calculate the</w:t>
      </w:r>
      <w:r w:rsidR="00290A5F">
        <w:rPr>
          <w:lang w:val="en-PH"/>
        </w:rPr>
        <w:t> </w:t>
      </w:r>
      <w:r w:rsidRPr="00EC374B">
        <w:rPr>
          <w:lang w:val="en-PH"/>
        </w:rPr>
        <w:t>Commonwealth funding contribution to public hospitals.</w:t>
      </w:r>
    </w:p>
    <w:bookmarkEnd w:id="40"/>
    <w:p w14:paraId="4E9441E5" w14:textId="47391839" w:rsidR="008B66AA" w:rsidRPr="00191182" w:rsidRDefault="008B66AA" w:rsidP="008B66AA">
      <w:pPr>
        <w:pStyle w:val="H3"/>
        <w:rPr>
          <w:color w:val="7EC352" w:themeColor="accent2"/>
        </w:rPr>
      </w:pPr>
      <w:r>
        <w:br w:type="column"/>
      </w:r>
      <w:r w:rsidR="00F379AD">
        <w:t>Functions</w:t>
      </w:r>
    </w:p>
    <w:p w14:paraId="170F08C1" w14:textId="77777777" w:rsidR="00F379AD" w:rsidRPr="00456F62" w:rsidRDefault="00F379AD" w:rsidP="00F379AD">
      <w:pPr>
        <w:pStyle w:val="Body"/>
        <w:rPr>
          <w:lang w:val="en-PH"/>
        </w:rPr>
      </w:pPr>
      <w:r w:rsidRPr="00456F62">
        <w:rPr>
          <w:lang w:val="en-PH"/>
        </w:rPr>
        <w:t xml:space="preserve">Pursuant to the </w:t>
      </w:r>
      <w:r w:rsidRPr="00456F62">
        <w:rPr>
          <w:i/>
          <w:iCs/>
          <w:lang w:val="en-PH"/>
        </w:rPr>
        <w:t>National Health Reform Act 2011</w:t>
      </w:r>
      <w:r w:rsidRPr="00456F62">
        <w:rPr>
          <w:lang w:val="en-PH"/>
        </w:rPr>
        <w:t xml:space="preserve">, the primary functions of IHPA are as follows: </w:t>
      </w:r>
    </w:p>
    <w:p w14:paraId="36CF9E5E" w14:textId="77777777" w:rsidR="00F379AD" w:rsidRPr="00456F62" w:rsidRDefault="00F379AD" w:rsidP="00F379AD">
      <w:pPr>
        <w:pStyle w:val="Bullets"/>
        <w:rPr>
          <w:lang w:val="en-PH"/>
        </w:rPr>
      </w:pPr>
      <w:r w:rsidRPr="00456F62">
        <w:rPr>
          <w:lang w:val="en-PH"/>
        </w:rPr>
        <w:t xml:space="preserve">to determine the </w:t>
      </w:r>
      <w:r>
        <w:rPr>
          <w:lang w:val="en-PH"/>
        </w:rPr>
        <w:t>n</w:t>
      </w:r>
      <w:r w:rsidRPr="00456F62">
        <w:rPr>
          <w:lang w:val="en-PH"/>
        </w:rPr>
        <w:t xml:space="preserve">ational </w:t>
      </w:r>
      <w:r>
        <w:rPr>
          <w:lang w:val="en-PH"/>
        </w:rPr>
        <w:t>e</w:t>
      </w:r>
      <w:r w:rsidRPr="00456F62">
        <w:rPr>
          <w:lang w:val="en-PH"/>
        </w:rPr>
        <w:t xml:space="preserve">fficient </w:t>
      </w:r>
      <w:r>
        <w:rPr>
          <w:lang w:val="en-PH"/>
        </w:rPr>
        <w:t>p</w:t>
      </w:r>
      <w:r w:rsidRPr="00456F62">
        <w:rPr>
          <w:lang w:val="en-PH"/>
        </w:rPr>
        <w:t xml:space="preserve">rice for healthcare services provided by public hospitals where the services are funded on an activity basis </w:t>
      </w:r>
    </w:p>
    <w:p w14:paraId="55FB5636" w14:textId="77777777" w:rsidR="00F379AD" w:rsidRPr="00456F62" w:rsidRDefault="00F379AD" w:rsidP="00F379AD">
      <w:pPr>
        <w:pStyle w:val="Bullets"/>
        <w:rPr>
          <w:lang w:val="en-PH"/>
        </w:rPr>
      </w:pPr>
      <w:r w:rsidRPr="00456F62">
        <w:rPr>
          <w:lang w:val="en-PH"/>
        </w:rPr>
        <w:t xml:space="preserve">to determine the </w:t>
      </w:r>
      <w:r>
        <w:rPr>
          <w:lang w:val="en-PH"/>
        </w:rPr>
        <w:t>n</w:t>
      </w:r>
      <w:r w:rsidRPr="00456F62">
        <w:rPr>
          <w:lang w:val="en-PH"/>
        </w:rPr>
        <w:t xml:space="preserve">ational </w:t>
      </w:r>
      <w:r>
        <w:rPr>
          <w:lang w:val="en-PH"/>
        </w:rPr>
        <w:t>e</w:t>
      </w:r>
      <w:r w:rsidRPr="00456F62">
        <w:rPr>
          <w:lang w:val="en-PH"/>
        </w:rPr>
        <w:t xml:space="preserve">fficient </w:t>
      </w:r>
      <w:r>
        <w:rPr>
          <w:lang w:val="en-PH"/>
        </w:rPr>
        <w:t>c</w:t>
      </w:r>
      <w:r w:rsidRPr="00456F62">
        <w:rPr>
          <w:lang w:val="en-PH"/>
        </w:rPr>
        <w:t xml:space="preserve">ost for healthcare services provided by public hospitals where the services are block funded </w:t>
      </w:r>
    </w:p>
    <w:p w14:paraId="26273C32" w14:textId="77777777" w:rsidR="00F379AD" w:rsidRPr="00456F62" w:rsidRDefault="00F379AD" w:rsidP="00F379AD">
      <w:pPr>
        <w:pStyle w:val="Bulletslast"/>
        <w:rPr>
          <w:lang w:val="en-PH"/>
        </w:rPr>
      </w:pPr>
      <w:r w:rsidRPr="00456F62">
        <w:rPr>
          <w:lang w:val="en-PH"/>
        </w:rPr>
        <w:t xml:space="preserve">to publish the </w:t>
      </w:r>
      <w:r>
        <w:rPr>
          <w:lang w:val="en-PH"/>
        </w:rPr>
        <w:t>n</w:t>
      </w:r>
      <w:r w:rsidRPr="00456F62">
        <w:rPr>
          <w:lang w:val="en-PH"/>
        </w:rPr>
        <w:t xml:space="preserve">ational </w:t>
      </w:r>
      <w:r>
        <w:rPr>
          <w:lang w:val="en-PH"/>
        </w:rPr>
        <w:t>e</w:t>
      </w:r>
      <w:r w:rsidRPr="00456F62">
        <w:rPr>
          <w:lang w:val="en-PH"/>
        </w:rPr>
        <w:t xml:space="preserve">fficient </w:t>
      </w:r>
      <w:r>
        <w:rPr>
          <w:lang w:val="en-PH"/>
        </w:rPr>
        <w:t>p</w:t>
      </w:r>
      <w:r w:rsidRPr="00456F62">
        <w:rPr>
          <w:lang w:val="en-PH"/>
        </w:rPr>
        <w:t xml:space="preserve">rice, </w:t>
      </w:r>
      <w:r>
        <w:rPr>
          <w:lang w:val="en-PH"/>
        </w:rPr>
        <w:t>n</w:t>
      </w:r>
      <w:r w:rsidRPr="00456F62">
        <w:rPr>
          <w:lang w:val="en-PH"/>
        </w:rPr>
        <w:t xml:space="preserve">ational </w:t>
      </w:r>
      <w:r>
        <w:rPr>
          <w:lang w:val="en-PH"/>
        </w:rPr>
        <w:t>e</w:t>
      </w:r>
      <w:r w:rsidRPr="00456F62">
        <w:rPr>
          <w:lang w:val="en-PH"/>
        </w:rPr>
        <w:t xml:space="preserve">fficient </w:t>
      </w:r>
      <w:r>
        <w:rPr>
          <w:lang w:val="en-PH"/>
        </w:rPr>
        <w:t>c</w:t>
      </w:r>
      <w:r w:rsidRPr="00456F62">
        <w:rPr>
          <w:lang w:val="en-PH"/>
        </w:rPr>
        <w:t>ost and other information each year for the purpose of informing decision makers in relation to the funding of public hospitals.</w:t>
      </w:r>
    </w:p>
    <w:p w14:paraId="1108BB88" w14:textId="77777777" w:rsidR="00F379AD" w:rsidRDefault="00F379AD" w:rsidP="008B66AA">
      <w:pPr>
        <w:pStyle w:val="Body"/>
      </w:pPr>
    </w:p>
    <w:p w14:paraId="04C59DA8" w14:textId="77777777" w:rsidR="006158D5" w:rsidRDefault="006158D5" w:rsidP="0053761D"/>
    <w:p w14:paraId="3B0354FF" w14:textId="77777777" w:rsidR="002839C4" w:rsidRDefault="002839C4" w:rsidP="0053761D">
      <w:pPr>
        <w:sectPr w:rsidR="002839C4" w:rsidSect="008B66AA">
          <w:type w:val="continuous"/>
          <w:pgSz w:w="9979" w:h="14175"/>
          <w:pgMar w:top="1418" w:right="1134" w:bottom="1134" w:left="1134" w:header="709" w:footer="709" w:gutter="0"/>
          <w:cols w:num="2" w:space="708"/>
          <w:docGrid w:linePitch="360"/>
        </w:sectPr>
      </w:pPr>
    </w:p>
    <w:p w14:paraId="013FA55E" w14:textId="5FA54C27" w:rsidR="008B66AA" w:rsidRDefault="00EC6832" w:rsidP="00BD6394">
      <w:pPr>
        <w:pStyle w:val="H4"/>
      </w:pPr>
      <w:r>
        <w:lastRenderedPageBreak/>
        <w:t>Designing pricing system</w:t>
      </w:r>
      <w:r w:rsidR="004A7729">
        <w:t>s</w:t>
      </w:r>
    </w:p>
    <w:p w14:paraId="73ABBDB3" w14:textId="77777777" w:rsidR="00EC6832" w:rsidRPr="00702205" w:rsidRDefault="00EC6832" w:rsidP="00EC6832">
      <w:pPr>
        <w:pStyle w:val="Body"/>
      </w:pPr>
      <w:r w:rsidRPr="00702205">
        <w:t>IHPA develops and implements robust systems to support the implementation of activity based funding.</w:t>
      </w:r>
    </w:p>
    <w:p w14:paraId="1E997424" w14:textId="77777777" w:rsidR="00EC6832" w:rsidRPr="00702205" w:rsidRDefault="00EC6832" w:rsidP="00EC6832">
      <w:pPr>
        <w:pStyle w:val="Body"/>
      </w:pPr>
      <w:r w:rsidRPr="00702205">
        <w:t>Activity based funding supports the delivery of safe, efficient healthcare for all Australians.</w:t>
      </w:r>
    </w:p>
    <w:p w14:paraId="01B7B396" w14:textId="2923D88C" w:rsidR="008B66AA" w:rsidRDefault="00EC6832" w:rsidP="00A6267A">
      <w:pPr>
        <w:pStyle w:val="FigureHeading"/>
        <w:spacing w:after="480"/>
      </w:pPr>
      <w:bookmarkStart w:id="41" w:name="_Toc114824653"/>
      <w:r>
        <w:t xml:space="preserve">Figure </w:t>
      </w:r>
      <w:r w:rsidR="00290A5F">
        <w:t>4</w:t>
      </w:r>
      <w:r>
        <w:t xml:space="preserve">: </w:t>
      </w:r>
      <w:r w:rsidR="00C50CC8" w:rsidRPr="00A55146">
        <w:t>Key</w:t>
      </w:r>
      <w:r w:rsidRPr="00A55146">
        <w:t xml:space="preserve"> agency functions</w:t>
      </w:r>
      <w:bookmarkEnd w:id="41"/>
    </w:p>
    <w:p w14:paraId="3762BBFE" w14:textId="72BDFFF1" w:rsidR="00A6267A" w:rsidRDefault="00A6267A" w:rsidP="000E096B">
      <w:pPr>
        <w:pStyle w:val="Body"/>
      </w:pPr>
      <w:r>
        <w:rPr>
          <w:noProof/>
        </w:rPr>
        <w:drawing>
          <wp:inline distT="0" distB="0" distL="0" distR="0" wp14:anchorId="7E10B270" wp14:editId="3721FF5E">
            <wp:extent cx="4580352" cy="3822700"/>
            <wp:effectExtent l="0" t="0" r="4445" b="0"/>
            <wp:docPr id="67" name="Picture 66" descr="Diagram outlining the five functions undertaken by the agency in order to design the pricing system that promotes safe, efficient health care for all Australians. This includes Costing, Classification, Pricing, Policy an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descr="Diagram outlining the five functions undertaken by the agency in order to design the pricing system that promotes safe, efficient health care for all Australians. This includes Costing, Classification, Pricing, Policy and Data."/>
                    <pic:cNvPicPr/>
                  </pic:nvPicPr>
                  <pic:blipFill>
                    <a:blip r:embed="rId86">
                      <a:extLst>
                        <a:ext uri="{96DAC541-7B7A-43D3-8B79-37D633B846F1}">
                          <asvg:svgBlip xmlns:asvg="http://schemas.microsoft.com/office/drawing/2016/SVG/main" r:embed="rId87"/>
                        </a:ext>
                      </a:extLst>
                    </a:blip>
                    <a:stretch>
                      <a:fillRect/>
                    </a:stretch>
                  </pic:blipFill>
                  <pic:spPr>
                    <a:xfrm>
                      <a:off x="0" y="0"/>
                      <a:ext cx="4580352" cy="3822700"/>
                    </a:xfrm>
                    <a:prstGeom prst="rect">
                      <a:avLst/>
                    </a:prstGeom>
                  </pic:spPr>
                </pic:pic>
              </a:graphicData>
            </a:graphic>
          </wp:inline>
        </w:drawing>
      </w:r>
    </w:p>
    <w:p w14:paraId="51932F5D" w14:textId="77777777" w:rsidR="00A6267A" w:rsidRDefault="00A6267A" w:rsidP="00370D10">
      <w:pPr>
        <w:pStyle w:val="H3"/>
        <w:rPr>
          <w:color w:val="7EC352" w:themeColor="accent2"/>
        </w:rPr>
        <w:sectPr w:rsidR="00A6267A" w:rsidSect="00A6267A">
          <w:footerReference w:type="default" r:id="rId88"/>
          <w:pgSz w:w="9979" w:h="14175"/>
          <w:pgMar w:top="1418" w:right="1134" w:bottom="1134" w:left="1134" w:header="709" w:footer="709" w:gutter="0"/>
          <w:cols w:space="708"/>
          <w:docGrid w:linePitch="360"/>
        </w:sectPr>
      </w:pPr>
    </w:p>
    <w:p w14:paraId="6D84056C" w14:textId="77777777" w:rsidR="00544CD4" w:rsidRDefault="00544CD4" w:rsidP="00544CD4">
      <w:pPr>
        <w:pStyle w:val="H4"/>
      </w:pPr>
      <w:r>
        <w:lastRenderedPageBreak/>
        <w:t>National efficient price</w:t>
      </w:r>
    </w:p>
    <w:p w14:paraId="7FE77198" w14:textId="77777777" w:rsidR="00410201" w:rsidRPr="00410201" w:rsidRDefault="00410201" w:rsidP="00410201">
      <w:pPr>
        <w:pStyle w:val="Body"/>
      </w:pPr>
      <w:r w:rsidRPr="00410201">
        <w:t xml:space="preserve">The national efficient price represents the average cost of a hospital admission across Australia and is a determinant (along with the volume of services delivered) of the Commonwealth’s funding contribution to public hospitals.  </w:t>
      </w:r>
    </w:p>
    <w:p w14:paraId="6CFDC283" w14:textId="7AD2D018" w:rsidR="00410201" w:rsidRPr="00410201" w:rsidRDefault="00410201" w:rsidP="00410201">
      <w:pPr>
        <w:pStyle w:val="Body"/>
      </w:pPr>
      <w:r w:rsidRPr="00410201">
        <w:t>As required under the National Health Reform Agreement (clause A40), IHPA back-casts the national efficient price whenever significant changes to the methodology or underlying data</w:t>
      </w:r>
      <w:r w:rsidR="00290A5F">
        <w:t> </w:t>
      </w:r>
      <w:r w:rsidRPr="00410201">
        <w:t>occur, to enable the fair calculation of the</w:t>
      </w:r>
      <w:r w:rsidR="00290A5F">
        <w:t> </w:t>
      </w:r>
      <w:r w:rsidRPr="00410201">
        <w:t>Commonwealth’s growth funding.</w:t>
      </w:r>
    </w:p>
    <w:p w14:paraId="1A9A4563" w14:textId="2FA4C3D4" w:rsidR="00544CD4" w:rsidRDefault="00544CD4" w:rsidP="00544CD4">
      <w:pPr>
        <w:pStyle w:val="H4"/>
      </w:pPr>
      <w:r>
        <w:br w:type="column"/>
      </w:r>
      <w:r>
        <w:t>National efficient cost</w:t>
      </w:r>
    </w:p>
    <w:p w14:paraId="66C3B044" w14:textId="6244FD39" w:rsidR="00410201" w:rsidRPr="00410201" w:rsidRDefault="00410201" w:rsidP="00410201">
      <w:pPr>
        <w:pStyle w:val="Body"/>
      </w:pPr>
      <w:r w:rsidRPr="00410201">
        <w:t>The national efficient cost represents the average cost of Commonwealth funding contribution on a block grant basis for small rural hospitals. This model underpins funding for services that are not suitable for activity based funding, such as small rural and regional hospitals, teaching, training and research in public hospitals, and</w:t>
      </w:r>
      <w:r w:rsidR="00290A5F">
        <w:t> </w:t>
      </w:r>
      <w:r w:rsidRPr="00410201">
        <w:t>non</w:t>
      </w:r>
      <w:r w:rsidR="00290A5F">
        <w:noBreakHyphen/>
      </w:r>
      <w:r w:rsidRPr="00410201">
        <w:t>admitted mental health care.</w:t>
      </w:r>
    </w:p>
    <w:p w14:paraId="7C4E0DF2" w14:textId="77777777" w:rsidR="00410201" w:rsidRPr="00410201" w:rsidRDefault="00410201" w:rsidP="00410201">
      <w:pPr>
        <w:pStyle w:val="Body"/>
      </w:pPr>
      <w:r w:rsidRPr="00410201">
        <w:t>The fixed-plus-variable structure enables the changes in activity delivered in small rural hospitals to be reflected in funding and it ensures there is no disincentive for states to provide services in rural areas.</w:t>
      </w:r>
    </w:p>
    <w:p w14:paraId="1FF2035A" w14:textId="77777777" w:rsidR="00544CD4" w:rsidRDefault="00544CD4" w:rsidP="00544CD4">
      <w:pPr>
        <w:pStyle w:val="Body"/>
      </w:pPr>
    </w:p>
    <w:p w14:paraId="1740DC88" w14:textId="2AD3F1DA" w:rsidR="00C76B32" w:rsidRDefault="00C76B32" w:rsidP="00544CD4">
      <w:pPr>
        <w:pStyle w:val="Body"/>
        <w:sectPr w:rsidR="00C76B32" w:rsidSect="00010118">
          <w:footerReference w:type="default" r:id="rId89"/>
          <w:pgSz w:w="9979" w:h="14175"/>
          <w:pgMar w:top="1418" w:right="1134" w:bottom="1134" w:left="1134" w:header="709" w:footer="709" w:gutter="0"/>
          <w:cols w:num="2" w:space="708"/>
          <w:docGrid w:linePitch="360"/>
        </w:sectPr>
      </w:pPr>
    </w:p>
    <w:p w14:paraId="3697024F" w14:textId="3AA1CCAD" w:rsidR="00BD5760" w:rsidRDefault="00BD5760" w:rsidP="00BD5760">
      <w:pPr>
        <w:pStyle w:val="H4"/>
      </w:pPr>
      <w:r>
        <w:t>Sustainable growth in hospital costs</w:t>
      </w:r>
    </w:p>
    <w:p w14:paraId="5E9CBE9A" w14:textId="05EF354A" w:rsidR="00410201" w:rsidRPr="00410201" w:rsidRDefault="00410201" w:rsidP="00410201">
      <w:pPr>
        <w:pStyle w:val="Body"/>
      </w:pPr>
      <w:r w:rsidRPr="00410201">
        <w:t>The national weighted activity unit is a measure of health service activity expressed as a common unit, against</w:t>
      </w:r>
      <w:r w:rsidR="00290A5F">
        <w:t> </w:t>
      </w:r>
      <w:r w:rsidRPr="00410201">
        <w:t xml:space="preserve">which the national efficient price is determined. Figure </w:t>
      </w:r>
      <w:r w:rsidR="00290A5F">
        <w:t xml:space="preserve">5 </w:t>
      </w:r>
      <w:r w:rsidRPr="00410201">
        <w:t>indicates a significant reduction in the rate of</w:t>
      </w:r>
      <w:r w:rsidR="00290A5F">
        <w:t> </w:t>
      </w:r>
      <w:r w:rsidRPr="00410201">
        <w:t>growth in costs since 2011–12, to a sustained growth rate of 2.2 per cent.</w:t>
      </w:r>
    </w:p>
    <w:p w14:paraId="5099AC30" w14:textId="4317C96C" w:rsidR="00C76B32" w:rsidRDefault="00C76B32" w:rsidP="00C76B32">
      <w:pPr>
        <w:pStyle w:val="FigureHeading"/>
      </w:pPr>
      <w:bookmarkStart w:id="42" w:name="_Toc114824654"/>
      <w:r>
        <w:t xml:space="preserve">Figure </w:t>
      </w:r>
      <w:r w:rsidR="00290A5F">
        <w:t>5</w:t>
      </w:r>
      <w:r>
        <w:t xml:space="preserve">: </w:t>
      </w:r>
      <w:r w:rsidR="00BD5760">
        <w:t>C</w:t>
      </w:r>
      <w:r w:rsidR="00FB48FC">
        <w:t>hange in c</w:t>
      </w:r>
      <w:r w:rsidR="00BD5760">
        <w:t>ost per national weighted activity</w:t>
      </w:r>
      <w:r w:rsidR="00410201">
        <w:t xml:space="preserve"> unit</w:t>
      </w:r>
      <w:bookmarkEnd w:id="42"/>
    </w:p>
    <w:p w14:paraId="1035E1C7" w14:textId="1F5FE13A" w:rsidR="00544CD4" w:rsidRDefault="00EC6832" w:rsidP="00544CD4">
      <w:pPr>
        <w:pStyle w:val="Body"/>
      </w:pPr>
      <w:r>
        <w:rPr>
          <w:noProof/>
        </w:rPr>
        <w:drawing>
          <wp:inline distT="0" distB="0" distL="0" distR="0" wp14:anchorId="3C5025E4" wp14:editId="7225547C">
            <wp:extent cx="4896485" cy="2856230"/>
            <wp:effectExtent l="0" t="0" r="5715" b="1270"/>
            <wp:docPr id="64" name="Chart 64" descr="Bar chart presenting the cost per national weighted activity unit by financial year.&#13;&#10;&#13;&#10;2007-08 = 4.0%&#13;&#10;2008-09 = 5.6%&#13;&#10;2009-10 = 7.2%&#13;&#10;2010-11 = 2.1%&#13;&#10;2011-12 = 3.4%&#13;&#10;2012-13 = 1.7%&#13;&#10;2013-14 = 0.3%&#13;&#10;2014-15 = 2.3%&#13;&#10;2015-16 = 1.8%&#13;&#10;2016-17 = 1.8%&#13;&#10;2017-18 = 3.5%&#13;&#10;2018-19 = 2.6%&#13;&#10;2019-20 = 2.8%&#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C717276" w14:textId="77777777" w:rsidR="00544CD4" w:rsidRDefault="00544CD4" w:rsidP="00544CD4">
      <w:pPr>
        <w:pStyle w:val="Body"/>
      </w:pPr>
    </w:p>
    <w:p w14:paraId="6822BF2C" w14:textId="77777777" w:rsidR="002839C4" w:rsidRDefault="002839C4" w:rsidP="0053761D">
      <w:pPr>
        <w:sectPr w:rsidR="002839C4" w:rsidSect="00544CD4">
          <w:type w:val="continuous"/>
          <w:pgSz w:w="9979" w:h="14175"/>
          <w:pgMar w:top="1418" w:right="1134" w:bottom="1134" w:left="1134" w:header="709" w:footer="709" w:gutter="0"/>
          <w:cols w:space="708"/>
          <w:docGrid w:linePitch="360"/>
        </w:sectPr>
      </w:pPr>
    </w:p>
    <w:p w14:paraId="6038573B" w14:textId="7CF1F41A" w:rsidR="00C76B32" w:rsidRDefault="00C76B32" w:rsidP="00C76B32">
      <w:pPr>
        <w:pStyle w:val="H4"/>
      </w:pPr>
      <w:r>
        <w:lastRenderedPageBreak/>
        <w:t>Safety and quality reforms</w:t>
      </w:r>
    </w:p>
    <w:p w14:paraId="7BD52906" w14:textId="77777777" w:rsidR="00410201" w:rsidRPr="00410201" w:rsidRDefault="00410201" w:rsidP="00410201">
      <w:pPr>
        <w:pStyle w:val="Body"/>
      </w:pPr>
      <w:r w:rsidRPr="00410201">
        <w:t>The program of work for pricing and funding for safety and quality originated from the April 2016 Council of Australian Governments Health Council Heads of Agreement on Public Hospital Funding.</w:t>
      </w:r>
    </w:p>
    <w:p w14:paraId="3B93BFB2" w14:textId="77777777" w:rsidR="00410201" w:rsidRPr="00410201" w:rsidRDefault="00410201" w:rsidP="00410201">
      <w:pPr>
        <w:pStyle w:val="Body"/>
      </w:pPr>
      <w:r w:rsidRPr="00410201">
        <w:t>In 2017, all Australian governments signed an Addendum to the National Health Reform Agreement (NHRA). Through this Addendum, parties committed to develop and implement reforms to improve health outcomes of Australians through funding and pricing approaches to safety and quality. These reforms are designed to improve patient outcomes in the public health system and decrease avoidable demand for public hospital services.</w:t>
      </w:r>
    </w:p>
    <w:p w14:paraId="2E2DD486" w14:textId="77777777" w:rsidR="00410201" w:rsidRPr="00410201" w:rsidRDefault="00410201" w:rsidP="00410201">
      <w:pPr>
        <w:pStyle w:val="Body"/>
      </w:pPr>
      <w:r w:rsidRPr="00410201">
        <w:t xml:space="preserve">These pricing and funding approaches intend to complement existing strategies to improve safety and quality in public health care. </w:t>
      </w:r>
    </w:p>
    <w:p w14:paraId="2F3EEFBF" w14:textId="77777777" w:rsidR="00410201" w:rsidRPr="00410201" w:rsidRDefault="00410201" w:rsidP="00410201">
      <w:pPr>
        <w:pStyle w:val="Body"/>
      </w:pPr>
      <w:r w:rsidRPr="00410201">
        <w:t xml:space="preserve">The Independent Hospital Pricing Authority (IHPA) works together with the Australian Commission on Safety and Quality in Health Care to incorporate safety and quality measures into the determination of the national efficient price. </w:t>
      </w:r>
    </w:p>
    <w:p w14:paraId="03F646D8" w14:textId="77777777" w:rsidR="00410201" w:rsidRPr="00410201" w:rsidRDefault="00C76B32" w:rsidP="00410201">
      <w:pPr>
        <w:pStyle w:val="Body"/>
      </w:pPr>
      <w:r>
        <w:br w:type="column"/>
      </w:r>
      <w:r w:rsidR="00410201" w:rsidRPr="00410201">
        <w:t>Under the 2017–20 Addendum to the NHRA, IHPA is required to advise on options for a comprehensive and risk‑adjusted model to determine how funding and pricing is used to improve patient outcomes across three key areas: sentinel events, hospital acquired complications and avoidable hospital readmissions.</w:t>
      </w:r>
    </w:p>
    <w:p w14:paraId="1A08795A" w14:textId="77777777" w:rsidR="00410201" w:rsidRPr="00410201" w:rsidRDefault="00410201" w:rsidP="00410201">
      <w:pPr>
        <w:pStyle w:val="Body"/>
      </w:pPr>
      <w:r w:rsidRPr="00410201">
        <w:t>Under the 2020–25 Addendum to the NHRA, IHPA is required to continue reforms to integrate safety and quality into the pricing and funding approaches for public hospital services to further improve the health outcomes of patients and decrease avoidable demand for public hospital services.</w:t>
      </w:r>
    </w:p>
    <w:p w14:paraId="3CEB1131" w14:textId="54504581" w:rsidR="00C76B32" w:rsidRDefault="00C76B32" w:rsidP="00410201">
      <w:pPr>
        <w:pStyle w:val="Body"/>
      </w:pPr>
    </w:p>
    <w:p w14:paraId="2DFEE004" w14:textId="77777777" w:rsidR="002839C4" w:rsidRDefault="002839C4" w:rsidP="0053761D">
      <w:pPr>
        <w:sectPr w:rsidR="002839C4" w:rsidSect="00010118">
          <w:footerReference w:type="default" r:id="rId91"/>
          <w:pgSz w:w="9979" w:h="14175"/>
          <w:pgMar w:top="1418" w:right="1134" w:bottom="1134" w:left="1134" w:header="709" w:footer="709" w:gutter="0"/>
          <w:cols w:num="2" w:space="708"/>
          <w:docGrid w:linePitch="360"/>
        </w:sectPr>
      </w:pPr>
    </w:p>
    <w:p w14:paraId="405E880A" w14:textId="5BB7B134" w:rsidR="002839C4" w:rsidRDefault="00C76B32" w:rsidP="00C76B32">
      <w:pPr>
        <w:pStyle w:val="Body"/>
      </w:pPr>
      <w:r w:rsidRPr="00C76B32">
        <w:lastRenderedPageBreak/>
        <w:t>The implementation of pricing and funding for safety and quality has been rolled out in stages as follows.</w:t>
      </w:r>
    </w:p>
    <w:tbl>
      <w:tblPr>
        <w:tblStyle w:val="TableGrid"/>
        <w:tblW w:w="0" w:type="auto"/>
        <w:tblBorders>
          <w:insideH w:val="single" w:sz="4" w:space="0" w:color="D9D9D9" w:themeColor="background2" w:themeShade="D9"/>
        </w:tblBorders>
        <w:tblLook w:val="04A0" w:firstRow="1" w:lastRow="0" w:firstColumn="1" w:lastColumn="0" w:noHBand="0" w:noVBand="1"/>
      </w:tblPr>
      <w:tblGrid>
        <w:gridCol w:w="1743"/>
        <w:gridCol w:w="5968"/>
      </w:tblGrid>
      <w:tr w:rsidR="00C76B32" w14:paraId="4E98AFB9" w14:textId="77777777" w:rsidTr="00142FA5">
        <w:trPr>
          <w:cnfStyle w:val="100000000000" w:firstRow="1" w:lastRow="0" w:firstColumn="0" w:lastColumn="0" w:oddVBand="0" w:evenVBand="0" w:oddHBand="0" w:evenHBand="0" w:firstRowFirstColumn="0" w:firstRowLastColumn="0" w:lastRowFirstColumn="0" w:lastRowLastColumn="0"/>
        </w:trPr>
        <w:tc>
          <w:tcPr>
            <w:tcW w:w="1743" w:type="dxa"/>
            <w:shd w:val="clear" w:color="auto" w:fill="auto"/>
          </w:tcPr>
          <w:p w14:paraId="570851F7" w14:textId="76F7F355" w:rsidR="00C76B32" w:rsidRDefault="00641ED3" w:rsidP="00346C54">
            <w:pPr>
              <w:pStyle w:val="Body"/>
              <w:spacing w:before="120" w:after="120"/>
            </w:pPr>
            <w:r>
              <w:rPr>
                <w:noProof/>
              </w:rPr>
              <w:drawing>
                <wp:inline distT="0" distB="0" distL="0" distR="0" wp14:anchorId="213EF76C" wp14:editId="0471FBE3">
                  <wp:extent cx="969795" cy="1077550"/>
                  <wp:effectExtent l="0" t="0" r="0" b="2540"/>
                  <wp:docPr id="70" name="Picture 70" descr="Sentine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ntinel events"/>
                          <pic:cNvPicPr/>
                        </pic:nvPicPr>
                        <pic:blipFill>
                          <a:blip r:embed="rId92">
                            <a:extLst>
                              <a:ext uri="{96DAC541-7B7A-43D3-8B79-37D633B846F1}">
                                <asvg:svgBlip xmlns:asvg="http://schemas.microsoft.com/office/drawing/2016/SVG/main" r:embed="rId93"/>
                              </a:ext>
                            </a:extLst>
                          </a:blip>
                          <a:stretch>
                            <a:fillRect/>
                          </a:stretch>
                        </pic:blipFill>
                        <pic:spPr>
                          <a:xfrm>
                            <a:off x="0" y="0"/>
                            <a:ext cx="969795" cy="1077550"/>
                          </a:xfrm>
                          <a:prstGeom prst="rect">
                            <a:avLst/>
                          </a:prstGeom>
                        </pic:spPr>
                      </pic:pic>
                    </a:graphicData>
                  </a:graphic>
                </wp:inline>
              </w:drawing>
            </w:r>
          </w:p>
        </w:tc>
        <w:tc>
          <w:tcPr>
            <w:tcW w:w="5968" w:type="dxa"/>
            <w:shd w:val="clear" w:color="auto" w:fill="auto"/>
          </w:tcPr>
          <w:p w14:paraId="028112DF" w14:textId="77777777" w:rsidR="006D025D" w:rsidRPr="00877086" w:rsidRDefault="006D025D" w:rsidP="00D77A2E">
            <w:pPr>
              <w:pStyle w:val="Bullets"/>
              <w:spacing w:before="120" w:after="120"/>
              <w:ind w:left="274" w:hanging="199"/>
            </w:pPr>
            <w:r w:rsidRPr="00877086">
              <w:t>Sentinel events are a subset of adverse patient safety events that are wholly preventable and result in serious harm to, or death of, a patient.</w:t>
            </w:r>
          </w:p>
          <w:p w14:paraId="753D5FFF" w14:textId="72A357C1" w:rsidR="00C76B32" w:rsidRPr="00346C54" w:rsidRDefault="006D025D" w:rsidP="00D77A2E">
            <w:pPr>
              <w:pStyle w:val="Bullets"/>
              <w:spacing w:before="120" w:after="120"/>
              <w:ind w:left="274" w:hanging="199"/>
              <w:rPr>
                <w:b/>
                <w:bCs/>
              </w:rPr>
            </w:pPr>
            <w:r w:rsidRPr="00877086">
              <w:t>Since 1 July 2017, no Commonwealth funding has been provided for any public hospital episode that includes a sentinel event. This approach applies to</w:t>
            </w:r>
            <w:r w:rsidR="00641ED3">
              <w:t> </w:t>
            </w:r>
            <w:r w:rsidRPr="00877086">
              <w:t>both activity based and block-funded hospitals.</w:t>
            </w:r>
          </w:p>
        </w:tc>
      </w:tr>
      <w:tr w:rsidR="00C76B32" w14:paraId="334F896D" w14:textId="77777777" w:rsidTr="00142FA5">
        <w:trPr>
          <w:cnfStyle w:val="100000000000" w:firstRow="1" w:lastRow="0" w:firstColumn="0" w:lastColumn="0" w:oddVBand="0" w:evenVBand="0" w:oddHBand="0" w:evenHBand="0" w:firstRowFirstColumn="0" w:firstRowLastColumn="0" w:lastRowFirstColumn="0" w:lastRowLastColumn="0"/>
        </w:trPr>
        <w:tc>
          <w:tcPr>
            <w:tcW w:w="1743" w:type="dxa"/>
            <w:shd w:val="clear" w:color="auto" w:fill="auto"/>
          </w:tcPr>
          <w:p w14:paraId="529A303C" w14:textId="71FE1DB0" w:rsidR="00C76B32" w:rsidRDefault="00346C54" w:rsidP="00346C54">
            <w:pPr>
              <w:pStyle w:val="Body"/>
              <w:spacing w:before="120" w:after="120"/>
            </w:pPr>
            <w:r>
              <w:rPr>
                <w:noProof/>
              </w:rPr>
              <w:drawing>
                <wp:inline distT="0" distB="0" distL="0" distR="0" wp14:anchorId="3CC5EC23" wp14:editId="717CCB65">
                  <wp:extent cx="969796" cy="1077551"/>
                  <wp:effectExtent l="0" t="0" r="0" b="2540"/>
                  <wp:docPr id="71" name="Picture 71" descr="Hospital acquired com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Hospital acquired complications"/>
                          <pic:cNvPicPr/>
                        </pic:nvPicPr>
                        <pic:blipFill>
                          <a:blip r:embed="rId94">
                            <a:extLst>
                              <a:ext uri="{96DAC541-7B7A-43D3-8B79-37D633B846F1}">
                                <asvg:svgBlip xmlns:asvg="http://schemas.microsoft.com/office/drawing/2016/SVG/main" r:embed="rId95"/>
                              </a:ext>
                            </a:extLst>
                          </a:blip>
                          <a:stretch>
                            <a:fillRect/>
                          </a:stretch>
                        </pic:blipFill>
                        <pic:spPr>
                          <a:xfrm>
                            <a:off x="0" y="0"/>
                            <a:ext cx="969796" cy="1077551"/>
                          </a:xfrm>
                          <a:prstGeom prst="rect">
                            <a:avLst/>
                          </a:prstGeom>
                        </pic:spPr>
                      </pic:pic>
                    </a:graphicData>
                  </a:graphic>
                </wp:inline>
              </w:drawing>
            </w:r>
          </w:p>
        </w:tc>
        <w:tc>
          <w:tcPr>
            <w:tcW w:w="5968" w:type="dxa"/>
            <w:shd w:val="clear" w:color="auto" w:fill="auto"/>
          </w:tcPr>
          <w:p w14:paraId="21B4F8F6" w14:textId="316387CD" w:rsidR="006D025D" w:rsidRPr="00877086" w:rsidRDefault="006D025D" w:rsidP="00D77A2E">
            <w:pPr>
              <w:pStyle w:val="Bullets"/>
              <w:spacing w:before="120" w:after="120"/>
              <w:ind w:left="274" w:hanging="199"/>
            </w:pPr>
            <w:r w:rsidRPr="00877086">
              <w:t>A hospital acquired complication refers to a complication for which clinical risk mitigation strategies may reduce (but not necessarily eliminate) the risk of that complication occurring. IHPA has worked with the Australian Commission on Safety and Quality in Health Care and other stakeholders to</w:t>
            </w:r>
            <w:r w:rsidR="00641ED3">
              <w:t> </w:t>
            </w:r>
            <w:r w:rsidRPr="00877086">
              <w:t>develop an agreed list of hospital acquired complications.</w:t>
            </w:r>
          </w:p>
          <w:p w14:paraId="00395A72" w14:textId="6C3AD9CD" w:rsidR="00C76B32" w:rsidRDefault="006D025D" w:rsidP="00D77A2E">
            <w:pPr>
              <w:pStyle w:val="Bullets"/>
              <w:spacing w:before="120" w:after="120"/>
              <w:ind w:left="274" w:hanging="199"/>
            </w:pPr>
            <w:r w:rsidRPr="00877086">
              <w:t>From 1 July 2018, funding has been reduced for any episode of admitted</w:t>
            </w:r>
            <w:r w:rsidR="00641ED3">
              <w:t> </w:t>
            </w:r>
            <w:r w:rsidRPr="00877086">
              <w:t>acute care where hospital acquired complications such as falls, infections or pressure injuries occur during a hospital stay.</w:t>
            </w:r>
          </w:p>
        </w:tc>
      </w:tr>
      <w:tr w:rsidR="00C76B32" w14:paraId="6AA5708F" w14:textId="77777777" w:rsidTr="00142FA5">
        <w:trPr>
          <w:cnfStyle w:val="100000000000" w:firstRow="1" w:lastRow="0" w:firstColumn="0" w:lastColumn="0" w:oddVBand="0" w:evenVBand="0" w:oddHBand="0" w:evenHBand="0" w:firstRowFirstColumn="0" w:firstRowLastColumn="0" w:lastRowFirstColumn="0" w:lastRowLastColumn="0"/>
        </w:trPr>
        <w:tc>
          <w:tcPr>
            <w:tcW w:w="1743" w:type="dxa"/>
            <w:shd w:val="clear" w:color="auto" w:fill="auto"/>
          </w:tcPr>
          <w:p w14:paraId="0D57F56A" w14:textId="7D4E838B" w:rsidR="00C76B32" w:rsidRDefault="000938A6" w:rsidP="00346C54">
            <w:pPr>
              <w:pStyle w:val="Body"/>
              <w:spacing w:before="120" w:after="120"/>
            </w:pPr>
            <w:r>
              <w:rPr>
                <w:noProof/>
              </w:rPr>
              <w:drawing>
                <wp:inline distT="0" distB="0" distL="0" distR="0" wp14:anchorId="481961A8" wp14:editId="6239D2AC">
                  <wp:extent cx="969796" cy="1077551"/>
                  <wp:effectExtent l="0" t="0" r="0" b="2540"/>
                  <wp:docPr id="72" name="Picture 72" descr="Avoidable hospital read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voidable hospital readmissions"/>
                          <pic:cNvPicPr/>
                        </pic:nvPicPr>
                        <pic:blipFill>
                          <a:blip r:embed="rId96">
                            <a:extLst>
                              <a:ext uri="{96DAC541-7B7A-43D3-8B79-37D633B846F1}">
                                <asvg:svgBlip xmlns:asvg="http://schemas.microsoft.com/office/drawing/2016/SVG/main" r:embed="rId97"/>
                              </a:ext>
                            </a:extLst>
                          </a:blip>
                          <a:stretch>
                            <a:fillRect/>
                          </a:stretch>
                        </pic:blipFill>
                        <pic:spPr>
                          <a:xfrm>
                            <a:off x="0" y="0"/>
                            <a:ext cx="969796" cy="1077551"/>
                          </a:xfrm>
                          <a:prstGeom prst="rect">
                            <a:avLst/>
                          </a:prstGeom>
                        </pic:spPr>
                      </pic:pic>
                    </a:graphicData>
                  </a:graphic>
                </wp:inline>
              </w:drawing>
            </w:r>
          </w:p>
        </w:tc>
        <w:tc>
          <w:tcPr>
            <w:tcW w:w="5968" w:type="dxa"/>
            <w:shd w:val="clear" w:color="auto" w:fill="auto"/>
          </w:tcPr>
          <w:p w14:paraId="07BE6606" w14:textId="77777777" w:rsidR="006D025D" w:rsidRPr="00877086" w:rsidRDefault="006D025D" w:rsidP="00D77A2E">
            <w:pPr>
              <w:pStyle w:val="Bullets"/>
              <w:spacing w:before="120" w:after="120"/>
              <w:ind w:left="274" w:hanging="199"/>
            </w:pPr>
            <w:r w:rsidRPr="00877086">
              <w:t>An avoidable hospital readmission occurs when a patient has been discharged from hospital (index admission) and has a subsequent unplanned admission that is related to the index admission and was potentially preventable.</w:t>
            </w:r>
          </w:p>
          <w:p w14:paraId="026EAB12" w14:textId="2E5CAF60" w:rsidR="00C76B32" w:rsidRDefault="006D025D" w:rsidP="00D77A2E">
            <w:pPr>
              <w:pStyle w:val="Bullets"/>
              <w:spacing w:before="120" w:after="120"/>
              <w:ind w:left="274" w:hanging="199"/>
            </w:pPr>
            <w:r w:rsidRPr="00877086">
              <w:t>From 1 July 2021, a risk-adjusted reduction has been applied to the funding for the index admission, based on the total price of the associated readmission. This approach was implemented following a 24-month shadow period to trial three funding options to assist in reducing avoidable hospital readmissions.</w:t>
            </w:r>
          </w:p>
        </w:tc>
      </w:tr>
      <w:tr w:rsidR="00C76B32" w14:paraId="0CB0E5A0" w14:textId="77777777" w:rsidTr="00142FA5">
        <w:trPr>
          <w:cnfStyle w:val="100000000000" w:firstRow="1" w:lastRow="0" w:firstColumn="0" w:lastColumn="0" w:oddVBand="0" w:evenVBand="0" w:oddHBand="0" w:evenHBand="0" w:firstRowFirstColumn="0" w:firstRowLastColumn="0" w:lastRowFirstColumn="0" w:lastRowLastColumn="0"/>
        </w:trPr>
        <w:tc>
          <w:tcPr>
            <w:tcW w:w="1743" w:type="dxa"/>
            <w:shd w:val="clear" w:color="auto" w:fill="auto"/>
          </w:tcPr>
          <w:p w14:paraId="67DBFF6E" w14:textId="5C3E7E6F" w:rsidR="00C76B32" w:rsidRDefault="000938A6" w:rsidP="00346C54">
            <w:pPr>
              <w:pStyle w:val="Body"/>
              <w:spacing w:before="120" w:after="120"/>
            </w:pPr>
            <w:r>
              <w:rPr>
                <w:noProof/>
              </w:rPr>
              <w:drawing>
                <wp:inline distT="0" distB="0" distL="0" distR="0" wp14:anchorId="648561C8" wp14:editId="08AE19E0">
                  <wp:extent cx="969796" cy="1077551"/>
                  <wp:effectExtent l="0" t="0" r="0" b="2540"/>
                  <wp:docPr id="73" name="Picture 73" descr="Evaluation of safety and quality re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Evaluation of safety and quality reforms"/>
                          <pic:cNvPicPr/>
                        </pic:nvPicPr>
                        <pic:blipFill>
                          <a:blip r:embed="rId98">
                            <a:extLst>
                              <a:ext uri="{96DAC541-7B7A-43D3-8B79-37D633B846F1}">
                                <asvg:svgBlip xmlns:asvg="http://schemas.microsoft.com/office/drawing/2016/SVG/main" r:embed="rId99"/>
                              </a:ext>
                            </a:extLst>
                          </a:blip>
                          <a:stretch>
                            <a:fillRect/>
                          </a:stretch>
                        </pic:blipFill>
                        <pic:spPr>
                          <a:xfrm>
                            <a:off x="0" y="0"/>
                            <a:ext cx="969796" cy="1077551"/>
                          </a:xfrm>
                          <a:prstGeom prst="rect">
                            <a:avLst/>
                          </a:prstGeom>
                        </pic:spPr>
                      </pic:pic>
                    </a:graphicData>
                  </a:graphic>
                </wp:inline>
              </w:drawing>
            </w:r>
          </w:p>
        </w:tc>
        <w:tc>
          <w:tcPr>
            <w:tcW w:w="5968" w:type="dxa"/>
            <w:shd w:val="clear" w:color="auto" w:fill="auto"/>
          </w:tcPr>
          <w:p w14:paraId="5453D44E" w14:textId="13F451A8" w:rsidR="006D025D" w:rsidRPr="00877086" w:rsidRDefault="006D025D" w:rsidP="00D77A2E">
            <w:pPr>
              <w:pStyle w:val="Bullets"/>
              <w:spacing w:before="120" w:after="120"/>
              <w:ind w:left="274" w:hanging="199"/>
            </w:pPr>
            <w:r w:rsidRPr="00877086">
              <w:t>The 2020–25 Addendum to the NHRA stipulates that IHPA will work with</w:t>
            </w:r>
            <w:r>
              <w:t> </w:t>
            </w:r>
            <w:r w:rsidR="00C645AE">
              <w:t xml:space="preserve">the </w:t>
            </w:r>
            <w:r w:rsidRPr="009B713C">
              <w:t xml:space="preserve">Administrator of the National Health Funding Pool and the Australian Commission on Safety and Quality in Health Care (the national bodies) </w:t>
            </w:r>
            <w:r w:rsidRPr="00877086">
              <w:t>to</w:t>
            </w:r>
            <w:r w:rsidR="00641ED3">
              <w:t> </w:t>
            </w:r>
            <w:r w:rsidRPr="00877086">
              <w:t>develop an evaluation framework to evaluate the implemented reforms for</w:t>
            </w:r>
            <w:r w:rsidR="00641ED3">
              <w:t> </w:t>
            </w:r>
            <w:r w:rsidRPr="00877086">
              <w:t>sentinel events, hospital acquired complications and avoidable hospital</w:t>
            </w:r>
            <w:r w:rsidR="00641ED3">
              <w:t> </w:t>
            </w:r>
            <w:r w:rsidRPr="00877086">
              <w:t>readmissions.</w:t>
            </w:r>
          </w:p>
          <w:p w14:paraId="7DE31BDD" w14:textId="15A83229" w:rsidR="00C76B32" w:rsidRDefault="006D025D" w:rsidP="00D77A2E">
            <w:pPr>
              <w:pStyle w:val="Bullets"/>
              <w:spacing w:before="120" w:after="120"/>
              <w:ind w:left="274" w:hanging="199"/>
            </w:pPr>
            <w:r w:rsidRPr="00877086">
              <w:t>IHPA led the development of a proposed approach to evaluate the implemented safety and quality reforms, which was provided to the Health</w:t>
            </w:r>
            <w:r>
              <w:t> </w:t>
            </w:r>
            <w:r w:rsidRPr="00877086">
              <w:t>Ministers’ Meeting for consideration in October 2021 as part of</w:t>
            </w:r>
            <w:r>
              <w:t> </w:t>
            </w:r>
            <w:r w:rsidRPr="00877086">
              <w:t>the</w:t>
            </w:r>
            <w:r>
              <w:t> </w:t>
            </w:r>
            <w:r w:rsidRPr="00877086">
              <w:t>joint advice from the national bodies.</w:t>
            </w:r>
          </w:p>
        </w:tc>
      </w:tr>
      <w:tr w:rsidR="00C76B32" w14:paraId="6B7275AE" w14:textId="77777777" w:rsidTr="00142FA5">
        <w:trPr>
          <w:cnfStyle w:val="100000000000" w:firstRow="1" w:lastRow="0" w:firstColumn="0" w:lastColumn="0" w:oddVBand="0" w:evenVBand="0" w:oddHBand="0" w:evenHBand="0" w:firstRowFirstColumn="0" w:firstRowLastColumn="0" w:lastRowFirstColumn="0" w:lastRowLastColumn="0"/>
        </w:trPr>
        <w:tc>
          <w:tcPr>
            <w:tcW w:w="1743" w:type="dxa"/>
            <w:shd w:val="clear" w:color="auto" w:fill="auto"/>
          </w:tcPr>
          <w:p w14:paraId="7965D3CF" w14:textId="50F1991C" w:rsidR="00C76B32" w:rsidRDefault="000938A6" w:rsidP="00346C54">
            <w:pPr>
              <w:pStyle w:val="Body"/>
              <w:spacing w:before="120" w:after="120"/>
            </w:pPr>
            <w:r>
              <w:rPr>
                <w:noProof/>
              </w:rPr>
              <w:drawing>
                <wp:inline distT="0" distB="0" distL="0" distR="0" wp14:anchorId="5F8B9CAA" wp14:editId="161A9A06">
                  <wp:extent cx="969796" cy="1077551"/>
                  <wp:effectExtent l="0" t="0" r="0" b="2540"/>
                  <wp:docPr id="74" name="Picture 74" descr="Avoidable and preventable hospital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voidable and preventable hospitalisations"/>
                          <pic:cNvPicPr/>
                        </pic:nvPicPr>
                        <pic:blipFill>
                          <a:blip r:embed="rId100">
                            <a:extLst>
                              <a:ext uri="{96DAC541-7B7A-43D3-8B79-37D633B846F1}">
                                <asvg:svgBlip xmlns:asvg="http://schemas.microsoft.com/office/drawing/2016/SVG/main" r:embed="rId101"/>
                              </a:ext>
                            </a:extLst>
                          </a:blip>
                          <a:stretch>
                            <a:fillRect/>
                          </a:stretch>
                        </pic:blipFill>
                        <pic:spPr>
                          <a:xfrm>
                            <a:off x="0" y="0"/>
                            <a:ext cx="969796" cy="1077551"/>
                          </a:xfrm>
                          <a:prstGeom prst="rect">
                            <a:avLst/>
                          </a:prstGeom>
                        </pic:spPr>
                      </pic:pic>
                    </a:graphicData>
                  </a:graphic>
                </wp:inline>
              </w:drawing>
            </w:r>
          </w:p>
        </w:tc>
        <w:tc>
          <w:tcPr>
            <w:tcW w:w="5968" w:type="dxa"/>
            <w:shd w:val="clear" w:color="auto" w:fill="auto"/>
          </w:tcPr>
          <w:p w14:paraId="58A91697" w14:textId="7098FE3F" w:rsidR="006D025D" w:rsidRPr="00877086" w:rsidRDefault="006D025D" w:rsidP="00D77A2E">
            <w:pPr>
              <w:pStyle w:val="Bullets"/>
              <w:spacing w:before="120" w:after="120"/>
              <w:ind w:left="274" w:hanging="199"/>
            </w:pPr>
            <w:r w:rsidRPr="00877086">
              <w:t xml:space="preserve">Under the </w:t>
            </w:r>
            <w:r w:rsidR="00085121" w:rsidRPr="00877086">
              <w:t>2020–25</w:t>
            </w:r>
            <w:r w:rsidR="00085121">
              <w:t xml:space="preserve"> </w:t>
            </w:r>
            <w:r w:rsidRPr="00877086">
              <w:t xml:space="preserve">Addendum to the NHRA, IHPA is required to provide </w:t>
            </w:r>
            <w:r>
              <w:t xml:space="preserve">joint </w:t>
            </w:r>
            <w:r w:rsidRPr="00877086">
              <w:t xml:space="preserve">advice </w:t>
            </w:r>
            <w:r>
              <w:t xml:space="preserve">with the national bodies </w:t>
            </w:r>
            <w:r w:rsidRPr="00877086">
              <w:t>on options for the further development of</w:t>
            </w:r>
            <w:r w:rsidR="00641ED3">
              <w:t> </w:t>
            </w:r>
            <w:r w:rsidRPr="00877086">
              <w:t>safety and quality-related reforms, including examining ways that avoidable and preventable hospitalisations can be reduced.</w:t>
            </w:r>
          </w:p>
          <w:p w14:paraId="527B9E3D" w14:textId="385EAF4C" w:rsidR="00C76B32" w:rsidRDefault="006D025D" w:rsidP="00D77A2E">
            <w:pPr>
              <w:pStyle w:val="Bullets"/>
              <w:spacing w:before="120" w:after="120"/>
              <w:ind w:left="274" w:hanging="199"/>
            </w:pPr>
            <w:r w:rsidRPr="00877086">
              <w:t>IHPA contributed to the development of advice on options for further safety and quality-related reforms and will consider feedback and directives from the</w:t>
            </w:r>
            <w:r w:rsidR="00641ED3">
              <w:t> </w:t>
            </w:r>
            <w:r w:rsidRPr="00877086">
              <w:t>Health Ministers’ Meeting prior to progressing this program of work.</w:t>
            </w:r>
          </w:p>
        </w:tc>
      </w:tr>
    </w:tbl>
    <w:p w14:paraId="6C1D9156" w14:textId="77777777" w:rsidR="00E638C0" w:rsidRDefault="00E638C0" w:rsidP="0053761D">
      <w:pPr>
        <w:sectPr w:rsidR="00E638C0" w:rsidSect="00C76B32">
          <w:footerReference w:type="default" r:id="rId102"/>
          <w:pgSz w:w="9979" w:h="14175"/>
          <w:pgMar w:top="1418" w:right="1134" w:bottom="1134" w:left="1134" w:header="709" w:footer="709" w:gutter="0"/>
          <w:cols w:space="708"/>
          <w:docGrid w:linePitch="360"/>
        </w:sectPr>
      </w:pPr>
    </w:p>
    <w:p w14:paraId="7644732C" w14:textId="643DB993" w:rsidR="002839C4" w:rsidRDefault="00967A66" w:rsidP="00C76B32">
      <w:pPr>
        <w:pStyle w:val="Body"/>
      </w:pPr>
      <w:r>
        <w:rPr>
          <w:noProof/>
          <w:lang w:eastAsia="en-AU"/>
        </w:rPr>
        <w:lastRenderedPageBreak/>
        <w:drawing>
          <wp:anchor distT="0" distB="0" distL="114300" distR="114300" simplePos="0" relativeHeight="252061696" behindDoc="1" locked="0" layoutInCell="1" allowOverlap="1" wp14:anchorId="2F052CA5" wp14:editId="49D89E0D">
            <wp:simplePos x="0" y="0"/>
            <wp:positionH relativeFrom="column">
              <wp:posOffset>-720090</wp:posOffset>
            </wp:positionH>
            <wp:positionV relativeFrom="paragraph">
              <wp:posOffset>-900430</wp:posOffset>
            </wp:positionV>
            <wp:extent cx="6434367" cy="9040536"/>
            <wp:effectExtent l="0" t="0" r="5080" b="1905"/>
            <wp:wrapNone/>
            <wp:docPr id="83"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a:extLst>
                        <a:ext uri="{C183D7F6-B498-43B3-948B-1728B52AA6E4}">
                          <adec:decorative xmlns:adec="http://schemas.microsoft.com/office/drawing/2017/decorative" val="1"/>
                        </a:ext>
                      </a:extLst>
                    </pic:cNvPr>
                    <pic:cNvPicPr/>
                  </pic:nvPicPr>
                  <pic:blipFill>
                    <a:blip r:embed="rId103"/>
                    <a:stretch>
                      <a:fillRect/>
                    </a:stretch>
                  </pic:blipFill>
                  <pic:spPr>
                    <a:xfrm>
                      <a:off x="0" y="0"/>
                      <a:ext cx="6434367" cy="9040536"/>
                    </a:xfrm>
                    <a:prstGeom prst="rect">
                      <a:avLst/>
                    </a:prstGeom>
                  </pic:spPr>
                </pic:pic>
              </a:graphicData>
            </a:graphic>
            <wp14:sizeRelH relativeFrom="page">
              <wp14:pctWidth>0</wp14:pctWidth>
            </wp14:sizeRelH>
            <wp14:sizeRelV relativeFrom="page">
              <wp14:pctHeight>0</wp14:pctHeight>
            </wp14:sizeRelV>
          </wp:anchor>
        </w:drawing>
      </w:r>
    </w:p>
    <w:p w14:paraId="4905B7E5" w14:textId="77777777" w:rsidR="0028466B" w:rsidRDefault="0028466B" w:rsidP="0053761D">
      <w:pPr>
        <w:sectPr w:rsidR="0028466B" w:rsidSect="009A3C12">
          <w:footerReference w:type="default" r:id="rId104"/>
          <w:pgSz w:w="9979" w:h="14175"/>
          <w:pgMar w:top="1418" w:right="1134" w:bottom="1134" w:left="1134" w:header="709" w:footer="709" w:gutter="0"/>
          <w:cols w:space="708"/>
          <w:docGrid w:linePitch="360"/>
        </w:sectPr>
      </w:pPr>
    </w:p>
    <w:p w14:paraId="3CA264E0" w14:textId="6EC59EE3" w:rsidR="00050FAD" w:rsidRDefault="00050FAD" w:rsidP="00050FAD">
      <w:pPr>
        <w:pStyle w:val="H1"/>
        <w:spacing w:before="120"/>
      </w:pPr>
      <w:bookmarkStart w:id="43" w:name="_Toc114824428"/>
      <w:r>
        <w:rPr>
          <w:noProof/>
          <w:lang w:eastAsia="en-AU"/>
        </w:rPr>
        <w:lastRenderedPageBreak/>
        <w:drawing>
          <wp:anchor distT="0" distB="0" distL="114300" distR="114300" simplePos="0" relativeHeight="252008448" behindDoc="1" locked="0" layoutInCell="1" allowOverlap="1" wp14:anchorId="11F62978" wp14:editId="1634351D">
            <wp:simplePos x="0" y="0"/>
            <wp:positionH relativeFrom="column">
              <wp:posOffset>-720090</wp:posOffset>
            </wp:positionH>
            <wp:positionV relativeFrom="paragraph">
              <wp:posOffset>-895713</wp:posOffset>
            </wp:positionV>
            <wp:extent cx="6404537" cy="8998622"/>
            <wp:effectExtent l="0" t="0" r="0" b="0"/>
            <wp:wrapNone/>
            <wp:docPr id="161" name="Pictur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a:extLst>
                        <a:ext uri="{C183D7F6-B498-43B3-948B-1728B52AA6E4}">
                          <adec:decorative xmlns:adec="http://schemas.microsoft.com/office/drawing/2017/decorative" val="1"/>
                        </a:ext>
                      </a:extLst>
                    </pic:cNvPr>
                    <pic:cNvPicPr>
                      <a:picLocks noChangeAspect="1" noChangeArrowheads="1"/>
                    </pic:cNvPicPr>
                  </pic:nvPicPr>
                  <pic:blipFill>
                    <a:blip r:embed="rId105"/>
                    <a:stretch>
                      <a:fillRect/>
                    </a:stretch>
                  </pic:blipFill>
                  <pic:spPr bwMode="auto">
                    <a:xfrm>
                      <a:off x="0" y="0"/>
                      <a:ext cx="6404537" cy="89986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038A">
        <w:rPr>
          <w:noProof/>
          <w:lang w:eastAsia="en-AU"/>
        </w:rPr>
        <w:t xml:space="preserve">4. </w:t>
      </w:r>
      <w:r w:rsidR="00E30524">
        <w:rPr>
          <w:noProof/>
          <w:lang w:eastAsia="en-AU"/>
        </w:rPr>
        <w:t>Performance statements</w:t>
      </w:r>
      <w:bookmarkEnd w:id="43"/>
    </w:p>
    <w:p w14:paraId="3D04B360" w14:textId="110DA77C" w:rsidR="00050FAD" w:rsidRPr="000E7CB6" w:rsidRDefault="00050FAD" w:rsidP="00050FAD">
      <w:pPr>
        <w:spacing w:before="1440" w:after="0"/>
        <w:jc w:val="center"/>
        <w:rPr>
          <w:color w:val="FFFFFF" w:themeColor="background2"/>
          <w:sz w:val="200"/>
          <w:szCs w:val="200"/>
        </w:rPr>
      </w:pPr>
      <w:r w:rsidRPr="000E7CB6">
        <w:rPr>
          <w:noProof/>
          <w:color w:val="FFFFFF" w:themeColor="background2"/>
          <w:sz w:val="200"/>
          <w:szCs w:val="200"/>
          <w:lang w:eastAsia="en-AU"/>
        </w:rPr>
        <w:t>0</w:t>
      </w:r>
      <w:r w:rsidR="00A8038A">
        <w:rPr>
          <w:noProof/>
          <w:color w:val="FFFFFF" w:themeColor="background2"/>
          <w:sz w:val="200"/>
          <w:szCs w:val="200"/>
          <w:lang w:eastAsia="en-AU"/>
        </w:rPr>
        <w:t>4</w:t>
      </w:r>
    </w:p>
    <w:p w14:paraId="623860AB" w14:textId="53E8243C" w:rsidR="0000226A" w:rsidRDefault="0000226A" w:rsidP="007532FE">
      <w:pPr>
        <w:pStyle w:val="Body"/>
        <w:sectPr w:rsidR="0000226A" w:rsidSect="007532FE">
          <w:headerReference w:type="default" r:id="rId106"/>
          <w:footerReference w:type="default" r:id="rId107"/>
          <w:pgSz w:w="9979" w:h="14175"/>
          <w:pgMar w:top="1418" w:right="1134" w:bottom="1134" w:left="1134" w:header="709" w:footer="709" w:gutter="0"/>
          <w:cols w:space="708"/>
          <w:docGrid w:linePitch="360"/>
        </w:sectPr>
      </w:pPr>
    </w:p>
    <w:p w14:paraId="68D760AD" w14:textId="6EC2FEE4" w:rsidR="00CC33E2" w:rsidRPr="00967A66" w:rsidRDefault="00A8038A" w:rsidP="00441579">
      <w:pPr>
        <w:pStyle w:val="Heading1"/>
        <w:rPr>
          <w:color w:val="5E2F7E" w:themeColor="accent5"/>
        </w:rPr>
      </w:pPr>
      <w:bookmarkStart w:id="44" w:name="_4.1_Introductory_statement"/>
      <w:bookmarkStart w:id="45" w:name="_Toc114824429"/>
      <w:bookmarkEnd w:id="44"/>
      <w:r>
        <w:rPr>
          <w:color w:val="5E2F7E" w:themeColor="accent5"/>
        </w:rPr>
        <w:lastRenderedPageBreak/>
        <w:t xml:space="preserve">4.1 </w:t>
      </w:r>
      <w:r w:rsidR="00BF350C" w:rsidRPr="00967A66">
        <w:rPr>
          <w:color w:val="5E2F7E" w:themeColor="accent5"/>
        </w:rPr>
        <w:t>Introductory statement</w:t>
      </w:r>
      <w:bookmarkEnd w:id="45"/>
    </w:p>
    <w:p w14:paraId="0EEE0461" w14:textId="02EA1294" w:rsidR="00BF350C" w:rsidRPr="00BF350C" w:rsidRDefault="00BF350C" w:rsidP="00BF350C">
      <w:pPr>
        <w:pStyle w:val="Heading2"/>
        <w:sectPr w:rsidR="00BF350C" w:rsidRPr="00BF350C" w:rsidSect="00441579">
          <w:headerReference w:type="default" r:id="rId108"/>
          <w:footerReference w:type="default" r:id="rId109"/>
          <w:pgSz w:w="9979" w:h="14175"/>
          <w:pgMar w:top="1134" w:right="1134" w:bottom="1134" w:left="1134" w:header="709" w:footer="709" w:gutter="0"/>
          <w:cols w:space="708"/>
          <w:docGrid w:linePitch="360"/>
        </w:sectPr>
      </w:pPr>
    </w:p>
    <w:p w14:paraId="29E18903" w14:textId="769E70F8" w:rsidR="00DF5EB8" w:rsidRPr="00A8038A" w:rsidRDefault="00DF5EB8" w:rsidP="00DF5EB8">
      <w:pPr>
        <w:pStyle w:val="Body"/>
        <w:rPr>
          <w:b/>
          <w:bCs/>
          <w:i/>
          <w:iCs/>
        </w:rPr>
      </w:pPr>
      <w:r w:rsidRPr="00A8038A">
        <w:rPr>
          <w:b/>
          <w:bCs/>
        </w:rPr>
        <w:t xml:space="preserve">I, Ms Joanne Fitzgerald, as the accountable authority of the Independent Hospital Pricing Authority, present the 2021–22 annual performance statements of </w:t>
      </w:r>
      <w:r w:rsidR="00B1663E">
        <w:rPr>
          <w:b/>
          <w:bCs/>
        </w:rPr>
        <w:t xml:space="preserve">the </w:t>
      </w:r>
      <w:r w:rsidR="00B1663E" w:rsidRPr="00A8038A">
        <w:rPr>
          <w:b/>
          <w:bCs/>
        </w:rPr>
        <w:t>Independent Hospital Pricing Authority</w:t>
      </w:r>
      <w:r w:rsidRPr="00A8038A">
        <w:rPr>
          <w:b/>
          <w:bCs/>
        </w:rPr>
        <w:t xml:space="preserve">, as required under paragraph 39(1)(a) of the </w:t>
      </w:r>
      <w:r w:rsidRPr="00A8038A">
        <w:rPr>
          <w:b/>
          <w:bCs/>
          <w:i/>
          <w:iCs/>
        </w:rPr>
        <w:t>Public Governance, Performance and Accountability Act</w:t>
      </w:r>
      <w:r>
        <w:rPr>
          <w:b/>
          <w:bCs/>
          <w:i/>
          <w:iCs/>
        </w:rPr>
        <w:t> </w:t>
      </w:r>
      <w:r w:rsidRPr="00A8038A">
        <w:rPr>
          <w:b/>
          <w:bCs/>
          <w:i/>
          <w:iCs/>
        </w:rPr>
        <w:t xml:space="preserve">2013 </w:t>
      </w:r>
      <w:r w:rsidRPr="00B1663E">
        <w:rPr>
          <w:b/>
          <w:bCs/>
        </w:rPr>
        <w:t>(PGPA</w:t>
      </w:r>
      <w:r w:rsidR="00641ED3">
        <w:rPr>
          <w:b/>
          <w:bCs/>
        </w:rPr>
        <w:t> </w:t>
      </w:r>
      <w:r w:rsidRPr="00B1663E">
        <w:rPr>
          <w:b/>
          <w:bCs/>
        </w:rPr>
        <w:t>Act).</w:t>
      </w:r>
    </w:p>
    <w:p w14:paraId="08041B61" w14:textId="22048A58" w:rsidR="00A8038A" w:rsidRDefault="00BF350C" w:rsidP="00BF350C">
      <w:pPr>
        <w:pStyle w:val="Body"/>
      </w:pPr>
      <w:r>
        <w:br w:type="column"/>
      </w:r>
      <w:r w:rsidR="00DF5EB8" w:rsidRPr="00A8038A">
        <w:t>In my opinion, these annual performance statements are based on properly maintained records, accurately reflect the performance of the entity, and</w:t>
      </w:r>
      <w:r w:rsidR="00DF5EB8">
        <w:t> </w:t>
      </w:r>
      <w:r w:rsidR="00DF5EB8" w:rsidRPr="00A8038A">
        <w:t>comply with sub-section 39(2) of the PGPA Act.</w:t>
      </w:r>
    </w:p>
    <w:p w14:paraId="7EAA5172" w14:textId="77777777" w:rsidR="00BF350C" w:rsidRDefault="00BF350C" w:rsidP="00BF350C">
      <w:pPr>
        <w:pStyle w:val="Body"/>
      </w:pPr>
    </w:p>
    <w:p w14:paraId="683E17A9" w14:textId="77777777" w:rsidR="00BF350C" w:rsidRDefault="00BF350C" w:rsidP="00BF350C">
      <w:pPr>
        <w:pStyle w:val="Body"/>
        <w:rPr>
          <w:color w:val="003F2C" w:themeColor="text1"/>
        </w:rPr>
        <w:sectPr w:rsidR="00BF350C" w:rsidSect="00BF350C">
          <w:footerReference w:type="default" r:id="rId110"/>
          <w:type w:val="continuous"/>
          <w:pgSz w:w="9979" w:h="14175"/>
          <w:pgMar w:top="993" w:right="1134" w:bottom="851" w:left="1134" w:header="709" w:footer="709" w:gutter="0"/>
          <w:cols w:num="2" w:space="282"/>
          <w:docGrid w:linePitch="360"/>
        </w:sectPr>
      </w:pPr>
      <w:bookmarkStart w:id="46" w:name="_Toc44350179"/>
      <w:bookmarkStart w:id="47" w:name="_Toc50378072"/>
    </w:p>
    <w:p w14:paraId="10CC23EE" w14:textId="77777777" w:rsidR="004767FB" w:rsidRDefault="003C2E4F" w:rsidP="00E7726B">
      <w:pPr>
        <w:pStyle w:val="Heading1"/>
        <w:rPr>
          <w:color w:val="5E2F7E" w:themeColor="accent5"/>
        </w:rPr>
      </w:pPr>
      <w:bookmarkStart w:id="48" w:name="_Toc114824430"/>
      <w:bookmarkEnd w:id="46"/>
      <w:bookmarkEnd w:id="47"/>
      <w:r>
        <w:rPr>
          <w:color w:val="5E2F7E" w:themeColor="accent5"/>
        </w:rPr>
        <w:lastRenderedPageBreak/>
        <w:t xml:space="preserve">4.2 </w:t>
      </w:r>
      <w:r w:rsidR="00E7726B" w:rsidRPr="003C2E4F">
        <w:rPr>
          <w:color w:val="5E2F7E" w:themeColor="accent5"/>
        </w:rPr>
        <w:t xml:space="preserve">Reporting </w:t>
      </w:r>
      <w:r>
        <w:rPr>
          <w:color w:val="5E2F7E" w:themeColor="accent5"/>
        </w:rPr>
        <w:t>sources</w:t>
      </w:r>
      <w:bookmarkEnd w:id="48"/>
    </w:p>
    <w:p w14:paraId="0C8964D8" w14:textId="0DEE7A07" w:rsidR="004767FB" w:rsidRPr="004767FB" w:rsidRDefault="004767FB" w:rsidP="004767FB">
      <w:pPr>
        <w:pStyle w:val="Heading2"/>
        <w:sectPr w:rsidR="004767FB" w:rsidRPr="004767FB" w:rsidSect="00BF350C">
          <w:footerReference w:type="default" r:id="rId111"/>
          <w:pgSz w:w="9979" w:h="14175"/>
          <w:pgMar w:top="993" w:right="1134" w:bottom="851" w:left="1134" w:header="709" w:footer="709" w:gutter="0"/>
          <w:cols w:space="282"/>
          <w:docGrid w:linePitch="360"/>
        </w:sectPr>
      </w:pPr>
    </w:p>
    <w:p w14:paraId="3854773E" w14:textId="3CA0D085" w:rsidR="00410201" w:rsidRPr="00410201" w:rsidRDefault="00410201" w:rsidP="00410201">
      <w:pPr>
        <w:pStyle w:val="Body"/>
        <w:rPr>
          <w:lang w:val="en-PH"/>
        </w:rPr>
      </w:pPr>
      <w:r w:rsidRPr="00410201">
        <w:rPr>
          <w:lang w:val="en-PH"/>
        </w:rPr>
        <w:t>This year the Independent Hospital Pricing Authority</w:t>
      </w:r>
      <w:r w:rsidR="004767FB">
        <w:rPr>
          <w:lang w:val="en-PH"/>
        </w:rPr>
        <w:t> </w:t>
      </w:r>
      <w:r w:rsidRPr="00410201">
        <w:rPr>
          <w:lang w:val="en-PH"/>
        </w:rPr>
        <w:t>(IHPA) made significant steps in driving improvements of the efficiency of public hospital services and deliverables outlined in its work</w:t>
      </w:r>
      <w:r w:rsidR="004767FB">
        <w:rPr>
          <w:lang w:val="en-PH"/>
        </w:rPr>
        <w:t> </w:t>
      </w:r>
      <w:r w:rsidRPr="00410201">
        <w:rPr>
          <w:lang w:val="en-PH"/>
        </w:rPr>
        <w:t xml:space="preserve">program. </w:t>
      </w:r>
    </w:p>
    <w:p w14:paraId="1B6F449E" w14:textId="543A4DD6" w:rsidR="00410201" w:rsidRPr="00410201" w:rsidRDefault="00410201" w:rsidP="00410201">
      <w:pPr>
        <w:pStyle w:val="Body"/>
        <w:rPr>
          <w:lang w:val="en-PH"/>
        </w:rPr>
      </w:pPr>
      <w:r w:rsidRPr="00410201">
        <w:rPr>
          <w:lang w:val="en-PH"/>
        </w:rPr>
        <w:t>IHPA’s annual Work Program and Corporate Plan provides a detailed account of the performance criteria by which the agency’s objectives are reported against as part of the Portfolio Budget Statements, Program 1.1 Public Hospital Price</w:t>
      </w:r>
      <w:r w:rsidR="004767FB">
        <w:rPr>
          <w:lang w:val="en-PH"/>
        </w:rPr>
        <w:t> </w:t>
      </w:r>
      <w:r w:rsidRPr="00410201">
        <w:rPr>
          <w:lang w:val="en-PH"/>
        </w:rPr>
        <w:t>Determinations.</w:t>
      </w:r>
    </w:p>
    <w:p w14:paraId="16A812A1" w14:textId="77777777" w:rsidR="00410201" w:rsidRPr="00410201" w:rsidRDefault="00410201" w:rsidP="004767FB">
      <w:pPr>
        <w:pStyle w:val="Body"/>
        <w:ind w:right="28"/>
        <w:rPr>
          <w:lang w:val="en-PH"/>
        </w:rPr>
      </w:pPr>
      <w:r w:rsidRPr="00410201">
        <w:rPr>
          <w:lang w:val="en-PH"/>
        </w:rPr>
        <w:t xml:space="preserve">The IHPA Work Program and Corporate Plan 2021–22 has been prepared in accordance with the requirements of section 225 of the </w:t>
      </w:r>
      <w:r w:rsidRPr="00410201">
        <w:rPr>
          <w:i/>
          <w:iCs/>
          <w:lang w:val="en-PH"/>
        </w:rPr>
        <w:t>National Health Reform Act 2011</w:t>
      </w:r>
      <w:r w:rsidRPr="00410201">
        <w:rPr>
          <w:lang w:val="en-PH"/>
        </w:rPr>
        <w:t xml:space="preserve"> (the Act) and section 35(1)(b) of the </w:t>
      </w:r>
      <w:r w:rsidRPr="00410201">
        <w:rPr>
          <w:i/>
          <w:iCs/>
          <w:lang w:val="en-PH"/>
        </w:rPr>
        <w:t>Public Governance, Performance and Accountability Act 2013</w:t>
      </w:r>
      <w:r w:rsidRPr="00410201">
        <w:rPr>
          <w:lang w:val="en-PH"/>
        </w:rPr>
        <w:t xml:space="preserve"> for the reporting periods 2021–22 to 2023–24. </w:t>
      </w:r>
    </w:p>
    <w:p w14:paraId="48DF6AED" w14:textId="466314D7" w:rsidR="00410201" w:rsidRPr="00410201" w:rsidRDefault="00410201" w:rsidP="00410201">
      <w:pPr>
        <w:pStyle w:val="Body"/>
      </w:pPr>
      <w:r w:rsidRPr="00410201">
        <w:t>Clause 16EA of the PGPA Act stipulates the requirements around performance measures for Commonwealth entities, including that they must relate directly to one or more of the entity’s purposes or key activities, use sources of information and methodologies that are reliable and verifiable, and</w:t>
      </w:r>
      <w:r w:rsidR="004767FB">
        <w:t> </w:t>
      </w:r>
      <w:r w:rsidRPr="00410201">
        <w:t>provide an unbiased basis for the measurement and assessment of the entity’s performance.</w:t>
      </w:r>
    </w:p>
    <w:p w14:paraId="3E15E808" w14:textId="2377CC8E" w:rsidR="00410201" w:rsidRPr="00410201" w:rsidRDefault="00410201" w:rsidP="004767FB">
      <w:pPr>
        <w:pStyle w:val="Body"/>
        <w:ind w:right="312"/>
      </w:pPr>
      <w:r w:rsidRPr="00410201">
        <w:t>The Work Program and Corporate Plan for 2021–22 defines IHPA’s strategic objectives and the associated key deliverables for the 2021–22 reporting period. In evaluating IHPA’s performance against the strategic objectives outlined in the Work Program and Corporate Plan, IHPA has ensured that the performance measures used relate directly to the</w:t>
      </w:r>
      <w:r w:rsidR="004767FB">
        <w:t> </w:t>
      </w:r>
      <w:r w:rsidRPr="00410201">
        <w:t xml:space="preserve">delivery of its key deliverables as per its legislated functions. </w:t>
      </w:r>
    </w:p>
    <w:p w14:paraId="69733DE4" w14:textId="6F51CE08" w:rsidR="00410201" w:rsidRPr="00410201" w:rsidRDefault="004767FB" w:rsidP="00410201">
      <w:pPr>
        <w:pStyle w:val="Body"/>
      </w:pPr>
      <w:r>
        <w:br w:type="column"/>
      </w:r>
      <w:r w:rsidR="00410201" w:rsidRPr="00410201">
        <w:t xml:space="preserve">IHPA utilises qualitative and quantitative data-based methodologies to assess its performance over the reporting period and deliverance on the strategic objectives, including undertaking independent quality assurance processes for deliverables such as the National Efficient Price </w:t>
      </w:r>
      <w:r w:rsidR="009B4E7A">
        <w:t xml:space="preserve">Determination </w:t>
      </w:r>
      <w:r w:rsidR="00410201" w:rsidRPr="00410201">
        <w:t>and National Efficient Cost</w:t>
      </w:r>
      <w:r>
        <w:t> </w:t>
      </w:r>
      <w:r w:rsidR="00410201" w:rsidRPr="00410201">
        <w:t>Determination.</w:t>
      </w:r>
    </w:p>
    <w:p w14:paraId="051A3C82" w14:textId="179A5ECD" w:rsidR="00410201" w:rsidRDefault="00410201" w:rsidP="00410201">
      <w:pPr>
        <w:pStyle w:val="Body"/>
      </w:pPr>
      <w:r w:rsidRPr="00410201">
        <w:t xml:space="preserve">IHPA reviews </w:t>
      </w:r>
      <w:r w:rsidR="009B4E7A">
        <w:t>the</w:t>
      </w:r>
      <w:r w:rsidRPr="00410201">
        <w:t xml:space="preserve"> efficiency and effectiveness in</w:t>
      </w:r>
      <w:r w:rsidR="009B4E7A">
        <w:t xml:space="preserve"> its approach to</w:t>
      </w:r>
      <w:r w:rsidRPr="00410201">
        <w:t xml:space="preserve"> delivering the strategic objectives outlined in the Work Program and Corporate Plan </w:t>
      </w:r>
      <w:r w:rsidR="009B4E7A">
        <w:t xml:space="preserve">annually </w:t>
      </w:r>
      <w:r w:rsidRPr="00410201">
        <w:t xml:space="preserve">to ensure that the performance measures have been met and validated. </w:t>
      </w:r>
    </w:p>
    <w:p w14:paraId="7B33A38D" w14:textId="299D0B5E" w:rsidR="0030026B" w:rsidRDefault="009F0553" w:rsidP="009B4E7A">
      <w:pPr>
        <w:pStyle w:val="Body"/>
        <w:rPr>
          <w:lang w:val="en-PH"/>
        </w:rPr>
      </w:pPr>
      <w:r>
        <w:rPr>
          <w:lang w:val="en-PH"/>
        </w:rPr>
        <w:t xml:space="preserve">The </w:t>
      </w:r>
      <w:r w:rsidR="002822F2">
        <w:rPr>
          <w:lang w:val="en-PH"/>
        </w:rPr>
        <w:t>agenc</w:t>
      </w:r>
      <w:r w:rsidR="00917DF6">
        <w:rPr>
          <w:lang w:val="en-PH"/>
        </w:rPr>
        <w:t>y’s</w:t>
      </w:r>
      <w:r w:rsidR="00BA7307">
        <w:rPr>
          <w:lang w:val="en-PH"/>
        </w:rPr>
        <w:t xml:space="preserve"> planned </w:t>
      </w:r>
      <w:r w:rsidR="00917DF6">
        <w:rPr>
          <w:lang w:val="en-PH"/>
        </w:rPr>
        <w:t>activities</w:t>
      </w:r>
      <w:r w:rsidR="002822F2">
        <w:rPr>
          <w:lang w:val="en-PH"/>
        </w:rPr>
        <w:t xml:space="preserve"> </w:t>
      </w:r>
      <w:r w:rsidR="00247885">
        <w:rPr>
          <w:lang w:val="en-PH"/>
        </w:rPr>
        <w:t xml:space="preserve">for each year </w:t>
      </w:r>
      <w:r w:rsidR="00BA7307">
        <w:rPr>
          <w:lang w:val="en-PH"/>
        </w:rPr>
        <w:t xml:space="preserve">are </w:t>
      </w:r>
      <w:r w:rsidR="00247885">
        <w:rPr>
          <w:lang w:val="en-PH"/>
        </w:rPr>
        <w:t>set out in a</w:t>
      </w:r>
      <w:r w:rsidR="00BA7307">
        <w:rPr>
          <w:lang w:val="en-PH"/>
        </w:rPr>
        <w:t xml:space="preserve"> draft </w:t>
      </w:r>
      <w:r w:rsidR="00247885">
        <w:rPr>
          <w:lang w:val="en-PH"/>
        </w:rPr>
        <w:t>program</w:t>
      </w:r>
      <w:r w:rsidR="00BA7307">
        <w:rPr>
          <w:lang w:val="en-PH"/>
        </w:rPr>
        <w:t xml:space="preserve"> for public comment prior to 30 June of the respective </w:t>
      </w:r>
      <w:r w:rsidR="00247885">
        <w:rPr>
          <w:lang w:val="en-PH"/>
        </w:rPr>
        <w:t xml:space="preserve">financial </w:t>
      </w:r>
      <w:r w:rsidR="00BA7307">
        <w:rPr>
          <w:lang w:val="en-PH"/>
        </w:rPr>
        <w:t xml:space="preserve">year. </w:t>
      </w:r>
    </w:p>
    <w:p w14:paraId="28942BE2" w14:textId="7B27B83F" w:rsidR="009B4E7A" w:rsidRPr="00856C96" w:rsidRDefault="009B4E7A" w:rsidP="00410201">
      <w:pPr>
        <w:pStyle w:val="Body"/>
        <w:rPr>
          <w:lang w:val="en-PH"/>
        </w:rPr>
      </w:pPr>
      <w:r w:rsidRPr="009B713C">
        <w:rPr>
          <w:lang w:val="en-PH"/>
        </w:rPr>
        <w:t xml:space="preserve">IHPA </w:t>
      </w:r>
      <w:r w:rsidR="00247885">
        <w:rPr>
          <w:lang w:val="en-PH"/>
        </w:rPr>
        <w:t xml:space="preserve">undertakes extensive </w:t>
      </w:r>
      <w:hyperlink r:id="rId112" w:history="1">
        <w:r w:rsidR="00247885" w:rsidRPr="00247885">
          <w:rPr>
            <w:rStyle w:val="Hyperlink"/>
            <w:lang w:val="en-PH"/>
          </w:rPr>
          <w:t>consultation</w:t>
        </w:r>
      </w:hyperlink>
      <w:r w:rsidRPr="009B713C">
        <w:rPr>
          <w:lang w:val="en-PH"/>
        </w:rPr>
        <w:t xml:space="preserve"> with </w:t>
      </w:r>
      <w:r w:rsidR="00247885">
        <w:rPr>
          <w:lang w:val="en-PH"/>
        </w:rPr>
        <w:t xml:space="preserve">jurisdictions, </w:t>
      </w:r>
      <w:r w:rsidRPr="009B713C">
        <w:rPr>
          <w:lang w:val="en-PH"/>
        </w:rPr>
        <w:t>key stakeholder advisory committees, government and health sector stakeholders</w:t>
      </w:r>
      <w:r>
        <w:rPr>
          <w:lang w:val="en-PH"/>
        </w:rPr>
        <w:t xml:space="preserve"> </w:t>
      </w:r>
      <w:r w:rsidR="00247885">
        <w:rPr>
          <w:lang w:val="en-PH"/>
        </w:rPr>
        <w:t xml:space="preserve">and the broader public to inform the deliverables </w:t>
      </w:r>
      <w:r w:rsidR="00C70EA1">
        <w:rPr>
          <w:lang w:val="en-PH"/>
        </w:rPr>
        <w:t xml:space="preserve">outlined in its </w:t>
      </w:r>
      <w:r w:rsidR="00247885">
        <w:rPr>
          <w:lang w:val="en-PH"/>
        </w:rPr>
        <w:t>work program.</w:t>
      </w:r>
    </w:p>
    <w:p w14:paraId="5A8FF12F" w14:textId="4E213E08" w:rsidR="00410201" w:rsidRPr="00410201" w:rsidRDefault="00410201" w:rsidP="00410201">
      <w:pPr>
        <w:pStyle w:val="Body"/>
      </w:pPr>
      <w:r w:rsidRPr="00410201">
        <w:t xml:space="preserve">IHPA considers that the delivery and evaluation of its performance against the outcomes outlined in the </w:t>
      </w:r>
      <w:hyperlink r:id="rId113" w:history="1">
        <w:r w:rsidRPr="009B4E7A">
          <w:rPr>
            <w:rStyle w:val="Hyperlink"/>
          </w:rPr>
          <w:t>Work Program and Corporate Plan for 2021–22</w:t>
        </w:r>
      </w:hyperlink>
      <w:r w:rsidRPr="00410201">
        <w:t xml:space="preserve"> align with the requirements for performance measures under clause 16EA of the PGPA Act.</w:t>
      </w:r>
    </w:p>
    <w:p w14:paraId="4EAD6DC3" w14:textId="77777777" w:rsidR="00641ED3" w:rsidRDefault="00641ED3" w:rsidP="00410201">
      <w:pPr>
        <w:pStyle w:val="Body"/>
        <w:rPr>
          <w:lang w:val="en-PH"/>
        </w:rPr>
      </w:pPr>
    </w:p>
    <w:p w14:paraId="11C3193F" w14:textId="77777777" w:rsidR="008B12EF" w:rsidRDefault="008B12EF" w:rsidP="001771CC">
      <w:pPr>
        <w:pStyle w:val="H3"/>
        <w:rPr>
          <w:color w:val="5E2F7E" w:themeColor="accent5"/>
        </w:rPr>
        <w:sectPr w:rsidR="008B12EF" w:rsidSect="004767FB">
          <w:type w:val="continuous"/>
          <w:pgSz w:w="9979" w:h="14175"/>
          <w:pgMar w:top="993" w:right="1134" w:bottom="851" w:left="1134" w:header="709" w:footer="709" w:gutter="0"/>
          <w:cols w:num="2" w:space="282"/>
          <w:docGrid w:linePitch="360"/>
        </w:sectPr>
      </w:pPr>
    </w:p>
    <w:p w14:paraId="4F6A732B" w14:textId="3B231013" w:rsidR="00F54C68" w:rsidRPr="001771CC" w:rsidRDefault="00F54C68" w:rsidP="001771CC">
      <w:pPr>
        <w:pStyle w:val="H3"/>
        <w:rPr>
          <w:color w:val="5E2F7E" w:themeColor="accent5"/>
        </w:rPr>
      </w:pPr>
      <w:r w:rsidRPr="001771CC">
        <w:rPr>
          <w:color w:val="5E2F7E" w:themeColor="accent5"/>
        </w:rPr>
        <w:lastRenderedPageBreak/>
        <w:t>Portfolio Budget Statements 2021–22</w:t>
      </w:r>
    </w:p>
    <w:p w14:paraId="30676348" w14:textId="59CD0BF9" w:rsidR="00B61DD7" w:rsidRPr="00F54C68" w:rsidRDefault="00D91BEF" w:rsidP="007773EA">
      <w:pPr>
        <w:pStyle w:val="FigureHeading"/>
        <w:shd w:val="clear" w:color="auto" w:fill="FFFFFF" w:themeFill="background2"/>
      </w:pPr>
      <w:bookmarkStart w:id="49" w:name="_Toc114824655"/>
      <w:r>
        <w:t xml:space="preserve">Figure </w:t>
      </w:r>
      <w:r w:rsidR="00F16D44">
        <w:t>6</w:t>
      </w:r>
      <w:r>
        <w:t>: Relationship between the sources of reporting for the</w:t>
      </w:r>
      <w:r w:rsidR="000C2A4A">
        <w:t> </w:t>
      </w:r>
      <w:r>
        <w:t>Annual Report 2021–22 Performance Statement</w:t>
      </w:r>
      <w:bookmarkEnd w:id="49"/>
    </w:p>
    <w:tbl>
      <w:tblPr>
        <w:tblStyle w:val="TableGrid"/>
        <w:tblW w:w="0" w:type="auto"/>
        <w:tblCellMar>
          <w:left w:w="0" w:type="dxa"/>
          <w:right w:w="0" w:type="dxa"/>
        </w:tblCellMar>
        <w:tblLook w:val="04A0" w:firstRow="1" w:lastRow="0" w:firstColumn="1" w:lastColumn="0" w:noHBand="0" w:noVBand="1"/>
      </w:tblPr>
      <w:tblGrid>
        <w:gridCol w:w="4536"/>
        <w:gridCol w:w="597"/>
        <w:gridCol w:w="2568"/>
      </w:tblGrid>
      <w:tr w:rsidR="007773EA" w14:paraId="2F99BBF3" w14:textId="77777777" w:rsidTr="00D30B4F">
        <w:trPr>
          <w:cnfStyle w:val="100000000000" w:firstRow="1" w:lastRow="0" w:firstColumn="0" w:lastColumn="0" w:oddVBand="0" w:evenVBand="0" w:oddHBand="0" w:evenHBand="0" w:firstRowFirstColumn="0" w:firstRowLastColumn="0" w:lastRowFirstColumn="0" w:lastRowLastColumn="0"/>
          <w:trHeight w:val="227"/>
        </w:trPr>
        <w:tc>
          <w:tcPr>
            <w:tcW w:w="4536" w:type="dxa"/>
          </w:tcPr>
          <w:p w14:paraId="5730785F" w14:textId="5076133B" w:rsidR="007773EA" w:rsidRPr="00BE0072" w:rsidRDefault="00BE0072" w:rsidP="00D30B4F">
            <w:pPr>
              <w:pStyle w:val="Body"/>
              <w:spacing w:before="120" w:after="120"/>
              <w:ind w:left="108" w:right="108"/>
              <w:rPr>
                <w:b/>
                <w:bCs/>
              </w:rPr>
            </w:pPr>
            <w:r w:rsidRPr="00BE0072">
              <w:rPr>
                <w:b/>
                <w:bCs/>
                <w:color w:val="FFFFFF" w:themeColor="background2"/>
              </w:rPr>
              <w:t>Portfolio Budget Statements</w:t>
            </w:r>
          </w:p>
        </w:tc>
        <w:tc>
          <w:tcPr>
            <w:tcW w:w="597" w:type="dxa"/>
            <w:tcBorders>
              <w:right w:val="single" w:sz="8" w:space="0" w:color="5E2F7E" w:themeColor="accent5"/>
            </w:tcBorders>
            <w:shd w:val="clear" w:color="auto" w:fill="FFFFFF" w:themeFill="background2"/>
          </w:tcPr>
          <w:p w14:paraId="7986B64A" w14:textId="77777777" w:rsidR="007773EA" w:rsidRDefault="007773EA" w:rsidP="00BE0072">
            <w:pPr>
              <w:pStyle w:val="Body"/>
              <w:spacing w:before="120" w:after="120"/>
            </w:pPr>
          </w:p>
        </w:tc>
        <w:tc>
          <w:tcPr>
            <w:tcW w:w="2568" w:type="dxa"/>
            <w:tcBorders>
              <w:top w:val="single" w:sz="8" w:space="0" w:color="5E2F7E" w:themeColor="accent5"/>
              <w:left w:val="single" w:sz="8" w:space="0" w:color="5E2F7E" w:themeColor="accent5"/>
              <w:right w:val="single" w:sz="8" w:space="0" w:color="5E2F7E" w:themeColor="accent5"/>
            </w:tcBorders>
            <w:shd w:val="clear" w:color="auto" w:fill="FFFFFF" w:themeFill="background2"/>
          </w:tcPr>
          <w:p w14:paraId="400C36A9" w14:textId="20CAB82F" w:rsidR="007773EA" w:rsidRPr="00BE0072" w:rsidRDefault="00BE0072" w:rsidP="00D30B4F">
            <w:pPr>
              <w:pStyle w:val="Body"/>
              <w:spacing w:before="120" w:after="120"/>
              <w:ind w:left="108" w:right="108"/>
              <w:rPr>
                <w:b/>
                <w:bCs/>
              </w:rPr>
            </w:pPr>
            <w:r w:rsidRPr="00BE0072">
              <w:rPr>
                <w:b/>
                <w:bCs/>
              </w:rPr>
              <w:t>IHPA Work Program and Corporate Plan</w:t>
            </w:r>
          </w:p>
        </w:tc>
      </w:tr>
      <w:tr w:rsidR="00D30B4F" w14:paraId="3AFCBF68" w14:textId="77777777" w:rsidTr="00D67FF2">
        <w:trPr>
          <w:cnfStyle w:val="100000000000" w:firstRow="1" w:lastRow="0" w:firstColumn="0" w:lastColumn="0" w:oddVBand="0" w:evenVBand="0" w:oddHBand="0" w:evenHBand="0" w:firstRowFirstColumn="0" w:firstRowLastColumn="0" w:lastRowFirstColumn="0" w:lastRowLastColumn="0"/>
        </w:trPr>
        <w:tc>
          <w:tcPr>
            <w:tcW w:w="4536" w:type="dxa"/>
            <w:vMerge w:val="restart"/>
            <w:shd w:val="clear" w:color="auto" w:fill="F2F2F2" w:themeFill="background2" w:themeFillShade="F2"/>
          </w:tcPr>
          <w:p w14:paraId="56E8D51C" w14:textId="77777777" w:rsidR="00D30B4F" w:rsidRPr="0066636A" w:rsidRDefault="00D30B4F" w:rsidP="00D30B4F">
            <w:pPr>
              <w:pStyle w:val="Body"/>
              <w:spacing w:before="120" w:after="120"/>
              <w:ind w:left="108" w:right="108"/>
              <w:rPr>
                <w:b/>
                <w:bCs/>
                <w:color w:val="5E2F7E" w:themeColor="accent5"/>
              </w:rPr>
            </w:pPr>
            <w:r w:rsidRPr="0066636A">
              <w:rPr>
                <w:b/>
                <w:bCs/>
                <w:color w:val="5E2F7E" w:themeColor="accent5"/>
              </w:rPr>
              <w:t>Outcome</w:t>
            </w:r>
          </w:p>
          <w:p w14:paraId="37CC28DA" w14:textId="5009AB7E" w:rsidR="00D30B4F" w:rsidRPr="0066636A" w:rsidRDefault="0066636A" w:rsidP="00D30B4F">
            <w:pPr>
              <w:pStyle w:val="Body-Financial"/>
              <w:ind w:left="108" w:right="108"/>
              <w:rPr>
                <w:sz w:val="18"/>
                <w:szCs w:val="18"/>
              </w:rPr>
            </w:pPr>
            <w:r w:rsidRPr="0066636A">
              <w:rPr>
                <w:sz w:val="18"/>
                <w:szCs w:val="18"/>
              </w:rPr>
              <w:t>Promote improved efficiency in, and access to, public hospital services primarily through setting efficient national prices and levels of block funding for hospital activities.</w:t>
            </w:r>
          </w:p>
        </w:tc>
        <w:tc>
          <w:tcPr>
            <w:tcW w:w="597" w:type="dxa"/>
            <w:tcBorders>
              <w:right w:val="single" w:sz="8" w:space="0" w:color="5E2F7E" w:themeColor="accent5"/>
            </w:tcBorders>
            <w:shd w:val="clear" w:color="auto" w:fill="FFFFFF" w:themeFill="background2"/>
          </w:tcPr>
          <w:p w14:paraId="2E48094A" w14:textId="3483BB30" w:rsidR="00D30B4F" w:rsidRDefault="00D30B4F" w:rsidP="00B61DD7">
            <w:pPr>
              <w:pStyle w:val="Body"/>
            </w:pPr>
            <w:r>
              <w:rPr>
                <w:noProof/>
              </w:rPr>
              <w:drawing>
                <wp:inline distT="0" distB="0" distL="0" distR="0" wp14:anchorId="3CB0F688" wp14:editId="53FA87D9">
                  <wp:extent cx="211632" cy="341867"/>
                  <wp:effectExtent l="0" t="0" r="4445" b="1270"/>
                  <wp:docPr id="84"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1">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2" cy="341867"/>
                          </a:xfrm>
                          <a:prstGeom prst="rect">
                            <a:avLst/>
                          </a:prstGeom>
                        </pic:spPr>
                      </pic:pic>
                    </a:graphicData>
                  </a:graphic>
                </wp:inline>
              </w:drawing>
            </w:r>
          </w:p>
        </w:tc>
        <w:tc>
          <w:tcPr>
            <w:tcW w:w="2568" w:type="dxa"/>
            <w:tcBorders>
              <w:left w:val="single" w:sz="8" w:space="0" w:color="5E2F7E" w:themeColor="accent5"/>
              <w:right w:val="single" w:sz="8" w:space="0" w:color="5E2F7E" w:themeColor="accent5"/>
            </w:tcBorders>
            <w:shd w:val="clear" w:color="auto" w:fill="FFFFFF" w:themeFill="background2"/>
          </w:tcPr>
          <w:p w14:paraId="1C992A69" w14:textId="11AD3271" w:rsidR="00D30B4F" w:rsidRPr="0066636A" w:rsidRDefault="00D30B4F" w:rsidP="00D30B4F">
            <w:pPr>
              <w:pStyle w:val="Body-Financial"/>
              <w:ind w:left="108" w:right="108"/>
              <w:rPr>
                <w:sz w:val="18"/>
                <w:szCs w:val="18"/>
              </w:rPr>
            </w:pPr>
            <w:r w:rsidRPr="0066636A">
              <w:rPr>
                <w:b/>
                <w:bCs/>
                <w:sz w:val="18"/>
                <w:szCs w:val="18"/>
              </w:rPr>
              <w:t>Strategic Objective 1</w:t>
            </w:r>
            <w:r w:rsidRPr="0066636A">
              <w:rPr>
                <w:sz w:val="18"/>
                <w:szCs w:val="18"/>
              </w:rPr>
              <w:br/>
              <w:t>Perform IHPA pricing functions</w:t>
            </w:r>
          </w:p>
        </w:tc>
      </w:tr>
      <w:tr w:rsidR="00D30B4F" w14:paraId="23131667" w14:textId="77777777" w:rsidTr="00D67FF2">
        <w:trPr>
          <w:cnfStyle w:val="100000000000" w:firstRow="1" w:lastRow="0" w:firstColumn="0" w:lastColumn="0" w:oddVBand="0" w:evenVBand="0" w:oddHBand="0" w:evenHBand="0" w:firstRowFirstColumn="0" w:firstRowLastColumn="0" w:lastRowFirstColumn="0" w:lastRowLastColumn="0"/>
        </w:trPr>
        <w:tc>
          <w:tcPr>
            <w:tcW w:w="4536" w:type="dxa"/>
            <w:vMerge/>
            <w:shd w:val="clear" w:color="auto" w:fill="F2F2F2" w:themeFill="background2" w:themeFillShade="F2"/>
          </w:tcPr>
          <w:p w14:paraId="0D47DAA4" w14:textId="77777777" w:rsidR="00D30B4F" w:rsidRPr="00BE0072" w:rsidRDefault="00D30B4F" w:rsidP="00D30B4F">
            <w:pPr>
              <w:pStyle w:val="Body"/>
              <w:spacing w:before="120" w:after="120"/>
              <w:ind w:left="108" w:right="108"/>
              <w:rPr>
                <w:color w:val="5E2F7E" w:themeColor="accent5"/>
              </w:rPr>
            </w:pPr>
          </w:p>
        </w:tc>
        <w:tc>
          <w:tcPr>
            <w:tcW w:w="597" w:type="dxa"/>
            <w:tcBorders>
              <w:right w:val="single" w:sz="8" w:space="0" w:color="5E2F7E" w:themeColor="accent5"/>
            </w:tcBorders>
            <w:shd w:val="clear" w:color="auto" w:fill="FFFFFF" w:themeFill="background2"/>
          </w:tcPr>
          <w:p w14:paraId="189B8199" w14:textId="77777777" w:rsidR="00D30B4F" w:rsidRDefault="00D30B4F" w:rsidP="00B61DD7">
            <w:pPr>
              <w:pStyle w:val="Body"/>
            </w:pPr>
          </w:p>
        </w:tc>
        <w:tc>
          <w:tcPr>
            <w:tcW w:w="2568" w:type="dxa"/>
            <w:tcBorders>
              <w:left w:val="single" w:sz="8" w:space="0" w:color="5E2F7E" w:themeColor="accent5"/>
              <w:right w:val="single" w:sz="8" w:space="0" w:color="5E2F7E" w:themeColor="accent5"/>
            </w:tcBorders>
            <w:shd w:val="clear" w:color="auto" w:fill="FFFFFF" w:themeFill="background2"/>
          </w:tcPr>
          <w:p w14:paraId="20C79104" w14:textId="34E88B28" w:rsidR="00D30B4F" w:rsidRPr="0066636A" w:rsidRDefault="00D30B4F" w:rsidP="00D30B4F">
            <w:pPr>
              <w:pStyle w:val="Body-Financial"/>
              <w:ind w:left="108" w:right="108"/>
              <w:rPr>
                <w:sz w:val="18"/>
                <w:szCs w:val="18"/>
              </w:rPr>
            </w:pPr>
            <w:r w:rsidRPr="0066636A">
              <w:rPr>
                <w:b/>
                <w:bCs/>
                <w:sz w:val="18"/>
                <w:szCs w:val="18"/>
              </w:rPr>
              <w:t>Strategic Objective 2</w:t>
            </w:r>
            <w:r w:rsidRPr="0066636A">
              <w:rPr>
                <w:sz w:val="18"/>
                <w:szCs w:val="18"/>
              </w:rPr>
              <w:br/>
              <w:t>Refine and develop hospital activity classification systems</w:t>
            </w:r>
          </w:p>
        </w:tc>
      </w:tr>
      <w:tr w:rsidR="00D30B4F" w14:paraId="40E0CC39" w14:textId="77777777" w:rsidTr="00D67FF2">
        <w:trPr>
          <w:cnfStyle w:val="100000000000" w:firstRow="1" w:lastRow="0" w:firstColumn="0" w:lastColumn="0" w:oddVBand="0" w:evenVBand="0" w:oddHBand="0" w:evenHBand="0" w:firstRowFirstColumn="0" w:firstRowLastColumn="0" w:lastRowFirstColumn="0" w:lastRowLastColumn="0"/>
        </w:trPr>
        <w:tc>
          <w:tcPr>
            <w:tcW w:w="4536" w:type="dxa"/>
            <w:vMerge/>
            <w:shd w:val="clear" w:color="auto" w:fill="F2F2F2" w:themeFill="background2" w:themeFillShade="F2"/>
          </w:tcPr>
          <w:p w14:paraId="2E4F3FFE" w14:textId="77777777" w:rsidR="00D30B4F" w:rsidRPr="00BE0072" w:rsidRDefault="00D30B4F" w:rsidP="00D30B4F">
            <w:pPr>
              <w:pStyle w:val="Body"/>
              <w:spacing w:before="120" w:after="120"/>
              <w:ind w:left="108" w:right="108"/>
              <w:rPr>
                <w:color w:val="5E2F7E" w:themeColor="accent5"/>
              </w:rPr>
            </w:pPr>
          </w:p>
        </w:tc>
        <w:tc>
          <w:tcPr>
            <w:tcW w:w="597" w:type="dxa"/>
            <w:tcBorders>
              <w:right w:val="single" w:sz="8" w:space="0" w:color="5E2F7E" w:themeColor="accent5"/>
            </w:tcBorders>
            <w:shd w:val="clear" w:color="auto" w:fill="FFFFFF" w:themeFill="background2"/>
          </w:tcPr>
          <w:p w14:paraId="3156AD32" w14:textId="77777777" w:rsidR="00D30B4F" w:rsidRDefault="00D30B4F" w:rsidP="00B61DD7">
            <w:pPr>
              <w:pStyle w:val="Body"/>
            </w:pPr>
          </w:p>
        </w:tc>
        <w:tc>
          <w:tcPr>
            <w:tcW w:w="2568" w:type="dxa"/>
            <w:tcBorders>
              <w:left w:val="single" w:sz="8" w:space="0" w:color="5E2F7E" w:themeColor="accent5"/>
              <w:right w:val="single" w:sz="8" w:space="0" w:color="5E2F7E" w:themeColor="accent5"/>
            </w:tcBorders>
            <w:shd w:val="clear" w:color="auto" w:fill="FFFFFF" w:themeFill="background2"/>
          </w:tcPr>
          <w:p w14:paraId="653F1A4C" w14:textId="6E0CAE8D" w:rsidR="00D30B4F" w:rsidRPr="0066636A" w:rsidRDefault="00D30B4F" w:rsidP="00D30B4F">
            <w:pPr>
              <w:pStyle w:val="Body-Financial"/>
              <w:ind w:left="108" w:right="108"/>
              <w:rPr>
                <w:sz w:val="18"/>
                <w:szCs w:val="18"/>
              </w:rPr>
            </w:pPr>
            <w:r w:rsidRPr="0066636A">
              <w:rPr>
                <w:b/>
                <w:bCs/>
                <w:sz w:val="18"/>
                <w:szCs w:val="18"/>
              </w:rPr>
              <w:t>Strategic Objective 3</w:t>
            </w:r>
            <w:r w:rsidRPr="0066636A">
              <w:rPr>
                <w:sz w:val="18"/>
                <w:szCs w:val="18"/>
              </w:rPr>
              <w:br/>
              <w:t>Refine and improve hospital</w:t>
            </w:r>
            <w:r w:rsidR="00C95F8E">
              <w:rPr>
                <w:sz w:val="18"/>
                <w:szCs w:val="18"/>
              </w:rPr>
              <w:t> </w:t>
            </w:r>
            <w:r w:rsidRPr="0066636A">
              <w:rPr>
                <w:sz w:val="18"/>
                <w:szCs w:val="18"/>
              </w:rPr>
              <w:t>costing</w:t>
            </w:r>
          </w:p>
        </w:tc>
      </w:tr>
      <w:tr w:rsidR="00D30B4F" w14:paraId="5F7DDE47" w14:textId="77777777" w:rsidTr="00D67FF2">
        <w:trPr>
          <w:cnfStyle w:val="100000000000" w:firstRow="1" w:lastRow="0" w:firstColumn="0" w:lastColumn="0" w:oddVBand="0" w:evenVBand="0" w:oddHBand="0" w:evenHBand="0" w:firstRowFirstColumn="0" w:firstRowLastColumn="0" w:lastRowFirstColumn="0" w:lastRowLastColumn="0"/>
        </w:trPr>
        <w:tc>
          <w:tcPr>
            <w:tcW w:w="4536" w:type="dxa"/>
            <w:vMerge w:val="restart"/>
            <w:shd w:val="clear" w:color="auto" w:fill="F2F2F2" w:themeFill="background2" w:themeFillShade="F2"/>
          </w:tcPr>
          <w:p w14:paraId="466019D3" w14:textId="43BCD489" w:rsidR="00D30B4F" w:rsidRPr="0066636A" w:rsidRDefault="00D30B4F" w:rsidP="00D30B4F">
            <w:pPr>
              <w:pStyle w:val="Body"/>
              <w:spacing w:before="120" w:after="120"/>
              <w:ind w:left="108" w:right="108"/>
              <w:rPr>
                <w:b/>
                <w:bCs/>
                <w:color w:val="5E2F7E" w:themeColor="accent5"/>
              </w:rPr>
            </w:pPr>
            <w:r w:rsidRPr="0066636A">
              <w:rPr>
                <w:b/>
                <w:bCs/>
                <w:color w:val="5E2F7E" w:themeColor="accent5"/>
              </w:rPr>
              <w:t>Program 1.1 Public Hospital Price Determinations</w:t>
            </w:r>
          </w:p>
          <w:p w14:paraId="0B076ECB" w14:textId="53DE646D" w:rsidR="00D30B4F" w:rsidRPr="0066636A" w:rsidRDefault="0066636A" w:rsidP="00A0408F">
            <w:pPr>
              <w:pStyle w:val="Body-Financial"/>
              <w:ind w:left="108" w:right="108"/>
              <w:rPr>
                <w:sz w:val="18"/>
                <w:szCs w:val="18"/>
              </w:rPr>
            </w:pPr>
            <w:r w:rsidRPr="0066636A">
              <w:rPr>
                <w:sz w:val="18"/>
                <w:szCs w:val="18"/>
              </w:rPr>
              <w:t>IHPA promotes improved efficiency in, and access to, public</w:t>
            </w:r>
            <w:r w:rsidR="00F16D44">
              <w:rPr>
                <w:sz w:val="18"/>
                <w:szCs w:val="18"/>
              </w:rPr>
              <w:t> </w:t>
            </w:r>
            <w:r w:rsidRPr="0066636A">
              <w:rPr>
                <w:sz w:val="18"/>
                <w:szCs w:val="18"/>
              </w:rPr>
              <w:t>hospital services by providing independent advice to</w:t>
            </w:r>
            <w:r w:rsidR="00F16D44">
              <w:rPr>
                <w:sz w:val="18"/>
                <w:szCs w:val="18"/>
              </w:rPr>
              <w:t> </w:t>
            </w:r>
            <w:r w:rsidRPr="0066636A">
              <w:rPr>
                <w:sz w:val="18"/>
                <w:szCs w:val="18"/>
              </w:rPr>
              <w:t>the Australian Government and state and territory governments regarding the efficient price of healthcare services, and by developing and implementing robust systems to support activity based funding for those services.</w:t>
            </w:r>
          </w:p>
        </w:tc>
        <w:tc>
          <w:tcPr>
            <w:tcW w:w="597" w:type="dxa"/>
            <w:tcBorders>
              <w:right w:val="single" w:sz="8" w:space="0" w:color="5E2F7E" w:themeColor="accent5"/>
            </w:tcBorders>
            <w:shd w:val="clear" w:color="auto" w:fill="FFFFFF" w:themeFill="background2"/>
          </w:tcPr>
          <w:p w14:paraId="37320B2F" w14:textId="77777777" w:rsidR="00D30B4F" w:rsidRDefault="00D30B4F" w:rsidP="00B61DD7">
            <w:pPr>
              <w:pStyle w:val="Body"/>
            </w:pPr>
          </w:p>
        </w:tc>
        <w:tc>
          <w:tcPr>
            <w:tcW w:w="2568" w:type="dxa"/>
            <w:tcBorders>
              <w:left w:val="single" w:sz="8" w:space="0" w:color="5E2F7E" w:themeColor="accent5"/>
              <w:right w:val="single" w:sz="8" w:space="0" w:color="5E2F7E" w:themeColor="accent5"/>
            </w:tcBorders>
            <w:shd w:val="clear" w:color="auto" w:fill="FFFFFF" w:themeFill="background2"/>
          </w:tcPr>
          <w:p w14:paraId="15E3CEB6" w14:textId="29A6DB4E" w:rsidR="00D30B4F" w:rsidRPr="0066636A" w:rsidRDefault="00D30B4F" w:rsidP="00D30B4F">
            <w:pPr>
              <w:pStyle w:val="Body-Financial"/>
              <w:ind w:left="108" w:right="108"/>
              <w:rPr>
                <w:sz w:val="18"/>
                <w:szCs w:val="18"/>
              </w:rPr>
            </w:pPr>
            <w:r w:rsidRPr="0066636A">
              <w:rPr>
                <w:b/>
                <w:bCs/>
                <w:sz w:val="18"/>
                <w:szCs w:val="18"/>
              </w:rPr>
              <w:t>Strategic Objective 4</w:t>
            </w:r>
            <w:r w:rsidRPr="0066636A">
              <w:rPr>
                <w:sz w:val="18"/>
                <w:szCs w:val="18"/>
              </w:rPr>
              <w:br/>
            </w:r>
            <w:r w:rsidR="00085121" w:rsidRPr="00085121">
              <w:rPr>
                <w:sz w:val="18"/>
                <w:szCs w:val="18"/>
              </w:rPr>
              <w:t>Develop data requirements and collect hospital data</w:t>
            </w:r>
          </w:p>
        </w:tc>
      </w:tr>
      <w:tr w:rsidR="00D30B4F" w14:paraId="46B8B60F" w14:textId="77777777" w:rsidTr="00D67FF2">
        <w:trPr>
          <w:cnfStyle w:val="100000000000" w:firstRow="1" w:lastRow="0" w:firstColumn="0" w:lastColumn="0" w:oddVBand="0" w:evenVBand="0" w:oddHBand="0" w:evenHBand="0" w:firstRowFirstColumn="0" w:firstRowLastColumn="0" w:lastRowFirstColumn="0" w:lastRowLastColumn="0"/>
        </w:trPr>
        <w:tc>
          <w:tcPr>
            <w:tcW w:w="4536" w:type="dxa"/>
            <w:vMerge/>
            <w:shd w:val="clear" w:color="auto" w:fill="F2F2F2" w:themeFill="background2" w:themeFillShade="F2"/>
          </w:tcPr>
          <w:p w14:paraId="7AC5328A" w14:textId="77777777" w:rsidR="00D30B4F" w:rsidRPr="00BE0072" w:rsidRDefault="00D30B4F" w:rsidP="00D30B4F">
            <w:pPr>
              <w:pStyle w:val="Body"/>
              <w:ind w:left="108" w:right="108"/>
              <w:rPr>
                <w:color w:val="5E2F7E" w:themeColor="accent5"/>
              </w:rPr>
            </w:pPr>
          </w:p>
        </w:tc>
        <w:tc>
          <w:tcPr>
            <w:tcW w:w="597" w:type="dxa"/>
            <w:tcBorders>
              <w:right w:val="single" w:sz="8" w:space="0" w:color="5E2F7E" w:themeColor="accent5"/>
            </w:tcBorders>
            <w:shd w:val="clear" w:color="auto" w:fill="FFFFFF" w:themeFill="background2"/>
          </w:tcPr>
          <w:p w14:paraId="7A30D5C9" w14:textId="77777777" w:rsidR="00D30B4F" w:rsidRDefault="00D30B4F" w:rsidP="00B61DD7">
            <w:pPr>
              <w:pStyle w:val="Body"/>
            </w:pPr>
          </w:p>
        </w:tc>
        <w:tc>
          <w:tcPr>
            <w:tcW w:w="2568" w:type="dxa"/>
            <w:tcBorders>
              <w:left w:val="single" w:sz="8" w:space="0" w:color="5E2F7E" w:themeColor="accent5"/>
              <w:right w:val="single" w:sz="8" w:space="0" w:color="5E2F7E" w:themeColor="accent5"/>
            </w:tcBorders>
            <w:shd w:val="clear" w:color="auto" w:fill="FFFFFF" w:themeFill="background2"/>
          </w:tcPr>
          <w:p w14:paraId="3E867163" w14:textId="4776E17A" w:rsidR="00D30B4F" w:rsidRPr="0066636A" w:rsidRDefault="00D30B4F" w:rsidP="00D30B4F">
            <w:pPr>
              <w:pStyle w:val="Body-Financial"/>
              <w:ind w:left="108" w:right="108"/>
              <w:rPr>
                <w:sz w:val="18"/>
                <w:szCs w:val="18"/>
              </w:rPr>
            </w:pPr>
            <w:r w:rsidRPr="0066636A">
              <w:rPr>
                <w:b/>
                <w:bCs/>
                <w:sz w:val="18"/>
                <w:szCs w:val="18"/>
              </w:rPr>
              <w:t>Strategic Objective 5</w:t>
            </w:r>
            <w:r w:rsidRPr="0066636A">
              <w:rPr>
                <w:sz w:val="18"/>
                <w:szCs w:val="18"/>
              </w:rPr>
              <w:br/>
              <w:t>Resolve disputes on cost-shifting and cross</w:t>
            </w:r>
            <w:r w:rsidRPr="0066636A">
              <w:rPr>
                <w:sz w:val="18"/>
                <w:szCs w:val="18"/>
              </w:rPr>
              <w:noBreakHyphen/>
              <w:t>border issues</w:t>
            </w:r>
          </w:p>
        </w:tc>
      </w:tr>
      <w:tr w:rsidR="00D30B4F" w14:paraId="2D519DAB" w14:textId="77777777" w:rsidTr="00D67FF2">
        <w:trPr>
          <w:cnfStyle w:val="100000000000" w:firstRow="1" w:lastRow="0" w:firstColumn="0" w:lastColumn="0" w:oddVBand="0" w:evenVBand="0" w:oddHBand="0" w:evenHBand="0" w:firstRowFirstColumn="0" w:firstRowLastColumn="0" w:lastRowFirstColumn="0" w:lastRowLastColumn="0"/>
        </w:trPr>
        <w:tc>
          <w:tcPr>
            <w:tcW w:w="4536" w:type="dxa"/>
            <w:vMerge/>
            <w:shd w:val="clear" w:color="auto" w:fill="F2F2F2" w:themeFill="background2" w:themeFillShade="F2"/>
          </w:tcPr>
          <w:p w14:paraId="372D4826" w14:textId="77777777" w:rsidR="00D30B4F" w:rsidRPr="00BE0072" w:rsidRDefault="00D30B4F" w:rsidP="00D30B4F">
            <w:pPr>
              <w:pStyle w:val="Body"/>
              <w:ind w:left="108" w:right="108"/>
              <w:rPr>
                <w:color w:val="5E2F7E" w:themeColor="accent5"/>
              </w:rPr>
            </w:pPr>
          </w:p>
        </w:tc>
        <w:tc>
          <w:tcPr>
            <w:tcW w:w="597" w:type="dxa"/>
            <w:tcBorders>
              <w:right w:val="single" w:sz="8" w:space="0" w:color="5E2F7E" w:themeColor="accent5"/>
            </w:tcBorders>
            <w:shd w:val="clear" w:color="auto" w:fill="FFFFFF" w:themeFill="background2"/>
          </w:tcPr>
          <w:p w14:paraId="5F35A674" w14:textId="77777777" w:rsidR="00D30B4F" w:rsidRDefault="00D30B4F" w:rsidP="00B61DD7">
            <w:pPr>
              <w:pStyle w:val="Body"/>
            </w:pPr>
          </w:p>
        </w:tc>
        <w:tc>
          <w:tcPr>
            <w:tcW w:w="2568" w:type="dxa"/>
            <w:tcBorders>
              <w:left w:val="single" w:sz="8" w:space="0" w:color="5E2F7E" w:themeColor="accent5"/>
              <w:bottom w:val="single" w:sz="8" w:space="0" w:color="5E2F7E" w:themeColor="accent5"/>
              <w:right w:val="single" w:sz="8" w:space="0" w:color="5E2F7E" w:themeColor="accent5"/>
            </w:tcBorders>
            <w:shd w:val="clear" w:color="auto" w:fill="FFFFFF" w:themeFill="background2"/>
          </w:tcPr>
          <w:p w14:paraId="283FA960" w14:textId="5CC0E356" w:rsidR="00D30B4F" w:rsidRPr="0066636A" w:rsidRDefault="00D30B4F" w:rsidP="00D30B4F">
            <w:pPr>
              <w:pStyle w:val="Body-Financial"/>
              <w:ind w:left="108" w:right="108"/>
              <w:rPr>
                <w:sz w:val="18"/>
                <w:szCs w:val="18"/>
              </w:rPr>
            </w:pPr>
            <w:r w:rsidRPr="0066636A">
              <w:rPr>
                <w:b/>
                <w:bCs/>
                <w:sz w:val="18"/>
                <w:szCs w:val="18"/>
              </w:rPr>
              <w:t>Strategic Objective 6</w:t>
            </w:r>
            <w:r w:rsidRPr="0066636A">
              <w:rPr>
                <w:sz w:val="18"/>
                <w:szCs w:val="18"/>
              </w:rPr>
              <w:br/>
            </w:r>
            <w:r w:rsidR="00085121" w:rsidRPr="00085121">
              <w:rPr>
                <w:sz w:val="18"/>
                <w:szCs w:val="18"/>
              </w:rPr>
              <w:t>Conduct independent and transparent decision-making and engage with stakeholders</w:t>
            </w:r>
          </w:p>
        </w:tc>
      </w:tr>
    </w:tbl>
    <w:p w14:paraId="7D030CC7" w14:textId="17C9811C" w:rsidR="00A849F4" w:rsidRDefault="00A849F4" w:rsidP="00B61DD7">
      <w:pPr>
        <w:pStyle w:val="Body"/>
      </w:pPr>
    </w:p>
    <w:p w14:paraId="286AC892" w14:textId="77777777" w:rsidR="007773EA" w:rsidRDefault="007773EA" w:rsidP="00B61DD7">
      <w:pPr>
        <w:pStyle w:val="Body"/>
      </w:pPr>
    </w:p>
    <w:p w14:paraId="19B2FCE5" w14:textId="77777777" w:rsidR="003C7A8F" w:rsidRDefault="003C7A8F" w:rsidP="00902497">
      <w:pPr>
        <w:pStyle w:val="Body"/>
        <w:sectPr w:rsidR="003C7A8F" w:rsidSect="00BF350C">
          <w:footerReference w:type="default" r:id="rId116"/>
          <w:pgSz w:w="9979" w:h="14175"/>
          <w:pgMar w:top="993" w:right="1134" w:bottom="851" w:left="1134" w:header="709" w:footer="709" w:gutter="0"/>
          <w:cols w:space="282"/>
          <w:docGrid w:linePitch="360"/>
        </w:sectPr>
      </w:pPr>
    </w:p>
    <w:p w14:paraId="5C5BB54E" w14:textId="17A824E4" w:rsidR="00186C85" w:rsidRPr="001E069F" w:rsidRDefault="001E069F" w:rsidP="00186C85">
      <w:pPr>
        <w:pStyle w:val="Heading1"/>
        <w:rPr>
          <w:color w:val="5E2F7E" w:themeColor="accent5"/>
        </w:rPr>
      </w:pPr>
      <w:bookmarkStart w:id="50" w:name="_Toc114824431"/>
      <w:r>
        <w:rPr>
          <w:color w:val="5E2F7E" w:themeColor="accent5"/>
        </w:rPr>
        <w:lastRenderedPageBreak/>
        <w:t xml:space="preserve">4.3 </w:t>
      </w:r>
      <w:r w:rsidR="00186C85" w:rsidRPr="001E069F">
        <w:rPr>
          <w:color w:val="5E2F7E" w:themeColor="accent5"/>
        </w:rPr>
        <w:t>Activities</w:t>
      </w:r>
      <w:bookmarkEnd w:id="50"/>
    </w:p>
    <w:p w14:paraId="45475EA8" w14:textId="28310BC3" w:rsidR="00186C85" w:rsidRPr="001E069F" w:rsidRDefault="00186C85" w:rsidP="00186C85">
      <w:pPr>
        <w:pStyle w:val="H3"/>
        <w:rPr>
          <w:color w:val="5E2F7E" w:themeColor="accent5"/>
        </w:rPr>
      </w:pPr>
      <w:r w:rsidRPr="001E069F">
        <w:rPr>
          <w:color w:val="5E2F7E" w:themeColor="accent5"/>
        </w:rPr>
        <w:t>Activity 1: Perform IHPA pricing functions</w:t>
      </w:r>
    </w:p>
    <w:p w14:paraId="4FA1C67D" w14:textId="157042E0" w:rsidR="00410201" w:rsidRDefault="00410201" w:rsidP="00410201">
      <w:pPr>
        <w:pStyle w:val="Body"/>
      </w:pPr>
      <w:r>
        <w:t xml:space="preserve">IHPA’s primary function is to produce the National Efficient Price </w:t>
      </w:r>
      <w:r w:rsidR="00A55146">
        <w:t xml:space="preserve">Determination </w:t>
      </w:r>
      <w:r>
        <w:t>and the National Efficient Cost Determination each year. The Pricing Framework for Australian Public Hospital Services (Pricing Framework) forms the policy basis for the Determinations. The Pricing Framework outlines the principles, scope and methodology to be adopted by IHPA in determining the national efficient price and national efficient cost for public hospital services in the next financial year.</w:t>
      </w:r>
    </w:p>
    <w:p w14:paraId="0C48838D" w14:textId="6EDA5497" w:rsidR="00410201" w:rsidRDefault="00410201" w:rsidP="00410201">
      <w:pPr>
        <w:pStyle w:val="Body"/>
      </w:pPr>
      <w:r>
        <w:t>During 2021–22, IHPA undertook significant technical developments to improve the price setting process and</w:t>
      </w:r>
      <w:r w:rsidR="00F16D44">
        <w:t> </w:t>
      </w:r>
      <w:r>
        <w:t xml:space="preserve">continued to refine the models used to determine the national efficient price and national efficient cost. These refinements were driven by the significant and potentially long-lasting changes to models of care and service delivery in Australian public hospitals as a result of coronavirus disease 2019 (COVID-19). </w:t>
      </w:r>
    </w:p>
    <w:p w14:paraId="54EB7F67" w14:textId="77777777" w:rsidR="00410201" w:rsidRDefault="00410201" w:rsidP="00410201">
      <w:pPr>
        <w:pStyle w:val="Body"/>
      </w:pPr>
      <w:r>
        <w:t>IHPA worked closely with the Administrator of the National Health Funding Pool to provide assistance in the implementation of the National Partnership for COVID-19 Response, and monitored the changes reported by jurisdictions as a result of the response to COVID-19 to ensure its price setting responds accordingly.</w:t>
      </w:r>
    </w:p>
    <w:p w14:paraId="07BC8D2B" w14:textId="17B1344F" w:rsidR="00F51174" w:rsidRDefault="00F51174" w:rsidP="00F51174">
      <w:pPr>
        <w:pStyle w:val="H3"/>
        <w:spacing w:before="360"/>
        <w:rPr>
          <w:color w:val="5E2F7E" w:themeColor="accent5"/>
        </w:rPr>
      </w:pPr>
      <w:r w:rsidRPr="00CB09AF">
        <w:rPr>
          <w:noProof/>
          <w:color w:val="5E2F7E" w:themeColor="accent5"/>
          <w:sz w:val="28"/>
          <w:szCs w:val="28"/>
          <w:lang w:eastAsia="en-AU"/>
        </w:rPr>
        <mc:AlternateContent>
          <mc:Choice Requires="wps">
            <w:drawing>
              <wp:anchor distT="0" distB="0" distL="114300" distR="114300" simplePos="0" relativeHeight="252067840" behindDoc="1" locked="0" layoutInCell="1" allowOverlap="1" wp14:anchorId="5A07946E" wp14:editId="41F2D74E">
                <wp:simplePos x="0" y="0"/>
                <wp:positionH relativeFrom="column">
                  <wp:posOffset>-205740</wp:posOffset>
                </wp:positionH>
                <wp:positionV relativeFrom="paragraph">
                  <wp:posOffset>29845</wp:posOffset>
                </wp:positionV>
                <wp:extent cx="5365750" cy="4286250"/>
                <wp:effectExtent l="0" t="0" r="19050" b="19050"/>
                <wp:wrapNone/>
                <wp:docPr id="97" name="Rectangle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5750" cy="4286250"/>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B9CA6" id="Rectangle 97" o:spid="_x0000_s1026" alt="&quot;&quot;" style="position:absolute;margin-left:-16.2pt;margin-top:2.35pt;width:422.5pt;height:337.5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" filled="f" strokecolor="#5e2f7e [3208]" strokeweight=".5pt"/>
            </w:pict>
          </mc:Fallback>
        </mc:AlternateContent>
      </w:r>
      <w:r w:rsidRPr="00CB09AF">
        <w:rPr>
          <w:color w:val="5E2F7E" w:themeColor="accent5"/>
        </w:rPr>
        <w:t>Results</w:t>
      </w:r>
    </w:p>
    <w:p w14:paraId="67804D03" w14:textId="77777777" w:rsidR="00F51174" w:rsidRPr="00CB09AF" w:rsidRDefault="00F51174" w:rsidP="00F51174">
      <w:pPr>
        <w:pStyle w:val="Body"/>
      </w:pPr>
      <w:r>
        <w:t>The reporting of Activity 1 in this annual report refers to the deliverables of Strategic Objective 1 in the IHPA Work Program and Corporate Plan 2021</w:t>
      </w:r>
      <w:r>
        <w:softHyphen/>
        <w:t>–22, as part of Program 1.1 of the Portfolio Budget Statements.</w:t>
      </w:r>
    </w:p>
    <w:p w14:paraId="4017543E" w14:textId="77777777" w:rsidR="00F51174" w:rsidRDefault="00F51174" w:rsidP="00F51174">
      <w:pPr>
        <w:pStyle w:val="FigureHeading"/>
        <w:spacing w:after="120"/>
      </w:pPr>
      <w:bookmarkStart w:id="51" w:name="_Toc114824656"/>
      <w:r w:rsidRPr="00466E0A">
        <w:t xml:space="preserve">Table </w:t>
      </w:r>
      <w:r>
        <w:t>1</w:t>
      </w:r>
      <w:r w:rsidRPr="00466E0A">
        <w:t>: Summary of Performance for Activity 1 in 2021–22</w:t>
      </w:r>
      <w:bookmarkEnd w:id="51"/>
    </w:p>
    <w:tbl>
      <w:tblPr>
        <w:tblStyle w:val="IHPATable"/>
        <w:tblW w:w="7797" w:type="dxa"/>
        <w:tblLayout w:type="fixed"/>
        <w:tblLook w:val="0020" w:firstRow="1" w:lastRow="0" w:firstColumn="0" w:lastColumn="0" w:noHBand="0" w:noVBand="0"/>
      </w:tblPr>
      <w:tblGrid>
        <w:gridCol w:w="5812"/>
        <w:gridCol w:w="992"/>
        <w:gridCol w:w="993"/>
      </w:tblGrid>
      <w:tr w:rsidR="00F51174" w:rsidRPr="00CB09AF" w14:paraId="5B7FBD0D"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5812" w:type="dxa"/>
            <w:shd w:val="clear" w:color="auto" w:fill="5E2F7E" w:themeFill="accent5"/>
            <w:vAlign w:val="center"/>
          </w:tcPr>
          <w:p w14:paraId="49DFCB81" w14:textId="77777777" w:rsidR="00F51174" w:rsidRPr="00CB09AF" w:rsidRDefault="00F51174" w:rsidP="00B15944">
            <w:pPr>
              <w:pStyle w:val="Body"/>
              <w:rPr>
                <w:rFonts w:asciiTheme="majorHAnsi" w:hAnsiTheme="majorHAnsi"/>
                <w:color w:val="FFFFFF" w:themeColor="background2"/>
              </w:rPr>
            </w:pPr>
            <w:r>
              <w:rPr>
                <w:rFonts w:asciiTheme="majorHAnsi" w:hAnsiTheme="majorHAnsi"/>
                <w:color w:val="FFFFFF" w:themeColor="background2"/>
              </w:rPr>
              <w:t>Activity</w:t>
            </w:r>
          </w:p>
        </w:tc>
        <w:tc>
          <w:tcPr>
            <w:tcW w:w="992" w:type="dxa"/>
            <w:shd w:val="clear" w:color="auto" w:fill="5E2F7E" w:themeFill="accent5"/>
            <w:vAlign w:val="center"/>
          </w:tcPr>
          <w:p w14:paraId="298EFA24" w14:textId="77777777" w:rsidR="00F51174" w:rsidRPr="00CB09AF" w:rsidRDefault="00F51174" w:rsidP="00B15944">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6D1F0E98" w14:textId="77777777" w:rsidR="00F51174" w:rsidRPr="00CB09AF" w:rsidRDefault="00F51174" w:rsidP="00B15944">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9451D2" w:rsidRPr="00466E0A" w14:paraId="1D2F68AB"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4E8481D9" w14:textId="6EDE43BD" w:rsidR="009451D2" w:rsidRPr="00466E0A" w:rsidRDefault="009451D2" w:rsidP="009451D2">
            <w:pPr>
              <w:pStyle w:val="Body-Financial"/>
              <w:spacing w:after="0"/>
              <w:rPr>
                <w:sz w:val="18"/>
              </w:rPr>
            </w:pPr>
            <w:r w:rsidRPr="00466E0A">
              <w:rPr>
                <w:sz w:val="18"/>
              </w:rPr>
              <w:t>Completion of public submission process for the Pricing Framework for Australian Public Hospital Services 2022–23</w:t>
            </w:r>
            <w:r w:rsidR="00085121">
              <w:rPr>
                <w:sz w:val="18"/>
              </w:rPr>
              <w:t>.</w:t>
            </w:r>
          </w:p>
        </w:tc>
        <w:tc>
          <w:tcPr>
            <w:tcW w:w="992" w:type="dxa"/>
            <w:tcMar>
              <w:top w:w="85" w:type="dxa"/>
              <w:bottom w:w="85" w:type="dxa"/>
            </w:tcMar>
          </w:tcPr>
          <w:p w14:paraId="4C7651C6" w14:textId="77777777" w:rsidR="009451D2" w:rsidRPr="00466E0A" w:rsidRDefault="009451D2" w:rsidP="009451D2">
            <w:pPr>
              <w:pStyle w:val="Body-Financial"/>
              <w:spacing w:after="0"/>
              <w:jc w:val="right"/>
              <w:rPr>
                <w:sz w:val="18"/>
              </w:rPr>
            </w:pPr>
            <w:r>
              <w:rPr>
                <w:sz w:val="18"/>
              </w:rPr>
              <w:t>Jul 2021</w:t>
            </w:r>
          </w:p>
        </w:tc>
        <w:tc>
          <w:tcPr>
            <w:tcW w:w="993" w:type="dxa"/>
          </w:tcPr>
          <w:p w14:paraId="722C0101" w14:textId="77777777" w:rsidR="009451D2" w:rsidRPr="00466E0A" w:rsidRDefault="009451D2" w:rsidP="009451D2">
            <w:pPr>
              <w:pStyle w:val="Body-Financial"/>
              <w:spacing w:after="0"/>
              <w:jc w:val="right"/>
              <w:rPr>
                <w:sz w:val="18"/>
              </w:rPr>
            </w:pPr>
            <w:r>
              <w:rPr>
                <w:sz w:val="18"/>
              </w:rPr>
              <w:t>Delivered</w:t>
            </w:r>
          </w:p>
        </w:tc>
      </w:tr>
      <w:tr w:rsidR="009451D2" w:rsidRPr="00466E0A" w14:paraId="1920099C"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3ECF31C7" w14:textId="7231F52F" w:rsidR="009451D2" w:rsidRPr="00466E0A" w:rsidRDefault="009451D2" w:rsidP="009451D2">
            <w:pPr>
              <w:pStyle w:val="Body-Financial"/>
              <w:spacing w:after="0"/>
              <w:rPr>
                <w:sz w:val="18"/>
              </w:rPr>
            </w:pPr>
            <w:r w:rsidRPr="00997286">
              <w:rPr>
                <w:sz w:val="18"/>
                <w:lang w:val="en-PH"/>
              </w:rPr>
              <w:t>Provision of the draft Pricing Framework for Australian Public Hospital Services 2022–23 to health ministers for a 45-day comment period.</w:t>
            </w:r>
          </w:p>
        </w:tc>
        <w:tc>
          <w:tcPr>
            <w:tcW w:w="992" w:type="dxa"/>
            <w:tcMar>
              <w:top w:w="85" w:type="dxa"/>
              <w:bottom w:w="85" w:type="dxa"/>
            </w:tcMar>
          </w:tcPr>
          <w:p w14:paraId="2DB567FA" w14:textId="77777777" w:rsidR="009451D2" w:rsidRPr="00466E0A" w:rsidRDefault="009451D2" w:rsidP="009451D2">
            <w:pPr>
              <w:pStyle w:val="Body-Financial"/>
              <w:spacing w:after="0"/>
              <w:jc w:val="right"/>
              <w:rPr>
                <w:sz w:val="18"/>
              </w:rPr>
            </w:pPr>
            <w:r>
              <w:rPr>
                <w:sz w:val="18"/>
              </w:rPr>
              <w:t>Sep 2021</w:t>
            </w:r>
          </w:p>
        </w:tc>
        <w:tc>
          <w:tcPr>
            <w:tcW w:w="993" w:type="dxa"/>
          </w:tcPr>
          <w:p w14:paraId="23629CA4" w14:textId="77777777" w:rsidR="009451D2" w:rsidRPr="00466E0A" w:rsidRDefault="009451D2" w:rsidP="009451D2">
            <w:pPr>
              <w:pStyle w:val="Body-Financial"/>
              <w:spacing w:after="0"/>
              <w:jc w:val="right"/>
              <w:rPr>
                <w:sz w:val="18"/>
              </w:rPr>
            </w:pPr>
            <w:r>
              <w:rPr>
                <w:sz w:val="18"/>
              </w:rPr>
              <w:t>Delivered</w:t>
            </w:r>
          </w:p>
        </w:tc>
      </w:tr>
      <w:tr w:rsidR="009451D2" w:rsidRPr="00466E0A" w14:paraId="02175904"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7D1D6AD4" w14:textId="3EB78D29" w:rsidR="009451D2" w:rsidRPr="00466E0A" w:rsidRDefault="009451D2" w:rsidP="009451D2">
            <w:pPr>
              <w:pStyle w:val="Body-Financial"/>
              <w:spacing w:after="0"/>
              <w:ind w:right="33"/>
              <w:rPr>
                <w:sz w:val="18"/>
              </w:rPr>
            </w:pPr>
            <w:r w:rsidRPr="00997286">
              <w:rPr>
                <w:sz w:val="18"/>
                <w:lang w:val="en-PH"/>
              </w:rPr>
              <w:t>Publish the Pricing Framework for Australian Public Hospital Services 2022–23.</w:t>
            </w:r>
          </w:p>
        </w:tc>
        <w:tc>
          <w:tcPr>
            <w:tcW w:w="992" w:type="dxa"/>
            <w:tcMar>
              <w:top w:w="85" w:type="dxa"/>
              <w:bottom w:w="85" w:type="dxa"/>
            </w:tcMar>
          </w:tcPr>
          <w:p w14:paraId="6C9839F4" w14:textId="77777777" w:rsidR="009451D2" w:rsidRPr="00466E0A" w:rsidRDefault="009451D2" w:rsidP="009451D2">
            <w:pPr>
              <w:pStyle w:val="Body-Financial"/>
              <w:spacing w:after="0"/>
              <w:jc w:val="right"/>
              <w:rPr>
                <w:sz w:val="18"/>
              </w:rPr>
            </w:pPr>
            <w:r>
              <w:rPr>
                <w:sz w:val="18"/>
              </w:rPr>
              <w:t>Dec 2021</w:t>
            </w:r>
          </w:p>
        </w:tc>
        <w:tc>
          <w:tcPr>
            <w:tcW w:w="993" w:type="dxa"/>
          </w:tcPr>
          <w:p w14:paraId="26F4380F" w14:textId="77777777" w:rsidR="009451D2" w:rsidRPr="00466E0A" w:rsidRDefault="009451D2" w:rsidP="009451D2">
            <w:pPr>
              <w:pStyle w:val="Body-Financial"/>
              <w:spacing w:after="0"/>
              <w:jc w:val="right"/>
              <w:rPr>
                <w:sz w:val="18"/>
              </w:rPr>
            </w:pPr>
            <w:r>
              <w:rPr>
                <w:sz w:val="18"/>
              </w:rPr>
              <w:t>Delivered</w:t>
            </w:r>
          </w:p>
        </w:tc>
      </w:tr>
      <w:tr w:rsidR="009451D2" w:rsidRPr="00466E0A" w14:paraId="222E76DB"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54BE9F75" w14:textId="3850150B" w:rsidR="009451D2" w:rsidRPr="00466E0A" w:rsidRDefault="009451D2" w:rsidP="009451D2">
            <w:pPr>
              <w:pStyle w:val="Body-Financial"/>
              <w:spacing w:after="0"/>
              <w:rPr>
                <w:sz w:val="18"/>
              </w:rPr>
            </w:pPr>
            <w:r w:rsidRPr="00997286">
              <w:rPr>
                <w:sz w:val="18"/>
                <w:lang w:val="en-PH"/>
              </w:rPr>
              <w:t>Finalise decisions on the General List of In-Scope Public Hospital Services for additional or altered in-scope services for 2022–23.</w:t>
            </w:r>
          </w:p>
        </w:tc>
        <w:tc>
          <w:tcPr>
            <w:tcW w:w="992" w:type="dxa"/>
            <w:tcMar>
              <w:top w:w="85" w:type="dxa"/>
              <w:bottom w:w="85" w:type="dxa"/>
            </w:tcMar>
          </w:tcPr>
          <w:p w14:paraId="2FF81D67" w14:textId="77777777" w:rsidR="009451D2" w:rsidRPr="00466E0A" w:rsidRDefault="009451D2" w:rsidP="009451D2">
            <w:pPr>
              <w:pStyle w:val="Body-Financial"/>
              <w:spacing w:after="0"/>
              <w:jc w:val="right"/>
              <w:rPr>
                <w:sz w:val="18"/>
              </w:rPr>
            </w:pPr>
            <w:r>
              <w:rPr>
                <w:sz w:val="18"/>
              </w:rPr>
              <w:t>Dec 2021</w:t>
            </w:r>
          </w:p>
        </w:tc>
        <w:tc>
          <w:tcPr>
            <w:tcW w:w="993" w:type="dxa"/>
          </w:tcPr>
          <w:p w14:paraId="5C8CD75A" w14:textId="77777777" w:rsidR="009451D2" w:rsidRPr="00466E0A" w:rsidRDefault="009451D2" w:rsidP="009451D2">
            <w:pPr>
              <w:pStyle w:val="Body-Financial"/>
              <w:spacing w:after="0"/>
              <w:jc w:val="right"/>
              <w:rPr>
                <w:sz w:val="18"/>
              </w:rPr>
            </w:pPr>
            <w:r>
              <w:rPr>
                <w:sz w:val="18"/>
              </w:rPr>
              <w:t>Delivered</w:t>
            </w:r>
          </w:p>
        </w:tc>
      </w:tr>
      <w:tr w:rsidR="009451D2" w:rsidRPr="00466E0A" w14:paraId="5C28D9D1"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6B927D42" w14:textId="17A6C3AD" w:rsidR="009451D2" w:rsidRPr="00466E0A" w:rsidRDefault="009451D2" w:rsidP="009451D2">
            <w:pPr>
              <w:pStyle w:val="Body-Financial"/>
              <w:spacing w:after="0"/>
              <w:rPr>
                <w:sz w:val="18"/>
              </w:rPr>
            </w:pPr>
            <w:r w:rsidRPr="00997286">
              <w:rPr>
                <w:sz w:val="18"/>
                <w:lang w:val="en-PH"/>
              </w:rPr>
              <w:t>Finalise decisions on the legitimate and unavoidable cost variations to assess changes or adjustments to the National Efficient Price Determination 2022−23.</w:t>
            </w:r>
          </w:p>
        </w:tc>
        <w:tc>
          <w:tcPr>
            <w:tcW w:w="992" w:type="dxa"/>
            <w:tcMar>
              <w:top w:w="85" w:type="dxa"/>
              <w:bottom w:w="85" w:type="dxa"/>
            </w:tcMar>
          </w:tcPr>
          <w:p w14:paraId="6DDC34AD" w14:textId="77777777" w:rsidR="009451D2" w:rsidRPr="00466E0A" w:rsidRDefault="009451D2" w:rsidP="009451D2">
            <w:pPr>
              <w:pStyle w:val="Body-Financial"/>
              <w:spacing w:after="0"/>
              <w:jc w:val="right"/>
              <w:rPr>
                <w:sz w:val="18"/>
              </w:rPr>
            </w:pPr>
            <w:r>
              <w:rPr>
                <w:sz w:val="18"/>
              </w:rPr>
              <w:t>Dec 2021</w:t>
            </w:r>
          </w:p>
        </w:tc>
        <w:tc>
          <w:tcPr>
            <w:tcW w:w="993" w:type="dxa"/>
          </w:tcPr>
          <w:p w14:paraId="33DDB9AC" w14:textId="77777777" w:rsidR="009451D2" w:rsidRPr="00466E0A" w:rsidRDefault="009451D2" w:rsidP="009451D2">
            <w:pPr>
              <w:pStyle w:val="Body-Financial"/>
              <w:spacing w:after="0"/>
              <w:jc w:val="right"/>
              <w:rPr>
                <w:sz w:val="18"/>
              </w:rPr>
            </w:pPr>
            <w:r>
              <w:rPr>
                <w:sz w:val="18"/>
              </w:rPr>
              <w:t>Delivered</w:t>
            </w:r>
          </w:p>
        </w:tc>
      </w:tr>
      <w:tr w:rsidR="009451D2" w:rsidRPr="00466E0A" w14:paraId="75115699"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26391B11" w14:textId="61F26F5F" w:rsidR="009451D2" w:rsidRPr="00466E0A" w:rsidRDefault="009451D2" w:rsidP="009451D2">
            <w:pPr>
              <w:pStyle w:val="Body-Financial"/>
              <w:spacing w:after="0"/>
              <w:rPr>
                <w:sz w:val="18"/>
              </w:rPr>
            </w:pPr>
            <w:r w:rsidRPr="00997286">
              <w:rPr>
                <w:sz w:val="18"/>
                <w:lang w:val="en-PH"/>
              </w:rPr>
              <w:t xml:space="preserve">Provide the draft National Efficient Price </w:t>
            </w:r>
            <w:r>
              <w:rPr>
                <w:sz w:val="18"/>
                <w:lang w:val="en-PH"/>
              </w:rPr>
              <w:t xml:space="preserve">Determination </w:t>
            </w:r>
            <w:r w:rsidRPr="00997286">
              <w:rPr>
                <w:sz w:val="18"/>
                <w:lang w:val="en-PH"/>
              </w:rPr>
              <w:t>and National Efficient Cost Determination 2022–23 to health ministers for a 45-day comment period.</w:t>
            </w:r>
          </w:p>
        </w:tc>
        <w:tc>
          <w:tcPr>
            <w:tcW w:w="992" w:type="dxa"/>
            <w:tcMar>
              <w:top w:w="85" w:type="dxa"/>
              <w:bottom w:w="85" w:type="dxa"/>
            </w:tcMar>
          </w:tcPr>
          <w:p w14:paraId="77D0237A" w14:textId="77777777" w:rsidR="009451D2" w:rsidRPr="00466E0A" w:rsidRDefault="009451D2" w:rsidP="009451D2">
            <w:pPr>
              <w:pStyle w:val="Body-Financial"/>
              <w:spacing w:after="0"/>
              <w:jc w:val="right"/>
              <w:rPr>
                <w:sz w:val="18"/>
              </w:rPr>
            </w:pPr>
            <w:r>
              <w:rPr>
                <w:sz w:val="18"/>
              </w:rPr>
              <w:t>Dec 2021</w:t>
            </w:r>
          </w:p>
        </w:tc>
        <w:tc>
          <w:tcPr>
            <w:tcW w:w="993" w:type="dxa"/>
          </w:tcPr>
          <w:p w14:paraId="06EE0A64" w14:textId="77777777" w:rsidR="009451D2" w:rsidRPr="00466E0A" w:rsidRDefault="009451D2" w:rsidP="009451D2">
            <w:pPr>
              <w:pStyle w:val="Body-Financial"/>
              <w:spacing w:after="0"/>
              <w:jc w:val="right"/>
              <w:rPr>
                <w:sz w:val="18"/>
              </w:rPr>
            </w:pPr>
            <w:r>
              <w:rPr>
                <w:sz w:val="18"/>
              </w:rPr>
              <w:t>Delivered</w:t>
            </w:r>
          </w:p>
        </w:tc>
      </w:tr>
      <w:tr w:rsidR="009451D2" w:rsidRPr="00466E0A" w14:paraId="20E4A547"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3534153B" w14:textId="3238BD0D" w:rsidR="009451D2" w:rsidRPr="00466E0A" w:rsidRDefault="009451D2" w:rsidP="009451D2">
            <w:pPr>
              <w:pStyle w:val="Body-Financial"/>
              <w:spacing w:after="0"/>
              <w:rPr>
                <w:sz w:val="18"/>
              </w:rPr>
            </w:pPr>
            <w:r w:rsidRPr="00997286">
              <w:rPr>
                <w:sz w:val="18"/>
                <w:lang w:val="en-PH"/>
              </w:rPr>
              <w:t xml:space="preserve">Publish the National Efficient Price </w:t>
            </w:r>
            <w:r>
              <w:rPr>
                <w:sz w:val="18"/>
                <w:lang w:val="en-PH"/>
              </w:rPr>
              <w:t xml:space="preserve">Determination </w:t>
            </w:r>
            <w:r w:rsidRPr="00997286">
              <w:rPr>
                <w:sz w:val="18"/>
                <w:lang w:val="en-PH"/>
              </w:rPr>
              <w:t>and National Efficient Cost Determination 2022–23.</w:t>
            </w:r>
          </w:p>
        </w:tc>
        <w:tc>
          <w:tcPr>
            <w:tcW w:w="992" w:type="dxa"/>
            <w:tcMar>
              <w:top w:w="85" w:type="dxa"/>
              <w:bottom w:w="85" w:type="dxa"/>
            </w:tcMar>
          </w:tcPr>
          <w:p w14:paraId="2A1F56C5" w14:textId="77777777" w:rsidR="009451D2" w:rsidRPr="00466E0A" w:rsidRDefault="009451D2" w:rsidP="009451D2">
            <w:pPr>
              <w:pStyle w:val="Body-Financial"/>
              <w:spacing w:after="0"/>
              <w:jc w:val="right"/>
              <w:rPr>
                <w:sz w:val="18"/>
              </w:rPr>
            </w:pPr>
            <w:r>
              <w:rPr>
                <w:sz w:val="18"/>
              </w:rPr>
              <w:t>Mar 2022</w:t>
            </w:r>
          </w:p>
        </w:tc>
        <w:tc>
          <w:tcPr>
            <w:tcW w:w="993" w:type="dxa"/>
          </w:tcPr>
          <w:p w14:paraId="0F509158" w14:textId="77777777" w:rsidR="009451D2" w:rsidRPr="00466E0A" w:rsidRDefault="009451D2" w:rsidP="009451D2">
            <w:pPr>
              <w:pStyle w:val="Body-Financial"/>
              <w:spacing w:after="0"/>
              <w:jc w:val="right"/>
              <w:rPr>
                <w:sz w:val="18"/>
              </w:rPr>
            </w:pPr>
            <w:r>
              <w:rPr>
                <w:sz w:val="18"/>
              </w:rPr>
              <w:t>Delivered</w:t>
            </w:r>
          </w:p>
        </w:tc>
      </w:tr>
    </w:tbl>
    <w:p w14:paraId="02DEA0E7" w14:textId="77777777" w:rsidR="00F51174" w:rsidRDefault="00F51174" w:rsidP="00902497">
      <w:pPr>
        <w:pStyle w:val="Body"/>
      </w:pPr>
    </w:p>
    <w:p w14:paraId="0F34F3B3" w14:textId="2E8FBA8D" w:rsidR="002C44E4" w:rsidRDefault="002C44E4" w:rsidP="00902497">
      <w:pPr>
        <w:pStyle w:val="Body"/>
        <w:sectPr w:rsidR="002C44E4" w:rsidSect="00BF350C">
          <w:footerReference w:type="default" r:id="rId117"/>
          <w:pgSz w:w="9979" w:h="14175"/>
          <w:pgMar w:top="993" w:right="1134" w:bottom="851" w:left="1134" w:header="709" w:footer="709" w:gutter="0"/>
          <w:cols w:space="282"/>
          <w:docGrid w:linePitch="360"/>
        </w:sectPr>
      </w:pPr>
    </w:p>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5812"/>
        <w:gridCol w:w="992"/>
        <w:gridCol w:w="993"/>
      </w:tblGrid>
      <w:tr w:rsidR="001916EA" w:rsidRPr="00466E0A" w14:paraId="384A3148" w14:textId="771C12F3" w:rsidTr="00CF1BCD">
        <w:trPr>
          <w:cnfStyle w:val="100000000000" w:firstRow="1" w:lastRow="0" w:firstColumn="0" w:lastColumn="0" w:oddVBand="0" w:evenVBand="0" w:oddHBand="0" w:evenHBand="0" w:firstRowFirstColumn="0" w:firstRowLastColumn="0" w:lastRowFirstColumn="0" w:lastRowLastColumn="0"/>
          <w:trHeight w:val="397"/>
        </w:trPr>
        <w:tc>
          <w:tcPr>
            <w:tcW w:w="5812" w:type="dxa"/>
            <w:shd w:val="clear" w:color="auto" w:fill="5E2F7E" w:themeFill="accent5"/>
            <w:vAlign w:val="center"/>
          </w:tcPr>
          <w:p w14:paraId="3CDF5F70" w14:textId="1DFF2DF2" w:rsidR="001916EA" w:rsidRPr="00CB09AF" w:rsidRDefault="001916EA" w:rsidP="001916EA">
            <w:pPr>
              <w:pStyle w:val="Body"/>
              <w:rPr>
                <w:rFonts w:asciiTheme="majorHAnsi" w:hAnsiTheme="majorHAnsi"/>
                <w:color w:val="FFFFFF" w:themeColor="background2"/>
              </w:rPr>
            </w:pPr>
            <w:r>
              <w:rPr>
                <w:rFonts w:asciiTheme="majorHAnsi" w:hAnsiTheme="majorHAnsi"/>
                <w:color w:val="FFFFFF" w:themeColor="background2"/>
              </w:rPr>
              <w:lastRenderedPageBreak/>
              <w:t>Activity</w:t>
            </w:r>
          </w:p>
        </w:tc>
        <w:tc>
          <w:tcPr>
            <w:tcW w:w="992" w:type="dxa"/>
            <w:shd w:val="clear" w:color="auto" w:fill="5E2F7E" w:themeFill="accent5"/>
            <w:vAlign w:val="center"/>
          </w:tcPr>
          <w:p w14:paraId="33BEC2F6" w14:textId="711EF30D" w:rsidR="001916EA" w:rsidRPr="00CB09AF" w:rsidRDefault="001916EA" w:rsidP="00CF1BCD">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0B0FDCE1" w14:textId="5A778E5B" w:rsidR="001916EA" w:rsidRPr="00CB09AF" w:rsidRDefault="001916EA" w:rsidP="00CF1BCD">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A8605F" w:rsidRPr="00466E0A" w14:paraId="3052E6ED" w14:textId="53E9F9C2" w:rsidTr="00CF1BCD">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4A393487" w14:textId="2F6DA8A4" w:rsidR="00A8605F" w:rsidRPr="00466E0A" w:rsidRDefault="00A8605F" w:rsidP="00A8605F">
            <w:pPr>
              <w:pStyle w:val="Body-Financial"/>
              <w:spacing w:after="0"/>
              <w:rPr>
                <w:sz w:val="18"/>
              </w:rPr>
            </w:pPr>
            <w:r w:rsidRPr="00997286">
              <w:rPr>
                <w:sz w:val="18"/>
                <w:lang w:val="en-PH"/>
              </w:rPr>
              <w:t>Continue to assess the recommendations provided in the Fundamental Review.</w:t>
            </w:r>
          </w:p>
        </w:tc>
        <w:tc>
          <w:tcPr>
            <w:tcW w:w="992" w:type="dxa"/>
            <w:tcMar>
              <w:top w:w="85" w:type="dxa"/>
              <w:bottom w:w="85" w:type="dxa"/>
            </w:tcMar>
          </w:tcPr>
          <w:p w14:paraId="0FA10BEB" w14:textId="7D22C79F" w:rsidR="00A8605F" w:rsidRPr="00466E0A" w:rsidRDefault="00A8605F" w:rsidP="00A8605F">
            <w:pPr>
              <w:pStyle w:val="Body-Financial"/>
              <w:spacing w:after="0"/>
              <w:jc w:val="right"/>
              <w:rPr>
                <w:sz w:val="18"/>
              </w:rPr>
            </w:pPr>
            <w:r w:rsidRPr="00466E0A">
              <w:rPr>
                <w:sz w:val="18"/>
              </w:rPr>
              <w:t xml:space="preserve"> </w:t>
            </w:r>
            <w:r>
              <w:rPr>
                <w:sz w:val="18"/>
              </w:rPr>
              <w:t>Ongoing</w:t>
            </w:r>
          </w:p>
        </w:tc>
        <w:tc>
          <w:tcPr>
            <w:tcW w:w="993" w:type="dxa"/>
          </w:tcPr>
          <w:p w14:paraId="521F679C" w14:textId="712801CC" w:rsidR="00A8605F" w:rsidRPr="00466E0A" w:rsidRDefault="00A8605F" w:rsidP="00A8605F">
            <w:pPr>
              <w:pStyle w:val="Body-Financial"/>
              <w:spacing w:after="0"/>
              <w:jc w:val="right"/>
              <w:rPr>
                <w:sz w:val="18"/>
              </w:rPr>
            </w:pPr>
            <w:r>
              <w:rPr>
                <w:sz w:val="18"/>
              </w:rPr>
              <w:t>Ongoing</w:t>
            </w:r>
          </w:p>
        </w:tc>
      </w:tr>
      <w:tr w:rsidR="00A8605F" w:rsidRPr="00466E0A" w14:paraId="77B81D14" w14:textId="19D6A73D" w:rsidTr="00CF1BCD">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7771E08B" w14:textId="54CB5E63" w:rsidR="00A8605F" w:rsidRPr="00466E0A" w:rsidRDefault="00A8605F" w:rsidP="00A8605F">
            <w:pPr>
              <w:pStyle w:val="Body-Financial"/>
              <w:spacing w:after="0"/>
              <w:rPr>
                <w:sz w:val="18"/>
              </w:rPr>
            </w:pPr>
            <w:r w:rsidRPr="00997286">
              <w:rPr>
                <w:sz w:val="18"/>
                <w:lang w:val="en-PH"/>
              </w:rPr>
              <w:t>Implementation of a risk</w:t>
            </w:r>
            <w:r w:rsidR="00EB0AA9">
              <w:rPr>
                <w:sz w:val="18"/>
                <w:lang w:val="en-PH"/>
              </w:rPr>
              <w:t>-</w:t>
            </w:r>
            <w:r w:rsidRPr="00997286">
              <w:rPr>
                <w:sz w:val="18"/>
                <w:lang w:val="en-PH"/>
              </w:rPr>
              <w:t>adjusted pricing approach to reduce the rates of avoidable hospital readmissions in public hospitals.</w:t>
            </w:r>
          </w:p>
        </w:tc>
        <w:tc>
          <w:tcPr>
            <w:tcW w:w="992" w:type="dxa"/>
            <w:tcMar>
              <w:top w:w="85" w:type="dxa"/>
              <w:bottom w:w="85" w:type="dxa"/>
            </w:tcMar>
          </w:tcPr>
          <w:p w14:paraId="66C03B84" w14:textId="51B6C296" w:rsidR="00A8605F" w:rsidRPr="00466E0A" w:rsidRDefault="00A8605F" w:rsidP="00A8605F">
            <w:pPr>
              <w:pStyle w:val="Body-Financial"/>
              <w:spacing w:after="0"/>
              <w:jc w:val="right"/>
              <w:rPr>
                <w:sz w:val="18"/>
              </w:rPr>
            </w:pPr>
            <w:r>
              <w:rPr>
                <w:sz w:val="18"/>
              </w:rPr>
              <w:t>Jul 2021</w:t>
            </w:r>
          </w:p>
        </w:tc>
        <w:tc>
          <w:tcPr>
            <w:tcW w:w="993" w:type="dxa"/>
          </w:tcPr>
          <w:p w14:paraId="5ADA8149" w14:textId="0E4389E7" w:rsidR="00A8605F" w:rsidRPr="00466E0A" w:rsidRDefault="00A8605F" w:rsidP="00A8605F">
            <w:pPr>
              <w:pStyle w:val="Body-Financial"/>
              <w:spacing w:after="0"/>
              <w:jc w:val="right"/>
              <w:rPr>
                <w:sz w:val="18"/>
              </w:rPr>
            </w:pPr>
            <w:r>
              <w:rPr>
                <w:sz w:val="18"/>
              </w:rPr>
              <w:t>Delivered</w:t>
            </w:r>
          </w:p>
        </w:tc>
      </w:tr>
      <w:tr w:rsidR="00A8605F" w:rsidRPr="00466E0A" w14:paraId="721E48A2" w14:textId="0B9EBB38" w:rsidTr="00CF1BCD">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6D407835" w14:textId="18AD168C" w:rsidR="00A8605F" w:rsidRPr="00466E0A" w:rsidRDefault="00A8605F" w:rsidP="00A8605F">
            <w:pPr>
              <w:pStyle w:val="Body-Financial"/>
              <w:spacing w:after="0"/>
              <w:rPr>
                <w:sz w:val="18"/>
              </w:rPr>
            </w:pPr>
            <w:r w:rsidRPr="00997286">
              <w:rPr>
                <w:sz w:val="18"/>
                <w:lang w:val="en-PH"/>
              </w:rPr>
              <w:t>Development of a framework to evaluate the implemented safety and quality</w:t>
            </w:r>
            <w:r>
              <w:rPr>
                <w:sz w:val="18"/>
                <w:lang w:val="en-PH"/>
              </w:rPr>
              <w:t> </w:t>
            </w:r>
            <w:r w:rsidRPr="00997286">
              <w:rPr>
                <w:sz w:val="18"/>
                <w:lang w:val="en-PH"/>
              </w:rPr>
              <w:t>reforms.</w:t>
            </w:r>
          </w:p>
        </w:tc>
        <w:tc>
          <w:tcPr>
            <w:tcW w:w="992" w:type="dxa"/>
            <w:tcMar>
              <w:top w:w="85" w:type="dxa"/>
              <w:bottom w:w="85" w:type="dxa"/>
            </w:tcMar>
          </w:tcPr>
          <w:p w14:paraId="5D50717A" w14:textId="0C35E0FD" w:rsidR="00A8605F" w:rsidRPr="00466E0A" w:rsidRDefault="00A8605F" w:rsidP="00A8605F">
            <w:pPr>
              <w:pStyle w:val="Body-Financial"/>
              <w:spacing w:after="0"/>
              <w:jc w:val="right"/>
              <w:rPr>
                <w:sz w:val="18"/>
              </w:rPr>
            </w:pPr>
            <w:r>
              <w:rPr>
                <w:sz w:val="18"/>
              </w:rPr>
              <w:t>Apr 2021</w:t>
            </w:r>
          </w:p>
        </w:tc>
        <w:tc>
          <w:tcPr>
            <w:tcW w:w="993" w:type="dxa"/>
          </w:tcPr>
          <w:p w14:paraId="638103D2" w14:textId="4A32B332" w:rsidR="00A8605F" w:rsidRPr="00466E0A" w:rsidRDefault="00A8605F" w:rsidP="00A8605F">
            <w:pPr>
              <w:pStyle w:val="Body-Financial"/>
              <w:spacing w:after="0"/>
              <w:jc w:val="right"/>
              <w:rPr>
                <w:sz w:val="18"/>
              </w:rPr>
            </w:pPr>
            <w:r>
              <w:rPr>
                <w:sz w:val="18"/>
              </w:rPr>
              <w:t>Delivered Oct 2021</w:t>
            </w:r>
          </w:p>
        </w:tc>
      </w:tr>
      <w:tr w:rsidR="00A8605F" w:rsidRPr="00466E0A" w14:paraId="51C77415" w14:textId="677C7D22" w:rsidTr="00CF1BCD">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0ED55D99" w14:textId="08347D97" w:rsidR="00A8605F" w:rsidRPr="00466E0A" w:rsidRDefault="00A8605F" w:rsidP="00A8605F">
            <w:pPr>
              <w:pStyle w:val="Body-Financial"/>
              <w:spacing w:after="0"/>
              <w:rPr>
                <w:sz w:val="18"/>
              </w:rPr>
            </w:pPr>
            <w:r w:rsidRPr="00997286">
              <w:rPr>
                <w:sz w:val="18"/>
                <w:lang w:val="en-PH"/>
              </w:rPr>
              <w:t>Investigation and provision of advice on options to reduce preventable hospitalisations.</w:t>
            </w:r>
          </w:p>
        </w:tc>
        <w:tc>
          <w:tcPr>
            <w:tcW w:w="992" w:type="dxa"/>
            <w:tcMar>
              <w:top w:w="85" w:type="dxa"/>
              <w:bottom w:w="85" w:type="dxa"/>
            </w:tcMar>
          </w:tcPr>
          <w:p w14:paraId="2A747C0B" w14:textId="7F0EB2E3" w:rsidR="00A8605F" w:rsidRPr="00466E0A" w:rsidRDefault="00A8605F" w:rsidP="00A8605F">
            <w:pPr>
              <w:pStyle w:val="Body-Financial"/>
              <w:spacing w:after="0"/>
              <w:jc w:val="right"/>
              <w:rPr>
                <w:sz w:val="18"/>
              </w:rPr>
            </w:pPr>
            <w:r>
              <w:rPr>
                <w:sz w:val="18"/>
              </w:rPr>
              <w:t>Apr 2021</w:t>
            </w:r>
          </w:p>
        </w:tc>
        <w:tc>
          <w:tcPr>
            <w:tcW w:w="993" w:type="dxa"/>
          </w:tcPr>
          <w:p w14:paraId="2DD96622" w14:textId="34091471" w:rsidR="00A8605F" w:rsidRPr="00466E0A" w:rsidRDefault="00A8605F" w:rsidP="00A8605F">
            <w:pPr>
              <w:pStyle w:val="Body-Financial"/>
              <w:spacing w:after="0"/>
              <w:jc w:val="right"/>
              <w:rPr>
                <w:sz w:val="18"/>
              </w:rPr>
            </w:pPr>
            <w:r>
              <w:rPr>
                <w:sz w:val="18"/>
              </w:rPr>
              <w:t>Delivered Oct 2021</w:t>
            </w:r>
          </w:p>
        </w:tc>
      </w:tr>
      <w:tr w:rsidR="00A8605F" w:rsidRPr="00466E0A" w14:paraId="0834D682" w14:textId="082FE598" w:rsidTr="00CF1BCD">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6BBD2B68" w14:textId="2CDD1569" w:rsidR="00A8605F" w:rsidRPr="00466E0A" w:rsidRDefault="00A8605F" w:rsidP="00A8605F">
            <w:pPr>
              <w:pStyle w:val="Body-Financial"/>
              <w:spacing w:after="0"/>
              <w:rPr>
                <w:sz w:val="18"/>
              </w:rPr>
            </w:pPr>
            <w:r w:rsidRPr="00997286">
              <w:rPr>
                <w:sz w:val="18"/>
                <w:lang w:val="en-PH"/>
              </w:rPr>
              <w:t xml:space="preserve">Development of a software tool to </w:t>
            </w:r>
            <w:r>
              <w:rPr>
                <w:sz w:val="18"/>
                <w:lang w:val="en-PH"/>
              </w:rPr>
              <w:t xml:space="preserve">track </w:t>
            </w:r>
            <w:r w:rsidRPr="00997286">
              <w:rPr>
                <w:sz w:val="18"/>
                <w:lang w:val="en-PH"/>
              </w:rPr>
              <w:t>avoidable hospital readmissions.</w:t>
            </w:r>
          </w:p>
        </w:tc>
        <w:tc>
          <w:tcPr>
            <w:tcW w:w="992" w:type="dxa"/>
            <w:tcMar>
              <w:top w:w="85" w:type="dxa"/>
              <w:bottom w:w="85" w:type="dxa"/>
            </w:tcMar>
          </w:tcPr>
          <w:p w14:paraId="5337368E" w14:textId="6164953E" w:rsidR="00A8605F" w:rsidRPr="00466E0A" w:rsidRDefault="00A8605F" w:rsidP="00A8605F">
            <w:pPr>
              <w:pStyle w:val="Body-Financial"/>
              <w:spacing w:after="0"/>
              <w:jc w:val="right"/>
              <w:rPr>
                <w:sz w:val="18"/>
              </w:rPr>
            </w:pPr>
            <w:r>
              <w:rPr>
                <w:sz w:val="18"/>
              </w:rPr>
              <w:t>Apr 2021</w:t>
            </w:r>
          </w:p>
        </w:tc>
        <w:tc>
          <w:tcPr>
            <w:tcW w:w="993" w:type="dxa"/>
          </w:tcPr>
          <w:p w14:paraId="3087B762" w14:textId="58C3D8F6" w:rsidR="00A8605F" w:rsidRPr="00466E0A" w:rsidRDefault="00A8605F" w:rsidP="00A8605F">
            <w:pPr>
              <w:pStyle w:val="Body-Financial"/>
              <w:spacing w:after="0"/>
              <w:jc w:val="right"/>
              <w:rPr>
                <w:sz w:val="18"/>
              </w:rPr>
            </w:pPr>
            <w:r>
              <w:rPr>
                <w:sz w:val="18"/>
              </w:rPr>
              <w:t>Delivered</w:t>
            </w:r>
          </w:p>
        </w:tc>
      </w:tr>
      <w:tr w:rsidR="00A8605F" w:rsidRPr="00466E0A" w14:paraId="0F699F42" w14:textId="61930929" w:rsidTr="00CF1BCD">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6E15E26F" w14:textId="4DA70BCA" w:rsidR="00A8605F" w:rsidRPr="00466E0A" w:rsidRDefault="00A8605F" w:rsidP="00A8605F">
            <w:pPr>
              <w:pStyle w:val="Body-Financial"/>
              <w:spacing w:after="0"/>
              <w:rPr>
                <w:sz w:val="18"/>
              </w:rPr>
            </w:pPr>
            <w:r w:rsidRPr="00997286">
              <w:rPr>
                <w:sz w:val="18"/>
                <w:lang w:val="en-PH"/>
              </w:rPr>
              <w:t>Inclusion of avoidable hospital readmissions rates in the National Benchmarking</w:t>
            </w:r>
            <w:r>
              <w:rPr>
                <w:sz w:val="18"/>
                <w:lang w:val="en-PH"/>
              </w:rPr>
              <w:t> </w:t>
            </w:r>
            <w:r w:rsidRPr="00997286">
              <w:rPr>
                <w:sz w:val="18"/>
                <w:lang w:val="en-PH"/>
              </w:rPr>
              <w:t>Portal.</w:t>
            </w:r>
          </w:p>
        </w:tc>
        <w:tc>
          <w:tcPr>
            <w:tcW w:w="992" w:type="dxa"/>
            <w:tcMar>
              <w:top w:w="85" w:type="dxa"/>
              <w:bottom w:w="85" w:type="dxa"/>
            </w:tcMar>
          </w:tcPr>
          <w:p w14:paraId="589CB8C7" w14:textId="2482A3E7" w:rsidR="00A8605F" w:rsidRPr="00466E0A" w:rsidRDefault="00A8605F" w:rsidP="00A8605F">
            <w:pPr>
              <w:pStyle w:val="Body-Financial"/>
              <w:spacing w:after="0"/>
              <w:jc w:val="right"/>
              <w:rPr>
                <w:sz w:val="18"/>
              </w:rPr>
            </w:pPr>
            <w:r>
              <w:rPr>
                <w:sz w:val="18"/>
              </w:rPr>
              <w:t>Dec 2021</w:t>
            </w:r>
          </w:p>
        </w:tc>
        <w:tc>
          <w:tcPr>
            <w:tcW w:w="993" w:type="dxa"/>
          </w:tcPr>
          <w:p w14:paraId="60D34C93" w14:textId="4D42F929" w:rsidR="00A8605F" w:rsidRPr="00466E0A" w:rsidRDefault="00A8605F" w:rsidP="00A8605F">
            <w:pPr>
              <w:pStyle w:val="Body-Financial"/>
              <w:spacing w:after="0"/>
              <w:jc w:val="right"/>
              <w:rPr>
                <w:sz w:val="18"/>
              </w:rPr>
            </w:pPr>
            <w:r>
              <w:rPr>
                <w:sz w:val="18"/>
              </w:rPr>
              <w:t>Ongoing</w:t>
            </w:r>
          </w:p>
        </w:tc>
      </w:tr>
      <w:tr w:rsidR="00A8605F" w:rsidRPr="00466E0A" w14:paraId="3C66C9AB" w14:textId="77777777" w:rsidTr="00CF1BCD">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620F6F35" w14:textId="62EAA7FF" w:rsidR="00A8605F" w:rsidRPr="00466E0A" w:rsidRDefault="00A8605F" w:rsidP="00A8605F">
            <w:pPr>
              <w:pStyle w:val="Body-Financial"/>
              <w:spacing w:after="0"/>
              <w:rPr>
                <w:sz w:val="18"/>
              </w:rPr>
            </w:pPr>
            <w:r w:rsidRPr="00997286">
              <w:rPr>
                <w:sz w:val="18"/>
                <w:lang w:val="en-PH"/>
              </w:rPr>
              <w:t xml:space="preserve">Provide confidential </w:t>
            </w:r>
            <w:r>
              <w:rPr>
                <w:sz w:val="18"/>
                <w:lang w:val="en-PH"/>
              </w:rPr>
              <w:t>n</w:t>
            </w:r>
            <w:r w:rsidRPr="00997286">
              <w:rPr>
                <w:sz w:val="18"/>
                <w:lang w:val="en-PH"/>
              </w:rPr>
              <w:t xml:space="preserve">ational </w:t>
            </w:r>
            <w:r>
              <w:rPr>
                <w:sz w:val="18"/>
                <w:lang w:val="en-PH"/>
              </w:rPr>
              <w:t>e</w:t>
            </w:r>
            <w:r w:rsidRPr="00997286">
              <w:rPr>
                <w:sz w:val="18"/>
                <w:lang w:val="en-PH"/>
              </w:rPr>
              <w:t xml:space="preserve">fficient </w:t>
            </w:r>
            <w:r>
              <w:rPr>
                <w:sz w:val="18"/>
                <w:lang w:val="en-PH"/>
              </w:rPr>
              <w:t>p</w:t>
            </w:r>
            <w:r w:rsidRPr="00997286">
              <w:rPr>
                <w:sz w:val="18"/>
                <w:lang w:val="en-PH"/>
              </w:rPr>
              <w:t>rice forecast for future years to</w:t>
            </w:r>
            <w:r>
              <w:rPr>
                <w:sz w:val="18"/>
                <w:lang w:val="en-PH"/>
              </w:rPr>
              <w:t> </w:t>
            </w:r>
            <w:r w:rsidRPr="00997286">
              <w:rPr>
                <w:sz w:val="18"/>
                <w:lang w:val="en-PH"/>
              </w:rPr>
              <w:t>jurisdictions.</w:t>
            </w:r>
          </w:p>
        </w:tc>
        <w:tc>
          <w:tcPr>
            <w:tcW w:w="992" w:type="dxa"/>
          </w:tcPr>
          <w:p w14:paraId="5E6F5694" w14:textId="3D0D076A" w:rsidR="00A8605F" w:rsidRPr="00466E0A" w:rsidRDefault="00A8605F" w:rsidP="00A8605F">
            <w:pPr>
              <w:pStyle w:val="Body-Financial"/>
              <w:spacing w:after="0"/>
              <w:jc w:val="right"/>
              <w:rPr>
                <w:sz w:val="18"/>
              </w:rPr>
            </w:pPr>
            <w:r>
              <w:rPr>
                <w:sz w:val="18"/>
              </w:rPr>
              <w:t>Dec 2021</w:t>
            </w:r>
          </w:p>
        </w:tc>
        <w:tc>
          <w:tcPr>
            <w:tcW w:w="993" w:type="dxa"/>
            <w:tcMar>
              <w:top w:w="85" w:type="dxa"/>
              <w:bottom w:w="85" w:type="dxa"/>
            </w:tcMar>
          </w:tcPr>
          <w:p w14:paraId="052A21FE" w14:textId="23509A70" w:rsidR="00A8605F" w:rsidRPr="00466E0A" w:rsidRDefault="00A8605F" w:rsidP="00A8605F">
            <w:pPr>
              <w:pStyle w:val="Body-Financial"/>
              <w:spacing w:after="0"/>
              <w:jc w:val="right"/>
              <w:rPr>
                <w:sz w:val="18"/>
              </w:rPr>
            </w:pPr>
            <w:r w:rsidRPr="00466E0A">
              <w:rPr>
                <w:sz w:val="18"/>
              </w:rPr>
              <w:t>Delivered</w:t>
            </w:r>
            <w:r>
              <w:rPr>
                <w:sz w:val="18"/>
              </w:rPr>
              <w:t xml:space="preserve"> Mar 2022</w:t>
            </w:r>
          </w:p>
        </w:tc>
      </w:tr>
      <w:tr w:rsidR="00A8605F" w:rsidRPr="00466E0A" w14:paraId="317E477B" w14:textId="77777777" w:rsidTr="00CF1BCD">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4E536808" w14:textId="12014415" w:rsidR="00A8605F" w:rsidRPr="00466E0A" w:rsidRDefault="00A8605F" w:rsidP="00A8605F">
            <w:pPr>
              <w:pStyle w:val="Body-Financial"/>
              <w:spacing w:after="0"/>
              <w:rPr>
                <w:sz w:val="18"/>
              </w:rPr>
            </w:pPr>
            <w:r w:rsidRPr="00AD2EEF">
              <w:rPr>
                <w:sz w:val="18"/>
                <w:lang w:val="en-PH"/>
              </w:rPr>
              <w:t>Publish the National Efficient Cost Supplementary Determination 2021–22.</w:t>
            </w:r>
          </w:p>
        </w:tc>
        <w:tc>
          <w:tcPr>
            <w:tcW w:w="992" w:type="dxa"/>
          </w:tcPr>
          <w:p w14:paraId="30B284BA" w14:textId="7C768E6B" w:rsidR="00A8605F" w:rsidRPr="00466E0A" w:rsidRDefault="00A8605F" w:rsidP="00A8605F">
            <w:pPr>
              <w:pStyle w:val="Body-Financial"/>
              <w:spacing w:after="0"/>
              <w:jc w:val="right"/>
              <w:rPr>
                <w:sz w:val="18"/>
              </w:rPr>
            </w:pPr>
            <w:r>
              <w:rPr>
                <w:sz w:val="18"/>
              </w:rPr>
              <w:t>Dec 2021</w:t>
            </w:r>
          </w:p>
        </w:tc>
        <w:tc>
          <w:tcPr>
            <w:tcW w:w="993" w:type="dxa"/>
            <w:tcMar>
              <w:top w:w="85" w:type="dxa"/>
              <w:bottom w:w="85" w:type="dxa"/>
            </w:tcMar>
          </w:tcPr>
          <w:p w14:paraId="70CADC9C" w14:textId="7BE35C9C" w:rsidR="00A8605F" w:rsidRPr="00466E0A" w:rsidRDefault="00A8605F" w:rsidP="00A8605F">
            <w:pPr>
              <w:pStyle w:val="Body-Financial"/>
              <w:spacing w:after="0"/>
              <w:jc w:val="right"/>
              <w:rPr>
                <w:sz w:val="18"/>
              </w:rPr>
            </w:pPr>
            <w:r>
              <w:rPr>
                <w:sz w:val="18"/>
              </w:rPr>
              <w:t>Delivered</w:t>
            </w:r>
            <w:r w:rsidRPr="00466E0A">
              <w:rPr>
                <w:sz w:val="18"/>
              </w:rPr>
              <w:t xml:space="preserve"> </w:t>
            </w:r>
          </w:p>
        </w:tc>
      </w:tr>
      <w:tr w:rsidR="00A8605F" w:rsidRPr="00466E0A" w14:paraId="57239744" w14:textId="77777777" w:rsidTr="00CF1BCD">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5489086F" w14:textId="17B11CB1" w:rsidR="00A8605F" w:rsidRPr="00466E0A" w:rsidRDefault="00A8605F" w:rsidP="00A8605F">
            <w:pPr>
              <w:pStyle w:val="Body-Financial"/>
              <w:spacing w:after="0"/>
              <w:rPr>
                <w:sz w:val="18"/>
              </w:rPr>
            </w:pPr>
            <w:r w:rsidRPr="00AD2EEF">
              <w:rPr>
                <w:sz w:val="18"/>
                <w:lang w:val="en-PH"/>
              </w:rPr>
              <w:t>Investigate opportunities to harmonise prices across similar same-day services.</w:t>
            </w:r>
          </w:p>
        </w:tc>
        <w:tc>
          <w:tcPr>
            <w:tcW w:w="992" w:type="dxa"/>
          </w:tcPr>
          <w:p w14:paraId="03BCD7B5" w14:textId="747EBD6D" w:rsidR="00A8605F" w:rsidRPr="00466E0A" w:rsidRDefault="00A8605F" w:rsidP="00A8605F">
            <w:pPr>
              <w:pStyle w:val="Body-Financial"/>
              <w:spacing w:after="0"/>
              <w:jc w:val="right"/>
              <w:rPr>
                <w:sz w:val="18"/>
              </w:rPr>
            </w:pPr>
            <w:r>
              <w:rPr>
                <w:sz w:val="18"/>
              </w:rPr>
              <w:t>Ongoing</w:t>
            </w:r>
          </w:p>
        </w:tc>
        <w:tc>
          <w:tcPr>
            <w:tcW w:w="993" w:type="dxa"/>
            <w:tcMar>
              <w:top w:w="85" w:type="dxa"/>
              <w:bottom w:w="85" w:type="dxa"/>
            </w:tcMar>
          </w:tcPr>
          <w:p w14:paraId="2815607E" w14:textId="2156C7A9" w:rsidR="00A8605F" w:rsidRPr="00466E0A" w:rsidRDefault="00A8605F" w:rsidP="00A8605F">
            <w:pPr>
              <w:pStyle w:val="Body-Financial"/>
              <w:spacing w:after="0"/>
              <w:jc w:val="right"/>
              <w:rPr>
                <w:sz w:val="18"/>
              </w:rPr>
            </w:pPr>
            <w:r>
              <w:rPr>
                <w:sz w:val="18"/>
              </w:rPr>
              <w:t>Ongoing</w:t>
            </w:r>
          </w:p>
        </w:tc>
      </w:tr>
    </w:tbl>
    <w:p w14:paraId="3F14FE8D" w14:textId="61925B41" w:rsidR="00466E0A" w:rsidRDefault="00F51174" w:rsidP="00902497">
      <w:pPr>
        <w:pStyle w:val="Body"/>
      </w:pPr>
      <w:r w:rsidRPr="00CB09AF">
        <w:rPr>
          <w:noProof/>
          <w:color w:val="5E2F7E" w:themeColor="accent5"/>
          <w:sz w:val="28"/>
          <w:szCs w:val="28"/>
          <w:lang w:eastAsia="en-AU"/>
        </w:rPr>
        <mc:AlternateContent>
          <mc:Choice Requires="wps">
            <w:drawing>
              <wp:anchor distT="0" distB="0" distL="114300" distR="114300" simplePos="0" relativeHeight="252020736" behindDoc="1" locked="0" layoutInCell="1" allowOverlap="1" wp14:anchorId="12247AB3" wp14:editId="569327A8">
                <wp:simplePos x="0" y="0"/>
                <wp:positionH relativeFrom="column">
                  <wp:posOffset>-135890</wp:posOffset>
                </wp:positionH>
                <wp:positionV relativeFrom="paragraph">
                  <wp:posOffset>-3677920</wp:posOffset>
                </wp:positionV>
                <wp:extent cx="5365750" cy="3911600"/>
                <wp:effectExtent l="0" t="0" r="19050" b="12700"/>
                <wp:wrapNone/>
                <wp:docPr id="278" name="Rectangle 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5750" cy="3911600"/>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AC608" id="Rectangle 278" o:spid="_x0000_s1026" alt="&quot;&quot;" style="position:absolute;margin-left:-10.7pt;margin-top:-289.6pt;width:422.5pt;height:308pt;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" filled="f" strokecolor="#5e2f7e [3208]" strokeweight=".5pt"/>
            </w:pict>
          </mc:Fallback>
        </mc:AlternateContent>
      </w:r>
    </w:p>
    <w:p w14:paraId="15C77D4E" w14:textId="77777777" w:rsidR="002C44E4" w:rsidRDefault="002C44E4" w:rsidP="00902497">
      <w:pPr>
        <w:pStyle w:val="Body"/>
      </w:pPr>
    </w:p>
    <w:tbl>
      <w:tblPr>
        <w:tblStyle w:val="TableGrid"/>
        <w:tblW w:w="7797" w:type="dxa"/>
        <w:tblLook w:val="04A0" w:firstRow="1" w:lastRow="0" w:firstColumn="1" w:lastColumn="0" w:noHBand="0" w:noVBand="1"/>
      </w:tblPr>
      <w:tblGrid>
        <w:gridCol w:w="3261"/>
        <w:gridCol w:w="567"/>
        <w:gridCol w:w="3969"/>
      </w:tblGrid>
      <w:tr w:rsidR="00FC0DDE" w:rsidRPr="00147EEB" w14:paraId="1379CBB0" w14:textId="77777777" w:rsidTr="00B15944">
        <w:trPr>
          <w:cnfStyle w:val="100000000000" w:firstRow="1" w:lastRow="0" w:firstColumn="0" w:lastColumn="0" w:oddVBand="0" w:evenVBand="0" w:oddHBand="0" w:evenHBand="0" w:firstRowFirstColumn="0" w:firstRowLastColumn="0" w:lastRowFirstColumn="0" w:lastRowLastColumn="0"/>
          <w:trHeight w:val="403"/>
        </w:trPr>
        <w:tc>
          <w:tcPr>
            <w:tcW w:w="3261" w:type="dxa"/>
            <w:vAlign w:val="center"/>
          </w:tcPr>
          <w:p w14:paraId="3B25C86B" w14:textId="77777777" w:rsidR="00FC0DDE" w:rsidRPr="00FE1796" w:rsidRDefault="00FC0DDE" w:rsidP="00B15944">
            <w:pPr>
              <w:pStyle w:val="Body"/>
              <w:rPr>
                <w:rFonts w:asciiTheme="majorHAnsi" w:hAnsiTheme="majorHAnsi"/>
                <w:color w:val="FFFFFF" w:themeColor="background2"/>
              </w:rPr>
            </w:pPr>
            <w:r w:rsidRPr="00FE1796">
              <w:rPr>
                <w:rFonts w:asciiTheme="majorHAnsi" w:hAnsiTheme="majorHAnsi"/>
                <w:color w:val="FFFFFF" w:themeColor="background2"/>
              </w:rPr>
              <w:t>Performance criteria</w:t>
            </w:r>
          </w:p>
        </w:tc>
        <w:tc>
          <w:tcPr>
            <w:tcW w:w="567" w:type="dxa"/>
            <w:shd w:val="clear" w:color="auto" w:fill="FFFFFF" w:themeFill="background2"/>
            <w:vAlign w:val="center"/>
          </w:tcPr>
          <w:p w14:paraId="338678F4" w14:textId="77777777" w:rsidR="00FC0DDE" w:rsidRPr="00FE1796" w:rsidRDefault="00FC0DDE" w:rsidP="00B15944">
            <w:pPr>
              <w:pStyle w:val="Body"/>
              <w:rPr>
                <w:rFonts w:asciiTheme="majorHAnsi" w:hAnsiTheme="majorHAnsi"/>
                <w:color w:val="FFFFFF" w:themeColor="background2"/>
              </w:rPr>
            </w:pPr>
          </w:p>
        </w:tc>
        <w:tc>
          <w:tcPr>
            <w:tcW w:w="3969" w:type="dxa"/>
            <w:vAlign w:val="center"/>
          </w:tcPr>
          <w:p w14:paraId="48DAF870" w14:textId="77777777" w:rsidR="00FC0DDE" w:rsidRPr="00FE1796" w:rsidRDefault="00FC0DDE" w:rsidP="00B15944">
            <w:pPr>
              <w:pStyle w:val="Body"/>
              <w:rPr>
                <w:rFonts w:asciiTheme="majorHAnsi" w:hAnsiTheme="majorHAnsi"/>
                <w:color w:val="FFFFFF" w:themeColor="background2"/>
              </w:rPr>
            </w:pPr>
            <w:r w:rsidRPr="00FE1796">
              <w:rPr>
                <w:rFonts w:asciiTheme="majorHAnsi" w:hAnsiTheme="majorHAnsi"/>
                <w:color w:val="FFFFFF" w:themeColor="background2"/>
              </w:rPr>
              <w:t>Results against performance criteria</w:t>
            </w:r>
          </w:p>
        </w:tc>
      </w:tr>
      <w:tr w:rsidR="00FC0DDE" w:rsidRPr="00147EEB" w14:paraId="2B028F7D" w14:textId="77777777" w:rsidTr="00B15944">
        <w:trPr>
          <w:trHeight w:val="624"/>
          <w:tblHeader w:val="0"/>
        </w:trPr>
        <w:tc>
          <w:tcPr>
            <w:tcW w:w="3261" w:type="dxa"/>
            <w:shd w:val="clear" w:color="auto" w:fill="F2F2F2" w:themeFill="background2" w:themeFillShade="F2"/>
            <w:tcMar>
              <w:top w:w="85" w:type="dxa"/>
              <w:bottom w:w="85" w:type="dxa"/>
            </w:tcMar>
          </w:tcPr>
          <w:p w14:paraId="4287E119" w14:textId="168D4A8B" w:rsidR="00FC0DDE" w:rsidRPr="00CD038A" w:rsidRDefault="00FC0DDE">
            <w:pPr>
              <w:pStyle w:val="Body-Financial"/>
              <w:numPr>
                <w:ilvl w:val="0"/>
                <w:numId w:val="17"/>
              </w:numPr>
              <w:rPr>
                <w:sz w:val="18"/>
                <w:szCs w:val="18"/>
              </w:rPr>
            </w:pPr>
            <w:r w:rsidRPr="004C04B0">
              <w:rPr>
                <w:sz w:val="18"/>
                <w:szCs w:val="18"/>
                <w:lang w:val="en-PH"/>
              </w:rPr>
              <w:t>Completion of public submission process for the Pricing Framework for Australian Public Hospital Services 2022–23 by July 2021.</w:t>
            </w:r>
          </w:p>
        </w:tc>
        <w:tc>
          <w:tcPr>
            <w:tcW w:w="567" w:type="dxa"/>
            <w:shd w:val="clear" w:color="auto" w:fill="FFFFFF" w:themeFill="background2"/>
            <w:tcMar>
              <w:top w:w="85" w:type="dxa"/>
              <w:left w:w="0" w:type="dxa"/>
              <w:bottom w:w="85" w:type="dxa"/>
              <w:right w:w="0" w:type="dxa"/>
            </w:tcMar>
          </w:tcPr>
          <w:p w14:paraId="71D364D4" w14:textId="77777777" w:rsidR="00FC0DDE" w:rsidRPr="00CD038A" w:rsidRDefault="00FC0DDE" w:rsidP="00FC0DDE">
            <w:pPr>
              <w:pStyle w:val="Body-Financial"/>
              <w:rPr>
                <w:sz w:val="18"/>
                <w:szCs w:val="18"/>
              </w:rPr>
            </w:pPr>
            <w:r w:rsidRPr="00CD038A">
              <w:rPr>
                <w:noProof/>
                <w:sz w:val="18"/>
                <w:szCs w:val="18"/>
              </w:rPr>
              <w:drawing>
                <wp:inline distT="0" distB="0" distL="0" distR="0" wp14:anchorId="7C0D6D31" wp14:editId="65BDB5AC">
                  <wp:extent cx="211631" cy="341865"/>
                  <wp:effectExtent l="0" t="0" r="4445" b="1270"/>
                  <wp:docPr id="68"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3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5D016AB" w14:textId="13DF5D1B" w:rsidR="00FC0DDE" w:rsidRPr="00CD038A" w:rsidRDefault="00FC0DDE" w:rsidP="00FC0DDE">
            <w:pPr>
              <w:pStyle w:val="Body-Financial"/>
              <w:rPr>
                <w:sz w:val="18"/>
                <w:szCs w:val="18"/>
              </w:rPr>
            </w:pPr>
            <w:r w:rsidRPr="004C04B0">
              <w:rPr>
                <w:sz w:val="18"/>
                <w:szCs w:val="18"/>
                <w:lang w:val="en-PH"/>
              </w:rPr>
              <w:t xml:space="preserve">The Consultation Paper on the Pricing Framework for Australian Public Hospital Services 2022–23 was published on 9 June and concluded </w:t>
            </w:r>
            <w:r>
              <w:rPr>
                <w:sz w:val="18"/>
                <w:szCs w:val="18"/>
                <w:lang w:val="en-PH"/>
              </w:rPr>
              <w:t>o</w:t>
            </w:r>
            <w:r w:rsidRPr="004C04B0">
              <w:rPr>
                <w:sz w:val="18"/>
                <w:szCs w:val="18"/>
                <w:lang w:val="en-PH"/>
              </w:rPr>
              <w:t xml:space="preserve">n </w:t>
            </w:r>
            <w:r>
              <w:rPr>
                <w:sz w:val="18"/>
                <w:szCs w:val="18"/>
                <w:lang w:val="en-PH"/>
              </w:rPr>
              <w:t>9</w:t>
            </w:r>
            <w:r w:rsidRPr="004C04B0">
              <w:rPr>
                <w:sz w:val="18"/>
                <w:szCs w:val="18"/>
                <w:lang w:val="en-PH"/>
              </w:rPr>
              <w:t xml:space="preserve"> July 2021.</w:t>
            </w:r>
          </w:p>
        </w:tc>
      </w:tr>
      <w:tr w:rsidR="00FC0DDE" w:rsidRPr="00147EEB" w14:paraId="66A4628C" w14:textId="77777777" w:rsidTr="00B15944">
        <w:trPr>
          <w:trHeight w:val="745"/>
          <w:tblHeader w:val="0"/>
        </w:trPr>
        <w:tc>
          <w:tcPr>
            <w:tcW w:w="3261" w:type="dxa"/>
            <w:shd w:val="clear" w:color="auto" w:fill="F2F2F2" w:themeFill="background2" w:themeFillShade="F2"/>
            <w:tcMar>
              <w:top w:w="85" w:type="dxa"/>
              <w:bottom w:w="85" w:type="dxa"/>
            </w:tcMar>
          </w:tcPr>
          <w:p w14:paraId="1C47816F" w14:textId="2A20D0F6" w:rsidR="00FC0DDE" w:rsidRPr="004C04B0" w:rsidRDefault="00FC0DDE">
            <w:pPr>
              <w:pStyle w:val="NumberListNoIndent"/>
              <w:numPr>
                <w:ilvl w:val="0"/>
                <w:numId w:val="17"/>
              </w:numPr>
            </w:pPr>
            <w:r w:rsidRPr="00B812E4">
              <w:t>Provision of the draft Pricing Framework for Australian Public Hospital Services 2022–23 to health ministers for a 45-day comment period by September 2021.</w:t>
            </w:r>
          </w:p>
        </w:tc>
        <w:tc>
          <w:tcPr>
            <w:tcW w:w="567" w:type="dxa"/>
            <w:shd w:val="clear" w:color="auto" w:fill="FFFFFF" w:themeFill="background2"/>
            <w:tcMar>
              <w:top w:w="85" w:type="dxa"/>
              <w:left w:w="0" w:type="dxa"/>
              <w:bottom w:w="85" w:type="dxa"/>
              <w:right w:w="0" w:type="dxa"/>
            </w:tcMar>
          </w:tcPr>
          <w:p w14:paraId="7E3D3CB0" w14:textId="77777777" w:rsidR="00FC0DDE" w:rsidRPr="00CD038A" w:rsidRDefault="00FC0DDE" w:rsidP="00FC0DDE">
            <w:pPr>
              <w:pStyle w:val="Body-Financial"/>
              <w:rPr>
                <w:noProof/>
                <w:sz w:val="18"/>
                <w:szCs w:val="18"/>
              </w:rPr>
            </w:pPr>
            <w:r w:rsidRPr="00CD038A">
              <w:rPr>
                <w:noProof/>
                <w:sz w:val="18"/>
                <w:szCs w:val="18"/>
              </w:rPr>
              <w:drawing>
                <wp:inline distT="0" distB="0" distL="0" distR="0" wp14:anchorId="19A143D2" wp14:editId="39EF751B">
                  <wp:extent cx="211631" cy="341865"/>
                  <wp:effectExtent l="0" t="0" r="4445" b="1270"/>
                  <wp:docPr id="75"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3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0E4E2314" w14:textId="514E0D2A" w:rsidR="00FC0DDE" w:rsidRPr="00CD038A" w:rsidRDefault="00FC0DDE" w:rsidP="00856C96">
            <w:pPr>
              <w:pStyle w:val="Body-Financial"/>
            </w:pPr>
            <w:r w:rsidRPr="00856C96">
              <w:rPr>
                <w:sz w:val="18"/>
                <w:szCs w:val="18"/>
                <w:lang w:val="en-PH"/>
              </w:rPr>
              <w:t>The draft Pricing Framework for Australian Public Hospital Services 2022–23 was released to health ministers on 6 September 2021.</w:t>
            </w:r>
          </w:p>
        </w:tc>
      </w:tr>
      <w:tr w:rsidR="00FC0DDE" w:rsidRPr="00147EEB" w14:paraId="7D895163" w14:textId="77777777" w:rsidTr="00B15944">
        <w:trPr>
          <w:trHeight w:val="624"/>
          <w:tblHeader w:val="0"/>
        </w:trPr>
        <w:tc>
          <w:tcPr>
            <w:tcW w:w="3261" w:type="dxa"/>
            <w:shd w:val="clear" w:color="auto" w:fill="F2F2F2" w:themeFill="background2" w:themeFillShade="F2"/>
            <w:tcMar>
              <w:top w:w="85" w:type="dxa"/>
              <w:bottom w:w="85" w:type="dxa"/>
            </w:tcMar>
          </w:tcPr>
          <w:p w14:paraId="4B657C1C" w14:textId="55C2060D" w:rsidR="00FC0DDE" w:rsidRPr="004C04B0" w:rsidRDefault="00FC0DDE">
            <w:pPr>
              <w:pStyle w:val="NumberListNoIndent"/>
              <w:numPr>
                <w:ilvl w:val="0"/>
                <w:numId w:val="17"/>
              </w:numPr>
            </w:pPr>
            <w:r w:rsidRPr="00B812E4">
              <w:t>Publish the Pricing Framework for Australian Public Hospital Services 2022–23 by December 2021.</w:t>
            </w:r>
          </w:p>
        </w:tc>
        <w:tc>
          <w:tcPr>
            <w:tcW w:w="567" w:type="dxa"/>
            <w:shd w:val="clear" w:color="auto" w:fill="FFFFFF" w:themeFill="background2"/>
            <w:tcMar>
              <w:top w:w="85" w:type="dxa"/>
              <w:left w:w="0" w:type="dxa"/>
              <w:bottom w:w="85" w:type="dxa"/>
              <w:right w:w="0" w:type="dxa"/>
            </w:tcMar>
          </w:tcPr>
          <w:p w14:paraId="0F57238E" w14:textId="77777777" w:rsidR="00FC0DDE" w:rsidRPr="00CD038A" w:rsidRDefault="00FC0DDE" w:rsidP="00FC0DDE">
            <w:pPr>
              <w:pStyle w:val="Body-Financial"/>
              <w:rPr>
                <w:noProof/>
                <w:sz w:val="18"/>
                <w:szCs w:val="18"/>
              </w:rPr>
            </w:pPr>
            <w:r w:rsidRPr="00CD038A">
              <w:rPr>
                <w:noProof/>
                <w:sz w:val="18"/>
                <w:szCs w:val="18"/>
              </w:rPr>
              <w:drawing>
                <wp:inline distT="0" distB="0" distL="0" distR="0" wp14:anchorId="3439448A" wp14:editId="326C5CAF">
                  <wp:extent cx="211631" cy="341865"/>
                  <wp:effectExtent l="0" t="0" r="4445" b="1270"/>
                  <wp:docPr id="76"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CFBA8D9" w14:textId="69FF34BD" w:rsidR="00FC0DDE" w:rsidRPr="00CD038A" w:rsidRDefault="00FC0DDE" w:rsidP="00FC0DDE">
            <w:pPr>
              <w:pStyle w:val="Body-Financial"/>
              <w:rPr>
                <w:sz w:val="18"/>
                <w:szCs w:val="18"/>
              </w:rPr>
            </w:pPr>
            <w:r w:rsidRPr="004C04B0">
              <w:rPr>
                <w:sz w:val="18"/>
                <w:szCs w:val="18"/>
                <w:lang w:val="en-PH"/>
              </w:rPr>
              <w:t>The Pricing Framework for Australian Public Hospital</w:t>
            </w:r>
            <w:r>
              <w:rPr>
                <w:sz w:val="18"/>
                <w:szCs w:val="18"/>
                <w:lang w:val="en-PH"/>
              </w:rPr>
              <w:t> </w:t>
            </w:r>
            <w:r w:rsidRPr="004C04B0">
              <w:rPr>
                <w:sz w:val="18"/>
                <w:szCs w:val="18"/>
                <w:lang w:val="en-PH"/>
              </w:rPr>
              <w:t>Services 2022–23 was published on</w:t>
            </w:r>
            <w:r w:rsidR="00EB0AA9">
              <w:rPr>
                <w:sz w:val="18"/>
                <w:szCs w:val="18"/>
                <w:lang w:val="en-PH"/>
              </w:rPr>
              <w:t xml:space="preserve"> </w:t>
            </w:r>
            <w:r w:rsidRPr="004C04B0">
              <w:rPr>
                <w:sz w:val="18"/>
                <w:szCs w:val="18"/>
                <w:lang w:val="en-PH"/>
              </w:rPr>
              <w:t>1</w:t>
            </w:r>
            <w:r>
              <w:rPr>
                <w:sz w:val="18"/>
                <w:szCs w:val="18"/>
                <w:lang w:val="en-PH"/>
              </w:rPr>
              <w:t> </w:t>
            </w:r>
            <w:r w:rsidRPr="004C04B0">
              <w:rPr>
                <w:sz w:val="18"/>
                <w:szCs w:val="18"/>
                <w:lang w:val="en-PH"/>
              </w:rPr>
              <w:t>December</w:t>
            </w:r>
            <w:r>
              <w:rPr>
                <w:sz w:val="18"/>
                <w:szCs w:val="18"/>
                <w:lang w:val="en-PH"/>
              </w:rPr>
              <w:t> </w:t>
            </w:r>
            <w:r w:rsidRPr="004C04B0">
              <w:rPr>
                <w:sz w:val="18"/>
                <w:szCs w:val="18"/>
                <w:lang w:val="en-PH"/>
              </w:rPr>
              <w:t>2021.</w:t>
            </w:r>
          </w:p>
        </w:tc>
      </w:tr>
      <w:tr w:rsidR="00FC0DDE" w:rsidRPr="00147EEB" w14:paraId="336E3C42" w14:textId="77777777" w:rsidTr="00B15944">
        <w:trPr>
          <w:trHeight w:val="745"/>
          <w:tblHeader w:val="0"/>
        </w:trPr>
        <w:tc>
          <w:tcPr>
            <w:tcW w:w="3261" w:type="dxa"/>
            <w:shd w:val="clear" w:color="auto" w:fill="F2F2F2" w:themeFill="background2" w:themeFillShade="F2"/>
            <w:tcMar>
              <w:top w:w="85" w:type="dxa"/>
              <w:bottom w:w="85" w:type="dxa"/>
            </w:tcMar>
          </w:tcPr>
          <w:p w14:paraId="18044AE3" w14:textId="33100FA3" w:rsidR="00FC0DDE" w:rsidRPr="00CD038A" w:rsidRDefault="00FC0DDE">
            <w:pPr>
              <w:pStyle w:val="ListParagraph"/>
              <w:numPr>
                <w:ilvl w:val="0"/>
                <w:numId w:val="17"/>
              </w:numPr>
              <w:rPr>
                <w:color w:val="1C1C1C"/>
                <w:sz w:val="18"/>
                <w:szCs w:val="18"/>
              </w:rPr>
            </w:pPr>
            <w:r w:rsidRPr="004C04B0">
              <w:rPr>
                <w:color w:val="1C1C1C"/>
                <w:sz w:val="18"/>
                <w:szCs w:val="18"/>
                <w:lang w:val="en-PH"/>
              </w:rPr>
              <w:t>Finalise decisions on the General List of In-Scope Public Hospital Services for additional or altered in-scope services for 2022–23 by December</w:t>
            </w:r>
            <w:r>
              <w:rPr>
                <w:color w:val="1C1C1C"/>
                <w:sz w:val="18"/>
                <w:szCs w:val="18"/>
                <w:lang w:val="en-PH"/>
              </w:rPr>
              <w:t> </w:t>
            </w:r>
            <w:r w:rsidRPr="004C04B0">
              <w:rPr>
                <w:color w:val="1C1C1C"/>
                <w:sz w:val="18"/>
                <w:szCs w:val="18"/>
                <w:lang w:val="en-PH"/>
              </w:rPr>
              <w:t>2021.</w:t>
            </w:r>
          </w:p>
        </w:tc>
        <w:tc>
          <w:tcPr>
            <w:tcW w:w="567" w:type="dxa"/>
            <w:shd w:val="clear" w:color="auto" w:fill="FFFFFF" w:themeFill="background2"/>
            <w:tcMar>
              <w:top w:w="85" w:type="dxa"/>
              <w:left w:w="0" w:type="dxa"/>
              <w:bottom w:w="85" w:type="dxa"/>
              <w:right w:w="0" w:type="dxa"/>
            </w:tcMar>
          </w:tcPr>
          <w:p w14:paraId="77B9AD1F" w14:textId="77777777" w:rsidR="00FC0DDE" w:rsidRPr="00CD038A" w:rsidRDefault="00FC0DDE" w:rsidP="00FC0DDE">
            <w:pPr>
              <w:pStyle w:val="Body-Financial"/>
              <w:rPr>
                <w:noProof/>
                <w:sz w:val="18"/>
                <w:szCs w:val="18"/>
              </w:rPr>
            </w:pPr>
            <w:r w:rsidRPr="00CD038A">
              <w:rPr>
                <w:noProof/>
                <w:sz w:val="18"/>
                <w:szCs w:val="18"/>
              </w:rPr>
              <w:drawing>
                <wp:inline distT="0" distB="0" distL="0" distR="0" wp14:anchorId="72FF435C" wp14:editId="022C712E">
                  <wp:extent cx="211631" cy="341865"/>
                  <wp:effectExtent l="0" t="0" r="4445" b="1270"/>
                  <wp:docPr id="77"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0">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2933631E" w14:textId="32B4CEC4" w:rsidR="00FC0DDE" w:rsidRPr="00CD038A" w:rsidRDefault="00FC0DDE" w:rsidP="00FC0DDE">
            <w:pPr>
              <w:pStyle w:val="Body-Financial"/>
              <w:rPr>
                <w:sz w:val="18"/>
                <w:szCs w:val="18"/>
              </w:rPr>
            </w:pPr>
            <w:r w:rsidRPr="00653EB7">
              <w:rPr>
                <w:sz w:val="18"/>
                <w:szCs w:val="18"/>
                <w:lang w:val="en-PH"/>
              </w:rPr>
              <w:t>IHPA assessed requests for in-scope public hospital services as per its annual assessment of General List of In-Scope Public Hospital Services process. The</w:t>
            </w:r>
            <w:r w:rsidR="0019691E">
              <w:rPr>
                <w:sz w:val="18"/>
                <w:szCs w:val="18"/>
                <w:lang w:val="en-PH"/>
              </w:rPr>
              <w:t> </w:t>
            </w:r>
            <w:r w:rsidRPr="00653EB7">
              <w:rPr>
                <w:sz w:val="18"/>
                <w:szCs w:val="18"/>
                <w:lang w:val="en-PH"/>
              </w:rPr>
              <w:t>outcome was published in the draft National Efficient Price Determination 2022−23 and released to health ministers on 1 December 2021.</w:t>
            </w:r>
          </w:p>
        </w:tc>
      </w:tr>
    </w:tbl>
    <w:p w14:paraId="35FD353A" w14:textId="77777777" w:rsidR="00FC0DDE" w:rsidRDefault="00FC0DDE" w:rsidP="00902497">
      <w:pPr>
        <w:pStyle w:val="Body"/>
      </w:pPr>
    </w:p>
    <w:p w14:paraId="7D75E2EE" w14:textId="211ECF23" w:rsidR="00FC0DDE" w:rsidRDefault="00FC0DDE" w:rsidP="00902497">
      <w:pPr>
        <w:pStyle w:val="Body"/>
        <w:sectPr w:rsidR="00FC0DDE" w:rsidSect="00BF350C">
          <w:footerReference w:type="default" r:id="rId118"/>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566DE4" w:rsidRPr="00147EEB" w14:paraId="572E4755" w14:textId="77777777" w:rsidTr="00D139DF">
        <w:trPr>
          <w:cnfStyle w:val="100000000000" w:firstRow="1" w:lastRow="0" w:firstColumn="0" w:lastColumn="0" w:oddVBand="0" w:evenVBand="0" w:oddHBand="0" w:evenHBand="0" w:firstRowFirstColumn="0" w:firstRowLastColumn="0" w:lastRowFirstColumn="0" w:lastRowLastColumn="0"/>
          <w:trHeight w:val="403"/>
        </w:trPr>
        <w:tc>
          <w:tcPr>
            <w:tcW w:w="3261" w:type="dxa"/>
            <w:vAlign w:val="center"/>
          </w:tcPr>
          <w:p w14:paraId="6F4B6A61" w14:textId="5A259A1B" w:rsidR="00566DE4" w:rsidRPr="00FE1796" w:rsidRDefault="00566DE4" w:rsidP="00566DE4">
            <w:pPr>
              <w:pStyle w:val="Body"/>
              <w:rPr>
                <w:rFonts w:asciiTheme="majorHAnsi" w:hAnsiTheme="majorHAnsi"/>
                <w:color w:val="FFFFFF" w:themeColor="background2"/>
              </w:rPr>
            </w:pPr>
            <w:r w:rsidRPr="00FE1796">
              <w:rPr>
                <w:rFonts w:asciiTheme="majorHAnsi" w:hAnsiTheme="majorHAnsi"/>
                <w:color w:val="FFFFFF" w:themeColor="background2"/>
              </w:rPr>
              <w:lastRenderedPageBreak/>
              <w:t>Performance criteria</w:t>
            </w:r>
          </w:p>
        </w:tc>
        <w:tc>
          <w:tcPr>
            <w:tcW w:w="567" w:type="dxa"/>
            <w:shd w:val="clear" w:color="auto" w:fill="FFFFFF" w:themeFill="background2"/>
            <w:vAlign w:val="center"/>
          </w:tcPr>
          <w:p w14:paraId="1ECF4677" w14:textId="5748C8BE" w:rsidR="00566DE4" w:rsidRPr="00FE1796" w:rsidRDefault="00566DE4" w:rsidP="00566DE4">
            <w:pPr>
              <w:pStyle w:val="Body"/>
              <w:rPr>
                <w:rFonts w:asciiTheme="majorHAnsi" w:hAnsiTheme="majorHAnsi"/>
                <w:color w:val="FFFFFF" w:themeColor="background2"/>
              </w:rPr>
            </w:pPr>
          </w:p>
        </w:tc>
        <w:tc>
          <w:tcPr>
            <w:tcW w:w="3969" w:type="dxa"/>
            <w:vAlign w:val="center"/>
          </w:tcPr>
          <w:p w14:paraId="32969DBE" w14:textId="1A6B036B" w:rsidR="00566DE4" w:rsidRPr="00FE1796" w:rsidRDefault="00566DE4" w:rsidP="00566DE4">
            <w:pPr>
              <w:pStyle w:val="Body"/>
              <w:rPr>
                <w:rFonts w:asciiTheme="majorHAnsi" w:hAnsiTheme="majorHAnsi"/>
                <w:color w:val="FFFFFF" w:themeColor="background2"/>
              </w:rPr>
            </w:pPr>
            <w:r w:rsidRPr="00FE1796">
              <w:rPr>
                <w:rFonts w:asciiTheme="majorHAnsi" w:hAnsiTheme="majorHAnsi"/>
                <w:color w:val="FFFFFF" w:themeColor="background2"/>
              </w:rPr>
              <w:t>Results against performance criteria</w:t>
            </w:r>
          </w:p>
        </w:tc>
      </w:tr>
      <w:tr w:rsidR="008C7AA4" w:rsidRPr="00147EEB" w14:paraId="383F7EA6" w14:textId="77777777" w:rsidTr="00A8605F">
        <w:trPr>
          <w:trHeight w:val="624"/>
          <w:tblHeader w:val="0"/>
        </w:trPr>
        <w:tc>
          <w:tcPr>
            <w:tcW w:w="3261" w:type="dxa"/>
            <w:shd w:val="clear" w:color="auto" w:fill="F2F2F2" w:themeFill="background2" w:themeFillShade="F2"/>
            <w:tcMar>
              <w:top w:w="85" w:type="dxa"/>
              <w:bottom w:w="85" w:type="dxa"/>
            </w:tcMar>
          </w:tcPr>
          <w:p w14:paraId="7A88CC87" w14:textId="14E6DE71" w:rsidR="008C7AA4" w:rsidRPr="00CD038A" w:rsidRDefault="00FC0DDE">
            <w:pPr>
              <w:pStyle w:val="Body-Financial"/>
              <w:numPr>
                <w:ilvl w:val="0"/>
                <w:numId w:val="17"/>
              </w:numPr>
              <w:rPr>
                <w:sz w:val="18"/>
                <w:szCs w:val="18"/>
              </w:rPr>
            </w:pPr>
            <w:r w:rsidRPr="00FC0DDE">
              <w:rPr>
                <w:sz w:val="18"/>
                <w:szCs w:val="18"/>
                <w:lang w:val="en-PH"/>
              </w:rPr>
              <w:t>Finalise decisions on the legitimate and unavoidable cost variations to assess changes or adjustments to the National Efficient Price Determination 2022−23 by December 2021.</w:t>
            </w:r>
          </w:p>
        </w:tc>
        <w:tc>
          <w:tcPr>
            <w:tcW w:w="567" w:type="dxa"/>
            <w:shd w:val="clear" w:color="auto" w:fill="FFFFFF" w:themeFill="background2"/>
            <w:tcMar>
              <w:top w:w="85" w:type="dxa"/>
              <w:left w:w="0" w:type="dxa"/>
              <w:bottom w:w="85" w:type="dxa"/>
              <w:right w:w="0" w:type="dxa"/>
            </w:tcMar>
          </w:tcPr>
          <w:p w14:paraId="6D1B4290" w14:textId="4FFB8DA5" w:rsidR="008C7AA4" w:rsidRPr="00CD038A" w:rsidRDefault="008C7AA4" w:rsidP="008C7AA4">
            <w:pPr>
              <w:pStyle w:val="Body-Financial"/>
              <w:rPr>
                <w:sz w:val="18"/>
                <w:szCs w:val="18"/>
              </w:rPr>
            </w:pPr>
            <w:r w:rsidRPr="00CD038A">
              <w:rPr>
                <w:noProof/>
                <w:sz w:val="18"/>
                <w:szCs w:val="18"/>
              </w:rPr>
              <w:drawing>
                <wp:inline distT="0" distB="0" distL="0" distR="0" wp14:anchorId="0075D5ED" wp14:editId="7DFEAFC0">
                  <wp:extent cx="211631" cy="341865"/>
                  <wp:effectExtent l="0" t="0" r="4445" b="127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75041250" w14:textId="336BAFDD" w:rsidR="008C7AA4" w:rsidRPr="00CD038A" w:rsidRDefault="00FC0DDE" w:rsidP="008C7AA4">
            <w:pPr>
              <w:pStyle w:val="Body-Financial"/>
              <w:rPr>
                <w:sz w:val="18"/>
                <w:szCs w:val="18"/>
              </w:rPr>
            </w:pPr>
            <w:r>
              <w:rPr>
                <w:sz w:val="18"/>
                <w:szCs w:val="18"/>
                <w:lang w:val="en-PH"/>
              </w:rPr>
              <w:t>IHPA</w:t>
            </w:r>
            <w:r w:rsidR="004C04B0" w:rsidRPr="004C04B0">
              <w:rPr>
                <w:sz w:val="18"/>
                <w:szCs w:val="18"/>
                <w:lang w:val="en-PH"/>
              </w:rPr>
              <w:t xml:space="preserve"> </w:t>
            </w:r>
            <w:r w:rsidRPr="00FC0DDE">
              <w:rPr>
                <w:sz w:val="18"/>
                <w:szCs w:val="18"/>
              </w:rPr>
              <w:t>assessed changes and requests for adjustments to the national pricing model as per its annual assessment of legitimate and unavoidable cost variations process. The outcome was published in the</w:t>
            </w:r>
            <w:r>
              <w:rPr>
                <w:sz w:val="18"/>
                <w:szCs w:val="18"/>
              </w:rPr>
              <w:t> </w:t>
            </w:r>
            <w:r w:rsidRPr="00FC0DDE">
              <w:rPr>
                <w:sz w:val="18"/>
                <w:szCs w:val="18"/>
              </w:rPr>
              <w:t>draft National Efficient Price Determination 2022−23 and released to health ministers on 1</w:t>
            </w:r>
            <w:r>
              <w:rPr>
                <w:sz w:val="18"/>
                <w:szCs w:val="18"/>
              </w:rPr>
              <w:t> </w:t>
            </w:r>
            <w:r w:rsidRPr="00FC0DDE">
              <w:rPr>
                <w:sz w:val="18"/>
                <w:szCs w:val="18"/>
              </w:rPr>
              <w:t>December</w:t>
            </w:r>
            <w:r>
              <w:rPr>
                <w:sz w:val="18"/>
                <w:szCs w:val="18"/>
              </w:rPr>
              <w:t> </w:t>
            </w:r>
            <w:r w:rsidRPr="00FC0DDE">
              <w:rPr>
                <w:sz w:val="18"/>
                <w:szCs w:val="18"/>
              </w:rPr>
              <w:t>2021.</w:t>
            </w:r>
          </w:p>
        </w:tc>
      </w:tr>
      <w:tr w:rsidR="00FC0DDE" w:rsidRPr="00147EEB" w14:paraId="0D785336" w14:textId="77777777" w:rsidTr="00A8605F">
        <w:trPr>
          <w:trHeight w:val="745"/>
          <w:tblHeader w:val="0"/>
        </w:trPr>
        <w:tc>
          <w:tcPr>
            <w:tcW w:w="3261" w:type="dxa"/>
            <w:shd w:val="clear" w:color="auto" w:fill="F2F2F2" w:themeFill="background2" w:themeFillShade="F2"/>
            <w:tcMar>
              <w:top w:w="85" w:type="dxa"/>
              <w:bottom w:w="85" w:type="dxa"/>
            </w:tcMar>
          </w:tcPr>
          <w:p w14:paraId="2ABFF2C7" w14:textId="37561612" w:rsidR="00FC0DDE" w:rsidRPr="004C04B0" w:rsidRDefault="00FC0DDE">
            <w:pPr>
              <w:pStyle w:val="NumberListNoIndent"/>
              <w:numPr>
                <w:ilvl w:val="0"/>
                <w:numId w:val="17"/>
              </w:numPr>
            </w:pPr>
            <w:r w:rsidRPr="00B812E4">
              <w:t xml:space="preserve">Provide the draft National Efficient Price </w:t>
            </w:r>
            <w:r w:rsidR="00EB0AA9">
              <w:t xml:space="preserve">Determination </w:t>
            </w:r>
            <w:r w:rsidRPr="00B812E4">
              <w:t>and National Efficient Cost Determination 2022–23 to health ministers for a 45-day comment period by December 2021.</w:t>
            </w:r>
          </w:p>
        </w:tc>
        <w:tc>
          <w:tcPr>
            <w:tcW w:w="567" w:type="dxa"/>
            <w:shd w:val="clear" w:color="auto" w:fill="FFFFFF" w:themeFill="background2"/>
            <w:tcMar>
              <w:top w:w="85" w:type="dxa"/>
              <w:left w:w="0" w:type="dxa"/>
              <w:bottom w:w="85" w:type="dxa"/>
              <w:right w:w="0" w:type="dxa"/>
            </w:tcMar>
          </w:tcPr>
          <w:p w14:paraId="20D19503" w14:textId="7DBF943B" w:rsidR="00FC0DDE" w:rsidRPr="00CD038A" w:rsidRDefault="00FC0DDE" w:rsidP="00FC0DDE">
            <w:pPr>
              <w:pStyle w:val="Body-Financial"/>
              <w:rPr>
                <w:noProof/>
                <w:sz w:val="18"/>
                <w:szCs w:val="18"/>
              </w:rPr>
            </w:pPr>
            <w:r w:rsidRPr="00CD038A">
              <w:rPr>
                <w:noProof/>
                <w:sz w:val="18"/>
                <w:szCs w:val="18"/>
              </w:rPr>
              <w:drawing>
                <wp:inline distT="0" distB="0" distL="0" distR="0" wp14:anchorId="39A6A3A7" wp14:editId="2EA941E1">
                  <wp:extent cx="211631" cy="341865"/>
                  <wp:effectExtent l="0" t="0" r="4445" b="127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234E49F7" w14:textId="21B63FAA" w:rsidR="00FC0DDE" w:rsidRPr="00CD038A" w:rsidRDefault="000452E9" w:rsidP="00856C96">
            <w:pPr>
              <w:pStyle w:val="Body-Financial"/>
            </w:pPr>
            <w:r w:rsidRPr="00856C96">
              <w:rPr>
                <w:sz w:val="18"/>
                <w:szCs w:val="18"/>
                <w:lang w:val="en-PH"/>
              </w:rPr>
              <w:t>The draft National Efficient Price Determination 2022–23 and National Efficient Cost Determination 2022–23 w</w:t>
            </w:r>
            <w:r w:rsidR="009470C7">
              <w:rPr>
                <w:sz w:val="18"/>
                <w:szCs w:val="18"/>
                <w:lang w:val="en-PH"/>
              </w:rPr>
              <w:t>as</w:t>
            </w:r>
            <w:r w:rsidRPr="00856C96">
              <w:rPr>
                <w:sz w:val="18"/>
                <w:szCs w:val="18"/>
                <w:lang w:val="en-PH"/>
              </w:rPr>
              <w:t xml:space="preserve"> provided to health ministers on 1 December 2021.</w:t>
            </w:r>
          </w:p>
        </w:tc>
      </w:tr>
      <w:tr w:rsidR="00FC0DDE" w:rsidRPr="00147EEB" w14:paraId="55F425C5" w14:textId="77777777" w:rsidTr="00A8605F">
        <w:trPr>
          <w:trHeight w:val="624"/>
          <w:tblHeader w:val="0"/>
        </w:trPr>
        <w:tc>
          <w:tcPr>
            <w:tcW w:w="3261" w:type="dxa"/>
            <w:shd w:val="clear" w:color="auto" w:fill="F2F2F2" w:themeFill="background2" w:themeFillShade="F2"/>
            <w:tcMar>
              <w:top w:w="85" w:type="dxa"/>
              <w:bottom w:w="85" w:type="dxa"/>
            </w:tcMar>
          </w:tcPr>
          <w:p w14:paraId="7CF18F5B" w14:textId="69DBFBC1" w:rsidR="00FC0DDE" w:rsidRPr="004C04B0" w:rsidRDefault="00FC0DDE">
            <w:pPr>
              <w:pStyle w:val="NumberListNoIndent"/>
              <w:numPr>
                <w:ilvl w:val="0"/>
                <w:numId w:val="17"/>
              </w:numPr>
            </w:pPr>
            <w:r w:rsidRPr="004C04B0">
              <w:rPr>
                <w:lang w:val="en-PH"/>
              </w:rPr>
              <w:t xml:space="preserve">Publish the National Efficient Price </w:t>
            </w:r>
            <w:r w:rsidR="00EB0AA9">
              <w:rPr>
                <w:lang w:val="en-PH"/>
              </w:rPr>
              <w:t xml:space="preserve">Determination </w:t>
            </w:r>
            <w:r w:rsidRPr="004C04B0">
              <w:rPr>
                <w:lang w:val="en-PH"/>
              </w:rPr>
              <w:t>and National Efficient Cost Determination 2022–23 by March 2022.</w:t>
            </w:r>
          </w:p>
        </w:tc>
        <w:tc>
          <w:tcPr>
            <w:tcW w:w="567" w:type="dxa"/>
            <w:shd w:val="clear" w:color="auto" w:fill="FFFFFF" w:themeFill="background2"/>
            <w:tcMar>
              <w:top w:w="85" w:type="dxa"/>
              <w:left w:w="0" w:type="dxa"/>
              <w:bottom w:w="85" w:type="dxa"/>
              <w:right w:w="0" w:type="dxa"/>
            </w:tcMar>
          </w:tcPr>
          <w:p w14:paraId="5A159AAE" w14:textId="4F6B4F08" w:rsidR="00FC0DDE" w:rsidRPr="00CD038A" w:rsidRDefault="00FC0DDE" w:rsidP="00FC0DDE">
            <w:pPr>
              <w:pStyle w:val="Body-Financial"/>
              <w:rPr>
                <w:noProof/>
                <w:sz w:val="18"/>
                <w:szCs w:val="18"/>
              </w:rPr>
            </w:pPr>
            <w:r w:rsidRPr="00CD038A">
              <w:rPr>
                <w:noProof/>
                <w:sz w:val="18"/>
                <w:szCs w:val="18"/>
              </w:rPr>
              <w:drawing>
                <wp:inline distT="0" distB="0" distL="0" distR="0" wp14:anchorId="62C3BAF3" wp14:editId="2E511926">
                  <wp:extent cx="211631" cy="341865"/>
                  <wp:effectExtent l="0" t="0" r="4445" b="127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09DBF289" w14:textId="3447980F" w:rsidR="00FC0DDE" w:rsidRPr="00CD038A" w:rsidRDefault="000452E9" w:rsidP="00FC0DDE">
            <w:pPr>
              <w:pStyle w:val="Body-Financial"/>
              <w:rPr>
                <w:sz w:val="18"/>
                <w:szCs w:val="18"/>
              </w:rPr>
            </w:pPr>
            <w:r w:rsidRPr="000452E9">
              <w:rPr>
                <w:sz w:val="18"/>
                <w:szCs w:val="18"/>
                <w:lang w:val="en-PH"/>
              </w:rPr>
              <w:t>The National Efficient Price Determination 2022–23 and National Efficient Cost Determination 2022–23 was published on 23 March 2022.</w:t>
            </w:r>
          </w:p>
        </w:tc>
      </w:tr>
      <w:tr w:rsidR="00F05634" w:rsidRPr="00147EEB" w14:paraId="55C186BE" w14:textId="77777777" w:rsidTr="00A8605F">
        <w:trPr>
          <w:trHeight w:val="745"/>
          <w:tblHeader w:val="0"/>
        </w:trPr>
        <w:tc>
          <w:tcPr>
            <w:tcW w:w="3261" w:type="dxa"/>
            <w:shd w:val="clear" w:color="auto" w:fill="F2F2F2" w:themeFill="background2" w:themeFillShade="F2"/>
            <w:tcMar>
              <w:top w:w="85" w:type="dxa"/>
              <w:bottom w:w="85" w:type="dxa"/>
            </w:tcMar>
          </w:tcPr>
          <w:p w14:paraId="2FE5F9CF" w14:textId="3C86378B" w:rsidR="00F05634" w:rsidRPr="00CD038A" w:rsidRDefault="00FC0DDE">
            <w:pPr>
              <w:pStyle w:val="ListParagraph"/>
              <w:numPr>
                <w:ilvl w:val="0"/>
                <w:numId w:val="17"/>
              </w:numPr>
              <w:rPr>
                <w:color w:val="1C1C1C"/>
                <w:sz w:val="18"/>
                <w:szCs w:val="18"/>
              </w:rPr>
            </w:pPr>
            <w:r w:rsidRPr="00FC0DDE">
              <w:rPr>
                <w:color w:val="1C1C1C"/>
                <w:sz w:val="18"/>
                <w:szCs w:val="18"/>
              </w:rPr>
              <w:t>Continue to assess the recommendations provided in the Fundamental Review.</w:t>
            </w:r>
          </w:p>
        </w:tc>
        <w:tc>
          <w:tcPr>
            <w:tcW w:w="567" w:type="dxa"/>
            <w:shd w:val="clear" w:color="auto" w:fill="FFFFFF" w:themeFill="background2"/>
            <w:tcMar>
              <w:top w:w="85" w:type="dxa"/>
              <w:left w:w="0" w:type="dxa"/>
              <w:bottom w:w="85" w:type="dxa"/>
              <w:right w:w="0" w:type="dxa"/>
            </w:tcMar>
          </w:tcPr>
          <w:p w14:paraId="24AD389E" w14:textId="6DA40A35" w:rsidR="00F05634" w:rsidRPr="00CD038A" w:rsidRDefault="00EB7B21" w:rsidP="008C7AA4">
            <w:pPr>
              <w:pStyle w:val="Body-Financial"/>
              <w:rPr>
                <w:noProof/>
                <w:sz w:val="18"/>
                <w:szCs w:val="18"/>
              </w:rPr>
            </w:pPr>
            <w:r w:rsidRPr="00CD038A">
              <w:rPr>
                <w:noProof/>
                <w:sz w:val="18"/>
                <w:szCs w:val="18"/>
              </w:rPr>
              <w:drawing>
                <wp:inline distT="0" distB="0" distL="0" distR="0" wp14:anchorId="49287B54" wp14:editId="783E9A6C">
                  <wp:extent cx="211631" cy="341865"/>
                  <wp:effectExtent l="0" t="0" r="4445" b="127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2461C4A4" w14:textId="29C8D820" w:rsidR="00F05634" w:rsidRPr="00CD038A" w:rsidRDefault="000452E9" w:rsidP="008C7AA4">
            <w:pPr>
              <w:pStyle w:val="Body-Financial"/>
              <w:rPr>
                <w:sz w:val="18"/>
                <w:szCs w:val="18"/>
              </w:rPr>
            </w:pPr>
            <w:r w:rsidRPr="000452E9">
              <w:rPr>
                <w:sz w:val="18"/>
                <w:szCs w:val="18"/>
              </w:rPr>
              <w:t>Assessment of fund</w:t>
            </w:r>
            <w:r w:rsidR="00EB0AA9">
              <w:rPr>
                <w:sz w:val="18"/>
                <w:szCs w:val="18"/>
              </w:rPr>
              <w:t>a</w:t>
            </w:r>
            <w:r w:rsidRPr="000452E9">
              <w:rPr>
                <w:sz w:val="18"/>
                <w:szCs w:val="18"/>
              </w:rPr>
              <w:t>mental review recommendations has been put on hold due to COVID-19 pandemic potentially affecting input data used for analysis.</w:t>
            </w:r>
          </w:p>
        </w:tc>
      </w:tr>
      <w:tr w:rsidR="00FC0DDE" w:rsidRPr="00147EEB" w14:paraId="61F02129" w14:textId="77777777" w:rsidTr="00A8605F">
        <w:trPr>
          <w:trHeight w:val="745"/>
          <w:tblHeader w:val="0"/>
        </w:trPr>
        <w:tc>
          <w:tcPr>
            <w:tcW w:w="3261" w:type="dxa"/>
            <w:shd w:val="clear" w:color="auto" w:fill="F2F2F2" w:themeFill="background2" w:themeFillShade="F2"/>
            <w:tcMar>
              <w:top w:w="85" w:type="dxa"/>
              <w:bottom w:w="85" w:type="dxa"/>
            </w:tcMar>
          </w:tcPr>
          <w:p w14:paraId="649AA59A" w14:textId="5FCF81EC" w:rsidR="00FC0DDE" w:rsidRPr="004C04B0" w:rsidRDefault="00FC0DDE">
            <w:pPr>
              <w:pStyle w:val="NumberListNoIndent"/>
              <w:numPr>
                <w:ilvl w:val="0"/>
                <w:numId w:val="17"/>
              </w:numPr>
            </w:pPr>
            <w:r w:rsidRPr="00B812E4">
              <w:t>Implementation of a risk adjusted pricing approach to reduce the rates of avoidable hospital readmissions in public hospitals by July 2021.</w:t>
            </w:r>
          </w:p>
        </w:tc>
        <w:tc>
          <w:tcPr>
            <w:tcW w:w="567" w:type="dxa"/>
            <w:shd w:val="clear" w:color="auto" w:fill="FFFFFF" w:themeFill="background2"/>
            <w:tcMar>
              <w:top w:w="85" w:type="dxa"/>
              <w:left w:w="0" w:type="dxa"/>
              <w:bottom w:w="85" w:type="dxa"/>
              <w:right w:w="0" w:type="dxa"/>
            </w:tcMar>
          </w:tcPr>
          <w:p w14:paraId="1BCFE4A2" w14:textId="12DACA93" w:rsidR="00FC0DDE" w:rsidRPr="00CD038A" w:rsidRDefault="00FC0DDE" w:rsidP="00FC0DDE">
            <w:pPr>
              <w:pStyle w:val="Body-Financial"/>
              <w:rPr>
                <w:noProof/>
                <w:sz w:val="18"/>
                <w:szCs w:val="18"/>
              </w:rPr>
            </w:pPr>
            <w:r w:rsidRPr="00CD038A">
              <w:rPr>
                <w:noProof/>
                <w:sz w:val="18"/>
                <w:szCs w:val="18"/>
              </w:rPr>
              <w:drawing>
                <wp:inline distT="0" distB="0" distL="0" distR="0" wp14:anchorId="6E9A36A7" wp14:editId="0CD5A972">
                  <wp:extent cx="211631" cy="341865"/>
                  <wp:effectExtent l="0" t="0" r="4445" b="1270"/>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182CC9B" w14:textId="3C9E31B9" w:rsidR="00FC0DDE" w:rsidRPr="00CD038A" w:rsidRDefault="000452E9" w:rsidP="00856C96">
            <w:pPr>
              <w:pStyle w:val="Body-Financial"/>
            </w:pPr>
            <w:r w:rsidRPr="00856C96">
              <w:rPr>
                <w:sz w:val="18"/>
                <w:szCs w:val="18"/>
                <w:lang w:val="en-PH"/>
              </w:rPr>
              <w:t>A risk adjusted pricing approach for avoidable hospital readmissions was published for the first time in the National Efficient Price Determination 202</w:t>
            </w:r>
            <w:r w:rsidR="00085121" w:rsidRPr="00856C96">
              <w:rPr>
                <w:sz w:val="18"/>
                <w:szCs w:val="18"/>
                <w:lang w:val="en-PH"/>
              </w:rPr>
              <w:t>1</w:t>
            </w:r>
            <w:r w:rsidRPr="00856C96">
              <w:rPr>
                <w:sz w:val="18"/>
                <w:szCs w:val="18"/>
                <w:lang w:val="en-PH"/>
              </w:rPr>
              <w:t>–2</w:t>
            </w:r>
            <w:r w:rsidR="00085121" w:rsidRPr="00856C96">
              <w:rPr>
                <w:sz w:val="18"/>
                <w:szCs w:val="18"/>
                <w:lang w:val="en-PH"/>
              </w:rPr>
              <w:t>2</w:t>
            </w:r>
            <w:r w:rsidRPr="00856C96">
              <w:rPr>
                <w:sz w:val="18"/>
                <w:szCs w:val="18"/>
                <w:lang w:val="en-PH"/>
              </w:rPr>
              <w:t xml:space="preserve"> on 2 March 2021 for implementation from</w:t>
            </w:r>
            <w:r w:rsidR="004C16C0" w:rsidRPr="00856C96">
              <w:rPr>
                <w:sz w:val="18"/>
                <w:szCs w:val="18"/>
                <w:lang w:val="en-PH"/>
              </w:rPr>
              <w:t> </w:t>
            </w:r>
            <w:r w:rsidRPr="00856C96">
              <w:rPr>
                <w:sz w:val="18"/>
                <w:szCs w:val="18"/>
                <w:lang w:val="en-PH"/>
              </w:rPr>
              <w:t>1 July 2021.</w:t>
            </w:r>
          </w:p>
        </w:tc>
      </w:tr>
      <w:tr w:rsidR="00FC0DDE" w:rsidRPr="00147EEB" w14:paraId="5A0B96E6" w14:textId="77777777" w:rsidTr="00A8605F">
        <w:trPr>
          <w:trHeight w:val="567"/>
          <w:tblHeader w:val="0"/>
        </w:trPr>
        <w:tc>
          <w:tcPr>
            <w:tcW w:w="3261" w:type="dxa"/>
            <w:shd w:val="clear" w:color="auto" w:fill="F2F2F2" w:themeFill="background2" w:themeFillShade="F2"/>
            <w:tcMar>
              <w:top w:w="85" w:type="dxa"/>
              <w:bottom w:w="85" w:type="dxa"/>
            </w:tcMar>
          </w:tcPr>
          <w:p w14:paraId="725B079C" w14:textId="526F753E" w:rsidR="00FC0DDE" w:rsidRPr="004C04B0" w:rsidRDefault="00FC0DDE">
            <w:pPr>
              <w:pStyle w:val="NumberListNoIndent"/>
              <w:numPr>
                <w:ilvl w:val="0"/>
                <w:numId w:val="17"/>
              </w:numPr>
            </w:pPr>
            <w:r w:rsidRPr="00040257">
              <w:t>Development of a framework to evaluate the safety and quality reforms by April 2021.</w:t>
            </w:r>
          </w:p>
        </w:tc>
        <w:tc>
          <w:tcPr>
            <w:tcW w:w="567" w:type="dxa"/>
            <w:shd w:val="clear" w:color="auto" w:fill="FFFFFF" w:themeFill="background2"/>
            <w:tcMar>
              <w:top w:w="85" w:type="dxa"/>
              <w:left w:w="0" w:type="dxa"/>
              <w:bottom w:w="85" w:type="dxa"/>
              <w:right w:w="0" w:type="dxa"/>
            </w:tcMar>
          </w:tcPr>
          <w:p w14:paraId="293FE9A1" w14:textId="3A95D0D4" w:rsidR="00FC0DDE" w:rsidRPr="00CD038A" w:rsidRDefault="00FC0DDE" w:rsidP="00FC0DDE">
            <w:pPr>
              <w:pStyle w:val="Body-Financial"/>
              <w:rPr>
                <w:noProof/>
                <w:sz w:val="18"/>
                <w:szCs w:val="18"/>
              </w:rPr>
            </w:pPr>
            <w:r w:rsidRPr="00CD038A">
              <w:rPr>
                <w:noProof/>
                <w:sz w:val="18"/>
                <w:szCs w:val="18"/>
              </w:rPr>
              <w:drawing>
                <wp:inline distT="0" distB="0" distL="0" distR="0" wp14:anchorId="2079300E" wp14:editId="71B36797">
                  <wp:extent cx="211631" cy="341865"/>
                  <wp:effectExtent l="0" t="0" r="4445" b="1270"/>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3F28601" w14:textId="399C850D" w:rsidR="00FC0DDE" w:rsidRPr="00CD038A" w:rsidRDefault="000452E9" w:rsidP="00FC0DDE">
            <w:pPr>
              <w:pStyle w:val="Body-Financial"/>
              <w:rPr>
                <w:sz w:val="18"/>
                <w:szCs w:val="18"/>
              </w:rPr>
            </w:pPr>
            <w:r w:rsidRPr="000452E9">
              <w:rPr>
                <w:sz w:val="18"/>
                <w:szCs w:val="18"/>
              </w:rPr>
              <w:t>IHPA led the development of an evaluation framework and proposed an approach to evaluate the implemented safety and quality reforms for sentinel events, hospital acquired complications and avoidable hospital readmissions. This was provided to</w:t>
            </w:r>
            <w:r w:rsidR="0019691E">
              <w:rPr>
                <w:sz w:val="18"/>
                <w:szCs w:val="18"/>
              </w:rPr>
              <w:t> </w:t>
            </w:r>
            <w:r w:rsidRPr="000452E9">
              <w:rPr>
                <w:sz w:val="18"/>
                <w:szCs w:val="18"/>
              </w:rPr>
              <w:t>the Health Ministers’ Meeting for consideration in October 2021 as part of the joint advice from the national bodies.</w:t>
            </w:r>
          </w:p>
        </w:tc>
      </w:tr>
      <w:tr w:rsidR="00FC0DDE" w:rsidRPr="00147EEB" w14:paraId="41FF75D2" w14:textId="77777777" w:rsidTr="00A8605F">
        <w:trPr>
          <w:trHeight w:val="510"/>
          <w:tblHeader w:val="0"/>
        </w:trPr>
        <w:tc>
          <w:tcPr>
            <w:tcW w:w="3261" w:type="dxa"/>
            <w:shd w:val="clear" w:color="auto" w:fill="F2F2F2" w:themeFill="background2" w:themeFillShade="F2"/>
            <w:tcMar>
              <w:top w:w="85" w:type="dxa"/>
              <w:bottom w:w="85" w:type="dxa"/>
            </w:tcMar>
          </w:tcPr>
          <w:p w14:paraId="374B2192" w14:textId="57273A45" w:rsidR="00FC0DDE" w:rsidRPr="00FC0DDE" w:rsidRDefault="00FC0DDE">
            <w:pPr>
              <w:pStyle w:val="ListParagraph"/>
              <w:numPr>
                <w:ilvl w:val="0"/>
                <w:numId w:val="17"/>
              </w:numPr>
              <w:rPr>
                <w:color w:val="1C1C1C"/>
                <w:sz w:val="18"/>
                <w:szCs w:val="18"/>
              </w:rPr>
            </w:pPr>
            <w:r w:rsidRPr="00040257">
              <w:rPr>
                <w:color w:val="1C1C1C"/>
                <w:sz w:val="18"/>
                <w:szCs w:val="18"/>
              </w:rPr>
              <w:t>Investigation and provision of advice on options to reduce avoidable and preventable hospitalisations by April</w:t>
            </w:r>
            <w:r>
              <w:rPr>
                <w:color w:val="1C1C1C"/>
                <w:sz w:val="18"/>
                <w:szCs w:val="18"/>
              </w:rPr>
              <w:t> </w:t>
            </w:r>
            <w:r w:rsidRPr="00040257">
              <w:rPr>
                <w:color w:val="1C1C1C"/>
                <w:sz w:val="18"/>
                <w:szCs w:val="18"/>
              </w:rPr>
              <w:t>2021.</w:t>
            </w:r>
          </w:p>
        </w:tc>
        <w:tc>
          <w:tcPr>
            <w:tcW w:w="567" w:type="dxa"/>
            <w:shd w:val="clear" w:color="auto" w:fill="FFFFFF" w:themeFill="background2"/>
            <w:tcMar>
              <w:top w:w="85" w:type="dxa"/>
              <w:left w:w="0" w:type="dxa"/>
              <w:bottom w:w="85" w:type="dxa"/>
              <w:right w:w="0" w:type="dxa"/>
            </w:tcMar>
          </w:tcPr>
          <w:p w14:paraId="5853A31F" w14:textId="4E8F6331" w:rsidR="00FC0DDE" w:rsidRPr="00CD038A" w:rsidRDefault="00FC0DDE" w:rsidP="00FC0DDE">
            <w:pPr>
              <w:pStyle w:val="Body-Financial"/>
              <w:rPr>
                <w:noProof/>
                <w:sz w:val="18"/>
                <w:szCs w:val="18"/>
              </w:rPr>
            </w:pPr>
            <w:r w:rsidRPr="00CD038A">
              <w:rPr>
                <w:noProof/>
                <w:sz w:val="18"/>
                <w:szCs w:val="18"/>
              </w:rPr>
              <w:drawing>
                <wp:inline distT="0" distB="0" distL="0" distR="0" wp14:anchorId="6DDD353A" wp14:editId="75412FBD">
                  <wp:extent cx="211631" cy="341865"/>
                  <wp:effectExtent l="0" t="0" r="4445" b="127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BA5C83C" w14:textId="26503574" w:rsidR="00FC0DDE" w:rsidRPr="00CD038A" w:rsidRDefault="000452E9" w:rsidP="00FC0DDE">
            <w:pPr>
              <w:pStyle w:val="Body-Financial"/>
              <w:rPr>
                <w:sz w:val="18"/>
                <w:szCs w:val="18"/>
              </w:rPr>
            </w:pPr>
            <w:r w:rsidRPr="00040257">
              <w:rPr>
                <w:sz w:val="18"/>
                <w:szCs w:val="18"/>
              </w:rPr>
              <w:t>IHPA contributed to the development of joint advice from the national bodies on options to reduce avoidable and preventable hospitalisations. The</w:t>
            </w:r>
            <w:r w:rsidR="0019691E">
              <w:rPr>
                <w:sz w:val="18"/>
                <w:szCs w:val="18"/>
              </w:rPr>
              <w:t> </w:t>
            </w:r>
            <w:r w:rsidRPr="00040257">
              <w:rPr>
                <w:sz w:val="18"/>
                <w:szCs w:val="18"/>
              </w:rPr>
              <w:t>advice was provided to the Health Ministers’ Meeting for consideration in October 2021.</w:t>
            </w:r>
          </w:p>
        </w:tc>
      </w:tr>
    </w:tbl>
    <w:p w14:paraId="2F104542" w14:textId="370C8B2A" w:rsidR="00967FFA" w:rsidRDefault="00967FFA" w:rsidP="00902497">
      <w:pPr>
        <w:pStyle w:val="Body"/>
      </w:pPr>
    </w:p>
    <w:p w14:paraId="311F869F" w14:textId="77777777" w:rsidR="00A028D1" w:rsidRDefault="00A028D1" w:rsidP="00902497">
      <w:pPr>
        <w:pStyle w:val="Body"/>
        <w:sectPr w:rsidR="00A028D1" w:rsidSect="00BF350C">
          <w:footerReference w:type="default" r:id="rId119"/>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B83801" w:rsidRPr="006E4AD2" w14:paraId="48921F05" w14:textId="77777777" w:rsidTr="00D139DF">
        <w:trPr>
          <w:cnfStyle w:val="100000000000" w:firstRow="1" w:lastRow="0" w:firstColumn="0" w:lastColumn="0" w:oddVBand="0" w:evenVBand="0" w:oddHBand="0" w:evenHBand="0" w:firstRowFirstColumn="0" w:firstRowLastColumn="0" w:lastRowFirstColumn="0" w:lastRowLastColumn="0"/>
          <w:trHeight w:val="403"/>
          <w:tblHeader w:val="0"/>
        </w:trPr>
        <w:tc>
          <w:tcPr>
            <w:tcW w:w="3261" w:type="dxa"/>
            <w:tcMar>
              <w:top w:w="85" w:type="dxa"/>
              <w:bottom w:w="85" w:type="dxa"/>
            </w:tcMar>
            <w:vAlign w:val="center"/>
          </w:tcPr>
          <w:p w14:paraId="7CE0D5D9" w14:textId="27763E6E" w:rsidR="00B83801" w:rsidRPr="00B812E4" w:rsidRDefault="00B83801" w:rsidP="00D139DF">
            <w:pPr>
              <w:pStyle w:val="Body"/>
            </w:pPr>
            <w:r w:rsidRPr="00FE1796">
              <w:rPr>
                <w:rFonts w:asciiTheme="majorHAnsi" w:hAnsiTheme="majorHAnsi"/>
                <w:color w:val="FFFFFF" w:themeColor="background2"/>
              </w:rPr>
              <w:lastRenderedPageBreak/>
              <w:t>Performance criteria</w:t>
            </w:r>
          </w:p>
        </w:tc>
        <w:tc>
          <w:tcPr>
            <w:tcW w:w="567" w:type="dxa"/>
            <w:shd w:val="clear" w:color="auto" w:fill="FFFFFF" w:themeFill="background2"/>
            <w:tcMar>
              <w:top w:w="85" w:type="dxa"/>
              <w:left w:w="0" w:type="dxa"/>
              <w:bottom w:w="85" w:type="dxa"/>
              <w:right w:w="0" w:type="dxa"/>
            </w:tcMar>
            <w:vAlign w:val="center"/>
          </w:tcPr>
          <w:p w14:paraId="5878D447" w14:textId="77777777" w:rsidR="00B83801" w:rsidRPr="00CD038A" w:rsidRDefault="00B83801" w:rsidP="00D139DF">
            <w:pPr>
              <w:pStyle w:val="Body"/>
              <w:rPr>
                <w:noProof/>
              </w:rPr>
            </w:pPr>
          </w:p>
        </w:tc>
        <w:tc>
          <w:tcPr>
            <w:tcW w:w="3969" w:type="dxa"/>
            <w:tcMar>
              <w:top w:w="85" w:type="dxa"/>
              <w:bottom w:w="85" w:type="dxa"/>
            </w:tcMar>
            <w:vAlign w:val="center"/>
          </w:tcPr>
          <w:p w14:paraId="2E748EAC" w14:textId="2D478CB7" w:rsidR="00B83801" w:rsidRPr="000E1EC3" w:rsidRDefault="00B83801" w:rsidP="00D139DF">
            <w:pPr>
              <w:pStyle w:val="Body"/>
              <w:rPr>
                <w:noProof/>
              </w:rPr>
            </w:pPr>
            <w:r w:rsidRPr="00FE1796">
              <w:rPr>
                <w:rFonts w:asciiTheme="majorHAnsi" w:hAnsiTheme="majorHAnsi"/>
                <w:color w:val="FFFFFF" w:themeColor="background2"/>
              </w:rPr>
              <w:t>Results against performance criteria</w:t>
            </w:r>
          </w:p>
        </w:tc>
      </w:tr>
      <w:tr w:rsidR="00B83801" w:rsidRPr="006E4AD2" w14:paraId="7F9D1172" w14:textId="77777777" w:rsidTr="002B2D62">
        <w:trPr>
          <w:trHeight w:val="791"/>
          <w:tblHeader w:val="0"/>
        </w:trPr>
        <w:tc>
          <w:tcPr>
            <w:tcW w:w="3261" w:type="dxa"/>
            <w:shd w:val="clear" w:color="auto" w:fill="F2F2F2" w:themeFill="background2" w:themeFillShade="F2"/>
            <w:tcMar>
              <w:top w:w="85" w:type="dxa"/>
              <w:bottom w:w="85" w:type="dxa"/>
            </w:tcMar>
          </w:tcPr>
          <w:p w14:paraId="34C5632B" w14:textId="30CB57EE" w:rsidR="00B83801" w:rsidRPr="004C04B0" w:rsidRDefault="000452E9">
            <w:pPr>
              <w:pStyle w:val="NumberListNoIndent"/>
              <w:numPr>
                <w:ilvl w:val="0"/>
                <w:numId w:val="17"/>
              </w:numPr>
            </w:pPr>
            <w:r w:rsidRPr="000452E9">
              <w:t xml:space="preserve">Development of a software tool to </w:t>
            </w:r>
            <w:r w:rsidRPr="000655CF">
              <w:t xml:space="preserve">track avoidable hospital readmissions </w:t>
            </w:r>
            <w:r w:rsidRPr="000452E9">
              <w:t>by April 2021.</w:t>
            </w:r>
          </w:p>
        </w:tc>
        <w:tc>
          <w:tcPr>
            <w:tcW w:w="567" w:type="dxa"/>
            <w:shd w:val="clear" w:color="auto" w:fill="FFFFFF" w:themeFill="background2"/>
            <w:tcMar>
              <w:top w:w="85" w:type="dxa"/>
              <w:left w:w="0" w:type="dxa"/>
              <w:bottom w:w="85" w:type="dxa"/>
              <w:right w:w="0" w:type="dxa"/>
            </w:tcMar>
          </w:tcPr>
          <w:p w14:paraId="137A2C96" w14:textId="77777777" w:rsidR="00B83801" w:rsidRPr="00CD038A" w:rsidRDefault="00B83801" w:rsidP="00B15944">
            <w:pPr>
              <w:pStyle w:val="Body-Financial"/>
              <w:rPr>
                <w:noProof/>
                <w:sz w:val="18"/>
                <w:szCs w:val="18"/>
              </w:rPr>
            </w:pPr>
            <w:r w:rsidRPr="00CD038A">
              <w:rPr>
                <w:noProof/>
                <w:sz w:val="18"/>
                <w:szCs w:val="18"/>
              </w:rPr>
              <w:drawing>
                <wp:inline distT="0" distB="0" distL="0" distR="0" wp14:anchorId="2824E47B" wp14:editId="0A9A07F1">
                  <wp:extent cx="211631" cy="341865"/>
                  <wp:effectExtent l="0" t="0" r="4445" b="127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10D204D" w14:textId="586BF7EB" w:rsidR="00B83801" w:rsidRPr="006E4AD2" w:rsidRDefault="000452E9" w:rsidP="00B15944">
            <w:r w:rsidRPr="000452E9">
              <w:rPr>
                <w:noProof/>
                <w:sz w:val="18"/>
                <w:szCs w:val="18"/>
              </w:rPr>
              <w:t>In March 2020, IHPA engaged a vendor to develop a readmissions software tool, to inform opportunities for refinements to the avoidable hospital readmissions funding approach and the current list of readmission conditions. This project was finalised by April 2021.</w:t>
            </w:r>
          </w:p>
        </w:tc>
      </w:tr>
      <w:tr w:rsidR="00B83801" w:rsidRPr="00CD038A" w14:paraId="146638AC" w14:textId="77777777" w:rsidTr="002B2D62">
        <w:trPr>
          <w:trHeight w:val="791"/>
          <w:tblHeader w:val="0"/>
        </w:trPr>
        <w:tc>
          <w:tcPr>
            <w:tcW w:w="3261" w:type="dxa"/>
            <w:shd w:val="clear" w:color="auto" w:fill="F2F2F2" w:themeFill="background2" w:themeFillShade="F2"/>
            <w:tcMar>
              <w:top w:w="85" w:type="dxa"/>
              <w:bottom w:w="85" w:type="dxa"/>
            </w:tcMar>
          </w:tcPr>
          <w:p w14:paraId="47B33CB2" w14:textId="20BE1827" w:rsidR="00B83801" w:rsidRPr="00B812E4" w:rsidRDefault="000452E9">
            <w:pPr>
              <w:pStyle w:val="NumberListNoIndent"/>
              <w:numPr>
                <w:ilvl w:val="0"/>
                <w:numId w:val="17"/>
              </w:numPr>
            </w:pPr>
            <w:r w:rsidRPr="000452E9">
              <w:t>Inclusion of avoidable hospital readmissions rates in the National Benchmarking Portal.</w:t>
            </w:r>
          </w:p>
        </w:tc>
        <w:tc>
          <w:tcPr>
            <w:tcW w:w="567" w:type="dxa"/>
            <w:shd w:val="clear" w:color="auto" w:fill="FFFFFF" w:themeFill="background2"/>
            <w:tcMar>
              <w:top w:w="85" w:type="dxa"/>
              <w:left w:w="0" w:type="dxa"/>
              <w:bottom w:w="85" w:type="dxa"/>
              <w:right w:w="0" w:type="dxa"/>
            </w:tcMar>
          </w:tcPr>
          <w:p w14:paraId="422C634A" w14:textId="77777777" w:rsidR="00B83801" w:rsidRPr="00CD038A" w:rsidRDefault="00B83801" w:rsidP="00B15944">
            <w:pPr>
              <w:pStyle w:val="Body-Financial"/>
              <w:rPr>
                <w:noProof/>
                <w:sz w:val="18"/>
                <w:szCs w:val="18"/>
              </w:rPr>
            </w:pPr>
            <w:r w:rsidRPr="00CD038A">
              <w:rPr>
                <w:noProof/>
                <w:sz w:val="18"/>
                <w:szCs w:val="18"/>
              </w:rPr>
              <w:drawing>
                <wp:inline distT="0" distB="0" distL="0" distR="0" wp14:anchorId="72F58656" wp14:editId="522F543C">
                  <wp:extent cx="211631" cy="341865"/>
                  <wp:effectExtent l="0" t="0" r="4445" b="1270"/>
                  <wp:docPr id="87"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3BE9D391" w14:textId="64638C8D" w:rsidR="00B83801" w:rsidRPr="00CD038A" w:rsidRDefault="000452E9" w:rsidP="00B15944">
            <w:pPr>
              <w:rPr>
                <w:noProof/>
                <w:sz w:val="18"/>
                <w:szCs w:val="18"/>
              </w:rPr>
            </w:pPr>
            <w:r w:rsidRPr="006C203E">
              <w:rPr>
                <w:noProof/>
                <w:sz w:val="18"/>
                <w:szCs w:val="18"/>
              </w:rPr>
              <w:t>Following the first phase of the</w:t>
            </w:r>
            <w:r>
              <w:t xml:space="preserve"> </w:t>
            </w:r>
            <w:r w:rsidRPr="006C203E">
              <w:rPr>
                <w:noProof/>
                <w:sz w:val="18"/>
                <w:szCs w:val="18"/>
              </w:rPr>
              <w:t xml:space="preserve">National Benchmarking Portal launch in July 2022, </w:t>
            </w:r>
            <w:r w:rsidRPr="000E1EC3">
              <w:rPr>
                <w:noProof/>
                <w:sz w:val="18"/>
                <w:szCs w:val="18"/>
              </w:rPr>
              <w:t>IHPA will launch dashboards that focus on hospital acquired complication and avoidable hospital readmission rates in March 2023.</w:t>
            </w:r>
          </w:p>
        </w:tc>
      </w:tr>
      <w:tr w:rsidR="00B83801" w:rsidRPr="00CD038A" w14:paraId="005D0998" w14:textId="77777777" w:rsidTr="002B2D62">
        <w:trPr>
          <w:trHeight w:val="791"/>
          <w:tblHeader w:val="0"/>
        </w:trPr>
        <w:tc>
          <w:tcPr>
            <w:tcW w:w="3261" w:type="dxa"/>
            <w:shd w:val="clear" w:color="auto" w:fill="F2F2F2" w:themeFill="background2" w:themeFillShade="F2"/>
            <w:tcMar>
              <w:top w:w="85" w:type="dxa"/>
              <w:bottom w:w="85" w:type="dxa"/>
            </w:tcMar>
          </w:tcPr>
          <w:p w14:paraId="3098CD8A" w14:textId="579EB4B8" w:rsidR="00B83801" w:rsidRPr="00B812E4" w:rsidRDefault="000452E9">
            <w:pPr>
              <w:pStyle w:val="NumberListNoIndent"/>
              <w:numPr>
                <w:ilvl w:val="0"/>
                <w:numId w:val="17"/>
              </w:numPr>
            </w:pPr>
            <w:r w:rsidRPr="00B812E4">
              <w:t xml:space="preserve">Provide confidential </w:t>
            </w:r>
            <w:r>
              <w:t>n</w:t>
            </w:r>
            <w:r w:rsidRPr="00B812E4">
              <w:t xml:space="preserve">ational </w:t>
            </w:r>
            <w:r>
              <w:t>e</w:t>
            </w:r>
            <w:r w:rsidRPr="00B812E4">
              <w:t xml:space="preserve">fficient </w:t>
            </w:r>
            <w:r>
              <w:t>p</w:t>
            </w:r>
            <w:r w:rsidRPr="00B812E4">
              <w:t>rice forecast for future years to jurisdictions by December 2021.</w:t>
            </w:r>
          </w:p>
        </w:tc>
        <w:tc>
          <w:tcPr>
            <w:tcW w:w="567" w:type="dxa"/>
            <w:shd w:val="clear" w:color="auto" w:fill="FFFFFF" w:themeFill="background2"/>
            <w:tcMar>
              <w:top w:w="85" w:type="dxa"/>
              <w:left w:w="0" w:type="dxa"/>
              <w:bottom w:w="85" w:type="dxa"/>
              <w:right w:w="0" w:type="dxa"/>
            </w:tcMar>
          </w:tcPr>
          <w:p w14:paraId="711203AB" w14:textId="77777777" w:rsidR="00B83801" w:rsidRPr="00CD038A" w:rsidRDefault="00B83801" w:rsidP="00B15944">
            <w:pPr>
              <w:pStyle w:val="Body-Financial"/>
              <w:rPr>
                <w:noProof/>
                <w:sz w:val="18"/>
                <w:szCs w:val="18"/>
              </w:rPr>
            </w:pPr>
            <w:r w:rsidRPr="00CD038A">
              <w:rPr>
                <w:noProof/>
                <w:sz w:val="18"/>
                <w:szCs w:val="18"/>
              </w:rPr>
              <w:drawing>
                <wp:inline distT="0" distB="0" distL="0" distR="0" wp14:anchorId="4CE888C8" wp14:editId="48A085E2">
                  <wp:extent cx="211631" cy="341865"/>
                  <wp:effectExtent l="0" t="0" r="4445" b="1270"/>
                  <wp:docPr id="88"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B239D79" w14:textId="29CFD805" w:rsidR="00B83801" w:rsidRPr="00CD038A" w:rsidRDefault="000452E9" w:rsidP="00B15944">
            <w:pPr>
              <w:rPr>
                <w:noProof/>
                <w:sz w:val="18"/>
                <w:szCs w:val="18"/>
              </w:rPr>
            </w:pPr>
            <w:r w:rsidRPr="000452E9">
              <w:rPr>
                <w:noProof/>
                <w:sz w:val="18"/>
                <w:szCs w:val="18"/>
              </w:rPr>
              <w:t>The confidential national efficient price forecast was provided to First Ministers on 21 March 2022.</w:t>
            </w:r>
          </w:p>
        </w:tc>
      </w:tr>
      <w:tr w:rsidR="00B83801" w:rsidRPr="00CD038A" w14:paraId="2310B02B" w14:textId="77777777" w:rsidTr="002B2D62">
        <w:trPr>
          <w:trHeight w:val="791"/>
          <w:tblHeader w:val="0"/>
        </w:trPr>
        <w:tc>
          <w:tcPr>
            <w:tcW w:w="3261" w:type="dxa"/>
            <w:shd w:val="clear" w:color="auto" w:fill="F2F2F2" w:themeFill="background2" w:themeFillShade="F2"/>
            <w:tcMar>
              <w:top w:w="85" w:type="dxa"/>
              <w:bottom w:w="85" w:type="dxa"/>
            </w:tcMar>
          </w:tcPr>
          <w:p w14:paraId="0C45CF82" w14:textId="698A2982" w:rsidR="00B83801" w:rsidRPr="00B812E4" w:rsidRDefault="000452E9">
            <w:pPr>
              <w:pStyle w:val="NumberListNoIndent"/>
              <w:numPr>
                <w:ilvl w:val="0"/>
                <w:numId w:val="17"/>
              </w:numPr>
            </w:pPr>
            <w:r w:rsidRPr="00B812E4">
              <w:t>Publish the Supplementary National Efficient Cost Determination 2021–22 by December 2021.</w:t>
            </w:r>
          </w:p>
        </w:tc>
        <w:tc>
          <w:tcPr>
            <w:tcW w:w="567" w:type="dxa"/>
            <w:shd w:val="clear" w:color="auto" w:fill="FFFFFF" w:themeFill="background2"/>
            <w:tcMar>
              <w:top w:w="85" w:type="dxa"/>
              <w:left w:w="0" w:type="dxa"/>
              <w:bottom w:w="85" w:type="dxa"/>
              <w:right w:w="0" w:type="dxa"/>
            </w:tcMar>
          </w:tcPr>
          <w:p w14:paraId="6D36660C" w14:textId="77777777" w:rsidR="00B83801" w:rsidRPr="00CD038A" w:rsidRDefault="00B83801" w:rsidP="00B15944">
            <w:pPr>
              <w:pStyle w:val="Body-Financial"/>
              <w:rPr>
                <w:noProof/>
                <w:sz w:val="18"/>
                <w:szCs w:val="18"/>
              </w:rPr>
            </w:pPr>
            <w:r w:rsidRPr="00CD038A">
              <w:rPr>
                <w:noProof/>
                <w:sz w:val="18"/>
                <w:szCs w:val="18"/>
              </w:rPr>
              <w:drawing>
                <wp:inline distT="0" distB="0" distL="0" distR="0" wp14:anchorId="5A341E8F" wp14:editId="513D17DA">
                  <wp:extent cx="211631" cy="341865"/>
                  <wp:effectExtent l="0" t="0" r="4445" b="1270"/>
                  <wp:docPr id="89"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AF5CEF0" w14:textId="2EF514AD" w:rsidR="00B83801" w:rsidRPr="00CD038A" w:rsidRDefault="000452E9" w:rsidP="00B15944">
            <w:pPr>
              <w:rPr>
                <w:noProof/>
                <w:sz w:val="18"/>
                <w:szCs w:val="18"/>
              </w:rPr>
            </w:pPr>
            <w:r w:rsidRPr="000452E9">
              <w:rPr>
                <w:noProof/>
                <w:sz w:val="18"/>
                <w:szCs w:val="18"/>
              </w:rPr>
              <w:t>The National Efficient Cost Supplementary Determination 2021–22 was published on 1 December 2021.</w:t>
            </w:r>
          </w:p>
        </w:tc>
      </w:tr>
      <w:tr w:rsidR="00B83801" w:rsidRPr="006C203E" w14:paraId="29271F95" w14:textId="77777777" w:rsidTr="002B2D62">
        <w:trPr>
          <w:trHeight w:val="791"/>
          <w:tblHeader w:val="0"/>
        </w:trPr>
        <w:tc>
          <w:tcPr>
            <w:tcW w:w="3261" w:type="dxa"/>
            <w:shd w:val="clear" w:color="auto" w:fill="F2F2F2" w:themeFill="background2" w:themeFillShade="F2"/>
            <w:tcMar>
              <w:top w:w="85" w:type="dxa"/>
              <w:bottom w:w="85" w:type="dxa"/>
            </w:tcMar>
          </w:tcPr>
          <w:p w14:paraId="52433970" w14:textId="1BE66BAA" w:rsidR="00B83801" w:rsidRPr="00B812E4" w:rsidRDefault="000452E9">
            <w:pPr>
              <w:pStyle w:val="NumberListNoIndent"/>
              <w:numPr>
                <w:ilvl w:val="0"/>
                <w:numId w:val="17"/>
              </w:numPr>
            </w:pPr>
            <w:bookmarkStart w:id="52" w:name="_Hlk109197264"/>
            <w:r w:rsidRPr="000452E9">
              <w:t>Investigate opportunities to harmonise prices across similar same</w:t>
            </w:r>
            <w:r w:rsidRPr="000452E9">
              <w:noBreakHyphen/>
              <w:t>day services.</w:t>
            </w:r>
            <w:bookmarkEnd w:id="52"/>
          </w:p>
        </w:tc>
        <w:tc>
          <w:tcPr>
            <w:tcW w:w="567" w:type="dxa"/>
            <w:shd w:val="clear" w:color="auto" w:fill="FFFFFF" w:themeFill="background2"/>
            <w:tcMar>
              <w:top w:w="85" w:type="dxa"/>
              <w:left w:w="0" w:type="dxa"/>
              <w:bottom w:w="85" w:type="dxa"/>
              <w:right w:w="0" w:type="dxa"/>
            </w:tcMar>
          </w:tcPr>
          <w:p w14:paraId="77FF5307" w14:textId="77777777" w:rsidR="00B83801" w:rsidRPr="00CD038A" w:rsidRDefault="00B83801" w:rsidP="00B15944">
            <w:pPr>
              <w:pStyle w:val="Body-Financial"/>
              <w:rPr>
                <w:noProof/>
                <w:sz w:val="18"/>
                <w:szCs w:val="18"/>
              </w:rPr>
            </w:pPr>
            <w:r w:rsidRPr="00CD038A">
              <w:rPr>
                <w:noProof/>
                <w:sz w:val="18"/>
                <w:szCs w:val="18"/>
              </w:rPr>
              <w:drawing>
                <wp:inline distT="0" distB="0" distL="0" distR="0" wp14:anchorId="3F792AAE" wp14:editId="2FC8DD7D">
                  <wp:extent cx="211631" cy="341865"/>
                  <wp:effectExtent l="0" t="0" r="4445" b="1270"/>
                  <wp:docPr id="91"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9212F7A" w14:textId="67B51EEB" w:rsidR="00B83801" w:rsidRPr="00856C96" w:rsidRDefault="000452E9" w:rsidP="00856C96">
            <w:pPr>
              <w:pStyle w:val="Body-Financial"/>
              <w:rPr>
                <w:lang w:val="en-PH"/>
              </w:rPr>
            </w:pPr>
            <w:r w:rsidRPr="00856C96">
              <w:rPr>
                <w:sz w:val="18"/>
                <w:szCs w:val="18"/>
                <w:lang w:val="en-PH"/>
              </w:rPr>
              <w:t>The aim of price harmonisation is to ensure that similar</w:t>
            </w:r>
            <w:r w:rsidR="004C16C0" w:rsidRPr="00856C96">
              <w:rPr>
                <w:sz w:val="18"/>
                <w:szCs w:val="18"/>
                <w:lang w:val="en-PH"/>
              </w:rPr>
              <w:t> </w:t>
            </w:r>
            <w:r w:rsidRPr="00856C96">
              <w:rPr>
                <w:sz w:val="18"/>
                <w:szCs w:val="18"/>
                <w:lang w:val="en-PH"/>
              </w:rPr>
              <w:t>services are priced consistently across settings. In</w:t>
            </w:r>
            <w:r w:rsidR="004C16C0" w:rsidRPr="00856C96">
              <w:rPr>
                <w:sz w:val="18"/>
                <w:szCs w:val="18"/>
                <w:lang w:val="en-PH"/>
              </w:rPr>
              <w:t> </w:t>
            </w:r>
            <w:r w:rsidRPr="00856C96">
              <w:rPr>
                <w:sz w:val="18"/>
                <w:szCs w:val="18"/>
                <w:lang w:val="en-PH"/>
              </w:rPr>
              <w:t>2020–21, IHPA investigated additional opportunities for the harmonisation of price weights for haemodialysis and chemotherapy in the admitted and non</w:t>
            </w:r>
            <w:r w:rsidR="009470C7">
              <w:rPr>
                <w:sz w:val="18"/>
                <w:szCs w:val="18"/>
                <w:lang w:val="en-PH"/>
              </w:rPr>
              <w:t>-</w:t>
            </w:r>
            <w:r w:rsidRPr="00856C96">
              <w:rPr>
                <w:sz w:val="18"/>
                <w:szCs w:val="18"/>
                <w:lang w:val="en-PH"/>
              </w:rPr>
              <w:t>admitted care settings. Due to the impacts of</w:t>
            </w:r>
            <w:r w:rsidR="0019691E" w:rsidRPr="00856C96">
              <w:rPr>
                <w:sz w:val="18"/>
                <w:szCs w:val="18"/>
                <w:lang w:val="en-PH"/>
              </w:rPr>
              <w:t> </w:t>
            </w:r>
            <w:r w:rsidRPr="00856C96">
              <w:rPr>
                <w:sz w:val="18"/>
                <w:szCs w:val="18"/>
                <w:lang w:val="en-PH"/>
              </w:rPr>
              <w:t>COVID-19 on public hospital cost and activity, further investigations to harmonise prices across similar same-day services have been put on hold.</w:t>
            </w:r>
          </w:p>
        </w:tc>
      </w:tr>
      <w:tr w:rsidR="00B83801" w:rsidRPr="00A312C4" w14:paraId="1C67E9E7" w14:textId="77777777" w:rsidTr="000452E9">
        <w:trPr>
          <w:trHeight w:val="1438"/>
          <w:tblHeader w:val="0"/>
        </w:trPr>
        <w:tc>
          <w:tcPr>
            <w:tcW w:w="3261" w:type="dxa"/>
            <w:shd w:val="clear" w:color="auto" w:fill="F2F2F2" w:themeFill="background2" w:themeFillShade="F2"/>
            <w:tcMar>
              <w:top w:w="85" w:type="dxa"/>
              <w:bottom w:w="85" w:type="dxa"/>
            </w:tcMar>
          </w:tcPr>
          <w:p w14:paraId="5CF35CD0" w14:textId="4787509B" w:rsidR="00B83801" w:rsidRPr="00B812E4" w:rsidRDefault="000452E9">
            <w:pPr>
              <w:pStyle w:val="NumberListNoIndent"/>
              <w:numPr>
                <w:ilvl w:val="0"/>
                <w:numId w:val="17"/>
              </w:numPr>
            </w:pPr>
            <w:r w:rsidRPr="000452E9">
              <w:t>Provide a further increase in the proportion of funding for public services using activity based funding as reported by the Administrator of the National Health Funding Pool.</w:t>
            </w:r>
          </w:p>
        </w:tc>
        <w:tc>
          <w:tcPr>
            <w:tcW w:w="567" w:type="dxa"/>
            <w:shd w:val="clear" w:color="auto" w:fill="FFFFFF" w:themeFill="background2"/>
            <w:tcMar>
              <w:top w:w="85" w:type="dxa"/>
              <w:left w:w="0" w:type="dxa"/>
              <w:bottom w:w="85" w:type="dxa"/>
              <w:right w:w="0" w:type="dxa"/>
            </w:tcMar>
          </w:tcPr>
          <w:p w14:paraId="7F3C6E8D" w14:textId="77777777" w:rsidR="00B83801" w:rsidRPr="00CD038A" w:rsidRDefault="00B83801" w:rsidP="00B15944">
            <w:pPr>
              <w:pStyle w:val="Body-Financial"/>
              <w:rPr>
                <w:noProof/>
                <w:sz w:val="18"/>
                <w:szCs w:val="18"/>
              </w:rPr>
            </w:pPr>
            <w:r w:rsidRPr="00CD038A">
              <w:rPr>
                <w:noProof/>
                <w:sz w:val="18"/>
                <w:szCs w:val="18"/>
              </w:rPr>
              <w:drawing>
                <wp:inline distT="0" distB="0" distL="0" distR="0" wp14:anchorId="5F317B25" wp14:editId="47E5CF57">
                  <wp:extent cx="211631" cy="341865"/>
                  <wp:effectExtent l="0" t="0" r="4445" b="1270"/>
                  <wp:docPr id="92"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4C6A1301" w14:textId="281A0F79" w:rsidR="00B83801" w:rsidRPr="00856C96" w:rsidRDefault="000452E9" w:rsidP="00856C96">
            <w:pPr>
              <w:pStyle w:val="Body-Financial"/>
              <w:rPr>
                <w:lang w:val="en-PH"/>
              </w:rPr>
            </w:pPr>
            <w:r w:rsidRPr="00856C96">
              <w:rPr>
                <w:sz w:val="18"/>
                <w:szCs w:val="18"/>
                <w:lang w:val="en-PH"/>
              </w:rPr>
              <w:t>As at June 2021, 82.18 per cent of funding for public services paid by the Administrator of the National Health Funding Pool was based on activity based funding. This is a decrease of 0.45 per cent compared to the 2019–20 financial year.</w:t>
            </w:r>
          </w:p>
        </w:tc>
      </w:tr>
    </w:tbl>
    <w:p w14:paraId="06DE9F02" w14:textId="77777777" w:rsidR="00A028D1" w:rsidRDefault="00A028D1" w:rsidP="00902497">
      <w:pPr>
        <w:pStyle w:val="Body"/>
      </w:pPr>
    </w:p>
    <w:p w14:paraId="407CB678" w14:textId="77777777" w:rsidR="00A028D1" w:rsidRDefault="00A028D1" w:rsidP="00902497">
      <w:pPr>
        <w:pStyle w:val="Body"/>
        <w:sectPr w:rsidR="00A028D1" w:rsidSect="00BF350C">
          <w:footerReference w:type="default" r:id="rId120"/>
          <w:pgSz w:w="9979" w:h="14175"/>
          <w:pgMar w:top="993" w:right="1134" w:bottom="851" w:left="1134" w:header="709" w:footer="709" w:gutter="0"/>
          <w:cols w:space="282"/>
          <w:docGrid w:linePitch="360"/>
        </w:sectPr>
      </w:pPr>
    </w:p>
    <w:p w14:paraId="023AC2A4" w14:textId="77777777" w:rsidR="00BD3C9C" w:rsidRPr="00BD3C9C" w:rsidRDefault="00BD3C9C" w:rsidP="00BD3C9C">
      <w:pPr>
        <w:pStyle w:val="H3"/>
        <w:rPr>
          <w:color w:val="5E2F7E" w:themeColor="accent5"/>
        </w:rPr>
      </w:pPr>
      <w:r w:rsidRPr="00BD3C9C">
        <w:rPr>
          <w:noProof/>
          <w:color w:val="5E2F7E" w:themeColor="accent5"/>
          <w:sz w:val="28"/>
          <w:szCs w:val="28"/>
          <w:lang w:eastAsia="en-AU"/>
        </w:rPr>
        <w:lastRenderedPageBreak/>
        <mc:AlternateContent>
          <mc:Choice Requires="wps">
            <w:drawing>
              <wp:anchor distT="0" distB="0" distL="114300" distR="114300" simplePos="0" relativeHeight="252063744" behindDoc="1" locked="0" layoutInCell="1" allowOverlap="1" wp14:anchorId="098F9FF8" wp14:editId="25EE83AC">
                <wp:simplePos x="0" y="0"/>
                <wp:positionH relativeFrom="column">
                  <wp:posOffset>-205740</wp:posOffset>
                </wp:positionH>
                <wp:positionV relativeFrom="paragraph">
                  <wp:posOffset>-103505</wp:posOffset>
                </wp:positionV>
                <wp:extent cx="5300345" cy="4984750"/>
                <wp:effectExtent l="0" t="0" r="8255" b="19050"/>
                <wp:wrapNone/>
                <wp:docPr id="95" name="Rectangle 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4984750"/>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C311B" id="Rectangle 95" o:spid="_x0000_s1026" alt="&quot;&quot;" style="position:absolute;margin-left:-16.2pt;margin-top:-8.15pt;width:417.35pt;height:392.5pt;z-index:-2512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" filled="f" strokecolor="#5e2f7e [3208]" strokeweight=".5pt"/>
            </w:pict>
          </mc:Fallback>
        </mc:AlternateContent>
      </w:r>
      <w:r w:rsidRPr="00BD3C9C">
        <w:rPr>
          <w:color w:val="5E2F7E" w:themeColor="accent5"/>
        </w:rPr>
        <w:t>Analysis</w:t>
      </w:r>
    </w:p>
    <w:p w14:paraId="32979A1A" w14:textId="77777777" w:rsidR="00EB0AA9" w:rsidRPr="00EB0AA9" w:rsidRDefault="00EB0AA9" w:rsidP="00EB0AA9">
      <w:pPr>
        <w:rPr>
          <w:color w:val="1C1C1C"/>
          <w:sz w:val="18"/>
          <w:szCs w:val="18"/>
        </w:rPr>
      </w:pPr>
      <w:r w:rsidRPr="00EB0AA9">
        <w:rPr>
          <w:color w:val="1C1C1C"/>
          <w:sz w:val="18"/>
          <w:szCs w:val="18"/>
        </w:rPr>
        <w:t xml:space="preserve">In March 2022, IHPA released the first National Efficient Price Determination (2022–23) that reflected the impact of COVID-19 on public hospital service pricing. Ahead of its release, IHPA conducted extensive consultation with the healthcare community and the general public to ensure that the national pricing model accurately reflected variations in costs, activity, and how patients access public hospital services. </w:t>
      </w:r>
    </w:p>
    <w:p w14:paraId="7CFFB88D" w14:textId="77777777" w:rsidR="00EB0AA9" w:rsidRPr="00EB0AA9" w:rsidRDefault="00EB0AA9" w:rsidP="00EB0AA9">
      <w:pPr>
        <w:rPr>
          <w:color w:val="1C1C1C"/>
          <w:sz w:val="18"/>
          <w:szCs w:val="18"/>
        </w:rPr>
      </w:pPr>
      <w:r w:rsidRPr="00EB0AA9">
        <w:rPr>
          <w:color w:val="1C1C1C"/>
          <w:sz w:val="18"/>
          <w:szCs w:val="18"/>
        </w:rPr>
        <w:t>Following on from those consultations, IHPA prioritised the assessment and accounting for the impact of COVID-19 on public hospital activity in 2021–22. Changes reported by jurisdictions included significant growth in the use of telehealth, a reduction in hospital admissions nationally and longer term changes to service delivery required to implement COVID-19 safety measures.</w:t>
      </w:r>
    </w:p>
    <w:p w14:paraId="7957E2A5" w14:textId="77777777" w:rsidR="00EB0AA9" w:rsidRPr="00EB0AA9" w:rsidRDefault="00EB0AA9" w:rsidP="00EB0AA9">
      <w:pPr>
        <w:rPr>
          <w:color w:val="1C1C1C"/>
          <w:sz w:val="18"/>
          <w:szCs w:val="18"/>
        </w:rPr>
      </w:pPr>
      <w:r w:rsidRPr="00EB0AA9">
        <w:rPr>
          <w:color w:val="1C1C1C"/>
          <w:sz w:val="18"/>
          <w:szCs w:val="18"/>
        </w:rPr>
        <w:t xml:space="preserve">Following early analysis conducted in the preceding year and a public consultation process, IHPA’s policy approach was published in the Pricing Framework for Australian Public Hospital Services 2022–23 in December 2021. </w:t>
      </w:r>
    </w:p>
    <w:p w14:paraId="3B9EC3A9" w14:textId="6CA061CE" w:rsidR="00EB0AA9" w:rsidRPr="00EB0AA9" w:rsidRDefault="00EB0AA9" w:rsidP="00EB0AA9">
      <w:pPr>
        <w:rPr>
          <w:color w:val="1C1C1C"/>
          <w:sz w:val="18"/>
          <w:szCs w:val="18"/>
        </w:rPr>
      </w:pPr>
      <w:r w:rsidRPr="00EB0AA9">
        <w:rPr>
          <w:color w:val="1C1C1C"/>
          <w:sz w:val="18"/>
          <w:szCs w:val="18"/>
        </w:rPr>
        <w:t xml:space="preserve">Published in March 2022, the National Efficient Price </w:t>
      </w:r>
      <w:r w:rsidR="000655CF">
        <w:rPr>
          <w:color w:val="1C1C1C"/>
          <w:sz w:val="18"/>
          <w:szCs w:val="18"/>
        </w:rPr>
        <w:t xml:space="preserve">Determination </w:t>
      </w:r>
      <w:r w:rsidRPr="00EB0AA9">
        <w:rPr>
          <w:color w:val="1C1C1C"/>
          <w:sz w:val="18"/>
          <w:szCs w:val="18"/>
        </w:rPr>
        <w:t>and National Efficient Cost Determination 2022–23 continue to demonstrate the benefits of activity based funding in reducing costs. This is demonstrated in both the reduction in the rate of growth in costs per national weighted activity unit since 2011–12, to a sustained growth rate of 2.2 per cent, and the reduction in costs at local hospital networks in the 50th and 90th</w:t>
      </w:r>
      <w:r w:rsidR="004C16C0">
        <w:rPr>
          <w:color w:val="1C1C1C"/>
          <w:sz w:val="18"/>
          <w:szCs w:val="18"/>
        </w:rPr>
        <w:t> </w:t>
      </w:r>
      <w:r w:rsidRPr="00EB0AA9">
        <w:rPr>
          <w:color w:val="1C1C1C"/>
          <w:sz w:val="18"/>
          <w:szCs w:val="18"/>
        </w:rPr>
        <w:t>percentile range of costs per national weighted activity unit.</w:t>
      </w:r>
    </w:p>
    <w:p w14:paraId="54C4FDA4" w14:textId="77777777" w:rsidR="00EB0AA9" w:rsidRPr="00EB0AA9" w:rsidRDefault="00EB0AA9" w:rsidP="00EB0AA9">
      <w:pPr>
        <w:rPr>
          <w:color w:val="1C1C1C"/>
          <w:sz w:val="18"/>
          <w:szCs w:val="18"/>
        </w:rPr>
      </w:pPr>
      <w:r w:rsidRPr="00EB0AA9">
        <w:rPr>
          <w:color w:val="1C1C1C"/>
          <w:sz w:val="18"/>
          <w:szCs w:val="18"/>
        </w:rPr>
        <w:t xml:space="preserve">Following extensive development of a new, publicly available, National Benchmarking Portal throughout 2021–22, IHPA launched its first phase of dashboards with nationally weighted public hospital costed activity data in July 2022. Phase two of the launch, which includes dashboards that focus on hospital acquired complication and avoidable hospital readmission rates, will be released in March 2023. </w:t>
      </w:r>
    </w:p>
    <w:p w14:paraId="24434EDA" w14:textId="5CF37D93" w:rsidR="00EB0AA9" w:rsidRPr="00EB0AA9" w:rsidRDefault="00EB0AA9" w:rsidP="00EB0AA9">
      <w:pPr>
        <w:rPr>
          <w:color w:val="1C1C1C"/>
          <w:sz w:val="18"/>
          <w:szCs w:val="18"/>
        </w:rPr>
      </w:pPr>
      <w:r w:rsidRPr="00EB0AA9">
        <w:rPr>
          <w:color w:val="1C1C1C"/>
          <w:sz w:val="18"/>
          <w:szCs w:val="18"/>
        </w:rPr>
        <w:t>IHPA continued to progress its work towards pricing and funding for safety and quality in 2021–22. Following</w:t>
      </w:r>
      <w:r w:rsidR="00302AD8">
        <w:rPr>
          <w:color w:val="1C1C1C"/>
          <w:sz w:val="18"/>
          <w:szCs w:val="18"/>
        </w:rPr>
        <w:t> </w:t>
      </w:r>
      <w:r w:rsidRPr="00EB0AA9">
        <w:rPr>
          <w:color w:val="1C1C1C"/>
          <w:sz w:val="18"/>
          <w:szCs w:val="18"/>
        </w:rPr>
        <w:t>the completion of a 24-month analysis of three funding options for reducing avoidable hospital readmissions, a</w:t>
      </w:r>
      <w:r w:rsidR="004C16C0">
        <w:rPr>
          <w:color w:val="1C1C1C"/>
          <w:sz w:val="18"/>
          <w:szCs w:val="18"/>
        </w:rPr>
        <w:t> </w:t>
      </w:r>
      <w:r w:rsidRPr="00EB0AA9">
        <w:rPr>
          <w:color w:val="1C1C1C"/>
          <w:sz w:val="18"/>
          <w:szCs w:val="18"/>
        </w:rPr>
        <w:t>risk-adjusted reduction was applied to the funding for the index admission, based on the total price of the associated readmission, from 1 July 2021.</w:t>
      </w:r>
    </w:p>
    <w:p w14:paraId="097952A8" w14:textId="77777777" w:rsidR="004761ED" w:rsidRPr="004761ED" w:rsidRDefault="004761ED" w:rsidP="004761ED"/>
    <w:p w14:paraId="741ACACA" w14:textId="483DE4A4" w:rsidR="004761ED" w:rsidRPr="004761ED" w:rsidRDefault="004761ED" w:rsidP="004761ED">
      <w:pPr>
        <w:sectPr w:rsidR="004761ED" w:rsidRPr="004761ED" w:rsidSect="00BF350C">
          <w:footerReference w:type="default" r:id="rId121"/>
          <w:pgSz w:w="9979" w:h="14175"/>
          <w:pgMar w:top="993" w:right="1134" w:bottom="851" w:left="1134" w:header="709" w:footer="709" w:gutter="0"/>
          <w:cols w:space="282"/>
          <w:docGrid w:linePitch="360"/>
        </w:sectPr>
      </w:pPr>
    </w:p>
    <w:p w14:paraId="3A1A3A37" w14:textId="2343C5AD" w:rsidR="003B1005" w:rsidRPr="001E069F" w:rsidRDefault="003B1005" w:rsidP="003B1005">
      <w:pPr>
        <w:pStyle w:val="H3"/>
        <w:rPr>
          <w:color w:val="5E2F7E" w:themeColor="accent5"/>
        </w:rPr>
      </w:pPr>
      <w:r>
        <w:rPr>
          <w:color w:val="5E2F7E" w:themeColor="accent5"/>
        </w:rPr>
        <w:lastRenderedPageBreak/>
        <w:t xml:space="preserve">Activity 2: Refine and develop </w:t>
      </w:r>
      <w:r w:rsidR="00085121" w:rsidRPr="00085121">
        <w:rPr>
          <w:color w:val="5E2F7E" w:themeColor="accent5"/>
        </w:rPr>
        <w:t>hospital activity</w:t>
      </w:r>
      <w:r>
        <w:rPr>
          <w:color w:val="5E2F7E" w:themeColor="accent5"/>
        </w:rPr>
        <w:t xml:space="preserve"> classification systems</w:t>
      </w:r>
    </w:p>
    <w:p w14:paraId="64E3F99F" w14:textId="77777777" w:rsidR="00EB0AA9" w:rsidRDefault="00EB0AA9" w:rsidP="00EB0AA9">
      <w:pPr>
        <w:pStyle w:val="Body"/>
      </w:pPr>
      <w:r>
        <w:t>Activity based funding requires a robust classification system on which pricing can be based. Classifications aim to provide the healthcare sector with a nationally consistent method of classifying all types of patients, their treatment and associated costs. IHPA has determined the national classification systems for public hospital services, including admitted acute, non‑admitted, emergency, admitted subacute and non-acute, mental health care and teaching and training.</w:t>
      </w:r>
    </w:p>
    <w:p w14:paraId="18EC2E68" w14:textId="77777777" w:rsidR="00EB0AA9" w:rsidRDefault="00EB0AA9" w:rsidP="00EB0AA9">
      <w:pPr>
        <w:pStyle w:val="Body"/>
      </w:pPr>
      <w:r>
        <w:t>Classifications are reviewed regularly and updated periodically to ensure that they remain clinically relevant and resource homogeneous within a service category. Such modifications are based on robust statistical analysis and are overlaid by expert clinical advice.</w:t>
      </w:r>
    </w:p>
    <w:p w14:paraId="37BCFB49" w14:textId="77777777" w:rsidR="00EB0AA9" w:rsidRDefault="00EB0AA9" w:rsidP="00EB0AA9">
      <w:pPr>
        <w:pStyle w:val="Body"/>
      </w:pPr>
      <w:r>
        <w:t>During 2021–22, IHPA continued its work program to review and refine the classifications.</w:t>
      </w:r>
    </w:p>
    <w:p w14:paraId="5AF224AB" w14:textId="225F5B56" w:rsidR="003B1005" w:rsidRDefault="00F51174" w:rsidP="00F51174">
      <w:pPr>
        <w:pStyle w:val="H3"/>
        <w:spacing w:before="480"/>
        <w:rPr>
          <w:color w:val="5E2F7E" w:themeColor="accent5"/>
        </w:rPr>
      </w:pPr>
      <w:r w:rsidRPr="00CB09AF">
        <w:rPr>
          <w:noProof/>
          <w:color w:val="5E2F7E" w:themeColor="accent5"/>
          <w:sz w:val="28"/>
          <w:szCs w:val="28"/>
          <w:lang w:eastAsia="en-AU"/>
        </w:rPr>
        <mc:AlternateContent>
          <mc:Choice Requires="wps">
            <w:drawing>
              <wp:anchor distT="0" distB="0" distL="114300" distR="114300" simplePos="0" relativeHeight="252065792" behindDoc="1" locked="0" layoutInCell="1" allowOverlap="1" wp14:anchorId="316E2A4F" wp14:editId="2407CC76">
                <wp:simplePos x="0" y="0"/>
                <wp:positionH relativeFrom="column">
                  <wp:posOffset>-205740</wp:posOffset>
                </wp:positionH>
                <wp:positionV relativeFrom="paragraph">
                  <wp:posOffset>66041</wp:posOffset>
                </wp:positionV>
                <wp:extent cx="5365750" cy="4927600"/>
                <wp:effectExtent l="0" t="0" r="19050" b="12700"/>
                <wp:wrapNone/>
                <wp:docPr id="96" name="Rectangle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5750" cy="4927600"/>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2AECD" id="Rectangle 96" o:spid="_x0000_s1026" alt="&quot;&quot;" style="position:absolute;margin-left:-16.2pt;margin-top:5.2pt;width:422.5pt;height:388pt;z-index:-2512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" filled="f" strokecolor="#5e2f7e [3208]" strokeweight=".5pt"/>
            </w:pict>
          </mc:Fallback>
        </mc:AlternateContent>
      </w:r>
      <w:r w:rsidR="003B1005" w:rsidRPr="00CB09AF">
        <w:rPr>
          <w:color w:val="5E2F7E" w:themeColor="accent5"/>
        </w:rPr>
        <w:t>Results</w:t>
      </w:r>
    </w:p>
    <w:p w14:paraId="672ACFA9" w14:textId="136EF954" w:rsidR="00E57700" w:rsidRPr="00CB09AF" w:rsidRDefault="00E57700" w:rsidP="003B1005">
      <w:pPr>
        <w:pStyle w:val="Body"/>
      </w:pPr>
      <w:r>
        <w:t>The reporting of Activity 2 in this annual report refers to the deliverables of Strategic Objective 2 in the IHPA Work Program and Corporate Plan 2021</w:t>
      </w:r>
      <w:r>
        <w:softHyphen/>
        <w:t>–22, as part of Program 1.1 of the Portfolio Budget Statements.</w:t>
      </w:r>
    </w:p>
    <w:p w14:paraId="37ED9B5E" w14:textId="591EAF40" w:rsidR="003B1005" w:rsidRDefault="003B1005" w:rsidP="003B1005">
      <w:pPr>
        <w:pStyle w:val="FigureHeading"/>
        <w:spacing w:after="120"/>
      </w:pPr>
      <w:bookmarkStart w:id="53" w:name="_Toc114824657"/>
      <w:r w:rsidRPr="00466E0A">
        <w:t xml:space="preserve">Table </w:t>
      </w:r>
      <w:r>
        <w:t>2</w:t>
      </w:r>
      <w:r w:rsidRPr="00466E0A">
        <w:t xml:space="preserve">: Summary of Performance for Activity </w:t>
      </w:r>
      <w:r>
        <w:t>2</w:t>
      </w:r>
      <w:r w:rsidRPr="00466E0A">
        <w:t xml:space="preserve"> in 2021–22</w:t>
      </w:r>
      <w:bookmarkEnd w:id="53"/>
    </w:p>
    <w:tbl>
      <w:tblPr>
        <w:tblStyle w:val="IHPATable"/>
        <w:tblW w:w="7797" w:type="dxa"/>
        <w:tblLayout w:type="fixed"/>
        <w:tblLook w:val="0020" w:firstRow="1" w:lastRow="0" w:firstColumn="0" w:lastColumn="0" w:noHBand="0" w:noVBand="0"/>
      </w:tblPr>
      <w:tblGrid>
        <w:gridCol w:w="5812"/>
        <w:gridCol w:w="992"/>
        <w:gridCol w:w="993"/>
      </w:tblGrid>
      <w:tr w:rsidR="003B1005" w:rsidRPr="00CB09AF" w14:paraId="01FE65BE"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5812" w:type="dxa"/>
            <w:shd w:val="clear" w:color="auto" w:fill="5E2F7E" w:themeFill="accent5"/>
            <w:vAlign w:val="center"/>
          </w:tcPr>
          <w:p w14:paraId="30437A2E" w14:textId="77777777" w:rsidR="003B1005" w:rsidRPr="00CB09AF" w:rsidRDefault="003B1005" w:rsidP="00B15944">
            <w:pPr>
              <w:pStyle w:val="Body"/>
              <w:rPr>
                <w:rFonts w:asciiTheme="majorHAnsi" w:hAnsiTheme="majorHAnsi"/>
                <w:color w:val="FFFFFF" w:themeColor="background2"/>
              </w:rPr>
            </w:pPr>
            <w:r>
              <w:rPr>
                <w:rFonts w:asciiTheme="majorHAnsi" w:hAnsiTheme="majorHAnsi"/>
                <w:color w:val="FFFFFF" w:themeColor="background2"/>
              </w:rPr>
              <w:t>Activity</w:t>
            </w:r>
          </w:p>
        </w:tc>
        <w:tc>
          <w:tcPr>
            <w:tcW w:w="992" w:type="dxa"/>
            <w:shd w:val="clear" w:color="auto" w:fill="5E2F7E" w:themeFill="accent5"/>
            <w:vAlign w:val="center"/>
          </w:tcPr>
          <w:p w14:paraId="27B31280" w14:textId="77777777" w:rsidR="003B1005" w:rsidRPr="00CB09AF" w:rsidRDefault="003B1005" w:rsidP="00B15944">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1BD97F89" w14:textId="77777777" w:rsidR="003B1005" w:rsidRPr="00CB09AF" w:rsidRDefault="003B1005" w:rsidP="00B15944">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E57700" w:rsidRPr="00466E0A" w14:paraId="02913255"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1791DBA1" w14:textId="40C854EA" w:rsidR="00E57700" w:rsidRPr="00466E0A" w:rsidRDefault="00E57700" w:rsidP="00E57700">
            <w:pPr>
              <w:pStyle w:val="Body-Financial"/>
              <w:spacing w:after="0"/>
              <w:rPr>
                <w:sz w:val="18"/>
              </w:rPr>
            </w:pPr>
            <w:r w:rsidRPr="004D05E6">
              <w:rPr>
                <w:sz w:val="18"/>
                <w:lang w:val="en-PH"/>
              </w:rPr>
              <w:t>Finalise the refinement of ICD-10-AM/ACHI/ACS Twelfth Edition.</w:t>
            </w:r>
          </w:p>
        </w:tc>
        <w:tc>
          <w:tcPr>
            <w:tcW w:w="992" w:type="dxa"/>
            <w:tcMar>
              <w:top w:w="85" w:type="dxa"/>
              <w:bottom w:w="85" w:type="dxa"/>
            </w:tcMar>
          </w:tcPr>
          <w:p w14:paraId="51A36C68" w14:textId="36228255" w:rsidR="00E57700" w:rsidRPr="00466E0A" w:rsidRDefault="00E57700" w:rsidP="00E57700">
            <w:pPr>
              <w:pStyle w:val="Body-Financial"/>
              <w:spacing w:after="0"/>
              <w:jc w:val="right"/>
              <w:rPr>
                <w:sz w:val="18"/>
              </w:rPr>
            </w:pPr>
            <w:r>
              <w:rPr>
                <w:sz w:val="18"/>
              </w:rPr>
              <w:t>Jul 2022</w:t>
            </w:r>
          </w:p>
        </w:tc>
        <w:tc>
          <w:tcPr>
            <w:tcW w:w="993" w:type="dxa"/>
          </w:tcPr>
          <w:p w14:paraId="0582B61D" w14:textId="5A0A4DF2" w:rsidR="00E57700" w:rsidRPr="00466E0A" w:rsidRDefault="00E57700" w:rsidP="00E57700">
            <w:pPr>
              <w:pStyle w:val="Body-Financial"/>
              <w:spacing w:after="0"/>
              <w:jc w:val="right"/>
              <w:rPr>
                <w:sz w:val="18"/>
              </w:rPr>
            </w:pPr>
            <w:r>
              <w:rPr>
                <w:sz w:val="18"/>
              </w:rPr>
              <w:t>Delivered</w:t>
            </w:r>
          </w:p>
        </w:tc>
      </w:tr>
      <w:tr w:rsidR="00E57700" w:rsidRPr="00466E0A" w14:paraId="0DCEAA68"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17449869" w14:textId="065A7B1F" w:rsidR="00E57700" w:rsidRPr="00466E0A" w:rsidRDefault="00E57700" w:rsidP="00E57700">
            <w:pPr>
              <w:pStyle w:val="Body-Financial"/>
              <w:spacing w:after="0"/>
              <w:rPr>
                <w:sz w:val="18"/>
              </w:rPr>
            </w:pPr>
            <w:r w:rsidRPr="004D05E6">
              <w:rPr>
                <w:sz w:val="18"/>
                <w:lang w:val="en-PH"/>
              </w:rPr>
              <w:t>Finalise the development of Australian Refined Diagnosis Related Groups Version 11.0.</w:t>
            </w:r>
          </w:p>
        </w:tc>
        <w:tc>
          <w:tcPr>
            <w:tcW w:w="992" w:type="dxa"/>
            <w:tcMar>
              <w:top w:w="85" w:type="dxa"/>
              <w:bottom w:w="85" w:type="dxa"/>
            </w:tcMar>
          </w:tcPr>
          <w:p w14:paraId="3D97AA19" w14:textId="385CB96E" w:rsidR="00E57700" w:rsidRPr="00466E0A" w:rsidRDefault="00E57700" w:rsidP="00E57700">
            <w:pPr>
              <w:pStyle w:val="Body-Financial"/>
              <w:spacing w:after="0"/>
              <w:jc w:val="right"/>
              <w:rPr>
                <w:sz w:val="18"/>
              </w:rPr>
            </w:pPr>
            <w:r>
              <w:rPr>
                <w:sz w:val="18"/>
              </w:rPr>
              <w:t>Jul 2022</w:t>
            </w:r>
          </w:p>
        </w:tc>
        <w:tc>
          <w:tcPr>
            <w:tcW w:w="993" w:type="dxa"/>
          </w:tcPr>
          <w:p w14:paraId="7E65432A" w14:textId="0ADC26A3" w:rsidR="00E57700" w:rsidRPr="00466E0A" w:rsidRDefault="00E57700" w:rsidP="00E57700">
            <w:pPr>
              <w:pStyle w:val="Body-Financial"/>
              <w:spacing w:after="0"/>
              <w:jc w:val="right"/>
              <w:rPr>
                <w:sz w:val="18"/>
              </w:rPr>
            </w:pPr>
            <w:r>
              <w:rPr>
                <w:sz w:val="18"/>
              </w:rPr>
              <w:t>Delivered</w:t>
            </w:r>
          </w:p>
        </w:tc>
      </w:tr>
      <w:tr w:rsidR="00E57700" w:rsidRPr="00466E0A" w14:paraId="6509E859"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4C6C0CE8" w14:textId="131A86EE" w:rsidR="00E57700" w:rsidRPr="00466E0A" w:rsidRDefault="00E57700" w:rsidP="00E57700">
            <w:pPr>
              <w:pStyle w:val="Body-Financial"/>
              <w:spacing w:after="0"/>
              <w:ind w:right="33"/>
              <w:rPr>
                <w:sz w:val="18"/>
              </w:rPr>
            </w:pPr>
            <w:r w:rsidRPr="004D05E6">
              <w:rPr>
                <w:sz w:val="18"/>
                <w:lang w:val="en-PH"/>
              </w:rPr>
              <w:t>Refine the Mental Health Phase of Care as part of the Australian Mental Health Care Classification development.</w:t>
            </w:r>
          </w:p>
        </w:tc>
        <w:tc>
          <w:tcPr>
            <w:tcW w:w="992" w:type="dxa"/>
            <w:tcMar>
              <w:top w:w="85" w:type="dxa"/>
              <w:bottom w:w="85" w:type="dxa"/>
            </w:tcMar>
          </w:tcPr>
          <w:p w14:paraId="6837F1CD" w14:textId="0C3B277E" w:rsidR="00E57700" w:rsidRPr="00466E0A" w:rsidRDefault="00E57700" w:rsidP="00E57700">
            <w:pPr>
              <w:pStyle w:val="Body-Financial"/>
              <w:spacing w:after="0"/>
              <w:jc w:val="right"/>
              <w:rPr>
                <w:sz w:val="18"/>
              </w:rPr>
            </w:pPr>
            <w:r>
              <w:rPr>
                <w:sz w:val="18"/>
              </w:rPr>
              <w:t>Ongoing</w:t>
            </w:r>
          </w:p>
        </w:tc>
        <w:tc>
          <w:tcPr>
            <w:tcW w:w="993" w:type="dxa"/>
          </w:tcPr>
          <w:p w14:paraId="4544374A" w14:textId="625D38B4" w:rsidR="00E57700" w:rsidRPr="00466E0A" w:rsidRDefault="00E57700" w:rsidP="00E57700">
            <w:pPr>
              <w:pStyle w:val="Body-Financial"/>
              <w:spacing w:after="0"/>
              <w:jc w:val="right"/>
              <w:rPr>
                <w:sz w:val="18"/>
              </w:rPr>
            </w:pPr>
            <w:r>
              <w:rPr>
                <w:sz w:val="18"/>
              </w:rPr>
              <w:t>Ongoing</w:t>
            </w:r>
          </w:p>
        </w:tc>
      </w:tr>
      <w:tr w:rsidR="00E57700" w:rsidRPr="00466E0A" w14:paraId="1C9F5421"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48238FB3" w14:textId="385A6779" w:rsidR="00E57700" w:rsidRPr="00466E0A" w:rsidRDefault="00E57700" w:rsidP="00E57700">
            <w:pPr>
              <w:pStyle w:val="Body-Financial"/>
              <w:spacing w:after="0"/>
              <w:ind w:right="171"/>
              <w:rPr>
                <w:sz w:val="18"/>
              </w:rPr>
            </w:pPr>
            <w:r w:rsidRPr="00CE5A68">
              <w:rPr>
                <w:sz w:val="18"/>
                <w:lang w:val="en-PH"/>
              </w:rPr>
              <w:t>Continue to shadow price admitted mental health care services using the Australian Mental Health Care Classification Version 1.0 for the National Efficient Price Determination 2021–22.</w:t>
            </w:r>
          </w:p>
        </w:tc>
        <w:tc>
          <w:tcPr>
            <w:tcW w:w="992" w:type="dxa"/>
            <w:tcMar>
              <w:top w:w="85" w:type="dxa"/>
              <w:bottom w:w="85" w:type="dxa"/>
            </w:tcMar>
          </w:tcPr>
          <w:p w14:paraId="174C990D" w14:textId="059C60E8" w:rsidR="00E57700" w:rsidRPr="00466E0A" w:rsidRDefault="00E57700" w:rsidP="00E57700">
            <w:pPr>
              <w:pStyle w:val="Body-Financial"/>
              <w:spacing w:after="0"/>
              <w:jc w:val="right"/>
              <w:rPr>
                <w:sz w:val="18"/>
              </w:rPr>
            </w:pPr>
            <w:r>
              <w:rPr>
                <w:sz w:val="18"/>
              </w:rPr>
              <w:t>Mar 2021</w:t>
            </w:r>
          </w:p>
        </w:tc>
        <w:tc>
          <w:tcPr>
            <w:tcW w:w="993" w:type="dxa"/>
          </w:tcPr>
          <w:p w14:paraId="70984516" w14:textId="3C9B2C3A" w:rsidR="00E57700" w:rsidRPr="00466E0A" w:rsidRDefault="00E57700" w:rsidP="00E57700">
            <w:pPr>
              <w:pStyle w:val="Body-Financial"/>
              <w:spacing w:after="0"/>
              <w:jc w:val="right"/>
              <w:rPr>
                <w:sz w:val="18"/>
              </w:rPr>
            </w:pPr>
            <w:r>
              <w:rPr>
                <w:sz w:val="18"/>
              </w:rPr>
              <w:t>Delivered</w:t>
            </w:r>
          </w:p>
        </w:tc>
      </w:tr>
      <w:tr w:rsidR="00E57700" w:rsidRPr="00466E0A" w14:paraId="70C15746"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276B48A3" w14:textId="62CBC7C4" w:rsidR="00E57700" w:rsidRPr="00466E0A" w:rsidRDefault="00E57700" w:rsidP="00E57700">
            <w:pPr>
              <w:pStyle w:val="Body-Financial"/>
              <w:spacing w:after="0"/>
              <w:rPr>
                <w:sz w:val="18"/>
              </w:rPr>
            </w:pPr>
            <w:r w:rsidRPr="00CE5A68">
              <w:rPr>
                <w:sz w:val="18"/>
                <w:lang w:val="en-PH"/>
              </w:rPr>
              <w:t>Shadow price community mental health care services using the Australian Mental Health Care Classification Version 1.0 for the National Efficient Price Determination 2021–22.</w:t>
            </w:r>
          </w:p>
        </w:tc>
        <w:tc>
          <w:tcPr>
            <w:tcW w:w="992" w:type="dxa"/>
            <w:tcMar>
              <w:top w:w="85" w:type="dxa"/>
              <w:bottom w:w="85" w:type="dxa"/>
            </w:tcMar>
          </w:tcPr>
          <w:p w14:paraId="59CE561A" w14:textId="039C696D" w:rsidR="00E57700" w:rsidRPr="00466E0A" w:rsidRDefault="00E57700" w:rsidP="00E57700">
            <w:pPr>
              <w:pStyle w:val="Body-Financial"/>
              <w:spacing w:after="0"/>
              <w:jc w:val="right"/>
              <w:rPr>
                <w:sz w:val="18"/>
              </w:rPr>
            </w:pPr>
            <w:r>
              <w:rPr>
                <w:sz w:val="18"/>
              </w:rPr>
              <w:t>Mar 2021</w:t>
            </w:r>
          </w:p>
        </w:tc>
        <w:tc>
          <w:tcPr>
            <w:tcW w:w="993" w:type="dxa"/>
          </w:tcPr>
          <w:p w14:paraId="5BCA08D2" w14:textId="1F4339A3" w:rsidR="00E57700" w:rsidRPr="00466E0A" w:rsidRDefault="00E57700" w:rsidP="00E57700">
            <w:pPr>
              <w:pStyle w:val="Body-Financial"/>
              <w:spacing w:after="0"/>
              <w:jc w:val="right"/>
              <w:rPr>
                <w:sz w:val="18"/>
              </w:rPr>
            </w:pPr>
            <w:r>
              <w:rPr>
                <w:sz w:val="18"/>
              </w:rPr>
              <w:t>Delivered</w:t>
            </w:r>
          </w:p>
        </w:tc>
      </w:tr>
      <w:tr w:rsidR="00E57700" w:rsidRPr="00466E0A" w14:paraId="59C5B711"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443E035A" w14:textId="3C355B1D" w:rsidR="00E57700" w:rsidRPr="00466E0A" w:rsidRDefault="00E57700" w:rsidP="00E57700">
            <w:pPr>
              <w:pStyle w:val="Body-Financial"/>
              <w:spacing w:after="0"/>
              <w:rPr>
                <w:sz w:val="18"/>
              </w:rPr>
            </w:pPr>
            <w:r w:rsidRPr="004D05E6">
              <w:rPr>
                <w:sz w:val="18"/>
                <w:lang w:val="en-PH"/>
              </w:rPr>
              <w:t>Consult on the draft Australian National Subacute and Non-Acute Patient Classification Version 5.0.</w:t>
            </w:r>
          </w:p>
        </w:tc>
        <w:tc>
          <w:tcPr>
            <w:tcW w:w="992" w:type="dxa"/>
            <w:tcMar>
              <w:top w:w="85" w:type="dxa"/>
              <w:bottom w:w="85" w:type="dxa"/>
            </w:tcMar>
          </w:tcPr>
          <w:p w14:paraId="1A137554" w14:textId="69EF2474" w:rsidR="00E57700" w:rsidRPr="00466E0A" w:rsidRDefault="00E57700" w:rsidP="00E57700">
            <w:pPr>
              <w:pStyle w:val="Body-Financial"/>
              <w:spacing w:after="0"/>
              <w:jc w:val="right"/>
              <w:rPr>
                <w:sz w:val="18"/>
              </w:rPr>
            </w:pPr>
            <w:r>
              <w:rPr>
                <w:sz w:val="18"/>
              </w:rPr>
              <w:t>Nov 2021</w:t>
            </w:r>
          </w:p>
        </w:tc>
        <w:tc>
          <w:tcPr>
            <w:tcW w:w="993" w:type="dxa"/>
          </w:tcPr>
          <w:p w14:paraId="7788E4FD" w14:textId="2F01504F" w:rsidR="00E57700" w:rsidRPr="00466E0A" w:rsidRDefault="00E57700" w:rsidP="00E57700">
            <w:pPr>
              <w:pStyle w:val="Body-Financial"/>
              <w:spacing w:after="0"/>
              <w:jc w:val="right"/>
              <w:rPr>
                <w:sz w:val="18"/>
              </w:rPr>
            </w:pPr>
            <w:r>
              <w:rPr>
                <w:sz w:val="18"/>
              </w:rPr>
              <w:t>Delivered</w:t>
            </w:r>
          </w:p>
        </w:tc>
      </w:tr>
      <w:tr w:rsidR="00E57700" w:rsidRPr="00466E0A" w14:paraId="189F6AE5"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110CFC71" w14:textId="0E3881C6" w:rsidR="00E57700" w:rsidRPr="00466E0A" w:rsidRDefault="00E57700" w:rsidP="00E57700">
            <w:pPr>
              <w:pStyle w:val="Body-Financial"/>
              <w:spacing w:after="0"/>
              <w:rPr>
                <w:sz w:val="18"/>
              </w:rPr>
            </w:pPr>
            <w:r w:rsidRPr="004D05E6">
              <w:rPr>
                <w:sz w:val="18"/>
                <w:lang w:val="en-PH"/>
              </w:rPr>
              <w:t>Continue to maintain the Tier 2 Non</w:t>
            </w:r>
            <w:r w:rsidRPr="004D05E6">
              <w:rPr>
                <w:sz w:val="18"/>
                <w:lang w:val="en-PH"/>
              </w:rPr>
              <w:noBreakHyphen/>
              <w:t>Admitted Services Classification while undertaking development work for the Australian Non-Admitted Care Classification.</w:t>
            </w:r>
          </w:p>
        </w:tc>
        <w:tc>
          <w:tcPr>
            <w:tcW w:w="992" w:type="dxa"/>
            <w:tcMar>
              <w:top w:w="85" w:type="dxa"/>
              <w:bottom w:w="85" w:type="dxa"/>
            </w:tcMar>
          </w:tcPr>
          <w:p w14:paraId="3A3D38CB" w14:textId="097D93E4" w:rsidR="00E57700" w:rsidRPr="00466E0A" w:rsidRDefault="00E57700" w:rsidP="00E57700">
            <w:pPr>
              <w:pStyle w:val="Body-Financial"/>
              <w:spacing w:after="0"/>
              <w:jc w:val="right"/>
              <w:rPr>
                <w:sz w:val="18"/>
              </w:rPr>
            </w:pPr>
            <w:r>
              <w:rPr>
                <w:sz w:val="18"/>
              </w:rPr>
              <w:t>Ongoing</w:t>
            </w:r>
          </w:p>
        </w:tc>
        <w:tc>
          <w:tcPr>
            <w:tcW w:w="993" w:type="dxa"/>
          </w:tcPr>
          <w:p w14:paraId="59B890FF" w14:textId="2C208D84" w:rsidR="00E57700" w:rsidRPr="00466E0A" w:rsidRDefault="00E57700" w:rsidP="00E57700">
            <w:pPr>
              <w:pStyle w:val="Body-Financial"/>
              <w:spacing w:after="0"/>
              <w:jc w:val="right"/>
              <w:rPr>
                <w:sz w:val="18"/>
              </w:rPr>
            </w:pPr>
            <w:r>
              <w:rPr>
                <w:sz w:val="18"/>
              </w:rPr>
              <w:t>Ongoing</w:t>
            </w:r>
          </w:p>
        </w:tc>
      </w:tr>
    </w:tbl>
    <w:p w14:paraId="0851B11F" w14:textId="77777777" w:rsidR="000A6C71" w:rsidRDefault="000A6C71" w:rsidP="003B1005">
      <w:pPr>
        <w:pStyle w:val="Body"/>
      </w:pPr>
    </w:p>
    <w:p w14:paraId="0BE2B21E" w14:textId="5881D83E" w:rsidR="003B1005" w:rsidRDefault="003B1005" w:rsidP="003B1005">
      <w:pPr>
        <w:pStyle w:val="Body"/>
        <w:sectPr w:rsidR="003B1005" w:rsidSect="00BF350C">
          <w:footerReference w:type="default" r:id="rId122"/>
          <w:pgSz w:w="9979" w:h="14175"/>
          <w:pgMar w:top="993" w:right="1134" w:bottom="851" w:left="1134" w:header="709" w:footer="709" w:gutter="0"/>
          <w:cols w:space="282"/>
          <w:docGrid w:linePitch="360"/>
        </w:sectPr>
      </w:pPr>
    </w:p>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5812"/>
        <w:gridCol w:w="992"/>
        <w:gridCol w:w="993"/>
      </w:tblGrid>
      <w:tr w:rsidR="001300C1" w:rsidRPr="00466E0A" w14:paraId="202D0EEB"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5812" w:type="dxa"/>
            <w:shd w:val="clear" w:color="auto" w:fill="5E2F7E" w:themeFill="accent5"/>
            <w:vAlign w:val="center"/>
          </w:tcPr>
          <w:p w14:paraId="17F22143" w14:textId="77777777" w:rsidR="001300C1" w:rsidRPr="00CB09AF" w:rsidRDefault="001300C1" w:rsidP="00B15944">
            <w:pPr>
              <w:pStyle w:val="Body"/>
              <w:rPr>
                <w:rFonts w:asciiTheme="majorHAnsi" w:hAnsiTheme="majorHAnsi"/>
                <w:color w:val="FFFFFF" w:themeColor="background2"/>
              </w:rPr>
            </w:pPr>
            <w:r>
              <w:rPr>
                <w:rFonts w:asciiTheme="majorHAnsi" w:hAnsiTheme="majorHAnsi"/>
                <w:color w:val="FFFFFF" w:themeColor="background2"/>
              </w:rPr>
              <w:lastRenderedPageBreak/>
              <w:t>Activity</w:t>
            </w:r>
          </w:p>
        </w:tc>
        <w:tc>
          <w:tcPr>
            <w:tcW w:w="992" w:type="dxa"/>
            <w:shd w:val="clear" w:color="auto" w:fill="5E2F7E" w:themeFill="accent5"/>
            <w:vAlign w:val="center"/>
          </w:tcPr>
          <w:p w14:paraId="3EF2C681" w14:textId="77777777" w:rsidR="001300C1" w:rsidRPr="00CB09AF" w:rsidRDefault="001300C1" w:rsidP="00B15944">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02B6216D" w14:textId="04D42529" w:rsidR="001300C1" w:rsidRPr="00CB09AF" w:rsidRDefault="001300C1" w:rsidP="00B15944">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9D4D34" w:rsidRPr="00466E0A" w14:paraId="6301EAED"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7BA20950" w14:textId="2C0EC3FB" w:rsidR="009D4D34" w:rsidRPr="00466E0A" w:rsidRDefault="009D4D34" w:rsidP="009D4D34">
            <w:pPr>
              <w:pStyle w:val="Body-Financial"/>
              <w:spacing w:after="0"/>
              <w:rPr>
                <w:sz w:val="18"/>
              </w:rPr>
            </w:pPr>
            <w:r w:rsidRPr="001300C1">
              <w:rPr>
                <w:sz w:val="18"/>
                <w:lang w:val="en-PH"/>
              </w:rPr>
              <w:t>Complete the non-admitted care costing study</w:t>
            </w:r>
            <w:r w:rsidRPr="00DF4B9D">
              <w:rPr>
                <w:sz w:val="18"/>
                <w:lang w:val="en-PH"/>
              </w:rPr>
              <w:t xml:space="preserve">, including </w:t>
            </w:r>
            <w:r>
              <w:rPr>
                <w:sz w:val="18"/>
                <w:lang w:val="en-PH"/>
              </w:rPr>
              <w:t xml:space="preserve">the collection of </w:t>
            </w:r>
            <w:r w:rsidRPr="00DF4B9D">
              <w:rPr>
                <w:sz w:val="18"/>
                <w:lang w:val="en-PH"/>
              </w:rPr>
              <w:t>activity</w:t>
            </w:r>
            <w:r w:rsidRPr="001300C1">
              <w:rPr>
                <w:sz w:val="18"/>
                <w:lang w:val="en-PH"/>
              </w:rPr>
              <w:t xml:space="preserve"> and cost data for the Australian Non-Admitted Care Classification.</w:t>
            </w:r>
          </w:p>
        </w:tc>
        <w:tc>
          <w:tcPr>
            <w:tcW w:w="992" w:type="dxa"/>
            <w:tcMar>
              <w:top w:w="85" w:type="dxa"/>
              <w:bottom w:w="85" w:type="dxa"/>
            </w:tcMar>
          </w:tcPr>
          <w:p w14:paraId="124C3EE5" w14:textId="60E5D315" w:rsidR="009D4D34" w:rsidRPr="00466E0A" w:rsidRDefault="009D4D34" w:rsidP="009D4D34">
            <w:pPr>
              <w:pStyle w:val="Body-Financial"/>
              <w:spacing w:after="0"/>
              <w:jc w:val="right"/>
              <w:rPr>
                <w:sz w:val="18"/>
              </w:rPr>
            </w:pPr>
            <w:r w:rsidRPr="00466E0A">
              <w:rPr>
                <w:sz w:val="18"/>
              </w:rPr>
              <w:t xml:space="preserve"> </w:t>
            </w:r>
            <w:r>
              <w:rPr>
                <w:sz w:val="18"/>
              </w:rPr>
              <w:t>Ongoing</w:t>
            </w:r>
          </w:p>
        </w:tc>
        <w:tc>
          <w:tcPr>
            <w:tcW w:w="993" w:type="dxa"/>
          </w:tcPr>
          <w:p w14:paraId="1215A259" w14:textId="5993F67E" w:rsidR="009D4D34" w:rsidRPr="00466E0A" w:rsidRDefault="009D4D34" w:rsidP="009D4D34">
            <w:pPr>
              <w:pStyle w:val="Body-Financial"/>
              <w:spacing w:after="0"/>
              <w:jc w:val="right"/>
              <w:rPr>
                <w:sz w:val="18"/>
              </w:rPr>
            </w:pPr>
            <w:r>
              <w:rPr>
                <w:sz w:val="18"/>
              </w:rPr>
              <w:t>On hold</w:t>
            </w:r>
          </w:p>
        </w:tc>
      </w:tr>
      <w:tr w:rsidR="009D4D34" w:rsidRPr="00466E0A" w14:paraId="76977FBF"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5B9E6195" w14:textId="72F760BB" w:rsidR="009D4D34" w:rsidRPr="00466E0A" w:rsidRDefault="009D4D34" w:rsidP="009D4D34">
            <w:pPr>
              <w:pStyle w:val="Body-Financial"/>
              <w:spacing w:after="0"/>
              <w:rPr>
                <w:sz w:val="18"/>
              </w:rPr>
            </w:pPr>
            <w:r w:rsidRPr="001300C1">
              <w:rPr>
                <w:sz w:val="18"/>
                <w:lang w:val="en-PH"/>
              </w:rPr>
              <w:t>Refine the Australian Emergency Care Classification Version 1.0.</w:t>
            </w:r>
          </w:p>
        </w:tc>
        <w:tc>
          <w:tcPr>
            <w:tcW w:w="992" w:type="dxa"/>
            <w:tcMar>
              <w:top w:w="85" w:type="dxa"/>
              <w:bottom w:w="85" w:type="dxa"/>
            </w:tcMar>
          </w:tcPr>
          <w:p w14:paraId="66128903" w14:textId="7FE50589" w:rsidR="009D4D34" w:rsidRPr="00466E0A" w:rsidRDefault="009D4D34" w:rsidP="009D4D34">
            <w:pPr>
              <w:pStyle w:val="Body-Financial"/>
              <w:spacing w:after="0"/>
              <w:jc w:val="right"/>
              <w:rPr>
                <w:sz w:val="18"/>
              </w:rPr>
            </w:pPr>
            <w:r>
              <w:rPr>
                <w:sz w:val="18"/>
              </w:rPr>
              <w:t>Ongoing</w:t>
            </w:r>
          </w:p>
        </w:tc>
        <w:tc>
          <w:tcPr>
            <w:tcW w:w="993" w:type="dxa"/>
          </w:tcPr>
          <w:p w14:paraId="701F29E7" w14:textId="4A1A2C78" w:rsidR="009D4D34" w:rsidRPr="00466E0A" w:rsidRDefault="009D4D34" w:rsidP="009D4D34">
            <w:pPr>
              <w:pStyle w:val="Body-Financial"/>
              <w:spacing w:after="0"/>
              <w:jc w:val="right"/>
              <w:rPr>
                <w:sz w:val="18"/>
              </w:rPr>
            </w:pPr>
            <w:r>
              <w:rPr>
                <w:sz w:val="18"/>
              </w:rPr>
              <w:t>Ongoing</w:t>
            </w:r>
          </w:p>
        </w:tc>
      </w:tr>
      <w:tr w:rsidR="009D4D34" w:rsidRPr="00466E0A" w14:paraId="0DC102B4"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2D0CB3E8" w14:textId="1414B431" w:rsidR="009D4D34" w:rsidRPr="00466E0A" w:rsidRDefault="009D4D34" w:rsidP="009D4D34">
            <w:pPr>
              <w:pStyle w:val="Body-Financial"/>
              <w:spacing w:after="0"/>
              <w:rPr>
                <w:sz w:val="18"/>
              </w:rPr>
            </w:pPr>
            <w:r w:rsidRPr="001300C1">
              <w:rPr>
                <w:sz w:val="18"/>
                <w:lang w:val="en-PH"/>
              </w:rPr>
              <w:t>Continue to work with jurisdictions to implement</w:t>
            </w:r>
            <w:r>
              <w:rPr>
                <w:sz w:val="18"/>
                <w:lang w:val="en-PH"/>
              </w:rPr>
              <w:t xml:space="preserve"> the</w:t>
            </w:r>
            <w:r w:rsidRPr="001300C1">
              <w:rPr>
                <w:sz w:val="18"/>
                <w:lang w:val="en-PH"/>
              </w:rPr>
              <w:t xml:space="preserve"> Australian Teaching and Training Classification.</w:t>
            </w:r>
          </w:p>
        </w:tc>
        <w:tc>
          <w:tcPr>
            <w:tcW w:w="992" w:type="dxa"/>
            <w:tcMar>
              <w:top w:w="85" w:type="dxa"/>
              <w:bottom w:w="85" w:type="dxa"/>
            </w:tcMar>
          </w:tcPr>
          <w:p w14:paraId="5B5E85F3" w14:textId="2A9B9DD4" w:rsidR="009D4D34" w:rsidRPr="00466E0A" w:rsidRDefault="009D4D34" w:rsidP="009D4D34">
            <w:pPr>
              <w:pStyle w:val="Body-Financial"/>
              <w:spacing w:after="0"/>
              <w:jc w:val="right"/>
              <w:rPr>
                <w:sz w:val="18"/>
              </w:rPr>
            </w:pPr>
            <w:r>
              <w:rPr>
                <w:sz w:val="18"/>
              </w:rPr>
              <w:t>Jun 2022</w:t>
            </w:r>
          </w:p>
        </w:tc>
        <w:tc>
          <w:tcPr>
            <w:tcW w:w="993" w:type="dxa"/>
          </w:tcPr>
          <w:p w14:paraId="54459DBB" w14:textId="6027E7C7" w:rsidR="009D4D34" w:rsidRPr="00466E0A" w:rsidRDefault="009D4D34" w:rsidP="009D4D34">
            <w:pPr>
              <w:pStyle w:val="Body-Financial"/>
              <w:spacing w:after="0"/>
              <w:jc w:val="right"/>
              <w:rPr>
                <w:sz w:val="18"/>
              </w:rPr>
            </w:pPr>
            <w:r>
              <w:rPr>
                <w:sz w:val="18"/>
              </w:rPr>
              <w:t>Ongoing</w:t>
            </w:r>
          </w:p>
        </w:tc>
      </w:tr>
      <w:tr w:rsidR="009D4D34" w:rsidRPr="00466E0A" w14:paraId="799D1804"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409158DB" w14:textId="4565DA1C" w:rsidR="009D4D34" w:rsidRPr="00466E0A" w:rsidRDefault="009D4D34" w:rsidP="009D4D34">
            <w:pPr>
              <w:pStyle w:val="Body-Financial"/>
              <w:spacing w:after="0"/>
              <w:rPr>
                <w:sz w:val="18"/>
              </w:rPr>
            </w:pPr>
            <w:r w:rsidRPr="001300C1">
              <w:rPr>
                <w:sz w:val="18"/>
                <w:lang w:val="en-PH"/>
              </w:rPr>
              <w:t>Management of the international sales of the Australian Refined Diagnosis Related Groups Version 11.0 system.</w:t>
            </w:r>
          </w:p>
        </w:tc>
        <w:tc>
          <w:tcPr>
            <w:tcW w:w="992" w:type="dxa"/>
            <w:tcMar>
              <w:top w:w="85" w:type="dxa"/>
              <w:bottom w:w="85" w:type="dxa"/>
            </w:tcMar>
          </w:tcPr>
          <w:p w14:paraId="230A9C82" w14:textId="0F3424AE" w:rsidR="009D4D34" w:rsidRPr="00466E0A" w:rsidRDefault="009D4D34" w:rsidP="009D4D34">
            <w:pPr>
              <w:pStyle w:val="Body-Financial"/>
              <w:spacing w:after="0"/>
              <w:jc w:val="right"/>
              <w:rPr>
                <w:sz w:val="18"/>
              </w:rPr>
            </w:pPr>
            <w:r>
              <w:rPr>
                <w:sz w:val="18"/>
              </w:rPr>
              <w:t>Ongoing</w:t>
            </w:r>
          </w:p>
        </w:tc>
        <w:tc>
          <w:tcPr>
            <w:tcW w:w="993" w:type="dxa"/>
          </w:tcPr>
          <w:p w14:paraId="6922DD9F" w14:textId="1D36224F" w:rsidR="009D4D34" w:rsidRPr="00466E0A" w:rsidRDefault="009D4D34" w:rsidP="009D4D34">
            <w:pPr>
              <w:pStyle w:val="Body-Financial"/>
              <w:spacing w:after="0"/>
              <w:jc w:val="right"/>
              <w:rPr>
                <w:sz w:val="18"/>
              </w:rPr>
            </w:pPr>
            <w:r>
              <w:rPr>
                <w:sz w:val="18"/>
              </w:rPr>
              <w:t>Ongoing</w:t>
            </w:r>
          </w:p>
        </w:tc>
      </w:tr>
      <w:tr w:rsidR="009D4D34" w:rsidRPr="00466E0A" w14:paraId="2D28CEFF"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1AAF49F1" w14:textId="7E6B8529" w:rsidR="009D4D34" w:rsidRPr="00466E0A" w:rsidRDefault="009D4D34" w:rsidP="009D4D34">
            <w:pPr>
              <w:pStyle w:val="Body-Financial"/>
              <w:spacing w:after="0"/>
              <w:rPr>
                <w:sz w:val="18"/>
              </w:rPr>
            </w:pPr>
            <w:r w:rsidRPr="001300C1">
              <w:rPr>
                <w:sz w:val="18"/>
                <w:lang w:val="en-PH"/>
              </w:rPr>
              <w:t>Update the Impact of New Health Technology Framework to review the process</w:t>
            </w:r>
            <w:r w:rsidR="00F47025">
              <w:rPr>
                <w:sz w:val="18"/>
                <w:lang w:val="en-PH"/>
              </w:rPr>
              <w:t> </w:t>
            </w:r>
            <w:r w:rsidRPr="001300C1">
              <w:rPr>
                <w:sz w:val="18"/>
                <w:lang w:val="en-PH"/>
              </w:rPr>
              <w:t>for assessing the impact of new health technologies on patient classification systems and include process for incorporating new hig</w:t>
            </w:r>
            <w:r w:rsidR="00A55146">
              <w:rPr>
                <w:sz w:val="18"/>
                <w:lang w:val="en-PH"/>
              </w:rPr>
              <w:t>h-</w:t>
            </w:r>
            <w:r w:rsidRPr="001300C1">
              <w:rPr>
                <w:sz w:val="18"/>
                <w:lang w:val="en-PH"/>
              </w:rPr>
              <w:t>cost, highly</w:t>
            </w:r>
            <w:r w:rsidR="00F47025">
              <w:rPr>
                <w:sz w:val="18"/>
                <w:lang w:val="en-PH"/>
              </w:rPr>
              <w:t> </w:t>
            </w:r>
            <w:r w:rsidRPr="001300C1">
              <w:rPr>
                <w:sz w:val="18"/>
                <w:lang w:val="en-PH"/>
              </w:rPr>
              <w:t>specialised</w:t>
            </w:r>
            <w:r>
              <w:rPr>
                <w:sz w:val="18"/>
                <w:lang w:val="en-PH"/>
              </w:rPr>
              <w:t> </w:t>
            </w:r>
            <w:r w:rsidRPr="001300C1">
              <w:rPr>
                <w:sz w:val="18"/>
                <w:lang w:val="en-PH"/>
              </w:rPr>
              <w:t>treatments.</w:t>
            </w:r>
          </w:p>
        </w:tc>
        <w:tc>
          <w:tcPr>
            <w:tcW w:w="992" w:type="dxa"/>
            <w:tcMar>
              <w:top w:w="85" w:type="dxa"/>
              <w:bottom w:w="85" w:type="dxa"/>
            </w:tcMar>
          </w:tcPr>
          <w:p w14:paraId="51B45906" w14:textId="055EB584" w:rsidR="009D4D34" w:rsidRPr="00466E0A" w:rsidRDefault="009D4D34" w:rsidP="009D4D34">
            <w:pPr>
              <w:pStyle w:val="Body-Financial"/>
              <w:spacing w:after="0"/>
              <w:jc w:val="right"/>
              <w:rPr>
                <w:sz w:val="18"/>
              </w:rPr>
            </w:pPr>
            <w:r>
              <w:rPr>
                <w:sz w:val="18"/>
              </w:rPr>
              <w:t>Jun 2022</w:t>
            </w:r>
          </w:p>
        </w:tc>
        <w:tc>
          <w:tcPr>
            <w:tcW w:w="993" w:type="dxa"/>
          </w:tcPr>
          <w:p w14:paraId="0EC8170C" w14:textId="604D3364" w:rsidR="009D4D34" w:rsidRPr="00466E0A" w:rsidRDefault="009D4D34" w:rsidP="009D4D34">
            <w:pPr>
              <w:pStyle w:val="Body-Financial"/>
              <w:spacing w:after="0"/>
              <w:jc w:val="right"/>
              <w:rPr>
                <w:sz w:val="18"/>
              </w:rPr>
            </w:pPr>
            <w:r>
              <w:rPr>
                <w:sz w:val="18"/>
              </w:rPr>
              <w:t>Delivered</w:t>
            </w:r>
          </w:p>
        </w:tc>
      </w:tr>
      <w:tr w:rsidR="009D4D34" w:rsidRPr="00466E0A" w14:paraId="2332F516"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Borders>
              <w:bottom w:val="single" w:sz="4" w:space="0" w:color="D9D9D9" w:themeColor="background2" w:themeShade="D9"/>
            </w:tcBorders>
            <w:tcMar>
              <w:top w:w="85" w:type="dxa"/>
              <w:bottom w:w="85" w:type="dxa"/>
            </w:tcMar>
          </w:tcPr>
          <w:p w14:paraId="7B042E65" w14:textId="0C5D708E" w:rsidR="009D4D34" w:rsidRPr="00466E0A" w:rsidRDefault="009D4D34" w:rsidP="009D4D34">
            <w:pPr>
              <w:pStyle w:val="Body-Financial"/>
              <w:spacing w:after="0"/>
              <w:rPr>
                <w:sz w:val="18"/>
              </w:rPr>
            </w:pPr>
            <w:r w:rsidRPr="001300C1">
              <w:rPr>
                <w:sz w:val="18"/>
                <w:lang w:val="en-PH"/>
              </w:rPr>
              <w:t>Finalise the review of new health technologies based on reports received from government agencies and advisory bodies.</w:t>
            </w:r>
          </w:p>
        </w:tc>
        <w:tc>
          <w:tcPr>
            <w:tcW w:w="992" w:type="dxa"/>
            <w:tcBorders>
              <w:bottom w:val="single" w:sz="4" w:space="0" w:color="D9D9D9" w:themeColor="background2" w:themeShade="D9"/>
            </w:tcBorders>
          </w:tcPr>
          <w:p w14:paraId="6A74CF87" w14:textId="77C42723" w:rsidR="009D4D34" w:rsidRPr="00466E0A" w:rsidRDefault="009D4D34" w:rsidP="009D4D34">
            <w:pPr>
              <w:pStyle w:val="Body-Financial"/>
              <w:spacing w:after="0"/>
              <w:jc w:val="right"/>
              <w:rPr>
                <w:sz w:val="18"/>
              </w:rPr>
            </w:pPr>
            <w:r>
              <w:rPr>
                <w:sz w:val="18"/>
              </w:rPr>
              <w:t>Jun 2022</w:t>
            </w:r>
          </w:p>
        </w:tc>
        <w:tc>
          <w:tcPr>
            <w:tcW w:w="993" w:type="dxa"/>
            <w:tcBorders>
              <w:bottom w:val="single" w:sz="4" w:space="0" w:color="D9D9D9" w:themeColor="background2" w:themeShade="D9"/>
            </w:tcBorders>
            <w:tcMar>
              <w:top w:w="85" w:type="dxa"/>
              <w:bottom w:w="85" w:type="dxa"/>
            </w:tcMar>
          </w:tcPr>
          <w:p w14:paraId="1E4A4B2E" w14:textId="41A7A4B8" w:rsidR="009D4D34" w:rsidRPr="00466E0A" w:rsidRDefault="009D4D34" w:rsidP="009D4D34">
            <w:pPr>
              <w:pStyle w:val="Body-Financial"/>
              <w:spacing w:after="0"/>
              <w:jc w:val="right"/>
              <w:rPr>
                <w:sz w:val="18"/>
              </w:rPr>
            </w:pPr>
            <w:r>
              <w:rPr>
                <w:sz w:val="18"/>
              </w:rPr>
              <w:t>Delivered</w:t>
            </w:r>
          </w:p>
        </w:tc>
      </w:tr>
    </w:tbl>
    <w:p w14:paraId="225E665B" w14:textId="59A25090" w:rsidR="000A6C71" w:rsidRDefault="00F20618" w:rsidP="000A6C71">
      <w:pPr>
        <w:pStyle w:val="Body"/>
      </w:pPr>
      <w:r w:rsidRPr="00CB09AF">
        <w:rPr>
          <w:noProof/>
          <w:color w:val="5E2F7E" w:themeColor="accent5"/>
          <w:sz w:val="28"/>
          <w:szCs w:val="28"/>
          <w:lang w:eastAsia="en-AU"/>
        </w:rPr>
        <mc:AlternateContent>
          <mc:Choice Requires="wps">
            <w:drawing>
              <wp:anchor distT="0" distB="0" distL="114300" distR="114300" simplePos="0" relativeHeight="252069888" behindDoc="1" locked="0" layoutInCell="1" allowOverlap="1" wp14:anchorId="7932D704" wp14:editId="7134B31D">
                <wp:simplePos x="0" y="0"/>
                <wp:positionH relativeFrom="column">
                  <wp:posOffset>-220687</wp:posOffset>
                </wp:positionH>
                <wp:positionV relativeFrom="paragraph">
                  <wp:posOffset>-3063777</wp:posOffset>
                </wp:positionV>
                <wp:extent cx="5365750" cy="3291840"/>
                <wp:effectExtent l="0" t="0" r="19050" b="10160"/>
                <wp:wrapNone/>
                <wp:docPr id="103" name="Rectangle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65750" cy="3291840"/>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DF715" id="Rectangle 103" o:spid="_x0000_s1026" alt="&quot;&quot;" style="position:absolute;margin-left:-17.4pt;margin-top:-241.25pt;width:422.5pt;height:259.2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" filled="f" strokecolor="#5e2f7e [3208]" strokeweight=".5pt"/>
            </w:pict>
          </mc:Fallback>
        </mc:AlternateContent>
      </w:r>
    </w:p>
    <w:p w14:paraId="07C4C0E6" w14:textId="77777777" w:rsidR="000A6C71" w:rsidRDefault="000A6C71" w:rsidP="000A6C71">
      <w:pPr>
        <w:pStyle w:val="Body"/>
        <w:sectPr w:rsidR="000A6C71" w:rsidSect="00BF350C">
          <w:footerReference w:type="default" r:id="rId123"/>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500C5E" w:rsidRPr="00147EEB" w14:paraId="0D131191" w14:textId="77777777" w:rsidTr="00354DC2">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7D58B664" w14:textId="77777777" w:rsidR="00500C5E" w:rsidRPr="00354DC2" w:rsidRDefault="00500C5E" w:rsidP="00B15944">
            <w:pPr>
              <w:pStyle w:val="Body"/>
              <w:rPr>
                <w:rFonts w:asciiTheme="majorHAnsi" w:hAnsiTheme="majorHAnsi"/>
                <w:color w:val="FFFFFF" w:themeColor="background2"/>
              </w:rPr>
            </w:pPr>
            <w:r w:rsidRPr="00354DC2">
              <w:rPr>
                <w:rFonts w:asciiTheme="majorHAnsi" w:hAnsiTheme="majorHAnsi"/>
                <w:color w:val="FFFFFF" w:themeColor="background2"/>
              </w:rPr>
              <w:lastRenderedPageBreak/>
              <w:t>Performance criteria</w:t>
            </w:r>
          </w:p>
        </w:tc>
        <w:tc>
          <w:tcPr>
            <w:tcW w:w="567" w:type="dxa"/>
            <w:shd w:val="clear" w:color="auto" w:fill="FFFFFF" w:themeFill="background2"/>
            <w:vAlign w:val="center"/>
          </w:tcPr>
          <w:p w14:paraId="4F5A1390" w14:textId="77777777" w:rsidR="00500C5E" w:rsidRPr="00354DC2" w:rsidRDefault="00500C5E" w:rsidP="00B15944">
            <w:pPr>
              <w:pStyle w:val="Body"/>
              <w:rPr>
                <w:rFonts w:asciiTheme="majorHAnsi" w:hAnsiTheme="majorHAnsi"/>
                <w:color w:val="FFFFFF" w:themeColor="background2"/>
              </w:rPr>
            </w:pPr>
          </w:p>
        </w:tc>
        <w:tc>
          <w:tcPr>
            <w:tcW w:w="3969" w:type="dxa"/>
            <w:vAlign w:val="center"/>
          </w:tcPr>
          <w:p w14:paraId="4DAD5141" w14:textId="77777777" w:rsidR="00500C5E" w:rsidRPr="00354DC2" w:rsidRDefault="00500C5E" w:rsidP="00B15944">
            <w:pPr>
              <w:pStyle w:val="Body"/>
              <w:rPr>
                <w:rFonts w:asciiTheme="majorHAnsi" w:hAnsiTheme="majorHAnsi"/>
                <w:color w:val="FFFFFF" w:themeColor="background2"/>
              </w:rPr>
            </w:pPr>
            <w:r w:rsidRPr="00354DC2">
              <w:rPr>
                <w:rFonts w:asciiTheme="majorHAnsi" w:hAnsiTheme="majorHAnsi"/>
                <w:color w:val="FFFFFF" w:themeColor="background2"/>
              </w:rPr>
              <w:t>Results against performance criteria</w:t>
            </w:r>
          </w:p>
        </w:tc>
      </w:tr>
      <w:tr w:rsidR="00FC55A9" w:rsidRPr="00147EEB" w14:paraId="2418D6FA"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2F95B12F" w14:textId="7A034600" w:rsidR="00FC55A9" w:rsidRPr="00B51FB1" w:rsidRDefault="00FC55A9">
            <w:pPr>
              <w:pStyle w:val="ListParagraph"/>
              <w:numPr>
                <w:ilvl w:val="0"/>
                <w:numId w:val="18"/>
              </w:numPr>
              <w:rPr>
                <w:color w:val="1C1C1C"/>
                <w:sz w:val="18"/>
                <w:szCs w:val="18"/>
              </w:rPr>
            </w:pPr>
            <w:r w:rsidRPr="00B51FB1">
              <w:rPr>
                <w:color w:val="1C1C1C"/>
                <w:sz w:val="18"/>
                <w:szCs w:val="18"/>
              </w:rPr>
              <w:t xml:space="preserve">Finalise the refinement of </w:t>
            </w:r>
            <w:r w:rsidR="00085121" w:rsidRPr="005C4147">
              <w:rPr>
                <w:color w:val="1C1C1C"/>
                <w:sz w:val="18"/>
                <w:szCs w:val="18"/>
              </w:rPr>
              <w:t xml:space="preserve">International Statistical Classification of Diseases and Related Health Problems, Tenth Revision, Australian Modification, Australian Classification of Health Interventions, Australian Coding Standards </w:t>
            </w:r>
            <w:r w:rsidR="00085121" w:rsidRPr="00085121">
              <w:rPr>
                <w:color w:val="1C1C1C"/>
                <w:sz w:val="18"/>
                <w:szCs w:val="18"/>
              </w:rPr>
              <w:t>(</w:t>
            </w:r>
            <w:r w:rsidR="00085121">
              <w:rPr>
                <w:color w:val="1C1C1C"/>
                <w:sz w:val="18"/>
                <w:szCs w:val="18"/>
              </w:rPr>
              <w:t xml:space="preserve">collectively known as </w:t>
            </w:r>
            <w:r w:rsidR="00085121" w:rsidRPr="00085121">
              <w:rPr>
                <w:color w:val="1C1C1C"/>
                <w:sz w:val="18"/>
                <w:szCs w:val="18"/>
              </w:rPr>
              <w:t>ICD-10-AM/ACHI/ACS)</w:t>
            </w:r>
            <w:r w:rsidR="00085121" w:rsidRPr="00085121" w:rsidDel="00085121">
              <w:rPr>
                <w:color w:val="1C1C1C"/>
                <w:sz w:val="18"/>
                <w:szCs w:val="18"/>
              </w:rPr>
              <w:t xml:space="preserve"> </w:t>
            </w:r>
            <w:r w:rsidRPr="00B51FB1">
              <w:rPr>
                <w:color w:val="1C1C1C"/>
                <w:sz w:val="18"/>
                <w:szCs w:val="18"/>
              </w:rPr>
              <w:t>Twelfth</w:t>
            </w:r>
            <w:r>
              <w:rPr>
                <w:color w:val="1C1C1C"/>
                <w:sz w:val="18"/>
                <w:szCs w:val="18"/>
              </w:rPr>
              <w:t> </w:t>
            </w:r>
            <w:r w:rsidRPr="00B51FB1">
              <w:rPr>
                <w:color w:val="1C1C1C"/>
                <w:sz w:val="18"/>
                <w:szCs w:val="18"/>
              </w:rPr>
              <w:t>Edition by July 2022.</w:t>
            </w:r>
          </w:p>
        </w:tc>
        <w:tc>
          <w:tcPr>
            <w:tcW w:w="567" w:type="dxa"/>
            <w:shd w:val="clear" w:color="auto" w:fill="FFFFFF" w:themeFill="background2"/>
            <w:tcMar>
              <w:top w:w="85" w:type="dxa"/>
              <w:left w:w="0" w:type="dxa"/>
              <w:bottom w:w="85" w:type="dxa"/>
              <w:right w:w="0" w:type="dxa"/>
            </w:tcMar>
          </w:tcPr>
          <w:p w14:paraId="1CBB12D2" w14:textId="77777777" w:rsidR="00FC55A9" w:rsidRPr="00B51FB1" w:rsidRDefault="00FC55A9" w:rsidP="00FC55A9">
            <w:pPr>
              <w:pStyle w:val="Body-Financial"/>
              <w:rPr>
                <w:sz w:val="18"/>
                <w:szCs w:val="18"/>
              </w:rPr>
            </w:pPr>
            <w:r w:rsidRPr="00B51FB1">
              <w:rPr>
                <w:noProof/>
                <w:sz w:val="18"/>
                <w:szCs w:val="18"/>
              </w:rPr>
              <w:drawing>
                <wp:inline distT="0" distB="0" distL="0" distR="0" wp14:anchorId="183EB431" wp14:editId="565008A8">
                  <wp:extent cx="211631" cy="341865"/>
                  <wp:effectExtent l="0" t="0" r="4445" b="1270"/>
                  <wp:docPr id="135" name="Picture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4FCDC559" w14:textId="74CE6E30" w:rsidR="00FC55A9" w:rsidRPr="00856C96" w:rsidRDefault="00EB0AA9" w:rsidP="00856C96">
            <w:pPr>
              <w:pStyle w:val="Body-Financial"/>
              <w:rPr>
                <w:lang w:val="en-PH"/>
              </w:rPr>
            </w:pPr>
            <w:r w:rsidRPr="00856C96">
              <w:rPr>
                <w:sz w:val="18"/>
                <w:szCs w:val="18"/>
                <w:lang w:val="en-PH"/>
              </w:rPr>
              <w:t>IHPA released ICD-10-AM/ACHI/ACS Twelfth Edition in March 2022 for implementation on 1</w:t>
            </w:r>
            <w:r w:rsidR="003651A9" w:rsidRPr="00856C96">
              <w:rPr>
                <w:sz w:val="18"/>
                <w:szCs w:val="18"/>
                <w:lang w:val="en-PH"/>
              </w:rPr>
              <w:t> </w:t>
            </w:r>
            <w:r w:rsidRPr="00856C96">
              <w:rPr>
                <w:sz w:val="18"/>
                <w:szCs w:val="18"/>
                <w:lang w:val="en-PH"/>
              </w:rPr>
              <w:t>July</w:t>
            </w:r>
            <w:r w:rsidR="003651A9" w:rsidRPr="00856C96">
              <w:rPr>
                <w:sz w:val="18"/>
                <w:szCs w:val="18"/>
                <w:lang w:val="en-PH"/>
              </w:rPr>
              <w:t> </w:t>
            </w:r>
            <w:r w:rsidRPr="00856C96">
              <w:rPr>
                <w:sz w:val="18"/>
                <w:szCs w:val="18"/>
                <w:lang w:val="en-PH"/>
              </w:rPr>
              <w:t>2022. IHPA sought input from clinicians, other</w:t>
            </w:r>
            <w:r w:rsidR="003651A9" w:rsidRPr="00856C96">
              <w:rPr>
                <w:sz w:val="18"/>
                <w:szCs w:val="18"/>
                <w:lang w:val="en-PH"/>
              </w:rPr>
              <w:t> </w:t>
            </w:r>
            <w:r w:rsidRPr="00856C96">
              <w:rPr>
                <w:sz w:val="18"/>
                <w:szCs w:val="18"/>
                <w:lang w:val="en-PH"/>
              </w:rPr>
              <w:t>health sector stakeholders represented on its technical and advisory committees and through a public consultation in May 2021 and throughout the development cycle. IHPA also released a self-paced online educational program in May 2022 in order to assist health professionals involved in the clinical coding process to understand the key changes to be</w:t>
            </w:r>
            <w:r w:rsidR="003651A9" w:rsidRPr="00856C96">
              <w:rPr>
                <w:sz w:val="18"/>
                <w:szCs w:val="18"/>
                <w:lang w:val="en-PH"/>
              </w:rPr>
              <w:t> </w:t>
            </w:r>
            <w:r w:rsidRPr="00856C96">
              <w:rPr>
                <w:sz w:val="18"/>
                <w:szCs w:val="18"/>
                <w:lang w:val="en-PH"/>
              </w:rPr>
              <w:t>implemented in ICD-10-AM/ACHI/ACS Twelfth</w:t>
            </w:r>
            <w:r w:rsidR="003651A9" w:rsidRPr="00856C96">
              <w:rPr>
                <w:sz w:val="18"/>
                <w:szCs w:val="18"/>
                <w:lang w:val="en-PH"/>
              </w:rPr>
              <w:t> </w:t>
            </w:r>
            <w:r w:rsidRPr="00856C96">
              <w:rPr>
                <w:sz w:val="18"/>
                <w:szCs w:val="18"/>
                <w:lang w:val="en-PH"/>
              </w:rPr>
              <w:t>Edition.</w:t>
            </w:r>
          </w:p>
        </w:tc>
      </w:tr>
      <w:tr w:rsidR="00FC55A9" w:rsidRPr="00147EEB" w14:paraId="729787FF" w14:textId="77777777" w:rsidTr="00FC55A9">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67FC0105" w14:textId="480773D3" w:rsidR="00FC55A9" w:rsidRPr="004F2EDB" w:rsidRDefault="00FC55A9">
            <w:pPr>
              <w:pStyle w:val="NumberListNoIndent"/>
              <w:numPr>
                <w:ilvl w:val="0"/>
                <w:numId w:val="18"/>
              </w:numPr>
            </w:pPr>
            <w:r w:rsidRPr="00B812E4">
              <w:t xml:space="preserve">Finalise the development of </w:t>
            </w:r>
            <w:r w:rsidRPr="00CA7D31">
              <w:t xml:space="preserve">Australian Refined Diagnosis Related Groups </w:t>
            </w:r>
            <w:r>
              <w:t>(</w:t>
            </w:r>
            <w:r w:rsidRPr="00B812E4">
              <w:t>AR-DRG</w:t>
            </w:r>
            <w:r>
              <w:t>)</w:t>
            </w:r>
            <w:r w:rsidRPr="00B812E4">
              <w:t xml:space="preserve"> Version 11.0 by July 2022.</w:t>
            </w:r>
          </w:p>
        </w:tc>
        <w:tc>
          <w:tcPr>
            <w:tcW w:w="567" w:type="dxa"/>
            <w:shd w:val="clear" w:color="auto" w:fill="FFFFFF" w:themeFill="background2"/>
            <w:tcMar>
              <w:top w:w="85" w:type="dxa"/>
              <w:left w:w="0" w:type="dxa"/>
              <w:bottom w:w="85" w:type="dxa"/>
              <w:right w:w="0" w:type="dxa"/>
            </w:tcMar>
          </w:tcPr>
          <w:p w14:paraId="49C0129A" w14:textId="77777777" w:rsidR="00FC55A9" w:rsidRPr="00B51FB1" w:rsidRDefault="00FC55A9" w:rsidP="00FC55A9">
            <w:pPr>
              <w:pStyle w:val="Body-Financial"/>
              <w:rPr>
                <w:noProof/>
                <w:sz w:val="18"/>
                <w:szCs w:val="18"/>
              </w:rPr>
            </w:pPr>
            <w:r w:rsidRPr="00B51FB1">
              <w:rPr>
                <w:noProof/>
                <w:sz w:val="18"/>
                <w:szCs w:val="18"/>
              </w:rPr>
              <w:drawing>
                <wp:inline distT="0" distB="0" distL="0" distR="0" wp14:anchorId="0E9EC03F" wp14:editId="5768FCE1">
                  <wp:extent cx="211631" cy="341865"/>
                  <wp:effectExtent l="0" t="0" r="4445" b="1270"/>
                  <wp:docPr id="156" name="Picture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68968C76" w14:textId="7DE06C6D" w:rsidR="00FC55A9" w:rsidRPr="00856C96" w:rsidRDefault="00EB0AA9" w:rsidP="00856C96">
            <w:pPr>
              <w:pStyle w:val="Body-Financial"/>
              <w:rPr>
                <w:lang w:val="en-PH"/>
              </w:rPr>
            </w:pPr>
            <w:r w:rsidRPr="00856C96">
              <w:rPr>
                <w:sz w:val="18"/>
                <w:szCs w:val="18"/>
                <w:lang w:val="en-PH"/>
              </w:rPr>
              <w:t>IHPA released AR-DRG Version 11.0 in July 2022. IHPA sought input from clinicians, other health sector stakeholders represented on its technical and advisory committees and through a public consultation in May 2021 and throughout the development cycle. IHPA also released self-paced online educational program in July 2022 in order to assist health professionals involved in the clinical coding process to understand AR-DRG fundamentals and the key changes in AR-DRG Version 11.0.</w:t>
            </w:r>
          </w:p>
        </w:tc>
      </w:tr>
      <w:tr w:rsidR="00FC55A9" w:rsidRPr="00147EEB" w14:paraId="20C50228"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3A492884" w14:textId="6C8A50F4" w:rsidR="00FC55A9" w:rsidRPr="00B51FB1" w:rsidRDefault="00FC55A9">
            <w:pPr>
              <w:pStyle w:val="ListParagraph"/>
              <w:numPr>
                <w:ilvl w:val="0"/>
                <w:numId w:val="18"/>
              </w:numPr>
              <w:rPr>
                <w:color w:val="1C1C1C"/>
                <w:sz w:val="18"/>
                <w:szCs w:val="18"/>
              </w:rPr>
            </w:pPr>
            <w:r w:rsidRPr="004F2EDB">
              <w:rPr>
                <w:color w:val="1C1C1C"/>
                <w:sz w:val="18"/>
                <w:szCs w:val="18"/>
                <w:lang w:val="en-PH"/>
              </w:rPr>
              <w:t>Refine the Mental Health Phase of Care as part of the Australian Mental Health Care Classification (AMHCC) development.</w:t>
            </w:r>
          </w:p>
        </w:tc>
        <w:tc>
          <w:tcPr>
            <w:tcW w:w="567" w:type="dxa"/>
            <w:shd w:val="clear" w:color="auto" w:fill="FFFFFF" w:themeFill="background2"/>
            <w:tcMar>
              <w:top w:w="85" w:type="dxa"/>
              <w:left w:w="0" w:type="dxa"/>
              <w:bottom w:w="85" w:type="dxa"/>
              <w:right w:w="0" w:type="dxa"/>
            </w:tcMar>
          </w:tcPr>
          <w:p w14:paraId="23A41291" w14:textId="77777777" w:rsidR="00FC55A9" w:rsidRPr="00B51FB1" w:rsidRDefault="00FC55A9" w:rsidP="00FC55A9">
            <w:pPr>
              <w:pStyle w:val="Body-Financial"/>
              <w:rPr>
                <w:noProof/>
                <w:sz w:val="18"/>
                <w:szCs w:val="18"/>
              </w:rPr>
            </w:pPr>
            <w:r w:rsidRPr="00B51FB1">
              <w:rPr>
                <w:noProof/>
                <w:sz w:val="18"/>
                <w:szCs w:val="18"/>
              </w:rPr>
              <w:drawing>
                <wp:inline distT="0" distB="0" distL="0" distR="0" wp14:anchorId="2D384F0C" wp14:editId="71BA3A7F">
                  <wp:extent cx="211631" cy="341865"/>
                  <wp:effectExtent l="0" t="0" r="4445" b="1270"/>
                  <wp:docPr id="159"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68690A82" w14:textId="3DC9E0FE" w:rsidR="00FC55A9" w:rsidRPr="00856C96" w:rsidRDefault="00FC55A9" w:rsidP="00856C96">
            <w:pPr>
              <w:pStyle w:val="Body-Financial"/>
              <w:rPr>
                <w:lang w:val="en-PH"/>
              </w:rPr>
            </w:pPr>
            <w:r w:rsidRPr="00856C96">
              <w:rPr>
                <w:sz w:val="18"/>
                <w:szCs w:val="18"/>
                <w:lang w:val="en-PH"/>
              </w:rPr>
              <w:t>In 2021–22, IHPA implemented minor refinements to the AMHCC recommended from the Mental Health Phase of Care (MHPoC) Clinical Refinement Testing Project. IHPA will continue to review and refine the AMHCC.</w:t>
            </w:r>
          </w:p>
        </w:tc>
      </w:tr>
      <w:tr w:rsidR="00FC55A9" w:rsidRPr="00147EEB" w14:paraId="78265D2F" w14:textId="77777777" w:rsidTr="00FC55A9">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40F085B5" w14:textId="7701FE1C" w:rsidR="00FC55A9" w:rsidRPr="004F2EDB" w:rsidRDefault="00FC55A9">
            <w:pPr>
              <w:pStyle w:val="NumberListNoIndent"/>
              <w:numPr>
                <w:ilvl w:val="0"/>
                <w:numId w:val="18"/>
              </w:numPr>
            </w:pPr>
            <w:r w:rsidRPr="005820AB">
              <w:rPr>
                <w:lang w:val="en-PH"/>
              </w:rPr>
              <w:t>Continue to shadow price admitted mental health care services using the</w:t>
            </w:r>
            <w:r>
              <w:rPr>
                <w:lang w:val="en-PH"/>
              </w:rPr>
              <w:t> AMHCC</w:t>
            </w:r>
            <w:r w:rsidRPr="005820AB">
              <w:rPr>
                <w:lang w:val="en-PH"/>
              </w:rPr>
              <w:t xml:space="preserve"> Version 1.0 for the National</w:t>
            </w:r>
            <w:r>
              <w:rPr>
                <w:lang w:val="en-PH"/>
              </w:rPr>
              <w:t> </w:t>
            </w:r>
            <w:r w:rsidRPr="005820AB">
              <w:rPr>
                <w:lang w:val="en-PH"/>
              </w:rPr>
              <w:t>Efficient Price Determination 2021–22 by March 2021.</w:t>
            </w:r>
          </w:p>
        </w:tc>
        <w:tc>
          <w:tcPr>
            <w:tcW w:w="567" w:type="dxa"/>
            <w:shd w:val="clear" w:color="auto" w:fill="FFFFFF" w:themeFill="background2"/>
            <w:tcMar>
              <w:top w:w="85" w:type="dxa"/>
              <w:left w:w="0" w:type="dxa"/>
              <w:bottom w:w="85" w:type="dxa"/>
              <w:right w:w="0" w:type="dxa"/>
            </w:tcMar>
          </w:tcPr>
          <w:p w14:paraId="66464E0A" w14:textId="77777777" w:rsidR="00FC55A9" w:rsidRPr="00B51FB1" w:rsidRDefault="00FC55A9" w:rsidP="00FC55A9">
            <w:pPr>
              <w:pStyle w:val="Body-Financial"/>
              <w:rPr>
                <w:noProof/>
                <w:sz w:val="18"/>
                <w:szCs w:val="18"/>
              </w:rPr>
            </w:pPr>
            <w:r w:rsidRPr="00B51FB1">
              <w:rPr>
                <w:noProof/>
                <w:sz w:val="18"/>
                <w:szCs w:val="18"/>
              </w:rPr>
              <w:drawing>
                <wp:inline distT="0" distB="0" distL="0" distR="0" wp14:anchorId="21124583" wp14:editId="10631685">
                  <wp:extent cx="211631" cy="341865"/>
                  <wp:effectExtent l="0" t="0" r="4445" b="1270"/>
                  <wp:docPr id="162" name="Pictur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322CB4F1" w14:textId="3D4E9F10" w:rsidR="00FC55A9" w:rsidRPr="00856C96" w:rsidRDefault="00FC55A9" w:rsidP="00856C96">
            <w:pPr>
              <w:pStyle w:val="Body-Financial"/>
              <w:rPr>
                <w:lang w:val="en-PH"/>
              </w:rPr>
            </w:pPr>
            <w:r w:rsidRPr="00856C96">
              <w:rPr>
                <w:sz w:val="18"/>
                <w:szCs w:val="18"/>
                <w:lang w:val="en-PH"/>
              </w:rPr>
              <w:t xml:space="preserve">IHPA continued shadow pricing admitted mental health </w:t>
            </w:r>
            <w:r w:rsidR="00EB0AA9" w:rsidRPr="00856C96">
              <w:rPr>
                <w:sz w:val="18"/>
                <w:szCs w:val="18"/>
                <w:lang w:val="en-PH"/>
              </w:rPr>
              <w:t xml:space="preserve">care services </w:t>
            </w:r>
            <w:r w:rsidRPr="00856C96">
              <w:rPr>
                <w:sz w:val="18"/>
                <w:szCs w:val="18"/>
                <w:lang w:val="en-PH"/>
              </w:rPr>
              <w:t xml:space="preserve">using AMHCC </w:t>
            </w:r>
            <w:r w:rsidR="005B37D5" w:rsidRPr="00856C96">
              <w:rPr>
                <w:sz w:val="18"/>
                <w:szCs w:val="18"/>
                <w:lang w:val="en-PH"/>
              </w:rPr>
              <w:t>Version</w:t>
            </w:r>
            <w:r w:rsidRPr="00856C96">
              <w:rPr>
                <w:sz w:val="18"/>
                <w:szCs w:val="18"/>
                <w:lang w:val="en-PH"/>
              </w:rPr>
              <w:t xml:space="preserve"> 1.0 for the National Efficient Price Determination 202</w:t>
            </w:r>
            <w:r w:rsidR="000655CF" w:rsidRPr="00856C96">
              <w:rPr>
                <w:sz w:val="18"/>
                <w:szCs w:val="18"/>
                <w:lang w:val="en-PH"/>
              </w:rPr>
              <w:t>1</w:t>
            </w:r>
            <w:r w:rsidRPr="00856C96">
              <w:rPr>
                <w:sz w:val="18"/>
                <w:szCs w:val="18"/>
                <w:lang w:val="en-PH"/>
              </w:rPr>
              <w:t>–2</w:t>
            </w:r>
            <w:r w:rsidR="000655CF" w:rsidRPr="00856C96">
              <w:rPr>
                <w:sz w:val="18"/>
                <w:szCs w:val="18"/>
                <w:lang w:val="en-PH"/>
              </w:rPr>
              <w:t>2</w:t>
            </w:r>
            <w:r w:rsidRPr="00856C96">
              <w:rPr>
                <w:sz w:val="18"/>
                <w:szCs w:val="18"/>
                <w:lang w:val="en-PH"/>
              </w:rPr>
              <w:t xml:space="preserve"> released on 2 March 2021.</w:t>
            </w:r>
          </w:p>
        </w:tc>
      </w:tr>
    </w:tbl>
    <w:p w14:paraId="70B65383" w14:textId="77777777" w:rsidR="000A6C71" w:rsidRDefault="000A6C71" w:rsidP="000A6C71">
      <w:pPr>
        <w:pStyle w:val="Body"/>
      </w:pPr>
    </w:p>
    <w:p w14:paraId="78FCE35D" w14:textId="77777777" w:rsidR="000A6C71" w:rsidRDefault="000A6C71" w:rsidP="00565009">
      <w:pPr>
        <w:pStyle w:val="Bulletslast"/>
        <w:numPr>
          <w:ilvl w:val="0"/>
          <w:numId w:val="0"/>
        </w:numPr>
        <w:ind w:left="473" w:hanging="360"/>
        <w:sectPr w:rsidR="000A6C71" w:rsidSect="00BF350C">
          <w:footerReference w:type="default" r:id="rId124"/>
          <w:pgSz w:w="9979" w:h="14175"/>
          <w:pgMar w:top="993" w:right="1134" w:bottom="851" w:left="1134" w:header="709" w:footer="709" w:gutter="0"/>
          <w:cols w:space="282"/>
          <w:docGrid w:linePitch="360"/>
        </w:sectPr>
      </w:pPr>
    </w:p>
    <w:tbl>
      <w:tblPr>
        <w:tblStyle w:val="TableGrid"/>
        <w:tblW w:w="7938" w:type="dxa"/>
        <w:tblLook w:val="04A0" w:firstRow="1" w:lastRow="0" w:firstColumn="1" w:lastColumn="0" w:noHBand="0" w:noVBand="1"/>
      </w:tblPr>
      <w:tblGrid>
        <w:gridCol w:w="3261"/>
        <w:gridCol w:w="567"/>
        <w:gridCol w:w="4110"/>
      </w:tblGrid>
      <w:tr w:rsidR="009322B1" w:rsidRPr="00147EEB" w14:paraId="7647E8F1" w14:textId="77777777" w:rsidTr="00354DC2">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0F9B8677" w14:textId="77777777" w:rsidR="009322B1" w:rsidRPr="00354DC2" w:rsidRDefault="009322B1" w:rsidP="00B15944">
            <w:pPr>
              <w:pStyle w:val="Body"/>
              <w:rPr>
                <w:rFonts w:asciiTheme="majorHAnsi" w:hAnsiTheme="majorHAnsi"/>
                <w:color w:val="FFFFFF" w:themeColor="background2"/>
              </w:rPr>
            </w:pPr>
            <w:r w:rsidRPr="00354DC2">
              <w:rPr>
                <w:rFonts w:asciiTheme="majorHAnsi" w:hAnsiTheme="majorHAnsi"/>
                <w:color w:val="FFFFFF" w:themeColor="background2"/>
              </w:rPr>
              <w:lastRenderedPageBreak/>
              <w:t>Performance criteria</w:t>
            </w:r>
          </w:p>
        </w:tc>
        <w:tc>
          <w:tcPr>
            <w:tcW w:w="567" w:type="dxa"/>
            <w:shd w:val="clear" w:color="auto" w:fill="FFFFFF" w:themeFill="background2"/>
            <w:vAlign w:val="center"/>
          </w:tcPr>
          <w:p w14:paraId="5C823E46" w14:textId="77777777" w:rsidR="009322B1" w:rsidRPr="00354DC2" w:rsidRDefault="009322B1" w:rsidP="00B15944">
            <w:pPr>
              <w:pStyle w:val="Body"/>
              <w:rPr>
                <w:rFonts w:asciiTheme="majorHAnsi" w:hAnsiTheme="majorHAnsi"/>
                <w:color w:val="FFFFFF" w:themeColor="background2"/>
              </w:rPr>
            </w:pPr>
          </w:p>
        </w:tc>
        <w:tc>
          <w:tcPr>
            <w:tcW w:w="4110" w:type="dxa"/>
            <w:vAlign w:val="center"/>
          </w:tcPr>
          <w:p w14:paraId="0B9BE25E" w14:textId="77777777" w:rsidR="009322B1" w:rsidRPr="00354DC2" w:rsidRDefault="009322B1" w:rsidP="00B15944">
            <w:pPr>
              <w:pStyle w:val="Body"/>
              <w:rPr>
                <w:rFonts w:asciiTheme="majorHAnsi" w:hAnsiTheme="majorHAnsi"/>
                <w:color w:val="FFFFFF" w:themeColor="background2"/>
              </w:rPr>
            </w:pPr>
            <w:r w:rsidRPr="00354DC2">
              <w:rPr>
                <w:rFonts w:asciiTheme="majorHAnsi" w:hAnsiTheme="majorHAnsi"/>
                <w:color w:val="FFFFFF" w:themeColor="background2"/>
              </w:rPr>
              <w:t>Results against performance criteria</w:t>
            </w:r>
          </w:p>
        </w:tc>
      </w:tr>
      <w:tr w:rsidR="004E63EB" w:rsidRPr="00147EEB" w14:paraId="267CA96A"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3FC0599D" w14:textId="07EE472D" w:rsidR="004E63EB" w:rsidRPr="004F2EDB" w:rsidRDefault="004E63EB">
            <w:pPr>
              <w:pStyle w:val="NumberListNoIndent"/>
              <w:numPr>
                <w:ilvl w:val="0"/>
                <w:numId w:val="18"/>
              </w:numPr>
              <w:ind w:right="322"/>
            </w:pPr>
            <w:r w:rsidRPr="007C7093">
              <w:t>Shadow price community mental health care services using the AMHCC Version 1.0 for the National Efficient Price Determination 2021–22 by</w:t>
            </w:r>
            <w:r>
              <w:t> </w:t>
            </w:r>
            <w:r w:rsidRPr="007C7093">
              <w:t>March 2021.</w:t>
            </w:r>
          </w:p>
        </w:tc>
        <w:tc>
          <w:tcPr>
            <w:tcW w:w="567" w:type="dxa"/>
            <w:shd w:val="clear" w:color="auto" w:fill="FFFFFF" w:themeFill="background2"/>
            <w:tcMar>
              <w:top w:w="85" w:type="dxa"/>
              <w:left w:w="0" w:type="dxa"/>
              <w:bottom w:w="85" w:type="dxa"/>
              <w:right w:w="0" w:type="dxa"/>
            </w:tcMar>
          </w:tcPr>
          <w:p w14:paraId="513AC3CF" w14:textId="77777777" w:rsidR="004E63EB" w:rsidRPr="00B51FB1" w:rsidRDefault="004E63EB" w:rsidP="004E63EB">
            <w:pPr>
              <w:pStyle w:val="Body-Financial"/>
              <w:rPr>
                <w:sz w:val="18"/>
                <w:szCs w:val="18"/>
              </w:rPr>
            </w:pPr>
            <w:r w:rsidRPr="00B51FB1">
              <w:rPr>
                <w:noProof/>
                <w:sz w:val="18"/>
                <w:szCs w:val="18"/>
              </w:rPr>
              <w:drawing>
                <wp:inline distT="0" distB="0" distL="0" distR="0" wp14:anchorId="00914843" wp14:editId="4463B3DF">
                  <wp:extent cx="211631" cy="341865"/>
                  <wp:effectExtent l="0" t="0" r="4445" b="1270"/>
                  <wp:docPr id="167" name="Picture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5676CBFE" w14:textId="5408FF90" w:rsidR="004E63EB" w:rsidRPr="00856C96" w:rsidRDefault="004E63EB" w:rsidP="00856C96">
            <w:pPr>
              <w:pStyle w:val="Body-Financial"/>
              <w:rPr>
                <w:lang w:val="en-PH"/>
              </w:rPr>
            </w:pPr>
            <w:r w:rsidRPr="00856C96">
              <w:rPr>
                <w:sz w:val="18"/>
                <w:szCs w:val="18"/>
                <w:lang w:val="en-PH"/>
              </w:rPr>
              <w:t>IHPA commenced shadow pricing community mental health care as part of the National Efficient Price Determination 2021–22 released on 2 March 2021.</w:t>
            </w:r>
          </w:p>
        </w:tc>
      </w:tr>
      <w:tr w:rsidR="004E63EB" w:rsidRPr="00147EEB" w14:paraId="0DD5F0CF"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10948DC4" w14:textId="6EE85A53" w:rsidR="004E63EB" w:rsidRPr="004F2EDB" w:rsidRDefault="004E63EB">
            <w:pPr>
              <w:pStyle w:val="NumberListNoIndent"/>
              <w:numPr>
                <w:ilvl w:val="0"/>
                <w:numId w:val="18"/>
              </w:numPr>
            </w:pPr>
            <w:r w:rsidRPr="007C7093">
              <w:t xml:space="preserve">Consult on the draft </w:t>
            </w:r>
            <w:r w:rsidRPr="00CA7D31">
              <w:t xml:space="preserve">Australian National Subacute and Non-Acute Patient Classification </w:t>
            </w:r>
            <w:r>
              <w:t>(</w:t>
            </w:r>
            <w:r w:rsidRPr="007C7093">
              <w:t>AN-SNAP</w:t>
            </w:r>
            <w:r>
              <w:t>)</w:t>
            </w:r>
            <w:r w:rsidRPr="007C7093">
              <w:t xml:space="preserve"> Version 5.0 by November 2021.</w:t>
            </w:r>
          </w:p>
        </w:tc>
        <w:tc>
          <w:tcPr>
            <w:tcW w:w="567" w:type="dxa"/>
            <w:shd w:val="clear" w:color="auto" w:fill="FFFFFF" w:themeFill="background2"/>
            <w:tcMar>
              <w:top w:w="85" w:type="dxa"/>
              <w:left w:w="0" w:type="dxa"/>
              <w:bottom w:w="85" w:type="dxa"/>
              <w:right w:w="0" w:type="dxa"/>
            </w:tcMar>
          </w:tcPr>
          <w:p w14:paraId="2E0F4F94" w14:textId="3CF6D15C" w:rsidR="004E63EB" w:rsidRPr="00B51FB1" w:rsidRDefault="004E63EB" w:rsidP="004E63EB">
            <w:pPr>
              <w:pStyle w:val="Body-Financial"/>
              <w:rPr>
                <w:noProof/>
                <w:sz w:val="18"/>
                <w:szCs w:val="18"/>
              </w:rPr>
            </w:pPr>
            <w:r w:rsidRPr="00B51FB1">
              <w:rPr>
                <w:noProof/>
                <w:sz w:val="18"/>
                <w:szCs w:val="18"/>
              </w:rPr>
              <w:drawing>
                <wp:inline distT="0" distB="0" distL="0" distR="0" wp14:anchorId="63CA9787" wp14:editId="3FF85DC2">
                  <wp:extent cx="211631" cy="341865"/>
                  <wp:effectExtent l="0" t="0" r="4445" b="1270"/>
                  <wp:docPr id="225" name="Picture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1C6C9D29" w14:textId="75B71A41" w:rsidR="004E63EB" w:rsidRPr="00856C96" w:rsidRDefault="004E63EB" w:rsidP="004E63EB">
            <w:pPr>
              <w:pStyle w:val="Body-Financial"/>
              <w:rPr>
                <w:sz w:val="18"/>
                <w:szCs w:val="18"/>
                <w:lang w:val="en-PH"/>
              </w:rPr>
            </w:pPr>
            <w:r w:rsidRPr="00856C96">
              <w:rPr>
                <w:sz w:val="18"/>
                <w:szCs w:val="18"/>
                <w:lang w:val="en-PH"/>
              </w:rPr>
              <w:t>IHPA undertook a public consultation process to seek stakeholder feedback on the draft AN-SNAP Version 5.0 in April 2021. Subsequently, AN-SNAP Version 5.0 was released in December 2021.</w:t>
            </w:r>
          </w:p>
        </w:tc>
      </w:tr>
      <w:tr w:rsidR="004E63EB" w:rsidRPr="00147EEB" w14:paraId="3DCA2B0D"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3A7015AB" w14:textId="771DDF1F" w:rsidR="004E63EB" w:rsidRPr="00043E70" w:rsidRDefault="004E63EB">
            <w:pPr>
              <w:pStyle w:val="NumberListNoIndent"/>
              <w:numPr>
                <w:ilvl w:val="0"/>
                <w:numId w:val="18"/>
              </w:numPr>
              <w:rPr>
                <w:noProof/>
                <w:color w:val="auto"/>
              </w:rPr>
            </w:pPr>
            <w:r w:rsidRPr="00C10930">
              <w:rPr>
                <w:noProof/>
                <w:color w:val="auto"/>
              </w:rPr>
              <w:t>Continue to maintain the Tier 2 Non</w:t>
            </w:r>
            <w:r>
              <w:rPr>
                <w:noProof/>
                <w:color w:val="auto"/>
              </w:rPr>
              <w:t> </w:t>
            </w:r>
            <w:r w:rsidRPr="00C10930">
              <w:rPr>
                <w:noProof/>
                <w:color w:val="auto"/>
              </w:rPr>
              <w:t xml:space="preserve">Admitted Services Classification </w:t>
            </w:r>
            <w:r>
              <w:rPr>
                <w:noProof/>
                <w:color w:val="auto"/>
              </w:rPr>
              <w:t>(Tier 2)</w:t>
            </w:r>
            <w:r w:rsidR="00EB0AA9">
              <w:rPr>
                <w:noProof/>
                <w:color w:val="auto"/>
              </w:rPr>
              <w:t>,</w:t>
            </w:r>
            <w:r>
              <w:rPr>
                <w:noProof/>
                <w:color w:val="auto"/>
              </w:rPr>
              <w:t xml:space="preserve"> </w:t>
            </w:r>
            <w:r w:rsidRPr="00C10930">
              <w:rPr>
                <w:noProof/>
                <w:color w:val="auto"/>
              </w:rPr>
              <w:t>while undertaking development work for the Australian Non-Admitted Care Classificiation.</w:t>
            </w:r>
          </w:p>
        </w:tc>
        <w:tc>
          <w:tcPr>
            <w:tcW w:w="567" w:type="dxa"/>
            <w:shd w:val="clear" w:color="auto" w:fill="FFFFFF" w:themeFill="background2"/>
            <w:tcMar>
              <w:top w:w="85" w:type="dxa"/>
              <w:left w:w="0" w:type="dxa"/>
              <w:bottom w:w="85" w:type="dxa"/>
              <w:right w:w="0" w:type="dxa"/>
            </w:tcMar>
          </w:tcPr>
          <w:p w14:paraId="78FC18EF" w14:textId="2FC0131E" w:rsidR="004E63EB" w:rsidRPr="00B51FB1" w:rsidRDefault="004E63EB" w:rsidP="004E63EB">
            <w:pPr>
              <w:pStyle w:val="Body-Financial"/>
              <w:rPr>
                <w:noProof/>
                <w:sz w:val="18"/>
                <w:szCs w:val="18"/>
              </w:rPr>
            </w:pPr>
            <w:r w:rsidRPr="00B51FB1">
              <w:rPr>
                <w:noProof/>
                <w:sz w:val="18"/>
                <w:szCs w:val="18"/>
              </w:rPr>
              <w:drawing>
                <wp:inline distT="0" distB="0" distL="0" distR="0" wp14:anchorId="76AA2A28" wp14:editId="3631BCF6">
                  <wp:extent cx="211631" cy="341865"/>
                  <wp:effectExtent l="0" t="0" r="4445" b="1270"/>
                  <wp:docPr id="226" name="Picture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7A558487" w14:textId="65D5B106" w:rsidR="004E63EB" w:rsidRPr="00856C96" w:rsidRDefault="004E63EB" w:rsidP="00856C96">
            <w:pPr>
              <w:pStyle w:val="Body-Financial"/>
              <w:rPr>
                <w:lang w:val="en-PH"/>
              </w:rPr>
            </w:pPr>
            <w:r w:rsidRPr="00856C96">
              <w:rPr>
                <w:sz w:val="18"/>
                <w:szCs w:val="18"/>
                <w:lang w:val="en-PH"/>
              </w:rPr>
              <w:t>IHPA continues to maintain and update Tier 2 based on stakeholder feedback while work on a new non</w:t>
            </w:r>
            <w:r w:rsidRPr="00856C96">
              <w:rPr>
                <w:sz w:val="18"/>
                <w:szCs w:val="18"/>
                <w:lang w:val="en-PH"/>
              </w:rPr>
              <w:noBreakHyphen/>
              <w:t>admitted care classification is developed.</w:t>
            </w:r>
          </w:p>
        </w:tc>
      </w:tr>
      <w:tr w:rsidR="004E63EB" w:rsidRPr="00147EEB" w14:paraId="10682B26"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7FB7657C" w14:textId="7C764846" w:rsidR="004E63EB" w:rsidRPr="00043E70" w:rsidRDefault="004E63EB">
            <w:pPr>
              <w:pStyle w:val="NumberListNoIndent"/>
              <w:numPr>
                <w:ilvl w:val="0"/>
                <w:numId w:val="18"/>
              </w:numPr>
              <w:rPr>
                <w:noProof/>
                <w:color w:val="auto"/>
              </w:rPr>
            </w:pPr>
            <w:r w:rsidRPr="00C10930">
              <w:rPr>
                <w:noProof/>
                <w:color w:val="auto"/>
              </w:rPr>
              <w:t xml:space="preserve">Complete the non-admitted care costing study, including </w:t>
            </w:r>
            <w:r>
              <w:rPr>
                <w:noProof/>
                <w:color w:val="auto"/>
              </w:rPr>
              <w:t xml:space="preserve">the collection of </w:t>
            </w:r>
            <w:r w:rsidRPr="00C10930">
              <w:rPr>
                <w:noProof/>
                <w:color w:val="auto"/>
              </w:rPr>
              <w:t>activity and cost data for the Australian Non-Admitted Care</w:t>
            </w:r>
            <w:r>
              <w:rPr>
                <w:noProof/>
                <w:color w:val="auto"/>
              </w:rPr>
              <w:t> </w:t>
            </w:r>
            <w:r w:rsidRPr="00C10930">
              <w:rPr>
                <w:noProof/>
                <w:color w:val="auto"/>
              </w:rPr>
              <w:t>Classification.</w:t>
            </w:r>
          </w:p>
        </w:tc>
        <w:tc>
          <w:tcPr>
            <w:tcW w:w="567" w:type="dxa"/>
            <w:shd w:val="clear" w:color="auto" w:fill="FFFFFF" w:themeFill="background2"/>
            <w:tcMar>
              <w:top w:w="85" w:type="dxa"/>
              <w:left w:w="0" w:type="dxa"/>
              <w:bottom w:w="85" w:type="dxa"/>
              <w:right w:w="0" w:type="dxa"/>
            </w:tcMar>
          </w:tcPr>
          <w:p w14:paraId="39BD39D0" w14:textId="6A84CFCF" w:rsidR="004E63EB" w:rsidRPr="00B51FB1" w:rsidRDefault="004E63EB" w:rsidP="004E63EB">
            <w:pPr>
              <w:pStyle w:val="Body-Financial"/>
              <w:rPr>
                <w:noProof/>
                <w:sz w:val="18"/>
                <w:szCs w:val="18"/>
              </w:rPr>
            </w:pPr>
            <w:r w:rsidRPr="00B51FB1">
              <w:rPr>
                <w:noProof/>
                <w:sz w:val="18"/>
                <w:szCs w:val="18"/>
              </w:rPr>
              <w:drawing>
                <wp:inline distT="0" distB="0" distL="0" distR="0" wp14:anchorId="04251B55" wp14:editId="2D2AE8E8">
                  <wp:extent cx="211631" cy="341865"/>
                  <wp:effectExtent l="0" t="0" r="4445" b="1270"/>
                  <wp:docPr id="227" name="Pictur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2B5FAC77" w14:textId="2A70061F" w:rsidR="004E63EB" w:rsidRPr="00856C96" w:rsidRDefault="004E63EB" w:rsidP="00856C96">
            <w:pPr>
              <w:pStyle w:val="Body-Financial"/>
              <w:rPr>
                <w:lang w:val="en-PH"/>
              </w:rPr>
            </w:pPr>
            <w:r w:rsidRPr="00856C96">
              <w:rPr>
                <w:sz w:val="18"/>
                <w:szCs w:val="18"/>
                <w:lang w:val="en-PH"/>
              </w:rPr>
              <w:t xml:space="preserve">In March 2020, the non-admitted care costing study was put on hold and then formally suspended due to the COVID-19 pandemic. In the meantime, IHPA will continue to classify non-admitted services using the Tier 2. IHPA is </w:t>
            </w:r>
            <w:r w:rsidR="009470C7" w:rsidRPr="00856C96">
              <w:rPr>
                <w:sz w:val="18"/>
                <w:szCs w:val="18"/>
                <w:lang w:val="en-PH"/>
              </w:rPr>
              <w:t>currently</w:t>
            </w:r>
            <w:r w:rsidRPr="00856C96">
              <w:rPr>
                <w:sz w:val="18"/>
                <w:szCs w:val="18"/>
                <w:lang w:val="en-PH"/>
              </w:rPr>
              <w:t xml:space="preserve"> investigating the feasibility of recommencing the costing study.</w:t>
            </w:r>
          </w:p>
        </w:tc>
      </w:tr>
      <w:tr w:rsidR="004E63EB" w:rsidRPr="00147EEB" w14:paraId="38C867DA" w14:textId="77777777" w:rsidTr="00FC55A9">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177C0EB1" w14:textId="5D895B95" w:rsidR="004E63EB" w:rsidRPr="004E63EB" w:rsidRDefault="004E63EB">
            <w:pPr>
              <w:pStyle w:val="NumberListNoIndent"/>
              <w:numPr>
                <w:ilvl w:val="0"/>
                <w:numId w:val="18"/>
              </w:numPr>
              <w:rPr>
                <w:noProof/>
                <w:color w:val="auto"/>
              </w:rPr>
            </w:pPr>
            <w:r w:rsidRPr="00791F54">
              <w:rPr>
                <w:noProof/>
                <w:color w:val="auto"/>
              </w:rPr>
              <w:t xml:space="preserve">Price emergency department activity using the Australian Emergency Care Classification </w:t>
            </w:r>
            <w:r w:rsidRPr="007C7093">
              <w:rPr>
                <w:noProof/>
                <w:color w:val="auto"/>
              </w:rPr>
              <w:t xml:space="preserve">(AECC) </w:t>
            </w:r>
            <w:r w:rsidRPr="00791F54">
              <w:rPr>
                <w:noProof/>
                <w:color w:val="auto"/>
              </w:rPr>
              <w:t>Version 1.0 for</w:t>
            </w:r>
            <w:r>
              <w:rPr>
                <w:noProof/>
                <w:color w:val="auto"/>
              </w:rPr>
              <w:t> </w:t>
            </w:r>
            <w:r w:rsidRPr="00791F54">
              <w:rPr>
                <w:noProof/>
                <w:color w:val="auto"/>
              </w:rPr>
              <w:t>the National Efficient Price Determination 2021</w:t>
            </w:r>
            <w:r w:rsidR="000655CF">
              <w:rPr>
                <w:noProof/>
                <w:color w:val="auto"/>
              </w:rPr>
              <w:t>–</w:t>
            </w:r>
            <w:r w:rsidRPr="00791F54">
              <w:rPr>
                <w:noProof/>
                <w:color w:val="auto"/>
              </w:rPr>
              <w:t>22 by March</w:t>
            </w:r>
            <w:r>
              <w:rPr>
                <w:noProof/>
                <w:color w:val="auto"/>
              </w:rPr>
              <w:t> </w:t>
            </w:r>
            <w:r w:rsidRPr="00791F54">
              <w:rPr>
                <w:noProof/>
                <w:color w:val="auto"/>
              </w:rPr>
              <w:t>2021.</w:t>
            </w:r>
          </w:p>
        </w:tc>
        <w:tc>
          <w:tcPr>
            <w:tcW w:w="567" w:type="dxa"/>
            <w:shd w:val="clear" w:color="auto" w:fill="FFFFFF" w:themeFill="background2"/>
            <w:tcMar>
              <w:top w:w="85" w:type="dxa"/>
              <w:left w:w="0" w:type="dxa"/>
              <w:bottom w:w="85" w:type="dxa"/>
              <w:right w:w="0" w:type="dxa"/>
            </w:tcMar>
          </w:tcPr>
          <w:p w14:paraId="0D4C6536" w14:textId="77777777" w:rsidR="004E63EB" w:rsidRPr="00B51FB1" w:rsidRDefault="004E63EB" w:rsidP="004E63EB">
            <w:pPr>
              <w:pStyle w:val="Body-Financial"/>
              <w:rPr>
                <w:noProof/>
                <w:sz w:val="18"/>
                <w:szCs w:val="18"/>
              </w:rPr>
            </w:pPr>
            <w:r w:rsidRPr="00B51FB1">
              <w:rPr>
                <w:noProof/>
                <w:sz w:val="18"/>
                <w:szCs w:val="18"/>
              </w:rPr>
              <w:drawing>
                <wp:inline distT="0" distB="0" distL="0" distR="0" wp14:anchorId="3BE1F531" wp14:editId="6235E751">
                  <wp:extent cx="211631" cy="341865"/>
                  <wp:effectExtent l="0" t="0" r="4445" b="1270"/>
                  <wp:docPr id="168" name="Picture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46D371FA" w14:textId="39A117F7" w:rsidR="004E63EB" w:rsidRPr="00856C96" w:rsidRDefault="004E63EB" w:rsidP="00856C96">
            <w:pPr>
              <w:pStyle w:val="Body-Financial"/>
              <w:rPr>
                <w:lang w:val="en-PH"/>
              </w:rPr>
            </w:pPr>
            <w:r w:rsidRPr="00856C96">
              <w:rPr>
                <w:sz w:val="18"/>
                <w:szCs w:val="18"/>
                <w:lang w:val="en-PH"/>
              </w:rPr>
              <w:t>IHPA commenced pricing emergency department care using the AECC Version 1.0 for the first time as part of the National Efficient Price Determination 2021–22 released on 2 March 2021.</w:t>
            </w:r>
          </w:p>
        </w:tc>
      </w:tr>
      <w:tr w:rsidR="004E63EB" w:rsidRPr="00147EEB" w14:paraId="00AD0EBB"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7B44DC7A" w14:textId="4186C190" w:rsidR="004E63EB" w:rsidRPr="00043E70" w:rsidRDefault="004E63EB">
            <w:pPr>
              <w:pStyle w:val="NumberListNoIndent"/>
              <w:numPr>
                <w:ilvl w:val="0"/>
                <w:numId w:val="18"/>
              </w:numPr>
              <w:rPr>
                <w:noProof/>
                <w:color w:val="auto"/>
              </w:rPr>
            </w:pPr>
            <w:r w:rsidRPr="007F5EA2">
              <w:rPr>
                <w:noProof/>
                <w:color w:val="auto"/>
              </w:rPr>
              <w:t xml:space="preserve">Refine the </w:t>
            </w:r>
            <w:r>
              <w:rPr>
                <w:color w:val="auto"/>
              </w:rPr>
              <w:t>AECC</w:t>
            </w:r>
            <w:r w:rsidRPr="007C7093">
              <w:rPr>
                <w:noProof/>
                <w:color w:val="auto"/>
              </w:rPr>
              <w:t xml:space="preserve"> Version 1.0.</w:t>
            </w:r>
          </w:p>
        </w:tc>
        <w:tc>
          <w:tcPr>
            <w:tcW w:w="567" w:type="dxa"/>
            <w:shd w:val="clear" w:color="auto" w:fill="FFFFFF" w:themeFill="background2"/>
            <w:tcMar>
              <w:top w:w="85" w:type="dxa"/>
              <w:left w:w="0" w:type="dxa"/>
              <w:bottom w:w="85" w:type="dxa"/>
              <w:right w:w="0" w:type="dxa"/>
            </w:tcMar>
          </w:tcPr>
          <w:p w14:paraId="1BCB1CB3" w14:textId="77777777" w:rsidR="004E63EB" w:rsidRPr="00B51FB1" w:rsidRDefault="004E63EB" w:rsidP="004E63EB">
            <w:pPr>
              <w:pStyle w:val="Body-Financial"/>
              <w:rPr>
                <w:noProof/>
                <w:sz w:val="18"/>
                <w:szCs w:val="18"/>
              </w:rPr>
            </w:pPr>
            <w:r w:rsidRPr="00B51FB1">
              <w:rPr>
                <w:noProof/>
                <w:sz w:val="18"/>
                <w:szCs w:val="18"/>
              </w:rPr>
              <w:drawing>
                <wp:inline distT="0" distB="0" distL="0" distR="0" wp14:anchorId="0E59D9CD" wp14:editId="48F802DD">
                  <wp:extent cx="211631" cy="341865"/>
                  <wp:effectExtent l="0" t="0" r="4445" b="1270"/>
                  <wp:docPr id="170" name="Pictur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5A18B38D" w14:textId="6A4B4888" w:rsidR="004E63EB" w:rsidRPr="004E63EB" w:rsidRDefault="004E63EB" w:rsidP="004E63EB">
            <w:pPr>
              <w:pStyle w:val="Body-Financial"/>
              <w:rPr>
                <w:sz w:val="18"/>
                <w:szCs w:val="18"/>
              </w:rPr>
            </w:pPr>
            <w:r w:rsidRPr="004E63EB">
              <w:rPr>
                <w:color w:val="auto"/>
                <w:sz w:val="18"/>
                <w:szCs w:val="18"/>
              </w:rPr>
              <w:t>In 2021, IHPA commenced work to update the AECC complexity model based on recent national data and to</w:t>
            </w:r>
            <w:r>
              <w:rPr>
                <w:color w:val="auto"/>
                <w:sz w:val="18"/>
                <w:szCs w:val="18"/>
              </w:rPr>
              <w:t> </w:t>
            </w:r>
            <w:r w:rsidRPr="004E63EB">
              <w:rPr>
                <w:color w:val="auto"/>
                <w:sz w:val="18"/>
                <w:szCs w:val="18"/>
              </w:rPr>
              <w:t>consider the inclusion of new variables such as diagnosis modifiers, procedures and investigations. IHPA will continue this work with an aim to release a</w:t>
            </w:r>
            <w:r>
              <w:rPr>
                <w:color w:val="auto"/>
                <w:sz w:val="18"/>
                <w:szCs w:val="18"/>
              </w:rPr>
              <w:t> </w:t>
            </w:r>
            <w:r w:rsidRPr="004E63EB">
              <w:rPr>
                <w:color w:val="auto"/>
                <w:sz w:val="18"/>
                <w:szCs w:val="18"/>
              </w:rPr>
              <w:t>refined version of the AECC in the future.</w:t>
            </w:r>
          </w:p>
        </w:tc>
      </w:tr>
    </w:tbl>
    <w:p w14:paraId="4CCA2112" w14:textId="77777777" w:rsidR="00D930F4" w:rsidRDefault="00D930F4" w:rsidP="000A6C71">
      <w:pPr>
        <w:pStyle w:val="Body"/>
      </w:pPr>
    </w:p>
    <w:p w14:paraId="7D1ADF43" w14:textId="0AF3F9FD" w:rsidR="00D930F4" w:rsidRDefault="00D930F4" w:rsidP="000A6C71">
      <w:pPr>
        <w:pStyle w:val="Body"/>
        <w:sectPr w:rsidR="00D930F4" w:rsidSect="00BF350C">
          <w:footerReference w:type="default" r:id="rId125"/>
          <w:pgSz w:w="9979" w:h="14175"/>
          <w:pgMar w:top="993" w:right="1134" w:bottom="851" w:left="1134" w:header="709" w:footer="709" w:gutter="0"/>
          <w:cols w:space="282"/>
          <w:docGrid w:linePitch="360"/>
        </w:sectPr>
      </w:pPr>
    </w:p>
    <w:tbl>
      <w:tblPr>
        <w:tblStyle w:val="TableGrid"/>
        <w:tblW w:w="7938" w:type="dxa"/>
        <w:tblLook w:val="04A0" w:firstRow="1" w:lastRow="0" w:firstColumn="1" w:lastColumn="0" w:noHBand="0" w:noVBand="1"/>
      </w:tblPr>
      <w:tblGrid>
        <w:gridCol w:w="3261"/>
        <w:gridCol w:w="567"/>
        <w:gridCol w:w="4110"/>
      </w:tblGrid>
      <w:tr w:rsidR="00D930F4" w:rsidRPr="00B54E13" w14:paraId="77B8164E" w14:textId="77777777" w:rsidTr="00354DC2">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0163984B" w14:textId="77777777" w:rsidR="00D930F4" w:rsidRPr="00354DC2" w:rsidRDefault="00D930F4" w:rsidP="00B15944">
            <w:pPr>
              <w:pStyle w:val="Body"/>
              <w:rPr>
                <w:rFonts w:asciiTheme="majorHAnsi" w:hAnsiTheme="majorHAnsi"/>
                <w:color w:val="FFFFFF" w:themeColor="background2"/>
              </w:rPr>
            </w:pPr>
            <w:r w:rsidRPr="00354DC2">
              <w:rPr>
                <w:rFonts w:asciiTheme="majorHAnsi" w:hAnsiTheme="majorHAnsi"/>
                <w:color w:val="FFFFFF" w:themeColor="background2"/>
              </w:rPr>
              <w:lastRenderedPageBreak/>
              <w:t>Performance criteria</w:t>
            </w:r>
          </w:p>
        </w:tc>
        <w:tc>
          <w:tcPr>
            <w:tcW w:w="567" w:type="dxa"/>
            <w:shd w:val="clear" w:color="auto" w:fill="FFFFFF" w:themeFill="background2"/>
            <w:vAlign w:val="center"/>
          </w:tcPr>
          <w:p w14:paraId="64D6262C" w14:textId="77777777" w:rsidR="00D930F4" w:rsidRPr="00354DC2" w:rsidRDefault="00D930F4" w:rsidP="00B15944">
            <w:pPr>
              <w:pStyle w:val="Body"/>
              <w:rPr>
                <w:rFonts w:asciiTheme="majorHAnsi" w:hAnsiTheme="majorHAnsi"/>
                <w:color w:val="FFFFFF" w:themeColor="background2"/>
              </w:rPr>
            </w:pPr>
          </w:p>
        </w:tc>
        <w:tc>
          <w:tcPr>
            <w:tcW w:w="4110" w:type="dxa"/>
            <w:vAlign w:val="center"/>
          </w:tcPr>
          <w:p w14:paraId="06835748" w14:textId="77777777" w:rsidR="00D930F4" w:rsidRPr="00354DC2" w:rsidRDefault="00D930F4" w:rsidP="00B15944">
            <w:pPr>
              <w:pStyle w:val="Body"/>
              <w:rPr>
                <w:rFonts w:asciiTheme="majorHAnsi" w:hAnsiTheme="majorHAnsi"/>
                <w:color w:val="FFFFFF" w:themeColor="background2"/>
              </w:rPr>
            </w:pPr>
            <w:r w:rsidRPr="00354DC2">
              <w:rPr>
                <w:rFonts w:asciiTheme="majorHAnsi" w:hAnsiTheme="majorHAnsi"/>
                <w:color w:val="FFFFFF" w:themeColor="background2"/>
              </w:rPr>
              <w:t>Results against performance criteria</w:t>
            </w:r>
          </w:p>
        </w:tc>
      </w:tr>
      <w:tr w:rsidR="00D930F4" w:rsidRPr="00B51FB1" w14:paraId="2598CE5B"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6C3CB488" w14:textId="4EB59F15" w:rsidR="00D930F4" w:rsidRPr="00B51FB1" w:rsidRDefault="00DF329B">
            <w:pPr>
              <w:pStyle w:val="ListParagraph"/>
              <w:numPr>
                <w:ilvl w:val="0"/>
                <w:numId w:val="18"/>
              </w:numPr>
              <w:rPr>
                <w:color w:val="1C1C1C"/>
                <w:sz w:val="18"/>
                <w:szCs w:val="18"/>
              </w:rPr>
            </w:pPr>
            <w:r w:rsidRPr="00DF329B">
              <w:rPr>
                <w:color w:val="1C1C1C"/>
                <w:sz w:val="18"/>
                <w:szCs w:val="18"/>
              </w:rPr>
              <w:t>Continue to work with jurisdictions to implement the Australian Teaching and Training Classification (ATTC) by</w:t>
            </w:r>
            <w:r>
              <w:rPr>
                <w:color w:val="1C1C1C"/>
                <w:sz w:val="18"/>
                <w:szCs w:val="18"/>
              </w:rPr>
              <w:t> </w:t>
            </w:r>
            <w:r w:rsidRPr="00DF329B">
              <w:rPr>
                <w:color w:val="1C1C1C"/>
                <w:sz w:val="18"/>
                <w:szCs w:val="18"/>
              </w:rPr>
              <w:t>June 2022.</w:t>
            </w:r>
          </w:p>
        </w:tc>
        <w:tc>
          <w:tcPr>
            <w:tcW w:w="567" w:type="dxa"/>
            <w:shd w:val="clear" w:color="auto" w:fill="FFFFFF" w:themeFill="background2"/>
            <w:tcMar>
              <w:top w:w="85" w:type="dxa"/>
              <w:left w:w="0" w:type="dxa"/>
              <w:bottom w:w="85" w:type="dxa"/>
              <w:right w:w="0" w:type="dxa"/>
            </w:tcMar>
          </w:tcPr>
          <w:p w14:paraId="6FE6AB88" w14:textId="77777777" w:rsidR="00D930F4" w:rsidRPr="00B51FB1" w:rsidRDefault="00D930F4" w:rsidP="00B15944">
            <w:pPr>
              <w:pStyle w:val="Body-Financial"/>
              <w:rPr>
                <w:sz w:val="18"/>
                <w:szCs w:val="18"/>
              </w:rPr>
            </w:pPr>
            <w:r w:rsidRPr="00B51FB1">
              <w:rPr>
                <w:noProof/>
                <w:sz w:val="18"/>
                <w:szCs w:val="18"/>
              </w:rPr>
              <w:drawing>
                <wp:inline distT="0" distB="0" distL="0" distR="0" wp14:anchorId="13FD6B68" wp14:editId="4D0A9279">
                  <wp:extent cx="211631" cy="341865"/>
                  <wp:effectExtent l="0" t="0" r="4445" b="1270"/>
                  <wp:docPr id="228" name="Picture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7F4F706C" w14:textId="405CA68D" w:rsidR="00D930F4" w:rsidRPr="00B51FB1" w:rsidRDefault="00DF329B" w:rsidP="00B15944">
            <w:pPr>
              <w:pStyle w:val="Body-Financial"/>
              <w:rPr>
                <w:sz w:val="18"/>
                <w:szCs w:val="18"/>
              </w:rPr>
            </w:pPr>
            <w:r w:rsidRPr="00DF329B">
              <w:rPr>
                <w:sz w:val="18"/>
                <w:szCs w:val="18"/>
              </w:rPr>
              <w:t>ATTC Version 1.0 was released in July 2018. IHPA</w:t>
            </w:r>
            <w:r>
              <w:rPr>
                <w:sz w:val="18"/>
                <w:szCs w:val="18"/>
              </w:rPr>
              <w:t> </w:t>
            </w:r>
            <w:r w:rsidRPr="00DF329B">
              <w:rPr>
                <w:sz w:val="18"/>
                <w:szCs w:val="18"/>
              </w:rPr>
              <w:t>continues to work with jurisdictions to implement ATTC to address the variation and barriers to reporting teaching and training activity and cost data.</w:t>
            </w:r>
          </w:p>
        </w:tc>
      </w:tr>
      <w:tr w:rsidR="00DF329B" w:rsidRPr="00B51FB1" w14:paraId="161B08F4"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72313AEB" w14:textId="0F10BF8C" w:rsidR="00DF329B" w:rsidRPr="005B5F80" w:rsidRDefault="00DF329B">
            <w:pPr>
              <w:pStyle w:val="NumberListNoIndent"/>
              <w:numPr>
                <w:ilvl w:val="0"/>
                <w:numId w:val="18"/>
              </w:numPr>
              <w:rPr>
                <w:noProof/>
                <w:color w:val="auto"/>
              </w:rPr>
            </w:pPr>
            <w:r w:rsidRPr="005B5F80">
              <w:rPr>
                <w:lang w:val="en-PH"/>
              </w:rPr>
              <w:t>Management of the international sales of the AR-DRG system.</w:t>
            </w:r>
          </w:p>
        </w:tc>
        <w:tc>
          <w:tcPr>
            <w:tcW w:w="567" w:type="dxa"/>
            <w:shd w:val="clear" w:color="auto" w:fill="FFFFFF" w:themeFill="background2"/>
            <w:tcMar>
              <w:top w:w="85" w:type="dxa"/>
              <w:left w:w="0" w:type="dxa"/>
              <w:bottom w:w="85" w:type="dxa"/>
              <w:right w:w="0" w:type="dxa"/>
            </w:tcMar>
          </w:tcPr>
          <w:p w14:paraId="65AE3C9C" w14:textId="77777777" w:rsidR="00DF329B" w:rsidRPr="00B51FB1" w:rsidRDefault="00DF329B" w:rsidP="00DF329B">
            <w:pPr>
              <w:pStyle w:val="Body-Financial"/>
              <w:rPr>
                <w:noProof/>
                <w:sz w:val="18"/>
                <w:szCs w:val="18"/>
              </w:rPr>
            </w:pPr>
            <w:r w:rsidRPr="00B51FB1">
              <w:rPr>
                <w:noProof/>
                <w:sz w:val="18"/>
                <w:szCs w:val="18"/>
              </w:rPr>
              <w:drawing>
                <wp:inline distT="0" distB="0" distL="0" distR="0" wp14:anchorId="4836661C" wp14:editId="29A2013A">
                  <wp:extent cx="211631" cy="341865"/>
                  <wp:effectExtent l="0" t="0" r="4445" b="1270"/>
                  <wp:docPr id="229" name="Picture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68581498" w14:textId="718AE9BB" w:rsidR="00DF329B" w:rsidRPr="005B5F80" w:rsidRDefault="00DF329B" w:rsidP="00DF329B">
            <w:pPr>
              <w:pStyle w:val="Body-Financial"/>
              <w:rPr>
                <w:sz w:val="18"/>
                <w:szCs w:val="18"/>
              </w:rPr>
            </w:pPr>
            <w:r w:rsidRPr="005B5F80">
              <w:rPr>
                <w:sz w:val="18"/>
                <w:szCs w:val="18"/>
                <w:lang w:val="en-PH"/>
              </w:rPr>
              <w:t>IHPA continues to effectively administer the international sales of the AR-DRG classification system.</w:t>
            </w:r>
          </w:p>
        </w:tc>
      </w:tr>
      <w:tr w:rsidR="00DF329B" w:rsidRPr="00B51FB1" w14:paraId="76C552B1" w14:textId="77777777" w:rsidTr="00FC55A9">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2633242D" w14:textId="793E28B9" w:rsidR="00DF329B" w:rsidRPr="002D372E" w:rsidRDefault="00DF329B">
            <w:pPr>
              <w:pStyle w:val="NumberListNoIndent"/>
              <w:numPr>
                <w:ilvl w:val="0"/>
                <w:numId w:val="18"/>
              </w:numPr>
              <w:rPr>
                <w:noProof/>
                <w:color w:val="auto"/>
              </w:rPr>
            </w:pPr>
            <w:r w:rsidRPr="00791F54">
              <w:rPr>
                <w:noProof/>
                <w:color w:val="auto"/>
                <w:lang w:val="en-PH"/>
              </w:rPr>
              <w:t>Update the Impact of New Health Technology Framework to review the process for assessing the impact of new health technologies on patient classification systems and include process for incorporating new high</w:t>
            </w:r>
            <w:r>
              <w:rPr>
                <w:noProof/>
                <w:color w:val="auto"/>
                <w:lang w:val="en-PH"/>
              </w:rPr>
              <w:noBreakHyphen/>
            </w:r>
            <w:r w:rsidRPr="00791F54">
              <w:rPr>
                <w:noProof/>
                <w:color w:val="auto"/>
                <w:lang w:val="en-PH"/>
              </w:rPr>
              <w:t>cost, highly specialised treatments by June 2022.</w:t>
            </w:r>
          </w:p>
        </w:tc>
        <w:tc>
          <w:tcPr>
            <w:tcW w:w="567" w:type="dxa"/>
            <w:shd w:val="clear" w:color="auto" w:fill="FFFFFF" w:themeFill="background2"/>
            <w:tcMar>
              <w:top w:w="85" w:type="dxa"/>
              <w:left w:w="0" w:type="dxa"/>
              <w:bottom w:w="85" w:type="dxa"/>
              <w:right w:w="0" w:type="dxa"/>
            </w:tcMar>
          </w:tcPr>
          <w:p w14:paraId="12FF9A48" w14:textId="77777777" w:rsidR="00DF329B" w:rsidRPr="00B51FB1" w:rsidRDefault="00DF329B" w:rsidP="00DF329B">
            <w:pPr>
              <w:pStyle w:val="Body-Financial"/>
              <w:rPr>
                <w:noProof/>
                <w:sz w:val="18"/>
                <w:szCs w:val="18"/>
              </w:rPr>
            </w:pPr>
            <w:r w:rsidRPr="00B51FB1">
              <w:rPr>
                <w:noProof/>
                <w:sz w:val="18"/>
                <w:szCs w:val="18"/>
              </w:rPr>
              <w:drawing>
                <wp:inline distT="0" distB="0" distL="0" distR="0" wp14:anchorId="708E99CA" wp14:editId="4715DCAC">
                  <wp:extent cx="211631" cy="341865"/>
                  <wp:effectExtent l="0" t="0" r="4445" b="1270"/>
                  <wp:docPr id="230" name="Picture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72CE7E04" w14:textId="5CE43EA7" w:rsidR="00DF329B" w:rsidRPr="002D372E" w:rsidRDefault="00DF329B" w:rsidP="00DF329B">
            <w:pPr>
              <w:pStyle w:val="Body-Financial"/>
              <w:rPr>
                <w:sz w:val="18"/>
                <w:szCs w:val="18"/>
              </w:rPr>
            </w:pPr>
            <w:r w:rsidRPr="00791F54">
              <w:rPr>
                <w:sz w:val="18"/>
                <w:szCs w:val="18"/>
              </w:rPr>
              <w:t>IHPA undertook a comprehensive review of the New</w:t>
            </w:r>
            <w:r>
              <w:rPr>
                <w:sz w:val="18"/>
                <w:szCs w:val="18"/>
              </w:rPr>
              <w:t> </w:t>
            </w:r>
            <w:r w:rsidRPr="00791F54">
              <w:rPr>
                <w:sz w:val="18"/>
                <w:szCs w:val="18"/>
              </w:rPr>
              <w:t>Health Technology Policy (previously named the Impact of New Health Technology Framework) in 2021–22 to incorporate a more streamlined and timely</w:t>
            </w:r>
            <w:r>
              <w:rPr>
                <w:sz w:val="18"/>
                <w:szCs w:val="18"/>
              </w:rPr>
              <w:t> </w:t>
            </w:r>
            <w:r w:rsidRPr="00791F54">
              <w:rPr>
                <w:sz w:val="18"/>
                <w:szCs w:val="18"/>
              </w:rPr>
              <w:t>process for assessing new health technologies for</w:t>
            </w:r>
            <w:r>
              <w:rPr>
                <w:sz w:val="18"/>
                <w:szCs w:val="18"/>
              </w:rPr>
              <w:t> </w:t>
            </w:r>
            <w:r w:rsidRPr="00791F54">
              <w:rPr>
                <w:sz w:val="18"/>
                <w:szCs w:val="18"/>
              </w:rPr>
              <w:t>inclusion into the activity based funding system.</w:t>
            </w:r>
          </w:p>
        </w:tc>
      </w:tr>
      <w:tr w:rsidR="00DF329B" w:rsidRPr="00B51FB1" w14:paraId="04217E78" w14:textId="77777777" w:rsidTr="00DF329B">
        <w:trPr>
          <w:cnfStyle w:val="100000000000" w:firstRow="1" w:lastRow="0" w:firstColumn="0" w:lastColumn="0" w:oddVBand="0" w:evenVBand="0" w:oddHBand="0" w:evenHBand="0" w:firstRowFirstColumn="0" w:firstRowLastColumn="0" w:lastRowFirstColumn="0" w:lastRowLastColumn="0"/>
          <w:trHeight w:val="2175"/>
        </w:trPr>
        <w:tc>
          <w:tcPr>
            <w:tcW w:w="3261" w:type="dxa"/>
            <w:shd w:val="clear" w:color="auto" w:fill="F2F2F2" w:themeFill="background2" w:themeFillShade="F2"/>
            <w:tcMar>
              <w:top w:w="85" w:type="dxa"/>
              <w:bottom w:w="85" w:type="dxa"/>
            </w:tcMar>
          </w:tcPr>
          <w:p w14:paraId="0B02383B" w14:textId="6AA16B21" w:rsidR="00DF329B" w:rsidRPr="002D372E" w:rsidRDefault="00DF329B">
            <w:pPr>
              <w:pStyle w:val="NumberListNoIndent"/>
              <w:numPr>
                <w:ilvl w:val="0"/>
                <w:numId w:val="18"/>
              </w:numPr>
              <w:rPr>
                <w:noProof/>
                <w:color w:val="auto"/>
              </w:rPr>
            </w:pPr>
            <w:r w:rsidRPr="00791F54">
              <w:rPr>
                <w:noProof/>
                <w:color w:val="auto"/>
                <w:lang w:val="en-PH"/>
              </w:rPr>
              <w:t xml:space="preserve">Finalise the </w:t>
            </w:r>
            <w:r w:rsidR="00085121">
              <w:rPr>
                <w:noProof/>
                <w:color w:val="auto"/>
                <w:lang w:val="en-PH"/>
              </w:rPr>
              <w:t>r</w:t>
            </w:r>
            <w:r w:rsidRPr="00791F54">
              <w:rPr>
                <w:noProof/>
                <w:color w:val="auto"/>
                <w:lang w:val="en-PH"/>
              </w:rPr>
              <w:t xml:space="preserve">eview of New </w:t>
            </w:r>
            <w:r>
              <w:rPr>
                <w:noProof/>
                <w:color w:val="auto"/>
                <w:lang w:val="en-PH"/>
              </w:rPr>
              <w:t>H</w:t>
            </w:r>
            <w:r w:rsidRPr="00791F54">
              <w:rPr>
                <w:noProof/>
                <w:color w:val="auto"/>
                <w:lang w:val="en-PH"/>
              </w:rPr>
              <w:t xml:space="preserve">ealth </w:t>
            </w:r>
            <w:r>
              <w:rPr>
                <w:noProof/>
                <w:color w:val="auto"/>
                <w:lang w:val="en-PH"/>
              </w:rPr>
              <w:t>T</w:t>
            </w:r>
            <w:r w:rsidRPr="00791F54">
              <w:rPr>
                <w:noProof/>
                <w:color w:val="auto"/>
                <w:lang w:val="en-PH"/>
              </w:rPr>
              <w:t>echnologies based on reports received from government agencies and advisory bodies by June 2022.</w:t>
            </w:r>
          </w:p>
        </w:tc>
        <w:tc>
          <w:tcPr>
            <w:tcW w:w="567" w:type="dxa"/>
            <w:shd w:val="clear" w:color="auto" w:fill="FFFFFF" w:themeFill="background2"/>
            <w:tcMar>
              <w:top w:w="85" w:type="dxa"/>
              <w:left w:w="0" w:type="dxa"/>
              <w:bottom w:w="85" w:type="dxa"/>
              <w:right w:w="0" w:type="dxa"/>
            </w:tcMar>
          </w:tcPr>
          <w:p w14:paraId="6F33E082" w14:textId="77777777" w:rsidR="00DF329B" w:rsidRPr="00B51FB1" w:rsidRDefault="00DF329B" w:rsidP="00DF329B">
            <w:pPr>
              <w:pStyle w:val="Body-Financial"/>
              <w:rPr>
                <w:noProof/>
                <w:sz w:val="18"/>
                <w:szCs w:val="18"/>
              </w:rPr>
            </w:pPr>
            <w:r w:rsidRPr="00B51FB1">
              <w:rPr>
                <w:noProof/>
                <w:sz w:val="18"/>
                <w:szCs w:val="18"/>
              </w:rPr>
              <w:drawing>
                <wp:inline distT="0" distB="0" distL="0" distR="0" wp14:anchorId="33974328" wp14:editId="2CBF7AB7">
                  <wp:extent cx="211631" cy="341865"/>
                  <wp:effectExtent l="0" t="0" r="4445" b="1270"/>
                  <wp:docPr id="231" name="Picture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4110" w:type="dxa"/>
            <w:shd w:val="clear" w:color="auto" w:fill="F2F2F2" w:themeFill="background2" w:themeFillShade="F2"/>
            <w:tcMar>
              <w:top w:w="85" w:type="dxa"/>
              <w:bottom w:w="85" w:type="dxa"/>
            </w:tcMar>
          </w:tcPr>
          <w:p w14:paraId="3438DA75" w14:textId="507B41ED" w:rsidR="00DF329B" w:rsidRPr="002D372E" w:rsidRDefault="00DF329B" w:rsidP="00DF329B">
            <w:pPr>
              <w:pStyle w:val="Body-Financial"/>
              <w:rPr>
                <w:sz w:val="18"/>
                <w:szCs w:val="18"/>
              </w:rPr>
            </w:pPr>
            <w:r w:rsidRPr="00791F54">
              <w:rPr>
                <w:sz w:val="18"/>
                <w:szCs w:val="18"/>
                <w:lang w:val="en-PH"/>
              </w:rPr>
              <w:t xml:space="preserve">IHPA </w:t>
            </w:r>
            <w:r w:rsidR="00085121" w:rsidRPr="00085121">
              <w:rPr>
                <w:sz w:val="18"/>
                <w:szCs w:val="18"/>
                <w:lang w:val="en-PH"/>
              </w:rPr>
              <w:t>undertook a consultation of the assessment of new health technology in August 2021</w:t>
            </w:r>
            <w:r w:rsidR="00085121" w:rsidRPr="00085121" w:rsidDel="00085121">
              <w:rPr>
                <w:sz w:val="18"/>
                <w:szCs w:val="18"/>
                <w:lang w:val="en-PH"/>
              </w:rPr>
              <w:t xml:space="preserve"> </w:t>
            </w:r>
            <w:r w:rsidRPr="00791F54">
              <w:rPr>
                <w:sz w:val="18"/>
                <w:szCs w:val="18"/>
                <w:lang w:val="en-PH"/>
              </w:rPr>
              <w:t>to ensure pricing of public hospital services responds to the introduction of evidence-based, effective new technology and innovations in the models of care that</w:t>
            </w:r>
            <w:r>
              <w:rPr>
                <w:sz w:val="18"/>
                <w:szCs w:val="18"/>
                <w:lang w:val="en-PH"/>
              </w:rPr>
              <w:t> </w:t>
            </w:r>
            <w:r w:rsidRPr="00791F54">
              <w:rPr>
                <w:sz w:val="18"/>
                <w:szCs w:val="18"/>
                <w:lang w:val="en-PH"/>
              </w:rPr>
              <w:t>improve patient outcomes in a timely way. Final</w:t>
            </w:r>
            <w:r>
              <w:rPr>
                <w:sz w:val="18"/>
                <w:szCs w:val="18"/>
                <w:lang w:val="en-PH"/>
              </w:rPr>
              <w:t> </w:t>
            </w:r>
            <w:r w:rsidRPr="00791F54">
              <w:rPr>
                <w:sz w:val="18"/>
                <w:szCs w:val="18"/>
                <w:lang w:val="en-PH"/>
              </w:rPr>
              <w:t>decisions on new health technologies prioritised for classification development occurred in May 2022.</w:t>
            </w:r>
          </w:p>
        </w:tc>
      </w:tr>
    </w:tbl>
    <w:p w14:paraId="0F486C0A" w14:textId="65208E4E" w:rsidR="00645CE2" w:rsidRDefault="00645CE2" w:rsidP="000A6C71">
      <w:pPr>
        <w:pStyle w:val="Body"/>
      </w:pPr>
    </w:p>
    <w:p w14:paraId="2D003C6D" w14:textId="77777777" w:rsidR="00D930F4" w:rsidRDefault="00D930F4" w:rsidP="000A6C71">
      <w:pPr>
        <w:pStyle w:val="Body"/>
      </w:pPr>
    </w:p>
    <w:p w14:paraId="053D9AD1" w14:textId="4E5789A5" w:rsidR="00D930F4" w:rsidRDefault="00D930F4" w:rsidP="000A6C71">
      <w:pPr>
        <w:pStyle w:val="Body"/>
        <w:sectPr w:rsidR="00D930F4" w:rsidSect="00BF350C">
          <w:footerReference w:type="default" r:id="rId126"/>
          <w:pgSz w:w="9979" w:h="14175"/>
          <w:pgMar w:top="993" w:right="1134" w:bottom="851" w:left="1134" w:header="709" w:footer="709" w:gutter="0"/>
          <w:cols w:space="282"/>
          <w:docGrid w:linePitch="360"/>
        </w:sectPr>
      </w:pPr>
    </w:p>
    <w:p w14:paraId="7CDAFBC3" w14:textId="77777777" w:rsidR="007554CD" w:rsidRPr="00F716B9" w:rsidRDefault="007554CD" w:rsidP="007554CD">
      <w:pPr>
        <w:pStyle w:val="H3"/>
        <w:rPr>
          <w:color w:val="5E2F7E" w:themeColor="accent5"/>
        </w:rPr>
      </w:pPr>
      <w:r w:rsidRPr="00F716B9">
        <w:rPr>
          <w:noProof/>
          <w:color w:val="5E2F7E" w:themeColor="accent5"/>
          <w:sz w:val="28"/>
          <w:szCs w:val="28"/>
          <w:lang w:eastAsia="en-AU"/>
        </w:rPr>
        <w:lastRenderedPageBreak/>
        <mc:AlternateContent>
          <mc:Choice Requires="wps">
            <w:drawing>
              <wp:anchor distT="0" distB="0" distL="114300" distR="114300" simplePos="0" relativeHeight="252026880" behindDoc="1" locked="0" layoutInCell="1" allowOverlap="1" wp14:anchorId="36CB77BA" wp14:editId="429B330C">
                <wp:simplePos x="0" y="0"/>
                <wp:positionH relativeFrom="column">
                  <wp:posOffset>-202106</wp:posOffset>
                </wp:positionH>
                <wp:positionV relativeFrom="paragraph">
                  <wp:posOffset>-112571</wp:posOffset>
                </wp:positionV>
                <wp:extent cx="5300345" cy="5348976"/>
                <wp:effectExtent l="0" t="0" r="14605" b="23495"/>
                <wp:wrapNone/>
                <wp:docPr id="178" name="Rectangle 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5348976"/>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2EBA0" id="Rectangle 178" o:spid="_x0000_s1026" alt="&quot;&quot;" style="position:absolute;margin-left:-15.9pt;margin-top:-8.85pt;width:417.35pt;height:421.2pt;z-index:-2512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" filled="f" strokecolor="#5e2f7e [3208]" strokeweight=".5pt"/>
            </w:pict>
          </mc:Fallback>
        </mc:AlternateContent>
      </w:r>
      <w:r w:rsidRPr="00F716B9">
        <w:rPr>
          <w:color w:val="5E2F7E" w:themeColor="accent5"/>
        </w:rPr>
        <w:t>Analysis</w:t>
      </w:r>
    </w:p>
    <w:p w14:paraId="149B2EC4" w14:textId="77777777" w:rsidR="00E323BC" w:rsidRDefault="00E323BC" w:rsidP="00E323BC">
      <w:pPr>
        <w:pStyle w:val="Body"/>
      </w:pPr>
      <w:r>
        <w:t xml:space="preserve">IHPA continued its work to develop and refine classification systems that accurately capture the resources required to treat different types of patients during 2021–22. </w:t>
      </w:r>
    </w:p>
    <w:p w14:paraId="205DCA2E" w14:textId="77777777" w:rsidR="00E323BC" w:rsidRDefault="00E323BC" w:rsidP="00E323BC">
      <w:pPr>
        <w:pStyle w:val="Body"/>
      </w:pPr>
      <w:r>
        <w:t xml:space="preserve">A key part of this process has been the development of classification, costing and pricing guidelines relating to COVID-19 and ensuring stakeholders are directly informed on any new advice in order to respond to the evolving nature of the COVID-19 pandemic. </w:t>
      </w:r>
    </w:p>
    <w:p w14:paraId="49220A4C" w14:textId="77777777" w:rsidR="00E323BC" w:rsidRDefault="00E323BC" w:rsidP="00E323BC">
      <w:pPr>
        <w:pStyle w:val="Body"/>
      </w:pPr>
      <w:r>
        <w:t xml:space="preserve">IHPA continued to implement emergency use codes for COVID-19 in ICD-10-AM and in the Emergency Department Short List, which were used to classify admitted and emergency care respectively. </w:t>
      </w:r>
    </w:p>
    <w:p w14:paraId="39F1D94E" w14:textId="77777777" w:rsidR="00E323BC" w:rsidRDefault="00E323BC" w:rsidP="00E323BC">
      <w:pPr>
        <w:pStyle w:val="Body"/>
      </w:pPr>
      <w:r>
        <w:t>IHPA used the AMHCC Version 1.0 to continue to shadow price admitted mental health care in the National Efficient Price Determination 2021–22 and for the first time introduced shadow pricing of community mental health care using the AMHCC Version 1.0 in 2021–22. The AMHCC represents a more clinically meaningful classification system for the pricing of mental health care services and will result in more accurate pricing of these services.</w:t>
      </w:r>
    </w:p>
    <w:p w14:paraId="09F3FA23" w14:textId="58CC556D" w:rsidR="00E323BC" w:rsidRDefault="00E323BC" w:rsidP="00E323BC">
      <w:pPr>
        <w:pStyle w:val="Body"/>
      </w:pPr>
      <w:r>
        <w:t xml:space="preserve">On 15 June 2022, IHPA released the new edition of ICD-10-AM/ACHI/ACS, Twelfth Edition, which was the first time the admitted care classification was developed in-house. IHPA also released its first interactive online educational program in order to support health professionals involved in clinical coding and health information management process with understanding the key changes in the new edition of the classification. IHPA will price admitted acute care using the new Twelfth Edition of the </w:t>
      </w:r>
      <w:r w:rsidR="00085121">
        <w:t>ICD-10-AM/ACHI/ACS</w:t>
      </w:r>
      <w:r>
        <w:t xml:space="preserve"> from 1 July 2022.</w:t>
      </w:r>
    </w:p>
    <w:p w14:paraId="6FCFC037" w14:textId="77777777" w:rsidR="00E323BC" w:rsidRDefault="00E323BC" w:rsidP="00E323BC">
      <w:pPr>
        <w:pStyle w:val="Body"/>
      </w:pPr>
      <w:r>
        <w:t xml:space="preserve">While Version 4.0 of AN-SNAP continues to be used for pricing, IHPA commenced shadow pricing a new version of the classification, Version 5.0 for the National Efficient Price Determination 2022–23. Released in December 2021, AN-SNAP Version 5.0 introduces a new variable to recognise frailty as a cost driver for geriatric evaluation and management, and non-acute episodes of care. </w:t>
      </w:r>
    </w:p>
    <w:p w14:paraId="32E10073" w14:textId="5FD3A555" w:rsidR="007554CD" w:rsidRDefault="00E323BC" w:rsidP="003651A9">
      <w:pPr>
        <w:pStyle w:val="Body"/>
        <w:ind w:right="-86"/>
      </w:pPr>
      <w:r>
        <w:t>The non-admitted care costing study was suspended in 2020 due to the impact of COVID-19. The development of a new non-admitted care classification to replace Tier 2 has therefore been delayed. IHPA sought feedback on the readiness of jurisdictions to recommence the non-admitted care costing study as part of the Consultation Paper on the Pricing Framework for Australian Public Hospital Services 2023–24, which was release</w:t>
      </w:r>
      <w:r w:rsidR="00085121">
        <w:t>d</w:t>
      </w:r>
      <w:r>
        <w:t xml:space="preserve"> in June</w:t>
      </w:r>
      <w:r w:rsidR="003651A9">
        <w:t> </w:t>
      </w:r>
      <w:r>
        <w:t>2022.</w:t>
      </w:r>
    </w:p>
    <w:p w14:paraId="545337FC" w14:textId="77777777" w:rsidR="004761ED" w:rsidRDefault="004761ED" w:rsidP="000A6C71">
      <w:pPr>
        <w:pStyle w:val="Body"/>
        <w:sectPr w:rsidR="004761ED" w:rsidSect="00BF350C">
          <w:footerReference w:type="default" r:id="rId127"/>
          <w:pgSz w:w="9979" w:h="14175"/>
          <w:pgMar w:top="993" w:right="1134" w:bottom="851" w:left="1134" w:header="709" w:footer="709" w:gutter="0"/>
          <w:cols w:space="282"/>
          <w:docGrid w:linePitch="360"/>
        </w:sectPr>
      </w:pPr>
    </w:p>
    <w:p w14:paraId="583ADC99" w14:textId="03AAEEC1" w:rsidR="00872520" w:rsidRPr="00AA0433" w:rsidRDefault="00872520" w:rsidP="00872520">
      <w:pPr>
        <w:pStyle w:val="H3"/>
        <w:rPr>
          <w:color w:val="5E2F7E" w:themeColor="accent5"/>
        </w:rPr>
      </w:pPr>
      <w:r w:rsidRPr="00AA0433">
        <w:rPr>
          <w:color w:val="5E2F7E" w:themeColor="accent5"/>
        </w:rPr>
        <w:lastRenderedPageBreak/>
        <w:t>Activity 3: Refine and improve hospital costing</w:t>
      </w:r>
    </w:p>
    <w:p w14:paraId="44D53042" w14:textId="77777777" w:rsidR="00E323BC" w:rsidRPr="00E323BC" w:rsidRDefault="00E323BC" w:rsidP="00E323BC">
      <w:pPr>
        <w:rPr>
          <w:color w:val="1C1C1C"/>
          <w:sz w:val="18"/>
          <w:szCs w:val="18"/>
        </w:rPr>
      </w:pPr>
      <w:r w:rsidRPr="00E323BC">
        <w:rPr>
          <w:color w:val="1C1C1C"/>
          <w:sz w:val="18"/>
          <w:szCs w:val="18"/>
        </w:rPr>
        <w:t>Hospital costing focuses on the cost and mix of resources used to deliver patient care and plays a vital role in activity based funding. Costing informs the development of activity based funding classification systems and provides valuable information for pricing purposes.</w:t>
      </w:r>
    </w:p>
    <w:p w14:paraId="41A9395B" w14:textId="77777777" w:rsidR="00E323BC" w:rsidRPr="00E323BC" w:rsidRDefault="00E323BC" w:rsidP="00E323BC">
      <w:pPr>
        <w:rPr>
          <w:color w:val="1C1C1C"/>
          <w:sz w:val="18"/>
          <w:szCs w:val="18"/>
        </w:rPr>
      </w:pPr>
      <w:r w:rsidRPr="00E323BC">
        <w:rPr>
          <w:color w:val="1C1C1C"/>
          <w:sz w:val="18"/>
          <w:szCs w:val="18"/>
        </w:rPr>
        <w:t>A key output for IHPA is to coordinate the annual National Hospital Cost Data Collection, which is the primary input into the determination of the national efficient price. This includes the development of national costing standards, collection, validation, quality assurance, analysis, reporting, and benchmarking. The cost collection is undertaken in conjunction with states and territories.</w:t>
      </w:r>
    </w:p>
    <w:p w14:paraId="5A00EC1A" w14:textId="2E0EE9FD" w:rsidR="00516CB4" w:rsidRDefault="00AA0433" w:rsidP="00AA0433">
      <w:pPr>
        <w:pStyle w:val="H3"/>
        <w:spacing w:before="480"/>
        <w:rPr>
          <w:color w:val="5E2F7E" w:themeColor="accent5"/>
        </w:rPr>
      </w:pPr>
      <w:r w:rsidRPr="00AA0433">
        <w:rPr>
          <w:noProof/>
          <w:color w:val="5E2F7E" w:themeColor="accent5"/>
          <w:sz w:val="28"/>
          <w:szCs w:val="28"/>
          <w:lang w:eastAsia="en-AU"/>
        </w:rPr>
        <mc:AlternateContent>
          <mc:Choice Requires="wps">
            <w:drawing>
              <wp:anchor distT="0" distB="0" distL="114300" distR="114300" simplePos="0" relativeHeight="252028928" behindDoc="1" locked="0" layoutInCell="1" allowOverlap="1" wp14:anchorId="7B5DCAF9" wp14:editId="45D87EE7">
                <wp:simplePos x="0" y="0"/>
                <wp:positionH relativeFrom="column">
                  <wp:posOffset>-199585</wp:posOffset>
                </wp:positionH>
                <wp:positionV relativeFrom="paragraph">
                  <wp:posOffset>66625</wp:posOffset>
                </wp:positionV>
                <wp:extent cx="5300345" cy="3896751"/>
                <wp:effectExtent l="0" t="0" r="8255" b="15240"/>
                <wp:wrapNone/>
                <wp:docPr id="183" name="Rectangle 1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3896751"/>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F9DAD" id="Rectangle 183" o:spid="_x0000_s1026" alt="&quot;&quot;" style="position:absolute;margin-left:-15.7pt;margin-top:5.25pt;width:417.35pt;height:306.85pt;z-index:-2512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" filled="f" strokecolor="#5e2f7e [3208]" strokeweight=".5pt"/>
            </w:pict>
          </mc:Fallback>
        </mc:AlternateContent>
      </w:r>
      <w:r w:rsidR="00516CB4" w:rsidRPr="00AA0433">
        <w:rPr>
          <w:color w:val="5E2F7E" w:themeColor="accent5"/>
        </w:rPr>
        <w:t>Results</w:t>
      </w:r>
    </w:p>
    <w:p w14:paraId="4FA76160" w14:textId="7E89B9CE" w:rsidR="00962040" w:rsidRPr="00AA0433" w:rsidRDefault="00962040" w:rsidP="00B41722">
      <w:pPr>
        <w:pStyle w:val="Body"/>
      </w:pPr>
      <w:r w:rsidRPr="00B41722">
        <w:t>The reporting of Activity 3 in this annual report refers to the deliverables of Strategic Objective 3 in the IHPA Work Program and Corporate Plan 2021–22, as part of Program 1.1 of the Portfolio Budget Statements.</w:t>
      </w:r>
    </w:p>
    <w:p w14:paraId="706E8E63" w14:textId="52DE8E89" w:rsidR="00516CB4" w:rsidRDefault="00516CB4" w:rsidP="00586C7F">
      <w:pPr>
        <w:pStyle w:val="FigureHeading"/>
      </w:pPr>
      <w:bookmarkStart w:id="54" w:name="_Toc114824658"/>
      <w:r w:rsidRPr="00466E0A">
        <w:t xml:space="preserve">Table </w:t>
      </w:r>
      <w:r w:rsidR="00586C7F">
        <w:t>3</w:t>
      </w:r>
      <w:r w:rsidRPr="00466E0A">
        <w:t xml:space="preserve">: Summary of Performance for Activity </w:t>
      </w:r>
      <w:r>
        <w:t>3</w:t>
      </w:r>
      <w:r w:rsidRPr="00466E0A">
        <w:t xml:space="preserve"> in 2021–22</w:t>
      </w:r>
      <w:bookmarkEnd w:id="54"/>
    </w:p>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5812"/>
        <w:gridCol w:w="992"/>
        <w:gridCol w:w="993"/>
      </w:tblGrid>
      <w:tr w:rsidR="00F20618" w:rsidRPr="00466E0A" w14:paraId="76BEC9DB"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5812" w:type="dxa"/>
            <w:shd w:val="clear" w:color="auto" w:fill="5E2F7E" w:themeFill="accent5"/>
            <w:vAlign w:val="center"/>
          </w:tcPr>
          <w:p w14:paraId="528A299C" w14:textId="25AEEFA1" w:rsidR="00F20618" w:rsidRPr="00CB09AF" w:rsidRDefault="00F20618" w:rsidP="00B15944">
            <w:pPr>
              <w:pStyle w:val="Body"/>
              <w:rPr>
                <w:rFonts w:asciiTheme="majorHAnsi" w:hAnsiTheme="majorHAnsi"/>
                <w:color w:val="FFFFFF" w:themeColor="background2"/>
              </w:rPr>
            </w:pPr>
            <w:r>
              <w:rPr>
                <w:rFonts w:asciiTheme="majorHAnsi" w:hAnsiTheme="majorHAnsi"/>
                <w:color w:val="FFFFFF" w:themeColor="background2"/>
              </w:rPr>
              <w:t>Summary of Performance</w:t>
            </w:r>
          </w:p>
        </w:tc>
        <w:tc>
          <w:tcPr>
            <w:tcW w:w="992" w:type="dxa"/>
            <w:shd w:val="clear" w:color="auto" w:fill="5E2F7E" w:themeFill="accent5"/>
            <w:vAlign w:val="center"/>
          </w:tcPr>
          <w:p w14:paraId="196B24E9" w14:textId="77777777" w:rsidR="00F20618" w:rsidRPr="00CB09AF" w:rsidRDefault="00F20618" w:rsidP="00B15944">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3E73ACF3" w14:textId="77777777" w:rsidR="00F20618" w:rsidRPr="00CB09AF" w:rsidRDefault="00F20618" w:rsidP="00B15944">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962040" w:rsidRPr="00466E0A" w14:paraId="11C8972A"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1052BFC3" w14:textId="6713B901" w:rsidR="00962040" w:rsidRPr="00466E0A" w:rsidRDefault="00962040" w:rsidP="00962040">
            <w:pPr>
              <w:pStyle w:val="Body-Financial"/>
              <w:spacing w:after="0"/>
              <w:rPr>
                <w:sz w:val="18"/>
              </w:rPr>
            </w:pPr>
            <w:r w:rsidRPr="00F20618">
              <w:rPr>
                <w:sz w:val="18"/>
                <w:lang w:val="en-PH"/>
              </w:rPr>
              <w:t xml:space="preserve">Review and update </w:t>
            </w:r>
            <w:r>
              <w:rPr>
                <w:sz w:val="18"/>
                <w:lang w:val="en-PH"/>
              </w:rPr>
              <w:t xml:space="preserve">the </w:t>
            </w:r>
            <w:r w:rsidRPr="00F20618">
              <w:rPr>
                <w:sz w:val="18"/>
                <w:lang w:val="en-PH"/>
              </w:rPr>
              <w:t>Australian Hospital Patient Costing Standards Version 4.0 in consultation with the National Hospital Cost Data Collection Advisory Committee and jurisdictions.</w:t>
            </w:r>
          </w:p>
        </w:tc>
        <w:tc>
          <w:tcPr>
            <w:tcW w:w="992" w:type="dxa"/>
            <w:tcMar>
              <w:top w:w="85" w:type="dxa"/>
              <w:bottom w:w="85" w:type="dxa"/>
            </w:tcMar>
          </w:tcPr>
          <w:p w14:paraId="51935037" w14:textId="260B19BD" w:rsidR="00962040" w:rsidRPr="00466E0A" w:rsidRDefault="00962040" w:rsidP="00962040">
            <w:pPr>
              <w:pStyle w:val="Body-Financial"/>
              <w:spacing w:after="0"/>
              <w:jc w:val="right"/>
              <w:rPr>
                <w:sz w:val="18"/>
              </w:rPr>
            </w:pPr>
            <w:r w:rsidRPr="00466E0A">
              <w:rPr>
                <w:sz w:val="18"/>
              </w:rPr>
              <w:t xml:space="preserve"> </w:t>
            </w:r>
            <w:r>
              <w:rPr>
                <w:sz w:val="18"/>
              </w:rPr>
              <w:t>Jun 2021</w:t>
            </w:r>
          </w:p>
        </w:tc>
        <w:tc>
          <w:tcPr>
            <w:tcW w:w="993" w:type="dxa"/>
          </w:tcPr>
          <w:p w14:paraId="1B79268C" w14:textId="77467EF3" w:rsidR="00962040" w:rsidRPr="00466E0A" w:rsidRDefault="00962040" w:rsidP="00962040">
            <w:pPr>
              <w:pStyle w:val="Body-Financial"/>
              <w:spacing w:after="0"/>
              <w:jc w:val="right"/>
              <w:rPr>
                <w:sz w:val="18"/>
              </w:rPr>
            </w:pPr>
            <w:r>
              <w:rPr>
                <w:sz w:val="18"/>
              </w:rPr>
              <w:t>Delivered Aug 2021</w:t>
            </w:r>
          </w:p>
        </w:tc>
      </w:tr>
      <w:tr w:rsidR="00962040" w:rsidRPr="00466E0A" w14:paraId="59B59928"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575BD29D" w14:textId="64DE5B08" w:rsidR="00962040" w:rsidRPr="00466E0A" w:rsidRDefault="00962040" w:rsidP="00962040">
            <w:pPr>
              <w:pStyle w:val="Body-Financial"/>
              <w:spacing w:after="0"/>
              <w:rPr>
                <w:sz w:val="18"/>
              </w:rPr>
            </w:pPr>
            <w:bookmarkStart w:id="55" w:name="_Hlk114557951"/>
            <w:r w:rsidRPr="00F20618">
              <w:rPr>
                <w:sz w:val="18"/>
                <w:lang w:val="en-PH"/>
              </w:rPr>
              <w:t>Release Round 24 National Hospital Cost Data Collection public sector report.</w:t>
            </w:r>
            <w:bookmarkEnd w:id="55"/>
          </w:p>
        </w:tc>
        <w:tc>
          <w:tcPr>
            <w:tcW w:w="992" w:type="dxa"/>
            <w:tcMar>
              <w:top w:w="85" w:type="dxa"/>
              <w:bottom w:w="85" w:type="dxa"/>
            </w:tcMar>
          </w:tcPr>
          <w:p w14:paraId="78ABBF40" w14:textId="472E3DB5" w:rsidR="00962040" w:rsidRPr="00466E0A" w:rsidRDefault="00962040" w:rsidP="00962040">
            <w:pPr>
              <w:pStyle w:val="Body-Financial"/>
              <w:spacing w:after="0"/>
              <w:jc w:val="right"/>
              <w:rPr>
                <w:sz w:val="18"/>
              </w:rPr>
            </w:pPr>
            <w:r>
              <w:rPr>
                <w:sz w:val="18"/>
              </w:rPr>
              <w:t>Dec 2021</w:t>
            </w:r>
          </w:p>
        </w:tc>
        <w:tc>
          <w:tcPr>
            <w:tcW w:w="993" w:type="dxa"/>
          </w:tcPr>
          <w:p w14:paraId="6FD501DE" w14:textId="060B0667" w:rsidR="00962040" w:rsidRPr="00466E0A" w:rsidRDefault="00962040" w:rsidP="00962040">
            <w:pPr>
              <w:pStyle w:val="Body-Financial"/>
              <w:spacing w:after="0"/>
              <w:jc w:val="right"/>
              <w:rPr>
                <w:sz w:val="18"/>
              </w:rPr>
            </w:pPr>
            <w:r>
              <w:rPr>
                <w:sz w:val="18"/>
              </w:rPr>
              <w:t>Delivered Mar 2022</w:t>
            </w:r>
          </w:p>
        </w:tc>
      </w:tr>
      <w:tr w:rsidR="00962040" w:rsidRPr="00466E0A" w14:paraId="0C66E114"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26C188F2" w14:textId="47966BA0" w:rsidR="00962040" w:rsidRPr="00466E0A" w:rsidRDefault="00962040" w:rsidP="00962040">
            <w:pPr>
              <w:pStyle w:val="Body-Financial"/>
              <w:spacing w:after="0"/>
              <w:rPr>
                <w:sz w:val="18"/>
              </w:rPr>
            </w:pPr>
            <w:r w:rsidRPr="00F20618">
              <w:rPr>
                <w:sz w:val="18"/>
                <w:lang w:val="en-PH"/>
              </w:rPr>
              <w:t>Release Round 24 National Hospital Cost Data Collection cost weight tables for private hospitals.</w:t>
            </w:r>
          </w:p>
        </w:tc>
        <w:tc>
          <w:tcPr>
            <w:tcW w:w="992" w:type="dxa"/>
            <w:tcMar>
              <w:top w:w="85" w:type="dxa"/>
              <w:bottom w:w="85" w:type="dxa"/>
            </w:tcMar>
          </w:tcPr>
          <w:p w14:paraId="69AF7797" w14:textId="6E9D2DEB" w:rsidR="00962040" w:rsidRPr="00466E0A" w:rsidRDefault="00962040" w:rsidP="00962040">
            <w:pPr>
              <w:pStyle w:val="Body-Financial"/>
              <w:spacing w:after="0"/>
              <w:jc w:val="right"/>
              <w:rPr>
                <w:sz w:val="18"/>
              </w:rPr>
            </w:pPr>
            <w:r>
              <w:rPr>
                <w:sz w:val="18"/>
              </w:rPr>
              <w:t>Dec 2021</w:t>
            </w:r>
          </w:p>
        </w:tc>
        <w:tc>
          <w:tcPr>
            <w:tcW w:w="993" w:type="dxa"/>
          </w:tcPr>
          <w:p w14:paraId="0B8BC73B" w14:textId="7BE8659D" w:rsidR="00962040" w:rsidRPr="00466E0A" w:rsidRDefault="00962040" w:rsidP="00962040">
            <w:pPr>
              <w:pStyle w:val="Body-Financial"/>
              <w:spacing w:after="0"/>
              <w:jc w:val="right"/>
              <w:rPr>
                <w:sz w:val="18"/>
              </w:rPr>
            </w:pPr>
            <w:r>
              <w:rPr>
                <w:sz w:val="18"/>
              </w:rPr>
              <w:t>Delayed</w:t>
            </w:r>
          </w:p>
        </w:tc>
      </w:tr>
      <w:tr w:rsidR="00962040" w:rsidRPr="00466E0A" w14:paraId="05970AE8"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61D56A0C" w14:textId="0946D485" w:rsidR="00962040" w:rsidRPr="00466E0A" w:rsidRDefault="00962040" w:rsidP="00962040">
            <w:pPr>
              <w:pStyle w:val="Body-Financial"/>
              <w:spacing w:after="0"/>
              <w:rPr>
                <w:sz w:val="18"/>
              </w:rPr>
            </w:pPr>
            <w:r w:rsidRPr="00F20618">
              <w:rPr>
                <w:sz w:val="18"/>
                <w:lang w:val="en-PH"/>
              </w:rPr>
              <w:t xml:space="preserve">Release </w:t>
            </w:r>
            <w:r w:rsidR="00756EAF" w:rsidRPr="00F20618">
              <w:rPr>
                <w:sz w:val="18"/>
                <w:lang w:val="en-PH"/>
              </w:rPr>
              <w:t xml:space="preserve">Round 24 </w:t>
            </w:r>
            <w:r w:rsidRPr="00F20618">
              <w:rPr>
                <w:sz w:val="18"/>
                <w:lang w:val="en-PH"/>
              </w:rPr>
              <w:t xml:space="preserve"> National Hospital Cost Data Collection Independent Financial Review.</w:t>
            </w:r>
          </w:p>
        </w:tc>
        <w:tc>
          <w:tcPr>
            <w:tcW w:w="992" w:type="dxa"/>
            <w:tcMar>
              <w:top w:w="85" w:type="dxa"/>
              <w:bottom w:w="85" w:type="dxa"/>
            </w:tcMar>
          </w:tcPr>
          <w:p w14:paraId="53522786" w14:textId="17392E32" w:rsidR="00962040" w:rsidRPr="00466E0A" w:rsidRDefault="00962040" w:rsidP="00962040">
            <w:pPr>
              <w:pStyle w:val="Body-Financial"/>
              <w:spacing w:after="0"/>
              <w:jc w:val="right"/>
              <w:rPr>
                <w:sz w:val="18"/>
              </w:rPr>
            </w:pPr>
            <w:r>
              <w:rPr>
                <w:sz w:val="18"/>
              </w:rPr>
              <w:t>Dec 2021</w:t>
            </w:r>
          </w:p>
        </w:tc>
        <w:tc>
          <w:tcPr>
            <w:tcW w:w="993" w:type="dxa"/>
          </w:tcPr>
          <w:p w14:paraId="11C31F5E" w14:textId="17EF2A9F" w:rsidR="00962040" w:rsidRPr="00466E0A" w:rsidRDefault="00962040" w:rsidP="00962040">
            <w:pPr>
              <w:pStyle w:val="Body-Financial"/>
              <w:spacing w:after="0"/>
              <w:jc w:val="right"/>
              <w:rPr>
                <w:sz w:val="18"/>
              </w:rPr>
            </w:pPr>
            <w:r>
              <w:rPr>
                <w:sz w:val="18"/>
              </w:rPr>
              <w:t>Delivered Mar 2022</w:t>
            </w:r>
          </w:p>
        </w:tc>
      </w:tr>
      <w:tr w:rsidR="00962040" w:rsidRPr="00466E0A" w14:paraId="77F80FC5"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2B082248" w14:textId="5D55F3C9" w:rsidR="00962040" w:rsidRPr="00466E0A" w:rsidRDefault="00962040" w:rsidP="00962040">
            <w:pPr>
              <w:pStyle w:val="Body-Financial"/>
              <w:spacing w:after="0"/>
              <w:rPr>
                <w:sz w:val="18"/>
              </w:rPr>
            </w:pPr>
            <w:r w:rsidRPr="00F20618">
              <w:rPr>
                <w:sz w:val="18"/>
                <w:lang w:val="en-PH"/>
              </w:rPr>
              <w:t>IHPA will continue to work towards phasing out the private patient correction factor for the National Efficient Price Determination 2022−23.</w:t>
            </w:r>
          </w:p>
        </w:tc>
        <w:tc>
          <w:tcPr>
            <w:tcW w:w="992" w:type="dxa"/>
          </w:tcPr>
          <w:p w14:paraId="72180051" w14:textId="3490FC47" w:rsidR="00962040" w:rsidRPr="00466E0A" w:rsidRDefault="00962040" w:rsidP="00962040">
            <w:pPr>
              <w:pStyle w:val="Body-Financial"/>
              <w:spacing w:after="0"/>
              <w:jc w:val="right"/>
              <w:rPr>
                <w:sz w:val="18"/>
              </w:rPr>
            </w:pPr>
            <w:r>
              <w:rPr>
                <w:sz w:val="18"/>
              </w:rPr>
              <w:t>Nov 2021</w:t>
            </w:r>
          </w:p>
        </w:tc>
        <w:tc>
          <w:tcPr>
            <w:tcW w:w="993" w:type="dxa"/>
            <w:tcMar>
              <w:top w:w="85" w:type="dxa"/>
              <w:bottom w:w="85" w:type="dxa"/>
            </w:tcMar>
          </w:tcPr>
          <w:p w14:paraId="1DD10D4D" w14:textId="1648D9AC" w:rsidR="00962040" w:rsidRPr="00466E0A" w:rsidRDefault="00962040" w:rsidP="00962040">
            <w:pPr>
              <w:pStyle w:val="Body-Financial"/>
              <w:spacing w:after="0"/>
              <w:jc w:val="right"/>
              <w:rPr>
                <w:sz w:val="18"/>
              </w:rPr>
            </w:pPr>
            <w:r>
              <w:rPr>
                <w:sz w:val="18"/>
              </w:rPr>
              <w:t>Delayed</w:t>
            </w:r>
          </w:p>
        </w:tc>
      </w:tr>
    </w:tbl>
    <w:p w14:paraId="456F5C64" w14:textId="77777777" w:rsidR="00872520" w:rsidRDefault="00872520" w:rsidP="000A6C71">
      <w:pPr>
        <w:pStyle w:val="Body"/>
      </w:pPr>
    </w:p>
    <w:p w14:paraId="603C059F" w14:textId="77777777" w:rsidR="004761ED" w:rsidRDefault="004761ED" w:rsidP="000A6C71">
      <w:pPr>
        <w:pStyle w:val="Body"/>
        <w:sectPr w:rsidR="004761ED" w:rsidSect="00BF350C">
          <w:footerReference w:type="default" r:id="rId128"/>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924E29" w:rsidRPr="00147EEB" w14:paraId="0CCDD1C2" w14:textId="77777777" w:rsidTr="001D2E91">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7A2E3F1B" w14:textId="77777777" w:rsidR="00924E29" w:rsidRPr="001D2E91" w:rsidRDefault="00924E29" w:rsidP="00B15944">
            <w:pPr>
              <w:pStyle w:val="Body"/>
              <w:rPr>
                <w:rFonts w:asciiTheme="majorHAnsi" w:hAnsiTheme="majorHAnsi"/>
                <w:color w:val="FFFFFF" w:themeColor="background2"/>
              </w:rPr>
            </w:pPr>
            <w:r w:rsidRPr="001D2E91">
              <w:rPr>
                <w:rFonts w:asciiTheme="majorHAnsi" w:hAnsiTheme="majorHAnsi"/>
                <w:color w:val="FFFFFF" w:themeColor="background2"/>
              </w:rPr>
              <w:lastRenderedPageBreak/>
              <w:t>Performance criteria</w:t>
            </w:r>
          </w:p>
        </w:tc>
        <w:tc>
          <w:tcPr>
            <w:tcW w:w="567" w:type="dxa"/>
            <w:shd w:val="clear" w:color="auto" w:fill="FFFFFF" w:themeFill="background2"/>
            <w:vAlign w:val="center"/>
          </w:tcPr>
          <w:p w14:paraId="5B37EE8F" w14:textId="77777777" w:rsidR="00924E29" w:rsidRPr="001D2E91" w:rsidRDefault="00924E29" w:rsidP="00B15944">
            <w:pPr>
              <w:pStyle w:val="Body"/>
              <w:rPr>
                <w:rFonts w:asciiTheme="majorHAnsi" w:hAnsiTheme="majorHAnsi"/>
                <w:color w:val="FFFFFF" w:themeColor="background2"/>
              </w:rPr>
            </w:pPr>
          </w:p>
        </w:tc>
        <w:tc>
          <w:tcPr>
            <w:tcW w:w="3969" w:type="dxa"/>
            <w:vAlign w:val="center"/>
          </w:tcPr>
          <w:p w14:paraId="0BC7D89E" w14:textId="77777777" w:rsidR="00924E29" w:rsidRPr="001D2E91" w:rsidRDefault="00924E29" w:rsidP="00B15944">
            <w:pPr>
              <w:pStyle w:val="Body"/>
              <w:rPr>
                <w:rFonts w:asciiTheme="majorHAnsi" w:hAnsiTheme="majorHAnsi"/>
                <w:color w:val="FFFFFF" w:themeColor="background2"/>
              </w:rPr>
            </w:pPr>
            <w:r w:rsidRPr="001D2E91">
              <w:rPr>
                <w:rFonts w:asciiTheme="majorHAnsi" w:hAnsiTheme="majorHAnsi"/>
                <w:color w:val="FFFFFF" w:themeColor="background2"/>
              </w:rPr>
              <w:t>Results against performance criteria</w:t>
            </w:r>
          </w:p>
        </w:tc>
      </w:tr>
      <w:tr w:rsidR="008C2718" w:rsidRPr="00147EEB" w14:paraId="7CF49184" w14:textId="77777777" w:rsidTr="008C2718">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4EF4C755" w14:textId="6AF534AA" w:rsidR="008C2718" w:rsidRPr="001D2E91" w:rsidRDefault="008C2718">
            <w:pPr>
              <w:pStyle w:val="NumberListNoIndent"/>
              <w:numPr>
                <w:ilvl w:val="0"/>
                <w:numId w:val="19"/>
              </w:numPr>
            </w:pPr>
            <w:r w:rsidRPr="00CA7D31">
              <w:t xml:space="preserve">Review and update Australian Hospital Patient Costing Standards Version 4.0 in consultation with the National Hospital Cost Data Collection </w:t>
            </w:r>
            <w:r>
              <w:t>(</w:t>
            </w:r>
            <w:r w:rsidRPr="00CA7D31">
              <w:t>NHCDC</w:t>
            </w:r>
            <w:r>
              <w:t>)</w:t>
            </w:r>
            <w:r w:rsidRPr="00CA7D31">
              <w:t xml:space="preserve"> Advisory Committee and jurisdictions by June</w:t>
            </w:r>
            <w:r>
              <w:t> </w:t>
            </w:r>
            <w:r w:rsidRPr="00CA7D31">
              <w:t>2021.</w:t>
            </w:r>
          </w:p>
        </w:tc>
        <w:tc>
          <w:tcPr>
            <w:tcW w:w="567" w:type="dxa"/>
            <w:shd w:val="clear" w:color="auto" w:fill="FFFFFF" w:themeFill="background2"/>
            <w:tcMar>
              <w:top w:w="85" w:type="dxa"/>
              <w:left w:w="0" w:type="dxa"/>
              <w:bottom w:w="85" w:type="dxa"/>
              <w:right w:w="0" w:type="dxa"/>
            </w:tcMar>
          </w:tcPr>
          <w:p w14:paraId="1F8FE923" w14:textId="77777777" w:rsidR="008C2718" w:rsidRPr="0000287B" w:rsidRDefault="008C2718" w:rsidP="008C2718">
            <w:pPr>
              <w:pStyle w:val="Body-Financial"/>
              <w:rPr>
                <w:sz w:val="18"/>
                <w:szCs w:val="18"/>
              </w:rPr>
            </w:pPr>
            <w:r w:rsidRPr="0000287B">
              <w:rPr>
                <w:noProof/>
                <w:sz w:val="18"/>
                <w:szCs w:val="18"/>
              </w:rPr>
              <w:drawing>
                <wp:inline distT="0" distB="0" distL="0" distR="0" wp14:anchorId="7E4312DD" wp14:editId="48D39C37">
                  <wp:extent cx="211631" cy="341865"/>
                  <wp:effectExtent l="0" t="0" r="4445" b="1270"/>
                  <wp:docPr id="186" name="Picture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6EEFB4B6" w14:textId="7D539800" w:rsidR="008C2718" w:rsidRPr="0000287B" w:rsidRDefault="008C2718" w:rsidP="00856C96">
            <w:pPr>
              <w:pStyle w:val="Body-Financial"/>
            </w:pPr>
            <w:r w:rsidRPr="00856C96">
              <w:rPr>
                <w:sz w:val="18"/>
                <w:szCs w:val="18"/>
                <w:lang w:val="en-PH"/>
              </w:rPr>
              <w:t xml:space="preserve">Following consultation with IHPA’s advisory committees and jurisdictions, a new version of the </w:t>
            </w:r>
            <w:r w:rsidR="002808D6" w:rsidRPr="00856C96">
              <w:rPr>
                <w:sz w:val="18"/>
                <w:szCs w:val="18"/>
                <w:lang w:val="en-PH"/>
              </w:rPr>
              <w:t>Australian Hospital Patient Costing Standards</w:t>
            </w:r>
            <w:r w:rsidRPr="00856C96">
              <w:rPr>
                <w:sz w:val="18"/>
                <w:szCs w:val="18"/>
                <w:lang w:val="en-PH"/>
              </w:rPr>
              <w:t>, Version 4.1, was published in August 2021. The</w:t>
            </w:r>
            <w:r w:rsidR="007B425B" w:rsidRPr="00856C96">
              <w:rPr>
                <w:sz w:val="18"/>
                <w:szCs w:val="18"/>
                <w:lang w:val="en-PH"/>
              </w:rPr>
              <w:t> </w:t>
            </w:r>
            <w:r w:rsidRPr="00856C96">
              <w:rPr>
                <w:sz w:val="18"/>
                <w:szCs w:val="18"/>
                <w:lang w:val="en-PH"/>
              </w:rPr>
              <w:t>three-part standards include Standards, Business Rules and Costing Guidelines.</w:t>
            </w:r>
          </w:p>
        </w:tc>
      </w:tr>
      <w:tr w:rsidR="008C2718" w:rsidRPr="00147EEB" w14:paraId="142A4C66" w14:textId="77777777" w:rsidTr="008C2718">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4D7F6844" w14:textId="61041D14" w:rsidR="008C2718" w:rsidRPr="001D2E91" w:rsidRDefault="008C2718">
            <w:pPr>
              <w:pStyle w:val="NumberListNoIndent"/>
              <w:numPr>
                <w:ilvl w:val="0"/>
                <w:numId w:val="19"/>
              </w:numPr>
            </w:pPr>
            <w:r w:rsidRPr="00CA7D31">
              <w:t>Release Round 24 of the NHCDC</w:t>
            </w:r>
            <w:r>
              <w:t> </w:t>
            </w:r>
            <w:r w:rsidRPr="00CA7D31">
              <w:t>public sector report by December</w:t>
            </w:r>
            <w:r>
              <w:t> </w:t>
            </w:r>
            <w:r w:rsidRPr="00CA7D31">
              <w:t>2021.</w:t>
            </w:r>
          </w:p>
        </w:tc>
        <w:tc>
          <w:tcPr>
            <w:tcW w:w="567" w:type="dxa"/>
            <w:shd w:val="clear" w:color="auto" w:fill="FFFFFF" w:themeFill="background2"/>
            <w:tcMar>
              <w:top w:w="85" w:type="dxa"/>
              <w:left w:w="0" w:type="dxa"/>
              <w:bottom w:w="85" w:type="dxa"/>
              <w:right w:w="0" w:type="dxa"/>
            </w:tcMar>
          </w:tcPr>
          <w:p w14:paraId="2BCFE786" w14:textId="77777777" w:rsidR="008C2718" w:rsidRPr="0000287B" w:rsidRDefault="008C2718" w:rsidP="008C2718">
            <w:pPr>
              <w:pStyle w:val="Body-Financial"/>
              <w:rPr>
                <w:noProof/>
                <w:sz w:val="18"/>
                <w:szCs w:val="18"/>
              </w:rPr>
            </w:pPr>
            <w:r w:rsidRPr="0000287B">
              <w:rPr>
                <w:noProof/>
                <w:sz w:val="18"/>
                <w:szCs w:val="18"/>
              </w:rPr>
              <w:drawing>
                <wp:inline distT="0" distB="0" distL="0" distR="0" wp14:anchorId="69670839" wp14:editId="791CCCBC">
                  <wp:extent cx="211631" cy="341865"/>
                  <wp:effectExtent l="0" t="0" r="4445" b="1270"/>
                  <wp:docPr id="187"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61F1CBF4" w14:textId="0AAF6978" w:rsidR="008C2718" w:rsidRPr="0000287B" w:rsidRDefault="008C2718" w:rsidP="008C2718">
            <w:pPr>
              <w:rPr>
                <w:noProof/>
                <w:sz w:val="18"/>
                <w:szCs w:val="18"/>
              </w:rPr>
            </w:pPr>
            <w:r w:rsidRPr="006A26C9">
              <w:rPr>
                <w:noProof/>
                <w:color w:val="auto"/>
                <w:sz w:val="18"/>
                <w:szCs w:val="18"/>
              </w:rPr>
              <w:t>The Round 24 NHCDC report for the public sector was published on the IHPA website in March 2022 following the statutory 45-day consultation period with health ministers.</w:t>
            </w:r>
          </w:p>
        </w:tc>
      </w:tr>
      <w:tr w:rsidR="008C2718" w:rsidRPr="00147EEB" w14:paraId="1318B312" w14:textId="77777777" w:rsidTr="008C2718">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35C1A917" w14:textId="23059379" w:rsidR="008C2718" w:rsidRPr="0000287B" w:rsidRDefault="008C2718">
            <w:pPr>
              <w:pStyle w:val="ListParagraph"/>
              <w:numPr>
                <w:ilvl w:val="0"/>
                <w:numId w:val="19"/>
              </w:numPr>
              <w:rPr>
                <w:color w:val="1C1C1C"/>
                <w:sz w:val="18"/>
                <w:szCs w:val="18"/>
              </w:rPr>
            </w:pPr>
            <w:r w:rsidRPr="001D2E91">
              <w:rPr>
                <w:color w:val="1C1C1C"/>
                <w:sz w:val="18"/>
                <w:szCs w:val="18"/>
                <w:lang w:val="en-PH"/>
              </w:rPr>
              <w:t>Release Round 24 of the NHCDC</w:t>
            </w:r>
            <w:r>
              <w:rPr>
                <w:color w:val="1C1C1C"/>
                <w:sz w:val="18"/>
                <w:szCs w:val="18"/>
                <w:lang w:val="en-PH"/>
              </w:rPr>
              <w:t> </w:t>
            </w:r>
            <w:r w:rsidRPr="001D2E91">
              <w:rPr>
                <w:color w:val="1C1C1C"/>
                <w:sz w:val="18"/>
                <w:szCs w:val="18"/>
                <w:lang w:val="en-PH"/>
              </w:rPr>
              <w:t>private sector report by December</w:t>
            </w:r>
            <w:r>
              <w:rPr>
                <w:color w:val="1C1C1C"/>
                <w:sz w:val="18"/>
                <w:szCs w:val="18"/>
                <w:lang w:val="en-PH"/>
              </w:rPr>
              <w:t> </w:t>
            </w:r>
            <w:r w:rsidRPr="001D2E91">
              <w:rPr>
                <w:color w:val="1C1C1C"/>
                <w:sz w:val="18"/>
                <w:szCs w:val="18"/>
                <w:lang w:val="en-PH"/>
              </w:rPr>
              <w:t>2021.</w:t>
            </w:r>
          </w:p>
        </w:tc>
        <w:tc>
          <w:tcPr>
            <w:tcW w:w="567" w:type="dxa"/>
            <w:shd w:val="clear" w:color="auto" w:fill="FFFFFF" w:themeFill="background2"/>
            <w:tcMar>
              <w:top w:w="85" w:type="dxa"/>
              <w:left w:w="0" w:type="dxa"/>
              <w:bottom w:w="85" w:type="dxa"/>
              <w:right w:w="0" w:type="dxa"/>
            </w:tcMar>
          </w:tcPr>
          <w:p w14:paraId="6180AE7F" w14:textId="77777777" w:rsidR="008C2718" w:rsidRPr="0000287B" w:rsidRDefault="008C2718" w:rsidP="008C2718">
            <w:pPr>
              <w:pStyle w:val="Body-Financial"/>
              <w:rPr>
                <w:noProof/>
                <w:sz w:val="18"/>
                <w:szCs w:val="18"/>
              </w:rPr>
            </w:pPr>
            <w:r w:rsidRPr="0000287B">
              <w:rPr>
                <w:noProof/>
                <w:sz w:val="18"/>
                <w:szCs w:val="18"/>
              </w:rPr>
              <w:drawing>
                <wp:inline distT="0" distB="0" distL="0" distR="0" wp14:anchorId="6C04CC14" wp14:editId="60E73192">
                  <wp:extent cx="211631" cy="341865"/>
                  <wp:effectExtent l="0" t="0" r="4445" b="1270"/>
                  <wp:docPr id="188" name="Pictur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20B3217E" w14:textId="7CF6846E" w:rsidR="008C2718" w:rsidRPr="0000287B" w:rsidRDefault="008C2718" w:rsidP="008C2718">
            <w:pPr>
              <w:pStyle w:val="Body-Financial"/>
              <w:rPr>
                <w:sz w:val="18"/>
                <w:szCs w:val="18"/>
              </w:rPr>
            </w:pPr>
            <w:r w:rsidRPr="006A26C9">
              <w:rPr>
                <w:sz w:val="18"/>
                <w:szCs w:val="18"/>
                <w:lang w:val="en-PH"/>
              </w:rPr>
              <w:t>The delivery of the Round 24 NHCDC report for the</w:t>
            </w:r>
            <w:r>
              <w:rPr>
                <w:sz w:val="18"/>
                <w:szCs w:val="18"/>
                <w:lang w:val="en-PH"/>
              </w:rPr>
              <w:t> </w:t>
            </w:r>
            <w:r w:rsidRPr="006A26C9">
              <w:rPr>
                <w:sz w:val="18"/>
                <w:szCs w:val="18"/>
                <w:lang w:val="en-PH"/>
              </w:rPr>
              <w:t>private sector was delayed due to project establishment processes and challenges associated with data submissions. The Round 24 NHCDC private sector report will be published by December 2022.</w:t>
            </w:r>
          </w:p>
        </w:tc>
      </w:tr>
      <w:tr w:rsidR="008C2718" w:rsidRPr="00147EEB" w14:paraId="596BF092" w14:textId="77777777" w:rsidTr="008C2718">
        <w:trPr>
          <w:cnfStyle w:val="100000000000" w:firstRow="1" w:lastRow="0" w:firstColumn="0" w:lastColumn="0" w:oddVBand="0" w:evenVBand="0" w:oddHBand="0" w:evenHBand="0" w:firstRowFirstColumn="0" w:firstRowLastColumn="0" w:lastRowFirstColumn="0" w:lastRowLastColumn="0"/>
          <w:trHeight w:val="680"/>
        </w:trPr>
        <w:tc>
          <w:tcPr>
            <w:tcW w:w="3261" w:type="dxa"/>
            <w:shd w:val="clear" w:color="auto" w:fill="F2F2F2" w:themeFill="background2" w:themeFillShade="F2"/>
            <w:tcMar>
              <w:top w:w="85" w:type="dxa"/>
              <w:bottom w:w="85" w:type="dxa"/>
            </w:tcMar>
          </w:tcPr>
          <w:p w14:paraId="359A7A47" w14:textId="64C17C87" w:rsidR="008C2718" w:rsidRPr="008C2718" w:rsidRDefault="008C2718">
            <w:pPr>
              <w:pStyle w:val="ListParagraph"/>
              <w:numPr>
                <w:ilvl w:val="0"/>
                <w:numId w:val="19"/>
              </w:numPr>
              <w:rPr>
                <w:color w:val="1C1C1C"/>
                <w:sz w:val="18"/>
                <w:szCs w:val="18"/>
                <w:lang w:val="en-PH"/>
              </w:rPr>
            </w:pPr>
            <w:r>
              <w:rPr>
                <w:color w:val="1C1C1C"/>
                <w:sz w:val="18"/>
                <w:szCs w:val="18"/>
                <w:lang w:val="en-PH"/>
              </w:rPr>
              <w:t>R</w:t>
            </w:r>
            <w:r w:rsidRPr="006A26C9">
              <w:rPr>
                <w:color w:val="1C1C1C"/>
                <w:sz w:val="18"/>
                <w:szCs w:val="18"/>
                <w:lang w:val="en-PH"/>
              </w:rPr>
              <w:t xml:space="preserve">elease </w:t>
            </w:r>
            <w:r w:rsidR="00756EAF" w:rsidRPr="006A26C9">
              <w:rPr>
                <w:color w:val="1C1C1C"/>
                <w:sz w:val="18"/>
                <w:szCs w:val="18"/>
                <w:lang w:val="en-PH"/>
              </w:rPr>
              <w:t xml:space="preserve">Round 24 </w:t>
            </w:r>
            <w:r w:rsidRPr="006A26C9">
              <w:rPr>
                <w:color w:val="1C1C1C"/>
                <w:sz w:val="18"/>
                <w:szCs w:val="18"/>
                <w:lang w:val="en-PH"/>
              </w:rPr>
              <w:t>NHCDC Independent Financial Review by December 2021</w:t>
            </w:r>
            <w:r w:rsidR="002808D6">
              <w:rPr>
                <w:color w:val="1C1C1C"/>
                <w:sz w:val="18"/>
                <w:szCs w:val="18"/>
                <w:lang w:val="en-PH"/>
              </w:rPr>
              <w:t>.</w:t>
            </w:r>
          </w:p>
        </w:tc>
        <w:tc>
          <w:tcPr>
            <w:tcW w:w="567" w:type="dxa"/>
            <w:shd w:val="clear" w:color="auto" w:fill="FFFFFF" w:themeFill="background2"/>
            <w:tcMar>
              <w:top w:w="85" w:type="dxa"/>
              <w:left w:w="0" w:type="dxa"/>
              <w:bottom w:w="85" w:type="dxa"/>
              <w:right w:w="0" w:type="dxa"/>
            </w:tcMar>
          </w:tcPr>
          <w:p w14:paraId="0251CD3D" w14:textId="77777777" w:rsidR="008C2718" w:rsidRPr="0000287B" w:rsidRDefault="008C2718" w:rsidP="008C2718">
            <w:pPr>
              <w:pStyle w:val="Body-Financial"/>
              <w:rPr>
                <w:noProof/>
                <w:sz w:val="18"/>
                <w:szCs w:val="18"/>
              </w:rPr>
            </w:pPr>
            <w:r w:rsidRPr="0000287B">
              <w:rPr>
                <w:noProof/>
                <w:sz w:val="18"/>
                <w:szCs w:val="18"/>
              </w:rPr>
              <w:drawing>
                <wp:inline distT="0" distB="0" distL="0" distR="0" wp14:anchorId="5A740704" wp14:editId="20658FD3">
                  <wp:extent cx="211631" cy="341865"/>
                  <wp:effectExtent l="0" t="0" r="4445" b="1270"/>
                  <wp:docPr id="189" name="Picture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73B4FAA" w14:textId="7E61A09D" w:rsidR="008C2718" w:rsidRPr="0000287B" w:rsidRDefault="008C2718" w:rsidP="008C2718">
            <w:pPr>
              <w:pStyle w:val="Body-Financial"/>
              <w:rPr>
                <w:sz w:val="18"/>
                <w:szCs w:val="18"/>
              </w:rPr>
            </w:pPr>
            <w:r w:rsidRPr="006A26C9">
              <w:rPr>
                <w:sz w:val="18"/>
                <w:szCs w:val="18"/>
                <w:lang w:val="en-PH"/>
              </w:rPr>
              <w:t xml:space="preserve">The Round 24 NHCDC Independent Financial Review was completed and the </w:t>
            </w:r>
            <w:r>
              <w:rPr>
                <w:sz w:val="18"/>
                <w:szCs w:val="18"/>
                <w:lang w:val="en-PH"/>
              </w:rPr>
              <w:t>r</w:t>
            </w:r>
            <w:r w:rsidRPr="006A26C9">
              <w:rPr>
                <w:sz w:val="18"/>
                <w:szCs w:val="18"/>
                <w:lang w:val="en-PH"/>
              </w:rPr>
              <w:t>eport published in March 2022.</w:t>
            </w:r>
          </w:p>
        </w:tc>
      </w:tr>
      <w:tr w:rsidR="008C2718" w:rsidRPr="00147EEB" w14:paraId="39A72FCD" w14:textId="77777777" w:rsidTr="008C2718">
        <w:trPr>
          <w:cnfStyle w:val="100000000000" w:firstRow="1" w:lastRow="0" w:firstColumn="0" w:lastColumn="0" w:oddVBand="0" w:evenVBand="0" w:oddHBand="0" w:evenHBand="0" w:firstRowFirstColumn="0" w:firstRowLastColumn="0" w:lastRowFirstColumn="0" w:lastRowLastColumn="0"/>
          <w:trHeight w:val="680"/>
        </w:trPr>
        <w:tc>
          <w:tcPr>
            <w:tcW w:w="3261" w:type="dxa"/>
            <w:shd w:val="clear" w:color="auto" w:fill="F2F2F2" w:themeFill="background2" w:themeFillShade="F2"/>
            <w:tcMar>
              <w:top w:w="85" w:type="dxa"/>
              <w:bottom w:w="85" w:type="dxa"/>
            </w:tcMar>
          </w:tcPr>
          <w:p w14:paraId="1B52D0A6" w14:textId="1959C213" w:rsidR="008C2718" w:rsidRPr="00CA7D31" w:rsidRDefault="008C2718">
            <w:pPr>
              <w:pStyle w:val="NumberListNoIndent"/>
              <w:numPr>
                <w:ilvl w:val="0"/>
                <w:numId w:val="19"/>
              </w:numPr>
            </w:pPr>
            <w:r w:rsidRPr="00CA7D31">
              <w:t>IHPA will continue to work towards phasing out the private patient correction factor for National Efficient Pric</w:t>
            </w:r>
            <w:r>
              <w:t>e</w:t>
            </w:r>
            <w:r w:rsidRPr="00CA7D31">
              <w:t xml:space="preserve"> Determination 2022–23.</w:t>
            </w:r>
          </w:p>
        </w:tc>
        <w:tc>
          <w:tcPr>
            <w:tcW w:w="567" w:type="dxa"/>
            <w:shd w:val="clear" w:color="auto" w:fill="FFFFFF" w:themeFill="background2"/>
            <w:tcMar>
              <w:top w:w="85" w:type="dxa"/>
              <w:left w:w="0" w:type="dxa"/>
              <w:bottom w:w="85" w:type="dxa"/>
              <w:right w:w="0" w:type="dxa"/>
            </w:tcMar>
          </w:tcPr>
          <w:p w14:paraId="531B28A6" w14:textId="5AB6A89C" w:rsidR="008C2718" w:rsidRPr="0000287B" w:rsidRDefault="008C2718" w:rsidP="008C2718">
            <w:pPr>
              <w:pStyle w:val="Body-Financial"/>
              <w:rPr>
                <w:noProof/>
                <w:sz w:val="18"/>
                <w:szCs w:val="18"/>
              </w:rPr>
            </w:pPr>
            <w:r w:rsidRPr="0000287B">
              <w:rPr>
                <w:noProof/>
                <w:sz w:val="18"/>
                <w:szCs w:val="18"/>
              </w:rPr>
              <w:drawing>
                <wp:inline distT="0" distB="0" distL="0" distR="0" wp14:anchorId="2C6F40F0" wp14:editId="734B46B3">
                  <wp:extent cx="211631" cy="341865"/>
                  <wp:effectExtent l="0" t="0" r="4445" b="1270"/>
                  <wp:docPr id="85" name="Picture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89">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3F358EC" w14:textId="025B97F5" w:rsidR="008C2718" w:rsidRPr="001D2E91" w:rsidRDefault="008C2718" w:rsidP="008C2718">
            <w:pPr>
              <w:pStyle w:val="Body-Financial"/>
              <w:rPr>
                <w:sz w:val="18"/>
                <w:szCs w:val="18"/>
                <w:lang w:val="en-PH"/>
              </w:rPr>
            </w:pPr>
            <w:r w:rsidRPr="006A26C9">
              <w:rPr>
                <w:sz w:val="18"/>
                <w:szCs w:val="18"/>
                <w:lang w:val="en-PH"/>
              </w:rPr>
              <w:t>IHPA progressed phasing out the private patient correction factor for the National Efficient Price Determination 2022–23. IHPA will continue to work towards phasing out the private patient correction factor in future Determinations.</w:t>
            </w:r>
          </w:p>
        </w:tc>
      </w:tr>
    </w:tbl>
    <w:p w14:paraId="3A1E25CF" w14:textId="5DC09C41" w:rsidR="004761ED" w:rsidRDefault="004761ED" w:rsidP="000A6C71">
      <w:pPr>
        <w:pStyle w:val="Body"/>
      </w:pPr>
    </w:p>
    <w:p w14:paraId="0200B559" w14:textId="77777777" w:rsidR="006E0816" w:rsidRDefault="006E0816" w:rsidP="000A6C71">
      <w:pPr>
        <w:pStyle w:val="Body"/>
        <w:sectPr w:rsidR="006E0816" w:rsidSect="00BF350C">
          <w:footerReference w:type="default" r:id="rId129"/>
          <w:pgSz w:w="9979" w:h="14175"/>
          <w:pgMar w:top="993" w:right="1134" w:bottom="851" w:left="1134" w:header="709" w:footer="709" w:gutter="0"/>
          <w:cols w:space="282"/>
          <w:docGrid w:linePitch="360"/>
        </w:sectPr>
      </w:pPr>
    </w:p>
    <w:p w14:paraId="3BCDC94F" w14:textId="77777777" w:rsidR="007E2A24" w:rsidRPr="00431F6C" w:rsidRDefault="007E2A24" w:rsidP="007E2A24">
      <w:pPr>
        <w:pStyle w:val="H3"/>
        <w:rPr>
          <w:color w:val="5E2F7E" w:themeColor="accent5"/>
        </w:rPr>
      </w:pPr>
      <w:r w:rsidRPr="00431F6C">
        <w:rPr>
          <w:noProof/>
          <w:color w:val="5E2F7E" w:themeColor="accent5"/>
          <w:sz w:val="28"/>
          <w:szCs w:val="28"/>
          <w:lang w:eastAsia="en-AU"/>
        </w:rPr>
        <w:lastRenderedPageBreak/>
        <mc:AlternateContent>
          <mc:Choice Requires="wps">
            <w:drawing>
              <wp:anchor distT="0" distB="0" distL="114300" distR="114300" simplePos="0" relativeHeight="252030976" behindDoc="1" locked="0" layoutInCell="1" allowOverlap="1" wp14:anchorId="42390850" wp14:editId="75FA245E">
                <wp:simplePos x="0" y="0"/>
                <wp:positionH relativeFrom="column">
                  <wp:posOffset>-206619</wp:posOffset>
                </wp:positionH>
                <wp:positionV relativeFrom="paragraph">
                  <wp:posOffset>-103016</wp:posOffset>
                </wp:positionV>
                <wp:extent cx="5300345" cy="4593102"/>
                <wp:effectExtent l="0" t="0" r="8255" b="17145"/>
                <wp:wrapNone/>
                <wp:docPr id="194" name="Rectangle 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4593102"/>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D17DE" id="Rectangle 194" o:spid="_x0000_s1026" alt="&quot;&quot;" style="position:absolute;margin-left:-16.25pt;margin-top:-8.1pt;width:417.35pt;height:361.6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" filled="f" strokecolor="#5e2f7e [3208]" strokeweight=".5pt"/>
            </w:pict>
          </mc:Fallback>
        </mc:AlternateContent>
      </w:r>
      <w:r w:rsidRPr="00431F6C">
        <w:rPr>
          <w:color w:val="5E2F7E" w:themeColor="accent5"/>
        </w:rPr>
        <w:t>Analysis</w:t>
      </w:r>
    </w:p>
    <w:p w14:paraId="5E84C06F" w14:textId="7D4A2D33" w:rsidR="00E323BC" w:rsidRPr="00E323BC" w:rsidRDefault="00E323BC" w:rsidP="00E323BC">
      <w:pPr>
        <w:pStyle w:val="Body"/>
      </w:pPr>
      <w:r w:rsidRPr="00E323BC">
        <w:t>In 2021–22, IHPA maintained its annual NHCDC and delivered the report for the public sector in March</w:t>
      </w:r>
      <w:r w:rsidR="007B425B">
        <w:t> </w:t>
      </w:r>
      <w:r w:rsidRPr="00E323BC">
        <w:t>2022. The release of Round 24 (financial year 2019–20) included the collection and analysis of submitted cost data from 553 unique Australian public hospitals—an increase of 46 hospitals from the previous</w:t>
      </w:r>
      <w:r w:rsidR="007B425B">
        <w:t> </w:t>
      </w:r>
      <w:r w:rsidRPr="00E323BC">
        <w:t>year.</w:t>
      </w:r>
    </w:p>
    <w:p w14:paraId="25D74B60" w14:textId="77777777" w:rsidR="00E323BC" w:rsidRPr="00E323BC" w:rsidRDefault="00E323BC" w:rsidP="00E323BC">
      <w:pPr>
        <w:pStyle w:val="Body"/>
      </w:pPr>
      <w:r w:rsidRPr="00E323BC">
        <w:t xml:space="preserve">Through this process, IHPA ensures the effective collection and reporting of costing information to support activity based funding outcomes. Alongside the release of Round 24 of the NHCDC, IHPA reviewed and enhanced the report and the associated infographics, which combine and streamline content for the ease of stakeholders’ reference. </w:t>
      </w:r>
    </w:p>
    <w:p w14:paraId="4F736EAD" w14:textId="77777777" w:rsidR="00E323BC" w:rsidRPr="00E323BC" w:rsidRDefault="00E323BC" w:rsidP="00E323BC">
      <w:pPr>
        <w:pStyle w:val="Body"/>
      </w:pPr>
      <w:r w:rsidRPr="00E323BC">
        <w:t xml:space="preserve">To ensure the quality of NHCDC data is robust and fit-for-purpose, IHPA commissions an independent financial review to assess whether all participating hospitals have included appropriate costs and patient activity. </w:t>
      </w:r>
    </w:p>
    <w:p w14:paraId="1A69C3A8" w14:textId="2B1E0FE1" w:rsidR="00E323BC" w:rsidRPr="00E323BC" w:rsidRDefault="00E323BC" w:rsidP="00E323BC">
      <w:pPr>
        <w:pStyle w:val="Body"/>
      </w:pPr>
      <w:r w:rsidRPr="00E323BC">
        <w:t xml:space="preserve">While IHPA cancelled the Independent Financial Review of the NHCDC Round 23 (financial year 2018–19) in consideration of jurisdictions’ capacity to participate due to the COVID-19 pandemic, the Round 24 Independent Financial Review was published on 11 March 2022. </w:t>
      </w:r>
    </w:p>
    <w:p w14:paraId="6683D194" w14:textId="77777777" w:rsidR="00E323BC" w:rsidRPr="00E323BC" w:rsidRDefault="00E323BC" w:rsidP="00E323BC">
      <w:pPr>
        <w:pStyle w:val="Body"/>
      </w:pPr>
      <w:r w:rsidRPr="00E323BC">
        <w:t>The report provides an overall summary and findings of the cost data collection by jurisdiction and for each participating site. It also outlines recommendations for IHPA and the jurisdictions to consider in future rounds of the NHCDC, with the aim of improving the consistency and transparency of national cost data submissions.</w:t>
      </w:r>
    </w:p>
    <w:p w14:paraId="6A0C1AE4" w14:textId="344672B7" w:rsidR="00E323BC" w:rsidRPr="00E323BC" w:rsidRDefault="00E323BC" w:rsidP="00E323BC">
      <w:pPr>
        <w:pStyle w:val="Body"/>
      </w:pPr>
      <w:r w:rsidRPr="00E323BC">
        <w:t xml:space="preserve">In 2020, the Australian Accounting Standards Board accounting standard 16 (AASB16) was implemented. The </w:t>
      </w:r>
      <w:r w:rsidR="00A55146" w:rsidRPr="00A55146">
        <w:t>Australian Hospital Patient Costing Standards</w:t>
      </w:r>
      <w:r w:rsidRPr="00E323BC">
        <w:t xml:space="preserve"> was subsequently reviewed to ensure that the standards were in line with the standards published by AASB. </w:t>
      </w:r>
    </w:p>
    <w:p w14:paraId="6D708DE4" w14:textId="79F7B01C" w:rsidR="00E323BC" w:rsidRPr="00E323BC" w:rsidRDefault="00E323BC" w:rsidP="00E323BC">
      <w:pPr>
        <w:pStyle w:val="Body"/>
      </w:pPr>
      <w:r w:rsidRPr="00E323BC">
        <w:t xml:space="preserve">Following consultation with IHPA’s advisory committees and jurisdictions, a new version of the </w:t>
      </w:r>
      <w:r w:rsidR="002808D6" w:rsidRPr="002808D6">
        <w:t>Australian Hospital Patient Costing Standards</w:t>
      </w:r>
      <w:r w:rsidRPr="00E323BC">
        <w:t>, Version 4.1, was published in August 2021.</w:t>
      </w:r>
    </w:p>
    <w:p w14:paraId="495CEA90" w14:textId="77777777" w:rsidR="006E0816" w:rsidRDefault="006E0816" w:rsidP="000A6C71">
      <w:pPr>
        <w:pStyle w:val="Body"/>
      </w:pPr>
    </w:p>
    <w:p w14:paraId="6879BE7B" w14:textId="77777777" w:rsidR="006E0816" w:rsidRDefault="006E0816" w:rsidP="000A6C71">
      <w:pPr>
        <w:pStyle w:val="Body"/>
        <w:sectPr w:rsidR="006E0816" w:rsidSect="00BF350C">
          <w:footerReference w:type="default" r:id="rId130"/>
          <w:pgSz w:w="9979" w:h="14175"/>
          <w:pgMar w:top="993" w:right="1134" w:bottom="851" w:left="1134" w:header="709" w:footer="709" w:gutter="0"/>
          <w:cols w:space="282"/>
          <w:docGrid w:linePitch="360"/>
        </w:sectPr>
      </w:pPr>
    </w:p>
    <w:p w14:paraId="0A567D97" w14:textId="31F622B8" w:rsidR="0067059C" w:rsidRPr="00950EA2" w:rsidRDefault="0067059C" w:rsidP="0067059C">
      <w:pPr>
        <w:pStyle w:val="H3"/>
        <w:rPr>
          <w:color w:val="5E2F7E" w:themeColor="accent5"/>
        </w:rPr>
      </w:pPr>
      <w:r w:rsidRPr="00950EA2">
        <w:rPr>
          <w:color w:val="5E2F7E" w:themeColor="accent5"/>
        </w:rPr>
        <w:t xml:space="preserve">Activity 4: </w:t>
      </w:r>
      <w:r w:rsidR="00085121" w:rsidRPr="00085121">
        <w:rPr>
          <w:color w:val="5E2F7E" w:themeColor="accent5"/>
        </w:rPr>
        <w:t>Develop data requirements and collect hospital data</w:t>
      </w:r>
      <w:r w:rsidR="00085121" w:rsidRPr="00085121" w:rsidDel="00085121">
        <w:rPr>
          <w:color w:val="5E2F7E" w:themeColor="accent5"/>
        </w:rPr>
        <w:t xml:space="preserve"> </w:t>
      </w:r>
    </w:p>
    <w:p w14:paraId="7275DB98" w14:textId="77777777" w:rsidR="00E323BC" w:rsidRPr="006A26C9" w:rsidRDefault="00E323BC" w:rsidP="00E323BC">
      <w:pPr>
        <w:pStyle w:val="H3"/>
        <w:rPr>
          <w:rFonts w:asciiTheme="minorHAnsi" w:hAnsiTheme="minorHAnsi"/>
          <w:bCs w:val="0"/>
          <w:color w:val="1C1C1C"/>
          <w:sz w:val="18"/>
          <w:szCs w:val="18"/>
        </w:rPr>
      </w:pPr>
      <w:r w:rsidRPr="006A26C9">
        <w:rPr>
          <w:rFonts w:asciiTheme="minorHAnsi" w:hAnsiTheme="minorHAnsi"/>
          <w:bCs w:val="0"/>
          <w:color w:val="1C1C1C"/>
          <w:sz w:val="18"/>
          <w:szCs w:val="18"/>
        </w:rPr>
        <w:t xml:space="preserve">Timely, accurate and reliable public hospital data is vital to both the development of activity based funding classifications for hospital services and the determination of the </w:t>
      </w:r>
      <w:r>
        <w:rPr>
          <w:rFonts w:asciiTheme="minorHAnsi" w:hAnsiTheme="minorHAnsi"/>
          <w:bCs w:val="0"/>
          <w:color w:val="1C1C1C"/>
          <w:sz w:val="18"/>
          <w:szCs w:val="18"/>
        </w:rPr>
        <w:t>n</w:t>
      </w:r>
      <w:r w:rsidRPr="006A26C9">
        <w:rPr>
          <w:rFonts w:asciiTheme="minorHAnsi" w:hAnsiTheme="minorHAnsi"/>
          <w:bCs w:val="0"/>
          <w:color w:val="1C1C1C"/>
          <w:sz w:val="18"/>
          <w:szCs w:val="18"/>
        </w:rPr>
        <w:t xml:space="preserve">ational </w:t>
      </w:r>
      <w:r>
        <w:rPr>
          <w:rFonts w:asciiTheme="minorHAnsi" w:hAnsiTheme="minorHAnsi"/>
          <w:bCs w:val="0"/>
          <w:color w:val="1C1C1C"/>
          <w:sz w:val="18"/>
          <w:szCs w:val="18"/>
        </w:rPr>
        <w:t>e</w:t>
      </w:r>
      <w:r w:rsidRPr="006A26C9">
        <w:rPr>
          <w:rFonts w:asciiTheme="minorHAnsi" w:hAnsiTheme="minorHAnsi"/>
          <w:bCs w:val="0"/>
          <w:color w:val="1C1C1C"/>
          <w:sz w:val="18"/>
          <w:szCs w:val="18"/>
        </w:rPr>
        <w:t xml:space="preserve">fficient </w:t>
      </w:r>
      <w:r>
        <w:rPr>
          <w:rFonts w:asciiTheme="minorHAnsi" w:hAnsiTheme="minorHAnsi"/>
          <w:bCs w:val="0"/>
          <w:color w:val="1C1C1C"/>
          <w:sz w:val="18"/>
          <w:szCs w:val="18"/>
        </w:rPr>
        <w:t>p</w:t>
      </w:r>
      <w:r w:rsidRPr="006A26C9">
        <w:rPr>
          <w:rFonts w:asciiTheme="minorHAnsi" w:hAnsiTheme="minorHAnsi"/>
          <w:bCs w:val="0"/>
          <w:color w:val="1C1C1C"/>
          <w:sz w:val="18"/>
          <w:szCs w:val="18"/>
        </w:rPr>
        <w:t xml:space="preserve">rice for those services. </w:t>
      </w:r>
    </w:p>
    <w:p w14:paraId="2E76548D" w14:textId="77777777" w:rsidR="00E323BC" w:rsidRPr="006A26C9" w:rsidRDefault="00E323BC" w:rsidP="00E323BC">
      <w:pPr>
        <w:pStyle w:val="H3"/>
        <w:rPr>
          <w:rFonts w:asciiTheme="minorHAnsi" w:hAnsiTheme="minorHAnsi"/>
          <w:bCs w:val="0"/>
          <w:color w:val="1C1C1C"/>
          <w:sz w:val="18"/>
          <w:szCs w:val="18"/>
        </w:rPr>
      </w:pPr>
      <w:r w:rsidRPr="006A26C9">
        <w:rPr>
          <w:rFonts w:asciiTheme="minorHAnsi" w:hAnsiTheme="minorHAnsi"/>
          <w:bCs w:val="0"/>
          <w:color w:val="1C1C1C"/>
          <w:sz w:val="18"/>
          <w:szCs w:val="18"/>
        </w:rPr>
        <w:t xml:space="preserve">IHPA has developed a rolling Three Year Data Plan to communicate the data requirements, data standards and timelines that IHPA will use to collect data over the coming three years to the Australian Government and states and territories. </w:t>
      </w:r>
    </w:p>
    <w:p w14:paraId="0C96624B" w14:textId="77777777" w:rsidR="00E323BC" w:rsidRDefault="00E323BC" w:rsidP="00E323BC">
      <w:pPr>
        <w:pStyle w:val="H3"/>
        <w:rPr>
          <w:rFonts w:asciiTheme="minorHAnsi" w:hAnsiTheme="minorHAnsi"/>
          <w:bCs w:val="0"/>
          <w:color w:val="1C1C1C"/>
          <w:sz w:val="18"/>
          <w:szCs w:val="18"/>
        </w:rPr>
      </w:pPr>
      <w:r w:rsidRPr="006A26C9">
        <w:rPr>
          <w:rFonts w:asciiTheme="minorHAnsi" w:hAnsiTheme="minorHAnsi"/>
          <w:bCs w:val="0"/>
          <w:color w:val="1C1C1C"/>
          <w:sz w:val="18"/>
          <w:szCs w:val="18"/>
        </w:rPr>
        <w:t>IHPA publishes data compliance reports on a quarterly basis, which indicate jurisdictional compliance with the specifications in the Three Year Data Plan.</w:t>
      </w:r>
    </w:p>
    <w:p w14:paraId="136DE972" w14:textId="5A0CEDF5" w:rsidR="00B41722" w:rsidRDefault="00B41722" w:rsidP="00B41722">
      <w:pPr>
        <w:pStyle w:val="H3"/>
        <w:spacing w:before="480"/>
        <w:rPr>
          <w:color w:val="5E2F7E" w:themeColor="accent5"/>
        </w:rPr>
      </w:pPr>
      <w:r w:rsidRPr="00AA0433">
        <w:rPr>
          <w:noProof/>
          <w:color w:val="5E2F7E" w:themeColor="accent5"/>
          <w:sz w:val="28"/>
          <w:szCs w:val="28"/>
          <w:lang w:eastAsia="en-AU"/>
        </w:rPr>
        <mc:AlternateContent>
          <mc:Choice Requires="wps">
            <w:drawing>
              <wp:anchor distT="0" distB="0" distL="114300" distR="114300" simplePos="0" relativeHeight="252071936" behindDoc="1" locked="0" layoutInCell="1" allowOverlap="1" wp14:anchorId="32E3D077" wp14:editId="0273A905">
                <wp:simplePos x="0" y="0"/>
                <wp:positionH relativeFrom="column">
                  <wp:posOffset>-199585</wp:posOffset>
                </wp:positionH>
                <wp:positionV relativeFrom="paragraph">
                  <wp:posOffset>63500</wp:posOffset>
                </wp:positionV>
                <wp:extent cx="5300345" cy="3988191"/>
                <wp:effectExtent l="0" t="0" r="8255" b="12700"/>
                <wp:wrapNone/>
                <wp:docPr id="105" name="Rectangle 1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3988191"/>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3C308" id="Rectangle 105" o:spid="_x0000_s1026" alt="&quot;&quot;" style="position:absolute;margin-left:-15.7pt;margin-top:5pt;width:417.35pt;height:314.05pt;z-index:-2512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" filled="f" strokecolor="#5e2f7e [3208]" strokeweight=".5pt"/>
            </w:pict>
          </mc:Fallback>
        </mc:AlternateContent>
      </w:r>
      <w:r w:rsidRPr="00AA0433">
        <w:rPr>
          <w:color w:val="5E2F7E" w:themeColor="accent5"/>
        </w:rPr>
        <w:t>Results</w:t>
      </w:r>
    </w:p>
    <w:p w14:paraId="59AD12B4" w14:textId="388AB444" w:rsidR="0042095D" w:rsidRPr="0042095D" w:rsidRDefault="0042095D" w:rsidP="0042095D">
      <w:pPr>
        <w:pStyle w:val="Body"/>
      </w:pPr>
      <w:r w:rsidRPr="0042095D">
        <w:t>The reporting of Activity 4 in this annual report refers to the deliverables of Strategic Objective 4 in the IHPA</w:t>
      </w:r>
      <w:r w:rsidR="007B425B">
        <w:t> </w:t>
      </w:r>
      <w:r w:rsidRPr="0042095D">
        <w:t xml:space="preserve">Work Program and Corporate Plan 2021–22, as part of Program 1.1 of the Portfolio Budget Statements. </w:t>
      </w:r>
    </w:p>
    <w:p w14:paraId="7AA17887" w14:textId="31041663" w:rsidR="00B41722" w:rsidRDefault="00B41722" w:rsidP="00B41722">
      <w:pPr>
        <w:pStyle w:val="FigureHeading"/>
      </w:pPr>
      <w:bookmarkStart w:id="56" w:name="_Toc114824659"/>
      <w:r w:rsidRPr="00466E0A">
        <w:t xml:space="preserve">Table </w:t>
      </w:r>
      <w:r>
        <w:t>4</w:t>
      </w:r>
      <w:r w:rsidRPr="00466E0A">
        <w:t xml:space="preserve">: Summary of Performance for Activity </w:t>
      </w:r>
      <w:r w:rsidR="00753E17">
        <w:t>4</w:t>
      </w:r>
      <w:r w:rsidRPr="00466E0A">
        <w:t xml:space="preserve"> in 2021–22</w:t>
      </w:r>
      <w:bookmarkEnd w:id="56"/>
    </w:p>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5812"/>
        <w:gridCol w:w="992"/>
        <w:gridCol w:w="993"/>
      </w:tblGrid>
      <w:tr w:rsidR="00B41722" w:rsidRPr="00466E0A" w14:paraId="6D0D383C"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5812" w:type="dxa"/>
            <w:shd w:val="clear" w:color="auto" w:fill="5E2F7E" w:themeFill="accent5"/>
            <w:vAlign w:val="center"/>
          </w:tcPr>
          <w:p w14:paraId="1F99C323" w14:textId="77777777" w:rsidR="00B41722" w:rsidRPr="00CB09AF" w:rsidRDefault="00B41722" w:rsidP="00B15944">
            <w:pPr>
              <w:pStyle w:val="Body"/>
              <w:rPr>
                <w:rFonts w:asciiTheme="majorHAnsi" w:hAnsiTheme="majorHAnsi"/>
                <w:color w:val="FFFFFF" w:themeColor="background2"/>
              </w:rPr>
            </w:pPr>
            <w:r>
              <w:rPr>
                <w:rFonts w:asciiTheme="majorHAnsi" w:hAnsiTheme="majorHAnsi"/>
                <w:color w:val="FFFFFF" w:themeColor="background2"/>
              </w:rPr>
              <w:t>Summary of Performance</w:t>
            </w:r>
          </w:p>
        </w:tc>
        <w:tc>
          <w:tcPr>
            <w:tcW w:w="992" w:type="dxa"/>
            <w:shd w:val="clear" w:color="auto" w:fill="5E2F7E" w:themeFill="accent5"/>
            <w:vAlign w:val="center"/>
          </w:tcPr>
          <w:p w14:paraId="68DFE55D" w14:textId="77777777" w:rsidR="00B41722" w:rsidRPr="00CB09AF" w:rsidRDefault="00B41722" w:rsidP="00B15944">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706EFDD8" w14:textId="77777777" w:rsidR="00B41722" w:rsidRPr="00CB09AF" w:rsidRDefault="00B41722" w:rsidP="00B15944">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42095D" w:rsidRPr="00466E0A" w14:paraId="07A77234"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2F333DE0" w14:textId="4B45E431" w:rsidR="0042095D" w:rsidRPr="00466E0A" w:rsidRDefault="0042095D" w:rsidP="0042095D">
            <w:pPr>
              <w:pStyle w:val="Body-Financial"/>
              <w:spacing w:after="0"/>
              <w:rPr>
                <w:sz w:val="18"/>
              </w:rPr>
            </w:pPr>
            <w:r w:rsidRPr="00A91E91">
              <w:rPr>
                <w:sz w:val="18"/>
                <w:lang w:val="en-PH"/>
              </w:rPr>
              <w:t>Publish the Three Year Data Plan 2022–23 to 2024–25</w:t>
            </w:r>
            <w:r>
              <w:rPr>
                <w:sz w:val="18"/>
                <w:lang w:val="en-PH"/>
              </w:rPr>
              <w:t>.</w:t>
            </w:r>
          </w:p>
        </w:tc>
        <w:tc>
          <w:tcPr>
            <w:tcW w:w="992" w:type="dxa"/>
            <w:tcMar>
              <w:top w:w="85" w:type="dxa"/>
              <w:bottom w:w="85" w:type="dxa"/>
            </w:tcMar>
          </w:tcPr>
          <w:p w14:paraId="5BD97963" w14:textId="4C2D1C1C" w:rsidR="0042095D" w:rsidRPr="00466E0A" w:rsidRDefault="0042095D" w:rsidP="0042095D">
            <w:pPr>
              <w:pStyle w:val="Body-Financial"/>
              <w:spacing w:after="0"/>
              <w:jc w:val="right"/>
              <w:rPr>
                <w:sz w:val="18"/>
              </w:rPr>
            </w:pPr>
            <w:r w:rsidRPr="00466E0A">
              <w:rPr>
                <w:sz w:val="18"/>
              </w:rPr>
              <w:t xml:space="preserve"> </w:t>
            </w:r>
            <w:r>
              <w:rPr>
                <w:sz w:val="18"/>
              </w:rPr>
              <w:t>Jun 2022</w:t>
            </w:r>
          </w:p>
        </w:tc>
        <w:tc>
          <w:tcPr>
            <w:tcW w:w="993" w:type="dxa"/>
          </w:tcPr>
          <w:p w14:paraId="4112C1F4" w14:textId="5998E412" w:rsidR="0042095D" w:rsidRPr="00466E0A" w:rsidRDefault="0042095D" w:rsidP="0042095D">
            <w:pPr>
              <w:pStyle w:val="Body-Financial"/>
              <w:spacing w:after="0"/>
              <w:jc w:val="right"/>
              <w:rPr>
                <w:sz w:val="18"/>
              </w:rPr>
            </w:pPr>
            <w:r>
              <w:rPr>
                <w:sz w:val="18"/>
              </w:rPr>
              <w:t>Delivered</w:t>
            </w:r>
          </w:p>
        </w:tc>
      </w:tr>
      <w:tr w:rsidR="0042095D" w:rsidRPr="00466E0A" w14:paraId="220D7A53"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3DD4F016" w14:textId="428D3860" w:rsidR="0042095D" w:rsidRPr="00466E0A" w:rsidRDefault="0042095D" w:rsidP="0042095D">
            <w:pPr>
              <w:pStyle w:val="Body-Financial"/>
              <w:spacing w:after="0"/>
              <w:rPr>
                <w:sz w:val="18"/>
              </w:rPr>
            </w:pPr>
            <w:r w:rsidRPr="00A91E91">
              <w:rPr>
                <w:sz w:val="18"/>
                <w:lang w:val="en-PH"/>
              </w:rPr>
              <w:t>Complete the annual review of Activity Based Funding National Best Endeavours Data Sets and National Minimum Data Sets</w:t>
            </w:r>
            <w:r>
              <w:rPr>
                <w:sz w:val="18"/>
                <w:lang w:val="en-PH"/>
              </w:rPr>
              <w:t>.</w:t>
            </w:r>
          </w:p>
        </w:tc>
        <w:tc>
          <w:tcPr>
            <w:tcW w:w="992" w:type="dxa"/>
            <w:tcMar>
              <w:top w:w="85" w:type="dxa"/>
              <w:bottom w:w="85" w:type="dxa"/>
            </w:tcMar>
          </w:tcPr>
          <w:p w14:paraId="2D0B4280" w14:textId="791ABCE3" w:rsidR="0042095D" w:rsidRPr="00466E0A" w:rsidRDefault="0042095D" w:rsidP="0042095D">
            <w:pPr>
              <w:pStyle w:val="Body-Financial"/>
              <w:spacing w:after="0"/>
              <w:jc w:val="right"/>
              <w:rPr>
                <w:sz w:val="18"/>
              </w:rPr>
            </w:pPr>
            <w:r>
              <w:rPr>
                <w:sz w:val="18"/>
              </w:rPr>
              <w:t>Dec 2021</w:t>
            </w:r>
          </w:p>
        </w:tc>
        <w:tc>
          <w:tcPr>
            <w:tcW w:w="993" w:type="dxa"/>
          </w:tcPr>
          <w:p w14:paraId="2402FF6B" w14:textId="187A2647" w:rsidR="0042095D" w:rsidRPr="00466E0A" w:rsidRDefault="0042095D" w:rsidP="0042095D">
            <w:pPr>
              <w:pStyle w:val="Body-Financial"/>
              <w:spacing w:after="0"/>
              <w:jc w:val="right"/>
              <w:rPr>
                <w:sz w:val="18"/>
              </w:rPr>
            </w:pPr>
            <w:r>
              <w:rPr>
                <w:sz w:val="18"/>
              </w:rPr>
              <w:t>Delivered</w:t>
            </w:r>
          </w:p>
        </w:tc>
      </w:tr>
      <w:tr w:rsidR="0042095D" w:rsidRPr="00466E0A" w14:paraId="5D74952B"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2A06C779" w14:textId="4B2DD6A4" w:rsidR="0042095D" w:rsidRPr="00F20618" w:rsidRDefault="0042095D" w:rsidP="0042095D">
            <w:pPr>
              <w:pStyle w:val="Body-Financial"/>
              <w:spacing w:after="0"/>
              <w:rPr>
                <w:sz w:val="18"/>
                <w:lang w:val="en-PH"/>
              </w:rPr>
            </w:pPr>
            <w:r w:rsidRPr="00A91E91">
              <w:rPr>
                <w:sz w:val="18"/>
                <w:lang w:val="en-PH"/>
              </w:rPr>
              <w:t>Develop the process for the collection of Individual Healthcare Identifiers as part of national data sets</w:t>
            </w:r>
            <w:r>
              <w:rPr>
                <w:sz w:val="18"/>
                <w:lang w:val="en-PH"/>
              </w:rPr>
              <w:t>.</w:t>
            </w:r>
          </w:p>
        </w:tc>
        <w:tc>
          <w:tcPr>
            <w:tcW w:w="992" w:type="dxa"/>
            <w:tcMar>
              <w:top w:w="85" w:type="dxa"/>
              <w:bottom w:w="85" w:type="dxa"/>
            </w:tcMar>
          </w:tcPr>
          <w:p w14:paraId="611F4299" w14:textId="0D2C3B68" w:rsidR="0042095D" w:rsidRDefault="0042095D" w:rsidP="0042095D">
            <w:pPr>
              <w:pStyle w:val="Body-Financial"/>
              <w:spacing w:after="0"/>
              <w:jc w:val="right"/>
              <w:rPr>
                <w:sz w:val="18"/>
              </w:rPr>
            </w:pPr>
            <w:r>
              <w:rPr>
                <w:sz w:val="18"/>
              </w:rPr>
              <w:t>Jun 2022</w:t>
            </w:r>
          </w:p>
        </w:tc>
        <w:tc>
          <w:tcPr>
            <w:tcW w:w="993" w:type="dxa"/>
          </w:tcPr>
          <w:p w14:paraId="074AD907" w14:textId="6DD32AFF" w:rsidR="0042095D" w:rsidRDefault="00FB48FC" w:rsidP="0042095D">
            <w:pPr>
              <w:pStyle w:val="Body-Financial"/>
              <w:spacing w:after="0"/>
              <w:jc w:val="right"/>
              <w:rPr>
                <w:sz w:val="18"/>
              </w:rPr>
            </w:pPr>
            <w:r>
              <w:rPr>
                <w:sz w:val="18"/>
              </w:rPr>
              <w:t>Delivered</w:t>
            </w:r>
          </w:p>
        </w:tc>
      </w:tr>
      <w:tr w:rsidR="0042095D" w:rsidRPr="00466E0A" w14:paraId="106DB212"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7A1A7C71" w14:textId="1053FD39" w:rsidR="0042095D" w:rsidRPr="00466E0A" w:rsidRDefault="0042095D" w:rsidP="0042095D">
            <w:pPr>
              <w:pStyle w:val="Body-Financial"/>
              <w:spacing w:after="0"/>
              <w:rPr>
                <w:sz w:val="18"/>
              </w:rPr>
            </w:pPr>
            <w:r w:rsidRPr="00A91E91">
              <w:rPr>
                <w:sz w:val="18"/>
                <w:lang w:val="en-PH"/>
              </w:rPr>
              <w:t>Further develop the secure data management system functionality</w:t>
            </w:r>
            <w:r>
              <w:rPr>
                <w:sz w:val="18"/>
                <w:lang w:val="en-PH"/>
              </w:rPr>
              <w:t>.</w:t>
            </w:r>
          </w:p>
        </w:tc>
        <w:tc>
          <w:tcPr>
            <w:tcW w:w="992" w:type="dxa"/>
            <w:tcMar>
              <w:top w:w="85" w:type="dxa"/>
              <w:bottom w:w="85" w:type="dxa"/>
            </w:tcMar>
          </w:tcPr>
          <w:p w14:paraId="65250764" w14:textId="2A547AF8" w:rsidR="0042095D" w:rsidRPr="00466E0A" w:rsidRDefault="0042095D" w:rsidP="0042095D">
            <w:pPr>
              <w:pStyle w:val="Body-Financial"/>
              <w:spacing w:after="0"/>
              <w:jc w:val="right"/>
              <w:rPr>
                <w:sz w:val="18"/>
              </w:rPr>
            </w:pPr>
            <w:r>
              <w:rPr>
                <w:sz w:val="18"/>
              </w:rPr>
              <w:t>Ongoing</w:t>
            </w:r>
          </w:p>
        </w:tc>
        <w:tc>
          <w:tcPr>
            <w:tcW w:w="993" w:type="dxa"/>
          </w:tcPr>
          <w:p w14:paraId="58996968" w14:textId="6888C9BA" w:rsidR="0042095D" w:rsidRPr="00466E0A" w:rsidRDefault="0042095D" w:rsidP="0042095D">
            <w:pPr>
              <w:pStyle w:val="Body-Financial"/>
              <w:spacing w:after="0"/>
              <w:jc w:val="right"/>
              <w:rPr>
                <w:sz w:val="18"/>
              </w:rPr>
            </w:pPr>
            <w:r>
              <w:rPr>
                <w:sz w:val="18"/>
              </w:rPr>
              <w:t>Ongoing</w:t>
            </w:r>
          </w:p>
        </w:tc>
      </w:tr>
      <w:tr w:rsidR="0042095D" w:rsidRPr="00466E0A" w14:paraId="18E13D86"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5B55169B" w14:textId="32634919" w:rsidR="0042095D" w:rsidRPr="00466E0A" w:rsidRDefault="0042095D" w:rsidP="0042095D">
            <w:pPr>
              <w:pStyle w:val="Body-Financial"/>
              <w:spacing w:after="0"/>
              <w:rPr>
                <w:sz w:val="18"/>
              </w:rPr>
            </w:pPr>
            <w:r w:rsidRPr="00A91E91">
              <w:rPr>
                <w:sz w:val="18"/>
                <w:lang w:val="en-PH"/>
              </w:rPr>
              <w:t>Collect jurisdictional submissions for 2021 activity based funding activity data on a quarterly basis</w:t>
            </w:r>
            <w:r>
              <w:rPr>
                <w:sz w:val="18"/>
                <w:lang w:val="en-PH"/>
              </w:rPr>
              <w:t>.</w:t>
            </w:r>
          </w:p>
        </w:tc>
        <w:tc>
          <w:tcPr>
            <w:tcW w:w="992" w:type="dxa"/>
            <w:tcMar>
              <w:top w:w="85" w:type="dxa"/>
              <w:bottom w:w="85" w:type="dxa"/>
            </w:tcMar>
          </w:tcPr>
          <w:p w14:paraId="6A512FBE" w14:textId="0983FFE1" w:rsidR="0042095D" w:rsidRPr="00466E0A" w:rsidRDefault="0042095D" w:rsidP="0042095D">
            <w:pPr>
              <w:pStyle w:val="Body-Financial"/>
              <w:spacing w:after="0"/>
              <w:jc w:val="right"/>
              <w:rPr>
                <w:sz w:val="18"/>
              </w:rPr>
            </w:pPr>
            <w:r>
              <w:rPr>
                <w:sz w:val="18"/>
              </w:rPr>
              <w:t>Ongoing</w:t>
            </w:r>
          </w:p>
        </w:tc>
        <w:tc>
          <w:tcPr>
            <w:tcW w:w="993" w:type="dxa"/>
          </w:tcPr>
          <w:p w14:paraId="47A17A65" w14:textId="0B7BF012" w:rsidR="0042095D" w:rsidRPr="00466E0A" w:rsidRDefault="0042095D" w:rsidP="0042095D">
            <w:pPr>
              <w:pStyle w:val="Body-Financial"/>
              <w:spacing w:after="0"/>
              <w:jc w:val="right"/>
              <w:rPr>
                <w:sz w:val="18"/>
              </w:rPr>
            </w:pPr>
            <w:r>
              <w:rPr>
                <w:sz w:val="18"/>
              </w:rPr>
              <w:t>Delivered</w:t>
            </w:r>
          </w:p>
        </w:tc>
      </w:tr>
      <w:tr w:rsidR="0042095D" w:rsidRPr="00466E0A" w14:paraId="20BDFA3E" w14:textId="77777777" w:rsidTr="00B15944">
        <w:trPr>
          <w:cnfStyle w:val="000000010000" w:firstRow="0" w:lastRow="0" w:firstColumn="0" w:lastColumn="0" w:oddVBand="0" w:evenVBand="0" w:oddHBand="0" w:evenHBand="1" w:firstRowFirstColumn="0" w:firstRowLastColumn="0" w:lastRowFirstColumn="0" w:lastRowLastColumn="0"/>
          <w:trHeight w:val="46"/>
        </w:trPr>
        <w:tc>
          <w:tcPr>
            <w:tcW w:w="5812" w:type="dxa"/>
            <w:tcMar>
              <w:top w:w="85" w:type="dxa"/>
              <w:bottom w:w="85" w:type="dxa"/>
            </w:tcMar>
          </w:tcPr>
          <w:p w14:paraId="378697CB" w14:textId="37EC0313" w:rsidR="0042095D" w:rsidRPr="00A91E91" w:rsidRDefault="0042095D" w:rsidP="0042095D">
            <w:pPr>
              <w:pStyle w:val="Body-Financial"/>
              <w:spacing w:after="0"/>
              <w:rPr>
                <w:sz w:val="18"/>
                <w:lang w:val="en-PH"/>
              </w:rPr>
            </w:pPr>
            <w:r w:rsidRPr="00A91E91">
              <w:rPr>
                <w:sz w:val="18"/>
                <w:lang w:val="en-PH"/>
              </w:rPr>
              <w:t>Publish data compliance report for each quarter in 2021–22</w:t>
            </w:r>
            <w:r>
              <w:rPr>
                <w:sz w:val="18"/>
                <w:lang w:val="en-PH"/>
              </w:rPr>
              <w:t>.</w:t>
            </w:r>
          </w:p>
        </w:tc>
        <w:tc>
          <w:tcPr>
            <w:tcW w:w="992" w:type="dxa"/>
            <w:tcMar>
              <w:top w:w="85" w:type="dxa"/>
              <w:bottom w:w="85" w:type="dxa"/>
            </w:tcMar>
          </w:tcPr>
          <w:p w14:paraId="417A223C" w14:textId="0B9D66F3" w:rsidR="0042095D" w:rsidRDefault="0042095D" w:rsidP="0042095D">
            <w:pPr>
              <w:pStyle w:val="Body-Financial"/>
              <w:spacing w:after="0"/>
              <w:jc w:val="right"/>
              <w:rPr>
                <w:sz w:val="18"/>
              </w:rPr>
            </w:pPr>
            <w:r>
              <w:rPr>
                <w:sz w:val="18"/>
              </w:rPr>
              <w:t>Ongoing</w:t>
            </w:r>
          </w:p>
        </w:tc>
        <w:tc>
          <w:tcPr>
            <w:tcW w:w="993" w:type="dxa"/>
          </w:tcPr>
          <w:p w14:paraId="05802953" w14:textId="4C8E1188" w:rsidR="0042095D" w:rsidRDefault="0042095D" w:rsidP="0042095D">
            <w:pPr>
              <w:pStyle w:val="Body-Financial"/>
              <w:spacing w:after="0"/>
              <w:jc w:val="right"/>
              <w:rPr>
                <w:sz w:val="18"/>
              </w:rPr>
            </w:pPr>
            <w:r>
              <w:rPr>
                <w:sz w:val="18"/>
              </w:rPr>
              <w:t>Delivered</w:t>
            </w:r>
          </w:p>
        </w:tc>
      </w:tr>
      <w:tr w:rsidR="0042095D" w:rsidRPr="00466E0A" w14:paraId="0B3F2AF8"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14020670" w14:textId="294B2E86" w:rsidR="0042095D" w:rsidRPr="00466E0A" w:rsidRDefault="0042095D" w:rsidP="0042095D">
            <w:pPr>
              <w:pStyle w:val="Body-Financial"/>
              <w:spacing w:after="0"/>
              <w:rPr>
                <w:sz w:val="18"/>
              </w:rPr>
            </w:pPr>
            <w:r w:rsidRPr="00A91E91">
              <w:rPr>
                <w:sz w:val="18"/>
                <w:lang w:val="en-PH"/>
              </w:rPr>
              <w:t>Continue to expand access to the National Benchmarking Portal</w:t>
            </w:r>
            <w:r>
              <w:rPr>
                <w:sz w:val="18"/>
                <w:lang w:val="en-PH"/>
              </w:rPr>
              <w:t>.</w:t>
            </w:r>
          </w:p>
        </w:tc>
        <w:tc>
          <w:tcPr>
            <w:tcW w:w="992" w:type="dxa"/>
          </w:tcPr>
          <w:p w14:paraId="2CBDB87A" w14:textId="338E58A6" w:rsidR="0042095D" w:rsidRPr="00466E0A" w:rsidRDefault="0042095D" w:rsidP="0042095D">
            <w:pPr>
              <w:pStyle w:val="Body-Financial"/>
              <w:spacing w:after="0"/>
              <w:jc w:val="right"/>
              <w:rPr>
                <w:sz w:val="18"/>
              </w:rPr>
            </w:pPr>
            <w:r>
              <w:rPr>
                <w:sz w:val="18"/>
              </w:rPr>
              <w:t>Ongoing</w:t>
            </w:r>
          </w:p>
        </w:tc>
        <w:tc>
          <w:tcPr>
            <w:tcW w:w="993" w:type="dxa"/>
            <w:tcMar>
              <w:top w:w="85" w:type="dxa"/>
              <w:bottom w:w="85" w:type="dxa"/>
            </w:tcMar>
          </w:tcPr>
          <w:p w14:paraId="055AE63B" w14:textId="11D7EC80" w:rsidR="0042095D" w:rsidRPr="00466E0A" w:rsidRDefault="0042095D" w:rsidP="0042095D">
            <w:pPr>
              <w:pStyle w:val="Body-Financial"/>
              <w:spacing w:after="0"/>
              <w:jc w:val="right"/>
              <w:rPr>
                <w:sz w:val="18"/>
              </w:rPr>
            </w:pPr>
            <w:r>
              <w:rPr>
                <w:sz w:val="18"/>
              </w:rPr>
              <w:t>Ongoing</w:t>
            </w:r>
          </w:p>
        </w:tc>
      </w:tr>
    </w:tbl>
    <w:p w14:paraId="23314EE7" w14:textId="77777777" w:rsidR="006E0816" w:rsidRDefault="006E0816" w:rsidP="000A6C71">
      <w:pPr>
        <w:pStyle w:val="Body"/>
      </w:pPr>
    </w:p>
    <w:p w14:paraId="3B79410C" w14:textId="77777777" w:rsidR="006E0816" w:rsidRDefault="006E0816" w:rsidP="000A6C71">
      <w:pPr>
        <w:pStyle w:val="Body"/>
      </w:pPr>
    </w:p>
    <w:p w14:paraId="703F8EDF" w14:textId="35ACA66C" w:rsidR="006E0816" w:rsidRDefault="006E0816" w:rsidP="000A6C71">
      <w:pPr>
        <w:pStyle w:val="Body"/>
        <w:sectPr w:rsidR="006E0816" w:rsidSect="00BF350C">
          <w:footerReference w:type="default" r:id="rId131"/>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974453" w:rsidRPr="00147EEB" w14:paraId="629323F8" w14:textId="77777777" w:rsidTr="000A6025">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4EDD45DB" w14:textId="77777777" w:rsidR="00974453" w:rsidRPr="000A6025" w:rsidRDefault="00974453" w:rsidP="00B15944">
            <w:pPr>
              <w:pStyle w:val="Body"/>
              <w:rPr>
                <w:rFonts w:asciiTheme="majorHAnsi" w:hAnsiTheme="majorHAnsi"/>
                <w:color w:val="FFFFFF" w:themeColor="background2"/>
              </w:rPr>
            </w:pPr>
            <w:r w:rsidRPr="000A6025">
              <w:rPr>
                <w:rFonts w:asciiTheme="majorHAnsi" w:hAnsiTheme="majorHAnsi"/>
                <w:color w:val="FFFFFF" w:themeColor="background2"/>
              </w:rPr>
              <w:t>Performance criteria</w:t>
            </w:r>
          </w:p>
        </w:tc>
        <w:tc>
          <w:tcPr>
            <w:tcW w:w="567" w:type="dxa"/>
            <w:shd w:val="clear" w:color="auto" w:fill="FFFFFF" w:themeFill="background2"/>
            <w:vAlign w:val="center"/>
          </w:tcPr>
          <w:p w14:paraId="19CDD461" w14:textId="77777777" w:rsidR="00974453" w:rsidRPr="000A6025" w:rsidRDefault="00974453" w:rsidP="00B15944">
            <w:pPr>
              <w:pStyle w:val="Body"/>
              <w:rPr>
                <w:rFonts w:asciiTheme="majorHAnsi" w:hAnsiTheme="majorHAnsi"/>
                <w:color w:val="FFFFFF" w:themeColor="background2"/>
              </w:rPr>
            </w:pPr>
          </w:p>
        </w:tc>
        <w:tc>
          <w:tcPr>
            <w:tcW w:w="3969" w:type="dxa"/>
            <w:vAlign w:val="center"/>
          </w:tcPr>
          <w:p w14:paraId="08593D59" w14:textId="77777777" w:rsidR="00974453" w:rsidRPr="000A6025" w:rsidRDefault="00974453" w:rsidP="00B15944">
            <w:pPr>
              <w:pStyle w:val="Body"/>
              <w:rPr>
                <w:rFonts w:asciiTheme="majorHAnsi" w:hAnsiTheme="majorHAnsi"/>
                <w:color w:val="FFFFFF" w:themeColor="background2"/>
              </w:rPr>
            </w:pPr>
            <w:r w:rsidRPr="000A6025">
              <w:rPr>
                <w:rFonts w:asciiTheme="majorHAnsi" w:hAnsiTheme="majorHAnsi"/>
                <w:color w:val="FFFFFF" w:themeColor="background2"/>
              </w:rPr>
              <w:t>Results against performance criteria</w:t>
            </w:r>
          </w:p>
        </w:tc>
      </w:tr>
      <w:tr w:rsidR="008E30EC" w:rsidRPr="00147EEB" w14:paraId="5CEB7FA2" w14:textId="77777777" w:rsidTr="00D95BFE">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41D7DA7A" w14:textId="3481D74B" w:rsidR="008E30EC" w:rsidRPr="00040249" w:rsidRDefault="008E30EC">
            <w:pPr>
              <w:pStyle w:val="ListParagraph"/>
              <w:numPr>
                <w:ilvl w:val="0"/>
                <w:numId w:val="20"/>
              </w:numPr>
              <w:rPr>
                <w:color w:val="1C1C1C"/>
                <w:sz w:val="18"/>
                <w:szCs w:val="18"/>
              </w:rPr>
            </w:pPr>
            <w:r w:rsidRPr="00040249">
              <w:rPr>
                <w:color w:val="1C1C1C"/>
                <w:sz w:val="18"/>
                <w:szCs w:val="18"/>
              </w:rPr>
              <w:t>Publish the Three Year Data Plan 2022–23 to 2024–25 by June</w:t>
            </w:r>
            <w:r>
              <w:rPr>
                <w:color w:val="1C1C1C"/>
                <w:sz w:val="18"/>
                <w:szCs w:val="18"/>
              </w:rPr>
              <w:t> </w:t>
            </w:r>
            <w:r w:rsidRPr="00040249">
              <w:rPr>
                <w:color w:val="1C1C1C"/>
                <w:sz w:val="18"/>
                <w:szCs w:val="18"/>
              </w:rPr>
              <w:t>2022.</w:t>
            </w:r>
          </w:p>
        </w:tc>
        <w:tc>
          <w:tcPr>
            <w:tcW w:w="567" w:type="dxa"/>
            <w:shd w:val="clear" w:color="auto" w:fill="FFFFFF" w:themeFill="background2"/>
            <w:tcMar>
              <w:top w:w="85" w:type="dxa"/>
              <w:left w:w="0" w:type="dxa"/>
              <w:bottom w:w="85" w:type="dxa"/>
              <w:right w:w="0" w:type="dxa"/>
            </w:tcMar>
          </w:tcPr>
          <w:p w14:paraId="10E55E0E" w14:textId="77777777" w:rsidR="008E30EC" w:rsidRPr="00040249" w:rsidRDefault="008E30EC" w:rsidP="008E30EC">
            <w:pPr>
              <w:pStyle w:val="Body-Financial"/>
              <w:rPr>
                <w:sz w:val="18"/>
                <w:szCs w:val="18"/>
              </w:rPr>
            </w:pPr>
            <w:r w:rsidRPr="00040249">
              <w:rPr>
                <w:noProof/>
                <w:sz w:val="18"/>
                <w:szCs w:val="18"/>
              </w:rPr>
              <w:drawing>
                <wp:inline distT="0" distB="0" distL="0" distR="0" wp14:anchorId="6E87CB96" wp14:editId="29E431F2">
                  <wp:extent cx="211631" cy="341865"/>
                  <wp:effectExtent l="0" t="0" r="4445" b="1270"/>
                  <wp:docPr id="200" name="Picture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4A55E97F" w14:textId="57D90BCD" w:rsidR="008E30EC" w:rsidRPr="00040249" w:rsidRDefault="008E30EC" w:rsidP="008E30EC">
            <w:pPr>
              <w:pStyle w:val="Body-Financial"/>
              <w:rPr>
                <w:sz w:val="18"/>
                <w:szCs w:val="18"/>
              </w:rPr>
            </w:pPr>
            <w:r w:rsidRPr="00040249">
              <w:rPr>
                <w:sz w:val="18"/>
                <w:szCs w:val="18"/>
              </w:rPr>
              <w:t>The Three Year Data Plan 2022–23 to 2024–25 was published on 22 June 2022.</w:t>
            </w:r>
          </w:p>
        </w:tc>
      </w:tr>
      <w:tr w:rsidR="008E30EC" w:rsidRPr="00147EEB" w14:paraId="0299A4A4"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518C432A" w14:textId="1A511B23" w:rsidR="008E30EC" w:rsidRPr="00040249" w:rsidRDefault="008E30EC">
            <w:pPr>
              <w:pStyle w:val="ListParagraph"/>
              <w:numPr>
                <w:ilvl w:val="0"/>
                <w:numId w:val="20"/>
              </w:numPr>
              <w:rPr>
                <w:color w:val="1C1C1C"/>
                <w:sz w:val="18"/>
                <w:szCs w:val="18"/>
              </w:rPr>
            </w:pPr>
            <w:r w:rsidRPr="00040249">
              <w:rPr>
                <w:color w:val="1C1C1C"/>
                <w:sz w:val="18"/>
                <w:szCs w:val="18"/>
              </w:rPr>
              <w:t>Complete the annual review of Activity</w:t>
            </w:r>
            <w:r>
              <w:rPr>
                <w:color w:val="1C1C1C"/>
                <w:sz w:val="18"/>
                <w:szCs w:val="18"/>
              </w:rPr>
              <w:t> </w:t>
            </w:r>
            <w:r w:rsidRPr="00040249">
              <w:rPr>
                <w:color w:val="1C1C1C"/>
                <w:sz w:val="18"/>
                <w:szCs w:val="18"/>
              </w:rPr>
              <w:t>Based Funding National Best</w:t>
            </w:r>
            <w:r>
              <w:rPr>
                <w:color w:val="1C1C1C"/>
                <w:sz w:val="18"/>
                <w:szCs w:val="18"/>
              </w:rPr>
              <w:t> </w:t>
            </w:r>
            <w:r w:rsidRPr="00040249">
              <w:rPr>
                <w:color w:val="1C1C1C"/>
                <w:sz w:val="18"/>
                <w:szCs w:val="18"/>
              </w:rPr>
              <w:t>Endeavours Data Sets and National</w:t>
            </w:r>
            <w:r>
              <w:rPr>
                <w:color w:val="1C1C1C"/>
                <w:sz w:val="18"/>
                <w:szCs w:val="18"/>
              </w:rPr>
              <w:t> </w:t>
            </w:r>
            <w:r w:rsidRPr="00040249">
              <w:rPr>
                <w:color w:val="1C1C1C"/>
                <w:sz w:val="18"/>
                <w:szCs w:val="18"/>
              </w:rPr>
              <w:t>Minimum Data Sets</w:t>
            </w:r>
            <w:r>
              <w:rPr>
                <w:color w:val="1C1C1C"/>
                <w:sz w:val="18"/>
                <w:szCs w:val="18"/>
              </w:rPr>
              <w:t> </w:t>
            </w:r>
            <w:r w:rsidRPr="00040249">
              <w:rPr>
                <w:color w:val="1C1C1C"/>
                <w:sz w:val="18"/>
                <w:szCs w:val="18"/>
              </w:rPr>
              <w:t>by</w:t>
            </w:r>
            <w:r>
              <w:rPr>
                <w:color w:val="1C1C1C"/>
                <w:sz w:val="18"/>
                <w:szCs w:val="18"/>
              </w:rPr>
              <w:t> </w:t>
            </w:r>
            <w:r w:rsidRPr="00040249">
              <w:rPr>
                <w:color w:val="1C1C1C"/>
                <w:sz w:val="18"/>
                <w:szCs w:val="18"/>
              </w:rPr>
              <w:t>December 2021.</w:t>
            </w:r>
          </w:p>
        </w:tc>
        <w:tc>
          <w:tcPr>
            <w:tcW w:w="567" w:type="dxa"/>
            <w:shd w:val="clear" w:color="auto" w:fill="FFFFFF" w:themeFill="background2"/>
            <w:tcMar>
              <w:top w:w="85" w:type="dxa"/>
              <w:left w:w="0" w:type="dxa"/>
              <w:bottom w:w="85" w:type="dxa"/>
              <w:right w:w="0" w:type="dxa"/>
            </w:tcMar>
          </w:tcPr>
          <w:p w14:paraId="0CF98FE2" w14:textId="77777777" w:rsidR="008E30EC" w:rsidRPr="00040249" w:rsidRDefault="008E30EC" w:rsidP="008E30EC">
            <w:pPr>
              <w:pStyle w:val="Body-Financial"/>
              <w:rPr>
                <w:noProof/>
                <w:sz w:val="18"/>
                <w:szCs w:val="18"/>
              </w:rPr>
            </w:pPr>
            <w:r w:rsidRPr="00040249">
              <w:rPr>
                <w:noProof/>
                <w:sz w:val="18"/>
                <w:szCs w:val="18"/>
              </w:rPr>
              <w:drawing>
                <wp:inline distT="0" distB="0" distL="0" distR="0" wp14:anchorId="3887A024" wp14:editId="325CE090">
                  <wp:extent cx="211631" cy="341865"/>
                  <wp:effectExtent l="0" t="0" r="4445" b="1270"/>
                  <wp:docPr id="20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D117A9C" w14:textId="2CB4612D" w:rsidR="008E30EC" w:rsidRPr="00040249" w:rsidRDefault="008E30EC" w:rsidP="008E30EC">
            <w:pPr>
              <w:pStyle w:val="Body-Financial"/>
              <w:rPr>
                <w:sz w:val="18"/>
                <w:szCs w:val="18"/>
              </w:rPr>
            </w:pPr>
            <w:r w:rsidRPr="008F34A2">
              <w:rPr>
                <w:sz w:val="18"/>
                <w:szCs w:val="18"/>
              </w:rPr>
              <w:t>IHPA continues to develop activity based funding</w:t>
            </w:r>
            <w:r>
              <w:rPr>
                <w:sz w:val="18"/>
                <w:szCs w:val="18"/>
              </w:rPr>
              <w:t> </w:t>
            </w:r>
            <w:r w:rsidRPr="008F34A2">
              <w:rPr>
                <w:sz w:val="18"/>
                <w:szCs w:val="18"/>
              </w:rPr>
              <w:t>data specifications on an annual basis. Both</w:t>
            </w:r>
            <w:r>
              <w:rPr>
                <w:sz w:val="18"/>
                <w:szCs w:val="18"/>
              </w:rPr>
              <w:t> the </w:t>
            </w:r>
            <w:r w:rsidRPr="008F34A2">
              <w:rPr>
                <w:sz w:val="18"/>
                <w:szCs w:val="18"/>
              </w:rPr>
              <w:t>National Best Endeavours Data Sets and National</w:t>
            </w:r>
            <w:r>
              <w:rPr>
                <w:sz w:val="18"/>
                <w:szCs w:val="18"/>
              </w:rPr>
              <w:t> </w:t>
            </w:r>
            <w:r w:rsidRPr="008F34A2">
              <w:rPr>
                <w:sz w:val="18"/>
                <w:szCs w:val="18"/>
              </w:rPr>
              <w:t>Minimum Data Sets were published in December</w:t>
            </w:r>
            <w:r>
              <w:rPr>
                <w:sz w:val="18"/>
                <w:szCs w:val="18"/>
              </w:rPr>
              <w:t> </w:t>
            </w:r>
            <w:r w:rsidRPr="008F34A2">
              <w:rPr>
                <w:sz w:val="18"/>
                <w:szCs w:val="18"/>
              </w:rPr>
              <w:t>2021.</w:t>
            </w:r>
          </w:p>
        </w:tc>
      </w:tr>
      <w:tr w:rsidR="008E30EC" w:rsidRPr="00147EEB" w14:paraId="7ADA17C2" w14:textId="77777777" w:rsidTr="00D95BFE">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5B4DE59E" w14:textId="6E7A113C" w:rsidR="008E30EC" w:rsidRPr="00040249" w:rsidRDefault="008E30EC">
            <w:pPr>
              <w:pStyle w:val="ListParagraph"/>
              <w:numPr>
                <w:ilvl w:val="0"/>
                <w:numId w:val="20"/>
              </w:numPr>
              <w:rPr>
                <w:color w:val="1C1C1C"/>
                <w:sz w:val="18"/>
                <w:szCs w:val="18"/>
              </w:rPr>
            </w:pPr>
            <w:r w:rsidRPr="00040249">
              <w:rPr>
                <w:color w:val="1C1C1C"/>
                <w:sz w:val="18"/>
                <w:szCs w:val="18"/>
              </w:rPr>
              <w:t>Develop the process for the collection of the Individual Healthcare Identifiers as part of national data sets by June</w:t>
            </w:r>
            <w:r>
              <w:rPr>
                <w:color w:val="1C1C1C"/>
                <w:sz w:val="18"/>
                <w:szCs w:val="18"/>
              </w:rPr>
              <w:t> </w:t>
            </w:r>
            <w:r w:rsidRPr="00040249">
              <w:rPr>
                <w:color w:val="1C1C1C"/>
                <w:sz w:val="18"/>
                <w:szCs w:val="18"/>
              </w:rPr>
              <w:t>2022.</w:t>
            </w:r>
          </w:p>
        </w:tc>
        <w:tc>
          <w:tcPr>
            <w:tcW w:w="567" w:type="dxa"/>
            <w:shd w:val="clear" w:color="auto" w:fill="FFFFFF" w:themeFill="background2"/>
            <w:tcMar>
              <w:top w:w="85" w:type="dxa"/>
              <w:left w:w="0" w:type="dxa"/>
              <w:bottom w:w="85" w:type="dxa"/>
              <w:right w:w="0" w:type="dxa"/>
            </w:tcMar>
          </w:tcPr>
          <w:p w14:paraId="566EC786" w14:textId="77777777" w:rsidR="008E30EC" w:rsidRPr="00040249" w:rsidRDefault="008E30EC" w:rsidP="008E30EC">
            <w:pPr>
              <w:pStyle w:val="Body-Financial"/>
              <w:rPr>
                <w:noProof/>
                <w:sz w:val="18"/>
                <w:szCs w:val="18"/>
              </w:rPr>
            </w:pPr>
            <w:r w:rsidRPr="00040249">
              <w:rPr>
                <w:noProof/>
                <w:sz w:val="18"/>
                <w:szCs w:val="18"/>
              </w:rPr>
              <w:drawing>
                <wp:inline distT="0" distB="0" distL="0" distR="0" wp14:anchorId="07766802" wp14:editId="5590AD51">
                  <wp:extent cx="211631" cy="341865"/>
                  <wp:effectExtent l="0" t="0" r="4445" b="1270"/>
                  <wp:docPr id="202" name="Picture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72E94A73" w14:textId="03FA5E68" w:rsidR="008E30EC" w:rsidRPr="00040249" w:rsidRDefault="008E30EC" w:rsidP="008E30EC">
            <w:pPr>
              <w:pStyle w:val="Body-Financial"/>
              <w:rPr>
                <w:sz w:val="18"/>
                <w:szCs w:val="18"/>
              </w:rPr>
            </w:pPr>
            <w:r w:rsidRPr="008F34A2">
              <w:rPr>
                <w:sz w:val="18"/>
                <w:szCs w:val="18"/>
              </w:rPr>
              <w:t>IHPA worked with jurisdictions and embedded the Individual Healthcare Identifier in the national data submission to IHPA from June 2022</w:t>
            </w:r>
            <w:r w:rsidRPr="00040249">
              <w:rPr>
                <w:sz w:val="18"/>
                <w:szCs w:val="18"/>
              </w:rPr>
              <w:t>.</w:t>
            </w:r>
          </w:p>
        </w:tc>
      </w:tr>
      <w:tr w:rsidR="008E30EC" w:rsidRPr="00147EEB" w14:paraId="3B775BE1" w14:textId="77777777" w:rsidTr="00D95BFE">
        <w:trPr>
          <w:cnfStyle w:val="100000000000" w:firstRow="1" w:lastRow="0" w:firstColumn="0" w:lastColumn="0" w:oddVBand="0" w:evenVBand="0" w:oddHBand="0" w:evenHBand="0" w:firstRowFirstColumn="0" w:firstRowLastColumn="0" w:lastRowFirstColumn="0" w:lastRowLastColumn="0"/>
          <w:trHeight w:val="680"/>
        </w:trPr>
        <w:tc>
          <w:tcPr>
            <w:tcW w:w="3261" w:type="dxa"/>
            <w:shd w:val="clear" w:color="auto" w:fill="F2F2F2" w:themeFill="background2" w:themeFillShade="F2"/>
            <w:tcMar>
              <w:top w:w="85" w:type="dxa"/>
              <w:bottom w:w="85" w:type="dxa"/>
            </w:tcMar>
          </w:tcPr>
          <w:p w14:paraId="1BCE6298" w14:textId="3F0BC8CD" w:rsidR="008E30EC" w:rsidRPr="00040249" w:rsidRDefault="008E30EC">
            <w:pPr>
              <w:pStyle w:val="ListParagraph"/>
              <w:numPr>
                <w:ilvl w:val="0"/>
                <w:numId w:val="20"/>
              </w:numPr>
              <w:rPr>
                <w:color w:val="1C1C1C"/>
                <w:sz w:val="18"/>
                <w:szCs w:val="18"/>
              </w:rPr>
            </w:pPr>
            <w:r w:rsidRPr="00040249">
              <w:rPr>
                <w:color w:val="1C1C1C"/>
                <w:sz w:val="18"/>
                <w:szCs w:val="18"/>
              </w:rPr>
              <w:t>Further develop the secure data management system functionality.</w:t>
            </w:r>
          </w:p>
        </w:tc>
        <w:tc>
          <w:tcPr>
            <w:tcW w:w="567" w:type="dxa"/>
            <w:shd w:val="clear" w:color="auto" w:fill="FFFFFF" w:themeFill="background2"/>
            <w:tcMar>
              <w:top w:w="85" w:type="dxa"/>
              <w:left w:w="0" w:type="dxa"/>
              <w:bottom w:w="85" w:type="dxa"/>
              <w:right w:w="0" w:type="dxa"/>
            </w:tcMar>
          </w:tcPr>
          <w:p w14:paraId="57A91119" w14:textId="77777777" w:rsidR="008E30EC" w:rsidRPr="00040249" w:rsidRDefault="008E30EC" w:rsidP="008E30EC">
            <w:pPr>
              <w:pStyle w:val="Body-Financial"/>
              <w:rPr>
                <w:noProof/>
                <w:sz w:val="18"/>
                <w:szCs w:val="18"/>
              </w:rPr>
            </w:pPr>
            <w:r w:rsidRPr="00040249">
              <w:rPr>
                <w:noProof/>
                <w:sz w:val="18"/>
                <w:szCs w:val="18"/>
              </w:rPr>
              <w:drawing>
                <wp:inline distT="0" distB="0" distL="0" distR="0" wp14:anchorId="39F2370F" wp14:editId="55325DBA">
                  <wp:extent cx="211631" cy="341865"/>
                  <wp:effectExtent l="0" t="0" r="4445" b="1270"/>
                  <wp:docPr id="203" name="Picture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0C01C88C" w14:textId="398DC679" w:rsidR="008E30EC" w:rsidRPr="00040249" w:rsidRDefault="008E30EC" w:rsidP="008E30EC">
            <w:pPr>
              <w:pStyle w:val="Body-Financial"/>
              <w:rPr>
                <w:sz w:val="18"/>
                <w:szCs w:val="18"/>
              </w:rPr>
            </w:pPr>
            <w:r w:rsidRPr="00040249">
              <w:rPr>
                <w:sz w:val="18"/>
                <w:szCs w:val="18"/>
              </w:rPr>
              <w:t>IHPA will continue to develop the secure data management system to support its core technical functions, while ensuring the current high standards of</w:t>
            </w:r>
            <w:r>
              <w:rPr>
                <w:sz w:val="18"/>
                <w:szCs w:val="18"/>
              </w:rPr>
              <w:t> </w:t>
            </w:r>
            <w:r w:rsidRPr="00040249">
              <w:rPr>
                <w:sz w:val="18"/>
                <w:szCs w:val="18"/>
              </w:rPr>
              <w:t>data security are followed and maintained.</w:t>
            </w:r>
          </w:p>
        </w:tc>
      </w:tr>
      <w:tr w:rsidR="008E30EC" w:rsidRPr="00147EEB" w14:paraId="20BF8616"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6D0CA957" w14:textId="5D5E36C6" w:rsidR="008E30EC" w:rsidRPr="00660723" w:rsidRDefault="008E30EC">
            <w:pPr>
              <w:pStyle w:val="NumberListNoIndent"/>
              <w:numPr>
                <w:ilvl w:val="0"/>
                <w:numId w:val="20"/>
              </w:numPr>
            </w:pPr>
            <w:r w:rsidRPr="00C637A7">
              <w:t xml:space="preserve">Collect jurisdictional submissions for March quarter 2021 </w:t>
            </w:r>
            <w:r>
              <w:t>activity based funding (</w:t>
            </w:r>
            <w:r w:rsidRPr="00C637A7">
              <w:t>A</w:t>
            </w:r>
            <w:r>
              <w:t>BF)</w:t>
            </w:r>
            <w:r w:rsidRPr="00C637A7">
              <w:t xml:space="preserve"> activity data by June</w:t>
            </w:r>
            <w:r>
              <w:t> </w:t>
            </w:r>
            <w:r w:rsidRPr="00C637A7">
              <w:t>2021.</w:t>
            </w:r>
          </w:p>
        </w:tc>
        <w:tc>
          <w:tcPr>
            <w:tcW w:w="567" w:type="dxa"/>
            <w:shd w:val="clear" w:color="auto" w:fill="FFFFFF" w:themeFill="background2"/>
            <w:tcMar>
              <w:top w:w="85" w:type="dxa"/>
              <w:left w:w="0" w:type="dxa"/>
              <w:bottom w:w="85" w:type="dxa"/>
              <w:right w:w="0" w:type="dxa"/>
            </w:tcMar>
          </w:tcPr>
          <w:p w14:paraId="19C9704F" w14:textId="77777777" w:rsidR="008E30EC" w:rsidRPr="00040249" w:rsidRDefault="008E30EC" w:rsidP="008E30EC">
            <w:pPr>
              <w:pStyle w:val="Body-Financial"/>
              <w:rPr>
                <w:noProof/>
                <w:sz w:val="18"/>
                <w:szCs w:val="18"/>
              </w:rPr>
            </w:pPr>
            <w:r w:rsidRPr="00040249">
              <w:rPr>
                <w:noProof/>
                <w:sz w:val="18"/>
                <w:szCs w:val="18"/>
              </w:rPr>
              <w:drawing>
                <wp:inline distT="0" distB="0" distL="0" distR="0" wp14:anchorId="0454F7A0" wp14:editId="277EB44E">
                  <wp:extent cx="211631" cy="341865"/>
                  <wp:effectExtent l="0" t="0" r="4445" b="1270"/>
                  <wp:docPr id="204" name="Picture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FE64A5C" w14:textId="7177C40D" w:rsidR="008E30EC" w:rsidRPr="00992CF5" w:rsidRDefault="008E30EC" w:rsidP="00856C96">
            <w:pPr>
              <w:pStyle w:val="Body-Financial"/>
            </w:pPr>
            <w:r w:rsidRPr="00856C96">
              <w:rPr>
                <w:sz w:val="18"/>
                <w:szCs w:val="18"/>
              </w:rPr>
              <w:t>The March quarter 2021 ABF activity data was collected on 30 June 2021.</w:t>
            </w:r>
          </w:p>
        </w:tc>
      </w:tr>
      <w:tr w:rsidR="008E30EC" w:rsidRPr="00147EEB" w14:paraId="16BDD7F7"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32074866" w14:textId="744FFEC6" w:rsidR="008E30EC" w:rsidRPr="00660723" w:rsidRDefault="008E30EC">
            <w:pPr>
              <w:pStyle w:val="NumberListNoIndent"/>
              <w:numPr>
                <w:ilvl w:val="0"/>
                <w:numId w:val="20"/>
              </w:numPr>
            </w:pPr>
            <w:r w:rsidRPr="00C637A7">
              <w:t>Collect jurisdictional submissions for June quarter 2021 ABF activity data by September 2021.</w:t>
            </w:r>
          </w:p>
        </w:tc>
        <w:tc>
          <w:tcPr>
            <w:tcW w:w="567" w:type="dxa"/>
            <w:shd w:val="clear" w:color="auto" w:fill="FFFFFF" w:themeFill="background2"/>
            <w:tcMar>
              <w:top w:w="85" w:type="dxa"/>
              <w:left w:w="0" w:type="dxa"/>
              <w:bottom w:w="85" w:type="dxa"/>
              <w:right w:w="0" w:type="dxa"/>
            </w:tcMar>
          </w:tcPr>
          <w:p w14:paraId="5C713623" w14:textId="6664BC89" w:rsidR="008E30EC" w:rsidRPr="00040249" w:rsidRDefault="008E30EC" w:rsidP="008E30EC">
            <w:pPr>
              <w:pStyle w:val="Body-Financial"/>
              <w:rPr>
                <w:noProof/>
                <w:sz w:val="18"/>
                <w:szCs w:val="18"/>
              </w:rPr>
            </w:pPr>
            <w:r w:rsidRPr="00040249">
              <w:rPr>
                <w:noProof/>
                <w:sz w:val="18"/>
                <w:szCs w:val="18"/>
              </w:rPr>
              <w:drawing>
                <wp:inline distT="0" distB="0" distL="0" distR="0" wp14:anchorId="41A1B267" wp14:editId="42BC9B62">
                  <wp:extent cx="211631" cy="341865"/>
                  <wp:effectExtent l="0" t="0" r="4445" b="1270"/>
                  <wp:docPr id="205" name="Picture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7E36C8AF" w14:textId="66FF1B91" w:rsidR="008E30EC" w:rsidRPr="00992CF5" w:rsidRDefault="008E30EC" w:rsidP="00856C96">
            <w:pPr>
              <w:pStyle w:val="Body-Financial"/>
            </w:pPr>
            <w:r w:rsidRPr="00856C96">
              <w:rPr>
                <w:sz w:val="18"/>
                <w:szCs w:val="18"/>
              </w:rPr>
              <w:t>The June quarter 2021 ABF activity data was collected on 30 September 2021.</w:t>
            </w:r>
          </w:p>
        </w:tc>
      </w:tr>
      <w:tr w:rsidR="008E30EC" w:rsidRPr="00147EEB" w14:paraId="29AD7EAD"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77427DD2" w14:textId="2FEDE7F1" w:rsidR="008E30EC" w:rsidRPr="00660723" w:rsidRDefault="008E30EC">
            <w:pPr>
              <w:pStyle w:val="NumberListNoIndent"/>
              <w:numPr>
                <w:ilvl w:val="0"/>
                <w:numId w:val="20"/>
              </w:numPr>
            </w:pPr>
            <w:r w:rsidRPr="00C637A7">
              <w:t>Collect jurisdictional submissions for September quarter 2021 ABF activity data by December 2021.</w:t>
            </w:r>
          </w:p>
        </w:tc>
        <w:tc>
          <w:tcPr>
            <w:tcW w:w="567" w:type="dxa"/>
            <w:shd w:val="clear" w:color="auto" w:fill="FFFFFF" w:themeFill="background2"/>
            <w:tcMar>
              <w:top w:w="85" w:type="dxa"/>
              <w:left w:w="0" w:type="dxa"/>
              <w:bottom w:w="85" w:type="dxa"/>
              <w:right w:w="0" w:type="dxa"/>
            </w:tcMar>
          </w:tcPr>
          <w:p w14:paraId="4CE1E17E" w14:textId="56F05216" w:rsidR="008E30EC" w:rsidRPr="00040249" w:rsidRDefault="008E30EC" w:rsidP="008E30EC">
            <w:pPr>
              <w:pStyle w:val="Body-Financial"/>
              <w:rPr>
                <w:noProof/>
                <w:sz w:val="18"/>
                <w:szCs w:val="18"/>
              </w:rPr>
            </w:pPr>
            <w:r w:rsidRPr="00040249">
              <w:rPr>
                <w:noProof/>
                <w:sz w:val="18"/>
                <w:szCs w:val="18"/>
              </w:rPr>
              <w:drawing>
                <wp:inline distT="0" distB="0" distL="0" distR="0" wp14:anchorId="5C89EC3C" wp14:editId="58A1DFA2">
                  <wp:extent cx="211631" cy="341865"/>
                  <wp:effectExtent l="0" t="0" r="4445" b="1270"/>
                  <wp:docPr id="206" name="Picture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0947086" w14:textId="74959D18" w:rsidR="008E30EC" w:rsidRPr="00992CF5" w:rsidRDefault="008E30EC" w:rsidP="00856C96">
            <w:pPr>
              <w:pStyle w:val="Body-Financial"/>
            </w:pPr>
            <w:r w:rsidRPr="00856C96">
              <w:rPr>
                <w:sz w:val="18"/>
                <w:szCs w:val="18"/>
              </w:rPr>
              <w:t>The September quarter 2021 ABF activity data was collected on 21 December 2021.</w:t>
            </w:r>
          </w:p>
        </w:tc>
      </w:tr>
      <w:tr w:rsidR="008E30EC" w:rsidRPr="00147EEB" w14:paraId="4B9324FF"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0BF4B076" w14:textId="5E410F5F" w:rsidR="008E30EC" w:rsidRPr="00660723" w:rsidRDefault="008E30EC">
            <w:pPr>
              <w:pStyle w:val="NumberListNoIndent"/>
              <w:numPr>
                <w:ilvl w:val="0"/>
                <w:numId w:val="20"/>
              </w:numPr>
            </w:pPr>
            <w:r w:rsidRPr="00C637A7">
              <w:t>Collect jurisdictional submissions for December quarter 2021 ABF activity data by March 2022.</w:t>
            </w:r>
          </w:p>
        </w:tc>
        <w:tc>
          <w:tcPr>
            <w:tcW w:w="567" w:type="dxa"/>
            <w:shd w:val="clear" w:color="auto" w:fill="FFFFFF" w:themeFill="background2"/>
            <w:tcMar>
              <w:top w:w="85" w:type="dxa"/>
              <w:left w:w="0" w:type="dxa"/>
              <w:bottom w:w="85" w:type="dxa"/>
              <w:right w:w="0" w:type="dxa"/>
            </w:tcMar>
          </w:tcPr>
          <w:p w14:paraId="45224EE5" w14:textId="24AEC19D" w:rsidR="008E30EC" w:rsidRPr="00040249" w:rsidRDefault="008E30EC" w:rsidP="008E30EC">
            <w:pPr>
              <w:pStyle w:val="Body-Financial"/>
              <w:rPr>
                <w:noProof/>
                <w:sz w:val="18"/>
                <w:szCs w:val="18"/>
              </w:rPr>
            </w:pPr>
            <w:r w:rsidRPr="00040249">
              <w:rPr>
                <w:noProof/>
                <w:sz w:val="18"/>
                <w:szCs w:val="18"/>
              </w:rPr>
              <w:drawing>
                <wp:inline distT="0" distB="0" distL="0" distR="0" wp14:anchorId="5F467076" wp14:editId="550D2C4E">
                  <wp:extent cx="211631" cy="341865"/>
                  <wp:effectExtent l="0" t="0" r="4445" b="1270"/>
                  <wp:docPr id="207" name="Picture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0399197" w14:textId="06D29BCD" w:rsidR="008E30EC" w:rsidRPr="00660723" w:rsidRDefault="008E30EC" w:rsidP="008E30EC">
            <w:pPr>
              <w:rPr>
                <w:noProof/>
                <w:color w:val="auto"/>
                <w:sz w:val="18"/>
                <w:szCs w:val="18"/>
              </w:rPr>
            </w:pPr>
            <w:r w:rsidRPr="000E1EC3">
              <w:rPr>
                <w:noProof/>
                <w:color w:val="auto"/>
                <w:sz w:val="18"/>
                <w:szCs w:val="18"/>
              </w:rPr>
              <w:t>The December quarter 2021 ABF activity data was collected on 31 March 2022.</w:t>
            </w:r>
          </w:p>
        </w:tc>
      </w:tr>
      <w:tr w:rsidR="008E30EC" w:rsidRPr="00147EEB" w14:paraId="430E0BC7"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19120BBD" w14:textId="19BB9685" w:rsidR="008E30EC" w:rsidRPr="00660723" w:rsidRDefault="008E30EC">
            <w:pPr>
              <w:pStyle w:val="NumberListNoIndent"/>
              <w:numPr>
                <w:ilvl w:val="0"/>
                <w:numId w:val="20"/>
              </w:numPr>
            </w:pPr>
            <w:r w:rsidRPr="008F34A2">
              <w:t>Publish data compliance report for</w:t>
            </w:r>
            <w:r>
              <w:t> </w:t>
            </w:r>
            <w:r w:rsidRPr="008F34A2">
              <w:t>March quarter 2021 by September</w:t>
            </w:r>
            <w:r>
              <w:t> </w:t>
            </w:r>
            <w:r w:rsidRPr="008F34A2">
              <w:t>2021.</w:t>
            </w:r>
          </w:p>
        </w:tc>
        <w:tc>
          <w:tcPr>
            <w:tcW w:w="567" w:type="dxa"/>
            <w:shd w:val="clear" w:color="auto" w:fill="FFFFFF" w:themeFill="background2"/>
            <w:tcMar>
              <w:top w:w="85" w:type="dxa"/>
              <w:left w:w="0" w:type="dxa"/>
              <w:bottom w:w="85" w:type="dxa"/>
              <w:right w:w="0" w:type="dxa"/>
            </w:tcMar>
          </w:tcPr>
          <w:p w14:paraId="64590429" w14:textId="20192BB6" w:rsidR="008E30EC" w:rsidRPr="00040249" w:rsidRDefault="008E30EC" w:rsidP="008E30EC">
            <w:pPr>
              <w:pStyle w:val="Body-Financial"/>
              <w:rPr>
                <w:noProof/>
                <w:sz w:val="18"/>
                <w:szCs w:val="18"/>
              </w:rPr>
            </w:pPr>
            <w:r w:rsidRPr="00040249">
              <w:rPr>
                <w:noProof/>
                <w:sz w:val="18"/>
                <w:szCs w:val="18"/>
              </w:rPr>
              <w:drawing>
                <wp:inline distT="0" distB="0" distL="0" distR="0" wp14:anchorId="00AEAB54" wp14:editId="7569A019">
                  <wp:extent cx="211631" cy="341865"/>
                  <wp:effectExtent l="0" t="0" r="4445" b="1270"/>
                  <wp:docPr id="208" name="Picture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46018311" w14:textId="67537D14" w:rsidR="008E30EC" w:rsidRPr="00660723" w:rsidRDefault="008E30EC" w:rsidP="008E30EC">
            <w:pPr>
              <w:rPr>
                <w:noProof/>
                <w:color w:val="auto"/>
                <w:sz w:val="18"/>
                <w:szCs w:val="18"/>
              </w:rPr>
            </w:pPr>
            <w:r w:rsidRPr="008F34A2">
              <w:rPr>
                <w:noProof/>
                <w:color w:val="auto"/>
                <w:sz w:val="18"/>
                <w:szCs w:val="18"/>
              </w:rPr>
              <w:t>The data compliance report for March quarter 2021 was published on 22 December 2021.</w:t>
            </w:r>
          </w:p>
        </w:tc>
      </w:tr>
      <w:tr w:rsidR="008E30EC" w:rsidRPr="00147EEB" w14:paraId="143A3C97"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1BD236A8" w14:textId="06850395" w:rsidR="008E30EC" w:rsidRPr="00660723" w:rsidRDefault="008E30EC">
            <w:pPr>
              <w:pStyle w:val="NumberListNoIndent"/>
              <w:numPr>
                <w:ilvl w:val="0"/>
                <w:numId w:val="20"/>
              </w:numPr>
            </w:pPr>
            <w:r w:rsidRPr="00C637A7">
              <w:t>Publish data compliance report for</w:t>
            </w:r>
            <w:r>
              <w:t> </w:t>
            </w:r>
            <w:r w:rsidRPr="00C637A7">
              <w:t xml:space="preserve">June quarter 2021 by </w:t>
            </w:r>
            <w:r>
              <w:t>December </w:t>
            </w:r>
            <w:r w:rsidRPr="00C637A7">
              <w:t>202</w:t>
            </w:r>
            <w:r>
              <w:t>1</w:t>
            </w:r>
            <w:r w:rsidRPr="00C637A7">
              <w:t>.</w:t>
            </w:r>
          </w:p>
        </w:tc>
        <w:tc>
          <w:tcPr>
            <w:tcW w:w="567" w:type="dxa"/>
            <w:shd w:val="clear" w:color="auto" w:fill="FFFFFF" w:themeFill="background2"/>
            <w:tcMar>
              <w:top w:w="85" w:type="dxa"/>
              <w:left w:w="0" w:type="dxa"/>
              <w:bottom w:w="85" w:type="dxa"/>
              <w:right w:w="0" w:type="dxa"/>
            </w:tcMar>
          </w:tcPr>
          <w:p w14:paraId="6A879E46" w14:textId="7A8EA548" w:rsidR="008E30EC" w:rsidRPr="00040249" w:rsidRDefault="008E30EC" w:rsidP="008E30EC">
            <w:pPr>
              <w:pStyle w:val="Body-Financial"/>
              <w:rPr>
                <w:noProof/>
                <w:sz w:val="18"/>
                <w:szCs w:val="18"/>
              </w:rPr>
            </w:pPr>
            <w:r w:rsidRPr="00040249">
              <w:rPr>
                <w:noProof/>
                <w:sz w:val="18"/>
                <w:szCs w:val="18"/>
              </w:rPr>
              <w:drawing>
                <wp:inline distT="0" distB="0" distL="0" distR="0" wp14:anchorId="4D67A45B" wp14:editId="702FD145">
                  <wp:extent cx="211631" cy="341865"/>
                  <wp:effectExtent l="0" t="0" r="4445" b="1270"/>
                  <wp:docPr id="209" name="Picture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6FCFDC10" w14:textId="5412129F" w:rsidR="008E30EC" w:rsidRPr="00660723" w:rsidRDefault="008E30EC" w:rsidP="008E30EC">
            <w:pPr>
              <w:rPr>
                <w:noProof/>
                <w:color w:val="auto"/>
                <w:sz w:val="18"/>
                <w:szCs w:val="18"/>
              </w:rPr>
            </w:pPr>
            <w:r w:rsidRPr="008F34A2">
              <w:rPr>
                <w:noProof/>
                <w:color w:val="auto"/>
                <w:sz w:val="18"/>
                <w:szCs w:val="18"/>
              </w:rPr>
              <w:t>The data compliance report for June quarter 2021 was published on 8 April 2022.</w:t>
            </w:r>
          </w:p>
        </w:tc>
      </w:tr>
    </w:tbl>
    <w:p w14:paraId="5EFB64C3" w14:textId="77777777" w:rsidR="001559BA" w:rsidRDefault="001559BA" w:rsidP="000A6C71">
      <w:pPr>
        <w:pStyle w:val="Body"/>
        <w:sectPr w:rsidR="001559BA" w:rsidSect="00BF350C">
          <w:footerReference w:type="default" r:id="rId132"/>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040249" w:rsidRPr="00147EEB" w14:paraId="68B7B1E5" w14:textId="77777777" w:rsidTr="000A6025">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3BF0A3B6" w14:textId="77777777" w:rsidR="00040249" w:rsidRPr="000A6025" w:rsidRDefault="00040249" w:rsidP="00B15944">
            <w:pPr>
              <w:pStyle w:val="Body"/>
              <w:rPr>
                <w:rFonts w:asciiTheme="majorHAnsi" w:hAnsiTheme="majorHAnsi"/>
                <w:color w:val="FFFFFF" w:themeColor="background2"/>
              </w:rPr>
            </w:pPr>
            <w:r w:rsidRPr="000A6025">
              <w:rPr>
                <w:rFonts w:asciiTheme="majorHAnsi" w:hAnsiTheme="majorHAnsi"/>
                <w:color w:val="FFFFFF" w:themeColor="background2"/>
              </w:rPr>
              <w:t>Performance criteria</w:t>
            </w:r>
          </w:p>
        </w:tc>
        <w:tc>
          <w:tcPr>
            <w:tcW w:w="567" w:type="dxa"/>
            <w:shd w:val="clear" w:color="auto" w:fill="FFFFFF" w:themeFill="background2"/>
            <w:vAlign w:val="center"/>
          </w:tcPr>
          <w:p w14:paraId="19C55B4E" w14:textId="77777777" w:rsidR="00040249" w:rsidRPr="000A6025" w:rsidRDefault="00040249" w:rsidP="00B15944">
            <w:pPr>
              <w:pStyle w:val="Body"/>
              <w:rPr>
                <w:rFonts w:asciiTheme="majorHAnsi" w:hAnsiTheme="majorHAnsi"/>
                <w:color w:val="FFFFFF" w:themeColor="background2"/>
              </w:rPr>
            </w:pPr>
          </w:p>
        </w:tc>
        <w:tc>
          <w:tcPr>
            <w:tcW w:w="3969" w:type="dxa"/>
            <w:vAlign w:val="center"/>
          </w:tcPr>
          <w:p w14:paraId="434C7F2D" w14:textId="77777777" w:rsidR="00040249" w:rsidRPr="000A6025" w:rsidRDefault="00040249" w:rsidP="00B15944">
            <w:pPr>
              <w:pStyle w:val="Body"/>
              <w:rPr>
                <w:rFonts w:asciiTheme="majorHAnsi" w:hAnsiTheme="majorHAnsi"/>
                <w:color w:val="FFFFFF" w:themeColor="background2"/>
              </w:rPr>
            </w:pPr>
            <w:r w:rsidRPr="000A6025">
              <w:rPr>
                <w:rFonts w:asciiTheme="majorHAnsi" w:hAnsiTheme="majorHAnsi"/>
                <w:color w:val="FFFFFF" w:themeColor="background2"/>
              </w:rPr>
              <w:t>Results against performance criteria</w:t>
            </w:r>
          </w:p>
        </w:tc>
      </w:tr>
      <w:tr w:rsidR="008E30EC" w:rsidRPr="00147EEB" w14:paraId="52BC1F21" w14:textId="77777777" w:rsidTr="00D95BFE">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6A308225" w14:textId="567B1F4A" w:rsidR="008E30EC" w:rsidRPr="00660723" w:rsidRDefault="008E30EC">
            <w:pPr>
              <w:pStyle w:val="NumberListNoIndent"/>
              <w:numPr>
                <w:ilvl w:val="0"/>
                <w:numId w:val="20"/>
              </w:numPr>
              <w:rPr>
                <w:noProof/>
              </w:rPr>
            </w:pPr>
            <w:r w:rsidRPr="00C637A7">
              <w:rPr>
                <w:noProof/>
              </w:rPr>
              <w:t>Publish data compliance report for</w:t>
            </w:r>
            <w:r>
              <w:rPr>
                <w:noProof/>
              </w:rPr>
              <w:t> </w:t>
            </w:r>
            <w:r w:rsidRPr="00C637A7">
              <w:t>September</w:t>
            </w:r>
            <w:r w:rsidRPr="00C637A7">
              <w:rPr>
                <w:noProof/>
              </w:rPr>
              <w:t xml:space="preserve"> quarter 2021 by </w:t>
            </w:r>
            <w:r>
              <w:rPr>
                <w:noProof/>
              </w:rPr>
              <w:t>March </w:t>
            </w:r>
            <w:r w:rsidRPr="00C637A7">
              <w:rPr>
                <w:noProof/>
              </w:rPr>
              <w:t>2022.</w:t>
            </w:r>
          </w:p>
        </w:tc>
        <w:tc>
          <w:tcPr>
            <w:tcW w:w="567" w:type="dxa"/>
            <w:shd w:val="clear" w:color="auto" w:fill="FFFFFF" w:themeFill="background2"/>
            <w:tcMar>
              <w:top w:w="85" w:type="dxa"/>
              <w:left w:w="0" w:type="dxa"/>
              <w:bottom w:w="85" w:type="dxa"/>
              <w:right w:w="0" w:type="dxa"/>
            </w:tcMar>
          </w:tcPr>
          <w:p w14:paraId="61FDAB1E" w14:textId="1FA36672" w:rsidR="008E30EC" w:rsidRPr="0000287B" w:rsidRDefault="008E30EC" w:rsidP="008E30EC">
            <w:pPr>
              <w:pStyle w:val="Body-Financial"/>
              <w:rPr>
                <w:sz w:val="18"/>
                <w:szCs w:val="18"/>
              </w:rPr>
            </w:pPr>
            <w:r w:rsidRPr="00040249">
              <w:rPr>
                <w:noProof/>
                <w:sz w:val="18"/>
                <w:szCs w:val="18"/>
              </w:rPr>
              <w:drawing>
                <wp:inline distT="0" distB="0" distL="0" distR="0" wp14:anchorId="5A9DF190" wp14:editId="757C3D5F">
                  <wp:extent cx="211631" cy="341865"/>
                  <wp:effectExtent l="0" t="0" r="4445" b="1270"/>
                  <wp:docPr id="252" name="Picture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5B9A8A65" w14:textId="76E1E01F" w:rsidR="008E30EC" w:rsidRPr="00660723" w:rsidRDefault="008E30EC" w:rsidP="008E30EC">
            <w:pPr>
              <w:rPr>
                <w:noProof/>
                <w:color w:val="auto"/>
                <w:sz w:val="18"/>
                <w:szCs w:val="18"/>
              </w:rPr>
            </w:pPr>
            <w:r w:rsidRPr="000E1EC3">
              <w:rPr>
                <w:noProof/>
                <w:color w:val="auto"/>
                <w:sz w:val="18"/>
                <w:szCs w:val="18"/>
              </w:rPr>
              <w:t xml:space="preserve">The data compliance report for September quarter 2021 was published on </w:t>
            </w:r>
            <w:r>
              <w:rPr>
                <w:noProof/>
                <w:color w:val="auto"/>
                <w:sz w:val="18"/>
                <w:szCs w:val="18"/>
              </w:rPr>
              <w:t>11</w:t>
            </w:r>
            <w:r w:rsidRPr="000E1EC3">
              <w:rPr>
                <w:noProof/>
                <w:color w:val="auto"/>
                <w:sz w:val="18"/>
                <w:szCs w:val="18"/>
              </w:rPr>
              <w:t xml:space="preserve"> May 2022.</w:t>
            </w:r>
          </w:p>
        </w:tc>
      </w:tr>
      <w:tr w:rsidR="008E30EC" w:rsidRPr="00147EEB" w14:paraId="6638AEAE"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1603180C" w14:textId="1F03AC74" w:rsidR="008E30EC" w:rsidRPr="00660723" w:rsidRDefault="008E30EC">
            <w:pPr>
              <w:pStyle w:val="NumberListNoIndent"/>
              <w:numPr>
                <w:ilvl w:val="0"/>
                <w:numId w:val="20"/>
              </w:numPr>
            </w:pPr>
            <w:r w:rsidRPr="009F70FA">
              <w:t>Publish data compliance report for</w:t>
            </w:r>
            <w:r>
              <w:t> </w:t>
            </w:r>
            <w:r w:rsidRPr="009F70FA">
              <w:t xml:space="preserve">December quarter 2021 by </w:t>
            </w:r>
            <w:r>
              <w:t>June </w:t>
            </w:r>
            <w:r w:rsidRPr="009F70FA">
              <w:t>2022.</w:t>
            </w:r>
          </w:p>
        </w:tc>
        <w:tc>
          <w:tcPr>
            <w:tcW w:w="567" w:type="dxa"/>
            <w:shd w:val="clear" w:color="auto" w:fill="FFFFFF" w:themeFill="background2"/>
            <w:tcMar>
              <w:top w:w="85" w:type="dxa"/>
              <w:left w:w="0" w:type="dxa"/>
              <w:bottom w:w="85" w:type="dxa"/>
              <w:right w:w="0" w:type="dxa"/>
            </w:tcMar>
          </w:tcPr>
          <w:p w14:paraId="0FBE3CC9" w14:textId="5CA0911B" w:rsidR="008E30EC" w:rsidRPr="0000287B" w:rsidRDefault="008E30EC" w:rsidP="008E30EC">
            <w:pPr>
              <w:pStyle w:val="Body-Financial"/>
              <w:rPr>
                <w:noProof/>
                <w:sz w:val="18"/>
                <w:szCs w:val="18"/>
              </w:rPr>
            </w:pPr>
            <w:r w:rsidRPr="00040249">
              <w:rPr>
                <w:noProof/>
                <w:sz w:val="18"/>
                <w:szCs w:val="18"/>
              </w:rPr>
              <w:drawing>
                <wp:inline distT="0" distB="0" distL="0" distR="0" wp14:anchorId="16EB950C" wp14:editId="3A4B68B6">
                  <wp:extent cx="211631" cy="341865"/>
                  <wp:effectExtent l="0" t="0" r="4445" b="1270"/>
                  <wp:docPr id="253" name="Picture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02E95E2" w14:textId="499BCDF2" w:rsidR="008E30EC" w:rsidRPr="0000287B" w:rsidRDefault="008E30EC" w:rsidP="008E30EC">
            <w:pPr>
              <w:pStyle w:val="Body-Financial"/>
              <w:rPr>
                <w:sz w:val="18"/>
                <w:szCs w:val="18"/>
              </w:rPr>
            </w:pPr>
            <w:r w:rsidRPr="000E1EC3">
              <w:rPr>
                <w:noProof/>
                <w:color w:val="auto"/>
                <w:sz w:val="18"/>
                <w:szCs w:val="18"/>
              </w:rPr>
              <w:t>The data compliance report for December quarter 2021 will be published on IHPA’s website in September 2022.</w:t>
            </w:r>
          </w:p>
        </w:tc>
      </w:tr>
      <w:tr w:rsidR="008E30EC" w:rsidRPr="00147EEB" w14:paraId="28C52CEE" w14:textId="77777777" w:rsidTr="00D95BFE">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50B49909" w14:textId="02CCF6CF" w:rsidR="008E30EC" w:rsidRPr="009F70FA" w:rsidRDefault="00B43BBB">
            <w:pPr>
              <w:pStyle w:val="NumberListNoIndent"/>
              <w:numPr>
                <w:ilvl w:val="0"/>
                <w:numId w:val="20"/>
              </w:numPr>
            </w:pPr>
            <w:r>
              <w:rPr>
                <w:noProof/>
                <w:color w:val="auto"/>
              </w:rPr>
              <w:t>C</w:t>
            </w:r>
            <w:r w:rsidR="00085121">
              <w:rPr>
                <w:noProof/>
                <w:color w:val="auto"/>
              </w:rPr>
              <w:t xml:space="preserve">ontinue to </w:t>
            </w:r>
            <w:r w:rsidR="008E30EC" w:rsidRPr="00B812E4">
              <w:rPr>
                <w:noProof/>
                <w:color w:val="auto"/>
              </w:rPr>
              <w:t>expand access to National Benchmarking Portal.</w:t>
            </w:r>
          </w:p>
        </w:tc>
        <w:tc>
          <w:tcPr>
            <w:tcW w:w="567" w:type="dxa"/>
            <w:shd w:val="clear" w:color="auto" w:fill="FFFFFF" w:themeFill="background2"/>
            <w:tcMar>
              <w:top w:w="85" w:type="dxa"/>
              <w:left w:w="0" w:type="dxa"/>
              <w:bottom w:w="85" w:type="dxa"/>
              <w:right w:w="0" w:type="dxa"/>
            </w:tcMar>
          </w:tcPr>
          <w:p w14:paraId="3B5FD466" w14:textId="4D705C86" w:rsidR="008E30EC" w:rsidRPr="00040249" w:rsidRDefault="008E30EC" w:rsidP="008E30EC">
            <w:pPr>
              <w:pStyle w:val="Body-Financial"/>
              <w:rPr>
                <w:noProof/>
                <w:sz w:val="18"/>
                <w:szCs w:val="18"/>
              </w:rPr>
            </w:pPr>
            <w:r w:rsidRPr="00040249">
              <w:rPr>
                <w:noProof/>
                <w:sz w:val="18"/>
                <w:szCs w:val="18"/>
              </w:rPr>
              <w:drawing>
                <wp:inline distT="0" distB="0" distL="0" distR="0" wp14:anchorId="6A9A715F" wp14:editId="79FCEA0D">
                  <wp:extent cx="211631" cy="341865"/>
                  <wp:effectExtent l="0" t="0" r="4445" b="1270"/>
                  <wp:docPr id="106" name="Picture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2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666416A2" w14:textId="6447D13B" w:rsidR="008E30EC" w:rsidRPr="000E1EC3" w:rsidRDefault="008E30EC" w:rsidP="008E30EC">
            <w:pPr>
              <w:pStyle w:val="Body-Financial"/>
              <w:rPr>
                <w:noProof/>
                <w:color w:val="auto"/>
                <w:sz w:val="18"/>
                <w:szCs w:val="18"/>
              </w:rPr>
            </w:pPr>
            <w:r w:rsidRPr="004A406D">
              <w:rPr>
                <w:noProof/>
                <w:color w:val="auto"/>
                <w:sz w:val="18"/>
                <w:szCs w:val="18"/>
                <w:lang w:val="en-PH"/>
              </w:rPr>
              <w:t>IHPA consulted with stakeholders to develop a  pathway for the expansion of access to the National</w:t>
            </w:r>
            <w:r>
              <w:rPr>
                <w:noProof/>
                <w:color w:val="auto"/>
                <w:sz w:val="18"/>
                <w:szCs w:val="18"/>
                <w:lang w:val="en-PH"/>
              </w:rPr>
              <w:t> </w:t>
            </w:r>
            <w:r w:rsidRPr="004A406D">
              <w:rPr>
                <w:noProof/>
                <w:color w:val="auto"/>
                <w:sz w:val="18"/>
                <w:szCs w:val="18"/>
                <w:lang w:val="en-PH"/>
              </w:rPr>
              <w:t>Benchmarking Portal to the general public, while ensuring sufficient context and privacy protections are in place. The portal was released on</w:t>
            </w:r>
            <w:r>
              <w:rPr>
                <w:noProof/>
                <w:color w:val="auto"/>
                <w:sz w:val="18"/>
                <w:szCs w:val="18"/>
                <w:lang w:val="en-PH"/>
              </w:rPr>
              <w:t> </w:t>
            </w:r>
            <w:r w:rsidRPr="004A406D">
              <w:rPr>
                <w:noProof/>
                <w:color w:val="auto"/>
                <w:sz w:val="18"/>
                <w:szCs w:val="18"/>
                <w:lang w:val="en-PH"/>
              </w:rPr>
              <w:t>26 July 2022.</w:t>
            </w:r>
          </w:p>
        </w:tc>
      </w:tr>
    </w:tbl>
    <w:p w14:paraId="49A0E150" w14:textId="77777777" w:rsidR="00040249" w:rsidRDefault="00040249" w:rsidP="000A6C71">
      <w:pPr>
        <w:pStyle w:val="Body"/>
      </w:pPr>
    </w:p>
    <w:p w14:paraId="27352E1C" w14:textId="3E36A996" w:rsidR="0023576D" w:rsidRDefault="0023576D" w:rsidP="000A6C71">
      <w:pPr>
        <w:pStyle w:val="Body"/>
        <w:sectPr w:rsidR="0023576D" w:rsidSect="00BF350C">
          <w:footerReference w:type="default" r:id="rId133"/>
          <w:pgSz w:w="9979" w:h="14175"/>
          <w:pgMar w:top="993" w:right="1134" w:bottom="851" w:left="1134" w:header="709" w:footer="709" w:gutter="0"/>
          <w:cols w:space="282"/>
          <w:docGrid w:linePitch="360"/>
        </w:sectPr>
      </w:pPr>
    </w:p>
    <w:p w14:paraId="47CE0ABD" w14:textId="77777777" w:rsidR="009B632B" w:rsidRPr="00512215" w:rsidRDefault="009B632B" w:rsidP="009B632B">
      <w:pPr>
        <w:pStyle w:val="H3"/>
        <w:rPr>
          <w:color w:val="5E2F7E" w:themeColor="accent5"/>
        </w:rPr>
      </w:pPr>
      <w:r w:rsidRPr="00512215">
        <w:rPr>
          <w:noProof/>
          <w:color w:val="5E2F7E" w:themeColor="accent5"/>
          <w:sz w:val="28"/>
          <w:szCs w:val="28"/>
          <w:lang w:eastAsia="en-AU"/>
        </w:rPr>
        <mc:AlternateContent>
          <mc:Choice Requires="wps">
            <w:drawing>
              <wp:anchor distT="0" distB="0" distL="114300" distR="114300" simplePos="0" relativeHeight="252035072" behindDoc="1" locked="0" layoutInCell="1" allowOverlap="1" wp14:anchorId="3D0617F9" wp14:editId="26065666">
                <wp:simplePos x="0" y="0"/>
                <wp:positionH relativeFrom="column">
                  <wp:posOffset>-255856</wp:posOffset>
                </wp:positionH>
                <wp:positionV relativeFrom="paragraph">
                  <wp:posOffset>-103018</wp:posOffset>
                </wp:positionV>
                <wp:extent cx="5300345" cy="5915465"/>
                <wp:effectExtent l="0" t="0" r="8255" b="15875"/>
                <wp:wrapNone/>
                <wp:docPr id="212" name="Rectangle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5915465"/>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2B609" id="Rectangle 212" o:spid="_x0000_s1026" alt="&quot;&quot;" style="position:absolute;margin-left:-20.15pt;margin-top:-8.1pt;width:417.35pt;height:465.8pt;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" filled="f" strokecolor="#5e2f7e [3208]" strokeweight=".5pt"/>
            </w:pict>
          </mc:Fallback>
        </mc:AlternateContent>
      </w:r>
      <w:r w:rsidRPr="00512215">
        <w:rPr>
          <w:color w:val="5E2F7E" w:themeColor="accent5"/>
        </w:rPr>
        <w:t>Analysis</w:t>
      </w:r>
    </w:p>
    <w:p w14:paraId="01F007CD" w14:textId="77777777" w:rsidR="00E323BC" w:rsidRDefault="00E323BC" w:rsidP="00E323BC">
      <w:pPr>
        <w:pStyle w:val="Body"/>
      </w:pPr>
      <w:r>
        <w:t>Throughout 2021–22, IHPA continued to work with national health bodies to ensure cost and expenditure data from jurisdictions was received in a timely basis and adhered to the existing data development standards to ensure it was able to perform its core determinative functions. This was done through the publication of the rolling Three Year Data Plan, which was published in June 2022 for the period of 2022–23 to 2024–25.</w:t>
      </w:r>
    </w:p>
    <w:p w14:paraId="7067E3A7" w14:textId="74F5C59B" w:rsidR="00E323BC" w:rsidRDefault="00E323BC" w:rsidP="00E323BC">
      <w:pPr>
        <w:pStyle w:val="Body"/>
      </w:pPr>
      <w:r>
        <w:t>Now in its tenth year, the plan specifies the data requirements and timelines that IHPA will use to collect data</w:t>
      </w:r>
      <w:r w:rsidR="007B425B">
        <w:t> </w:t>
      </w:r>
      <w:r>
        <w:t xml:space="preserve">over the next three years along, with commitments from the Commonwealth and state and territory governments. </w:t>
      </w:r>
    </w:p>
    <w:p w14:paraId="5C956B40" w14:textId="77777777" w:rsidR="00E323BC" w:rsidRDefault="00E323BC" w:rsidP="00E323BC">
      <w:pPr>
        <w:pStyle w:val="Body"/>
      </w:pPr>
      <w:r>
        <w:t xml:space="preserve">Through the Pricing Framework for Australian Public Hospital Services, IHPA continues to advocate for the routine collection of the Individual Healthcare Identifier to provide greater transparency of the patient journey and to support implementation of new funding models. </w:t>
      </w:r>
    </w:p>
    <w:p w14:paraId="6B406CDC" w14:textId="698B4B84" w:rsidR="00E323BC" w:rsidRDefault="00E323BC" w:rsidP="00E323BC">
      <w:pPr>
        <w:pStyle w:val="Body"/>
      </w:pPr>
      <w:r>
        <w:t>IHPA commenced a pilot collection of the Individual Healthcare Identifier in 2021 to support jurisdictions in</w:t>
      </w:r>
      <w:r w:rsidR="007B425B">
        <w:t> </w:t>
      </w:r>
      <w:r>
        <w:t>addressing implementation issues, and to consider data specifications and data submission processes. The</w:t>
      </w:r>
      <w:r w:rsidR="007B425B">
        <w:t> </w:t>
      </w:r>
      <w:r>
        <w:t>Individual Healthcare Identifier Pilot Data Submission Final Report was finalised in April 2022 and the Individual Healthcare Identifier implemented on a best endeavors basis into ABF data sets from July 2022.</w:t>
      </w:r>
    </w:p>
    <w:p w14:paraId="219D225E" w14:textId="77777777" w:rsidR="00E323BC" w:rsidRDefault="00E323BC" w:rsidP="00E323BC">
      <w:pPr>
        <w:pStyle w:val="Body"/>
      </w:pPr>
      <w:r>
        <w:t>Following consultation with jurisdictions, stakeholders and the broader public, in mid-2021, IHPA began the development of a new National Benchmarking Portal (NBP) that would be made publicly available for the first time. This included work to ensure appropriate privacy protections are in place for release to the public. It is anticipated that increased access to the NBP will enhance policy decisions and improve patient outcomes.</w:t>
      </w:r>
    </w:p>
    <w:p w14:paraId="243C4019" w14:textId="77777777" w:rsidR="00E323BC" w:rsidRDefault="00E323BC" w:rsidP="00E323BC">
      <w:pPr>
        <w:pStyle w:val="Body"/>
      </w:pPr>
      <w:r>
        <w:t>The release of the NBP is in two phases. The first phase of the launch, which included dashboards that focus on cost and activity data based on the cost per national weighted activity unit, comprised of costed activity data that is in-scope for activity based funding within each activity stream was released in July 2022.</w:t>
      </w:r>
    </w:p>
    <w:p w14:paraId="3673D1A7" w14:textId="77777777" w:rsidR="00E323BC" w:rsidRDefault="00E323BC" w:rsidP="00E323BC">
      <w:pPr>
        <w:pStyle w:val="Body"/>
      </w:pPr>
      <w:r>
        <w:t xml:space="preserve">Phase two of the NBP launch will expand the data accessible to the public whereby safety and quality rates will be included in the NBP. This is set to be released in March 2023. </w:t>
      </w:r>
    </w:p>
    <w:p w14:paraId="143ED3F4" w14:textId="77777777" w:rsidR="00E323BC" w:rsidRDefault="00E323BC" w:rsidP="00E323BC">
      <w:pPr>
        <w:pStyle w:val="Body"/>
      </w:pPr>
      <w:r>
        <w:t>Both iterations of data releases will be supported by informative resources to help users in navigating the new platform. This includes the release of a user guide, technical specifications and an instructional video.</w:t>
      </w:r>
    </w:p>
    <w:p w14:paraId="192D5CF6" w14:textId="4955FAC7" w:rsidR="0023576D" w:rsidRDefault="00E323BC" w:rsidP="00E323BC">
      <w:pPr>
        <w:pStyle w:val="Body"/>
      </w:pPr>
      <w:r>
        <w:t>IHPA collected jurisdictional activity data submissions for 2021–22 on a quarterly basis as outlined in its work program and published the associated data compliance reports for each quarter on its website in accordance with the IHPA Data Compliance Policy.</w:t>
      </w:r>
    </w:p>
    <w:p w14:paraId="0C7D8BF8" w14:textId="77777777" w:rsidR="0023576D" w:rsidRDefault="0023576D" w:rsidP="000A6C71">
      <w:pPr>
        <w:pStyle w:val="Body"/>
        <w:sectPr w:rsidR="0023576D" w:rsidSect="00BF350C">
          <w:footerReference w:type="default" r:id="rId134"/>
          <w:pgSz w:w="9979" w:h="14175"/>
          <w:pgMar w:top="993" w:right="1134" w:bottom="851" w:left="1134" w:header="709" w:footer="709" w:gutter="0"/>
          <w:cols w:space="282"/>
          <w:docGrid w:linePitch="360"/>
        </w:sectPr>
      </w:pPr>
    </w:p>
    <w:p w14:paraId="037B1EC9" w14:textId="29D3CA39" w:rsidR="00121FDF" w:rsidRPr="00753E17" w:rsidRDefault="00121FDF" w:rsidP="00121FDF">
      <w:pPr>
        <w:pStyle w:val="H3"/>
        <w:rPr>
          <w:color w:val="5E2F7E" w:themeColor="accent5"/>
        </w:rPr>
      </w:pPr>
      <w:r w:rsidRPr="00753E17">
        <w:rPr>
          <w:color w:val="5E2F7E" w:themeColor="accent5"/>
        </w:rPr>
        <w:t>Activity 5: Resolve disputes on cost‑shifting and cross‑border</w:t>
      </w:r>
      <w:r w:rsidR="00753E17">
        <w:rPr>
          <w:color w:val="5E2F7E" w:themeColor="accent5"/>
        </w:rPr>
        <w:t> </w:t>
      </w:r>
      <w:r w:rsidRPr="00753E17">
        <w:rPr>
          <w:color w:val="5E2F7E" w:themeColor="accent5"/>
        </w:rPr>
        <w:t>issues</w:t>
      </w:r>
    </w:p>
    <w:p w14:paraId="266D02C5" w14:textId="77777777" w:rsidR="009028FA" w:rsidRPr="009028FA" w:rsidRDefault="009028FA" w:rsidP="009028FA">
      <w:pPr>
        <w:pStyle w:val="Body"/>
      </w:pPr>
      <w:r w:rsidRPr="009028FA">
        <w:t>IHPA has a role to investigate and make recommendations concerning cross-border disputes between states and territories and to make assessments of cost‑shifting disputes.</w:t>
      </w:r>
    </w:p>
    <w:p w14:paraId="671F5BFA" w14:textId="77777777" w:rsidR="00753E17" w:rsidRDefault="00753E17" w:rsidP="00753E17">
      <w:pPr>
        <w:pStyle w:val="H3"/>
        <w:spacing w:before="480"/>
        <w:rPr>
          <w:color w:val="5E2F7E" w:themeColor="accent5"/>
        </w:rPr>
      </w:pPr>
      <w:r w:rsidRPr="00AA0433">
        <w:rPr>
          <w:noProof/>
          <w:color w:val="5E2F7E" w:themeColor="accent5"/>
          <w:sz w:val="28"/>
          <w:szCs w:val="28"/>
          <w:lang w:eastAsia="en-AU"/>
        </w:rPr>
        <mc:AlternateContent>
          <mc:Choice Requires="wps">
            <w:drawing>
              <wp:anchor distT="0" distB="0" distL="114300" distR="114300" simplePos="0" relativeHeight="252073984" behindDoc="1" locked="0" layoutInCell="1" allowOverlap="1" wp14:anchorId="1FF7E4F1" wp14:editId="7B06DC5E">
                <wp:simplePos x="0" y="0"/>
                <wp:positionH relativeFrom="column">
                  <wp:posOffset>-199585</wp:posOffset>
                </wp:positionH>
                <wp:positionV relativeFrom="paragraph">
                  <wp:posOffset>65698</wp:posOffset>
                </wp:positionV>
                <wp:extent cx="5300345" cy="1948375"/>
                <wp:effectExtent l="0" t="0" r="8255" b="7620"/>
                <wp:wrapNone/>
                <wp:docPr id="107" name="Rectangle 1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1948375"/>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8FFFB" id="Rectangle 107" o:spid="_x0000_s1026" alt="&quot;&quot;" style="position:absolute;margin-left:-15.7pt;margin-top:5.15pt;width:417.35pt;height:153.4pt;z-index:-2512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" filled="f" strokecolor="#5e2f7e [3208]" strokeweight=".5pt"/>
            </w:pict>
          </mc:Fallback>
        </mc:AlternateContent>
      </w:r>
      <w:r w:rsidRPr="00AA0433">
        <w:rPr>
          <w:color w:val="5E2F7E" w:themeColor="accent5"/>
        </w:rPr>
        <w:t>Results</w:t>
      </w:r>
    </w:p>
    <w:p w14:paraId="5F2F5E07" w14:textId="51218F6A" w:rsidR="00753E17" w:rsidRPr="00A91E91" w:rsidRDefault="00753E17" w:rsidP="00753E17">
      <w:pPr>
        <w:rPr>
          <w:color w:val="1C1C1C"/>
          <w:sz w:val="18"/>
          <w:szCs w:val="18"/>
        </w:rPr>
      </w:pPr>
      <w:r w:rsidRPr="00877086">
        <w:rPr>
          <w:color w:val="1C1C1C"/>
          <w:sz w:val="18"/>
          <w:szCs w:val="18"/>
        </w:rPr>
        <w:t xml:space="preserve">The reporting of Activity </w:t>
      </w:r>
      <w:r>
        <w:rPr>
          <w:color w:val="1C1C1C"/>
          <w:sz w:val="18"/>
          <w:szCs w:val="18"/>
        </w:rPr>
        <w:t>5</w:t>
      </w:r>
      <w:r w:rsidRPr="00877086">
        <w:rPr>
          <w:color w:val="1C1C1C"/>
          <w:sz w:val="18"/>
          <w:szCs w:val="18"/>
        </w:rPr>
        <w:t xml:space="preserve"> in this annual report refers to the deliverables of Strategic Objective </w:t>
      </w:r>
      <w:r>
        <w:rPr>
          <w:color w:val="1C1C1C"/>
          <w:sz w:val="18"/>
          <w:szCs w:val="18"/>
        </w:rPr>
        <w:t>5</w:t>
      </w:r>
      <w:r w:rsidRPr="00877086">
        <w:rPr>
          <w:color w:val="1C1C1C"/>
          <w:sz w:val="18"/>
          <w:szCs w:val="18"/>
        </w:rPr>
        <w:t xml:space="preserve"> in the IHPA Work Program and Corporate Plan 2021–22, as part of Program 1.1 of the Portfolio Budget Statements.</w:t>
      </w:r>
    </w:p>
    <w:p w14:paraId="793CCF7E" w14:textId="61EECB8E" w:rsidR="00753E17" w:rsidRDefault="00753E17" w:rsidP="00753E17">
      <w:pPr>
        <w:pStyle w:val="FigureHeading"/>
      </w:pPr>
      <w:bookmarkStart w:id="57" w:name="_Toc114824660"/>
      <w:r w:rsidRPr="00466E0A">
        <w:t xml:space="preserve">Table </w:t>
      </w:r>
      <w:r>
        <w:t>5</w:t>
      </w:r>
      <w:r w:rsidRPr="00466E0A">
        <w:t xml:space="preserve">: Summary of Performance for Activity </w:t>
      </w:r>
      <w:r>
        <w:t>5</w:t>
      </w:r>
      <w:r w:rsidRPr="00466E0A">
        <w:t xml:space="preserve"> in 2021–22</w:t>
      </w:r>
      <w:bookmarkEnd w:id="57"/>
    </w:p>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5812"/>
        <w:gridCol w:w="992"/>
        <w:gridCol w:w="993"/>
      </w:tblGrid>
      <w:tr w:rsidR="00753E17" w:rsidRPr="00466E0A" w14:paraId="3736B294"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5812" w:type="dxa"/>
            <w:shd w:val="clear" w:color="auto" w:fill="5E2F7E" w:themeFill="accent5"/>
            <w:vAlign w:val="center"/>
          </w:tcPr>
          <w:p w14:paraId="2CF104CB" w14:textId="77777777" w:rsidR="00753E17" w:rsidRPr="00CB09AF" w:rsidRDefault="00753E17" w:rsidP="00B15944">
            <w:pPr>
              <w:pStyle w:val="Body"/>
              <w:rPr>
                <w:rFonts w:asciiTheme="majorHAnsi" w:hAnsiTheme="majorHAnsi"/>
                <w:color w:val="FFFFFF" w:themeColor="background2"/>
              </w:rPr>
            </w:pPr>
            <w:r>
              <w:rPr>
                <w:rFonts w:asciiTheme="majorHAnsi" w:hAnsiTheme="majorHAnsi"/>
                <w:color w:val="FFFFFF" w:themeColor="background2"/>
              </w:rPr>
              <w:t>Summary of Performance</w:t>
            </w:r>
          </w:p>
        </w:tc>
        <w:tc>
          <w:tcPr>
            <w:tcW w:w="992" w:type="dxa"/>
            <w:shd w:val="clear" w:color="auto" w:fill="5E2F7E" w:themeFill="accent5"/>
            <w:vAlign w:val="center"/>
          </w:tcPr>
          <w:p w14:paraId="3551A881" w14:textId="77777777" w:rsidR="00753E17" w:rsidRPr="00CB09AF" w:rsidRDefault="00753E17" w:rsidP="00B15944">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18BA1EA7" w14:textId="77777777" w:rsidR="00753E17" w:rsidRPr="00CB09AF" w:rsidRDefault="00753E17" w:rsidP="00B15944">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753E17" w:rsidRPr="00466E0A" w14:paraId="02586510" w14:textId="77777777" w:rsidTr="00B15944">
        <w:trPr>
          <w:cnfStyle w:val="000000100000" w:firstRow="0" w:lastRow="0" w:firstColumn="0" w:lastColumn="0" w:oddVBand="0" w:evenVBand="0" w:oddHBand="1" w:evenHBand="0" w:firstRowFirstColumn="0" w:firstRowLastColumn="0" w:lastRowFirstColumn="0" w:lastRowLastColumn="0"/>
          <w:trHeight w:val="46"/>
        </w:trPr>
        <w:tc>
          <w:tcPr>
            <w:tcW w:w="5812" w:type="dxa"/>
            <w:tcMar>
              <w:top w:w="85" w:type="dxa"/>
              <w:bottom w:w="85" w:type="dxa"/>
            </w:tcMar>
          </w:tcPr>
          <w:p w14:paraId="1E20B88B" w14:textId="589D083A" w:rsidR="00753E17" w:rsidRPr="00466E0A" w:rsidRDefault="00EE4895" w:rsidP="00B15944">
            <w:pPr>
              <w:pStyle w:val="Body-Financial"/>
              <w:spacing w:after="0"/>
              <w:rPr>
                <w:sz w:val="18"/>
              </w:rPr>
            </w:pPr>
            <w:r w:rsidRPr="00EE4895">
              <w:rPr>
                <w:sz w:val="18"/>
                <w:lang w:val="en-PH"/>
              </w:rPr>
              <w:t>Publish an updated Cost-Shifting and Cross-Border Dispute Resolution Policy.</w:t>
            </w:r>
          </w:p>
        </w:tc>
        <w:tc>
          <w:tcPr>
            <w:tcW w:w="992" w:type="dxa"/>
          </w:tcPr>
          <w:p w14:paraId="68546E95" w14:textId="4A9ECACE" w:rsidR="00753E17" w:rsidRPr="00466E0A" w:rsidRDefault="00EE4895" w:rsidP="00B15944">
            <w:pPr>
              <w:pStyle w:val="Body-Financial"/>
              <w:spacing w:after="0"/>
              <w:jc w:val="right"/>
              <w:rPr>
                <w:sz w:val="18"/>
              </w:rPr>
            </w:pPr>
            <w:r>
              <w:rPr>
                <w:sz w:val="18"/>
              </w:rPr>
              <w:t>Ju</w:t>
            </w:r>
            <w:r w:rsidR="003C5F44">
              <w:rPr>
                <w:sz w:val="18"/>
              </w:rPr>
              <w:t>n</w:t>
            </w:r>
            <w:r>
              <w:rPr>
                <w:sz w:val="18"/>
              </w:rPr>
              <w:t xml:space="preserve"> 2022</w:t>
            </w:r>
          </w:p>
        </w:tc>
        <w:tc>
          <w:tcPr>
            <w:tcW w:w="993" w:type="dxa"/>
            <w:tcMar>
              <w:top w:w="85" w:type="dxa"/>
              <w:bottom w:w="85" w:type="dxa"/>
            </w:tcMar>
          </w:tcPr>
          <w:p w14:paraId="0A232BEA" w14:textId="40DF3127" w:rsidR="00753E17" w:rsidRPr="00466E0A" w:rsidRDefault="00EE4895" w:rsidP="00B15944">
            <w:pPr>
              <w:pStyle w:val="Body-Financial"/>
              <w:spacing w:after="0"/>
              <w:jc w:val="right"/>
              <w:rPr>
                <w:sz w:val="18"/>
              </w:rPr>
            </w:pPr>
            <w:r>
              <w:rPr>
                <w:sz w:val="18"/>
              </w:rPr>
              <w:t>Delivered</w:t>
            </w:r>
          </w:p>
        </w:tc>
      </w:tr>
    </w:tbl>
    <w:p w14:paraId="1429BB02" w14:textId="088AE062" w:rsidR="00753E17" w:rsidRDefault="00753E17" w:rsidP="00873D2D">
      <w:pPr>
        <w:pStyle w:val="Body"/>
        <w:spacing w:after="480"/>
      </w:pPr>
    </w:p>
    <w:tbl>
      <w:tblPr>
        <w:tblStyle w:val="TableGrid"/>
        <w:tblW w:w="7797" w:type="dxa"/>
        <w:tblLook w:val="04A0" w:firstRow="1" w:lastRow="0" w:firstColumn="1" w:lastColumn="0" w:noHBand="0" w:noVBand="1"/>
      </w:tblPr>
      <w:tblGrid>
        <w:gridCol w:w="3261"/>
        <w:gridCol w:w="567"/>
        <w:gridCol w:w="3969"/>
      </w:tblGrid>
      <w:tr w:rsidR="00873D2D" w:rsidRPr="000A6025" w14:paraId="4BC78C79"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143CE701" w14:textId="77777777" w:rsidR="00873D2D" w:rsidRPr="000A6025" w:rsidRDefault="00873D2D" w:rsidP="00B15944">
            <w:pPr>
              <w:pStyle w:val="Body"/>
              <w:rPr>
                <w:rFonts w:asciiTheme="majorHAnsi" w:hAnsiTheme="majorHAnsi"/>
                <w:color w:val="FFFFFF" w:themeColor="background2"/>
              </w:rPr>
            </w:pPr>
            <w:r w:rsidRPr="000A6025">
              <w:rPr>
                <w:rFonts w:asciiTheme="majorHAnsi" w:hAnsiTheme="majorHAnsi"/>
                <w:color w:val="FFFFFF" w:themeColor="background2"/>
              </w:rPr>
              <w:t>Performance criteria</w:t>
            </w:r>
          </w:p>
        </w:tc>
        <w:tc>
          <w:tcPr>
            <w:tcW w:w="567" w:type="dxa"/>
            <w:shd w:val="clear" w:color="auto" w:fill="FFFFFF" w:themeFill="background2"/>
            <w:vAlign w:val="center"/>
          </w:tcPr>
          <w:p w14:paraId="7F76D82B" w14:textId="77777777" w:rsidR="00873D2D" w:rsidRPr="000A6025" w:rsidRDefault="00873D2D" w:rsidP="00B15944">
            <w:pPr>
              <w:pStyle w:val="Body"/>
              <w:rPr>
                <w:rFonts w:asciiTheme="majorHAnsi" w:hAnsiTheme="majorHAnsi"/>
                <w:color w:val="FFFFFF" w:themeColor="background2"/>
              </w:rPr>
            </w:pPr>
          </w:p>
        </w:tc>
        <w:tc>
          <w:tcPr>
            <w:tcW w:w="3969" w:type="dxa"/>
            <w:vAlign w:val="center"/>
          </w:tcPr>
          <w:p w14:paraId="0D4FDC6A" w14:textId="77777777" w:rsidR="00873D2D" w:rsidRPr="000A6025" w:rsidRDefault="00873D2D" w:rsidP="00B15944">
            <w:pPr>
              <w:pStyle w:val="Body"/>
              <w:rPr>
                <w:rFonts w:asciiTheme="majorHAnsi" w:hAnsiTheme="majorHAnsi"/>
                <w:color w:val="FFFFFF" w:themeColor="background2"/>
              </w:rPr>
            </w:pPr>
            <w:r w:rsidRPr="000A6025">
              <w:rPr>
                <w:rFonts w:asciiTheme="majorHAnsi" w:hAnsiTheme="majorHAnsi"/>
                <w:color w:val="FFFFFF" w:themeColor="background2"/>
              </w:rPr>
              <w:t>Results against performance criteria</w:t>
            </w:r>
          </w:p>
        </w:tc>
      </w:tr>
      <w:tr w:rsidR="00203D76" w:rsidRPr="00660723" w14:paraId="40F79918" w14:textId="77777777" w:rsidTr="00F3055F">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4164E01D" w14:textId="48D71222" w:rsidR="00203D76" w:rsidRPr="00660723" w:rsidRDefault="003C5F44">
            <w:pPr>
              <w:pStyle w:val="NumberListNoIndent"/>
              <w:numPr>
                <w:ilvl w:val="0"/>
                <w:numId w:val="24"/>
              </w:numPr>
              <w:rPr>
                <w:noProof/>
              </w:rPr>
            </w:pPr>
            <w:r w:rsidRPr="003C5F44">
              <w:t>Conduct an annual review of the</w:t>
            </w:r>
            <w:r w:rsidRPr="003C5F44" w:rsidDel="003C5F44">
              <w:t xml:space="preserve"> </w:t>
            </w:r>
            <w:r w:rsidR="00203D76" w:rsidRPr="00B812E4">
              <w:t>Cost-Shifting and Cross-Border Dispute Resolution Policy.</w:t>
            </w:r>
          </w:p>
        </w:tc>
        <w:tc>
          <w:tcPr>
            <w:tcW w:w="567" w:type="dxa"/>
            <w:shd w:val="clear" w:color="auto" w:fill="FFFFFF" w:themeFill="background2"/>
            <w:tcMar>
              <w:top w:w="85" w:type="dxa"/>
              <w:left w:w="0" w:type="dxa"/>
              <w:bottom w:w="85" w:type="dxa"/>
              <w:right w:w="0" w:type="dxa"/>
            </w:tcMar>
          </w:tcPr>
          <w:p w14:paraId="55F6906D" w14:textId="77777777" w:rsidR="00203D76" w:rsidRPr="0000287B" w:rsidRDefault="00203D76" w:rsidP="00203D76">
            <w:pPr>
              <w:pStyle w:val="Body-Financial"/>
              <w:rPr>
                <w:sz w:val="18"/>
                <w:szCs w:val="18"/>
              </w:rPr>
            </w:pPr>
            <w:r w:rsidRPr="00040249">
              <w:rPr>
                <w:noProof/>
                <w:sz w:val="18"/>
                <w:szCs w:val="18"/>
              </w:rPr>
              <w:drawing>
                <wp:inline distT="0" distB="0" distL="0" distR="0" wp14:anchorId="51EBEA94" wp14:editId="76ABF00D">
                  <wp:extent cx="211631" cy="341865"/>
                  <wp:effectExtent l="0" t="0" r="4445" b="1270"/>
                  <wp:docPr id="108" name="Picture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52">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6F0F81E8" w14:textId="39EC7B10" w:rsidR="00203D76" w:rsidRPr="00660723" w:rsidRDefault="00203D76" w:rsidP="00203D76">
            <w:pPr>
              <w:rPr>
                <w:noProof/>
                <w:color w:val="auto"/>
                <w:sz w:val="18"/>
                <w:szCs w:val="18"/>
              </w:rPr>
            </w:pPr>
            <w:r w:rsidRPr="00873D2D">
              <w:rPr>
                <w:noProof/>
                <w:color w:val="auto"/>
                <w:sz w:val="18"/>
                <w:szCs w:val="18"/>
                <w:lang w:val="en-PH"/>
              </w:rPr>
              <w:t>An updated Cost-Shifting and Cross-Border Dispute Resolution Policy (Version 5.0) was published in June</w:t>
            </w:r>
            <w:r>
              <w:rPr>
                <w:noProof/>
                <w:color w:val="auto"/>
                <w:sz w:val="18"/>
                <w:szCs w:val="18"/>
                <w:lang w:val="en-PH"/>
              </w:rPr>
              <w:t> </w:t>
            </w:r>
            <w:r w:rsidRPr="00873D2D">
              <w:rPr>
                <w:noProof/>
                <w:color w:val="auto"/>
                <w:sz w:val="18"/>
                <w:szCs w:val="18"/>
                <w:lang w:val="en-PH"/>
              </w:rPr>
              <w:t>2022.</w:t>
            </w:r>
          </w:p>
        </w:tc>
      </w:tr>
      <w:tr w:rsidR="00203D76" w:rsidRPr="0000287B" w14:paraId="76EBDF8C" w14:textId="77777777" w:rsidTr="00F3055F">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75B8F246" w14:textId="0A623072" w:rsidR="00203D76" w:rsidRPr="00660723" w:rsidRDefault="00203D76">
            <w:pPr>
              <w:pStyle w:val="NumberListNoIndent"/>
              <w:numPr>
                <w:ilvl w:val="0"/>
                <w:numId w:val="24"/>
              </w:numPr>
            </w:pPr>
            <w:r w:rsidRPr="00B812E4">
              <w:t>Investigation of cost-shifting or cross border disputes and provision of recommendations or assessment within six months of receipt of the request.</w:t>
            </w:r>
          </w:p>
        </w:tc>
        <w:tc>
          <w:tcPr>
            <w:tcW w:w="567" w:type="dxa"/>
            <w:shd w:val="clear" w:color="auto" w:fill="FFFFFF" w:themeFill="background2"/>
            <w:tcMar>
              <w:top w:w="85" w:type="dxa"/>
              <w:left w:w="0" w:type="dxa"/>
              <w:bottom w:w="85" w:type="dxa"/>
              <w:right w:w="0" w:type="dxa"/>
            </w:tcMar>
          </w:tcPr>
          <w:p w14:paraId="53336F59" w14:textId="77777777" w:rsidR="00203D76" w:rsidRPr="0000287B" w:rsidRDefault="00203D76" w:rsidP="00203D76">
            <w:pPr>
              <w:pStyle w:val="Body-Financial"/>
              <w:rPr>
                <w:noProof/>
                <w:sz w:val="18"/>
                <w:szCs w:val="18"/>
              </w:rPr>
            </w:pPr>
            <w:r w:rsidRPr="00040249">
              <w:rPr>
                <w:noProof/>
                <w:sz w:val="18"/>
                <w:szCs w:val="18"/>
              </w:rPr>
              <w:drawing>
                <wp:inline distT="0" distB="0" distL="0" distR="0" wp14:anchorId="41202BBC" wp14:editId="3D252253">
                  <wp:extent cx="211631" cy="341865"/>
                  <wp:effectExtent l="0" t="0" r="4445" b="1270"/>
                  <wp:docPr id="109" name="Picture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253">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7743965A" w14:textId="08BEF744" w:rsidR="00203D76" w:rsidRPr="0000287B" w:rsidRDefault="00203D76" w:rsidP="00203D76">
            <w:pPr>
              <w:pStyle w:val="Body-Financial"/>
              <w:rPr>
                <w:sz w:val="18"/>
                <w:szCs w:val="18"/>
              </w:rPr>
            </w:pPr>
            <w:r w:rsidRPr="00873D2D">
              <w:rPr>
                <w:noProof/>
                <w:color w:val="auto"/>
                <w:sz w:val="18"/>
                <w:szCs w:val="18"/>
                <w:lang w:val="en-PH"/>
              </w:rPr>
              <w:t xml:space="preserve">IHPA received a submission from South Australia in March 2022 under section 138 and 140 of the </w:t>
            </w:r>
            <w:r w:rsidRPr="00873D2D">
              <w:rPr>
                <w:i/>
                <w:iCs/>
                <w:noProof/>
                <w:color w:val="auto"/>
                <w:sz w:val="18"/>
                <w:szCs w:val="18"/>
                <w:lang w:val="en-PH"/>
              </w:rPr>
              <w:t>National Health Reform Act 2011</w:t>
            </w:r>
            <w:r w:rsidRPr="00873D2D">
              <w:rPr>
                <w:noProof/>
                <w:color w:val="auto"/>
                <w:sz w:val="18"/>
                <w:szCs w:val="18"/>
                <w:lang w:val="en-PH"/>
              </w:rPr>
              <w:t>. The assessment and investigation of this cross-border dispute is</w:t>
            </w:r>
            <w:r>
              <w:rPr>
                <w:noProof/>
                <w:color w:val="auto"/>
                <w:sz w:val="18"/>
                <w:szCs w:val="18"/>
                <w:lang w:val="en-PH"/>
              </w:rPr>
              <w:t> </w:t>
            </w:r>
            <w:r w:rsidRPr="00873D2D">
              <w:rPr>
                <w:noProof/>
                <w:color w:val="auto"/>
                <w:sz w:val="18"/>
                <w:szCs w:val="18"/>
                <w:lang w:val="en-PH"/>
              </w:rPr>
              <w:t>ongoing.</w:t>
            </w:r>
          </w:p>
        </w:tc>
      </w:tr>
    </w:tbl>
    <w:p w14:paraId="7FCDAED6" w14:textId="52CEBE0E" w:rsidR="00873D2D" w:rsidRPr="00512215" w:rsidRDefault="00873D2D" w:rsidP="00873D2D">
      <w:pPr>
        <w:pStyle w:val="H3"/>
        <w:spacing w:before="480"/>
        <w:rPr>
          <w:color w:val="5E2F7E" w:themeColor="accent5"/>
        </w:rPr>
      </w:pPr>
      <w:r w:rsidRPr="00512215">
        <w:rPr>
          <w:noProof/>
          <w:color w:val="5E2F7E" w:themeColor="accent5"/>
          <w:sz w:val="28"/>
          <w:szCs w:val="28"/>
          <w:lang w:eastAsia="en-AU"/>
        </w:rPr>
        <mc:AlternateContent>
          <mc:Choice Requires="wps">
            <w:drawing>
              <wp:anchor distT="0" distB="0" distL="114300" distR="114300" simplePos="0" relativeHeight="252076032" behindDoc="1" locked="0" layoutInCell="1" allowOverlap="1" wp14:anchorId="2F549D4D" wp14:editId="79CDFFE2">
                <wp:simplePos x="0" y="0"/>
                <wp:positionH relativeFrom="column">
                  <wp:posOffset>-256540</wp:posOffset>
                </wp:positionH>
                <wp:positionV relativeFrom="paragraph">
                  <wp:posOffset>147321</wp:posOffset>
                </wp:positionV>
                <wp:extent cx="5300345" cy="2057400"/>
                <wp:effectExtent l="0" t="0" r="14605" b="19050"/>
                <wp:wrapNone/>
                <wp:docPr id="110" name="Rectangle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2057400"/>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AB7C3" id="Rectangle 110" o:spid="_x0000_s1026" alt="&quot;&quot;" style="position:absolute;margin-left:-20.2pt;margin-top:11.6pt;width:417.35pt;height:162pt;z-index:-25124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" filled="f" strokecolor="#5e2f7e [3208]" strokeweight=".5pt"/>
            </w:pict>
          </mc:Fallback>
        </mc:AlternateContent>
      </w:r>
      <w:r w:rsidRPr="00512215">
        <w:rPr>
          <w:color w:val="5E2F7E" w:themeColor="accent5"/>
        </w:rPr>
        <w:t>Analysis</w:t>
      </w:r>
    </w:p>
    <w:p w14:paraId="388A1E0A" w14:textId="65EC87FD" w:rsidR="00E323BC" w:rsidRDefault="00E323BC" w:rsidP="00E323BC">
      <w:pPr>
        <w:pStyle w:val="Body"/>
      </w:pPr>
      <w:r>
        <w:t>IHPA follows the process outlined in the Cost-Shifting and Cross-Border Dispute Resolution Policy (previously</w:t>
      </w:r>
      <w:r w:rsidR="007B425B">
        <w:t> </w:t>
      </w:r>
      <w:r>
        <w:t>known as t</w:t>
      </w:r>
      <w:r w:rsidRPr="004A406D">
        <w:t>he Cost-Shifting and Cross-Border Dispute Resolution Framework)</w:t>
      </w:r>
      <w:r>
        <w:t xml:space="preserve"> to investigate cross</w:t>
      </w:r>
      <w:r w:rsidR="007B425B">
        <w:noBreakHyphen/>
      </w:r>
      <w:r>
        <w:t>border disputes and to ensure they are managed in a timely, equitable and transparent manner.</w:t>
      </w:r>
    </w:p>
    <w:p w14:paraId="25AF2DB7" w14:textId="3DD44EEF" w:rsidR="00E323BC" w:rsidRDefault="00E323BC" w:rsidP="00E323BC">
      <w:pPr>
        <w:pStyle w:val="Body"/>
      </w:pPr>
      <w:r>
        <w:t xml:space="preserve">Following a review of the Cost-Shifting and Cross-Border Dispute Resolution Policy in April 2021 by the Pricing Authority and Chief Executive Officer of IHPA, an updated version of the policy (Version 5.0) was published in June 2022. </w:t>
      </w:r>
    </w:p>
    <w:p w14:paraId="29787B51" w14:textId="4147893C" w:rsidR="00FB48FC" w:rsidRDefault="00C70EA1">
      <w:pPr>
        <w:pStyle w:val="Body"/>
      </w:pPr>
      <w:r>
        <w:t xml:space="preserve">IHPA received a submission from South Australia in March 2022 under section 138 and 140 of the </w:t>
      </w:r>
      <w:r w:rsidRPr="00856C96">
        <w:rPr>
          <w:i/>
          <w:iCs/>
        </w:rPr>
        <w:t>National Health Reform Act 2011</w:t>
      </w:r>
      <w:r>
        <w:t>. The assessment and investigation of this cross-border dispute is ongoing.</w:t>
      </w:r>
    </w:p>
    <w:p w14:paraId="7B3204B4" w14:textId="722F9D4C" w:rsidR="0023576D" w:rsidRDefault="0023576D" w:rsidP="00E323BC">
      <w:pPr>
        <w:pStyle w:val="Body"/>
        <w:sectPr w:rsidR="0023576D" w:rsidSect="00BF350C">
          <w:footerReference w:type="default" r:id="rId135"/>
          <w:pgSz w:w="9979" w:h="14175"/>
          <w:pgMar w:top="993" w:right="1134" w:bottom="851" w:left="1134" w:header="709" w:footer="709" w:gutter="0"/>
          <w:cols w:space="282"/>
          <w:docGrid w:linePitch="360"/>
        </w:sectPr>
      </w:pPr>
    </w:p>
    <w:p w14:paraId="6CEA57F8" w14:textId="6FD331F0" w:rsidR="00620338" w:rsidRPr="00912DCE" w:rsidRDefault="00620338" w:rsidP="00620338">
      <w:pPr>
        <w:pStyle w:val="H3"/>
        <w:rPr>
          <w:color w:val="5E2F7E" w:themeColor="accent5"/>
        </w:rPr>
      </w:pPr>
      <w:r w:rsidRPr="00912DCE">
        <w:rPr>
          <w:color w:val="5E2F7E" w:themeColor="accent5"/>
        </w:rPr>
        <w:t xml:space="preserve">Activity 6: </w:t>
      </w:r>
      <w:r w:rsidR="003C5F44" w:rsidRPr="003C5F44">
        <w:rPr>
          <w:color w:val="5E2F7E" w:themeColor="accent5"/>
        </w:rPr>
        <w:t>Conduct independent and transparent decision‑making and engage with stakeholders</w:t>
      </w:r>
      <w:r w:rsidR="003C5F44" w:rsidRPr="003C5F44" w:rsidDel="003C5F44">
        <w:rPr>
          <w:color w:val="5E2F7E" w:themeColor="accent5"/>
        </w:rPr>
        <w:t xml:space="preserve"> </w:t>
      </w:r>
    </w:p>
    <w:p w14:paraId="0410C7C7" w14:textId="77777777" w:rsidR="00E323BC" w:rsidRPr="004A406D" w:rsidRDefault="00E323BC" w:rsidP="00E323BC">
      <w:pPr>
        <w:pStyle w:val="H3"/>
        <w:rPr>
          <w:rFonts w:asciiTheme="minorHAnsi" w:hAnsiTheme="minorHAnsi"/>
          <w:bCs w:val="0"/>
          <w:color w:val="1C1C1C"/>
          <w:sz w:val="18"/>
          <w:szCs w:val="18"/>
        </w:rPr>
      </w:pPr>
      <w:r w:rsidRPr="004A406D">
        <w:rPr>
          <w:rFonts w:asciiTheme="minorHAnsi" w:hAnsiTheme="minorHAnsi"/>
          <w:bCs w:val="0"/>
          <w:color w:val="1C1C1C"/>
          <w:sz w:val="18"/>
          <w:szCs w:val="18"/>
        </w:rPr>
        <w:t>IHPA works in partnership with the Australian Government, state and territory governments and other stakeholders. IHPA conducts its work independently from governments, which allows the agency to deliver impartial, evidence‑based decisions. IHPA is transparent in its decision‑making processes and consults extensively across the health industry.</w:t>
      </w:r>
    </w:p>
    <w:p w14:paraId="12CCC070" w14:textId="0898126C" w:rsidR="00E323BC" w:rsidRDefault="00E323BC" w:rsidP="00E323BC">
      <w:pPr>
        <w:pStyle w:val="H3"/>
        <w:rPr>
          <w:rFonts w:asciiTheme="minorHAnsi" w:hAnsiTheme="minorHAnsi"/>
          <w:bCs w:val="0"/>
          <w:color w:val="1C1C1C"/>
          <w:sz w:val="18"/>
          <w:szCs w:val="18"/>
        </w:rPr>
      </w:pPr>
      <w:r w:rsidRPr="004A406D">
        <w:rPr>
          <w:rFonts w:asciiTheme="minorHAnsi" w:hAnsiTheme="minorHAnsi"/>
          <w:bCs w:val="0"/>
          <w:color w:val="1C1C1C"/>
          <w:sz w:val="18"/>
          <w:szCs w:val="18"/>
        </w:rPr>
        <w:t>Extensive consultation with governments and stakeholders informs the methodology that underpins IHPA’s decisions and work program. IHPA has a formal consultation framework in place to ensure that it draws on an</w:t>
      </w:r>
      <w:r w:rsidR="007B425B">
        <w:rPr>
          <w:rFonts w:asciiTheme="minorHAnsi" w:hAnsiTheme="minorHAnsi"/>
          <w:bCs w:val="0"/>
          <w:color w:val="1C1C1C"/>
          <w:sz w:val="18"/>
          <w:szCs w:val="18"/>
        </w:rPr>
        <w:t> </w:t>
      </w:r>
      <w:r w:rsidRPr="004A406D">
        <w:rPr>
          <w:rFonts w:asciiTheme="minorHAnsi" w:hAnsiTheme="minorHAnsi"/>
          <w:bCs w:val="0"/>
          <w:color w:val="1C1C1C"/>
          <w:sz w:val="18"/>
          <w:szCs w:val="18"/>
        </w:rPr>
        <w:t>extensive range of expertise in undertaking its functions. Input from stakeholders, through IHPA’s multiple committees and working groups, ensures that IHPA’s work is informed by expert clinical advice, which helps to maintain IHPA’s credibility throughout the industry.</w:t>
      </w:r>
    </w:p>
    <w:p w14:paraId="6BE5C596" w14:textId="77777777" w:rsidR="00195560" w:rsidRDefault="00195560" w:rsidP="00195560">
      <w:pPr>
        <w:pStyle w:val="H3"/>
        <w:spacing w:before="480"/>
        <w:rPr>
          <w:color w:val="5E2F7E" w:themeColor="accent5"/>
        </w:rPr>
      </w:pPr>
      <w:r w:rsidRPr="00AA0433">
        <w:rPr>
          <w:noProof/>
          <w:color w:val="5E2F7E" w:themeColor="accent5"/>
          <w:sz w:val="28"/>
          <w:szCs w:val="28"/>
          <w:lang w:eastAsia="en-AU"/>
        </w:rPr>
        <mc:AlternateContent>
          <mc:Choice Requires="wps">
            <w:drawing>
              <wp:anchor distT="0" distB="0" distL="114300" distR="114300" simplePos="0" relativeHeight="252078080" behindDoc="1" locked="0" layoutInCell="1" allowOverlap="1" wp14:anchorId="3E10C8A7" wp14:editId="7EBAF07B">
                <wp:simplePos x="0" y="0"/>
                <wp:positionH relativeFrom="column">
                  <wp:posOffset>-199585</wp:posOffset>
                </wp:positionH>
                <wp:positionV relativeFrom="paragraph">
                  <wp:posOffset>67114</wp:posOffset>
                </wp:positionV>
                <wp:extent cx="5300345" cy="3488787"/>
                <wp:effectExtent l="0" t="0" r="8255" b="16510"/>
                <wp:wrapNone/>
                <wp:docPr id="111"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3488787"/>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FEA2F" id="Rectangle 111" o:spid="_x0000_s1026" alt="&quot;&quot;" style="position:absolute;margin-left:-15.7pt;margin-top:5.3pt;width:417.35pt;height:274.7pt;z-index:-2512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" filled="f" strokecolor="#5e2f7e [3208]" strokeweight=".5pt"/>
            </w:pict>
          </mc:Fallback>
        </mc:AlternateContent>
      </w:r>
      <w:r w:rsidRPr="00AA0433">
        <w:rPr>
          <w:color w:val="5E2F7E" w:themeColor="accent5"/>
        </w:rPr>
        <w:t>Results</w:t>
      </w:r>
    </w:p>
    <w:p w14:paraId="1E2489AF" w14:textId="33BF52D0" w:rsidR="00AF0115" w:rsidRPr="00AF0115" w:rsidRDefault="00AF0115" w:rsidP="00AF0115">
      <w:pPr>
        <w:pStyle w:val="Body"/>
      </w:pPr>
      <w:r w:rsidRPr="00AF0115">
        <w:t>The reporting of Activity 6 in this annual report refers to the deliverables of Strategic Objective 6 in the IHPA</w:t>
      </w:r>
      <w:r w:rsidR="007B425B">
        <w:t> </w:t>
      </w:r>
      <w:r w:rsidRPr="00AF0115">
        <w:t>Work Program and Corporate Plan 2021–22, as part of Program 1.1 of the Portfolio Budget Statements.</w:t>
      </w:r>
    </w:p>
    <w:p w14:paraId="0B0EB651" w14:textId="2F732449" w:rsidR="00195560" w:rsidRDefault="00195560" w:rsidP="00195560">
      <w:pPr>
        <w:pStyle w:val="FigureHeading"/>
      </w:pPr>
      <w:bookmarkStart w:id="58" w:name="_Toc114824661"/>
      <w:r w:rsidRPr="00466E0A">
        <w:t xml:space="preserve">Table </w:t>
      </w:r>
      <w:r w:rsidR="004A754F">
        <w:t>6</w:t>
      </w:r>
      <w:r w:rsidRPr="00466E0A">
        <w:t xml:space="preserve">: Summary of Performance for Activity </w:t>
      </w:r>
      <w:r w:rsidR="004A754F">
        <w:t>6</w:t>
      </w:r>
      <w:r w:rsidRPr="00466E0A">
        <w:t xml:space="preserve"> in 2021–22</w:t>
      </w:r>
      <w:bookmarkEnd w:id="58"/>
    </w:p>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5670"/>
        <w:gridCol w:w="1134"/>
        <w:gridCol w:w="993"/>
      </w:tblGrid>
      <w:tr w:rsidR="00195560" w:rsidRPr="00466E0A" w14:paraId="4BA95954" w14:textId="77777777" w:rsidTr="00AF0115">
        <w:trPr>
          <w:cnfStyle w:val="100000000000" w:firstRow="1" w:lastRow="0" w:firstColumn="0" w:lastColumn="0" w:oddVBand="0" w:evenVBand="0" w:oddHBand="0" w:evenHBand="0" w:firstRowFirstColumn="0" w:firstRowLastColumn="0" w:lastRowFirstColumn="0" w:lastRowLastColumn="0"/>
          <w:trHeight w:val="397"/>
        </w:trPr>
        <w:tc>
          <w:tcPr>
            <w:tcW w:w="5670" w:type="dxa"/>
            <w:shd w:val="clear" w:color="auto" w:fill="5E2F7E" w:themeFill="accent5"/>
            <w:vAlign w:val="center"/>
          </w:tcPr>
          <w:p w14:paraId="4E75059C" w14:textId="77777777" w:rsidR="00195560" w:rsidRPr="00CB09AF" w:rsidRDefault="00195560" w:rsidP="00B15944">
            <w:pPr>
              <w:pStyle w:val="Body"/>
              <w:rPr>
                <w:rFonts w:asciiTheme="majorHAnsi" w:hAnsiTheme="majorHAnsi"/>
                <w:color w:val="FFFFFF" w:themeColor="background2"/>
              </w:rPr>
            </w:pPr>
            <w:r>
              <w:rPr>
                <w:rFonts w:asciiTheme="majorHAnsi" w:hAnsiTheme="majorHAnsi"/>
                <w:color w:val="FFFFFF" w:themeColor="background2"/>
              </w:rPr>
              <w:t>Summary of Performance</w:t>
            </w:r>
          </w:p>
        </w:tc>
        <w:tc>
          <w:tcPr>
            <w:tcW w:w="1134" w:type="dxa"/>
            <w:shd w:val="clear" w:color="auto" w:fill="5E2F7E" w:themeFill="accent5"/>
            <w:vAlign w:val="center"/>
          </w:tcPr>
          <w:p w14:paraId="7A6516BF" w14:textId="77777777" w:rsidR="00195560" w:rsidRPr="00CB09AF" w:rsidRDefault="00195560" w:rsidP="00B15944">
            <w:pPr>
              <w:pStyle w:val="Body"/>
              <w:jc w:val="right"/>
              <w:rPr>
                <w:rFonts w:asciiTheme="majorHAnsi" w:hAnsiTheme="majorHAnsi"/>
                <w:color w:val="FFFFFF" w:themeColor="background2"/>
              </w:rPr>
            </w:pPr>
            <w:r>
              <w:rPr>
                <w:rFonts w:asciiTheme="majorHAnsi" w:hAnsiTheme="majorHAnsi"/>
                <w:color w:val="FFFFFF" w:themeColor="background2"/>
              </w:rPr>
              <w:t>Deadline</w:t>
            </w:r>
          </w:p>
        </w:tc>
        <w:tc>
          <w:tcPr>
            <w:tcW w:w="993" w:type="dxa"/>
            <w:shd w:val="clear" w:color="auto" w:fill="5E2F7E" w:themeFill="accent5"/>
            <w:vAlign w:val="center"/>
          </w:tcPr>
          <w:p w14:paraId="13269EDE" w14:textId="77777777" w:rsidR="00195560" w:rsidRPr="00CB09AF" w:rsidRDefault="00195560" w:rsidP="00B15944">
            <w:pPr>
              <w:pStyle w:val="Body"/>
              <w:jc w:val="right"/>
              <w:rPr>
                <w:rFonts w:asciiTheme="majorHAnsi" w:hAnsiTheme="majorHAnsi"/>
                <w:color w:val="FFFFFF" w:themeColor="background2"/>
              </w:rPr>
            </w:pPr>
            <w:r>
              <w:rPr>
                <w:rFonts w:asciiTheme="majorHAnsi" w:hAnsiTheme="majorHAnsi"/>
                <w:color w:val="FFFFFF" w:themeColor="background2"/>
              </w:rPr>
              <w:t>Outcome</w:t>
            </w:r>
          </w:p>
        </w:tc>
      </w:tr>
      <w:tr w:rsidR="00AF0115" w:rsidRPr="00466E0A" w14:paraId="36432F35" w14:textId="77777777" w:rsidTr="00AF0115">
        <w:trPr>
          <w:cnfStyle w:val="000000100000" w:firstRow="0" w:lastRow="0" w:firstColumn="0" w:lastColumn="0" w:oddVBand="0" w:evenVBand="0" w:oddHBand="1" w:evenHBand="0" w:firstRowFirstColumn="0" w:firstRowLastColumn="0" w:lastRowFirstColumn="0" w:lastRowLastColumn="0"/>
          <w:trHeight w:val="46"/>
        </w:trPr>
        <w:tc>
          <w:tcPr>
            <w:tcW w:w="5670" w:type="dxa"/>
            <w:tcMar>
              <w:top w:w="85" w:type="dxa"/>
              <w:bottom w:w="85" w:type="dxa"/>
            </w:tcMar>
          </w:tcPr>
          <w:p w14:paraId="3AD4CB93" w14:textId="61FD9F39" w:rsidR="00AF0115" w:rsidRPr="00466E0A" w:rsidRDefault="00AF0115" w:rsidP="00AF0115">
            <w:pPr>
              <w:pStyle w:val="Body-Financial"/>
              <w:spacing w:after="0"/>
              <w:rPr>
                <w:sz w:val="18"/>
              </w:rPr>
            </w:pPr>
            <w:r w:rsidRPr="004A754F">
              <w:rPr>
                <w:sz w:val="18"/>
                <w:lang w:val="en-PH"/>
              </w:rPr>
              <w:t>Provide quarterly activity based funding activity data reports to the Pricing</w:t>
            </w:r>
            <w:r w:rsidR="00271DC0">
              <w:rPr>
                <w:sz w:val="18"/>
                <w:lang w:val="en-PH"/>
              </w:rPr>
              <w:t> </w:t>
            </w:r>
            <w:r w:rsidRPr="004A754F">
              <w:rPr>
                <w:sz w:val="18"/>
                <w:lang w:val="en-PH"/>
              </w:rPr>
              <w:t>Authority and Jurisdictional Advisory Committee.</w:t>
            </w:r>
          </w:p>
        </w:tc>
        <w:tc>
          <w:tcPr>
            <w:tcW w:w="1134" w:type="dxa"/>
            <w:tcMar>
              <w:top w:w="85" w:type="dxa"/>
              <w:bottom w:w="85" w:type="dxa"/>
            </w:tcMar>
          </w:tcPr>
          <w:p w14:paraId="10929B00" w14:textId="2FD626D8" w:rsidR="00AF0115" w:rsidRPr="00466E0A" w:rsidRDefault="00AF0115" w:rsidP="00AF0115">
            <w:pPr>
              <w:pStyle w:val="Body-Financial"/>
              <w:spacing w:after="0"/>
              <w:jc w:val="right"/>
              <w:rPr>
                <w:sz w:val="18"/>
              </w:rPr>
            </w:pPr>
            <w:r w:rsidRPr="00466E0A">
              <w:rPr>
                <w:sz w:val="18"/>
              </w:rPr>
              <w:t xml:space="preserve"> </w:t>
            </w:r>
            <w:r>
              <w:rPr>
                <w:sz w:val="18"/>
              </w:rPr>
              <w:t>Ongoing</w:t>
            </w:r>
          </w:p>
        </w:tc>
        <w:tc>
          <w:tcPr>
            <w:tcW w:w="993" w:type="dxa"/>
          </w:tcPr>
          <w:p w14:paraId="6351053F" w14:textId="30191FF2" w:rsidR="00AF0115" w:rsidRPr="00466E0A" w:rsidRDefault="00AF0115" w:rsidP="00AF0115">
            <w:pPr>
              <w:pStyle w:val="Body-Financial"/>
              <w:spacing w:after="0"/>
              <w:jc w:val="right"/>
              <w:rPr>
                <w:sz w:val="18"/>
              </w:rPr>
            </w:pPr>
            <w:r>
              <w:rPr>
                <w:sz w:val="18"/>
              </w:rPr>
              <w:t>Ongoing</w:t>
            </w:r>
          </w:p>
        </w:tc>
      </w:tr>
      <w:tr w:rsidR="00AF0115" w:rsidRPr="00466E0A" w14:paraId="6CE0837C" w14:textId="77777777" w:rsidTr="00AF0115">
        <w:trPr>
          <w:cnfStyle w:val="000000010000" w:firstRow="0" w:lastRow="0" w:firstColumn="0" w:lastColumn="0" w:oddVBand="0" w:evenVBand="0" w:oddHBand="0" w:evenHBand="1" w:firstRowFirstColumn="0" w:firstRowLastColumn="0" w:lastRowFirstColumn="0" w:lastRowLastColumn="0"/>
          <w:trHeight w:val="46"/>
        </w:trPr>
        <w:tc>
          <w:tcPr>
            <w:tcW w:w="5670" w:type="dxa"/>
            <w:tcMar>
              <w:top w:w="85" w:type="dxa"/>
              <w:bottom w:w="85" w:type="dxa"/>
            </w:tcMar>
          </w:tcPr>
          <w:p w14:paraId="4A76DE9E" w14:textId="7E1821F3" w:rsidR="00AF0115" w:rsidRPr="00466E0A" w:rsidRDefault="00AF0115" w:rsidP="00AF0115">
            <w:pPr>
              <w:pStyle w:val="Body-Financial"/>
              <w:spacing w:after="0"/>
              <w:rPr>
                <w:sz w:val="18"/>
              </w:rPr>
            </w:pPr>
            <w:r w:rsidRPr="004A754F">
              <w:rPr>
                <w:sz w:val="18"/>
                <w:lang w:val="en-PH"/>
              </w:rPr>
              <w:t>Publish evidence-based activity based funding related research and analysis.</w:t>
            </w:r>
          </w:p>
        </w:tc>
        <w:tc>
          <w:tcPr>
            <w:tcW w:w="1134" w:type="dxa"/>
            <w:tcMar>
              <w:top w:w="85" w:type="dxa"/>
              <w:bottom w:w="85" w:type="dxa"/>
            </w:tcMar>
          </w:tcPr>
          <w:p w14:paraId="4D472F7C" w14:textId="2F8A0A1A" w:rsidR="00AF0115" w:rsidRPr="00466E0A" w:rsidRDefault="00AF0115" w:rsidP="00AF0115">
            <w:pPr>
              <w:pStyle w:val="Body-Financial"/>
              <w:spacing w:after="0"/>
              <w:jc w:val="right"/>
              <w:rPr>
                <w:sz w:val="18"/>
              </w:rPr>
            </w:pPr>
            <w:r>
              <w:rPr>
                <w:sz w:val="18"/>
              </w:rPr>
              <w:t>Ongoing</w:t>
            </w:r>
          </w:p>
        </w:tc>
        <w:tc>
          <w:tcPr>
            <w:tcW w:w="993" w:type="dxa"/>
          </w:tcPr>
          <w:p w14:paraId="3EF58AF4" w14:textId="34D215F8" w:rsidR="00AF0115" w:rsidRPr="00466E0A" w:rsidRDefault="00AF0115" w:rsidP="00AF0115">
            <w:pPr>
              <w:pStyle w:val="Body-Financial"/>
              <w:spacing w:after="0"/>
              <w:jc w:val="right"/>
              <w:rPr>
                <w:sz w:val="18"/>
              </w:rPr>
            </w:pPr>
            <w:r>
              <w:rPr>
                <w:sz w:val="18"/>
              </w:rPr>
              <w:t>Ongoing</w:t>
            </w:r>
          </w:p>
        </w:tc>
      </w:tr>
      <w:tr w:rsidR="00AF0115" w:rsidRPr="00466E0A" w14:paraId="72373B7C" w14:textId="77777777" w:rsidTr="00AF0115">
        <w:trPr>
          <w:cnfStyle w:val="000000100000" w:firstRow="0" w:lastRow="0" w:firstColumn="0" w:lastColumn="0" w:oddVBand="0" w:evenVBand="0" w:oddHBand="1" w:evenHBand="0" w:firstRowFirstColumn="0" w:firstRowLastColumn="0" w:lastRowFirstColumn="0" w:lastRowLastColumn="0"/>
          <w:trHeight w:val="46"/>
        </w:trPr>
        <w:tc>
          <w:tcPr>
            <w:tcW w:w="5670" w:type="dxa"/>
            <w:tcMar>
              <w:top w:w="85" w:type="dxa"/>
              <w:bottom w:w="85" w:type="dxa"/>
            </w:tcMar>
          </w:tcPr>
          <w:p w14:paraId="7C212BDF" w14:textId="413D7585" w:rsidR="00AF0115" w:rsidRPr="00F20618" w:rsidRDefault="00AF0115" w:rsidP="00AF0115">
            <w:pPr>
              <w:pStyle w:val="Body-Financial"/>
              <w:spacing w:after="0"/>
              <w:rPr>
                <w:sz w:val="18"/>
                <w:lang w:val="en-PH"/>
              </w:rPr>
            </w:pPr>
            <w:r w:rsidRPr="004A754F">
              <w:rPr>
                <w:sz w:val="18"/>
                <w:lang w:val="en-PH"/>
              </w:rPr>
              <w:t>Development of a funding methodology for innovative funding models.</w:t>
            </w:r>
          </w:p>
        </w:tc>
        <w:tc>
          <w:tcPr>
            <w:tcW w:w="1134" w:type="dxa"/>
            <w:tcMar>
              <w:top w:w="85" w:type="dxa"/>
              <w:bottom w:w="85" w:type="dxa"/>
            </w:tcMar>
          </w:tcPr>
          <w:p w14:paraId="1F9D05B8" w14:textId="1F0BC20A" w:rsidR="00AF0115" w:rsidRDefault="00AF0115" w:rsidP="00AF0115">
            <w:pPr>
              <w:pStyle w:val="Body-Financial"/>
              <w:spacing w:after="0"/>
              <w:jc w:val="right"/>
              <w:rPr>
                <w:sz w:val="18"/>
              </w:rPr>
            </w:pPr>
            <w:r>
              <w:rPr>
                <w:sz w:val="18"/>
              </w:rPr>
              <w:t>Apr 2021</w:t>
            </w:r>
          </w:p>
        </w:tc>
        <w:tc>
          <w:tcPr>
            <w:tcW w:w="993" w:type="dxa"/>
          </w:tcPr>
          <w:p w14:paraId="65F1397C" w14:textId="26B15174" w:rsidR="00AF0115" w:rsidRDefault="00AF0115" w:rsidP="00AF0115">
            <w:pPr>
              <w:pStyle w:val="Body-Financial"/>
              <w:spacing w:after="0"/>
              <w:jc w:val="right"/>
              <w:rPr>
                <w:sz w:val="18"/>
              </w:rPr>
            </w:pPr>
            <w:r>
              <w:rPr>
                <w:sz w:val="18"/>
              </w:rPr>
              <w:t>Delivered Oct 2021</w:t>
            </w:r>
          </w:p>
        </w:tc>
      </w:tr>
      <w:tr w:rsidR="00AF0115" w:rsidRPr="00466E0A" w14:paraId="78B391B5" w14:textId="77777777" w:rsidTr="00AF0115">
        <w:trPr>
          <w:cnfStyle w:val="000000010000" w:firstRow="0" w:lastRow="0" w:firstColumn="0" w:lastColumn="0" w:oddVBand="0" w:evenVBand="0" w:oddHBand="0" w:evenHBand="1" w:firstRowFirstColumn="0" w:firstRowLastColumn="0" w:lastRowFirstColumn="0" w:lastRowLastColumn="0"/>
          <w:trHeight w:val="46"/>
        </w:trPr>
        <w:tc>
          <w:tcPr>
            <w:tcW w:w="5670" w:type="dxa"/>
            <w:tcMar>
              <w:top w:w="85" w:type="dxa"/>
              <w:bottom w:w="85" w:type="dxa"/>
            </w:tcMar>
          </w:tcPr>
          <w:p w14:paraId="677C8AAF" w14:textId="34B832F3" w:rsidR="00AF0115" w:rsidRPr="004A754F" w:rsidRDefault="00AF0115" w:rsidP="00AF0115">
            <w:pPr>
              <w:pStyle w:val="Body-Financial"/>
              <w:spacing w:after="0"/>
              <w:rPr>
                <w:sz w:val="18"/>
                <w:lang w:val="en-PH"/>
              </w:rPr>
            </w:pPr>
            <w:r w:rsidRPr="004A754F">
              <w:rPr>
                <w:sz w:val="18"/>
                <w:lang w:val="en-PH"/>
              </w:rPr>
              <w:t>Implementation of strategies, tools and working papers to ensure that IHPA is providing information that will inform its stakeholders.</w:t>
            </w:r>
          </w:p>
        </w:tc>
        <w:tc>
          <w:tcPr>
            <w:tcW w:w="1134" w:type="dxa"/>
            <w:tcMar>
              <w:top w:w="85" w:type="dxa"/>
              <w:bottom w:w="85" w:type="dxa"/>
            </w:tcMar>
          </w:tcPr>
          <w:p w14:paraId="2FE137BD" w14:textId="59464590" w:rsidR="00AF0115" w:rsidRDefault="00AF0115" w:rsidP="00AF0115">
            <w:pPr>
              <w:pStyle w:val="Body-Financial"/>
              <w:spacing w:after="0"/>
              <w:jc w:val="right"/>
              <w:rPr>
                <w:sz w:val="18"/>
              </w:rPr>
            </w:pPr>
            <w:r>
              <w:rPr>
                <w:sz w:val="18"/>
              </w:rPr>
              <w:t>Ongoing</w:t>
            </w:r>
          </w:p>
        </w:tc>
        <w:tc>
          <w:tcPr>
            <w:tcW w:w="993" w:type="dxa"/>
          </w:tcPr>
          <w:p w14:paraId="6E24112B" w14:textId="29D0440C" w:rsidR="00AF0115" w:rsidRDefault="00AF0115" w:rsidP="00AF0115">
            <w:pPr>
              <w:pStyle w:val="Body-Financial"/>
              <w:spacing w:after="0"/>
              <w:jc w:val="right"/>
              <w:rPr>
                <w:sz w:val="18"/>
              </w:rPr>
            </w:pPr>
            <w:r>
              <w:rPr>
                <w:sz w:val="18"/>
              </w:rPr>
              <w:t>Ongoing</w:t>
            </w:r>
          </w:p>
        </w:tc>
      </w:tr>
      <w:tr w:rsidR="00AF0115" w:rsidRPr="00466E0A" w14:paraId="6001DA85" w14:textId="77777777" w:rsidTr="00AF0115">
        <w:trPr>
          <w:cnfStyle w:val="000000100000" w:firstRow="0" w:lastRow="0" w:firstColumn="0" w:lastColumn="0" w:oddVBand="0" w:evenVBand="0" w:oddHBand="1" w:evenHBand="0" w:firstRowFirstColumn="0" w:firstRowLastColumn="0" w:lastRowFirstColumn="0" w:lastRowLastColumn="0"/>
          <w:trHeight w:val="46"/>
        </w:trPr>
        <w:tc>
          <w:tcPr>
            <w:tcW w:w="5670" w:type="dxa"/>
            <w:tcMar>
              <w:top w:w="85" w:type="dxa"/>
              <w:bottom w:w="85" w:type="dxa"/>
            </w:tcMar>
          </w:tcPr>
          <w:p w14:paraId="58697DFE" w14:textId="79D7DABE" w:rsidR="00AF0115" w:rsidRPr="00466E0A" w:rsidRDefault="00AF0115" w:rsidP="00AF0115">
            <w:pPr>
              <w:pStyle w:val="Body-Financial"/>
              <w:spacing w:after="0"/>
              <w:rPr>
                <w:sz w:val="18"/>
              </w:rPr>
            </w:pPr>
            <w:r w:rsidRPr="004A754F">
              <w:rPr>
                <w:sz w:val="18"/>
                <w:lang w:val="en-PH"/>
              </w:rPr>
              <w:t>Deliver the Activity Based Funding Conference 2022.</w:t>
            </w:r>
          </w:p>
        </w:tc>
        <w:tc>
          <w:tcPr>
            <w:tcW w:w="1134" w:type="dxa"/>
          </w:tcPr>
          <w:p w14:paraId="62135C1A" w14:textId="0AC5E1A6" w:rsidR="00AF0115" w:rsidRPr="00466E0A" w:rsidRDefault="00AF0115" w:rsidP="00AF0115">
            <w:pPr>
              <w:pStyle w:val="Body-Financial"/>
              <w:spacing w:after="0"/>
              <w:jc w:val="right"/>
              <w:rPr>
                <w:sz w:val="18"/>
              </w:rPr>
            </w:pPr>
            <w:r>
              <w:rPr>
                <w:sz w:val="18"/>
              </w:rPr>
              <w:t>May 2022</w:t>
            </w:r>
          </w:p>
        </w:tc>
        <w:tc>
          <w:tcPr>
            <w:tcW w:w="993" w:type="dxa"/>
            <w:tcMar>
              <w:top w:w="85" w:type="dxa"/>
              <w:bottom w:w="85" w:type="dxa"/>
            </w:tcMar>
          </w:tcPr>
          <w:p w14:paraId="1BC141B1" w14:textId="6E73ABD1" w:rsidR="00AF0115" w:rsidRPr="00466E0A" w:rsidRDefault="00AF0115" w:rsidP="00AF0115">
            <w:pPr>
              <w:pStyle w:val="Body-Financial"/>
              <w:spacing w:after="0"/>
              <w:jc w:val="right"/>
              <w:rPr>
                <w:sz w:val="18"/>
              </w:rPr>
            </w:pPr>
            <w:r>
              <w:rPr>
                <w:sz w:val="18"/>
              </w:rPr>
              <w:t>Delivered</w:t>
            </w:r>
          </w:p>
        </w:tc>
      </w:tr>
    </w:tbl>
    <w:p w14:paraId="42291B80" w14:textId="77777777" w:rsidR="00195560" w:rsidRDefault="00195560" w:rsidP="00195560">
      <w:pPr>
        <w:pStyle w:val="Body"/>
      </w:pPr>
    </w:p>
    <w:p w14:paraId="7DE95AB5" w14:textId="77777777" w:rsidR="00195560" w:rsidRDefault="00195560" w:rsidP="00160A4D">
      <w:pPr>
        <w:rPr>
          <w:color w:val="1C1C1C"/>
          <w:sz w:val="18"/>
          <w:szCs w:val="18"/>
        </w:rPr>
      </w:pPr>
    </w:p>
    <w:p w14:paraId="631088D1" w14:textId="63745240" w:rsidR="00160A4D" w:rsidRPr="00160A4D" w:rsidRDefault="00160A4D" w:rsidP="00160A4D">
      <w:pPr>
        <w:sectPr w:rsidR="00160A4D" w:rsidRPr="00160A4D" w:rsidSect="00BF350C">
          <w:footerReference w:type="default" r:id="rId136"/>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C5068A" w:rsidRPr="00147EEB" w14:paraId="066E5346" w14:textId="77777777" w:rsidTr="00622047">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60348F1C" w14:textId="77777777" w:rsidR="00C5068A" w:rsidRPr="00622047" w:rsidRDefault="00C5068A" w:rsidP="00B15944">
            <w:pPr>
              <w:pStyle w:val="Body"/>
              <w:rPr>
                <w:rFonts w:asciiTheme="majorHAnsi" w:hAnsiTheme="majorHAnsi"/>
                <w:color w:val="FFFFFF" w:themeColor="background2"/>
              </w:rPr>
            </w:pPr>
            <w:r w:rsidRPr="00622047">
              <w:rPr>
                <w:rFonts w:asciiTheme="majorHAnsi" w:hAnsiTheme="majorHAnsi"/>
                <w:color w:val="FFFFFF" w:themeColor="background2"/>
              </w:rPr>
              <w:t>Performance criteria</w:t>
            </w:r>
          </w:p>
        </w:tc>
        <w:tc>
          <w:tcPr>
            <w:tcW w:w="567" w:type="dxa"/>
            <w:shd w:val="clear" w:color="auto" w:fill="FFFFFF" w:themeFill="background2"/>
            <w:vAlign w:val="center"/>
          </w:tcPr>
          <w:p w14:paraId="5B63138A" w14:textId="77777777" w:rsidR="00C5068A" w:rsidRPr="00622047" w:rsidRDefault="00C5068A" w:rsidP="00B15944">
            <w:pPr>
              <w:pStyle w:val="Body"/>
              <w:rPr>
                <w:rFonts w:asciiTheme="majorHAnsi" w:hAnsiTheme="majorHAnsi"/>
                <w:color w:val="FFFFFF" w:themeColor="background2"/>
              </w:rPr>
            </w:pPr>
          </w:p>
        </w:tc>
        <w:tc>
          <w:tcPr>
            <w:tcW w:w="3969" w:type="dxa"/>
            <w:vAlign w:val="center"/>
          </w:tcPr>
          <w:p w14:paraId="02F18455" w14:textId="77777777" w:rsidR="00C5068A" w:rsidRPr="00622047" w:rsidRDefault="00C5068A" w:rsidP="00B15944">
            <w:pPr>
              <w:pStyle w:val="Body"/>
              <w:rPr>
                <w:rFonts w:asciiTheme="majorHAnsi" w:hAnsiTheme="majorHAnsi"/>
                <w:color w:val="FFFFFF" w:themeColor="background2"/>
              </w:rPr>
            </w:pPr>
            <w:r w:rsidRPr="00622047">
              <w:rPr>
                <w:rFonts w:asciiTheme="majorHAnsi" w:hAnsiTheme="majorHAnsi"/>
                <w:color w:val="FFFFFF" w:themeColor="background2"/>
              </w:rPr>
              <w:t>Results against performance criteria</w:t>
            </w:r>
          </w:p>
        </w:tc>
      </w:tr>
      <w:tr w:rsidR="00595BEC" w:rsidRPr="00147EEB" w14:paraId="551C251B" w14:textId="77777777" w:rsidTr="00271DC0">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517D6638" w14:textId="62A79FDA" w:rsidR="00595BEC" w:rsidRPr="00C5068A" w:rsidRDefault="00595BEC">
            <w:pPr>
              <w:pStyle w:val="ListParagraph"/>
              <w:numPr>
                <w:ilvl w:val="0"/>
                <w:numId w:val="21"/>
              </w:numPr>
              <w:rPr>
                <w:color w:val="1C1C1C"/>
                <w:sz w:val="18"/>
                <w:szCs w:val="18"/>
              </w:rPr>
            </w:pPr>
            <w:r w:rsidRPr="00C5068A">
              <w:rPr>
                <w:color w:val="1C1C1C"/>
                <w:sz w:val="18"/>
                <w:szCs w:val="18"/>
              </w:rPr>
              <w:t>Provide quarterly activity based funding activity data reports to the Pricing Authority and Jurisdictional Advisory Committee.</w:t>
            </w:r>
          </w:p>
        </w:tc>
        <w:tc>
          <w:tcPr>
            <w:tcW w:w="567" w:type="dxa"/>
            <w:shd w:val="clear" w:color="auto" w:fill="FFFFFF" w:themeFill="background2"/>
            <w:tcMar>
              <w:top w:w="85" w:type="dxa"/>
              <w:left w:w="0" w:type="dxa"/>
              <w:bottom w:w="85" w:type="dxa"/>
              <w:right w:w="0" w:type="dxa"/>
            </w:tcMar>
          </w:tcPr>
          <w:p w14:paraId="52C74F3F" w14:textId="77777777" w:rsidR="00595BEC" w:rsidRPr="007C15F1" w:rsidRDefault="00595BEC" w:rsidP="00595BEC">
            <w:pPr>
              <w:pStyle w:val="Body-Financial"/>
              <w:rPr>
                <w:sz w:val="18"/>
                <w:szCs w:val="18"/>
              </w:rPr>
            </w:pPr>
            <w:r w:rsidRPr="007C15F1">
              <w:rPr>
                <w:noProof/>
                <w:sz w:val="18"/>
                <w:szCs w:val="18"/>
              </w:rPr>
              <w:drawing>
                <wp:inline distT="0" distB="0" distL="0" distR="0" wp14:anchorId="6144E26F" wp14:editId="54A2B0E1">
                  <wp:extent cx="211631" cy="341865"/>
                  <wp:effectExtent l="0" t="0" r="4445" b="1270"/>
                  <wp:docPr id="264" name="Pictur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4337F76F" w14:textId="4C21BC5E" w:rsidR="00595BEC" w:rsidRPr="007C15F1" w:rsidRDefault="00595BEC" w:rsidP="00595BEC">
            <w:pPr>
              <w:pStyle w:val="Body-Financial"/>
              <w:rPr>
                <w:sz w:val="18"/>
                <w:szCs w:val="18"/>
              </w:rPr>
            </w:pPr>
            <w:r w:rsidRPr="00FF6166">
              <w:rPr>
                <w:sz w:val="18"/>
                <w:szCs w:val="18"/>
              </w:rPr>
              <w:t>IHPA provides quarterly activity based funding activity data reports to the Pricing Authority, Jurisdictional Advisory Committee and Technical Advisory Committee.</w:t>
            </w:r>
          </w:p>
        </w:tc>
      </w:tr>
      <w:tr w:rsidR="00595BEC" w:rsidRPr="00147EEB" w14:paraId="23647E10" w14:textId="77777777" w:rsidTr="00271DC0">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33C85719" w14:textId="18CC33F6" w:rsidR="00595BEC" w:rsidRPr="004D30E1" w:rsidRDefault="00595BEC">
            <w:pPr>
              <w:pStyle w:val="NumberListNoIndent"/>
              <w:numPr>
                <w:ilvl w:val="0"/>
                <w:numId w:val="21"/>
              </w:numPr>
            </w:pPr>
            <w:r w:rsidRPr="003E1FB3">
              <w:t>Publish evidence-based activity based funding related research and analysis.</w:t>
            </w:r>
          </w:p>
        </w:tc>
        <w:tc>
          <w:tcPr>
            <w:tcW w:w="567" w:type="dxa"/>
            <w:shd w:val="clear" w:color="auto" w:fill="FFFFFF" w:themeFill="background2"/>
            <w:tcMar>
              <w:top w:w="85" w:type="dxa"/>
              <w:left w:w="0" w:type="dxa"/>
              <w:bottom w:w="85" w:type="dxa"/>
              <w:right w:w="0" w:type="dxa"/>
            </w:tcMar>
          </w:tcPr>
          <w:p w14:paraId="27C22F34" w14:textId="77777777" w:rsidR="00595BEC" w:rsidRPr="007C15F1" w:rsidRDefault="00595BEC" w:rsidP="00595BEC">
            <w:pPr>
              <w:pStyle w:val="Body-Financial"/>
              <w:rPr>
                <w:noProof/>
                <w:sz w:val="18"/>
                <w:szCs w:val="18"/>
              </w:rPr>
            </w:pPr>
            <w:r w:rsidRPr="007C15F1">
              <w:rPr>
                <w:noProof/>
                <w:sz w:val="18"/>
                <w:szCs w:val="18"/>
              </w:rPr>
              <w:drawing>
                <wp:inline distT="0" distB="0" distL="0" distR="0" wp14:anchorId="2F84DF62" wp14:editId="006882B5">
                  <wp:extent cx="211631" cy="341865"/>
                  <wp:effectExtent l="0" t="0" r="4445" b="1270"/>
                  <wp:docPr id="265" name="Pictur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78AABEE0" w14:textId="110F4D5C" w:rsidR="00E323BC" w:rsidRDefault="00E323BC" w:rsidP="00E323BC">
            <w:pPr>
              <w:pStyle w:val="Body"/>
              <w:spacing w:after="80"/>
            </w:pPr>
            <w:r>
              <w:t>IHPA continued to develop evidence-based activity</w:t>
            </w:r>
            <w:r w:rsidR="00D46AB1">
              <w:t> </w:t>
            </w:r>
            <w:r>
              <w:t>based funding related research and analysis in 2021–22. This included the delivery of presentations delivered as part of the Activity Based Funding Conference 2022 scientific program. IHPA</w:t>
            </w:r>
            <w:r w:rsidR="00D46AB1">
              <w:t> </w:t>
            </w:r>
            <w:r>
              <w:t>recognises that access to high-quality, nationally consistent health data is essential for conducting research and analysis, and to inform the</w:t>
            </w:r>
            <w:r w:rsidR="00D46AB1">
              <w:t> </w:t>
            </w:r>
            <w:r>
              <w:t>development of policies for improving health outcomes for all Australians. IHPA’s Data Access and Release Policy governs the process regarding release of IHPA data to researchers.</w:t>
            </w:r>
          </w:p>
          <w:p w14:paraId="4969A1D8" w14:textId="77777777" w:rsidR="00E323BC" w:rsidRDefault="00E323BC" w:rsidP="00E323BC">
            <w:pPr>
              <w:pStyle w:val="Body"/>
              <w:spacing w:after="80"/>
            </w:pPr>
            <w:r>
              <w:t>In 2021–22, IHPA received six requests for data, which were processed according to the Data Access and Release Policy.</w:t>
            </w:r>
          </w:p>
          <w:p w14:paraId="5F999E8D" w14:textId="4E7DAB5E" w:rsidR="00595BEC" w:rsidRPr="007C15F1" w:rsidRDefault="00E323BC" w:rsidP="00E323BC">
            <w:pPr>
              <w:pStyle w:val="Body"/>
              <w:spacing w:after="80"/>
            </w:pPr>
            <w:r>
              <w:t>The release of the new National Benchmarking Portal</w:t>
            </w:r>
            <w:r w:rsidR="00D46AB1">
              <w:t> </w:t>
            </w:r>
            <w:r>
              <w:t>is a significant new research asset to enable activity</w:t>
            </w:r>
            <w:r w:rsidR="00D46AB1">
              <w:t> </w:t>
            </w:r>
            <w:r>
              <w:t>based funding analysis. Its release will play a</w:t>
            </w:r>
            <w:r w:rsidR="00D46AB1">
              <w:t> </w:t>
            </w:r>
            <w:r>
              <w:t>major role in Australia’s capacity to produce activity</w:t>
            </w:r>
            <w:r w:rsidR="00D46AB1">
              <w:t> </w:t>
            </w:r>
            <w:r>
              <w:t>based funding research.</w:t>
            </w:r>
          </w:p>
        </w:tc>
      </w:tr>
      <w:tr w:rsidR="00595BEC" w:rsidRPr="00147EEB" w14:paraId="2ACA55F4" w14:textId="77777777" w:rsidTr="00271DC0">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76F67217" w14:textId="22693E86" w:rsidR="00595BEC" w:rsidRPr="004D30E1" w:rsidRDefault="00595BEC">
            <w:pPr>
              <w:pStyle w:val="NumberListNoIndent"/>
              <w:numPr>
                <w:ilvl w:val="0"/>
                <w:numId w:val="21"/>
              </w:numPr>
            </w:pPr>
            <w:r w:rsidRPr="003E1FB3">
              <w:t>Development of a funding methodology for innovative funding</w:t>
            </w:r>
            <w:r>
              <w:t> </w:t>
            </w:r>
            <w:r w:rsidRPr="003E1FB3">
              <w:t>models.</w:t>
            </w:r>
          </w:p>
        </w:tc>
        <w:tc>
          <w:tcPr>
            <w:tcW w:w="567" w:type="dxa"/>
            <w:shd w:val="clear" w:color="auto" w:fill="FFFFFF" w:themeFill="background2"/>
            <w:tcMar>
              <w:top w:w="85" w:type="dxa"/>
              <w:left w:w="0" w:type="dxa"/>
              <w:bottom w:w="85" w:type="dxa"/>
              <w:right w:w="0" w:type="dxa"/>
            </w:tcMar>
          </w:tcPr>
          <w:p w14:paraId="6783D044" w14:textId="18B97F51" w:rsidR="00595BEC" w:rsidRPr="007C15F1" w:rsidRDefault="00595BEC" w:rsidP="00595BEC">
            <w:pPr>
              <w:pStyle w:val="Body-Financial"/>
              <w:rPr>
                <w:noProof/>
                <w:sz w:val="18"/>
                <w:szCs w:val="18"/>
              </w:rPr>
            </w:pPr>
            <w:r w:rsidRPr="007C15F1">
              <w:rPr>
                <w:noProof/>
                <w:sz w:val="18"/>
                <w:szCs w:val="18"/>
              </w:rPr>
              <w:drawing>
                <wp:inline distT="0" distB="0" distL="0" distR="0" wp14:anchorId="1F55FA6E" wp14:editId="4DF83FBB">
                  <wp:extent cx="211631" cy="341865"/>
                  <wp:effectExtent l="0" t="0" r="4445" b="1270"/>
                  <wp:docPr id="266" name="Pictur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46D9C0E8" w14:textId="70379364" w:rsidR="00595BEC" w:rsidRPr="00FF6166" w:rsidRDefault="00E323BC" w:rsidP="00595BEC">
            <w:pPr>
              <w:pStyle w:val="Body"/>
            </w:pPr>
            <w:r w:rsidRPr="004A406D">
              <w:t>IHPA undertook analysis to develop a methodology that identified different patient cohorts amenable to activity based funding and innovative funding models. IHPA provided these findings as part of the joint advice from the national bodies to the Health Ministers’ Meeting for consideration in October</w:t>
            </w:r>
            <w:r w:rsidR="00D46AB1">
              <w:t> </w:t>
            </w:r>
            <w:r w:rsidRPr="004A406D">
              <w:t>2021.</w:t>
            </w:r>
          </w:p>
        </w:tc>
      </w:tr>
      <w:tr w:rsidR="00595BEC" w:rsidRPr="00147EEB" w14:paraId="6068D654" w14:textId="77777777" w:rsidTr="00271DC0">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644DEBC9" w14:textId="526B68A5" w:rsidR="00595BEC" w:rsidRPr="004D30E1" w:rsidRDefault="00595BEC">
            <w:pPr>
              <w:pStyle w:val="NumberListNoIndent"/>
              <w:numPr>
                <w:ilvl w:val="0"/>
                <w:numId w:val="21"/>
              </w:numPr>
            </w:pPr>
            <w:r w:rsidRPr="003E1FB3">
              <w:t>Appropriate committees and working</w:t>
            </w:r>
            <w:r>
              <w:t> </w:t>
            </w:r>
            <w:r w:rsidRPr="003E1FB3">
              <w:t>groups maintained to support</w:t>
            </w:r>
            <w:r>
              <w:t> </w:t>
            </w:r>
            <w:r w:rsidRPr="003E1FB3">
              <w:t>IHPA’s</w:t>
            </w:r>
            <w:r>
              <w:t> </w:t>
            </w:r>
            <w:r w:rsidRPr="003E1FB3">
              <w:t>functions.</w:t>
            </w:r>
          </w:p>
        </w:tc>
        <w:tc>
          <w:tcPr>
            <w:tcW w:w="567" w:type="dxa"/>
            <w:shd w:val="clear" w:color="auto" w:fill="FFFFFF" w:themeFill="background2"/>
            <w:tcMar>
              <w:top w:w="85" w:type="dxa"/>
              <w:left w:w="0" w:type="dxa"/>
              <w:bottom w:w="85" w:type="dxa"/>
              <w:right w:w="0" w:type="dxa"/>
            </w:tcMar>
          </w:tcPr>
          <w:p w14:paraId="1C5B5EE8" w14:textId="69E76F3D" w:rsidR="00595BEC" w:rsidRPr="007C15F1" w:rsidRDefault="00595BEC" w:rsidP="00595BEC">
            <w:pPr>
              <w:pStyle w:val="Body-Financial"/>
              <w:rPr>
                <w:noProof/>
                <w:sz w:val="18"/>
                <w:szCs w:val="18"/>
              </w:rPr>
            </w:pPr>
            <w:r w:rsidRPr="007C15F1">
              <w:rPr>
                <w:noProof/>
                <w:sz w:val="18"/>
                <w:szCs w:val="18"/>
              </w:rPr>
              <w:drawing>
                <wp:inline distT="0" distB="0" distL="0" distR="0" wp14:anchorId="6EA357F7" wp14:editId="3023C388">
                  <wp:extent cx="211631" cy="341865"/>
                  <wp:effectExtent l="0" t="0" r="4445" b="1270"/>
                  <wp:docPr id="267" name="Pictur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7854986F" w14:textId="2ACADD9B" w:rsidR="00595BEC" w:rsidRPr="00FF6166" w:rsidRDefault="00E323BC" w:rsidP="00595BEC">
            <w:pPr>
              <w:pStyle w:val="Body-Financial"/>
              <w:rPr>
                <w:sz w:val="18"/>
                <w:szCs w:val="18"/>
              </w:rPr>
            </w:pPr>
            <w:r w:rsidRPr="004A406D">
              <w:rPr>
                <w:sz w:val="18"/>
                <w:szCs w:val="18"/>
                <w:lang w:val="en-PH"/>
              </w:rPr>
              <w:t>In 2021–22 IHPA maintained up to 16 committees and working groups, to provide expert advice and</w:t>
            </w:r>
            <w:r w:rsidR="00D46AB1">
              <w:rPr>
                <w:sz w:val="18"/>
                <w:szCs w:val="18"/>
                <w:lang w:val="en-PH"/>
              </w:rPr>
              <w:t> </w:t>
            </w:r>
            <w:r w:rsidRPr="004A406D">
              <w:rPr>
                <w:sz w:val="18"/>
                <w:szCs w:val="18"/>
                <w:lang w:val="en-PH"/>
              </w:rPr>
              <w:t>to</w:t>
            </w:r>
            <w:r w:rsidR="00D46AB1">
              <w:rPr>
                <w:sz w:val="18"/>
                <w:szCs w:val="18"/>
                <w:lang w:val="en-PH"/>
              </w:rPr>
              <w:t> </w:t>
            </w:r>
            <w:r w:rsidRPr="004A406D">
              <w:rPr>
                <w:sz w:val="18"/>
                <w:szCs w:val="18"/>
                <w:lang w:val="en-PH"/>
              </w:rPr>
              <w:t>ensure the transparency and integrity of the organisation. During the reporting period, IHPA held 60 meetings with the various committees and working</w:t>
            </w:r>
            <w:r w:rsidR="00D46AB1">
              <w:rPr>
                <w:sz w:val="18"/>
                <w:szCs w:val="18"/>
                <w:lang w:val="en-PH"/>
              </w:rPr>
              <w:t> </w:t>
            </w:r>
            <w:r w:rsidRPr="004A406D">
              <w:rPr>
                <w:sz w:val="18"/>
                <w:szCs w:val="18"/>
                <w:lang w:val="en-PH"/>
              </w:rPr>
              <w:t>groups.</w:t>
            </w:r>
          </w:p>
        </w:tc>
      </w:tr>
    </w:tbl>
    <w:p w14:paraId="49CBF1AB" w14:textId="1B0E04F0" w:rsidR="00160A4D" w:rsidRDefault="00160A4D" w:rsidP="000A6C71">
      <w:pPr>
        <w:pStyle w:val="Body"/>
      </w:pPr>
    </w:p>
    <w:p w14:paraId="5A03268B" w14:textId="77777777" w:rsidR="00382907" w:rsidRDefault="00382907" w:rsidP="000A6C71">
      <w:pPr>
        <w:pStyle w:val="Body"/>
        <w:sectPr w:rsidR="00382907" w:rsidSect="00BF350C">
          <w:footerReference w:type="default" r:id="rId137"/>
          <w:pgSz w:w="9979" w:h="14175"/>
          <w:pgMar w:top="993" w:right="1134" w:bottom="851" w:left="1134" w:header="709" w:footer="709" w:gutter="0"/>
          <w:cols w:space="282"/>
          <w:docGrid w:linePitch="360"/>
        </w:sectPr>
      </w:pPr>
    </w:p>
    <w:tbl>
      <w:tblPr>
        <w:tblStyle w:val="TableGrid"/>
        <w:tblW w:w="7797" w:type="dxa"/>
        <w:tblLook w:val="04A0" w:firstRow="1" w:lastRow="0" w:firstColumn="1" w:lastColumn="0" w:noHBand="0" w:noVBand="1"/>
      </w:tblPr>
      <w:tblGrid>
        <w:gridCol w:w="3261"/>
        <w:gridCol w:w="567"/>
        <w:gridCol w:w="3969"/>
      </w:tblGrid>
      <w:tr w:rsidR="00382907" w:rsidRPr="00147EEB" w14:paraId="3C468EBD" w14:textId="77777777" w:rsidTr="00B15944">
        <w:trPr>
          <w:cnfStyle w:val="100000000000" w:firstRow="1" w:lastRow="0" w:firstColumn="0" w:lastColumn="0" w:oddVBand="0" w:evenVBand="0" w:oddHBand="0" w:evenHBand="0" w:firstRowFirstColumn="0" w:firstRowLastColumn="0" w:lastRowFirstColumn="0" w:lastRowLastColumn="0"/>
          <w:trHeight w:val="397"/>
        </w:trPr>
        <w:tc>
          <w:tcPr>
            <w:tcW w:w="3261" w:type="dxa"/>
            <w:vAlign w:val="center"/>
          </w:tcPr>
          <w:p w14:paraId="45EA7870" w14:textId="77777777" w:rsidR="00382907" w:rsidRPr="00622047" w:rsidRDefault="00382907" w:rsidP="00B15944">
            <w:pPr>
              <w:pStyle w:val="Body"/>
              <w:rPr>
                <w:rFonts w:asciiTheme="majorHAnsi" w:hAnsiTheme="majorHAnsi"/>
                <w:color w:val="FFFFFF" w:themeColor="background2"/>
              </w:rPr>
            </w:pPr>
            <w:r w:rsidRPr="00622047">
              <w:rPr>
                <w:rFonts w:asciiTheme="majorHAnsi" w:hAnsiTheme="majorHAnsi"/>
                <w:color w:val="FFFFFF" w:themeColor="background2"/>
              </w:rPr>
              <w:t>Performance criteria</w:t>
            </w:r>
          </w:p>
        </w:tc>
        <w:tc>
          <w:tcPr>
            <w:tcW w:w="567" w:type="dxa"/>
            <w:shd w:val="clear" w:color="auto" w:fill="FFFFFF" w:themeFill="background2"/>
            <w:vAlign w:val="center"/>
          </w:tcPr>
          <w:p w14:paraId="4F1B47A3" w14:textId="77777777" w:rsidR="00382907" w:rsidRPr="00622047" w:rsidRDefault="00382907" w:rsidP="00B15944">
            <w:pPr>
              <w:pStyle w:val="Body"/>
              <w:rPr>
                <w:rFonts w:asciiTheme="majorHAnsi" w:hAnsiTheme="majorHAnsi"/>
                <w:color w:val="FFFFFF" w:themeColor="background2"/>
              </w:rPr>
            </w:pPr>
          </w:p>
        </w:tc>
        <w:tc>
          <w:tcPr>
            <w:tcW w:w="3969" w:type="dxa"/>
            <w:vAlign w:val="center"/>
          </w:tcPr>
          <w:p w14:paraId="64982815" w14:textId="77777777" w:rsidR="00382907" w:rsidRPr="00622047" w:rsidRDefault="00382907" w:rsidP="00B15944">
            <w:pPr>
              <w:pStyle w:val="Body"/>
              <w:rPr>
                <w:rFonts w:asciiTheme="majorHAnsi" w:hAnsiTheme="majorHAnsi"/>
                <w:color w:val="FFFFFF" w:themeColor="background2"/>
              </w:rPr>
            </w:pPr>
            <w:r w:rsidRPr="00622047">
              <w:rPr>
                <w:rFonts w:asciiTheme="majorHAnsi" w:hAnsiTheme="majorHAnsi"/>
                <w:color w:val="FFFFFF" w:themeColor="background2"/>
              </w:rPr>
              <w:t>Results against performance criteria</w:t>
            </w:r>
          </w:p>
        </w:tc>
      </w:tr>
      <w:tr w:rsidR="00595BEC" w:rsidRPr="00147EEB" w14:paraId="24618A47" w14:textId="77777777" w:rsidTr="00791531">
        <w:trPr>
          <w:cnfStyle w:val="100000000000" w:firstRow="1" w:lastRow="0" w:firstColumn="0" w:lastColumn="0" w:oddVBand="0" w:evenVBand="0" w:oddHBand="0" w:evenHBand="0" w:firstRowFirstColumn="0" w:firstRowLastColumn="0" w:lastRowFirstColumn="0" w:lastRowLastColumn="0"/>
          <w:trHeight w:val="624"/>
        </w:trPr>
        <w:tc>
          <w:tcPr>
            <w:tcW w:w="3261" w:type="dxa"/>
            <w:shd w:val="clear" w:color="auto" w:fill="F2F2F2" w:themeFill="background2" w:themeFillShade="F2"/>
            <w:tcMar>
              <w:top w:w="85" w:type="dxa"/>
              <w:bottom w:w="85" w:type="dxa"/>
            </w:tcMar>
          </w:tcPr>
          <w:p w14:paraId="79DEABB8" w14:textId="4537FCD8" w:rsidR="00595BEC" w:rsidRPr="00382907" w:rsidRDefault="00595BEC">
            <w:pPr>
              <w:pStyle w:val="NumberListNoIndent"/>
              <w:numPr>
                <w:ilvl w:val="0"/>
                <w:numId w:val="21"/>
              </w:numPr>
            </w:pPr>
            <w:r w:rsidRPr="003E1FB3">
              <w:t xml:space="preserve">Public consultation processes conducted in accordance with the </w:t>
            </w:r>
            <w:r w:rsidRPr="000E1EC3">
              <w:rPr>
                <w:i/>
                <w:iCs/>
              </w:rPr>
              <w:t>National Health Reform Act 2011</w:t>
            </w:r>
            <w:r w:rsidRPr="003E1FB3">
              <w:t>.</w:t>
            </w:r>
          </w:p>
        </w:tc>
        <w:tc>
          <w:tcPr>
            <w:tcW w:w="567" w:type="dxa"/>
            <w:shd w:val="clear" w:color="auto" w:fill="FFFFFF" w:themeFill="background2"/>
            <w:tcMar>
              <w:top w:w="85" w:type="dxa"/>
              <w:left w:w="0" w:type="dxa"/>
              <w:bottom w:w="85" w:type="dxa"/>
              <w:right w:w="0" w:type="dxa"/>
            </w:tcMar>
          </w:tcPr>
          <w:p w14:paraId="6E6EA17C" w14:textId="77777777" w:rsidR="00595BEC" w:rsidRPr="007C15F1" w:rsidRDefault="00595BEC" w:rsidP="00595BEC">
            <w:pPr>
              <w:pStyle w:val="Body-Financial"/>
              <w:rPr>
                <w:sz w:val="18"/>
                <w:szCs w:val="18"/>
              </w:rPr>
            </w:pPr>
            <w:r w:rsidRPr="007C15F1">
              <w:rPr>
                <w:noProof/>
                <w:sz w:val="18"/>
                <w:szCs w:val="18"/>
              </w:rPr>
              <w:drawing>
                <wp:inline distT="0" distB="0" distL="0" distR="0" wp14:anchorId="6470B191" wp14:editId="6711129E">
                  <wp:extent cx="211631" cy="341865"/>
                  <wp:effectExtent l="0" t="0" r="4445" b="1270"/>
                  <wp:docPr id="112" name="Pictur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264">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1C371091" w14:textId="77777777" w:rsidR="00B24F7B" w:rsidRPr="00856C96" w:rsidRDefault="00B24F7B" w:rsidP="00856C96">
            <w:pPr>
              <w:pStyle w:val="Body-Financial"/>
              <w:rPr>
                <w:lang w:val="en-PH"/>
              </w:rPr>
            </w:pPr>
            <w:r w:rsidRPr="00856C96">
              <w:rPr>
                <w:sz w:val="18"/>
                <w:szCs w:val="18"/>
                <w:lang w:val="en-PH"/>
              </w:rPr>
              <w:t xml:space="preserve">IHPA conducted four public consultation processes in 2021–22, each in accordance with the </w:t>
            </w:r>
            <w:r w:rsidRPr="0051309D">
              <w:rPr>
                <w:rFonts w:ascii="Futura PT Book" w:hAnsi="Futura PT Book"/>
                <w:i/>
                <w:iCs/>
                <w:sz w:val="18"/>
                <w:szCs w:val="18"/>
                <w:lang w:val="en-PH"/>
              </w:rPr>
              <w:t>National Health Reform Act 2011</w:t>
            </w:r>
            <w:r w:rsidRPr="00856C96">
              <w:rPr>
                <w:sz w:val="18"/>
                <w:szCs w:val="18"/>
                <w:lang w:val="en-PH"/>
              </w:rPr>
              <w:t xml:space="preserve">. This included: </w:t>
            </w:r>
          </w:p>
          <w:p w14:paraId="07834EDD" w14:textId="77777777" w:rsidR="00B24F7B" w:rsidRPr="003E1FB3" w:rsidRDefault="00B24F7B">
            <w:pPr>
              <w:pStyle w:val="AlphabetListL2"/>
              <w:spacing w:before="80" w:after="80"/>
            </w:pPr>
            <w:r w:rsidRPr="003E1FB3">
              <w:t xml:space="preserve">Pricing Framework for Australian Public Hospital Services 2022–23 (July 2021) </w:t>
            </w:r>
          </w:p>
          <w:p w14:paraId="53753300" w14:textId="77777777" w:rsidR="00B24F7B" w:rsidRPr="000E1EC3" w:rsidRDefault="00B24F7B">
            <w:pPr>
              <w:pStyle w:val="AlphabetListL2"/>
              <w:spacing w:before="80" w:after="80"/>
            </w:pPr>
            <w:r w:rsidRPr="000E1EC3">
              <w:t>Assessment of New Health Technologies 2021–22 (August 2021)</w:t>
            </w:r>
          </w:p>
          <w:p w14:paraId="5232621D" w14:textId="13514F95" w:rsidR="00B24F7B" w:rsidRPr="003E1FB3" w:rsidRDefault="00B24F7B">
            <w:pPr>
              <w:pStyle w:val="AlphabetListL2"/>
              <w:spacing w:before="80" w:after="80"/>
            </w:pPr>
            <w:r w:rsidRPr="000E1EC3">
              <w:t xml:space="preserve">Consultation </w:t>
            </w:r>
            <w:r w:rsidRPr="003E1FB3">
              <w:t>Paper on a Methodology for</w:t>
            </w:r>
            <w:r w:rsidR="00D46AB1">
              <w:t> </w:t>
            </w:r>
            <w:r w:rsidRPr="003E1FB3">
              <w:t>Determining the Benchmark Price for Prostheses in Australian Public Hospitals (September 2021)</w:t>
            </w:r>
          </w:p>
          <w:p w14:paraId="253604C4" w14:textId="71EAC793" w:rsidR="00595BEC" w:rsidRPr="00382907" w:rsidRDefault="00B24F7B">
            <w:pPr>
              <w:pStyle w:val="AlphabetListL2"/>
              <w:spacing w:before="80" w:after="80"/>
            </w:pPr>
            <w:r w:rsidRPr="003E1FB3">
              <w:t>IHPA Work Program and Corporate Plan 2022–23 (April 2022).</w:t>
            </w:r>
          </w:p>
        </w:tc>
      </w:tr>
      <w:tr w:rsidR="00B24F7B" w:rsidRPr="00147EEB" w14:paraId="2B1096A7" w14:textId="77777777" w:rsidTr="00791531">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4D028CAD" w14:textId="6095165D" w:rsidR="00B24F7B" w:rsidRPr="004D30E1" w:rsidRDefault="00B24F7B">
            <w:pPr>
              <w:pStyle w:val="NumberListNoIndent"/>
              <w:numPr>
                <w:ilvl w:val="0"/>
                <w:numId w:val="21"/>
              </w:numPr>
            </w:pPr>
            <w:r w:rsidRPr="000E1EC3">
              <w:t>All stakeholder input is appropriately considered.</w:t>
            </w:r>
          </w:p>
        </w:tc>
        <w:tc>
          <w:tcPr>
            <w:tcW w:w="567" w:type="dxa"/>
            <w:shd w:val="clear" w:color="auto" w:fill="FFFFFF" w:themeFill="background2"/>
            <w:tcMar>
              <w:top w:w="85" w:type="dxa"/>
              <w:left w:w="0" w:type="dxa"/>
              <w:bottom w:w="85" w:type="dxa"/>
              <w:right w:w="0" w:type="dxa"/>
            </w:tcMar>
          </w:tcPr>
          <w:p w14:paraId="75DB9C3D" w14:textId="77777777" w:rsidR="00B24F7B" w:rsidRPr="007C15F1" w:rsidRDefault="00B24F7B" w:rsidP="00B24F7B">
            <w:pPr>
              <w:pStyle w:val="Body-Financial"/>
              <w:rPr>
                <w:noProof/>
                <w:sz w:val="18"/>
                <w:szCs w:val="18"/>
              </w:rPr>
            </w:pPr>
            <w:r w:rsidRPr="007C15F1">
              <w:rPr>
                <w:noProof/>
                <w:sz w:val="18"/>
                <w:szCs w:val="18"/>
              </w:rPr>
              <w:drawing>
                <wp:inline distT="0" distB="0" distL="0" distR="0" wp14:anchorId="3A5F8DA1" wp14:editId="15042BEA">
                  <wp:extent cx="211631" cy="341865"/>
                  <wp:effectExtent l="0" t="0" r="4445" b="1270"/>
                  <wp:docPr id="113" name="Pictur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265">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75FDF799" w14:textId="5173F958" w:rsidR="00B24F7B" w:rsidRPr="00856C96" w:rsidRDefault="00B24F7B" w:rsidP="00856C96">
            <w:pPr>
              <w:pStyle w:val="Body-Financial"/>
              <w:rPr>
                <w:lang w:val="en-PH"/>
              </w:rPr>
            </w:pPr>
            <w:r w:rsidRPr="00856C96">
              <w:rPr>
                <w:sz w:val="18"/>
                <w:szCs w:val="18"/>
                <w:lang w:val="en-PH"/>
              </w:rPr>
              <w:t>All submissions received by IHPA, as part of consultation processes, are presented to the Pricing Authority for consideration and published on the IHPA website.</w:t>
            </w:r>
          </w:p>
        </w:tc>
      </w:tr>
      <w:tr w:rsidR="00B24F7B" w:rsidRPr="00147EEB" w14:paraId="11B7B2B4" w14:textId="77777777" w:rsidTr="00791531">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36705810" w14:textId="5053387A" w:rsidR="00B24F7B" w:rsidRPr="004D30E1" w:rsidRDefault="00B24F7B">
            <w:pPr>
              <w:pStyle w:val="NumberListNoIndent"/>
              <w:numPr>
                <w:ilvl w:val="0"/>
                <w:numId w:val="21"/>
              </w:numPr>
            </w:pPr>
            <w:r w:rsidRPr="004A406D">
              <w:t>Inbox enquiries responded to within a</w:t>
            </w:r>
            <w:r w:rsidR="00D46AB1">
              <w:t> </w:t>
            </w:r>
            <w:r w:rsidRPr="004A406D">
              <w:t>two‑week timeframe.</w:t>
            </w:r>
          </w:p>
        </w:tc>
        <w:tc>
          <w:tcPr>
            <w:tcW w:w="567" w:type="dxa"/>
            <w:shd w:val="clear" w:color="auto" w:fill="FFFFFF" w:themeFill="background2"/>
            <w:tcMar>
              <w:top w:w="85" w:type="dxa"/>
              <w:left w:w="0" w:type="dxa"/>
              <w:bottom w:w="85" w:type="dxa"/>
              <w:right w:w="0" w:type="dxa"/>
            </w:tcMar>
          </w:tcPr>
          <w:p w14:paraId="0EEF3E06" w14:textId="77777777" w:rsidR="00B24F7B" w:rsidRPr="007C15F1" w:rsidRDefault="00B24F7B" w:rsidP="00B24F7B">
            <w:pPr>
              <w:pStyle w:val="Body-Financial"/>
              <w:rPr>
                <w:noProof/>
                <w:sz w:val="18"/>
                <w:szCs w:val="18"/>
              </w:rPr>
            </w:pPr>
            <w:r w:rsidRPr="007C15F1">
              <w:rPr>
                <w:noProof/>
                <w:sz w:val="18"/>
                <w:szCs w:val="18"/>
              </w:rPr>
              <w:drawing>
                <wp:inline distT="0" distB="0" distL="0" distR="0" wp14:anchorId="07641376" wp14:editId="5C1574CA">
                  <wp:extent cx="211631" cy="341865"/>
                  <wp:effectExtent l="0" t="0" r="4445" b="1270"/>
                  <wp:docPr id="114" name="Pictur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266">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0B2B285A" w14:textId="2C6A2AE5" w:rsidR="00B24F7B" w:rsidRPr="00856C96" w:rsidRDefault="00B24F7B" w:rsidP="00856C96">
            <w:pPr>
              <w:pStyle w:val="Body-Financial"/>
              <w:rPr>
                <w:lang w:val="en-PH"/>
              </w:rPr>
            </w:pPr>
            <w:r w:rsidRPr="00856C96">
              <w:rPr>
                <w:sz w:val="18"/>
                <w:szCs w:val="18"/>
                <w:lang w:val="en-PH"/>
              </w:rPr>
              <w:t>IHPA received 272 inbox enquiries during the reporting period. IHPA responded to 94 per cent within two weeks, and to 36 per cent of those on the day of receipt.</w:t>
            </w:r>
          </w:p>
        </w:tc>
      </w:tr>
      <w:tr w:rsidR="00B24F7B" w:rsidRPr="00147EEB" w14:paraId="5A0DF4AF" w14:textId="77777777" w:rsidTr="00791531">
        <w:trPr>
          <w:cnfStyle w:val="100000000000" w:firstRow="1" w:lastRow="0" w:firstColumn="0" w:lastColumn="0" w:oddVBand="0" w:evenVBand="0" w:oddHBand="0" w:evenHBand="0" w:firstRowFirstColumn="0" w:firstRowLastColumn="0" w:lastRowFirstColumn="0" w:lastRowLastColumn="0"/>
          <w:trHeight w:val="745"/>
        </w:trPr>
        <w:tc>
          <w:tcPr>
            <w:tcW w:w="3261" w:type="dxa"/>
            <w:shd w:val="clear" w:color="auto" w:fill="F2F2F2" w:themeFill="background2" w:themeFillShade="F2"/>
            <w:tcMar>
              <w:top w:w="85" w:type="dxa"/>
              <w:bottom w:w="85" w:type="dxa"/>
            </w:tcMar>
          </w:tcPr>
          <w:p w14:paraId="4F4F6B19" w14:textId="63322DF2" w:rsidR="00B24F7B" w:rsidRPr="004D30E1" w:rsidRDefault="00B24F7B">
            <w:pPr>
              <w:pStyle w:val="NumberListNoIndent"/>
              <w:numPr>
                <w:ilvl w:val="0"/>
                <w:numId w:val="21"/>
              </w:numPr>
            </w:pPr>
            <w:r w:rsidRPr="004A406D">
              <w:t>Deliver the biennial Activity Based Funding Conference hosted for a broad audience in the health industry.</w:t>
            </w:r>
          </w:p>
        </w:tc>
        <w:tc>
          <w:tcPr>
            <w:tcW w:w="567" w:type="dxa"/>
            <w:shd w:val="clear" w:color="auto" w:fill="FFFFFF" w:themeFill="background2"/>
            <w:tcMar>
              <w:top w:w="85" w:type="dxa"/>
              <w:left w:w="0" w:type="dxa"/>
              <w:bottom w:w="85" w:type="dxa"/>
              <w:right w:w="0" w:type="dxa"/>
            </w:tcMar>
          </w:tcPr>
          <w:p w14:paraId="34CC7167" w14:textId="77777777" w:rsidR="00B24F7B" w:rsidRPr="007C15F1" w:rsidRDefault="00B24F7B" w:rsidP="00B24F7B">
            <w:pPr>
              <w:pStyle w:val="Body-Financial"/>
              <w:rPr>
                <w:noProof/>
                <w:sz w:val="18"/>
                <w:szCs w:val="18"/>
              </w:rPr>
            </w:pPr>
            <w:r w:rsidRPr="007C15F1">
              <w:rPr>
                <w:noProof/>
                <w:sz w:val="18"/>
                <w:szCs w:val="18"/>
              </w:rPr>
              <w:drawing>
                <wp:inline distT="0" distB="0" distL="0" distR="0" wp14:anchorId="519D656B" wp14:editId="3E2E5FD8">
                  <wp:extent cx="211631" cy="341865"/>
                  <wp:effectExtent l="0" t="0" r="4445" b="1270"/>
                  <wp:docPr id="115" name="Pictur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267">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96DAC541-7B7A-43D3-8B79-37D633B846F1}">
                                <asvg:svgBlip xmlns:asvg="http://schemas.microsoft.com/office/drawing/2016/SVG/main" r:embed="rId115"/>
                              </a:ext>
                            </a:extLst>
                          </a:blip>
                          <a:stretch>
                            <a:fillRect/>
                          </a:stretch>
                        </pic:blipFill>
                        <pic:spPr bwMode="auto">
                          <a:xfrm>
                            <a:off x="0" y="0"/>
                            <a:ext cx="211631" cy="341865"/>
                          </a:xfrm>
                          <a:prstGeom prst="rect">
                            <a:avLst/>
                          </a:prstGeom>
                        </pic:spPr>
                      </pic:pic>
                    </a:graphicData>
                  </a:graphic>
                </wp:inline>
              </w:drawing>
            </w:r>
          </w:p>
        </w:tc>
        <w:tc>
          <w:tcPr>
            <w:tcW w:w="3969" w:type="dxa"/>
            <w:shd w:val="clear" w:color="auto" w:fill="F2F2F2" w:themeFill="background2" w:themeFillShade="F2"/>
            <w:tcMar>
              <w:top w:w="85" w:type="dxa"/>
              <w:bottom w:w="85" w:type="dxa"/>
            </w:tcMar>
          </w:tcPr>
          <w:p w14:paraId="222755A9" w14:textId="6CD11BA2" w:rsidR="00B24F7B" w:rsidRPr="00FF6166" w:rsidRDefault="00E323BC" w:rsidP="00B24F7B">
            <w:pPr>
              <w:pStyle w:val="Body-Financial"/>
              <w:rPr>
                <w:sz w:val="18"/>
                <w:szCs w:val="18"/>
              </w:rPr>
            </w:pPr>
            <w:r w:rsidRPr="004A406D">
              <w:rPr>
                <w:sz w:val="18"/>
                <w:szCs w:val="18"/>
                <w:lang w:val="en-PH"/>
              </w:rPr>
              <w:t>IHPA hosted its Activity Based Funding Conference 2022 from 5 to 6 May 2022. The conference was held as a virtual event and provided education to 2,371 delegates from across Australia and around the world. The two-day scientific program featured 47 speakers who shared their technical expertise, insights and personal experiences in the healthcare sector under the conference theme: ‘Innovation and collaboration: Activity based funding for sustainability in health care’.</w:t>
            </w:r>
          </w:p>
        </w:tc>
      </w:tr>
    </w:tbl>
    <w:p w14:paraId="03E01F44" w14:textId="481C3065" w:rsidR="00382907" w:rsidRDefault="00382907" w:rsidP="000A6C71">
      <w:pPr>
        <w:pStyle w:val="Body"/>
      </w:pPr>
    </w:p>
    <w:p w14:paraId="7C797179" w14:textId="77777777" w:rsidR="00382907" w:rsidRDefault="00382907" w:rsidP="000A6C71">
      <w:pPr>
        <w:pStyle w:val="Body"/>
      </w:pPr>
    </w:p>
    <w:p w14:paraId="063D84BD" w14:textId="77777777" w:rsidR="006F1982" w:rsidRDefault="006F1982" w:rsidP="000A6C71">
      <w:pPr>
        <w:pStyle w:val="Body"/>
        <w:sectPr w:rsidR="006F1982" w:rsidSect="00BF350C">
          <w:footerReference w:type="default" r:id="rId138"/>
          <w:pgSz w:w="9979" w:h="14175"/>
          <w:pgMar w:top="993" w:right="1134" w:bottom="851" w:left="1134" w:header="709" w:footer="709" w:gutter="0"/>
          <w:cols w:space="282"/>
          <w:docGrid w:linePitch="360"/>
        </w:sectPr>
      </w:pPr>
    </w:p>
    <w:p w14:paraId="238B5604" w14:textId="77777777" w:rsidR="00EA26F3" w:rsidRPr="00FA2E56" w:rsidRDefault="00EA26F3" w:rsidP="00EA26F3">
      <w:pPr>
        <w:pStyle w:val="H3"/>
        <w:rPr>
          <w:color w:val="5E2F7E" w:themeColor="accent5"/>
        </w:rPr>
      </w:pPr>
      <w:r w:rsidRPr="00FA2E56">
        <w:rPr>
          <w:noProof/>
          <w:color w:val="5E2F7E" w:themeColor="accent5"/>
          <w:sz w:val="28"/>
          <w:szCs w:val="28"/>
          <w:lang w:eastAsia="en-AU"/>
        </w:rPr>
        <mc:AlternateContent>
          <mc:Choice Requires="wps">
            <w:drawing>
              <wp:anchor distT="0" distB="0" distL="114300" distR="114300" simplePos="0" relativeHeight="252043264" behindDoc="1" locked="0" layoutInCell="1" allowOverlap="1" wp14:anchorId="2B3D4BEF" wp14:editId="2F0CF1E6">
                <wp:simplePos x="0" y="0"/>
                <wp:positionH relativeFrom="column">
                  <wp:posOffset>-205017</wp:posOffset>
                </wp:positionH>
                <wp:positionV relativeFrom="paragraph">
                  <wp:posOffset>-103907</wp:posOffset>
                </wp:positionV>
                <wp:extent cx="5300345" cy="6672805"/>
                <wp:effectExtent l="0" t="0" r="8255" b="7620"/>
                <wp:wrapNone/>
                <wp:docPr id="271" name="Rectangle 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00345" cy="6672805"/>
                        </a:xfrm>
                        <a:prstGeom prst="rect">
                          <a:avLst/>
                        </a:prstGeom>
                        <a:noFill/>
                        <a:ln w="63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AFA71" id="Rectangle 271" o:spid="_x0000_s1026" alt="&quot;&quot;" style="position:absolute;margin-left:-16.15pt;margin-top:-8.2pt;width:417.35pt;height:525.4pt;z-index:-2512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" filled="f" strokecolor="#5e2f7e [3208]" strokeweight=".5pt"/>
            </w:pict>
          </mc:Fallback>
        </mc:AlternateContent>
      </w:r>
      <w:r w:rsidRPr="00FA2E56">
        <w:rPr>
          <w:color w:val="5E2F7E" w:themeColor="accent5"/>
        </w:rPr>
        <w:t>Analysis</w:t>
      </w:r>
    </w:p>
    <w:p w14:paraId="4E325244" w14:textId="77777777" w:rsidR="00E323BC" w:rsidRPr="00E323BC" w:rsidRDefault="00E323BC" w:rsidP="00E323BC">
      <w:pPr>
        <w:pStyle w:val="Body"/>
      </w:pPr>
      <w:r w:rsidRPr="004A406D">
        <w:t xml:space="preserve">IHPA continued to provide a transparent account of its decision-making through its committees and working groups, public consultations and the release of the detailed policies outlining the processes IHPA employs to undertake its key functions throughout 2021–22. During the reporting period, this included four public consultations that garnered 60 responses from stakeholders. </w:t>
      </w:r>
    </w:p>
    <w:p w14:paraId="7B8AE446" w14:textId="0DABB053" w:rsidR="00E323BC" w:rsidRPr="00E323BC" w:rsidRDefault="00E323BC" w:rsidP="00E323BC">
      <w:pPr>
        <w:pStyle w:val="Body"/>
      </w:pPr>
      <w:r w:rsidRPr="004A406D">
        <w:t>IHPA publishes public submissions to its completed consultations on its website. In addition, IHPA releases a ‘Consultation Report’ alongside the release of its key strategic policy document, the Pricing Framework for Australian Public Hospital Services, which details the feedback received during the public consultation and IHPA’s rationale behind its policy decisions.</w:t>
      </w:r>
    </w:p>
    <w:p w14:paraId="1A644F03" w14:textId="77777777" w:rsidR="00E323BC" w:rsidRPr="00E323BC" w:rsidRDefault="00E323BC" w:rsidP="00E323BC">
      <w:pPr>
        <w:pStyle w:val="Body"/>
      </w:pPr>
      <w:r w:rsidRPr="004A406D">
        <w:t xml:space="preserve">From July 2020, IHPA commenced implementing the new clauses of the 2020–25 Addendum to the National Health Reform Agreement (NHRA), which continued to progress in the 2021–22 financial year. </w:t>
      </w:r>
    </w:p>
    <w:p w14:paraId="1537EA0E" w14:textId="77777777" w:rsidR="00E323BC" w:rsidRPr="00E323BC" w:rsidRDefault="00E323BC" w:rsidP="00E323BC">
      <w:pPr>
        <w:pStyle w:val="Body"/>
      </w:pPr>
      <w:r w:rsidRPr="004A406D">
        <w:t xml:space="preserve">One of the requirements under the Addendum to the NHRA included the development of a funding methodology that supports states and territories in undertaking trials of innovative models of care. </w:t>
      </w:r>
    </w:p>
    <w:p w14:paraId="1D1AC4E6" w14:textId="77777777" w:rsidR="00E323BC" w:rsidRPr="00E323BC" w:rsidRDefault="00E323BC" w:rsidP="00E323BC">
      <w:pPr>
        <w:pStyle w:val="Body"/>
      </w:pPr>
      <w:r w:rsidRPr="004A406D">
        <w:t xml:space="preserve">Following initial investigations into innovative funding models in 2020–21, IHPA has undertaken analysis to categorise patient cohorts that may be amenable to activity based funding, bundling or capitation payments. This analysis shows that around 30 per cent of patients analysed in the cohort that are currently funded under activity based funding could potentially benefit from alternate funding approaches. </w:t>
      </w:r>
    </w:p>
    <w:p w14:paraId="27006CAB" w14:textId="7EE6DCDE" w:rsidR="00E323BC" w:rsidRPr="00E323BC" w:rsidRDefault="00E323BC" w:rsidP="00E323BC">
      <w:pPr>
        <w:pStyle w:val="Body"/>
      </w:pPr>
      <w:r w:rsidRPr="004A406D">
        <w:t xml:space="preserve">As outlined in the Pricing Framework </w:t>
      </w:r>
      <w:r w:rsidR="006015C7" w:rsidRPr="004A406D">
        <w:t xml:space="preserve">for Australian Public Hospital Services </w:t>
      </w:r>
      <w:r w:rsidRPr="004A406D">
        <w:t>2022–23 published in December 2021, IHPA is in the process of developing project parameters and business rules to facilitate piloting state and territory nominated innovative models of care and services for 2022–23 and will continue to work with jurisdictions and stakeholders to investigate options for further developing, tria</w:t>
      </w:r>
      <w:r>
        <w:t>l</w:t>
      </w:r>
      <w:r w:rsidRPr="004A406D">
        <w:t>ling and implementing alternate funding models.</w:t>
      </w:r>
    </w:p>
    <w:p w14:paraId="5655B00A" w14:textId="3EB2555E" w:rsidR="00E323BC" w:rsidRPr="00E323BC" w:rsidRDefault="00E323BC" w:rsidP="00E323BC">
      <w:pPr>
        <w:pStyle w:val="Body"/>
      </w:pPr>
      <w:r w:rsidRPr="004A406D">
        <w:t>In May 2022, IHPA held its ninth Activity Based Funding Conference virtually from 5 to 6 May 2022 under the</w:t>
      </w:r>
      <w:r w:rsidR="00D46AB1">
        <w:t> </w:t>
      </w:r>
      <w:r w:rsidRPr="004A406D">
        <w:t>theme ‘Innovation and collaboration: Activity based funding for sustainability in health care’.</w:t>
      </w:r>
    </w:p>
    <w:p w14:paraId="304F5A42" w14:textId="5D2BD36E" w:rsidR="00E323BC" w:rsidRPr="00E323BC" w:rsidRDefault="00E323BC" w:rsidP="00E323BC">
      <w:pPr>
        <w:pStyle w:val="Body"/>
      </w:pPr>
      <w:r w:rsidRPr="004A406D">
        <w:t>IHPA was pleased to host 47 local and international speakers who shared their research and insights, while</w:t>
      </w:r>
      <w:r w:rsidR="00D46AB1">
        <w:t> </w:t>
      </w:r>
      <w:r w:rsidRPr="004A406D">
        <w:t>welcoming 2,371 delegates who explored the applications of public hospital pricing and funding across a diverse range of discussion topics including value-based care, sustainability in health care, classification development, costing, coding and documentation, and data analytics and benchmarking.</w:t>
      </w:r>
    </w:p>
    <w:p w14:paraId="6E5E8BA1" w14:textId="6F465BA8" w:rsidR="000A142E" w:rsidRDefault="00E323BC" w:rsidP="00E323BC">
      <w:pPr>
        <w:pStyle w:val="Body"/>
      </w:pPr>
      <w:r w:rsidRPr="004A406D">
        <w:t>In addition, IHPA introduced an inaugural digital webinar series to complement the agency’s educational offering and provide continuing development opportunities for health professionals. Throughout this seven-part webinar series, a total of 2,686 attendees registered to engage directly with IHPA’s senior leaders, technical advisors and industry experts on the practical application of the core themes relating to activity based funding processes to support their understanding of how their roles and the underlying processes and systems support pricing and funding of public hospital services.</w:t>
      </w:r>
      <w:r w:rsidR="000A142E" w:rsidRPr="004A406D">
        <w:t xml:space="preserve"> </w:t>
      </w:r>
    </w:p>
    <w:p w14:paraId="56AEB3BB" w14:textId="77777777" w:rsidR="006F1982" w:rsidRDefault="006F1982" w:rsidP="000A6C71">
      <w:pPr>
        <w:pStyle w:val="Body"/>
      </w:pPr>
    </w:p>
    <w:p w14:paraId="4E0E7FA7" w14:textId="1D440CE0" w:rsidR="006F1982" w:rsidRDefault="006F1982" w:rsidP="000A6C71">
      <w:pPr>
        <w:pStyle w:val="Body"/>
        <w:sectPr w:rsidR="006F1982" w:rsidSect="00BF350C">
          <w:footerReference w:type="default" r:id="rId139"/>
          <w:pgSz w:w="9979" w:h="14175"/>
          <w:pgMar w:top="993" w:right="1134" w:bottom="851" w:left="1134" w:header="709" w:footer="709" w:gutter="0"/>
          <w:cols w:space="282"/>
          <w:docGrid w:linePitch="360"/>
        </w:sectPr>
      </w:pPr>
    </w:p>
    <w:p w14:paraId="5EDFA864" w14:textId="70AF347D" w:rsidR="006F1982" w:rsidRDefault="007C005E" w:rsidP="000A6C71">
      <w:pPr>
        <w:pStyle w:val="Body"/>
      </w:pPr>
      <w:r>
        <w:rPr>
          <w:noProof/>
          <w:lang w:eastAsia="en-AU"/>
        </w:rPr>
        <w:drawing>
          <wp:anchor distT="0" distB="0" distL="114300" distR="114300" simplePos="0" relativeHeight="252080128" behindDoc="1" locked="0" layoutInCell="1" allowOverlap="1" wp14:anchorId="0C7DA47C" wp14:editId="6BE64B96">
            <wp:simplePos x="0" y="0"/>
            <wp:positionH relativeFrom="column">
              <wp:posOffset>-720090</wp:posOffset>
            </wp:positionH>
            <wp:positionV relativeFrom="paragraph">
              <wp:posOffset>-630555</wp:posOffset>
            </wp:positionV>
            <wp:extent cx="6434367" cy="9040535"/>
            <wp:effectExtent l="0" t="0" r="5080" b="1905"/>
            <wp:wrapNone/>
            <wp:docPr id="117" name="Pictur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a:extLst>
                        <a:ext uri="{C183D7F6-B498-43B3-948B-1728B52AA6E4}">
                          <adec:decorative xmlns:adec="http://schemas.microsoft.com/office/drawing/2017/decorative" val="1"/>
                        </a:ext>
                      </a:extLst>
                    </pic:cNvPr>
                    <pic:cNvPicPr/>
                  </pic:nvPicPr>
                  <pic:blipFill>
                    <a:blip r:embed="rId140"/>
                    <a:stretch>
                      <a:fillRect/>
                    </a:stretch>
                  </pic:blipFill>
                  <pic:spPr>
                    <a:xfrm>
                      <a:off x="0" y="0"/>
                      <a:ext cx="6434367" cy="9040535"/>
                    </a:xfrm>
                    <a:prstGeom prst="rect">
                      <a:avLst/>
                    </a:prstGeom>
                  </pic:spPr>
                </pic:pic>
              </a:graphicData>
            </a:graphic>
            <wp14:sizeRelH relativeFrom="page">
              <wp14:pctWidth>0</wp14:pctWidth>
            </wp14:sizeRelH>
            <wp14:sizeRelV relativeFrom="page">
              <wp14:pctHeight>0</wp14:pctHeight>
            </wp14:sizeRelV>
          </wp:anchor>
        </w:drawing>
      </w:r>
    </w:p>
    <w:p w14:paraId="2029FF8D" w14:textId="77777777" w:rsidR="006F1982" w:rsidRDefault="006F1982" w:rsidP="000A6C71">
      <w:pPr>
        <w:pStyle w:val="Body"/>
      </w:pPr>
    </w:p>
    <w:p w14:paraId="0BF15BFD" w14:textId="18AB5CCD" w:rsidR="000A6C71" w:rsidRDefault="000A6C71" w:rsidP="00565009">
      <w:pPr>
        <w:pStyle w:val="Bulletslast"/>
        <w:numPr>
          <w:ilvl w:val="0"/>
          <w:numId w:val="0"/>
        </w:numPr>
        <w:ind w:left="473" w:hanging="360"/>
        <w:sectPr w:rsidR="000A6C71" w:rsidSect="00BF350C">
          <w:footerReference w:type="default" r:id="rId141"/>
          <w:pgSz w:w="9979" w:h="14175"/>
          <w:pgMar w:top="993" w:right="1134" w:bottom="851" w:left="1134" w:header="709" w:footer="709" w:gutter="0"/>
          <w:cols w:space="282"/>
          <w:docGrid w:linePitch="360"/>
        </w:sectPr>
      </w:pPr>
    </w:p>
    <w:p w14:paraId="4174222C" w14:textId="6959196D" w:rsidR="00637CA2" w:rsidRDefault="00637CA2" w:rsidP="00637CA2">
      <w:pPr>
        <w:pStyle w:val="H1"/>
        <w:spacing w:before="120"/>
      </w:pPr>
      <w:bookmarkStart w:id="59" w:name="_Toc114824432"/>
      <w:r>
        <w:rPr>
          <w:noProof/>
          <w:lang w:eastAsia="en-AU"/>
        </w:rPr>
        <w:drawing>
          <wp:anchor distT="0" distB="0" distL="114300" distR="114300" simplePos="0" relativeHeight="252010496" behindDoc="1" locked="0" layoutInCell="1" allowOverlap="1" wp14:anchorId="424398BD" wp14:editId="7CEEA037">
            <wp:simplePos x="0" y="0"/>
            <wp:positionH relativeFrom="column">
              <wp:posOffset>-720090</wp:posOffset>
            </wp:positionH>
            <wp:positionV relativeFrom="paragraph">
              <wp:posOffset>-710362</wp:posOffset>
            </wp:positionV>
            <wp:extent cx="6402357" cy="8995561"/>
            <wp:effectExtent l="0" t="0" r="0" b="0"/>
            <wp:wrapNone/>
            <wp:docPr id="165" name="Picture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a:extLst>
                        <a:ext uri="{C183D7F6-B498-43B3-948B-1728B52AA6E4}">
                          <adec:decorative xmlns:adec="http://schemas.microsoft.com/office/drawing/2017/decorative" val="1"/>
                        </a:ext>
                      </a:extLst>
                    </pic:cNvPr>
                    <pic:cNvPicPr>
                      <a:picLocks noChangeAspect="1" noChangeArrowheads="1"/>
                    </pic:cNvPicPr>
                  </pic:nvPicPr>
                  <pic:blipFill>
                    <a:blip r:embed="rId142"/>
                    <a:stretch>
                      <a:fillRect/>
                    </a:stretch>
                  </pic:blipFill>
                  <pic:spPr bwMode="auto">
                    <a:xfrm>
                      <a:off x="0" y="0"/>
                      <a:ext cx="6402357" cy="89955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005E">
        <w:t xml:space="preserve">5. </w:t>
      </w:r>
      <w:r w:rsidR="004676DA">
        <w:t>Management and accountability</w:t>
      </w:r>
      <w:bookmarkEnd w:id="59"/>
    </w:p>
    <w:p w14:paraId="4A8AB999" w14:textId="77777777" w:rsidR="00D65B30" w:rsidRDefault="00637CA2" w:rsidP="00D65B30">
      <w:pPr>
        <w:spacing w:before="1800" w:after="0"/>
        <w:jc w:val="center"/>
        <w:rPr>
          <w:noProof/>
          <w:color w:val="FFFFFF" w:themeColor="background2"/>
          <w:sz w:val="200"/>
          <w:szCs w:val="200"/>
          <w:lang w:eastAsia="en-AU"/>
        </w:rPr>
      </w:pPr>
      <w:r w:rsidRPr="000E7CB6">
        <w:rPr>
          <w:noProof/>
          <w:color w:val="FFFFFF" w:themeColor="background2"/>
          <w:sz w:val="200"/>
          <w:szCs w:val="200"/>
          <w:lang w:eastAsia="en-AU"/>
        </w:rPr>
        <w:t>0</w:t>
      </w:r>
      <w:r w:rsidR="007C005E">
        <w:rPr>
          <w:noProof/>
          <w:color w:val="FFFFFF" w:themeColor="background2"/>
          <w:sz w:val="200"/>
          <w:szCs w:val="200"/>
          <w:lang w:eastAsia="en-AU"/>
        </w:rPr>
        <w:t>5</w:t>
      </w:r>
    </w:p>
    <w:p w14:paraId="59822B2C" w14:textId="71BF14B8" w:rsidR="00D65B30" w:rsidRDefault="00D65B30" w:rsidP="00637CA2">
      <w:pPr>
        <w:spacing w:before="1440" w:after="0"/>
        <w:jc w:val="center"/>
        <w:rPr>
          <w:noProof/>
          <w:color w:val="FFFFFF" w:themeColor="background2"/>
          <w:sz w:val="200"/>
          <w:szCs w:val="200"/>
          <w:lang w:eastAsia="en-AU"/>
        </w:rPr>
        <w:sectPr w:rsidR="00D65B30" w:rsidSect="00BB2F1C">
          <w:footerReference w:type="default" r:id="rId143"/>
          <w:pgSz w:w="9979" w:h="14175"/>
          <w:pgMar w:top="1134" w:right="1134" w:bottom="1134" w:left="1134" w:header="709" w:footer="709" w:gutter="0"/>
          <w:cols w:space="708"/>
          <w:docGrid w:linePitch="360"/>
          <w15:footnoteColumns w:val="1"/>
        </w:sectPr>
      </w:pPr>
    </w:p>
    <w:p w14:paraId="735965E9" w14:textId="2EAECDCF" w:rsidR="00BB2F1C" w:rsidRDefault="004C5F2E" w:rsidP="00BB2F1C">
      <w:pPr>
        <w:pStyle w:val="Heading1"/>
        <w:rPr>
          <w:color w:val="009AB8" w:themeColor="accent3"/>
        </w:rPr>
      </w:pPr>
      <w:bookmarkStart w:id="60" w:name="_5.1_Responsible_Minister"/>
      <w:bookmarkStart w:id="61" w:name="_Toc114824433"/>
      <w:bookmarkEnd w:id="60"/>
      <w:r>
        <w:rPr>
          <w:color w:val="009AB8" w:themeColor="accent3"/>
        </w:rPr>
        <w:t xml:space="preserve">5.1 </w:t>
      </w:r>
      <w:r w:rsidR="00BB2F1C">
        <w:rPr>
          <w:color w:val="009AB8" w:themeColor="accent3"/>
        </w:rPr>
        <w:t>Responsible Minister</w:t>
      </w:r>
      <w:bookmarkEnd w:id="61"/>
    </w:p>
    <w:p w14:paraId="786C4998" w14:textId="77777777" w:rsidR="00BB2F1C" w:rsidRDefault="00BB2F1C" w:rsidP="00BB2F1C">
      <w:pPr>
        <w:pStyle w:val="Heading2"/>
        <w:sectPr w:rsidR="00BB2F1C" w:rsidSect="00BB2F1C">
          <w:footerReference w:type="default" r:id="rId144"/>
          <w:pgSz w:w="9979" w:h="14175"/>
          <w:pgMar w:top="1134" w:right="1134" w:bottom="1134" w:left="1134" w:header="709" w:footer="709" w:gutter="0"/>
          <w:cols w:space="708"/>
          <w:docGrid w:linePitch="360"/>
          <w15:footnoteColumns w:val="1"/>
        </w:sectPr>
      </w:pPr>
    </w:p>
    <w:p w14:paraId="080D14D2" w14:textId="4169D76A" w:rsidR="00871350" w:rsidRPr="00871350" w:rsidRDefault="00871350" w:rsidP="00871350">
      <w:pPr>
        <w:pStyle w:val="Body"/>
        <w:rPr>
          <w:b/>
          <w:bCs/>
        </w:rPr>
      </w:pPr>
      <w:r w:rsidRPr="00871350">
        <w:rPr>
          <w:b/>
          <w:bCs/>
        </w:rPr>
        <w:t>The Independent Hospital Pricing Authority sits within the Department of Health and Aged Care</w:t>
      </w:r>
      <w:r>
        <w:rPr>
          <w:b/>
          <w:bCs/>
        </w:rPr>
        <w:t> </w:t>
      </w:r>
      <w:r w:rsidRPr="00871350">
        <w:rPr>
          <w:b/>
          <w:bCs/>
        </w:rPr>
        <w:t>portfolio.</w:t>
      </w:r>
    </w:p>
    <w:p w14:paraId="69796D7B" w14:textId="27B26492" w:rsidR="00BB2F1C" w:rsidRDefault="00BB2F1C" w:rsidP="00AA07F9">
      <w:pPr>
        <w:pStyle w:val="Body"/>
      </w:pPr>
      <w:r>
        <w:br w:type="column"/>
      </w:r>
      <w:r w:rsidR="00871350" w:rsidRPr="00871350">
        <w:t xml:space="preserve">The Minister responsible for this reporting period </w:t>
      </w:r>
      <w:r w:rsidR="009A618A">
        <w:t>was</w:t>
      </w:r>
      <w:r w:rsidR="00871350" w:rsidRPr="00871350">
        <w:t xml:space="preserve"> the Hon Greg Hunt MP, Minister for Health and Aged Care.</w:t>
      </w:r>
    </w:p>
    <w:p w14:paraId="167137DA" w14:textId="10785EC5" w:rsidR="00BB2F1C" w:rsidRDefault="00BB2F1C" w:rsidP="00AA07F9">
      <w:pPr>
        <w:pStyle w:val="Body"/>
      </w:pPr>
    </w:p>
    <w:p w14:paraId="2C8F117D" w14:textId="77777777" w:rsidR="00BB2F1C" w:rsidRDefault="00BB2F1C" w:rsidP="00AA07F9">
      <w:pPr>
        <w:pStyle w:val="Body"/>
        <w:sectPr w:rsidR="00BB2F1C" w:rsidSect="00BB2F1C">
          <w:type w:val="continuous"/>
          <w:pgSz w:w="9979" w:h="14175"/>
          <w:pgMar w:top="1134" w:right="1134" w:bottom="1134" w:left="1134" w:header="709" w:footer="709" w:gutter="0"/>
          <w:cols w:num="2" w:space="708"/>
          <w:docGrid w:linePitch="360"/>
          <w15:footnoteColumns w:val="1"/>
        </w:sectPr>
      </w:pPr>
    </w:p>
    <w:p w14:paraId="6CE5CD14" w14:textId="48A19B7A" w:rsidR="00BB2F1C" w:rsidRDefault="00FC6B80" w:rsidP="009C5292">
      <w:pPr>
        <w:pStyle w:val="Heading1"/>
        <w:rPr>
          <w:color w:val="009AB8" w:themeColor="accent3"/>
        </w:rPr>
      </w:pPr>
      <w:bookmarkStart w:id="62" w:name="_5.2_Legislation"/>
      <w:bookmarkStart w:id="63" w:name="_Toc114824434"/>
      <w:bookmarkEnd w:id="62"/>
      <w:r>
        <w:rPr>
          <w:color w:val="009AB8" w:themeColor="accent3"/>
        </w:rPr>
        <w:t>5.2 Legislation</w:t>
      </w:r>
      <w:bookmarkEnd w:id="63"/>
    </w:p>
    <w:p w14:paraId="6C582666" w14:textId="77777777" w:rsidR="009C5292" w:rsidRDefault="009C5292" w:rsidP="00AA07F9">
      <w:pPr>
        <w:pStyle w:val="Body"/>
        <w:sectPr w:rsidR="009C5292" w:rsidSect="00BB2F1C">
          <w:type w:val="continuous"/>
          <w:pgSz w:w="9979" w:h="14175"/>
          <w:pgMar w:top="1134" w:right="1134" w:bottom="1134" w:left="1134" w:header="709" w:footer="709" w:gutter="0"/>
          <w:cols w:space="708"/>
          <w:docGrid w:linePitch="360"/>
          <w15:footnoteColumns w:val="1"/>
        </w:sectPr>
      </w:pPr>
    </w:p>
    <w:p w14:paraId="075A79EC" w14:textId="77777777" w:rsidR="00871350" w:rsidRDefault="00871350" w:rsidP="00871350">
      <w:pPr>
        <w:pStyle w:val="Body"/>
      </w:pPr>
      <w:r w:rsidRPr="00FC6B80">
        <w:t xml:space="preserve">The Independent Hospital Pricing Authority (IHPA) is a corporate Commonwealth entity under the </w:t>
      </w:r>
      <w:r w:rsidRPr="00FC6B80">
        <w:rPr>
          <w:i/>
          <w:iCs/>
        </w:rPr>
        <w:t>Public Governance, Performance and Accountability Act 2013</w:t>
      </w:r>
      <w:r w:rsidRPr="00FC6B80">
        <w:t>.</w:t>
      </w:r>
    </w:p>
    <w:p w14:paraId="350408D5" w14:textId="480D0A7C" w:rsidR="00871350" w:rsidRPr="00191182" w:rsidRDefault="00871350" w:rsidP="00871350">
      <w:pPr>
        <w:pStyle w:val="H3"/>
        <w:rPr>
          <w:color w:val="009AB8" w:themeColor="accent3"/>
        </w:rPr>
      </w:pPr>
      <w:r w:rsidRPr="00191182">
        <w:rPr>
          <w:color w:val="009AB8" w:themeColor="accent3"/>
        </w:rPr>
        <w:t>National Health Reform</w:t>
      </w:r>
      <w:r>
        <w:rPr>
          <w:color w:val="009AB8" w:themeColor="accent3"/>
        </w:rPr>
        <w:t> </w:t>
      </w:r>
      <w:r w:rsidRPr="00191182">
        <w:rPr>
          <w:color w:val="009AB8" w:themeColor="accent3"/>
        </w:rPr>
        <w:t>Agreement</w:t>
      </w:r>
    </w:p>
    <w:p w14:paraId="76D3B2C2" w14:textId="77777777" w:rsidR="00871350" w:rsidRDefault="00871350" w:rsidP="00871350">
      <w:pPr>
        <w:pStyle w:val="Body"/>
      </w:pPr>
      <w:r>
        <w:t xml:space="preserve">IHPA was established under the </w:t>
      </w:r>
      <w:r w:rsidRPr="00FC6B80">
        <w:rPr>
          <w:i/>
          <w:iCs/>
        </w:rPr>
        <w:t>National Health Reform Act 2011</w:t>
      </w:r>
      <w:r>
        <w:t>, giving effect to the National Health Reform Agreement signed by the Commonwealth Government and all states and territories in August 2011.</w:t>
      </w:r>
    </w:p>
    <w:p w14:paraId="327DC572" w14:textId="77777777" w:rsidR="00871350" w:rsidRDefault="00871350" w:rsidP="00871350">
      <w:pPr>
        <w:pStyle w:val="Body"/>
      </w:pPr>
      <w:r>
        <w:t>The National Health Reform Agreement sets out the intention of all Australian governments to work together to improve health outcomes for every Australian.</w:t>
      </w:r>
    </w:p>
    <w:p w14:paraId="1EA6FD92" w14:textId="77777777" w:rsidR="00871350" w:rsidRDefault="00871350" w:rsidP="00FC6B80">
      <w:pPr>
        <w:pStyle w:val="Body"/>
      </w:pPr>
    </w:p>
    <w:p w14:paraId="3CEC0F66" w14:textId="77777777" w:rsidR="00983389" w:rsidRDefault="00095AE4" w:rsidP="00983389">
      <w:pPr>
        <w:pStyle w:val="H4"/>
        <w:spacing w:before="0"/>
      </w:pPr>
      <w:r>
        <w:br w:type="column"/>
      </w:r>
      <w:r w:rsidR="00983389" w:rsidRPr="00095AE4">
        <w:t>2020–25 Addendum to the National Health Reform Agreement</w:t>
      </w:r>
    </w:p>
    <w:p w14:paraId="471788B5" w14:textId="10FCC729" w:rsidR="00983389" w:rsidRDefault="00983389" w:rsidP="00983389">
      <w:pPr>
        <w:pStyle w:val="Body"/>
      </w:pPr>
      <w:r>
        <w:t>On 29 May 2020</w:t>
      </w:r>
      <w:r w:rsidR="00FE1E88">
        <w:t>,</w:t>
      </w:r>
      <w:r>
        <w:t xml:space="preserve"> all Australian governments signed a new Addendum, which amended the National Health Reform Agreement for the period from 1 July 2020 to 30 June 2025.</w:t>
      </w:r>
    </w:p>
    <w:p w14:paraId="6CE45A9F" w14:textId="77777777" w:rsidR="00983389" w:rsidRDefault="00983389" w:rsidP="00983389">
      <w:pPr>
        <w:pStyle w:val="Body"/>
      </w:pPr>
      <w:r>
        <w:t>The Addendum to the National Health Reform Agreement:</w:t>
      </w:r>
    </w:p>
    <w:p w14:paraId="0F7581EC" w14:textId="77777777" w:rsidR="00983389" w:rsidRDefault="00983389" w:rsidP="00983389">
      <w:pPr>
        <w:pStyle w:val="Bullets"/>
      </w:pPr>
      <w:r>
        <w:t xml:space="preserve">maintains a commitment to activity based funding </w:t>
      </w:r>
    </w:p>
    <w:p w14:paraId="2A05ED76" w14:textId="77777777" w:rsidR="00983389" w:rsidRDefault="00983389" w:rsidP="00983389">
      <w:pPr>
        <w:pStyle w:val="Bullets"/>
      </w:pPr>
      <w:r>
        <w:t>reaffirms the independence and functions of the national agencies such as the Independent Hospital Pricing Authority, the National Health Funding Body and the Australian Commission on Safety and Quality in Health Care</w:t>
      </w:r>
    </w:p>
    <w:p w14:paraId="4073A095" w14:textId="77777777" w:rsidR="00983389" w:rsidRDefault="00983389" w:rsidP="00983389">
      <w:pPr>
        <w:pStyle w:val="Bullets"/>
      </w:pPr>
      <w:r>
        <w:t>retains the 45 per cent Commonwealth funding contribution and the 6.5 per cent national growth cap</w:t>
      </w:r>
    </w:p>
    <w:p w14:paraId="2EE4505E" w14:textId="77777777" w:rsidR="00983389" w:rsidRDefault="00983389" w:rsidP="00983389">
      <w:pPr>
        <w:pStyle w:val="Bulletslast"/>
      </w:pPr>
      <w:r>
        <w:t>continues to integrate safety and quality reforms into the pricing and funding of public hospital services, including the current arrangements for sentinel events and hospital acquired complications.</w:t>
      </w:r>
    </w:p>
    <w:p w14:paraId="23148913" w14:textId="07EBF0A2" w:rsidR="00A72C25" w:rsidRDefault="00A72C25" w:rsidP="00983389">
      <w:pPr>
        <w:pStyle w:val="H4"/>
        <w:spacing w:before="0"/>
        <w:sectPr w:rsidR="00A72C25" w:rsidSect="009C5292">
          <w:type w:val="continuous"/>
          <w:pgSz w:w="9979" w:h="14175"/>
          <w:pgMar w:top="1134" w:right="1134" w:bottom="1134" w:left="1134" w:header="709" w:footer="709" w:gutter="0"/>
          <w:cols w:num="2" w:space="708"/>
          <w:docGrid w:linePitch="360"/>
          <w15:footnoteColumns w:val="1"/>
        </w:sectPr>
      </w:pPr>
    </w:p>
    <w:p w14:paraId="7C93A21A" w14:textId="77777777" w:rsidR="00073D28" w:rsidRDefault="00073D28" w:rsidP="00073D28">
      <w:pPr>
        <w:pStyle w:val="Body"/>
      </w:pPr>
      <w:r>
        <w:t>Key changes to current arrangements introduced in the Addendum include:</w:t>
      </w:r>
    </w:p>
    <w:p w14:paraId="68FFEF85" w14:textId="77777777" w:rsidR="00E323BC" w:rsidRPr="00E323BC" w:rsidRDefault="00E323BC" w:rsidP="00E323BC">
      <w:pPr>
        <w:numPr>
          <w:ilvl w:val="0"/>
          <w:numId w:val="1"/>
        </w:numPr>
        <w:rPr>
          <w:color w:val="1C1C1C"/>
          <w:sz w:val="18"/>
          <w:szCs w:val="18"/>
        </w:rPr>
      </w:pPr>
      <w:r w:rsidRPr="00E323BC">
        <w:rPr>
          <w:color w:val="1C1C1C"/>
          <w:sz w:val="18"/>
          <w:szCs w:val="18"/>
        </w:rPr>
        <w:t>IHPA is required to develop an updated methodology for pricing private patients in public hospitals that accounts for all hospital revenues. This is to ensure funding models are financially neutral with respect to all patients, regardless of whether patients elect to be private or public.</w:t>
      </w:r>
    </w:p>
    <w:p w14:paraId="3D94A413" w14:textId="77777777" w:rsidR="00E323BC" w:rsidRPr="00E323BC" w:rsidRDefault="00E323BC" w:rsidP="00E323BC">
      <w:pPr>
        <w:numPr>
          <w:ilvl w:val="0"/>
          <w:numId w:val="1"/>
        </w:numPr>
        <w:rPr>
          <w:color w:val="1C1C1C"/>
          <w:sz w:val="18"/>
          <w:szCs w:val="18"/>
        </w:rPr>
      </w:pPr>
      <w:r w:rsidRPr="00E323BC">
        <w:rPr>
          <w:color w:val="1C1C1C"/>
          <w:sz w:val="18"/>
          <w:szCs w:val="18"/>
        </w:rPr>
        <w:t xml:space="preserve">IHPA is required to develop a pricing model for avoidable hospital readmissions for implementation from 1 July 2021, following approval from the Council of Australian Governments (COAG) Health Council. </w:t>
      </w:r>
    </w:p>
    <w:p w14:paraId="0A672FD1" w14:textId="77777777" w:rsidR="00E323BC" w:rsidRPr="00E323BC" w:rsidRDefault="00E323BC" w:rsidP="00E323BC">
      <w:pPr>
        <w:numPr>
          <w:ilvl w:val="0"/>
          <w:numId w:val="1"/>
        </w:numPr>
        <w:rPr>
          <w:color w:val="1C1C1C"/>
          <w:sz w:val="18"/>
          <w:szCs w:val="18"/>
        </w:rPr>
      </w:pPr>
      <w:r w:rsidRPr="00E323BC">
        <w:rPr>
          <w:color w:val="1C1C1C"/>
          <w:sz w:val="18"/>
          <w:szCs w:val="18"/>
        </w:rPr>
        <w:t>IHPA is required to shadow price for a period of two years, or a shorter period if agreed by the Commonwealth and the majority of states and territories, prior to the implementation of new classifications or costing rules to mitigate the need for retrospective adjustments to the national funding model.</w:t>
      </w:r>
    </w:p>
    <w:p w14:paraId="33A22045" w14:textId="77777777" w:rsidR="00E323BC" w:rsidRPr="00E323BC" w:rsidRDefault="00E323BC" w:rsidP="00E323BC">
      <w:pPr>
        <w:numPr>
          <w:ilvl w:val="0"/>
          <w:numId w:val="1"/>
        </w:numPr>
        <w:rPr>
          <w:color w:val="1C1C1C"/>
          <w:sz w:val="18"/>
          <w:szCs w:val="18"/>
        </w:rPr>
      </w:pPr>
      <w:r w:rsidRPr="00E323BC">
        <w:rPr>
          <w:color w:val="1C1C1C"/>
          <w:sz w:val="18"/>
          <w:szCs w:val="18"/>
        </w:rPr>
        <w:t xml:space="preserve">High-cost, highly specialised therapies will attract 50 per cent Commonwealth funding under the new nationally cohesive health technology assessment process. These will be considered outside of the 6.5 per cent national growth cap for a period of two years. </w:t>
      </w:r>
    </w:p>
    <w:p w14:paraId="6DBCCB82" w14:textId="77777777" w:rsidR="00E323BC" w:rsidRPr="00E323BC" w:rsidRDefault="00E323BC" w:rsidP="00E323BC">
      <w:pPr>
        <w:numPr>
          <w:ilvl w:val="0"/>
          <w:numId w:val="1"/>
        </w:numPr>
        <w:spacing w:after="360"/>
        <w:rPr>
          <w:color w:val="1C1C1C"/>
          <w:sz w:val="18"/>
          <w:szCs w:val="18"/>
        </w:rPr>
      </w:pPr>
      <w:r w:rsidRPr="00E323BC">
        <w:rPr>
          <w:color w:val="1C1C1C"/>
          <w:sz w:val="18"/>
          <w:szCs w:val="18"/>
        </w:rPr>
        <w:t>IHPA is required to develop a funding methodology that does not penalise states undertaking trials of innovative models of care for the COAG Health Council to approve by April 2021.</w:t>
      </w:r>
    </w:p>
    <w:p w14:paraId="7C1D0234" w14:textId="77777777" w:rsidR="00073D28" w:rsidRDefault="006C791E" w:rsidP="00073D28">
      <w:pPr>
        <w:pStyle w:val="H3"/>
      </w:pPr>
      <w:r>
        <w:br w:type="column"/>
      </w:r>
      <w:r w:rsidR="00073D28" w:rsidRPr="00945372">
        <w:rPr>
          <w:color w:val="009AB8" w:themeColor="accent3"/>
        </w:rPr>
        <w:t>National Partnership on COVID-19 Response</w:t>
      </w:r>
    </w:p>
    <w:p w14:paraId="377B000B" w14:textId="77777777" w:rsidR="00194DB1" w:rsidRDefault="00194DB1" w:rsidP="00194DB1">
      <w:pPr>
        <w:pStyle w:val="Body"/>
      </w:pPr>
      <w:r>
        <w:t>On 13 March 2020, the Commonwealth and all state and territory governments signed the National Partnership on COVID-19 Response, to provide financial assistance for the additional costs incurred by health services in responding to the COVID-</w:t>
      </w:r>
      <w:r>
        <w:rPr>
          <w:rFonts w:ascii="Arial" w:hAnsi="Arial" w:cs="Arial"/>
        </w:rPr>
        <w:t>‍</w:t>
      </w:r>
      <w:r>
        <w:t xml:space="preserve">19 pandemic. </w:t>
      </w:r>
    </w:p>
    <w:p w14:paraId="04BD87C8" w14:textId="01C9078A" w:rsidR="00194DB1" w:rsidRDefault="00194DB1" w:rsidP="00194DB1">
      <w:pPr>
        <w:pStyle w:val="Body"/>
      </w:pPr>
      <w:r>
        <w:t>IHPA has worked closely with the Administrator of the National Health Funding Pool to provide assistance for the implementation of the National Partnership on the COVID</w:t>
      </w:r>
      <w:r w:rsidR="009A618A">
        <w:t>-</w:t>
      </w:r>
      <w:r>
        <w:t>19 Response.</w:t>
      </w:r>
    </w:p>
    <w:p w14:paraId="760EB8B4" w14:textId="77777777" w:rsidR="00194DB1" w:rsidRDefault="00194DB1" w:rsidP="00194DB1">
      <w:pPr>
        <w:pStyle w:val="Body"/>
      </w:pPr>
      <w:r>
        <w:t>In order to implement the measures under this agreement, IHPA developed the national classification systems for reporting COVID-19 in Australian hospitals within admitted care, emergency care and non-admitted care settings.</w:t>
      </w:r>
    </w:p>
    <w:p w14:paraId="5216F983" w14:textId="3F1C7278" w:rsidR="00073D28" w:rsidRDefault="00073D28" w:rsidP="00073D28">
      <w:pPr>
        <w:pStyle w:val="Body"/>
      </w:pPr>
      <w:r>
        <w:t>Comprehensive guidelines were published and updated regularly to support hospitals in classifying and reporting COVID-19 related episodes of care.</w:t>
      </w:r>
    </w:p>
    <w:p w14:paraId="6321D253" w14:textId="77777777" w:rsidR="00194DB1" w:rsidRDefault="00194DB1" w:rsidP="00194DB1">
      <w:pPr>
        <w:pStyle w:val="Body"/>
      </w:pPr>
      <w:r>
        <w:t xml:space="preserve">The activity based funding classifications have been updated regularly to ensure that COVID-19 testing, treatment and vaccination can be accurately reported and tracked. </w:t>
      </w:r>
    </w:p>
    <w:p w14:paraId="238EAB72" w14:textId="77777777" w:rsidR="00194DB1" w:rsidRDefault="00194DB1" w:rsidP="00194DB1">
      <w:pPr>
        <w:pStyle w:val="Body"/>
      </w:pPr>
      <w:r>
        <w:t xml:space="preserve">The associated national costing and pricing guidelines that were published ensure that the costs of responding to the pandemic, and in turn the evolving needs of the health system, are appropriately and consistently captured across the country. </w:t>
      </w:r>
    </w:p>
    <w:p w14:paraId="33540078" w14:textId="1832EC16" w:rsidR="00194DB1" w:rsidRDefault="00194DB1" w:rsidP="00194DB1">
      <w:pPr>
        <w:pStyle w:val="Body"/>
      </w:pPr>
      <w:r>
        <w:t>On 20 Ma</w:t>
      </w:r>
      <w:r w:rsidR="00043978">
        <w:t>r</w:t>
      </w:r>
      <w:r>
        <w:t xml:space="preserve">ch 2021, </w:t>
      </w:r>
      <w:r w:rsidR="009A618A">
        <w:t>t</w:t>
      </w:r>
      <w:r>
        <w:t>he Australian Government announced it would extend the National Partnership on COVID-19 Response with the states and territories until 30 September 2022 to support the health system’s capacity to respond to the ongoing COVID-19 challenges.</w:t>
      </w:r>
    </w:p>
    <w:p w14:paraId="4F36B04E" w14:textId="31C3D0D9" w:rsidR="00073D28" w:rsidRDefault="00073D28" w:rsidP="00073D28">
      <w:pPr>
        <w:pStyle w:val="H4"/>
      </w:pPr>
    </w:p>
    <w:p w14:paraId="6A2BCBE3" w14:textId="77777777" w:rsidR="002477AD" w:rsidRDefault="002477AD" w:rsidP="00AA07F9">
      <w:pPr>
        <w:pStyle w:val="Body"/>
        <w:sectPr w:rsidR="002477AD" w:rsidSect="00A72C25">
          <w:footerReference w:type="default" r:id="rId145"/>
          <w:pgSz w:w="9979" w:h="14175"/>
          <w:pgMar w:top="1134" w:right="1134" w:bottom="1134" w:left="1134" w:header="709" w:footer="709" w:gutter="0"/>
          <w:cols w:num="2" w:space="708"/>
          <w:docGrid w:linePitch="360"/>
          <w15:footnoteColumns w:val="1"/>
        </w:sectPr>
      </w:pPr>
    </w:p>
    <w:p w14:paraId="1799FAB9" w14:textId="77777777" w:rsidR="00580BD3" w:rsidRPr="00945372" w:rsidRDefault="00580BD3" w:rsidP="00580BD3">
      <w:pPr>
        <w:pStyle w:val="H3"/>
        <w:rPr>
          <w:color w:val="009AB8" w:themeColor="accent3"/>
        </w:rPr>
      </w:pPr>
      <w:bookmarkStart w:id="64" w:name="MinisterialDirections"/>
      <w:r w:rsidRPr="00945372">
        <w:rPr>
          <w:color w:val="009AB8" w:themeColor="accent3"/>
        </w:rPr>
        <w:t>Ministerial directions and government policy orders</w:t>
      </w:r>
    </w:p>
    <w:bookmarkEnd w:id="64"/>
    <w:p w14:paraId="0934546A" w14:textId="77777777" w:rsidR="00580BD3" w:rsidRDefault="00580BD3" w:rsidP="00580BD3">
      <w:pPr>
        <w:pStyle w:val="Body"/>
      </w:pPr>
      <w:r>
        <w:t>IHPA did not receive any Ministerial Directions in 2021–22.</w:t>
      </w:r>
    </w:p>
    <w:p w14:paraId="37972BBE" w14:textId="77777777" w:rsidR="00580BD3" w:rsidRPr="00945372" w:rsidRDefault="00580BD3" w:rsidP="00580BD3">
      <w:pPr>
        <w:pStyle w:val="H3"/>
        <w:rPr>
          <w:color w:val="009AB8" w:themeColor="accent3"/>
        </w:rPr>
      </w:pPr>
      <w:r w:rsidRPr="00945372">
        <w:rPr>
          <w:color w:val="009AB8" w:themeColor="accent3"/>
        </w:rPr>
        <w:t>Federal Budget measures</w:t>
      </w:r>
    </w:p>
    <w:p w14:paraId="10794B92" w14:textId="20152D13" w:rsidR="00194DB1" w:rsidRPr="00194DB1" w:rsidRDefault="00194DB1" w:rsidP="00194DB1">
      <w:pPr>
        <w:pStyle w:val="Body"/>
      </w:pPr>
      <w:r w:rsidRPr="00194DB1">
        <w:t xml:space="preserve">In response to the </w:t>
      </w:r>
      <w:hyperlink r:id="rId146" w:history="1">
        <w:r w:rsidRPr="00194DB1">
          <w:rPr>
            <w:rStyle w:val="Hyperlink"/>
          </w:rPr>
          <w:t>Royal Commission into Aged Care Quality and Safety</w:t>
        </w:r>
      </w:hyperlink>
      <w:r w:rsidRPr="00194DB1">
        <w:t xml:space="preserve"> (the Royal Commission), the </w:t>
      </w:r>
      <w:hyperlink r:id="rId147" w:history="1">
        <w:r w:rsidRPr="00194DB1">
          <w:rPr>
            <w:rStyle w:val="Hyperlink"/>
          </w:rPr>
          <w:t>Federal Budget 2021–22</w:t>
        </w:r>
      </w:hyperlink>
      <w:r w:rsidRPr="00194DB1">
        <w:t xml:space="preserve"> included measures that expand the Independent Hospital Pricing Authority’s (IHPA) remit. Under these measures an</w:t>
      </w:r>
      <w:r w:rsidR="003426BE">
        <w:t> </w:t>
      </w:r>
      <w:r w:rsidRPr="00194DB1">
        <w:t>expanded IHPA will provide advice to inform Commonwealth Government decisions on the costing and pricing of aged care services from 1 July 2023.</w:t>
      </w:r>
    </w:p>
    <w:p w14:paraId="1854E9D9" w14:textId="41C17985" w:rsidR="00194DB1" w:rsidRPr="00194DB1" w:rsidRDefault="00194DB1" w:rsidP="00194DB1">
      <w:pPr>
        <w:pStyle w:val="Body"/>
      </w:pPr>
      <w:r w:rsidRPr="00194DB1">
        <w:t>On 12 August 2022</w:t>
      </w:r>
      <w:r w:rsidR="00FE1E88">
        <w:t>,</w:t>
      </w:r>
      <w:r w:rsidRPr="00194DB1">
        <w:t xml:space="preserve"> the </w:t>
      </w:r>
      <w:r w:rsidRPr="00194DB1">
        <w:rPr>
          <w:i/>
          <w:iCs/>
        </w:rPr>
        <w:t>Aged Care and Other Legislation Amendment (Royal Commission Response) Act 2022</w:t>
      </w:r>
      <w:r w:rsidRPr="00194DB1">
        <w:t xml:space="preserve"> came into force amending the </w:t>
      </w:r>
      <w:r w:rsidRPr="00194DB1">
        <w:rPr>
          <w:i/>
          <w:iCs/>
        </w:rPr>
        <w:t>National Health Reform Act 2011</w:t>
      </w:r>
      <w:r w:rsidRPr="00194DB1">
        <w:t xml:space="preserve"> and increasing IHPA’s remit. </w:t>
      </w:r>
    </w:p>
    <w:p w14:paraId="0C9BDA17" w14:textId="25A1A90F" w:rsidR="00194DB1" w:rsidRPr="00194DB1" w:rsidRDefault="00194DB1" w:rsidP="00194DB1">
      <w:pPr>
        <w:pStyle w:val="Body"/>
      </w:pPr>
      <w:r w:rsidRPr="00194DB1">
        <w:t>Under these amendments, IHPA will be renamed the Independent Health and Aged Care Pricing Authority and be required to inform Australian Government decisions on annual funding increases in residential aged care from 1 July 2023. IHPA will also have a role in providing pricing advice for home</w:t>
      </w:r>
      <w:r w:rsidRPr="00194DB1">
        <w:noBreakHyphen/>
        <w:t>based aged</w:t>
      </w:r>
      <w:r w:rsidR="003426BE">
        <w:t> </w:t>
      </w:r>
      <w:r w:rsidRPr="00194DB1">
        <w:t>care.</w:t>
      </w:r>
    </w:p>
    <w:p w14:paraId="520A56EE" w14:textId="77777777" w:rsidR="00194DB1" w:rsidRPr="00194DB1" w:rsidRDefault="00194DB1" w:rsidP="00194DB1">
      <w:pPr>
        <w:pStyle w:val="Body"/>
        <w:rPr>
          <w:lang w:val="en-PH"/>
        </w:rPr>
      </w:pPr>
      <w:r w:rsidRPr="00194DB1">
        <w:rPr>
          <w:lang w:val="en-PH"/>
        </w:rPr>
        <w:t xml:space="preserve">The establishment of an independent aged care pricing function will support transparent and evidence-based assessment of the costs involved in delivering care to senior Australians who use aged care services. </w:t>
      </w:r>
    </w:p>
    <w:p w14:paraId="71B5D99A" w14:textId="1F2A8F38" w:rsidR="00194DB1" w:rsidRPr="00194DB1" w:rsidRDefault="00194DB1" w:rsidP="00194DB1">
      <w:pPr>
        <w:pStyle w:val="Body"/>
      </w:pPr>
      <w:r w:rsidRPr="00194DB1">
        <w:t xml:space="preserve">IHPA will also be required to work with the </w:t>
      </w:r>
      <w:r w:rsidR="009A618A">
        <w:t xml:space="preserve">Commonwealth </w:t>
      </w:r>
      <w:r w:rsidRPr="00194DB1">
        <w:t>Department of Health and Aged Care and key stakeholders to support reform to the Prostheses List, to reduce the cost of medical devices used in the private health sector and to streamline access to new medical devices.</w:t>
      </w:r>
    </w:p>
    <w:p w14:paraId="0F3A691B" w14:textId="77777777" w:rsidR="00723AC5" w:rsidRDefault="00723AC5" w:rsidP="00AA07F9">
      <w:pPr>
        <w:pStyle w:val="Body"/>
      </w:pPr>
    </w:p>
    <w:p w14:paraId="50A61F8C" w14:textId="77777777" w:rsidR="002477AD" w:rsidRDefault="002477AD" w:rsidP="00AA07F9">
      <w:pPr>
        <w:pStyle w:val="Body"/>
        <w:sectPr w:rsidR="002477AD" w:rsidSect="00A72C25">
          <w:footerReference w:type="default" r:id="rId148"/>
          <w:pgSz w:w="9979" w:h="14175"/>
          <w:pgMar w:top="1134" w:right="1134" w:bottom="1134" w:left="1134" w:header="709" w:footer="709" w:gutter="0"/>
          <w:cols w:num="2" w:space="708"/>
          <w:docGrid w:linePitch="360"/>
          <w15:footnoteColumns w:val="1"/>
        </w:sectPr>
      </w:pPr>
    </w:p>
    <w:p w14:paraId="779DAA8D" w14:textId="5225E168" w:rsidR="0004038E" w:rsidRPr="00A31A74" w:rsidRDefault="00AD0960" w:rsidP="005C28F8">
      <w:pPr>
        <w:pStyle w:val="Heading1"/>
        <w:spacing w:after="360"/>
        <w:rPr>
          <w:color w:val="009AB8" w:themeColor="accent3"/>
        </w:rPr>
      </w:pPr>
      <w:bookmarkStart w:id="65" w:name="_Toc114824435"/>
      <w:r>
        <w:rPr>
          <w:color w:val="009AB8" w:themeColor="accent3"/>
        </w:rPr>
        <w:t>5.3 Corporate governance</w:t>
      </w:r>
      <w:bookmarkEnd w:id="65"/>
    </w:p>
    <w:p w14:paraId="049EE0C3" w14:textId="4C84C7DA" w:rsidR="0004038E" w:rsidRPr="00153DC1" w:rsidRDefault="0004038E" w:rsidP="00153DC1">
      <w:pPr>
        <w:pStyle w:val="Body"/>
        <w:sectPr w:rsidR="0004038E" w:rsidRPr="00153DC1" w:rsidSect="00441579">
          <w:footerReference w:type="default" r:id="rId149"/>
          <w:pgSz w:w="9979" w:h="14175"/>
          <w:pgMar w:top="1134" w:right="1134" w:bottom="1134" w:left="1134" w:header="709" w:footer="709" w:gutter="0"/>
          <w:cols w:space="708"/>
          <w:docGrid w:linePitch="360"/>
        </w:sectPr>
      </w:pPr>
    </w:p>
    <w:p w14:paraId="70EEA587" w14:textId="77777777" w:rsidR="00EB7AFC" w:rsidRPr="00191182" w:rsidRDefault="00EB7AFC" w:rsidP="00EB7AFC">
      <w:pPr>
        <w:pStyle w:val="H3"/>
        <w:rPr>
          <w:color w:val="009AB8" w:themeColor="accent3"/>
        </w:rPr>
      </w:pPr>
      <w:r w:rsidRPr="00191182">
        <w:rPr>
          <w:color w:val="009AB8" w:themeColor="accent3"/>
        </w:rPr>
        <w:t>Pricing Authority</w:t>
      </w:r>
    </w:p>
    <w:p w14:paraId="015701A6" w14:textId="77777777" w:rsidR="00194DB1" w:rsidRPr="005C28F8" w:rsidRDefault="00194DB1" w:rsidP="00194DB1">
      <w:pPr>
        <w:pStyle w:val="Body"/>
        <w:rPr>
          <w:b/>
          <w:bCs/>
        </w:rPr>
      </w:pPr>
      <w:r w:rsidRPr="000E1040">
        <w:rPr>
          <w:b/>
          <w:bCs/>
        </w:rPr>
        <w:t>The Pricing Authority is responsible for promoting improved efficiency in, and access to, public hospital services. This is achieved by providing independent advice to Australian governments in relation to the efficient costs of services and developing and implementing robust systems to promote activity based funding for these services.</w:t>
      </w:r>
    </w:p>
    <w:p w14:paraId="6280838D" w14:textId="26CF3328" w:rsidR="00194DB1" w:rsidRPr="00194DB1" w:rsidRDefault="00194DB1" w:rsidP="00194DB1">
      <w:pPr>
        <w:pStyle w:val="Body"/>
      </w:pPr>
      <w:r w:rsidRPr="00194DB1">
        <w:t>The composition of the Pricing Authority as at 30</w:t>
      </w:r>
      <w:r w:rsidR="003426BE">
        <w:t> </w:t>
      </w:r>
      <w:r w:rsidRPr="00194DB1">
        <w:t>June 2022 was a Chair, a Deputy Chair and six other members.</w:t>
      </w:r>
    </w:p>
    <w:p w14:paraId="397B8E8A" w14:textId="63B9479E" w:rsidR="00194DB1" w:rsidRPr="009460F1" w:rsidRDefault="00194DB1" w:rsidP="00194DB1">
      <w:pPr>
        <w:pStyle w:val="Body"/>
        <w:rPr>
          <w:lang w:val="en-PH"/>
        </w:rPr>
      </w:pPr>
      <w:r w:rsidRPr="00194DB1">
        <w:t>As at 30 June 2022, the Pricing Authority members were appointed for no greater than five years. The Chair was appointed by the Australian Government Minister for Health and Aged Care, the Deputy Chair was appointed with the agreement of First Ministers of all states and territories and the remaining Pricing Authority members were appointed with the agreement of the Prime Minister and First Ministers of the states and territories.</w:t>
      </w:r>
      <w:r w:rsidR="005C28F8">
        <w:br w:type="column"/>
      </w:r>
      <w:r w:rsidRPr="009460F1">
        <w:rPr>
          <w:lang w:val="en-PH"/>
        </w:rPr>
        <w:t>Members of the Pricing Authority bring significant and varied expertise to their role, including substantial experience and knowledge of the health industry, healthcare needs and the provision of health care in regional and rural areas. The Pricing Authority is supported by</w:t>
      </w:r>
      <w:r w:rsidR="003426BE">
        <w:rPr>
          <w:lang w:val="en-PH"/>
        </w:rPr>
        <w:t> </w:t>
      </w:r>
      <w:r w:rsidRPr="009460F1">
        <w:rPr>
          <w:lang w:val="en-PH"/>
        </w:rPr>
        <w:t>a Chief Executive Officer, who is responsible for the day</w:t>
      </w:r>
      <w:r w:rsidRPr="009460F1">
        <w:rPr>
          <w:lang w:val="en-PH"/>
        </w:rPr>
        <w:noBreakHyphen/>
        <w:t>to</w:t>
      </w:r>
      <w:r w:rsidRPr="009460F1">
        <w:rPr>
          <w:lang w:val="en-PH"/>
        </w:rPr>
        <w:noBreakHyphen/>
        <w:t xml:space="preserve">day running of IHPA. All Pricing Authority members are non-executive. </w:t>
      </w:r>
    </w:p>
    <w:p w14:paraId="54181DF9" w14:textId="37D5D9AA" w:rsidR="00194DB1" w:rsidRPr="009460F1" w:rsidRDefault="00194DB1" w:rsidP="003426BE">
      <w:pPr>
        <w:pStyle w:val="Body"/>
        <w:ind w:right="-43"/>
        <w:rPr>
          <w:lang w:val="en-PH"/>
        </w:rPr>
      </w:pPr>
      <w:r w:rsidRPr="009460F1">
        <w:rPr>
          <w:lang w:val="en-PH"/>
        </w:rPr>
        <w:t xml:space="preserve">Amendments to the </w:t>
      </w:r>
      <w:r w:rsidRPr="009460F1">
        <w:rPr>
          <w:i/>
          <w:iCs/>
          <w:lang w:val="en-PH"/>
        </w:rPr>
        <w:t>National Health Reform Act 2011</w:t>
      </w:r>
      <w:r w:rsidRPr="009460F1">
        <w:rPr>
          <w:lang w:val="en-PH"/>
        </w:rPr>
        <w:t>, which come into effect on 12 August 2022, will alter the composition of the Pricing</w:t>
      </w:r>
      <w:r w:rsidR="003426BE">
        <w:rPr>
          <w:lang w:val="en-PH"/>
        </w:rPr>
        <w:t> </w:t>
      </w:r>
      <w:r w:rsidRPr="009460F1">
        <w:rPr>
          <w:lang w:val="en-PH"/>
        </w:rPr>
        <w:t>Authority.</w:t>
      </w:r>
    </w:p>
    <w:p w14:paraId="5AC6F3AF" w14:textId="3C42AB21" w:rsidR="00F33868" w:rsidRDefault="00F33868" w:rsidP="00194DB1">
      <w:pPr>
        <w:pStyle w:val="Body"/>
      </w:pPr>
    </w:p>
    <w:p w14:paraId="184A5CF2" w14:textId="77777777" w:rsidR="0081144A" w:rsidRDefault="0081144A" w:rsidP="000431F3">
      <w:pPr>
        <w:pStyle w:val="Body"/>
        <w:sectPr w:rsidR="0081144A" w:rsidSect="005C28F8">
          <w:type w:val="continuous"/>
          <w:pgSz w:w="9979" w:h="14175"/>
          <w:pgMar w:top="1418" w:right="1134" w:bottom="1134" w:left="1134" w:header="709" w:footer="709" w:gutter="0"/>
          <w:cols w:num="2" w:space="708"/>
          <w:docGrid w:linePitch="360"/>
        </w:sectPr>
      </w:pPr>
    </w:p>
    <w:p w14:paraId="56599189" w14:textId="1362E054" w:rsidR="009C3AE9" w:rsidRDefault="009C3AE9" w:rsidP="00586C7F">
      <w:pPr>
        <w:pStyle w:val="FigureHeading"/>
      </w:pPr>
      <w:bookmarkStart w:id="66" w:name="_Toc114824662"/>
      <w:r w:rsidRPr="009C3AE9">
        <w:t xml:space="preserve">Table </w:t>
      </w:r>
      <w:r w:rsidR="00586C7F">
        <w:t>7</w:t>
      </w:r>
      <w:r w:rsidRPr="009C3AE9">
        <w:t>: Meetings of the Pricing Authority 2021–22</w:t>
      </w:r>
      <w:bookmarkEnd w:id="66"/>
    </w:p>
    <w:p w14:paraId="65B9C1C0" w14:textId="77777777" w:rsidR="00194DB1" w:rsidRDefault="00194DB1" w:rsidP="00194DB1">
      <w:pPr>
        <w:pStyle w:val="Body"/>
        <w:ind w:right="-227"/>
      </w:pPr>
      <w:r w:rsidRPr="00F677DE">
        <w:t xml:space="preserve">The Pricing Authority met on 10 occasions between 1 July 2021 and 30 June 2022. The (former) </w:t>
      </w:r>
      <w:r>
        <w:t>C</w:t>
      </w:r>
      <w:r w:rsidRPr="00F677DE">
        <w:t xml:space="preserve">hief </w:t>
      </w:r>
      <w:r>
        <w:t>E</w:t>
      </w:r>
      <w:r w:rsidRPr="00F677DE">
        <w:t xml:space="preserve">xecutive </w:t>
      </w:r>
      <w:r>
        <w:t>O</w:t>
      </w:r>
      <w:r w:rsidRPr="00F677DE">
        <w:t xml:space="preserve">fficer, Mr James Downie, as the accountable authority as at </w:t>
      </w:r>
      <w:r>
        <w:t>22</w:t>
      </w:r>
      <w:r w:rsidRPr="00F677DE">
        <w:t xml:space="preserve"> June 2022, attended all 10 meetings.</w:t>
      </w:r>
    </w:p>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3402"/>
        <w:gridCol w:w="2197"/>
        <w:gridCol w:w="2198"/>
      </w:tblGrid>
      <w:tr w:rsidR="009C3AE9" w:rsidRPr="00466E0A" w14:paraId="4AB9AFE8" w14:textId="77777777" w:rsidTr="00D01B4C">
        <w:trPr>
          <w:cnfStyle w:val="100000000000" w:firstRow="1" w:lastRow="0" w:firstColumn="0" w:lastColumn="0" w:oddVBand="0" w:evenVBand="0" w:oddHBand="0" w:evenHBand="0" w:firstRowFirstColumn="0" w:firstRowLastColumn="0" w:lastRowFirstColumn="0" w:lastRowLastColumn="0"/>
          <w:trHeight w:val="446"/>
        </w:trPr>
        <w:tc>
          <w:tcPr>
            <w:tcW w:w="3402" w:type="dxa"/>
            <w:shd w:val="clear" w:color="auto" w:fill="009AB8" w:themeFill="accent3"/>
            <w:vAlign w:val="center"/>
          </w:tcPr>
          <w:p w14:paraId="5160393B" w14:textId="3D8EA879" w:rsidR="009C3AE9" w:rsidRPr="009C3AE9" w:rsidRDefault="009C3AE9" w:rsidP="009C3AE9">
            <w:pPr>
              <w:pStyle w:val="Body"/>
              <w:rPr>
                <w:rFonts w:asciiTheme="majorHAnsi" w:hAnsiTheme="majorHAnsi"/>
                <w:color w:val="FFFFFF" w:themeColor="background2"/>
              </w:rPr>
            </w:pPr>
            <w:r w:rsidRPr="009C3AE9">
              <w:rPr>
                <w:rFonts w:asciiTheme="majorHAnsi" w:hAnsiTheme="majorHAnsi"/>
                <w:color w:val="FFFFFF" w:themeColor="background2"/>
              </w:rPr>
              <w:t>Member</w:t>
            </w:r>
          </w:p>
        </w:tc>
        <w:tc>
          <w:tcPr>
            <w:tcW w:w="2197" w:type="dxa"/>
            <w:shd w:val="clear" w:color="auto" w:fill="009AB8" w:themeFill="accent3"/>
            <w:vAlign w:val="center"/>
          </w:tcPr>
          <w:p w14:paraId="51417E3B" w14:textId="785F42A4" w:rsidR="009C3AE9" w:rsidRPr="009C3AE9" w:rsidRDefault="009C3AE9" w:rsidP="00B23F04">
            <w:pPr>
              <w:pStyle w:val="Body-Financial"/>
              <w:spacing w:after="0"/>
              <w:jc w:val="right"/>
              <w:rPr>
                <w:rFonts w:asciiTheme="majorHAnsi" w:hAnsiTheme="majorHAnsi"/>
                <w:color w:val="FFFFFF" w:themeColor="background2"/>
                <w:sz w:val="18"/>
              </w:rPr>
            </w:pPr>
            <w:r w:rsidRPr="009C3AE9">
              <w:rPr>
                <w:rFonts w:asciiTheme="majorHAnsi" w:hAnsiTheme="majorHAnsi"/>
                <w:color w:val="FFFFFF" w:themeColor="background2"/>
                <w:sz w:val="18"/>
              </w:rPr>
              <w:t>Mee</w:t>
            </w:r>
            <w:r w:rsidR="009A6CD6">
              <w:rPr>
                <w:rFonts w:asciiTheme="majorHAnsi" w:hAnsiTheme="majorHAnsi"/>
                <w:color w:val="FFFFFF" w:themeColor="background2"/>
                <w:sz w:val="18"/>
              </w:rPr>
              <w:t>t</w:t>
            </w:r>
            <w:r>
              <w:rPr>
                <w:rFonts w:asciiTheme="majorHAnsi" w:hAnsiTheme="majorHAnsi"/>
                <w:color w:val="FFFFFF" w:themeColor="background2"/>
                <w:sz w:val="18"/>
              </w:rPr>
              <w:t>ings eligible</w:t>
            </w:r>
            <w:r w:rsidR="004C0996">
              <w:rPr>
                <w:rStyle w:val="FootnoteReference"/>
                <w:rFonts w:asciiTheme="majorHAnsi" w:hAnsiTheme="majorHAnsi"/>
                <w:color w:val="FFFFFF" w:themeColor="background2"/>
                <w:sz w:val="18"/>
              </w:rPr>
              <w:footnoteReference w:id="1"/>
            </w:r>
          </w:p>
        </w:tc>
        <w:tc>
          <w:tcPr>
            <w:tcW w:w="2198" w:type="dxa"/>
            <w:shd w:val="clear" w:color="auto" w:fill="009AB8" w:themeFill="accent3"/>
            <w:vAlign w:val="center"/>
          </w:tcPr>
          <w:p w14:paraId="36A3F34D" w14:textId="4A90CA23" w:rsidR="009C3AE9" w:rsidRPr="009C3AE9" w:rsidRDefault="009C3AE9" w:rsidP="00B23F04">
            <w:pPr>
              <w:pStyle w:val="Body-Financial"/>
              <w:spacing w:after="0"/>
              <w:jc w:val="right"/>
              <w:rPr>
                <w:rFonts w:asciiTheme="majorHAnsi" w:hAnsiTheme="majorHAnsi"/>
                <w:color w:val="FFFFFF" w:themeColor="background2"/>
                <w:sz w:val="18"/>
                <w:szCs w:val="18"/>
              </w:rPr>
            </w:pPr>
            <w:r>
              <w:rPr>
                <w:rFonts w:asciiTheme="majorHAnsi" w:hAnsiTheme="majorHAnsi"/>
                <w:color w:val="FFFFFF" w:themeColor="background2"/>
                <w:sz w:val="18"/>
                <w:szCs w:val="18"/>
              </w:rPr>
              <w:t>Meetings attended</w:t>
            </w:r>
          </w:p>
        </w:tc>
      </w:tr>
      <w:tr w:rsidR="009C3AE9" w:rsidRPr="00466E0A" w14:paraId="1296EBEC" w14:textId="77777777" w:rsidTr="00D01B4C">
        <w:trPr>
          <w:cnfStyle w:val="000000100000" w:firstRow="0" w:lastRow="0" w:firstColumn="0" w:lastColumn="0" w:oddVBand="0" w:evenVBand="0" w:oddHBand="1" w:evenHBand="0" w:firstRowFirstColumn="0" w:firstRowLastColumn="0" w:lastRowFirstColumn="0" w:lastRowLastColumn="0"/>
          <w:trHeight w:val="446"/>
        </w:trPr>
        <w:tc>
          <w:tcPr>
            <w:tcW w:w="3402" w:type="dxa"/>
            <w:shd w:val="clear" w:color="auto" w:fill="auto"/>
            <w:vAlign w:val="center"/>
          </w:tcPr>
          <w:p w14:paraId="4628BDB7" w14:textId="22C5EC2F" w:rsidR="009C3AE9" w:rsidRPr="00D01B4C" w:rsidRDefault="00D01B4C" w:rsidP="00B15944">
            <w:pPr>
              <w:pStyle w:val="Body"/>
            </w:pPr>
            <w:r w:rsidRPr="00D01B4C">
              <w:t>Mr Shane Sol</w:t>
            </w:r>
            <w:r>
              <w:t>omon (</w:t>
            </w:r>
            <w:r w:rsidR="00194DB1">
              <w:t xml:space="preserve">former </w:t>
            </w:r>
            <w:r>
              <w:t>Chair)</w:t>
            </w:r>
            <w:r w:rsidR="00033B12">
              <w:rPr>
                <w:rStyle w:val="FootnoteReference"/>
              </w:rPr>
              <w:footnoteReference w:id="2"/>
            </w:r>
          </w:p>
        </w:tc>
        <w:tc>
          <w:tcPr>
            <w:tcW w:w="2197" w:type="dxa"/>
            <w:shd w:val="clear" w:color="auto" w:fill="auto"/>
            <w:vAlign w:val="center"/>
          </w:tcPr>
          <w:p w14:paraId="2402F790" w14:textId="03704437" w:rsidR="009C3AE9" w:rsidRPr="00D01B4C" w:rsidRDefault="00D01B4C" w:rsidP="00B23F04">
            <w:pPr>
              <w:pStyle w:val="Body"/>
              <w:jc w:val="right"/>
            </w:pPr>
            <w:r>
              <w:t>6</w:t>
            </w:r>
          </w:p>
        </w:tc>
        <w:tc>
          <w:tcPr>
            <w:tcW w:w="2198" w:type="dxa"/>
            <w:shd w:val="clear" w:color="auto" w:fill="auto"/>
            <w:vAlign w:val="center"/>
          </w:tcPr>
          <w:p w14:paraId="2DA79F4C" w14:textId="04F5A622" w:rsidR="009C3AE9" w:rsidRPr="00D01B4C" w:rsidRDefault="00D01B4C" w:rsidP="00B23F04">
            <w:pPr>
              <w:pStyle w:val="Body"/>
              <w:jc w:val="right"/>
            </w:pPr>
            <w:r>
              <w:t>6</w:t>
            </w:r>
          </w:p>
        </w:tc>
      </w:tr>
      <w:tr w:rsidR="009C3AE9" w:rsidRPr="00466E0A" w14:paraId="7728781F" w14:textId="77777777" w:rsidTr="00D01B4C">
        <w:trPr>
          <w:cnfStyle w:val="000000010000" w:firstRow="0" w:lastRow="0" w:firstColumn="0" w:lastColumn="0" w:oddVBand="0" w:evenVBand="0" w:oddHBand="0" w:evenHBand="1" w:firstRowFirstColumn="0" w:firstRowLastColumn="0" w:lastRowFirstColumn="0" w:lastRowLastColumn="0"/>
          <w:trHeight w:val="446"/>
        </w:trPr>
        <w:tc>
          <w:tcPr>
            <w:tcW w:w="3402" w:type="dxa"/>
            <w:shd w:val="clear" w:color="auto" w:fill="auto"/>
            <w:vAlign w:val="center"/>
          </w:tcPr>
          <w:p w14:paraId="4894ACC4" w14:textId="5A37AF2C" w:rsidR="009C3AE9" w:rsidRPr="00D01B4C" w:rsidRDefault="00D01B4C" w:rsidP="00B15944">
            <w:pPr>
              <w:pStyle w:val="Body"/>
            </w:pPr>
            <w:r>
              <w:t>Mr David Tune</w:t>
            </w:r>
            <w:r w:rsidR="008047B0">
              <w:t xml:space="preserve"> AO PSM</w:t>
            </w:r>
            <w:r>
              <w:t xml:space="preserve"> (Chair)</w:t>
            </w:r>
          </w:p>
        </w:tc>
        <w:tc>
          <w:tcPr>
            <w:tcW w:w="2197" w:type="dxa"/>
            <w:shd w:val="clear" w:color="auto" w:fill="auto"/>
            <w:vAlign w:val="center"/>
          </w:tcPr>
          <w:p w14:paraId="0AB4B904" w14:textId="1CA6CCA3" w:rsidR="009C3AE9" w:rsidRPr="00D01B4C" w:rsidRDefault="00D01B4C" w:rsidP="00B23F04">
            <w:pPr>
              <w:pStyle w:val="Body"/>
              <w:jc w:val="right"/>
            </w:pPr>
            <w:r>
              <w:t>4</w:t>
            </w:r>
          </w:p>
        </w:tc>
        <w:tc>
          <w:tcPr>
            <w:tcW w:w="2198" w:type="dxa"/>
            <w:shd w:val="clear" w:color="auto" w:fill="auto"/>
            <w:vAlign w:val="center"/>
          </w:tcPr>
          <w:p w14:paraId="42E570E2" w14:textId="46054216" w:rsidR="009C3AE9" w:rsidRPr="00D01B4C" w:rsidRDefault="00D01B4C" w:rsidP="00B23F04">
            <w:pPr>
              <w:pStyle w:val="Body"/>
              <w:jc w:val="right"/>
            </w:pPr>
            <w:r>
              <w:t>4</w:t>
            </w:r>
          </w:p>
        </w:tc>
      </w:tr>
      <w:tr w:rsidR="009C3AE9" w:rsidRPr="00466E0A" w14:paraId="06836EA2" w14:textId="77777777" w:rsidTr="00D01B4C">
        <w:trPr>
          <w:cnfStyle w:val="000000100000" w:firstRow="0" w:lastRow="0" w:firstColumn="0" w:lastColumn="0" w:oddVBand="0" w:evenVBand="0" w:oddHBand="1" w:evenHBand="0" w:firstRowFirstColumn="0" w:firstRowLastColumn="0" w:lastRowFirstColumn="0" w:lastRowLastColumn="0"/>
          <w:trHeight w:val="446"/>
        </w:trPr>
        <w:tc>
          <w:tcPr>
            <w:tcW w:w="3402" w:type="dxa"/>
            <w:shd w:val="clear" w:color="auto" w:fill="auto"/>
            <w:vAlign w:val="center"/>
          </w:tcPr>
          <w:p w14:paraId="3050BBC5" w14:textId="03AC6909" w:rsidR="009C3AE9" w:rsidRPr="00D01B4C" w:rsidRDefault="00D01B4C" w:rsidP="00B15944">
            <w:pPr>
              <w:pStyle w:val="Body"/>
            </w:pPr>
            <w:r>
              <w:t>Ms Jennifer Williams</w:t>
            </w:r>
            <w:r w:rsidR="00C645AE">
              <w:t xml:space="preserve"> AM</w:t>
            </w:r>
            <w:r>
              <w:t xml:space="preserve"> (Deputy Chair)</w:t>
            </w:r>
          </w:p>
        </w:tc>
        <w:tc>
          <w:tcPr>
            <w:tcW w:w="2197" w:type="dxa"/>
            <w:shd w:val="clear" w:color="auto" w:fill="auto"/>
            <w:vAlign w:val="center"/>
          </w:tcPr>
          <w:p w14:paraId="244032D5" w14:textId="4179061D" w:rsidR="009C3AE9" w:rsidRPr="00D01B4C" w:rsidRDefault="00D01B4C" w:rsidP="00B23F04">
            <w:pPr>
              <w:pStyle w:val="Body"/>
              <w:jc w:val="right"/>
            </w:pPr>
            <w:r>
              <w:t>10</w:t>
            </w:r>
          </w:p>
        </w:tc>
        <w:tc>
          <w:tcPr>
            <w:tcW w:w="2198" w:type="dxa"/>
            <w:shd w:val="clear" w:color="auto" w:fill="auto"/>
            <w:vAlign w:val="center"/>
          </w:tcPr>
          <w:p w14:paraId="66953E49" w14:textId="5AEC5D00" w:rsidR="009C3AE9" w:rsidRPr="00D01B4C" w:rsidRDefault="00D01B4C" w:rsidP="00B23F04">
            <w:pPr>
              <w:pStyle w:val="Body"/>
              <w:jc w:val="right"/>
            </w:pPr>
            <w:r>
              <w:t>9</w:t>
            </w:r>
          </w:p>
        </w:tc>
      </w:tr>
      <w:tr w:rsidR="009C3AE9" w:rsidRPr="00466E0A" w14:paraId="2D05ACF0" w14:textId="77777777" w:rsidTr="00D01B4C">
        <w:trPr>
          <w:cnfStyle w:val="000000010000" w:firstRow="0" w:lastRow="0" w:firstColumn="0" w:lastColumn="0" w:oddVBand="0" w:evenVBand="0" w:oddHBand="0" w:evenHBand="1" w:firstRowFirstColumn="0" w:firstRowLastColumn="0" w:lastRowFirstColumn="0" w:lastRowLastColumn="0"/>
          <w:trHeight w:val="446"/>
        </w:trPr>
        <w:tc>
          <w:tcPr>
            <w:tcW w:w="3402" w:type="dxa"/>
            <w:shd w:val="clear" w:color="auto" w:fill="auto"/>
            <w:vAlign w:val="center"/>
          </w:tcPr>
          <w:p w14:paraId="39B8C0E6" w14:textId="367A52A3" w:rsidR="009C3AE9" w:rsidRPr="00D01B4C" w:rsidRDefault="00D01B4C" w:rsidP="00B15944">
            <w:pPr>
              <w:pStyle w:val="Body"/>
            </w:pPr>
            <w:r>
              <w:t>Mr Glenn Appleyard</w:t>
            </w:r>
          </w:p>
        </w:tc>
        <w:tc>
          <w:tcPr>
            <w:tcW w:w="2197" w:type="dxa"/>
            <w:shd w:val="clear" w:color="auto" w:fill="auto"/>
            <w:vAlign w:val="center"/>
          </w:tcPr>
          <w:p w14:paraId="7FCD1476" w14:textId="313CE11F" w:rsidR="009C3AE9" w:rsidRPr="00D01B4C" w:rsidRDefault="00AA73E2" w:rsidP="00B23F04">
            <w:pPr>
              <w:pStyle w:val="Body"/>
              <w:jc w:val="right"/>
            </w:pPr>
            <w:r>
              <w:t>4</w:t>
            </w:r>
          </w:p>
        </w:tc>
        <w:tc>
          <w:tcPr>
            <w:tcW w:w="2198" w:type="dxa"/>
            <w:shd w:val="clear" w:color="auto" w:fill="auto"/>
            <w:vAlign w:val="center"/>
          </w:tcPr>
          <w:p w14:paraId="7B37F6D8" w14:textId="726E435D" w:rsidR="009C3AE9" w:rsidRPr="00D01B4C" w:rsidRDefault="00AA73E2" w:rsidP="00B23F04">
            <w:pPr>
              <w:pStyle w:val="Body"/>
              <w:jc w:val="right"/>
            </w:pPr>
            <w:r>
              <w:t>4</w:t>
            </w:r>
          </w:p>
        </w:tc>
      </w:tr>
      <w:tr w:rsidR="009C3AE9" w:rsidRPr="00466E0A" w14:paraId="1634AEC1" w14:textId="77777777" w:rsidTr="00D01B4C">
        <w:trPr>
          <w:cnfStyle w:val="000000100000" w:firstRow="0" w:lastRow="0" w:firstColumn="0" w:lastColumn="0" w:oddVBand="0" w:evenVBand="0" w:oddHBand="1" w:evenHBand="0" w:firstRowFirstColumn="0" w:firstRowLastColumn="0" w:lastRowFirstColumn="0" w:lastRowLastColumn="0"/>
          <w:trHeight w:val="446"/>
        </w:trPr>
        <w:tc>
          <w:tcPr>
            <w:tcW w:w="3402" w:type="dxa"/>
            <w:shd w:val="clear" w:color="auto" w:fill="auto"/>
            <w:vAlign w:val="center"/>
          </w:tcPr>
          <w:p w14:paraId="57175861" w14:textId="6D76039F" w:rsidR="009C3AE9" w:rsidRPr="00D01B4C" w:rsidRDefault="00D01B4C" w:rsidP="00B15944">
            <w:pPr>
              <w:pStyle w:val="Body"/>
            </w:pPr>
            <w:r>
              <w:t>A/Prof Bruce Chater</w:t>
            </w:r>
            <w:r w:rsidR="00033B12">
              <w:rPr>
                <w:rStyle w:val="FootnoteReference"/>
              </w:rPr>
              <w:footnoteReference w:id="3"/>
            </w:r>
          </w:p>
        </w:tc>
        <w:tc>
          <w:tcPr>
            <w:tcW w:w="2197" w:type="dxa"/>
            <w:shd w:val="clear" w:color="auto" w:fill="auto"/>
            <w:vAlign w:val="center"/>
          </w:tcPr>
          <w:p w14:paraId="35A66D5C" w14:textId="03A55DD2" w:rsidR="009C3AE9" w:rsidRPr="00D01B4C" w:rsidRDefault="00AA73E2" w:rsidP="00B23F04">
            <w:pPr>
              <w:pStyle w:val="Body"/>
              <w:jc w:val="right"/>
            </w:pPr>
            <w:r>
              <w:t>2</w:t>
            </w:r>
          </w:p>
        </w:tc>
        <w:tc>
          <w:tcPr>
            <w:tcW w:w="2198" w:type="dxa"/>
            <w:shd w:val="clear" w:color="auto" w:fill="auto"/>
            <w:vAlign w:val="center"/>
          </w:tcPr>
          <w:p w14:paraId="4DC83F64" w14:textId="5BB2906C" w:rsidR="009C3AE9" w:rsidRPr="00D01B4C" w:rsidRDefault="00AA73E2" w:rsidP="00B23F04">
            <w:pPr>
              <w:pStyle w:val="Body"/>
              <w:jc w:val="right"/>
            </w:pPr>
            <w:r>
              <w:t>2</w:t>
            </w:r>
          </w:p>
        </w:tc>
      </w:tr>
      <w:tr w:rsidR="00B23F04" w:rsidRPr="00466E0A" w14:paraId="52B3AE66" w14:textId="77777777" w:rsidTr="00D01B4C">
        <w:trPr>
          <w:cnfStyle w:val="000000010000" w:firstRow="0" w:lastRow="0" w:firstColumn="0" w:lastColumn="0" w:oddVBand="0" w:evenVBand="0" w:oddHBand="0" w:evenHBand="1" w:firstRowFirstColumn="0" w:firstRowLastColumn="0" w:lastRowFirstColumn="0" w:lastRowLastColumn="0"/>
          <w:trHeight w:val="446"/>
        </w:trPr>
        <w:tc>
          <w:tcPr>
            <w:tcW w:w="3402" w:type="dxa"/>
            <w:shd w:val="clear" w:color="auto" w:fill="auto"/>
            <w:vAlign w:val="center"/>
          </w:tcPr>
          <w:p w14:paraId="3B83BCB1" w14:textId="4287D1DC" w:rsidR="00B23F04" w:rsidRPr="00D01B4C" w:rsidRDefault="00D01B4C" w:rsidP="00B15944">
            <w:pPr>
              <w:pStyle w:val="Body"/>
            </w:pPr>
            <w:r>
              <w:t>Dr Adam Coltzau</w:t>
            </w:r>
            <w:r w:rsidR="00191182">
              <w:rPr>
                <w:rStyle w:val="FootnoteReference"/>
              </w:rPr>
              <w:footnoteReference w:id="4"/>
            </w:r>
          </w:p>
        </w:tc>
        <w:tc>
          <w:tcPr>
            <w:tcW w:w="2197" w:type="dxa"/>
            <w:shd w:val="clear" w:color="auto" w:fill="auto"/>
            <w:vAlign w:val="center"/>
          </w:tcPr>
          <w:p w14:paraId="47EAA46C" w14:textId="2DB6D3A9" w:rsidR="00B23F04" w:rsidRPr="00D01B4C" w:rsidRDefault="00D01B4C" w:rsidP="00B23F04">
            <w:pPr>
              <w:pStyle w:val="Body"/>
              <w:jc w:val="right"/>
            </w:pPr>
            <w:r>
              <w:t>2</w:t>
            </w:r>
          </w:p>
        </w:tc>
        <w:tc>
          <w:tcPr>
            <w:tcW w:w="2198" w:type="dxa"/>
            <w:shd w:val="clear" w:color="auto" w:fill="auto"/>
            <w:vAlign w:val="center"/>
          </w:tcPr>
          <w:p w14:paraId="0FB2A013" w14:textId="0451CB68" w:rsidR="00B23F04" w:rsidRPr="00D01B4C" w:rsidRDefault="00D01B4C" w:rsidP="00B23F04">
            <w:pPr>
              <w:pStyle w:val="Body"/>
              <w:jc w:val="right"/>
            </w:pPr>
            <w:r>
              <w:t>1</w:t>
            </w:r>
          </w:p>
        </w:tc>
      </w:tr>
      <w:tr w:rsidR="00B23F04" w:rsidRPr="00466E0A" w14:paraId="39095D28" w14:textId="77777777" w:rsidTr="00D01B4C">
        <w:trPr>
          <w:cnfStyle w:val="000000100000" w:firstRow="0" w:lastRow="0" w:firstColumn="0" w:lastColumn="0" w:oddVBand="0" w:evenVBand="0" w:oddHBand="1" w:evenHBand="0" w:firstRowFirstColumn="0" w:firstRowLastColumn="0" w:lastRowFirstColumn="0" w:lastRowLastColumn="0"/>
          <w:trHeight w:val="446"/>
        </w:trPr>
        <w:tc>
          <w:tcPr>
            <w:tcW w:w="3402" w:type="dxa"/>
            <w:shd w:val="clear" w:color="auto" w:fill="auto"/>
            <w:vAlign w:val="center"/>
          </w:tcPr>
          <w:p w14:paraId="76F5C7D9" w14:textId="6CB96F68" w:rsidR="00B23F04" w:rsidRPr="00D01B4C" w:rsidRDefault="00D01B4C" w:rsidP="00B15944">
            <w:pPr>
              <w:pStyle w:val="Body"/>
            </w:pPr>
            <w:r>
              <w:t>Ms Prudence Ford</w:t>
            </w:r>
          </w:p>
        </w:tc>
        <w:tc>
          <w:tcPr>
            <w:tcW w:w="2197" w:type="dxa"/>
            <w:shd w:val="clear" w:color="auto" w:fill="auto"/>
            <w:vAlign w:val="center"/>
          </w:tcPr>
          <w:p w14:paraId="4E00D547" w14:textId="6DB59650" w:rsidR="00B23F04" w:rsidRPr="00D01B4C" w:rsidRDefault="00D01B4C" w:rsidP="00B23F04">
            <w:pPr>
              <w:pStyle w:val="Body"/>
              <w:jc w:val="right"/>
            </w:pPr>
            <w:r>
              <w:t>10</w:t>
            </w:r>
          </w:p>
        </w:tc>
        <w:tc>
          <w:tcPr>
            <w:tcW w:w="2198" w:type="dxa"/>
            <w:shd w:val="clear" w:color="auto" w:fill="auto"/>
            <w:vAlign w:val="center"/>
          </w:tcPr>
          <w:p w14:paraId="1102F1F7" w14:textId="6508299A" w:rsidR="00B23F04" w:rsidRPr="00D01B4C" w:rsidRDefault="00D01B4C" w:rsidP="00B23F04">
            <w:pPr>
              <w:pStyle w:val="Body"/>
              <w:jc w:val="right"/>
            </w:pPr>
            <w:r>
              <w:t>10</w:t>
            </w:r>
          </w:p>
        </w:tc>
      </w:tr>
      <w:tr w:rsidR="00B23F04" w:rsidRPr="00466E0A" w14:paraId="1EA3104D" w14:textId="77777777" w:rsidTr="00D01B4C">
        <w:trPr>
          <w:cnfStyle w:val="000000010000" w:firstRow="0" w:lastRow="0" w:firstColumn="0" w:lastColumn="0" w:oddVBand="0" w:evenVBand="0" w:oddHBand="0" w:evenHBand="1" w:firstRowFirstColumn="0" w:firstRowLastColumn="0" w:lastRowFirstColumn="0" w:lastRowLastColumn="0"/>
          <w:trHeight w:val="446"/>
        </w:trPr>
        <w:tc>
          <w:tcPr>
            <w:tcW w:w="3402" w:type="dxa"/>
            <w:shd w:val="clear" w:color="auto" w:fill="auto"/>
            <w:vAlign w:val="center"/>
          </w:tcPr>
          <w:p w14:paraId="23AE76D8" w14:textId="55692CCD" w:rsidR="00B23F04" w:rsidRPr="00D01B4C" w:rsidRDefault="009A618A" w:rsidP="00B15944">
            <w:pPr>
              <w:pStyle w:val="Body"/>
            </w:pPr>
            <w:r>
              <w:t xml:space="preserve">Distinguished </w:t>
            </w:r>
            <w:r w:rsidR="00D01B4C">
              <w:t>Prof Jane Hall</w:t>
            </w:r>
          </w:p>
        </w:tc>
        <w:tc>
          <w:tcPr>
            <w:tcW w:w="2197" w:type="dxa"/>
            <w:shd w:val="clear" w:color="auto" w:fill="auto"/>
            <w:vAlign w:val="center"/>
          </w:tcPr>
          <w:p w14:paraId="77120DEA" w14:textId="424F5C63" w:rsidR="00B23F04" w:rsidRPr="00D01B4C" w:rsidRDefault="00D01B4C" w:rsidP="00B23F04">
            <w:pPr>
              <w:pStyle w:val="Body"/>
              <w:jc w:val="right"/>
            </w:pPr>
            <w:r>
              <w:t>10</w:t>
            </w:r>
          </w:p>
        </w:tc>
        <w:tc>
          <w:tcPr>
            <w:tcW w:w="2198" w:type="dxa"/>
            <w:shd w:val="clear" w:color="auto" w:fill="auto"/>
            <w:vAlign w:val="center"/>
          </w:tcPr>
          <w:p w14:paraId="0AACB4DC" w14:textId="3F048452" w:rsidR="00B23F04" w:rsidRPr="00D01B4C" w:rsidRDefault="00D01B4C" w:rsidP="00B23F04">
            <w:pPr>
              <w:pStyle w:val="Body"/>
              <w:jc w:val="right"/>
            </w:pPr>
            <w:r>
              <w:t>10</w:t>
            </w:r>
          </w:p>
        </w:tc>
      </w:tr>
      <w:tr w:rsidR="00B23F04" w:rsidRPr="00466E0A" w14:paraId="35009750" w14:textId="77777777" w:rsidTr="00D01B4C">
        <w:trPr>
          <w:cnfStyle w:val="000000100000" w:firstRow="0" w:lastRow="0" w:firstColumn="0" w:lastColumn="0" w:oddVBand="0" w:evenVBand="0" w:oddHBand="1" w:evenHBand="0" w:firstRowFirstColumn="0" w:firstRowLastColumn="0" w:lastRowFirstColumn="0" w:lastRowLastColumn="0"/>
          <w:trHeight w:val="446"/>
        </w:trPr>
        <w:tc>
          <w:tcPr>
            <w:tcW w:w="3402" w:type="dxa"/>
            <w:shd w:val="clear" w:color="auto" w:fill="auto"/>
            <w:vAlign w:val="center"/>
          </w:tcPr>
          <w:p w14:paraId="3DF2E358" w14:textId="22021670" w:rsidR="00B23F04" w:rsidRPr="00D01B4C" w:rsidRDefault="00D01B4C" w:rsidP="00B15944">
            <w:pPr>
              <w:pStyle w:val="Body"/>
            </w:pPr>
            <w:r>
              <w:t>Dr Kate Taylor</w:t>
            </w:r>
          </w:p>
        </w:tc>
        <w:tc>
          <w:tcPr>
            <w:tcW w:w="2197" w:type="dxa"/>
            <w:shd w:val="clear" w:color="auto" w:fill="auto"/>
            <w:vAlign w:val="center"/>
          </w:tcPr>
          <w:p w14:paraId="2A088B26" w14:textId="5A7B2A80" w:rsidR="00B23F04" w:rsidRPr="00D01B4C" w:rsidRDefault="00D01B4C" w:rsidP="00B23F04">
            <w:pPr>
              <w:pStyle w:val="Body"/>
              <w:jc w:val="right"/>
            </w:pPr>
            <w:r>
              <w:t>10</w:t>
            </w:r>
          </w:p>
        </w:tc>
        <w:tc>
          <w:tcPr>
            <w:tcW w:w="2198" w:type="dxa"/>
            <w:shd w:val="clear" w:color="auto" w:fill="auto"/>
            <w:vAlign w:val="center"/>
          </w:tcPr>
          <w:p w14:paraId="24CF0507" w14:textId="770B949A" w:rsidR="00B23F04" w:rsidRPr="00D01B4C" w:rsidRDefault="00D01B4C" w:rsidP="00B23F04">
            <w:pPr>
              <w:pStyle w:val="Body"/>
              <w:jc w:val="right"/>
            </w:pPr>
            <w:r>
              <w:t>10</w:t>
            </w:r>
          </w:p>
        </w:tc>
      </w:tr>
      <w:tr w:rsidR="00B23F04" w:rsidRPr="00466E0A" w14:paraId="570232B9" w14:textId="77777777" w:rsidTr="00D01B4C">
        <w:trPr>
          <w:cnfStyle w:val="000000010000" w:firstRow="0" w:lastRow="0" w:firstColumn="0" w:lastColumn="0" w:oddVBand="0" w:evenVBand="0" w:oddHBand="0" w:evenHBand="1" w:firstRowFirstColumn="0" w:firstRowLastColumn="0" w:lastRowFirstColumn="0" w:lastRowLastColumn="0"/>
          <w:trHeight w:val="446"/>
        </w:trPr>
        <w:tc>
          <w:tcPr>
            <w:tcW w:w="3402" w:type="dxa"/>
            <w:tcBorders>
              <w:bottom w:val="single" w:sz="4" w:space="0" w:color="D9D9D9" w:themeColor="background2" w:themeShade="D9"/>
            </w:tcBorders>
            <w:shd w:val="clear" w:color="auto" w:fill="auto"/>
            <w:vAlign w:val="center"/>
          </w:tcPr>
          <w:p w14:paraId="680D41A5" w14:textId="06D628C2" w:rsidR="00B23F04" w:rsidRPr="00D01B4C" w:rsidRDefault="00D01B4C" w:rsidP="00B15944">
            <w:pPr>
              <w:pStyle w:val="Body"/>
            </w:pPr>
            <w:r>
              <w:t>Ms Jenny Richter</w:t>
            </w:r>
            <w:r w:rsidR="00C645AE">
              <w:t xml:space="preserve"> AM</w:t>
            </w:r>
          </w:p>
        </w:tc>
        <w:tc>
          <w:tcPr>
            <w:tcW w:w="2197" w:type="dxa"/>
            <w:tcBorders>
              <w:bottom w:val="single" w:sz="4" w:space="0" w:color="D9D9D9" w:themeColor="background2" w:themeShade="D9"/>
            </w:tcBorders>
            <w:shd w:val="clear" w:color="auto" w:fill="auto"/>
            <w:vAlign w:val="center"/>
          </w:tcPr>
          <w:p w14:paraId="5F9C40AA" w14:textId="0654F543" w:rsidR="00B23F04" w:rsidRPr="00D01B4C" w:rsidRDefault="00D01B4C" w:rsidP="00B23F04">
            <w:pPr>
              <w:pStyle w:val="Body"/>
              <w:jc w:val="right"/>
            </w:pPr>
            <w:r>
              <w:t>10</w:t>
            </w:r>
          </w:p>
        </w:tc>
        <w:tc>
          <w:tcPr>
            <w:tcW w:w="2198" w:type="dxa"/>
            <w:tcBorders>
              <w:bottom w:val="single" w:sz="4" w:space="0" w:color="D9D9D9" w:themeColor="background2" w:themeShade="D9"/>
            </w:tcBorders>
            <w:shd w:val="clear" w:color="auto" w:fill="auto"/>
            <w:vAlign w:val="center"/>
          </w:tcPr>
          <w:p w14:paraId="08699EEA" w14:textId="4113EBE7" w:rsidR="00B23F04" w:rsidRPr="00D01B4C" w:rsidRDefault="00D01B4C" w:rsidP="00B23F04">
            <w:pPr>
              <w:pStyle w:val="Body"/>
              <w:jc w:val="right"/>
            </w:pPr>
            <w:r>
              <w:t>10</w:t>
            </w:r>
          </w:p>
        </w:tc>
      </w:tr>
    </w:tbl>
    <w:p w14:paraId="3E372083" w14:textId="77777777" w:rsidR="009C3AE9" w:rsidRDefault="009C3AE9" w:rsidP="009C3AE9">
      <w:pPr>
        <w:pStyle w:val="Body"/>
      </w:pPr>
    </w:p>
    <w:p w14:paraId="1B8462D7" w14:textId="77777777" w:rsidR="00BB4108" w:rsidRDefault="00BB4108" w:rsidP="00BB4108">
      <w:pPr>
        <w:pStyle w:val="H3"/>
        <w:rPr>
          <w:color w:val="009AB8" w:themeColor="accent3"/>
        </w:rPr>
        <w:sectPr w:rsidR="00BB4108" w:rsidSect="00BB4108">
          <w:footerReference w:type="default" r:id="rId150"/>
          <w:pgSz w:w="9979" w:h="14175"/>
          <w:pgMar w:top="1418" w:right="1134" w:bottom="1134" w:left="1134" w:header="709" w:footer="709" w:gutter="0"/>
          <w:cols w:space="708"/>
          <w:docGrid w:linePitch="360"/>
        </w:sectPr>
      </w:pPr>
    </w:p>
    <w:p w14:paraId="4744B53A" w14:textId="7A9DD92D" w:rsidR="00DD76D9" w:rsidRDefault="00DD76D9" w:rsidP="00DD76D9">
      <w:pPr>
        <w:pStyle w:val="Body"/>
        <w:sectPr w:rsidR="00DD76D9" w:rsidSect="00DD76D9">
          <w:footerReference w:type="default" r:id="rId151"/>
          <w:pgSz w:w="9979" w:h="14175"/>
          <w:pgMar w:top="1418" w:right="1134" w:bottom="1134" w:left="1134" w:header="709" w:footer="709" w:gutter="0"/>
          <w:cols w:space="708"/>
          <w:docGrid w:linePitch="360"/>
        </w:sectPr>
      </w:pPr>
    </w:p>
    <w:p w14:paraId="210FC04E" w14:textId="0FD1DAED" w:rsidR="00BB4108" w:rsidRPr="00BB4108" w:rsidRDefault="00BB4108" w:rsidP="00BB4108">
      <w:pPr>
        <w:pStyle w:val="H3"/>
        <w:rPr>
          <w:color w:val="009AB8" w:themeColor="accent3"/>
        </w:rPr>
      </w:pPr>
      <w:r w:rsidRPr="00BB4108">
        <w:rPr>
          <w:color w:val="009AB8" w:themeColor="accent3"/>
        </w:rPr>
        <w:t>The accountable authority</w:t>
      </w:r>
    </w:p>
    <w:p w14:paraId="49B7FDDD" w14:textId="77777777" w:rsidR="00194DB1" w:rsidRPr="001D38F5" w:rsidRDefault="00194DB1" w:rsidP="00194DB1">
      <w:pPr>
        <w:pStyle w:val="Body"/>
        <w:rPr>
          <w:b/>
          <w:bCs/>
        </w:rPr>
      </w:pPr>
      <w:r w:rsidRPr="00BB4108">
        <w:rPr>
          <w:b/>
          <w:bCs/>
        </w:rPr>
        <w:t>The Independent Hospital Pricing Authority is a</w:t>
      </w:r>
      <w:r>
        <w:rPr>
          <w:b/>
          <w:bCs/>
        </w:rPr>
        <w:t> </w:t>
      </w:r>
      <w:r w:rsidRPr="00BB4108">
        <w:rPr>
          <w:b/>
          <w:bCs/>
        </w:rPr>
        <w:t>corporate Commonwealth entity. This report has</w:t>
      </w:r>
      <w:r>
        <w:rPr>
          <w:b/>
          <w:bCs/>
        </w:rPr>
        <w:t> </w:t>
      </w:r>
      <w:r w:rsidRPr="00BB4108">
        <w:rPr>
          <w:b/>
          <w:bCs/>
        </w:rPr>
        <w:t>been prepared in accordance with the requirements of sections 17BA to 17BF of the</w:t>
      </w:r>
      <w:r>
        <w:rPr>
          <w:b/>
          <w:bCs/>
        </w:rPr>
        <w:t> </w:t>
      </w:r>
      <w:r w:rsidRPr="00BB4108">
        <w:rPr>
          <w:b/>
          <w:bCs/>
        </w:rPr>
        <w:t xml:space="preserve">Public Governance, Performance and Accountability Rule 2014. This report also contains information required under other applicable legislation, including the </w:t>
      </w:r>
      <w:r w:rsidRPr="00BB4108">
        <w:rPr>
          <w:b/>
          <w:bCs/>
          <w:i/>
          <w:iCs/>
        </w:rPr>
        <w:t>Work</w:t>
      </w:r>
      <w:r>
        <w:rPr>
          <w:b/>
          <w:bCs/>
          <w:i/>
          <w:iCs/>
        </w:rPr>
        <w:t> </w:t>
      </w:r>
      <w:r w:rsidRPr="00BB4108">
        <w:rPr>
          <w:b/>
          <w:bCs/>
          <w:i/>
          <w:iCs/>
        </w:rPr>
        <w:t>Health and Safety Act 2011</w:t>
      </w:r>
      <w:r w:rsidRPr="00BB4108">
        <w:rPr>
          <w:b/>
          <w:bCs/>
        </w:rPr>
        <w:t>.</w:t>
      </w:r>
    </w:p>
    <w:p w14:paraId="234BA4EE" w14:textId="43856C6C" w:rsidR="002E23F5" w:rsidRDefault="001D38F5" w:rsidP="00BB4108">
      <w:pPr>
        <w:pStyle w:val="Body"/>
      </w:pPr>
      <w:r>
        <w:br w:type="column"/>
      </w:r>
      <w:r w:rsidR="002E23F5" w:rsidRPr="00BB4108">
        <w:t>As the accountable authority for the purposes of</w:t>
      </w:r>
      <w:r w:rsidR="002E23F5">
        <w:t> </w:t>
      </w:r>
      <w:r w:rsidR="002E23F5" w:rsidRPr="00BB4108">
        <w:t xml:space="preserve">the </w:t>
      </w:r>
      <w:r w:rsidR="002E23F5" w:rsidRPr="00BB4108">
        <w:rPr>
          <w:i/>
          <w:iCs/>
        </w:rPr>
        <w:t>Public Governance, Performance and Accountability Act 2013</w:t>
      </w:r>
      <w:r w:rsidR="002E23F5" w:rsidRPr="00BB4108">
        <w:t>, I am responsible for preparing this annual report and providing a copy</w:t>
      </w:r>
      <w:r w:rsidR="002E23F5">
        <w:t> </w:t>
      </w:r>
      <w:r w:rsidR="002E23F5" w:rsidRPr="00BB4108">
        <w:t xml:space="preserve">to the responsible </w:t>
      </w:r>
      <w:r w:rsidR="002E23F5">
        <w:t>m</w:t>
      </w:r>
      <w:r w:rsidR="002E23F5" w:rsidRPr="00BB4108">
        <w:t>inister.</w:t>
      </w:r>
    </w:p>
    <w:p w14:paraId="6A109616" w14:textId="77B2EADB" w:rsidR="00BB4108" w:rsidRDefault="00BB4108" w:rsidP="00BB4108">
      <w:pPr>
        <w:pStyle w:val="Body"/>
      </w:pPr>
      <w:r w:rsidRPr="00B812E4">
        <w:rPr>
          <w:noProof/>
          <w:lang w:eastAsia="en-AU"/>
        </w:rPr>
        <w:drawing>
          <wp:inline distT="0" distB="0" distL="0" distR="0" wp14:anchorId="25E8C155" wp14:editId="0F633075">
            <wp:extent cx="647356" cy="449067"/>
            <wp:effectExtent l="0" t="0" r="635" b="8255"/>
            <wp:docPr id="118" name="Picture 118" descr="Signature of Ms Joanne Fitzgerald&#10;Acting Chief Executive Officer&#10;Independent Hospital Pricing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Signature of Ms Joanne Fitzgerald&#10;Acting Chief Executive Officer&#10;Independent Hospital Pricing Authority&#10;"/>
                    <pic:cNvPicPr>
                      <a:picLocks noChangeAspect="1" noChangeArrowheads="1"/>
                    </pic:cNvPicPr>
                  </pic:nvPicPr>
                  <pic:blipFill>
                    <a:blip r:embed="rId60"/>
                    <a:stretch>
                      <a:fillRect/>
                    </a:stretch>
                  </pic:blipFill>
                  <pic:spPr bwMode="auto">
                    <a:xfrm>
                      <a:off x="0" y="0"/>
                      <a:ext cx="647356" cy="449067"/>
                    </a:xfrm>
                    <a:prstGeom prst="rect">
                      <a:avLst/>
                    </a:prstGeom>
                    <a:noFill/>
                    <a:ln>
                      <a:noFill/>
                    </a:ln>
                  </pic:spPr>
                </pic:pic>
              </a:graphicData>
            </a:graphic>
          </wp:inline>
        </w:drawing>
      </w:r>
    </w:p>
    <w:p w14:paraId="38733B27" w14:textId="792B5DD7" w:rsidR="001D38F5" w:rsidRDefault="001D38F5" w:rsidP="001D38F5">
      <w:pPr>
        <w:pStyle w:val="Body"/>
      </w:pPr>
      <w:r>
        <w:rPr>
          <w:b/>
          <w:bCs/>
        </w:rPr>
        <w:t>Ms Joanne Fitzgerald</w:t>
      </w:r>
    </w:p>
    <w:p w14:paraId="3A505FAD" w14:textId="3579AC0F" w:rsidR="001D38F5" w:rsidRDefault="001D38F5" w:rsidP="006B289D">
      <w:pPr>
        <w:pStyle w:val="Body"/>
        <w:ind w:right="-327"/>
      </w:pPr>
      <w:r>
        <w:t>Acting Chief Executive Officer</w:t>
      </w:r>
      <w:r>
        <w:br/>
        <w:t xml:space="preserve">Independent </w:t>
      </w:r>
      <w:r w:rsidR="006B289D">
        <w:t>H</w:t>
      </w:r>
      <w:r w:rsidR="00A51296">
        <w:t xml:space="preserve">ospital </w:t>
      </w:r>
      <w:r>
        <w:t>Pricing</w:t>
      </w:r>
      <w:r w:rsidR="002E23F5">
        <w:t> </w:t>
      </w:r>
      <w:r>
        <w:t>Authority</w:t>
      </w:r>
      <w:r>
        <w:br/>
      </w:r>
      <w:r w:rsidR="00A55146">
        <w:t>9</w:t>
      </w:r>
      <w:r>
        <w:t xml:space="preserve"> September 2022</w:t>
      </w:r>
    </w:p>
    <w:p w14:paraId="1CA9BBF1" w14:textId="77777777" w:rsidR="002825B4" w:rsidRDefault="002825B4" w:rsidP="000431F3">
      <w:pPr>
        <w:pStyle w:val="Body"/>
        <w:sectPr w:rsidR="002825B4" w:rsidSect="00DD76D9">
          <w:type w:val="continuous"/>
          <w:pgSz w:w="9979" w:h="14175"/>
          <w:pgMar w:top="1418" w:right="1134" w:bottom="1134" w:left="1134" w:header="709" w:footer="709" w:gutter="0"/>
          <w:cols w:num="2" w:space="708"/>
          <w:docGrid w:linePitch="360"/>
        </w:sectPr>
      </w:pPr>
    </w:p>
    <w:p w14:paraId="7E69F8A8" w14:textId="432F45A5" w:rsidR="0081144A" w:rsidRDefault="00586C7F" w:rsidP="00586C7F">
      <w:pPr>
        <w:pStyle w:val="FigureHeading"/>
      </w:pPr>
      <w:bookmarkStart w:id="67" w:name="_Toc114824663"/>
      <w:bookmarkStart w:id="68" w:name="AccountableAuthority"/>
      <w:r w:rsidRPr="00586C7F">
        <w:t xml:space="preserve">Table </w:t>
      </w:r>
      <w:r>
        <w:t>8</w:t>
      </w:r>
      <w:r w:rsidRPr="00586C7F">
        <w:t>: Details of accountable authority during the reporting period current report period (2021–22)</w:t>
      </w:r>
      <w:bookmarkEnd w:id="67"/>
    </w:p>
    <w:bookmarkEnd w:id="68"/>
    <w:tbl>
      <w:tblPr>
        <w:tblStyle w:val="IHPATable"/>
        <w:tblW w:w="7797" w:type="dxa"/>
        <w:tblLayout w:type="fixed"/>
        <w:tblLook w:val="0020" w:firstRow="1" w:lastRow="0" w:firstColumn="0" w:lastColumn="0" w:noHBand="0" w:noVBand="0"/>
        <w:tblCaption w:val="Table 3"/>
        <w:tblDescription w:val="Summary of Performance for Activity 1: Perform IHPA pricing functions"/>
      </w:tblPr>
      <w:tblGrid>
        <w:gridCol w:w="1560"/>
        <w:gridCol w:w="4110"/>
        <w:gridCol w:w="2127"/>
      </w:tblGrid>
      <w:tr w:rsidR="00207CF4" w:rsidRPr="00466E0A" w14:paraId="08FDAF4E" w14:textId="77777777" w:rsidTr="00874BFC">
        <w:trPr>
          <w:cnfStyle w:val="100000000000" w:firstRow="1" w:lastRow="0" w:firstColumn="0" w:lastColumn="0" w:oddVBand="0" w:evenVBand="0" w:oddHBand="0" w:evenHBand="0" w:firstRowFirstColumn="0" w:firstRowLastColumn="0" w:lastRowFirstColumn="0" w:lastRowLastColumn="0"/>
          <w:trHeight w:val="715"/>
        </w:trPr>
        <w:tc>
          <w:tcPr>
            <w:tcW w:w="1560" w:type="dxa"/>
            <w:shd w:val="clear" w:color="auto" w:fill="009AB8" w:themeFill="accent3"/>
            <w:vAlign w:val="center"/>
          </w:tcPr>
          <w:p w14:paraId="4DEF51DB" w14:textId="5FC12FB5" w:rsidR="00207CF4" w:rsidRPr="009C3AE9" w:rsidRDefault="00207CF4" w:rsidP="00B15944">
            <w:pPr>
              <w:pStyle w:val="Body"/>
              <w:rPr>
                <w:rFonts w:asciiTheme="majorHAnsi" w:hAnsiTheme="majorHAnsi"/>
                <w:color w:val="FFFFFF" w:themeColor="background2"/>
              </w:rPr>
            </w:pPr>
          </w:p>
        </w:tc>
        <w:tc>
          <w:tcPr>
            <w:tcW w:w="4110" w:type="dxa"/>
            <w:shd w:val="clear" w:color="auto" w:fill="009AB8" w:themeFill="accent3"/>
            <w:vAlign w:val="center"/>
          </w:tcPr>
          <w:p w14:paraId="7124207D" w14:textId="77E40548" w:rsidR="00207CF4" w:rsidRPr="009C3AE9" w:rsidRDefault="00207CF4" w:rsidP="00207CF4">
            <w:pPr>
              <w:pStyle w:val="Body-Financial"/>
              <w:spacing w:after="0"/>
              <w:rPr>
                <w:rFonts w:asciiTheme="majorHAnsi" w:hAnsiTheme="majorHAnsi"/>
                <w:color w:val="FFFFFF" w:themeColor="background2"/>
                <w:sz w:val="18"/>
              </w:rPr>
            </w:pPr>
          </w:p>
        </w:tc>
        <w:tc>
          <w:tcPr>
            <w:tcW w:w="2127" w:type="dxa"/>
            <w:shd w:val="clear" w:color="auto" w:fill="009AB8" w:themeFill="accent3"/>
            <w:vAlign w:val="center"/>
          </w:tcPr>
          <w:p w14:paraId="11FF44C3" w14:textId="3BACC318" w:rsidR="00207CF4" w:rsidRPr="009C3AE9" w:rsidRDefault="00207CF4" w:rsidP="00FF3C92">
            <w:pPr>
              <w:pStyle w:val="Body-Financial"/>
              <w:spacing w:after="0"/>
              <w:rPr>
                <w:rFonts w:asciiTheme="majorHAnsi" w:hAnsiTheme="majorHAnsi"/>
                <w:color w:val="FFFFFF" w:themeColor="background2"/>
                <w:sz w:val="18"/>
                <w:szCs w:val="18"/>
              </w:rPr>
            </w:pPr>
            <w:r>
              <w:rPr>
                <w:rFonts w:asciiTheme="majorHAnsi" w:hAnsiTheme="majorHAnsi"/>
                <w:color w:val="FFFFFF" w:themeColor="background2"/>
                <w:sz w:val="18"/>
                <w:szCs w:val="18"/>
              </w:rPr>
              <w:t>Period as the accountable authority or member</w:t>
            </w:r>
          </w:p>
        </w:tc>
      </w:tr>
      <w:tr w:rsidR="00E33A65" w:rsidRPr="00466E0A" w14:paraId="72E895A1" w14:textId="77777777" w:rsidTr="00935030">
        <w:trPr>
          <w:cnfStyle w:val="000000100000" w:firstRow="0" w:lastRow="0" w:firstColumn="0" w:lastColumn="0" w:oddVBand="0" w:evenVBand="0" w:oddHBand="1" w:evenHBand="0" w:firstRowFirstColumn="0" w:firstRowLastColumn="0" w:lastRowFirstColumn="0" w:lastRowLastColumn="0"/>
          <w:trHeight w:val="340"/>
        </w:trPr>
        <w:tc>
          <w:tcPr>
            <w:tcW w:w="5670" w:type="dxa"/>
            <w:gridSpan w:val="2"/>
            <w:shd w:val="clear" w:color="auto" w:fill="BDF4FF" w:themeFill="accent3" w:themeFillTint="33"/>
            <w:vAlign w:val="center"/>
          </w:tcPr>
          <w:p w14:paraId="4F310370" w14:textId="58B896B8" w:rsidR="00E33A65" w:rsidRPr="00E33A65" w:rsidRDefault="00E33A65" w:rsidP="00207CF4">
            <w:pPr>
              <w:pStyle w:val="Body-Financial"/>
              <w:spacing w:after="0"/>
              <w:rPr>
                <w:rFonts w:asciiTheme="majorHAnsi" w:hAnsiTheme="majorHAnsi"/>
                <w:sz w:val="18"/>
                <w:szCs w:val="18"/>
              </w:rPr>
            </w:pPr>
            <w:bookmarkStart w:id="69" w:name="_Hlk108797346"/>
            <w:r w:rsidRPr="00E33A65">
              <w:rPr>
                <w:rFonts w:asciiTheme="majorHAnsi" w:hAnsiTheme="majorHAnsi"/>
                <w:sz w:val="18"/>
                <w:szCs w:val="18"/>
              </w:rPr>
              <w:t>Mr James Downie</w:t>
            </w:r>
          </w:p>
        </w:tc>
        <w:tc>
          <w:tcPr>
            <w:tcW w:w="2127" w:type="dxa"/>
            <w:shd w:val="clear" w:color="auto" w:fill="BDF4FF" w:themeFill="accent3" w:themeFillTint="33"/>
            <w:vAlign w:val="center"/>
          </w:tcPr>
          <w:p w14:paraId="265DADFD" w14:textId="4F4092DF" w:rsidR="00E33A65" w:rsidRPr="00207CF4" w:rsidRDefault="00E33A65" w:rsidP="00207CF4">
            <w:pPr>
              <w:pStyle w:val="Body-Financial"/>
              <w:spacing w:after="0"/>
              <w:rPr>
                <w:rFonts w:asciiTheme="majorHAnsi" w:hAnsiTheme="majorHAnsi"/>
                <w:sz w:val="18"/>
                <w:szCs w:val="18"/>
              </w:rPr>
            </w:pPr>
          </w:p>
        </w:tc>
      </w:tr>
      <w:tr w:rsidR="00E33A65" w:rsidRPr="00466E0A" w14:paraId="7B2D099F" w14:textId="77777777" w:rsidTr="00874BFC">
        <w:trPr>
          <w:cnfStyle w:val="000000010000" w:firstRow="0" w:lastRow="0" w:firstColumn="0" w:lastColumn="0" w:oddVBand="0" w:evenVBand="0" w:oddHBand="0" w:evenHBand="1" w:firstRowFirstColumn="0" w:firstRowLastColumn="0" w:lastRowFirstColumn="0" w:lastRowLastColumn="0"/>
          <w:trHeight w:val="446"/>
        </w:trPr>
        <w:tc>
          <w:tcPr>
            <w:tcW w:w="5670" w:type="dxa"/>
            <w:gridSpan w:val="2"/>
            <w:tcBorders>
              <w:bottom w:val="single" w:sz="18" w:space="0" w:color="009AB8" w:themeColor="accent3"/>
            </w:tcBorders>
            <w:shd w:val="clear" w:color="auto" w:fill="auto"/>
          </w:tcPr>
          <w:p w14:paraId="0D911278" w14:textId="77777777" w:rsidR="00342B8D" w:rsidRPr="00F42FB3" w:rsidRDefault="00342B8D" w:rsidP="00342B8D">
            <w:pPr>
              <w:pStyle w:val="Body-Financial"/>
              <w:spacing w:before="80"/>
              <w:rPr>
                <w:b/>
                <w:bCs/>
                <w:sz w:val="18"/>
                <w:szCs w:val="18"/>
              </w:rPr>
            </w:pPr>
            <w:r w:rsidRPr="00F42FB3">
              <w:rPr>
                <w:b/>
                <w:bCs/>
                <w:sz w:val="18"/>
                <w:szCs w:val="18"/>
              </w:rPr>
              <w:t>Position title</w:t>
            </w:r>
          </w:p>
          <w:p w14:paraId="117E4BCE" w14:textId="7E4C803B" w:rsidR="00342B8D" w:rsidRDefault="00342B8D" w:rsidP="00342B8D">
            <w:pPr>
              <w:pStyle w:val="Body-Financial"/>
              <w:spacing w:before="80"/>
              <w:rPr>
                <w:rFonts w:asciiTheme="majorHAnsi" w:hAnsiTheme="majorHAnsi"/>
                <w:sz w:val="18"/>
                <w:szCs w:val="18"/>
              </w:rPr>
            </w:pPr>
            <w:r>
              <w:rPr>
                <w:sz w:val="18"/>
                <w:szCs w:val="18"/>
              </w:rPr>
              <w:t>Chief Executive Officer</w:t>
            </w:r>
            <w:r w:rsidR="00F8111C">
              <w:rPr>
                <w:sz w:val="18"/>
                <w:szCs w:val="18"/>
              </w:rPr>
              <w:t xml:space="preserve"> (former)</w:t>
            </w:r>
          </w:p>
          <w:p w14:paraId="352ED8E1" w14:textId="77777777" w:rsidR="00342B8D" w:rsidRPr="00F42FB3" w:rsidRDefault="00342B8D" w:rsidP="00342B8D">
            <w:pPr>
              <w:pStyle w:val="Body-Financial"/>
              <w:spacing w:before="80"/>
              <w:rPr>
                <w:b/>
                <w:bCs/>
                <w:sz w:val="18"/>
                <w:szCs w:val="18"/>
              </w:rPr>
            </w:pPr>
            <w:r w:rsidRPr="00F42FB3">
              <w:rPr>
                <w:b/>
                <w:bCs/>
                <w:sz w:val="18"/>
                <w:szCs w:val="18"/>
              </w:rPr>
              <w:t>Qualifications of the accountable authority</w:t>
            </w:r>
          </w:p>
          <w:p w14:paraId="61430EAC" w14:textId="3571A1B3" w:rsidR="00342B8D" w:rsidRDefault="00342B8D" w:rsidP="00342B8D">
            <w:pPr>
              <w:pStyle w:val="Body-Financial"/>
              <w:spacing w:before="80"/>
              <w:rPr>
                <w:sz w:val="18"/>
                <w:szCs w:val="18"/>
              </w:rPr>
            </w:pPr>
            <w:r w:rsidRPr="003A6D57">
              <w:rPr>
                <w:sz w:val="18"/>
                <w:szCs w:val="18"/>
                <w:lang w:val="en-PH"/>
              </w:rPr>
              <w:t>Masters of Business Administration; Bachelor of Engineering, Metallurgical</w:t>
            </w:r>
            <w:r>
              <w:rPr>
                <w:sz w:val="18"/>
                <w:szCs w:val="18"/>
                <w:lang w:val="en-PH"/>
              </w:rPr>
              <w:t> </w:t>
            </w:r>
            <w:r w:rsidRPr="003A6D57">
              <w:rPr>
                <w:sz w:val="18"/>
                <w:szCs w:val="18"/>
                <w:lang w:val="en-PH"/>
              </w:rPr>
              <w:t>Engineering</w:t>
            </w:r>
          </w:p>
          <w:p w14:paraId="6496BBA4" w14:textId="77777777" w:rsidR="00342B8D" w:rsidRPr="00F42FB3" w:rsidRDefault="00342B8D" w:rsidP="00342B8D">
            <w:pPr>
              <w:pStyle w:val="Body-Financial"/>
              <w:spacing w:before="240"/>
              <w:rPr>
                <w:b/>
                <w:bCs/>
                <w:sz w:val="18"/>
                <w:szCs w:val="18"/>
              </w:rPr>
            </w:pPr>
            <w:r w:rsidRPr="00F42FB3">
              <w:rPr>
                <w:b/>
                <w:bCs/>
                <w:sz w:val="18"/>
                <w:szCs w:val="18"/>
              </w:rPr>
              <w:t>Experience of the accountable authority</w:t>
            </w:r>
          </w:p>
          <w:p w14:paraId="05A976A5" w14:textId="4BC39446" w:rsidR="00342B8D" w:rsidRPr="003A6D57" w:rsidRDefault="00342B8D" w:rsidP="00342B8D">
            <w:pPr>
              <w:spacing w:before="120" w:after="120"/>
              <w:rPr>
                <w:color w:val="1C1C1C"/>
                <w:sz w:val="18"/>
                <w:szCs w:val="18"/>
              </w:rPr>
            </w:pPr>
            <w:r w:rsidRPr="003A6D57">
              <w:rPr>
                <w:color w:val="1C1C1C"/>
                <w:sz w:val="18"/>
                <w:szCs w:val="18"/>
              </w:rPr>
              <w:t xml:space="preserve">Mr James Downie was appointed as </w:t>
            </w:r>
            <w:r>
              <w:rPr>
                <w:color w:val="1C1C1C"/>
                <w:sz w:val="18"/>
                <w:szCs w:val="18"/>
              </w:rPr>
              <w:t>C</w:t>
            </w:r>
            <w:r w:rsidRPr="003A6D57">
              <w:rPr>
                <w:color w:val="1C1C1C"/>
                <w:sz w:val="18"/>
                <w:szCs w:val="18"/>
              </w:rPr>
              <w:t xml:space="preserve">hief </w:t>
            </w:r>
            <w:r>
              <w:rPr>
                <w:color w:val="1C1C1C"/>
                <w:sz w:val="18"/>
                <w:szCs w:val="18"/>
              </w:rPr>
              <w:t>E</w:t>
            </w:r>
            <w:r w:rsidRPr="003A6D57">
              <w:rPr>
                <w:color w:val="1C1C1C"/>
                <w:sz w:val="18"/>
                <w:szCs w:val="18"/>
              </w:rPr>
              <w:t xml:space="preserve">xecutive </w:t>
            </w:r>
            <w:r>
              <w:rPr>
                <w:color w:val="1C1C1C"/>
                <w:sz w:val="18"/>
                <w:szCs w:val="18"/>
              </w:rPr>
              <w:t>O</w:t>
            </w:r>
            <w:r w:rsidRPr="003A6D57">
              <w:rPr>
                <w:color w:val="1C1C1C"/>
                <w:sz w:val="18"/>
                <w:szCs w:val="18"/>
              </w:rPr>
              <w:t>fficer of IHPA on 1 September 2016. Prior to this, James was Executive Director, Activity Based Funding, leading the teams responsible for delivering the classification, costing</w:t>
            </w:r>
            <w:r>
              <w:rPr>
                <w:color w:val="1C1C1C"/>
                <w:sz w:val="18"/>
                <w:szCs w:val="18"/>
              </w:rPr>
              <w:t> </w:t>
            </w:r>
            <w:r w:rsidRPr="003A6D57">
              <w:rPr>
                <w:color w:val="1C1C1C"/>
                <w:sz w:val="18"/>
                <w:szCs w:val="18"/>
              </w:rPr>
              <w:t>and pricing functions of IHPA as well as the data acquisition activities.</w:t>
            </w:r>
          </w:p>
          <w:p w14:paraId="51395947" w14:textId="77777777" w:rsidR="00342B8D" w:rsidRPr="003A6D57" w:rsidRDefault="00342B8D" w:rsidP="00342B8D">
            <w:pPr>
              <w:spacing w:before="120" w:after="120"/>
              <w:rPr>
                <w:color w:val="1C1C1C"/>
                <w:sz w:val="18"/>
                <w:szCs w:val="18"/>
              </w:rPr>
            </w:pPr>
            <w:r w:rsidRPr="003A6D57">
              <w:rPr>
                <w:color w:val="1C1C1C"/>
                <w:sz w:val="18"/>
                <w:szCs w:val="18"/>
              </w:rPr>
              <w:t>He previously held roles with the Victorian Department of Health and the Royal Children’s Hospital Melbourne, and various technical and operational roles in the resources industry.</w:t>
            </w:r>
          </w:p>
          <w:p w14:paraId="2022E19F" w14:textId="1799FAB9" w:rsidR="00342B8D" w:rsidRPr="003A6D57" w:rsidRDefault="00342B8D" w:rsidP="00342B8D">
            <w:pPr>
              <w:pStyle w:val="Body-Financial"/>
              <w:spacing w:before="80"/>
              <w:rPr>
                <w:sz w:val="18"/>
                <w:szCs w:val="18"/>
              </w:rPr>
            </w:pPr>
            <w:r w:rsidRPr="003A6D57">
              <w:rPr>
                <w:sz w:val="18"/>
                <w:szCs w:val="18"/>
              </w:rPr>
              <w:t xml:space="preserve">James resigned as IHPA </w:t>
            </w:r>
            <w:r>
              <w:rPr>
                <w:sz w:val="18"/>
                <w:szCs w:val="18"/>
              </w:rPr>
              <w:t>C</w:t>
            </w:r>
            <w:r w:rsidRPr="003A6D57">
              <w:rPr>
                <w:sz w:val="18"/>
                <w:szCs w:val="18"/>
              </w:rPr>
              <w:t xml:space="preserve">hief </w:t>
            </w:r>
            <w:r>
              <w:rPr>
                <w:sz w:val="18"/>
                <w:szCs w:val="18"/>
              </w:rPr>
              <w:t>E</w:t>
            </w:r>
            <w:r w:rsidRPr="003A6D57">
              <w:rPr>
                <w:sz w:val="18"/>
                <w:szCs w:val="18"/>
              </w:rPr>
              <w:t xml:space="preserve">xecutive </w:t>
            </w:r>
            <w:r>
              <w:rPr>
                <w:sz w:val="18"/>
                <w:szCs w:val="18"/>
              </w:rPr>
              <w:t>O</w:t>
            </w:r>
            <w:r w:rsidRPr="003A6D57">
              <w:rPr>
                <w:sz w:val="18"/>
                <w:szCs w:val="18"/>
              </w:rPr>
              <w:t>fficer effective 22 June 2022.</w:t>
            </w:r>
          </w:p>
          <w:p w14:paraId="7CC4F39A" w14:textId="31DD3042" w:rsidR="00E33A65" w:rsidRPr="00FF3C92" w:rsidRDefault="00E33A65" w:rsidP="00E33A65">
            <w:pPr>
              <w:pStyle w:val="Body-Financial"/>
              <w:spacing w:before="80"/>
              <w:rPr>
                <w:sz w:val="18"/>
                <w:szCs w:val="18"/>
              </w:rPr>
            </w:pPr>
          </w:p>
        </w:tc>
        <w:tc>
          <w:tcPr>
            <w:tcW w:w="2127" w:type="dxa"/>
            <w:tcBorders>
              <w:bottom w:val="single" w:sz="18" w:space="0" w:color="009AB8" w:themeColor="accent3"/>
            </w:tcBorders>
            <w:shd w:val="clear" w:color="auto" w:fill="auto"/>
          </w:tcPr>
          <w:p w14:paraId="3CAEABAE" w14:textId="77777777" w:rsidR="00342B8D" w:rsidRPr="00F42FB3" w:rsidRDefault="00342B8D" w:rsidP="00342B8D">
            <w:pPr>
              <w:pStyle w:val="Body-Financial"/>
              <w:spacing w:before="80"/>
              <w:rPr>
                <w:b/>
                <w:bCs/>
                <w:sz w:val="18"/>
                <w:szCs w:val="18"/>
              </w:rPr>
            </w:pPr>
            <w:r w:rsidRPr="00F42FB3">
              <w:rPr>
                <w:b/>
                <w:bCs/>
                <w:sz w:val="18"/>
                <w:szCs w:val="18"/>
              </w:rPr>
              <w:t>Date of commencement</w:t>
            </w:r>
          </w:p>
          <w:p w14:paraId="13FD12B9" w14:textId="77777777" w:rsidR="00342B8D" w:rsidRDefault="00342B8D" w:rsidP="00342B8D">
            <w:pPr>
              <w:pStyle w:val="Body-Financial"/>
              <w:spacing w:before="80"/>
              <w:rPr>
                <w:sz w:val="18"/>
                <w:szCs w:val="18"/>
              </w:rPr>
            </w:pPr>
            <w:r w:rsidRPr="00FF3C92">
              <w:rPr>
                <w:sz w:val="18"/>
                <w:szCs w:val="18"/>
              </w:rPr>
              <w:t>1 September 2016</w:t>
            </w:r>
          </w:p>
          <w:p w14:paraId="6EC3F4E2" w14:textId="77777777" w:rsidR="00342B8D" w:rsidRPr="00F42FB3" w:rsidRDefault="00342B8D" w:rsidP="00342B8D">
            <w:pPr>
              <w:pStyle w:val="Body-Financial"/>
              <w:spacing w:before="240"/>
              <w:rPr>
                <w:b/>
                <w:bCs/>
                <w:sz w:val="18"/>
                <w:szCs w:val="18"/>
              </w:rPr>
            </w:pPr>
            <w:r w:rsidRPr="00F42FB3">
              <w:rPr>
                <w:b/>
                <w:bCs/>
                <w:sz w:val="18"/>
                <w:szCs w:val="18"/>
              </w:rPr>
              <w:t>Date of cessation</w:t>
            </w:r>
          </w:p>
          <w:p w14:paraId="6E966C59" w14:textId="77777777" w:rsidR="00342B8D" w:rsidRDefault="00342B8D" w:rsidP="00342B8D">
            <w:pPr>
              <w:pStyle w:val="Body-Financial"/>
              <w:spacing w:before="80"/>
              <w:rPr>
                <w:sz w:val="18"/>
                <w:szCs w:val="18"/>
              </w:rPr>
            </w:pPr>
            <w:r w:rsidRPr="00FF3C92">
              <w:rPr>
                <w:sz w:val="18"/>
                <w:szCs w:val="18"/>
              </w:rPr>
              <w:t>22 June 2022</w:t>
            </w:r>
          </w:p>
          <w:p w14:paraId="1BC7820D" w14:textId="77777777" w:rsidR="00342B8D" w:rsidRPr="00F42FB3" w:rsidRDefault="00342B8D" w:rsidP="00342B8D">
            <w:pPr>
              <w:pStyle w:val="Body-Financial"/>
              <w:spacing w:before="240"/>
              <w:rPr>
                <w:b/>
                <w:bCs/>
                <w:sz w:val="18"/>
                <w:szCs w:val="18"/>
              </w:rPr>
            </w:pPr>
            <w:r w:rsidRPr="00F42FB3">
              <w:rPr>
                <w:b/>
                <w:bCs/>
                <w:sz w:val="18"/>
                <w:szCs w:val="18"/>
              </w:rPr>
              <w:t>Number of meetings of the board of the company</w:t>
            </w:r>
          </w:p>
          <w:p w14:paraId="2AC24DBD" w14:textId="4FD4FFF8" w:rsidR="00E33A65" w:rsidRPr="00FF3C92" w:rsidRDefault="00342B8D" w:rsidP="00342B8D">
            <w:pPr>
              <w:pStyle w:val="Body-Financial"/>
              <w:spacing w:before="80"/>
              <w:rPr>
                <w:sz w:val="18"/>
                <w:szCs w:val="18"/>
              </w:rPr>
            </w:pPr>
            <w:r>
              <w:rPr>
                <w:sz w:val="18"/>
                <w:szCs w:val="18"/>
              </w:rPr>
              <w:t>N/A</w:t>
            </w:r>
          </w:p>
        </w:tc>
      </w:tr>
      <w:bookmarkEnd w:id="69"/>
      <w:tr w:rsidR="00874BFC" w:rsidRPr="00207CF4" w14:paraId="6C8E72E1" w14:textId="77777777" w:rsidTr="00935030">
        <w:trPr>
          <w:cnfStyle w:val="000000100000" w:firstRow="0" w:lastRow="0" w:firstColumn="0" w:lastColumn="0" w:oddVBand="0" w:evenVBand="0" w:oddHBand="1" w:evenHBand="0" w:firstRowFirstColumn="0" w:firstRowLastColumn="0" w:lastRowFirstColumn="0" w:lastRowLastColumn="0"/>
          <w:trHeight w:val="340"/>
        </w:trPr>
        <w:tc>
          <w:tcPr>
            <w:tcW w:w="5670" w:type="dxa"/>
            <w:gridSpan w:val="2"/>
            <w:shd w:val="clear" w:color="auto" w:fill="BDF4FF" w:themeFill="accent3" w:themeFillTint="33"/>
            <w:vAlign w:val="center"/>
          </w:tcPr>
          <w:p w14:paraId="32A9D27B" w14:textId="06C9352E" w:rsidR="00874BFC" w:rsidRPr="00E33A65" w:rsidRDefault="00874BFC" w:rsidP="00B15944">
            <w:pPr>
              <w:pStyle w:val="Body-Financial"/>
              <w:spacing w:after="0"/>
              <w:rPr>
                <w:rFonts w:asciiTheme="majorHAnsi" w:hAnsiTheme="majorHAnsi"/>
                <w:sz w:val="18"/>
                <w:szCs w:val="18"/>
              </w:rPr>
            </w:pPr>
            <w:r>
              <w:rPr>
                <w:rFonts w:asciiTheme="majorHAnsi" w:hAnsiTheme="majorHAnsi"/>
                <w:sz w:val="18"/>
                <w:szCs w:val="18"/>
              </w:rPr>
              <w:t>M</w:t>
            </w:r>
            <w:r w:rsidR="00464AC0">
              <w:rPr>
                <w:rFonts w:asciiTheme="majorHAnsi" w:hAnsiTheme="majorHAnsi"/>
                <w:sz w:val="18"/>
                <w:szCs w:val="18"/>
              </w:rPr>
              <w:t>s</w:t>
            </w:r>
            <w:r>
              <w:rPr>
                <w:rFonts w:asciiTheme="majorHAnsi" w:hAnsiTheme="majorHAnsi"/>
                <w:sz w:val="18"/>
                <w:szCs w:val="18"/>
              </w:rPr>
              <w:t xml:space="preserve"> </w:t>
            </w:r>
            <w:r w:rsidRPr="00874BFC">
              <w:rPr>
                <w:rFonts w:asciiTheme="majorHAnsi" w:hAnsiTheme="majorHAnsi"/>
                <w:sz w:val="18"/>
                <w:szCs w:val="18"/>
              </w:rPr>
              <w:t>Joanne Fitzgerald</w:t>
            </w:r>
          </w:p>
        </w:tc>
        <w:tc>
          <w:tcPr>
            <w:tcW w:w="2127" w:type="dxa"/>
            <w:shd w:val="clear" w:color="auto" w:fill="BDF4FF" w:themeFill="accent3" w:themeFillTint="33"/>
            <w:vAlign w:val="center"/>
          </w:tcPr>
          <w:p w14:paraId="37FC7E85" w14:textId="77777777" w:rsidR="00874BFC" w:rsidRPr="00207CF4" w:rsidRDefault="00874BFC" w:rsidP="00B15944">
            <w:pPr>
              <w:pStyle w:val="Body-Financial"/>
              <w:spacing w:after="0"/>
              <w:rPr>
                <w:rFonts w:asciiTheme="majorHAnsi" w:hAnsiTheme="majorHAnsi"/>
                <w:sz w:val="18"/>
                <w:szCs w:val="18"/>
              </w:rPr>
            </w:pPr>
          </w:p>
        </w:tc>
      </w:tr>
      <w:tr w:rsidR="00874BFC" w:rsidRPr="00FF3C92" w14:paraId="47C5E0F8" w14:textId="77777777" w:rsidTr="00874BFC">
        <w:trPr>
          <w:cnfStyle w:val="000000010000" w:firstRow="0" w:lastRow="0" w:firstColumn="0" w:lastColumn="0" w:oddVBand="0" w:evenVBand="0" w:oddHBand="0" w:evenHBand="1" w:firstRowFirstColumn="0" w:firstRowLastColumn="0" w:lastRowFirstColumn="0" w:lastRowLastColumn="0"/>
          <w:trHeight w:val="446"/>
        </w:trPr>
        <w:tc>
          <w:tcPr>
            <w:tcW w:w="5670" w:type="dxa"/>
            <w:gridSpan w:val="2"/>
            <w:tcBorders>
              <w:bottom w:val="single" w:sz="18" w:space="0" w:color="009AB8" w:themeColor="accent3"/>
            </w:tcBorders>
            <w:shd w:val="clear" w:color="auto" w:fill="auto"/>
          </w:tcPr>
          <w:p w14:paraId="4BEB030A" w14:textId="77777777" w:rsidR="00342B8D" w:rsidRPr="006D72E5" w:rsidRDefault="00342B8D" w:rsidP="00342B8D">
            <w:pPr>
              <w:pStyle w:val="Body-Financial"/>
              <w:spacing w:before="80"/>
              <w:rPr>
                <w:b/>
                <w:bCs/>
                <w:sz w:val="18"/>
                <w:szCs w:val="18"/>
              </w:rPr>
            </w:pPr>
            <w:r w:rsidRPr="006D72E5">
              <w:rPr>
                <w:b/>
                <w:bCs/>
                <w:sz w:val="18"/>
                <w:szCs w:val="18"/>
              </w:rPr>
              <w:t>Position title</w:t>
            </w:r>
          </w:p>
          <w:p w14:paraId="11E0717D" w14:textId="77777777" w:rsidR="00342B8D" w:rsidRPr="006D72E5" w:rsidRDefault="00342B8D" w:rsidP="00342B8D">
            <w:pPr>
              <w:pStyle w:val="Body-Financial"/>
              <w:spacing w:before="80"/>
              <w:rPr>
                <w:sz w:val="18"/>
                <w:szCs w:val="18"/>
              </w:rPr>
            </w:pPr>
            <w:r w:rsidRPr="006D72E5">
              <w:rPr>
                <w:sz w:val="18"/>
                <w:szCs w:val="18"/>
              </w:rPr>
              <w:t>Acting Chief Executive Officer</w:t>
            </w:r>
          </w:p>
          <w:p w14:paraId="6A6E71EB" w14:textId="77777777" w:rsidR="00342B8D" w:rsidRPr="00F42FB3" w:rsidRDefault="00342B8D" w:rsidP="00342B8D">
            <w:pPr>
              <w:pStyle w:val="Body-Financial"/>
              <w:spacing w:before="80"/>
              <w:rPr>
                <w:b/>
                <w:bCs/>
                <w:sz w:val="18"/>
                <w:szCs w:val="18"/>
              </w:rPr>
            </w:pPr>
            <w:r w:rsidRPr="00F42FB3">
              <w:rPr>
                <w:b/>
                <w:bCs/>
                <w:sz w:val="18"/>
                <w:szCs w:val="18"/>
              </w:rPr>
              <w:t>Qualifications of the accountable authority</w:t>
            </w:r>
          </w:p>
          <w:p w14:paraId="2A153657" w14:textId="77777777" w:rsidR="00342B8D" w:rsidRDefault="00342B8D" w:rsidP="00342B8D">
            <w:pPr>
              <w:pStyle w:val="Body-Financial"/>
              <w:spacing w:before="80"/>
              <w:rPr>
                <w:sz w:val="18"/>
                <w:szCs w:val="18"/>
              </w:rPr>
            </w:pPr>
            <w:r w:rsidRPr="00874BFC">
              <w:rPr>
                <w:sz w:val="18"/>
                <w:szCs w:val="18"/>
              </w:rPr>
              <w:t>Degree in Bachelor of Applied Science (Health Information Management)</w:t>
            </w:r>
          </w:p>
          <w:p w14:paraId="0AD265A6" w14:textId="77777777" w:rsidR="00342B8D" w:rsidRPr="00F42FB3" w:rsidRDefault="00342B8D" w:rsidP="00342B8D">
            <w:pPr>
              <w:pStyle w:val="Body-Financial"/>
              <w:spacing w:before="240"/>
              <w:rPr>
                <w:b/>
                <w:bCs/>
                <w:sz w:val="18"/>
                <w:szCs w:val="18"/>
              </w:rPr>
            </w:pPr>
            <w:r w:rsidRPr="00F42FB3">
              <w:rPr>
                <w:b/>
                <w:bCs/>
                <w:sz w:val="18"/>
                <w:szCs w:val="18"/>
              </w:rPr>
              <w:t>Experience of the accountable authority</w:t>
            </w:r>
          </w:p>
          <w:p w14:paraId="44925411" w14:textId="2DDE960C" w:rsidR="00342B8D" w:rsidRPr="00FB59CC" w:rsidRDefault="006015C7" w:rsidP="00342B8D">
            <w:pPr>
              <w:spacing w:before="120" w:after="120"/>
              <w:rPr>
                <w:color w:val="1C1C1C"/>
                <w:sz w:val="18"/>
                <w:szCs w:val="18"/>
              </w:rPr>
            </w:pPr>
            <w:r>
              <w:rPr>
                <w:color w:val="1C1C1C"/>
                <w:sz w:val="18"/>
                <w:szCs w:val="18"/>
              </w:rPr>
              <w:t xml:space="preserve">Ms </w:t>
            </w:r>
            <w:r w:rsidR="00342B8D" w:rsidRPr="00FB59CC">
              <w:rPr>
                <w:color w:val="1C1C1C"/>
                <w:sz w:val="18"/>
                <w:szCs w:val="18"/>
              </w:rPr>
              <w:t>Joanne Fitzgerald has worked at IHPA since 2012, and currently holds the</w:t>
            </w:r>
            <w:r w:rsidR="00342B8D">
              <w:rPr>
                <w:color w:val="1C1C1C"/>
                <w:sz w:val="18"/>
                <w:szCs w:val="18"/>
              </w:rPr>
              <w:t> </w:t>
            </w:r>
            <w:r w:rsidR="00342B8D" w:rsidRPr="00FB59CC">
              <w:rPr>
                <w:color w:val="1C1C1C"/>
                <w:sz w:val="18"/>
                <w:szCs w:val="18"/>
              </w:rPr>
              <w:t xml:space="preserve">position of </w:t>
            </w:r>
            <w:r w:rsidR="00B17D0D" w:rsidRPr="00B17D0D">
              <w:rPr>
                <w:color w:val="1C1C1C"/>
                <w:sz w:val="18"/>
                <w:szCs w:val="18"/>
              </w:rPr>
              <w:t>Acting Chief Executive Officer</w:t>
            </w:r>
            <w:r w:rsidR="00342B8D" w:rsidRPr="00FB59CC">
              <w:rPr>
                <w:color w:val="1C1C1C"/>
                <w:sz w:val="18"/>
                <w:szCs w:val="18"/>
              </w:rPr>
              <w:t xml:space="preserve">. Prior to this, </w:t>
            </w:r>
            <w:r w:rsidR="005F65A6" w:rsidRPr="005F65A6">
              <w:rPr>
                <w:color w:val="1C1C1C"/>
                <w:sz w:val="18"/>
                <w:szCs w:val="18"/>
              </w:rPr>
              <w:t>she was Executive Director, Policy and Classification, and earlier Director, AR-DRG Development</w:t>
            </w:r>
            <w:r w:rsidR="005F65A6">
              <w:rPr>
                <w:color w:val="1C1C1C"/>
                <w:sz w:val="18"/>
                <w:szCs w:val="18"/>
              </w:rPr>
              <w:t xml:space="preserve"> </w:t>
            </w:r>
            <w:r w:rsidR="00342B8D" w:rsidRPr="00FB59CC">
              <w:rPr>
                <w:color w:val="1C1C1C"/>
                <w:sz w:val="18"/>
                <w:szCs w:val="18"/>
              </w:rPr>
              <w:t>and was responsible for developing and</w:t>
            </w:r>
            <w:r w:rsidR="00342B8D">
              <w:rPr>
                <w:color w:val="1C1C1C"/>
                <w:sz w:val="18"/>
                <w:szCs w:val="18"/>
              </w:rPr>
              <w:t> </w:t>
            </w:r>
            <w:r w:rsidR="00342B8D" w:rsidRPr="00FB59CC">
              <w:rPr>
                <w:color w:val="1C1C1C"/>
                <w:sz w:val="18"/>
                <w:szCs w:val="18"/>
              </w:rPr>
              <w:t>managing the Australian Refined Diagnosis Related Groups classification</w:t>
            </w:r>
            <w:r w:rsidR="00342B8D">
              <w:rPr>
                <w:color w:val="1C1C1C"/>
                <w:sz w:val="18"/>
                <w:szCs w:val="18"/>
              </w:rPr>
              <w:t> </w:t>
            </w:r>
            <w:r w:rsidR="00342B8D" w:rsidRPr="00FB59CC">
              <w:rPr>
                <w:color w:val="1C1C1C"/>
                <w:sz w:val="18"/>
                <w:szCs w:val="18"/>
              </w:rPr>
              <w:t>system.</w:t>
            </w:r>
          </w:p>
          <w:p w14:paraId="119EAD7C" w14:textId="3CAFE3F2" w:rsidR="00874BFC" w:rsidRPr="00FF3C92" w:rsidRDefault="00342B8D" w:rsidP="00342B8D">
            <w:pPr>
              <w:pStyle w:val="Body-Financial"/>
              <w:spacing w:before="80"/>
              <w:rPr>
                <w:sz w:val="18"/>
                <w:szCs w:val="18"/>
              </w:rPr>
            </w:pPr>
            <w:r w:rsidRPr="00FB59CC">
              <w:rPr>
                <w:sz w:val="18"/>
                <w:szCs w:val="18"/>
              </w:rPr>
              <w:t>Joanne has more than 15 years’ experience as a health information manager working with health classifications in both the public and private health sector. Joanne has worked as a clinical coder, manager of medical record departments and at the NSW Ministry of Health.</w:t>
            </w:r>
          </w:p>
        </w:tc>
        <w:tc>
          <w:tcPr>
            <w:tcW w:w="2127" w:type="dxa"/>
            <w:tcBorders>
              <w:bottom w:val="single" w:sz="18" w:space="0" w:color="009AB8" w:themeColor="accent3"/>
            </w:tcBorders>
            <w:shd w:val="clear" w:color="auto" w:fill="auto"/>
          </w:tcPr>
          <w:p w14:paraId="1623B742" w14:textId="77777777" w:rsidR="00342B8D" w:rsidRPr="00F42FB3" w:rsidRDefault="00342B8D" w:rsidP="00342B8D">
            <w:pPr>
              <w:pStyle w:val="Body-Financial"/>
              <w:spacing w:before="80"/>
              <w:rPr>
                <w:b/>
                <w:bCs/>
                <w:sz w:val="18"/>
                <w:szCs w:val="18"/>
              </w:rPr>
            </w:pPr>
            <w:r w:rsidRPr="00F42FB3">
              <w:rPr>
                <w:b/>
                <w:bCs/>
                <w:sz w:val="18"/>
                <w:szCs w:val="18"/>
              </w:rPr>
              <w:t>Date of commencement</w:t>
            </w:r>
          </w:p>
          <w:p w14:paraId="733A105A" w14:textId="77777777" w:rsidR="00342B8D" w:rsidRDefault="00342B8D" w:rsidP="00342B8D">
            <w:pPr>
              <w:pStyle w:val="Body-Financial"/>
              <w:spacing w:before="80"/>
              <w:rPr>
                <w:sz w:val="18"/>
                <w:szCs w:val="18"/>
              </w:rPr>
            </w:pPr>
            <w:r w:rsidRPr="00874BFC">
              <w:rPr>
                <w:sz w:val="18"/>
                <w:szCs w:val="18"/>
              </w:rPr>
              <w:t>23 June 2022</w:t>
            </w:r>
          </w:p>
          <w:p w14:paraId="15924170" w14:textId="77777777" w:rsidR="00342B8D" w:rsidRPr="00F42FB3" w:rsidRDefault="00342B8D" w:rsidP="00342B8D">
            <w:pPr>
              <w:pStyle w:val="Body-Financial"/>
              <w:spacing w:before="240"/>
              <w:rPr>
                <w:b/>
                <w:bCs/>
                <w:sz w:val="18"/>
                <w:szCs w:val="18"/>
              </w:rPr>
            </w:pPr>
            <w:r w:rsidRPr="00F42FB3">
              <w:rPr>
                <w:b/>
                <w:bCs/>
                <w:sz w:val="18"/>
                <w:szCs w:val="18"/>
              </w:rPr>
              <w:t>Date of cessation</w:t>
            </w:r>
          </w:p>
          <w:p w14:paraId="26E5192A" w14:textId="5E10EFC2" w:rsidR="00342B8D" w:rsidRDefault="00FE1E88" w:rsidP="00342B8D">
            <w:pPr>
              <w:pStyle w:val="Body-Financial"/>
              <w:spacing w:before="80"/>
              <w:rPr>
                <w:sz w:val="18"/>
                <w:szCs w:val="18"/>
              </w:rPr>
            </w:pPr>
            <w:bookmarkStart w:id="70" w:name="_Hlk114560672"/>
            <w:r>
              <w:rPr>
                <w:sz w:val="18"/>
                <w:szCs w:val="18"/>
              </w:rPr>
              <w:t>20 October 2022</w:t>
            </w:r>
          </w:p>
          <w:bookmarkEnd w:id="70"/>
          <w:p w14:paraId="3E0331EE" w14:textId="77777777" w:rsidR="00342B8D" w:rsidRPr="00F42FB3" w:rsidRDefault="00342B8D" w:rsidP="00342B8D">
            <w:pPr>
              <w:pStyle w:val="Body-Financial"/>
              <w:spacing w:before="240"/>
              <w:rPr>
                <w:b/>
                <w:bCs/>
                <w:sz w:val="18"/>
                <w:szCs w:val="18"/>
              </w:rPr>
            </w:pPr>
            <w:r w:rsidRPr="00F42FB3">
              <w:rPr>
                <w:b/>
                <w:bCs/>
                <w:sz w:val="18"/>
                <w:szCs w:val="18"/>
              </w:rPr>
              <w:t>Number of meetings of the board of the company</w:t>
            </w:r>
          </w:p>
          <w:p w14:paraId="2EF6A933" w14:textId="1B9F50DA" w:rsidR="00874BFC" w:rsidRPr="00FF3C92" w:rsidRDefault="00342B8D" w:rsidP="00342B8D">
            <w:pPr>
              <w:pStyle w:val="Body-Financial"/>
              <w:spacing w:before="80"/>
              <w:rPr>
                <w:sz w:val="18"/>
                <w:szCs w:val="18"/>
              </w:rPr>
            </w:pPr>
            <w:r>
              <w:rPr>
                <w:sz w:val="18"/>
                <w:szCs w:val="18"/>
              </w:rPr>
              <w:t>N/A</w:t>
            </w:r>
          </w:p>
        </w:tc>
      </w:tr>
    </w:tbl>
    <w:p w14:paraId="298CA181" w14:textId="77777777" w:rsidR="00935030" w:rsidRDefault="00935030" w:rsidP="00935030">
      <w:pPr>
        <w:pStyle w:val="Body"/>
      </w:pPr>
    </w:p>
    <w:p w14:paraId="467CF799" w14:textId="43337E9A" w:rsidR="00935030" w:rsidRPr="00935030" w:rsidRDefault="00935030" w:rsidP="00935030">
      <w:pPr>
        <w:pStyle w:val="Body"/>
        <w:sectPr w:rsidR="00935030" w:rsidRPr="00935030" w:rsidSect="002825B4">
          <w:footerReference w:type="default" r:id="rId152"/>
          <w:pgSz w:w="9979" w:h="14175"/>
          <w:pgMar w:top="1418" w:right="1134" w:bottom="1134" w:left="1134" w:header="709" w:footer="709" w:gutter="0"/>
          <w:cols w:space="708"/>
          <w:docGrid w:linePitch="360"/>
        </w:sectPr>
      </w:pPr>
    </w:p>
    <w:p w14:paraId="5566F8AD" w14:textId="41DC6AF5" w:rsidR="00EE4C4B" w:rsidRDefault="00FB59CC" w:rsidP="00935030">
      <w:pPr>
        <w:pStyle w:val="Heading1"/>
        <w:spacing w:after="360"/>
        <w:rPr>
          <w:color w:val="009AB8" w:themeColor="accent3"/>
        </w:rPr>
      </w:pPr>
      <w:bookmarkStart w:id="71" w:name="_Toc114824436"/>
      <w:r>
        <w:rPr>
          <w:color w:val="009AB8" w:themeColor="accent3"/>
        </w:rPr>
        <w:t xml:space="preserve">5.4 </w:t>
      </w:r>
      <w:r w:rsidR="00EE4C4B">
        <w:rPr>
          <w:color w:val="009AB8" w:themeColor="accent3"/>
        </w:rPr>
        <w:t>Committees and working groups</w:t>
      </w:r>
      <w:bookmarkEnd w:id="71"/>
    </w:p>
    <w:p w14:paraId="7F124FD2" w14:textId="77777777" w:rsidR="00EE4C4B" w:rsidRDefault="00EE4C4B" w:rsidP="000431F3">
      <w:pPr>
        <w:pStyle w:val="Body"/>
        <w:sectPr w:rsidR="00EE4C4B" w:rsidSect="002825B4">
          <w:footerReference w:type="default" r:id="rId153"/>
          <w:pgSz w:w="9979" w:h="14175"/>
          <w:pgMar w:top="1418" w:right="1134" w:bottom="1134" w:left="1134" w:header="709" w:footer="709" w:gutter="0"/>
          <w:cols w:space="708"/>
          <w:docGrid w:linePitch="360"/>
        </w:sectPr>
      </w:pPr>
    </w:p>
    <w:p w14:paraId="052F9F6C" w14:textId="77777777" w:rsidR="00194DB1" w:rsidRDefault="00194DB1" w:rsidP="00194DB1">
      <w:pPr>
        <w:pStyle w:val="Body"/>
      </w:pPr>
      <w:r>
        <w:t>The Independent Hospital Pricing Authority (IHPA) has developed a comprehensive committee framework to assist in providing IHPA with expert advice and to ensure transparency in the delivery of its work program.</w:t>
      </w:r>
    </w:p>
    <w:p w14:paraId="74987271" w14:textId="77777777" w:rsidR="004E5581" w:rsidRDefault="004E5581" w:rsidP="004E5581">
      <w:pPr>
        <w:pStyle w:val="Body"/>
      </w:pPr>
      <w:r>
        <w:t xml:space="preserve">IHPA’s statutory committees comprise of the Clinical Advisory Committee and the Jurisdictional Advisory Committee, established under Parts 4.10 and 4.11 of the </w:t>
      </w:r>
      <w:r w:rsidRPr="00FB59CC">
        <w:rPr>
          <w:i/>
          <w:iCs/>
        </w:rPr>
        <w:t>National Health Reform Act 2011</w:t>
      </w:r>
      <w:r>
        <w:t xml:space="preserve"> (NHR Act) respectively.</w:t>
      </w:r>
    </w:p>
    <w:p w14:paraId="176B433A" w14:textId="77777777" w:rsidR="004E5581" w:rsidRDefault="004E5581" w:rsidP="004E5581">
      <w:pPr>
        <w:pStyle w:val="Body"/>
      </w:pPr>
      <w:r>
        <w:t>Other advisory committees and working groups have been established to assist IHPA in the delivery of its work program, pursuant to Part 4.12 of the NHR Act. These include:</w:t>
      </w:r>
    </w:p>
    <w:p w14:paraId="08FECA63" w14:textId="77777777" w:rsidR="004E5581" w:rsidRDefault="004E5581" w:rsidP="004E5581">
      <w:pPr>
        <w:pStyle w:val="Bullets"/>
      </w:pPr>
      <w:r>
        <w:t>Activity Based Funding Technical Advisory Committee</w:t>
      </w:r>
    </w:p>
    <w:p w14:paraId="31A6E1ED" w14:textId="77777777" w:rsidR="004E5581" w:rsidRDefault="004E5581" w:rsidP="004E5581">
      <w:pPr>
        <w:pStyle w:val="Bullets"/>
      </w:pPr>
      <w:r>
        <w:t>Audit, Risk and Compliance Committee (internal)</w:t>
      </w:r>
    </w:p>
    <w:p w14:paraId="6A361025" w14:textId="77777777" w:rsidR="004E5581" w:rsidRDefault="004E5581" w:rsidP="004E5581">
      <w:pPr>
        <w:pStyle w:val="Bullets"/>
      </w:pPr>
      <w:r>
        <w:t>Classifications Clinical Advisory Group</w:t>
      </w:r>
    </w:p>
    <w:p w14:paraId="37164D7C" w14:textId="77777777" w:rsidR="004E5581" w:rsidRDefault="004E5581" w:rsidP="004E5581">
      <w:pPr>
        <w:pStyle w:val="Bullets"/>
      </w:pPr>
      <w:r>
        <w:t>Data Governance Steering Committee (internal)</w:t>
      </w:r>
    </w:p>
    <w:p w14:paraId="6DA7530E" w14:textId="77777777" w:rsidR="004E5581" w:rsidRDefault="004E5581" w:rsidP="004E5581">
      <w:pPr>
        <w:pStyle w:val="Bullets"/>
      </w:pPr>
      <w:r>
        <w:t>Diagnosis Related Groups Technical Group</w:t>
      </w:r>
    </w:p>
    <w:p w14:paraId="472A2517" w14:textId="77777777" w:rsidR="004E5581" w:rsidRDefault="004E5581" w:rsidP="004E5581">
      <w:pPr>
        <w:pStyle w:val="Bullets"/>
      </w:pPr>
      <w:r>
        <w:t>Emergency Care Advisory Working Group</w:t>
      </w:r>
    </w:p>
    <w:p w14:paraId="36DDB780" w14:textId="77777777" w:rsidR="004E5581" w:rsidRDefault="004E5581" w:rsidP="004E5581">
      <w:pPr>
        <w:pStyle w:val="Bullets"/>
      </w:pPr>
      <w:r>
        <w:t>International Classification of Diseases Technical Group</w:t>
      </w:r>
    </w:p>
    <w:p w14:paraId="72D582A9" w14:textId="77777777" w:rsidR="004E5581" w:rsidRDefault="004E5581" w:rsidP="004E5581">
      <w:pPr>
        <w:pStyle w:val="Bullets"/>
      </w:pPr>
      <w:r>
        <w:t>Mental Health Working Group</w:t>
      </w:r>
    </w:p>
    <w:p w14:paraId="04029372" w14:textId="77777777" w:rsidR="004E5581" w:rsidRDefault="004E5581" w:rsidP="004E5581">
      <w:pPr>
        <w:pStyle w:val="Bullets"/>
      </w:pPr>
      <w:r>
        <w:t>National Hospital Cost Data Collection Advisory Committee</w:t>
      </w:r>
    </w:p>
    <w:p w14:paraId="14D38E85" w14:textId="77777777" w:rsidR="004E5581" w:rsidRDefault="004E5581" w:rsidP="004E5581">
      <w:pPr>
        <w:pStyle w:val="Bullets"/>
      </w:pPr>
      <w:r>
        <w:t>Non-Admitted Care Advisory Working Group</w:t>
      </w:r>
    </w:p>
    <w:p w14:paraId="130F4FD9" w14:textId="77777777" w:rsidR="004E5581" w:rsidRDefault="004E5581" w:rsidP="004E5581">
      <w:pPr>
        <w:pStyle w:val="Bullets"/>
      </w:pPr>
      <w:r>
        <w:t>Private Sector National Hospital Cost Data Collection Working Group</w:t>
      </w:r>
    </w:p>
    <w:p w14:paraId="4D76EEE7" w14:textId="77777777" w:rsidR="004E5581" w:rsidRDefault="004E5581" w:rsidP="004E5581">
      <w:pPr>
        <w:pStyle w:val="Bullets"/>
      </w:pPr>
      <w:r>
        <w:t>Small Rural Hospitals Working Group</w:t>
      </w:r>
    </w:p>
    <w:p w14:paraId="66B80129" w14:textId="77777777" w:rsidR="004E5581" w:rsidRDefault="004E5581" w:rsidP="004E5581">
      <w:pPr>
        <w:pStyle w:val="Bullets"/>
      </w:pPr>
      <w:r>
        <w:t>Stakeholder Advisory Committee</w:t>
      </w:r>
    </w:p>
    <w:p w14:paraId="3C117BA7" w14:textId="77777777" w:rsidR="004E5581" w:rsidRDefault="004E5581" w:rsidP="004E5581">
      <w:pPr>
        <w:pStyle w:val="Bullets"/>
      </w:pPr>
      <w:r>
        <w:t>Subacute Care Working Group</w:t>
      </w:r>
    </w:p>
    <w:p w14:paraId="05C195E1" w14:textId="77777777" w:rsidR="004E5581" w:rsidRDefault="004E5581" w:rsidP="004E5581">
      <w:pPr>
        <w:pStyle w:val="Bullets"/>
      </w:pPr>
      <w:r>
        <w:t>Teaching, Training and Research Working Group</w:t>
      </w:r>
    </w:p>
    <w:p w14:paraId="6E9F94E7" w14:textId="77777777" w:rsidR="004E5581" w:rsidRDefault="004E5581" w:rsidP="004E5581">
      <w:pPr>
        <w:pStyle w:val="Bullets"/>
      </w:pPr>
      <w:r>
        <w:t>Work Health and Safety Committee (internal).</w:t>
      </w:r>
    </w:p>
    <w:p w14:paraId="7FD0BCAD" w14:textId="3541C89F" w:rsidR="00874BFC" w:rsidRDefault="00194DB1" w:rsidP="000431F3">
      <w:pPr>
        <w:pStyle w:val="Body"/>
      </w:pPr>
      <w:r w:rsidRPr="00194DB1">
        <w:t>Committees and working groups are structured in a way that enhances IHPA’s statutory functions. Some committees and working groups may also have sub-committees to assist in the delivery of IHPA’s work program. All committees and working groups have Terms of Reference setting out their role, function, membership and reporting relationship, which are regularly updated.</w:t>
      </w:r>
    </w:p>
    <w:p w14:paraId="73E14887" w14:textId="77777777" w:rsidR="002825B4" w:rsidRDefault="002825B4" w:rsidP="000431F3">
      <w:pPr>
        <w:pStyle w:val="Body"/>
        <w:sectPr w:rsidR="002825B4" w:rsidSect="00EE4C4B">
          <w:type w:val="continuous"/>
          <w:pgSz w:w="9979" w:h="14175"/>
          <w:pgMar w:top="1418" w:right="1134" w:bottom="1134" w:left="1134" w:header="709" w:footer="709" w:gutter="0"/>
          <w:cols w:num="2" w:space="708"/>
          <w:docGrid w:linePitch="360"/>
        </w:sectPr>
      </w:pPr>
    </w:p>
    <w:p w14:paraId="1144F128" w14:textId="7EC8B34C" w:rsidR="002825B4" w:rsidRDefault="00DB1D32" w:rsidP="001E3BED">
      <w:pPr>
        <w:pStyle w:val="FigureHeading"/>
        <w:spacing w:after="360"/>
      </w:pPr>
      <w:bookmarkStart w:id="72" w:name="_Toc114824664"/>
      <w:r>
        <w:t xml:space="preserve">Figure </w:t>
      </w:r>
      <w:r w:rsidR="003A54D5">
        <w:t>7</w:t>
      </w:r>
      <w:r>
        <w:t xml:space="preserve">: </w:t>
      </w:r>
      <w:r w:rsidRPr="00DB1D32">
        <w:t>IHPA’s management, committees and working groups</w:t>
      </w:r>
      <w:bookmarkEnd w:id="72"/>
    </w:p>
    <w:p w14:paraId="1DA3E065" w14:textId="05B71042" w:rsidR="00DB1D32" w:rsidRDefault="001E3BED" w:rsidP="000431F3">
      <w:pPr>
        <w:pStyle w:val="Body"/>
      </w:pPr>
      <w:r>
        <w:rPr>
          <w:noProof/>
        </w:rPr>
        <w:drawing>
          <wp:inline distT="0" distB="0" distL="0" distR="0" wp14:anchorId="39DA7BA2" wp14:editId="53534BF9">
            <wp:extent cx="4536133" cy="5676265"/>
            <wp:effectExtent l="0" t="0" r="0" b="635"/>
            <wp:docPr id="27" name="Picture 27" descr="The Clinical Advisory Committee (a statutory committee) reports to the Pricing Authority. The Chief Executive Officer reports to the Pricing Authority. The Audit Risk and Compliance Committee (a management committee) reports to the Chief Executive Officer. The Executive Committee (an internal management committee) reports to the Chief Executive Officer. &#10;&#10;The following report to the Executive Committee:&#10;Work Health and Safety Committee (internal), Data Governance Steering Committee (internal), Jurisdictional Advisory Committee (a statutory committee), NHCDC Advisory Committee (an advisory committee) and the Stakeholder Advisory Committee (an advisory committee). &#10;&#10;The following report to the Jurisdictional Advisory Committee (a statutory committee): Activity Based Funding Technical Advisory Committee (an advisory committee), and these working groups: Classifications Clinical Advisory Group, Diagnosis Related Groups Technical Group; Emergency Care Advisory Working Group, International Classification of Diseases Technical Group, Mental Health Working Group, Non-Admitted Care Advisory Working Group, Private Sector National Hospital Cost Data Collection Working Group,&#10;Small Rural Hospitals Working Group; Subacute Care Working Group, Teaching, Training, Training nd Research Working Gro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he Clinical Advisory Committee (a statutory committee) reports to the Pricing Authority. The Chief Executive Officer reports to the Pricing Authority. The Audit Risk and Compliance Committee (a management committee) reports to the Chief Executive Officer. The Executive Committee (an internal management committee) reports to the Chief Executive Officer. &#10;&#10;The following report to the Executive Committee:&#10;Work Health and Safety Committee (internal), Data Governance Steering Committee (internal), Jurisdictional Advisory Committee (a statutory committee), NHCDC Advisory Committee (an advisory committee) and the Stakeholder Advisory Committee (an advisory committee). &#10;&#10;The following report to the Jurisdictional Advisory Committee (a statutory committee): Activity Based Funding Technical Advisory Committee (an advisory committee), and these working groups: Classifications Clinical Advisory Group, Diagnosis Related Groups Technical Group; Emergency Care Advisory Working Group, International Classification of Diseases Technical Group, Mental Health Working Group, Non-Admitted Care Advisory Working Group, Private Sector National Hospital Cost Data Collection Working Group,&#10;Small Rural Hospitals Working Group; Subacute Care Working Group, Teaching, Training, Training nd Research Working Group.&#10;"/>
                    <pic:cNvPicPr>
                      <a:picLocks noChangeAspect="1" noChangeArrowheads="1"/>
                    </pic:cNvPicPr>
                  </pic:nvPicPr>
                  <pic:blipFill>
                    <a:blip r:embed="rId154"/>
                    <a:stretch>
                      <a:fillRect/>
                    </a:stretch>
                  </pic:blipFill>
                  <pic:spPr bwMode="auto">
                    <a:xfrm>
                      <a:off x="0" y="0"/>
                      <a:ext cx="4536133" cy="5676265"/>
                    </a:xfrm>
                    <a:prstGeom prst="rect">
                      <a:avLst/>
                    </a:prstGeom>
                  </pic:spPr>
                </pic:pic>
              </a:graphicData>
            </a:graphic>
          </wp:inline>
        </w:drawing>
      </w:r>
    </w:p>
    <w:p w14:paraId="2793D2E6" w14:textId="77777777" w:rsidR="00935030" w:rsidRDefault="00935030" w:rsidP="000431F3">
      <w:pPr>
        <w:pStyle w:val="Body"/>
      </w:pPr>
    </w:p>
    <w:p w14:paraId="743CBD8E" w14:textId="77777777" w:rsidR="00935030" w:rsidRDefault="00935030" w:rsidP="000431F3">
      <w:pPr>
        <w:pStyle w:val="Body"/>
        <w:sectPr w:rsidR="00935030" w:rsidSect="00141D0D">
          <w:footerReference w:type="default" r:id="rId155"/>
          <w:pgSz w:w="9979" w:h="14175"/>
          <w:pgMar w:top="1418" w:right="1134" w:bottom="1134" w:left="1134" w:header="709" w:footer="709" w:gutter="0"/>
          <w:cols w:space="708"/>
          <w:docGrid w:linePitch="360"/>
        </w:sectPr>
      </w:pPr>
    </w:p>
    <w:p w14:paraId="41E339A6" w14:textId="77777777" w:rsidR="00E32618" w:rsidRPr="001C02D5" w:rsidRDefault="00E32618" w:rsidP="00E32618">
      <w:pPr>
        <w:pStyle w:val="H3"/>
        <w:spacing w:before="0"/>
        <w:rPr>
          <w:color w:val="009AB8" w:themeColor="accent3"/>
        </w:rPr>
      </w:pPr>
      <w:r w:rsidRPr="001C02D5">
        <w:rPr>
          <w:color w:val="009AB8" w:themeColor="accent3"/>
        </w:rPr>
        <w:t>Clinical Advisory Committee</w:t>
      </w:r>
    </w:p>
    <w:p w14:paraId="45277BF5" w14:textId="77777777" w:rsidR="00E32618" w:rsidRPr="00B8058C" w:rsidRDefault="00E32618" w:rsidP="00E32618">
      <w:pPr>
        <w:pStyle w:val="Body"/>
        <w:rPr>
          <w:b/>
          <w:bCs/>
        </w:rPr>
      </w:pPr>
      <w:r w:rsidRPr="00B8058C">
        <w:rPr>
          <w:b/>
          <w:bCs/>
        </w:rPr>
        <w:t xml:space="preserve">The Clinical Advisory Committee was established under section 176 of the NHR Act. </w:t>
      </w:r>
    </w:p>
    <w:p w14:paraId="2E768CA6" w14:textId="77777777" w:rsidR="00194DB1" w:rsidRPr="006D72E5" w:rsidRDefault="00194DB1" w:rsidP="00194DB1">
      <w:pPr>
        <w:pStyle w:val="Body"/>
      </w:pPr>
      <w:r w:rsidRPr="006D72E5">
        <w:t xml:space="preserve">Clinical Advisory Committee members provide high-level technical and clinical advice to the Pricing Authority on a range of issues, such as activity based funding, classification development and policy development to inform the annual determination of the </w:t>
      </w:r>
      <w:r>
        <w:t>n</w:t>
      </w:r>
      <w:r w:rsidRPr="006D72E5">
        <w:t xml:space="preserve">ational </w:t>
      </w:r>
      <w:r>
        <w:t>e</w:t>
      </w:r>
      <w:r w:rsidRPr="006D72E5">
        <w:t xml:space="preserve">fficient </w:t>
      </w:r>
      <w:r>
        <w:t>p</w:t>
      </w:r>
      <w:r w:rsidRPr="006D72E5">
        <w:t xml:space="preserve">rice and </w:t>
      </w:r>
      <w:r>
        <w:t>n</w:t>
      </w:r>
      <w:r w:rsidRPr="006D72E5">
        <w:t xml:space="preserve">ational </w:t>
      </w:r>
      <w:r>
        <w:t>e</w:t>
      </w:r>
      <w:r w:rsidRPr="006D72E5">
        <w:t xml:space="preserve">fficient </w:t>
      </w:r>
      <w:r>
        <w:t>c</w:t>
      </w:r>
      <w:r w:rsidRPr="006D72E5">
        <w:t>ost.</w:t>
      </w:r>
    </w:p>
    <w:p w14:paraId="14FE7EFE" w14:textId="77777777" w:rsidR="00194DB1" w:rsidRPr="006D72E5" w:rsidRDefault="00194DB1" w:rsidP="00194DB1">
      <w:pPr>
        <w:pStyle w:val="Body"/>
      </w:pPr>
      <w:r w:rsidRPr="006D72E5">
        <w:t>As at 30 June 2022, the Clinical Advisory Committee consisted of 19 members.</w:t>
      </w:r>
    </w:p>
    <w:p w14:paraId="025AA314" w14:textId="43548D64" w:rsidR="00194DB1" w:rsidRPr="006D72E5" w:rsidRDefault="00194DB1" w:rsidP="00194DB1">
      <w:pPr>
        <w:pStyle w:val="Body"/>
      </w:pPr>
      <w:r w:rsidRPr="006D72E5">
        <w:t>The Clinical Advisory Committee is a statutory committee established under Part 4.10 of the NHR</w:t>
      </w:r>
      <w:r w:rsidR="00874736">
        <w:t> </w:t>
      </w:r>
      <w:r w:rsidRPr="006D72E5">
        <w:t>Act.</w:t>
      </w:r>
    </w:p>
    <w:p w14:paraId="4FCDCB01" w14:textId="77777777" w:rsidR="00E32618" w:rsidRDefault="00E32618" w:rsidP="00E32618">
      <w:pPr>
        <w:pStyle w:val="Body"/>
      </w:pPr>
      <w:r>
        <w:t>The functions of the committee are described in section177:</w:t>
      </w:r>
    </w:p>
    <w:p w14:paraId="24F1B743" w14:textId="77777777" w:rsidR="00E32618" w:rsidRDefault="00E32618" w:rsidP="00E32618">
      <w:pPr>
        <w:pStyle w:val="Bullets"/>
      </w:pPr>
      <w:r>
        <w:t>to advise the Pricing Authority in relation to developing and specifying classification systems for health care and other services provided by public hospitals</w:t>
      </w:r>
    </w:p>
    <w:p w14:paraId="68104D45" w14:textId="77777777" w:rsidR="00E32618" w:rsidRDefault="00E32618" w:rsidP="00E32618">
      <w:pPr>
        <w:pStyle w:val="Bullets"/>
      </w:pPr>
      <w:r>
        <w:t>to advise the Pricing Authority in relation to matters that:</w:t>
      </w:r>
    </w:p>
    <w:p w14:paraId="5471384A" w14:textId="77777777" w:rsidR="00E32618" w:rsidRDefault="00E32618" w:rsidP="00E32618">
      <w:pPr>
        <w:pStyle w:val="BulletsL2"/>
      </w:pPr>
      <w:r>
        <w:t>relate to the functions of the Pricing Authority</w:t>
      </w:r>
    </w:p>
    <w:p w14:paraId="16896220" w14:textId="77777777" w:rsidR="00E32618" w:rsidRDefault="00E32618" w:rsidP="00E32618">
      <w:pPr>
        <w:pStyle w:val="BulletsL2"/>
      </w:pPr>
      <w:r>
        <w:t>are referred to the Clinical Advisory Committee by the Pricing Authority</w:t>
      </w:r>
    </w:p>
    <w:p w14:paraId="2F86270A" w14:textId="77777777" w:rsidR="00E32618" w:rsidRDefault="00E32618" w:rsidP="00E32618">
      <w:pPr>
        <w:pStyle w:val="Bullets"/>
      </w:pPr>
      <w:r>
        <w:t>to do anything incidental to, or conducive to, the performance of the above functions.</w:t>
      </w:r>
    </w:p>
    <w:p w14:paraId="48947410" w14:textId="77777777" w:rsidR="00E32618" w:rsidRDefault="00E32618" w:rsidP="00E32618">
      <w:pPr>
        <w:pStyle w:val="Body"/>
      </w:pPr>
      <w:r w:rsidRPr="00AC2CC1">
        <w:t>The Clinical Advisory Committee is required to report on its work annually. The details of the committee’s membership and meetings sits within this annual report.</w:t>
      </w:r>
    </w:p>
    <w:p w14:paraId="4AC717EC" w14:textId="77777777" w:rsidR="00E32618" w:rsidRDefault="001C02D5" w:rsidP="00E32618">
      <w:pPr>
        <w:pStyle w:val="H4"/>
      </w:pPr>
      <w:r>
        <w:br w:type="column"/>
      </w:r>
      <w:r w:rsidR="00E32618">
        <w:t>Membership</w:t>
      </w:r>
    </w:p>
    <w:p w14:paraId="40138054" w14:textId="6C3C8A5A" w:rsidR="00194DB1" w:rsidRDefault="00194DB1" w:rsidP="00194DB1">
      <w:pPr>
        <w:pStyle w:val="Body"/>
      </w:pPr>
      <w:r>
        <w:t>The members of the committee are appointed by the Australian Government Minister for Health and Aged Care and are drawn from a range of clinical specialties and backgrounds to ensure the</w:t>
      </w:r>
      <w:r w:rsidR="00874736">
        <w:t> </w:t>
      </w:r>
      <w:r>
        <w:t>committee represents a wide range of clinical</w:t>
      </w:r>
      <w:r w:rsidR="00874736">
        <w:t> </w:t>
      </w:r>
      <w:r>
        <w:t>expertise.</w:t>
      </w:r>
    </w:p>
    <w:p w14:paraId="472EFF6A" w14:textId="77777777" w:rsidR="00194DB1" w:rsidRDefault="00194DB1" w:rsidP="00194DB1">
      <w:pPr>
        <w:pStyle w:val="Body"/>
      </w:pPr>
      <w:r>
        <w:t>Appointments are based on individual expertise rather than as a representation of any organisation, peak body or jurisdiction. The Remuneration Tribunal determines remuneration.</w:t>
      </w:r>
    </w:p>
    <w:p w14:paraId="71096ABC" w14:textId="77777777" w:rsidR="00194DB1" w:rsidRDefault="00194DB1" w:rsidP="00194DB1">
      <w:pPr>
        <w:pStyle w:val="Body"/>
      </w:pPr>
      <w:r>
        <w:t>The Chair of the committee, Associate Professor Alasdair MacDonald, reports to the Australian Government Minister for Health and Aged Care and is supported by IHPA staff.</w:t>
      </w:r>
    </w:p>
    <w:p w14:paraId="47C2F4FB" w14:textId="5E1FE1E9" w:rsidR="00E32618" w:rsidRDefault="00E32618" w:rsidP="00E32618">
      <w:pPr>
        <w:pStyle w:val="Body"/>
      </w:pPr>
    </w:p>
    <w:p w14:paraId="3FF8450B" w14:textId="77777777" w:rsidR="005559E1" w:rsidRDefault="005559E1" w:rsidP="000431F3">
      <w:pPr>
        <w:pStyle w:val="Body"/>
      </w:pPr>
    </w:p>
    <w:p w14:paraId="47F8CF65" w14:textId="2F393022" w:rsidR="005559E1" w:rsidRDefault="005559E1" w:rsidP="000431F3">
      <w:pPr>
        <w:pStyle w:val="Body"/>
        <w:sectPr w:rsidR="005559E1" w:rsidSect="001C02D5">
          <w:footerReference w:type="default" r:id="rId156"/>
          <w:pgSz w:w="9979" w:h="14175"/>
          <w:pgMar w:top="1418" w:right="1134" w:bottom="1134" w:left="1134" w:header="709" w:footer="709" w:gutter="0"/>
          <w:cols w:num="2" w:space="708"/>
          <w:docGrid w:linePitch="360"/>
        </w:sectPr>
      </w:pPr>
    </w:p>
    <w:p w14:paraId="23861D7D" w14:textId="782665C3" w:rsidR="00844D52" w:rsidRDefault="00844D52" w:rsidP="00EF43F9">
      <w:pPr>
        <w:pStyle w:val="FigureHeading"/>
        <w:ind w:right="-227"/>
      </w:pPr>
      <w:bookmarkStart w:id="73" w:name="_Toc114824665"/>
      <w:bookmarkStart w:id="74" w:name="KeyManagementPersonnel"/>
      <w:r w:rsidRPr="009C3AE9">
        <w:t xml:space="preserve">Table </w:t>
      </w:r>
      <w:r>
        <w:t>9</w:t>
      </w:r>
      <w:r w:rsidRPr="009C3AE9">
        <w:t xml:space="preserve">: </w:t>
      </w:r>
      <w:r w:rsidRPr="00844D52">
        <w:t>Membership and meetings of the Clinical Advisory Committee in 2021–</w:t>
      </w:r>
      <w:r>
        <w:rPr>
          <w:rFonts w:ascii="Arial" w:hAnsi="Arial" w:cs="Arial" w:hint="cs"/>
          <w:rtl/>
        </w:rPr>
        <w:t>‍</w:t>
      </w:r>
      <w:r w:rsidRPr="00844D52">
        <w:t>22</w:t>
      </w:r>
      <w:bookmarkEnd w:id="73"/>
    </w:p>
    <w:tbl>
      <w:tblPr>
        <w:tblStyle w:val="IHPATable"/>
        <w:tblW w:w="7768" w:type="dxa"/>
        <w:tblLayout w:type="fixed"/>
        <w:tblLook w:val="0020" w:firstRow="1" w:lastRow="0" w:firstColumn="0" w:lastColumn="0" w:noHBand="0" w:noVBand="0"/>
        <w:tblCaption w:val="Table 3"/>
        <w:tblDescription w:val="Summary of Performance for Activity 1: Perform IHPA pricing functions"/>
      </w:tblPr>
      <w:tblGrid>
        <w:gridCol w:w="1985"/>
        <w:gridCol w:w="992"/>
        <w:gridCol w:w="2410"/>
        <w:gridCol w:w="1190"/>
        <w:gridCol w:w="1191"/>
      </w:tblGrid>
      <w:tr w:rsidR="00B66673" w:rsidRPr="00466E0A" w14:paraId="37086D9C" w14:textId="77777777" w:rsidTr="00EF43F9">
        <w:trPr>
          <w:cnfStyle w:val="100000000000" w:firstRow="1" w:lastRow="0" w:firstColumn="0" w:lastColumn="0" w:oddVBand="0" w:evenVBand="0" w:oddHBand="0" w:evenHBand="0" w:firstRowFirstColumn="0" w:firstRowLastColumn="0" w:lastRowFirstColumn="0" w:lastRowLastColumn="0"/>
          <w:trHeight w:val="397"/>
        </w:trPr>
        <w:tc>
          <w:tcPr>
            <w:tcW w:w="1985" w:type="dxa"/>
            <w:shd w:val="clear" w:color="auto" w:fill="009AB8" w:themeFill="accent3"/>
            <w:vAlign w:val="center"/>
          </w:tcPr>
          <w:bookmarkEnd w:id="74"/>
          <w:p w14:paraId="0C7C9830" w14:textId="7DAE3C8E" w:rsidR="00B66673" w:rsidRPr="009C3AE9" w:rsidRDefault="00B66673" w:rsidP="00B15944">
            <w:pPr>
              <w:pStyle w:val="Body"/>
              <w:rPr>
                <w:rFonts w:asciiTheme="majorHAnsi" w:hAnsiTheme="majorHAnsi"/>
                <w:color w:val="FFFFFF" w:themeColor="background2"/>
              </w:rPr>
            </w:pPr>
            <w:r>
              <w:rPr>
                <w:rFonts w:asciiTheme="majorHAnsi" w:hAnsiTheme="majorHAnsi"/>
                <w:color w:val="FFFFFF" w:themeColor="background2"/>
              </w:rPr>
              <w:t>Name</w:t>
            </w:r>
          </w:p>
        </w:tc>
        <w:tc>
          <w:tcPr>
            <w:tcW w:w="992" w:type="dxa"/>
            <w:shd w:val="clear" w:color="auto" w:fill="009AB8" w:themeFill="accent3"/>
            <w:vAlign w:val="center"/>
          </w:tcPr>
          <w:p w14:paraId="61BDF5B2" w14:textId="1FBE989A" w:rsidR="00B66673" w:rsidRPr="009C3AE9" w:rsidRDefault="00B66673" w:rsidP="00B66673">
            <w:pPr>
              <w:pStyle w:val="Body-Financial"/>
              <w:spacing w:after="0"/>
              <w:rPr>
                <w:rFonts w:asciiTheme="majorHAnsi" w:hAnsiTheme="majorHAnsi"/>
                <w:color w:val="FFFFFF" w:themeColor="background2"/>
                <w:sz w:val="18"/>
              </w:rPr>
            </w:pPr>
            <w:r>
              <w:rPr>
                <w:rFonts w:asciiTheme="majorHAnsi" w:hAnsiTheme="majorHAnsi"/>
                <w:color w:val="FFFFFF" w:themeColor="background2"/>
                <w:sz w:val="18"/>
              </w:rPr>
              <w:t>Position</w:t>
            </w:r>
          </w:p>
        </w:tc>
        <w:tc>
          <w:tcPr>
            <w:tcW w:w="2410" w:type="dxa"/>
            <w:shd w:val="clear" w:color="auto" w:fill="009AB8" w:themeFill="accent3"/>
            <w:vAlign w:val="center"/>
          </w:tcPr>
          <w:p w14:paraId="48219014" w14:textId="6CB0EDE4" w:rsidR="00B66673" w:rsidRPr="009C3AE9" w:rsidRDefault="00B66673" w:rsidP="00B66673">
            <w:pPr>
              <w:pStyle w:val="Body-Financial"/>
              <w:spacing w:after="0"/>
              <w:rPr>
                <w:rFonts w:asciiTheme="majorHAnsi" w:hAnsiTheme="majorHAnsi"/>
                <w:color w:val="FFFFFF" w:themeColor="background2"/>
                <w:sz w:val="18"/>
              </w:rPr>
            </w:pPr>
            <w:r>
              <w:rPr>
                <w:rFonts w:asciiTheme="majorHAnsi" w:hAnsiTheme="majorHAnsi"/>
                <w:color w:val="FFFFFF" w:themeColor="background2"/>
                <w:sz w:val="18"/>
              </w:rPr>
              <w:t>Specialty</w:t>
            </w:r>
          </w:p>
        </w:tc>
        <w:tc>
          <w:tcPr>
            <w:tcW w:w="1190" w:type="dxa"/>
            <w:shd w:val="clear" w:color="auto" w:fill="009AB8" w:themeFill="accent3"/>
            <w:vAlign w:val="center"/>
          </w:tcPr>
          <w:p w14:paraId="22E72B4D" w14:textId="5AA340F5" w:rsidR="00B66673" w:rsidRPr="009C3AE9" w:rsidRDefault="00B66673" w:rsidP="00B15944">
            <w:pPr>
              <w:pStyle w:val="Body-Financial"/>
              <w:spacing w:after="0"/>
              <w:jc w:val="right"/>
              <w:rPr>
                <w:rFonts w:asciiTheme="majorHAnsi" w:hAnsiTheme="majorHAnsi"/>
                <w:color w:val="FFFFFF" w:themeColor="background2"/>
                <w:sz w:val="18"/>
              </w:rPr>
            </w:pPr>
            <w:r w:rsidRPr="009C3AE9">
              <w:rPr>
                <w:rFonts w:asciiTheme="majorHAnsi" w:hAnsiTheme="majorHAnsi"/>
                <w:color w:val="FFFFFF" w:themeColor="background2"/>
                <w:sz w:val="18"/>
              </w:rPr>
              <w:t>Mee</w:t>
            </w:r>
            <w:r>
              <w:rPr>
                <w:rFonts w:asciiTheme="majorHAnsi" w:hAnsiTheme="majorHAnsi"/>
                <w:color w:val="FFFFFF" w:themeColor="background2"/>
                <w:sz w:val="18"/>
              </w:rPr>
              <w:t>tings eligible</w:t>
            </w:r>
          </w:p>
        </w:tc>
        <w:tc>
          <w:tcPr>
            <w:tcW w:w="1191" w:type="dxa"/>
            <w:shd w:val="clear" w:color="auto" w:fill="009AB8" w:themeFill="accent3"/>
            <w:vAlign w:val="center"/>
          </w:tcPr>
          <w:p w14:paraId="1974F5DA" w14:textId="77777777" w:rsidR="00B66673" w:rsidRPr="009C3AE9" w:rsidRDefault="00B66673" w:rsidP="00B15944">
            <w:pPr>
              <w:pStyle w:val="Body-Financial"/>
              <w:spacing w:after="0"/>
              <w:jc w:val="right"/>
              <w:rPr>
                <w:rFonts w:asciiTheme="majorHAnsi" w:hAnsiTheme="majorHAnsi"/>
                <w:color w:val="FFFFFF" w:themeColor="background2"/>
                <w:sz w:val="18"/>
                <w:szCs w:val="18"/>
              </w:rPr>
            </w:pPr>
            <w:r>
              <w:rPr>
                <w:rFonts w:asciiTheme="majorHAnsi" w:hAnsiTheme="majorHAnsi"/>
                <w:color w:val="FFFFFF" w:themeColor="background2"/>
                <w:sz w:val="18"/>
                <w:szCs w:val="18"/>
              </w:rPr>
              <w:t>Meetings attended</w:t>
            </w:r>
          </w:p>
        </w:tc>
      </w:tr>
      <w:tr w:rsidR="00E6385B" w:rsidRPr="00466E0A" w14:paraId="290518C1"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5961C31A" w14:textId="38CD220C" w:rsidR="00E6385B" w:rsidRPr="00D01B4C" w:rsidRDefault="00E6385B" w:rsidP="00E6385B">
            <w:pPr>
              <w:pStyle w:val="Body"/>
            </w:pPr>
            <w:r w:rsidRPr="00767650">
              <w:t>A/Prof Alasdair MacDonald</w:t>
            </w:r>
          </w:p>
        </w:tc>
        <w:tc>
          <w:tcPr>
            <w:tcW w:w="992" w:type="dxa"/>
            <w:vAlign w:val="center"/>
          </w:tcPr>
          <w:p w14:paraId="1D2134A4" w14:textId="078320D3" w:rsidR="00E6385B" w:rsidRDefault="00E6385B" w:rsidP="00E6385B">
            <w:pPr>
              <w:pStyle w:val="Body"/>
            </w:pPr>
            <w:r w:rsidRPr="0033004E">
              <w:t>Chair</w:t>
            </w:r>
          </w:p>
        </w:tc>
        <w:tc>
          <w:tcPr>
            <w:tcW w:w="2410" w:type="dxa"/>
            <w:vAlign w:val="center"/>
          </w:tcPr>
          <w:p w14:paraId="220395E2" w14:textId="4EBBEF7A" w:rsidR="00E6385B" w:rsidRDefault="00E6385B" w:rsidP="00E6385B">
            <w:pPr>
              <w:pStyle w:val="Body"/>
            </w:pPr>
            <w:r w:rsidRPr="00FD022E">
              <w:t>Internal medicine</w:t>
            </w:r>
          </w:p>
        </w:tc>
        <w:tc>
          <w:tcPr>
            <w:tcW w:w="1190" w:type="dxa"/>
            <w:shd w:val="clear" w:color="auto" w:fill="auto"/>
            <w:vAlign w:val="center"/>
          </w:tcPr>
          <w:p w14:paraId="16869696" w14:textId="7DB80E2D" w:rsidR="00E6385B" w:rsidRPr="00D01B4C" w:rsidRDefault="00E6385B" w:rsidP="00E6385B">
            <w:pPr>
              <w:pStyle w:val="Body"/>
              <w:jc w:val="right"/>
            </w:pPr>
            <w:r w:rsidRPr="0020661F">
              <w:t>4</w:t>
            </w:r>
          </w:p>
        </w:tc>
        <w:tc>
          <w:tcPr>
            <w:tcW w:w="1191" w:type="dxa"/>
            <w:shd w:val="clear" w:color="auto" w:fill="auto"/>
            <w:vAlign w:val="center"/>
          </w:tcPr>
          <w:p w14:paraId="444BBFAD" w14:textId="21D5C967" w:rsidR="00E6385B" w:rsidRPr="00D01B4C" w:rsidRDefault="00E6385B" w:rsidP="00E6385B">
            <w:pPr>
              <w:pStyle w:val="Body"/>
              <w:jc w:val="right"/>
            </w:pPr>
            <w:r w:rsidRPr="0020661F">
              <w:t>4</w:t>
            </w:r>
          </w:p>
        </w:tc>
      </w:tr>
      <w:tr w:rsidR="00E6385B" w:rsidRPr="00466E0A" w14:paraId="655305FE"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shd w:val="clear" w:color="auto" w:fill="auto"/>
            <w:vAlign w:val="center"/>
          </w:tcPr>
          <w:p w14:paraId="439373D6" w14:textId="057F32D7" w:rsidR="00E6385B" w:rsidRPr="00D01B4C" w:rsidRDefault="00E6385B" w:rsidP="00E6385B">
            <w:pPr>
              <w:pStyle w:val="Body"/>
            </w:pPr>
            <w:r w:rsidRPr="00767650">
              <w:t>Prof Gerard Carroll</w:t>
            </w:r>
          </w:p>
        </w:tc>
        <w:tc>
          <w:tcPr>
            <w:tcW w:w="992" w:type="dxa"/>
            <w:vAlign w:val="center"/>
          </w:tcPr>
          <w:p w14:paraId="31DB2441" w14:textId="20C6A65D" w:rsidR="00E6385B" w:rsidRDefault="00E6385B" w:rsidP="00E6385B">
            <w:pPr>
              <w:pStyle w:val="Body"/>
            </w:pPr>
            <w:r w:rsidRPr="0033004E">
              <w:t>Member</w:t>
            </w:r>
          </w:p>
        </w:tc>
        <w:tc>
          <w:tcPr>
            <w:tcW w:w="2410" w:type="dxa"/>
            <w:vAlign w:val="center"/>
          </w:tcPr>
          <w:p w14:paraId="69FA22B6" w14:textId="75678376" w:rsidR="00E6385B" w:rsidRDefault="00E6385B" w:rsidP="00E6385B">
            <w:pPr>
              <w:pStyle w:val="Body"/>
            </w:pPr>
            <w:r w:rsidRPr="00FD022E">
              <w:t>Cardiology/rural</w:t>
            </w:r>
          </w:p>
        </w:tc>
        <w:tc>
          <w:tcPr>
            <w:tcW w:w="1190" w:type="dxa"/>
            <w:shd w:val="clear" w:color="auto" w:fill="auto"/>
            <w:vAlign w:val="center"/>
          </w:tcPr>
          <w:p w14:paraId="0ACFBCC6" w14:textId="67F68701" w:rsidR="00E6385B" w:rsidRPr="00D01B4C" w:rsidRDefault="00E6385B" w:rsidP="00E6385B">
            <w:pPr>
              <w:pStyle w:val="Body"/>
              <w:jc w:val="right"/>
            </w:pPr>
            <w:r w:rsidRPr="0020661F">
              <w:t>4</w:t>
            </w:r>
          </w:p>
        </w:tc>
        <w:tc>
          <w:tcPr>
            <w:tcW w:w="1191" w:type="dxa"/>
            <w:shd w:val="clear" w:color="auto" w:fill="auto"/>
            <w:vAlign w:val="center"/>
          </w:tcPr>
          <w:p w14:paraId="5E89BE36" w14:textId="7E6B7118" w:rsidR="00E6385B" w:rsidRPr="00D01B4C" w:rsidRDefault="00E6385B" w:rsidP="00E6385B">
            <w:pPr>
              <w:pStyle w:val="Body"/>
              <w:jc w:val="right"/>
            </w:pPr>
            <w:r w:rsidRPr="0020661F">
              <w:t>2</w:t>
            </w:r>
          </w:p>
        </w:tc>
      </w:tr>
      <w:tr w:rsidR="00E6385B" w:rsidRPr="00466E0A" w14:paraId="61A39DCD"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3D19BC16" w14:textId="2D3E39DF" w:rsidR="00E6385B" w:rsidRPr="00D01B4C" w:rsidRDefault="00E6385B" w:rsidP="00E6385B">
            <w:pPr>
              <w:pStyle w:val="Body"/>
            </w:pPr>
            <w:r w:rsidRPr="00767650">
              <w:t>Mr Anthony Graham Fish</w:t>
            </w:r>
          </w:p>
        </w:tc>
        <w:tc>
          <w:tcPr>
            <w:tcW w:w="992" w:type="dxa"/>
            <w:vAlign w:val="center"/>
          </w:tcPr>
          <w:p w14:paraId="166EDDAE" w14:textId="2964E785" w:rsidR="00E6385B" w:rsidRDefault="00E6385B" w:rsidP="00E6385B">
            <w:pPr>
              <w:pStyle w:val="Body"/>
            </w:pPr>
            <w:r w:rsidRPr="0033004E">
              <w:t>Member</w:t>
            </w:r>
          </w:p>
        </w:tc>
        <w:tc>
          <w:tcPr>
            <w:tcW w:w="2410" w:type="dxa"/>
            <w:vAlign w:val="center"/>
          </w:tcPr>
          <w:p w14:paraId="2E3362C7" w14:textId="596E3AD2" w:rsidR="00E6385B" w:rsidRDefault="00E6385B" w:rsidP="00E6385B">
            <w:pPr>
              <w:pStyle w:val="Body"/>
            </w:pPr>
            <w:r w:rsidRPr="00FD022E">
              <w:t>Allied health</w:t>
            </w:r>
          </w:p>
        </w:tc>
        <w:tc>
          <w:tcPr>
            <w:tcW w:w="1190" w:type="dxa"/>
            <w:shd w:val="clear" w:color="auto" w:fill="auto"/>
            <w:vAlign w:val="center"/>
          </w:tcPr>
          <w:p w14:paraId="1F517787" w14:textId="3ADA1B1A" w:rsidR="00E6385B" w:rsidRPr="00D01B4C" w:rsidRDefault="00E6385B" w:rsidP="00E6385B">
            <w:pPr>
              <w:pStyle w:val="Body"/>
              <w:jc w:val="right"/>
            </w:pPr>
            <w:r w:rsidRPr="0020661F">
              <w:t>3</w:t>
            </w:r>
          </w:p>
        </w:tc>
        <w:tc>
          <w:tcPr>
            <w:tcW w:w="1191" w:type="dxa"/>
            <w:shd w:val="clear" w:color="auto" w:fill="auto"/>
            <w:vAlign w:val="center"/>
          </w:tcPr>
          <w:p w14:paraId="1363403A" w14:textId="48B01601" w:rsidR="00E6385B" w:rsidRPr="00D01B4C" w:rsidRDefault="00E6385B" w:rsidP="00E6385B">
            <w:pPr>
              <w:pStyle w:val="Body"/>
              <w:jc w:val="right"/>
            </w:pPr>
            <w:r w:rsidRPr="0020661F">
              <w:t>2</w:t>
            </w:r>
          </w:p>
        </w:tc>
      </w:tr>
      <w:tr w:rsidR="00E6385B" w:rsidRPr="00466E0A" w14:paraId="511641C9"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shd w:val="clear" w:color="auto" w:fill="auto"/>
            <w:vAlign w:val="center"/>
          </w:tcPr>
          <w:p w14:paraId="5CE9AC2B" w14:textId="51B42387" w:rsidR="00E6385B" w:rsidRPr="00D01B4C" w:rsidRDefault="00E6385B" w:rsidP="00E6385B">
            <w:pPr>
              <w:pStyle w:val="Body"/>
            </w:pPr>
            <w:r w:rsidRPr="00767650">
              <w:t>Prof Leon Flicker</w:t>
            </w:r>
          </w:p>
        </w:tc>
        <w:tc>
          <w:tcPr>
            <w:tcW w:w="992" w:type="dxa"/>
            <w:vAlign w:val="center"/>
          </w:tcPr>
          <w:p w14:paraId="12E6E3D6" w14:textId="26A74E4C" w:rsidR="00E6385B" w:rsidRDefault="00E6385B" w:rsidP="00E6385B">
            <w:pPr>
              <w:pStyle w:val="Body"/>
            </w:pPr>
            <w:r w:rsidRPr="0033004E">
              <w:t>Member</w:t>
            </w:r>
          </w:p>
        </w:tc>
        <w:tc>
          <w:tcPr>
            <w:tcW w:w="2410" w:type="dxa"/>
            <w:vAlign w:val="center"/>
          </w:tcPr>
          <w:p w14:paraId="20C12F90" w14:textId="6E336675" w:rsidR="00E6385B" w:rsidRDefault="00E6385B" w:rsidP="00E6385B">
            <w:pPr>
              <w:pStyle w:val="Body"/>
            </w:pPr>
            <w:r w:rsidRPr="00FD022E">
              <w:t>Geriatrics/Indigenous health</w:t>
            </w:r>
          </w:p>
        </w:tc>
        <w:tc>
          <w:tcPr>
            <w:tcW w:w="1190" w:type="dxa"/>
            <w:shd w:val="clear" w:color="auto" w:fill="auto"/>
            <w:vAlign w:val="center"/>
          </w:tcPr>
          <w:p w14:paraId="0B7EE0A4" w14:textId="4CDD9661" w:rsidR="00E6385B" w:rsidRPr="00D01B4C" w:rsidRDefault="00E6385B" w:rsidP="00E6385B">
            <w:pPr>
              <w:pStyle w:val="Body"/>
              <w:jc w:val="right"/>
            </w:pPr>
            <w:r w:rsidRPr="0020661F">
              <w:t>4</w:t>
            </w:r>
          </w:p>
        </w:tc>
        <w:tc>
          <w:tcPr>
            <w:tcW w:w="1191" w:type="dxa"/>
            <w:shd w:val="clear" w:color="auto" w:fill="auto"/>
            <w:vAlign w:val="center"/>
          </w:tcPr>
          <w:p w14:paraId="1D7CA017" w14:textId="58E56738" w:rsidR="00E6385B" w:rsidRPr="00D01B4C" w:rsidRDefault="00E6385B" w:rsidP="00E6385B">
            <w:pPr>
              <w:pStyle w:val="Body"/>
              <w:jc w:val="right"/>
            </w:pPr>
            <w:r w:rsidRPr="0020661F">
              <w:t>4</w:t>
            </w:r>
          </w:p>
        </w:tc>
      </w:tr>
      <w:tr w:rsidR="00E6385B" w:rsidRPr="00466E0A" w14:paraId="00CE96D2"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5DE69508" w14:textId="21D01EFF" w:rsidR="00E6385B" w:rsidRPr="00D01B4C" w:rsidRDefault="00E6385B" w:rsidP="00E6385B">
            <w:pPr>
              <w:pStyle w:val="Body"/>
            </w:pPr>
            <w:r w:rsidRPr="00767650">
              <w:t>Ms Nicole Harwood</w:t>
            </w:r>
          </w:p>
        </w:tc>
        <w:tc>
          <w:tcPr>
            <w:tcW w:w="992" w:type="dxa"/>
            <w:vAlign w:val="center"/>
          </w:tcPr>
          <w:p w14:paraId="4B6FEB41" w14:textId="1A7C8501" w:rsidR="00E6385B" w:rsidRDefault="00E6385B" w:rsidP="00E6385B">
            <w:pPr>
              <w:pStyle w:val="Body"/>
            </w:pPr>
            <w:r w:rsidRPr="0033004E">
              <w:t>Member</w:t>
            </w:r>
          </w:p>
        </w:tc>
        <w:tc>
          <w:tcPr>
            <w:tcW w:w="2410" w:type="dxa"/>
            <w:vAlign w:val="center"/>
          </w:tcPr>
          <w:p w14:paraId="78A3255C" w14:textId="0E638329" w:rsidR="00E6385B" w:rsidRDefault="00E6385B" w:rsidP="00E6385B">
            <w:pPr>
              <w:pStyle w:val="Body"/>
            </w:pPr>
            <w:r w:rsidRPr="00FD022E">
              <w:t>Nursing</w:t>
            </w:r>
          </w:p>
        </w:tc>
        <w:tc>
          <w:tcPr>
            <w:tcW w:w="1190" w:type="dxa"/>
            <w:shd w:val="clear" w:color="auto" w:fill="auto"/>
            <w:vAlign w:val="center"/>
          </w:tcPr>
          <w:p w14:paraId="71F04C03" w14:textId="63366DDD" w:rsidR="00E6385B" w:rsidRPr="00D01B4C" w:rsidRDefault="00E6385B" w:rsidP="00E6385B">
            <w:pPr>
              <w:pStyle w:val="Body"/>
              <w:jc w:val="right"/>
            </w:pPr>
            <w:r w:rsidRPr="0020661F">
              <w:t>4</w:t>
            </w:r>
          </w:p>
        </w:tc>
        <w:tc>
          <w:tcPr>
            <w:tcW w:w="1191" w:type="dxa"/>
            <w:shd w:val="clear" w:color="auto" w:fill="auto"/>
            <w:vAlign w:val="center"/>
          </w:tcPr>
          <w:p w14:paraId="2AA115D0" w14:textId="1A538B52" w:rsidR="00E6385B" w:rsidRPr="00D01B4C" w:rsidRDefault="00E6385B" w:rsidP="00E6385B">
            <w:pPr>
              <w:pStyle w:val="Body"/>
              <w:jc w:val="right"/>
            </w:pPr>
            <w:r w:rsidRPr="0020661F">
              <w:t>2</w:t>
            </w:r>
          </w:p>
        </w:tc>
      </w:tr>
      <w:tr w:rsidR="00E6385B" w:rsidRPr="00466E0A" w14:paraId="3567D930"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shd w:val="clear" w:color="auto" w:fill="auto"/>
            <w:vAlign w:val="center"/>
          </w:tcPr>
          <w:p w14:paraId="107CA9FE" w14:textId="24ECFFC1" w:rsidR="00E6385B" w:rsidRPr="00D01B4C" w:rsidRDefault="00E6385B" w:rsidP="00E6385B">
            <w:pPr>
              <w:pStyle w:val="Body"/>
            </w:pPr>
            <w:r w:rsidRPr="00767650">
              <w:t>Dr Amod Karnik</w:t>
            </w:r>
          </w:p>
        </w:tc>
        <w:tc>
          <w:tcPr>
            <w:tcW w:w="992" w:type="dxa"/>
            <w:vAlign w:val="center"/>
          </w:tcPr>
          <w:p w14:paraId="7D944C61" w14:textId="50479AA2" w:rsidR="00E6385B" w:rsidRDefault="00E6385B" w:rsidP="00E6385B">
            <w:pPr>
              <w:pStyle w:val="Body"/>
            </w:pPr>
            <w:r w:rsidRPr="0033004E">
              <w:t>Member</w:t>
            </w:r>
          </w:p>
        </w:tc>
        <w:tc>
          <w:tcPr>
            <w:tcW w:w="2410" w:type="dxa"/>
            <w:vAlign w:val="center"/>
          </w:tcPr>
          <w:p w14:paraId="2F534996" w14:textId="40B96035" w:rsidR="00E6385B" w:rsidRDefault="00E6385B" w:rsidP="00E6385B">
            <w:pPr>
              <w:pStyle w:val="Body"/>
            </w:pPr>
            <w:r w:rsidRPr="00FD022E">
              <w:t>Intensive care medicine</w:t>
            </w:r>
          </w:p>
        </w:tc>
        <w:tc>
          <w:tcPr>
            <w:tcW w:w="1190" w:type="dxa"/>
            <w:shd w:val="clear" w:color="auto" w:fill="auto"/>
            <w:vAlign w:val="center"/>
          </w:tcPr>
          <w:p w14:paraId="1992357E" w14:textId="36CEB305" w:rsidR="00E6385B" w:rsidRPr="00D01B4C" w:rsidRDefault="00E6385B" w:rsidP="00E6385B">
            <w:pPr>
              <w:pStyle w:val="Body"/>
              <w:jc w:val="right"/>
            </w:pPr>
            <w:r w:rsidRPr="0020661F">
              <w:t>4</w:t>
            </w:r>
          </w:p>
        </w:tc>
        <w:tc>
          <w:tcPr>
            <w:tcW w:w="1191" w:type="dxa"/>
            <w:shd w:val="clear" w:color="auto" w:fill="auto"/>
            <w:vAlign w:val="center"/>
          </w:tcPr>
          <w:p w14:paraId="191AD4F1" w14:textId="36941284" w:rsidR="00E6385B" w:rsidRPr="00D01B4C" w:rsidRDefault="00E6385B" w:rsidP="00E6385B">
            <w:pPr>
              <w:pStyle w:val="Body"/>
              <w:jc w:val="right"/>
            </w:pPr>
            <w:r w:rsidRPr="0020661F">
              <w:t>3</w:t>
            </w:r>
          </w:p>
        </w:tc>
      </w:tr>
      <w:tr w:rsidR="00E6385B" w:rsidRPr="00466E0A" w14:paraId="05EA8673"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6C03C809" w14:textId="60B18FD1" w:rsidR="00E6385B" w:rsidRPr="00D01B4C" w:rsidRDefault="00E6385B" w:rsidP="00E6385B">
            <w:pPr>
              <w:pStyle w:val="Body"/>
            </w:pPr>
            <w:r w:rsidRPr="00767650">
              <w:t>Mr Christopher O’Donnell</w:t>
            </w:r>
          </w:p>
        </w:tc>
        <w:tc>
          <w:tcPr>
            <w:tcW w:w="992" w:type="dxa"/>
            <w:vAlign w:val="center"/>
          </w:tcPr>
          <w:p w14:paraId="50FDD475" w14:textId="464516DA" w:rsidR="00E6385B" w:rsidRDefault="00E6385B" w:rsidP="00E6385B">
            <w:pPr>
              <w:pStyle w:val="Body"/>
            </w:pPr>
            <w:r w:rsidRPr="0033004E">
              <w:t>Member</w:t>
            </w:r>
          </w:p>
        </w:tc>
        <w:tc>
          <w:tcPr>
            <w:tcW w:w="2410" w:type="dxa"/>
            <w:vAlign w:val="center"/>
          </w:tcPr>
          <w:p w14:paraId="4EB0E615" w14:textId="52D98429" w:rsidR="00E6385B" w:rsidRDefault="00E6385B" w:rsidP="00E6385B">
            <w:pPr>
              <w:pStyle w:val="Body"/>
            </w:pPr>
            <w:r w:rsidRPr="00FD022E">
              <w:t>Nursing</w:t>
            </w:r>
          </w:p>
        </w:tc>
        <w:tc>
          <w:tcPr>
            <w:tcW w:w="1190" w:type="dxa"/>
            <w:shd w:val="clear" w:color="auto" w:fill="auto"/>
            <w:vAlign w:val="center"/>
          </w:tcPr>
          <w:p w14:paraId="681DEF43" w14:textId="213E75BA" w:rsidR="00E6385B" w:rsidRPr="00D01B4C" w:rsidRDefault="00E6385B" w:rsidP="00E6385B">
            <w:pPr>
              <w:pStyle w:val="Body"/>
              <w:jc w:val="right"/>
            </w:pPr>
            <w:r w:rsidRPr="0020661F">
              <w:t>4</w:t>
            </w:r>
          </w:p>
        </w:tc>
        <w:tc>
          <w:tcPr>
            <w:tcW w:w="1191" w:type="dxa"/>
            <w:shd w:val="clear" w:color="auto" w:fill="auto"/>
            <w:vAlign w:val="center"/>
          </w:tcPr>
          <w:p w14:paraId="5F70D00E" w14:textId="642AC270" w:rsidR="00E6385B" w:rsidRPr="00D01B4C" w:rsidRDefault="00E6385B" w:rsidP="00E6385B">
            <w:pPr>
              <w:pStyle w:val="Body"/>
              <w:jc w:val="right"/>
            </w:pPr>
            <w:r w:rsidRPr="0020661F">
              <w:t>2</w:t>
            </w:r>
          </w:p>
        </w:tc>
      </w:tr>
      <w:tr w:rsidR="00E6385B" w:rsidRPr="00466E0A" w14:paraId="131E1788"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shd w:val="clear" w:color="auto" w:fill="auto"/>
            <w:vAlign w:val="center"/>
          </w:tcPr>
          <w:p w14:paraId="1134A9B2" w14:textId="3C630D90" w:rsidR="00E6385B" w:rsidRPr="00D01B4C" w:rsidRDefault="00E6385B" w:rsidP="00E6385B">
            <w:pPr>
              <w:pStyle w:val="Body"/>
            </w:pPr>
            <w:r w:rsidRPr="00767650">
              <w:t>A/Prof Nicole Phillips</w:t>
            </w:r>
          </w:p>
        </w:tc>
        <w:tc>
          <w:tcPr>
            <w:tcW w:w="992" w:type="dxa"/>
            <w:vAlign w:val="center"/>
          </w:tcPr>
          <w:p w14:paraId="2042B25C" w14:textId="5261D27F" w:rsidR="00E6385B" w:rsidRDefault="00E6385B" w:rsidP="00E6385B">
            <w:pPr>
              <w:pStyle w:val="Body"/>
            </w:pPr>
            <w:r w:rsidRPr="0033004E">
              <w:t>Member</w:t>
            </w:r>
          </w:p>
        </w:tc>
        <w:tc>
          <w:tcPr>
            <w:tcW w:w="2410" w:type="dxa"/>
            <w:vAlign w:val="center"/>
          </w:tcPr>
          <w:p w14:paraId="4A953C1F" w14:textId="634A7918" w:rsidR="00E6385B" w:rsidRDefault="00E6385B" w:rsidP="00E6385B">
            <w:pPr>
              <w:pStyle w:val="Body"/>
            </w:pPr>
            <w:r w:rsidRPr="00FD022E">
              <w:t>Administration/anaesthesia and pain management</w:t>
            </w:r>
          </w:p>
        </w:tc>
        <w:tc>
          <w:tcPr>
            <w:tcW w:w="1190" w:type="dxa"/>
            <w:shd w:val="clear" w:color="auto" w:fill="auto"/>
            <w:vAlign w:val="center"/>
          </w:tcPr>
          <w:p w14:paraId="2C5EC2D2" w14:textId="00A9DACB" w:rsidR="00E6385B" w:rsidRPr="00D01B4C" w:rsidRDefault="00E6385B" w:rsidP="00E6385B">
            <w:pPr>
              <w:pStyle w:val="Body"/>
              <w:jc w:val="right"/>
            </w:pPr>
            <w:r w:rsidRPr="0020661F">
              <w:t>4</w:t>
            </w:r>
          </w:p>
        </w:tc>
        <w:tc>
          <w:tcPr>
            <w:tcW w:w="1191" w:type="dxa"/>
            <w:shd w:val="clear" w:color="auto" w:fill="auto"/>
            <w:vAlign w:val="center"/>
          </w:tcPr>
          <w:p w14:paraId="4A64ABC2" w14:textId="530492F3" w:rsidR="00E6385B" w:rsidRPr="00D01B4C" w:rsidRDefault="00E6385B" w:rsidP="00E6385B">
            <w:pPr>
              <w:pStyle w:val="Body"/>
              <w:jc w:val="right"/>
            </w:pPr>
            <w:r w:rsidRPr="0020661F">
              <w:t>4</w:t>
            </w:r>
          </w:p>
        </w:tc>
      </w:tr>
      <w:tr w:rsidR="00E6385B" w:rsidRPr="00466E0A" w14:paraId="357243F9"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04797F05" w14:textId="51BC8407" w:rsidR="00E6385B" w:rsidRPr="00D01B4C" w:rsidRDefault="00E6385B" w:rsidP="00E6385B">
            <w:pPr>
              <w:pStyle w:val="Body"/>
            </w:pPr>
            <w:r w:rsidRPr="00767650">
              <w:t>A/Prof Virginia Plummer</w:t>
            </w:r>
          </w:p>
        </w:tc>
        <w:tc>
          <w:tcPr>
            <w:tcW w:w="992" w:type="dxa"/>
            <w:vAlign w:val="center"/>
          </w:tcPr>
          <w:p w14:paraId="43656710" w14:textId="4483B8D2" w:rsidR="00E6385B" w:rsidRDefault="00E6385B" w:rsidP="00E6385B">
            <w:pPr>
              <w:pStyle w:val="Body"/>
            </w:pPr>
            <w:r w:rsidRPr="0033004E">
              <w:t>Member</w:t>
            </w:r>
          </w:p>
        </w:tc>
        <w:tc>
          <w:tcPr>
            <w:tcW w:w="2410" w:type="dxa"/>
            <w:vAlign w:val="center"/>
          </w:tcPr>
          <w:p w14:paraId="0A92AC8D" w14:textId="1C7EC077" w:rsidR="00E6385B" w:rsidRDefault="00E6385B" w:rsidP="00E6385B">
            <w:pPr>
              <w:pStyle w:val="Body"/>
            </w:pPr>
            <w:r w:rsidRPr="00FD022E">
              <w:t>Nursing</w:t>
            </w:r>
          </w:p>
        </w:tc>
        <w:tc>
          <w:tcPr>
            <w:tcW w:w="1190" w:type="dxa"/>
            <w:shd w:val="clear" w:color="auto" w:fill="auto"/>
            <w:vAlign w:val="center"/>
          </w:tcPr>
          <w:p w14:paraId="440AA8A6" w14:textId="71854AEE" w:rsidR="00E6385B" w:rsidRPr="00D01B4C" w:rsidRDefault="00E6385B" w:rsidP="00E6385B">
            <w:pPr>
              <w:pStyle w:val="Body"/>
              <w:jc w:val="right"/>
            </w:pPr>
            <w:r w:rsidRPr="0020661F">
              <w:t>4</w:t>
            </w:r>
          </w:p>
        </w:tc>
        <w:tc>
          <w:tcPr>
            <w:tcW w:w="1191" w:type="dxa"/>
            <w:shd w:val="clear" w:color="auto" w:fill="auto"/>
            <w:vAlign w:val="center"/>
          </w:tcPr>
          <w:p w14:paraId="67F4CD3B" w14:textId="4C01BD72" w:rsidR="00E6385B" w:rsidRPr="00D01B4C" w:rsidRDefault="00E6385B" w:rsidP="00E6385B">
            <w:pPr>
              <w:pStyle w:val="Body"/>
              <w:jc w:val="right"/>
            </w:pPr>
            <w:r w:rsidRPr="0020661F">
              <w:t>4</w:t>
            </w:r>
          </w:p>
        </w:tc>
      </w:tr>
      <w:tr w:rsidR="00E6385B" w:rsidRPr="00466E0A" w14:paraId="0ECB8B6A"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tcBorders>
              <w:bottom w:val="none" w:sz="0" w:space="0" w:color="auto"/>
            </w:tcBorders>
            <w:shd w:val="clear" w:color="auto" w:fill="auto"/>
            <w:vAlign w:val="center"/>
          </w:tcPr>
          <w:p w14:paraId="7BA684BD" w14:textId="55E631B8" w:rsidR="00E6385B" w:rsidRPr="00D01B4C" w:rsidRDefault="00E6385B" w:rsidP="00E6385B">
            <w:pPr>
              <w:pStyle w:val="Body"/>
            </w:pPr>
            <w:r w:rsidRPr="00767650">
              <w:t>Ms Amber Polles</w:t>
            </w:r>
          </w:p>
        </w:tc>
        <w:tc>
          <w:tcPr>
            <w:tcW w:w="992" w:type="dxa"/>
            <w:tcBorders>
              <w:bottom w:val="none" w:sz="0" w:space="0" w:color="auto"/>
            </w:tcBorders>
            <w:vAlign w:val="center"/>
          </w:tcPr>
          <w:p w14:paraId="512BD770" w14:textId="62CE6C4F" w:rsidR="00E6385B" w:rsidRDefault="00E6385B" w:rsidP="00E6385B">
            <w:pPr>
              <w:pStyle w:val="Body"/>
            </w:pPr>
            <w:r w:rsidRPr="0033004E">
              <w:t>Member</w:t>
            </w:r>
          </w:p>
        </w:tc>
        <w:tc>
          <w:tcPr>
            <w:tcW w:w="2410" w:type="dxa"/>
            <w:tcBorders>
              <w:bottom w:val="none" w:sz="0" w:space="0" w:color="auto"/>
            </w:tcBorders>
            <w:vAlign w:val="center"/>
          </w:tcPr>
          <w:p w14:paraId="6648321C" w14:textId="30861B7F" w:rsidR="00E6385B" w:rsidRDefault="00E6385B" w:rsidP="00E6385B">
            <w:pPr>
              <w:pStyle w:val="Body"/>
            </w:pPr>
            <w:r w:rsidRPr="00FD022E">
              <w:t>Pharmacy</w:t>
            </w:r>
          </w:p>
        </w:tc>
        <w:tc>
          <w:tcPr>
            <w:tcW w:w="1190" w:type="dxa"/>
            <w:tcBorders>
              <w:bottom w:val="none" w:sz="0" w:space="0" w:color="auto"/>
            </w:tcBorders>
            <w:shd w:val="clear" w:color="auto" w:fill="auto"/>
            <w:vAlign w:val="center"/>
          </w:tcPr>
          <w:p w14:paraId="3E3F4C55" w14:textId="71EAD38A" w:rsidR="00E6385B" w:rsidRPr="00D01B4C" w:rsidRDefault="00E6385B" w:rsidP="00E6385B">
            <w:pPr>
              <w:pStyle w:val="Body"/>
              <w:jc w:val="right"/>
            </w:pPr>
            <w:r w:rsidRPr="0020661F">
              <w:t>4</w:t>
            </w:r>
          </w:p>
        </w:tc>
        <w:tc>
          <w:tcPr>
            <w:tcW w:w="1191" w:type="dxa"/>
            <w:tcBorders>
              <w:bottom w:val="none" w:sz="0" w:space="0" w:color="auto"/>
            </w:tcBorders>
            <w:shd w:val="clear" w:color="auto" w:fill="auto"/>
            <w:vAlign w:val="center"/>
          </w:tcPr>
          <w:p w14:paraId="1D603485" w14:textId="5E59D2AA" w:rsidR="00E6385B" w:rsidRPr="00D01B4C" w:rsidRDefault="00E6385B" w:rsidP="00E6385B">
            <w:pPr>
              <w:pStyle w:val="Body"/>
              <w:jc w:val="right"/>
            </w:pPr>
            <w:r w:rsidRPr="0020661F">
              <w:t>3</w:t>
            </w:r>
          </w:p>
        </w:tc>
      </w:tr>
      <w:tr w:rsidR="00E6385B" w:rsidRPr="00466E0A" w14:paraId="3AC079B8"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3D0A7641" w14:textId="6FCCD1F2" w:rsidR="00E6385B" w:rsidRPr="00767650" w:rsidRDefault="00E6385B" w:rsidP="00E6385B">
            <w:pPr>
              <w:pStyle w:val="Body"/>
            </w:pPr>
            <w:r w:rsidRPr="000D6411">
              <w:t>Dr Elaine Pretorius</w:t>
            </w:r>
          </w:p>
        </w:tc>
        <w:tc>
          <w:tcPr>
            <w:tcW w:w="992" w:type="dxa"/>
            <w:vAlign w:val="center"/>
          </w:tcPr>
          <w:p w14:paraId="55677F7E" w14:textId="30663DFD" w:rsidR="00E6385B" w:rsidRPr="0033004E" w:rsidRDefault="00E6385B" w:rsidP="00E6385B">
            <w:pPr>
              <w:pStyle w:val="Body"/>
            </w:pPr>
            <w:r w:rsidRPr="000D6411">
              <w:t>Member</w:t>
            </w:r>
          </w:p>
        </w:tc>
        <w:tc>
          <w:tcPr>
            <w:tcW w:w="2410" w:type="dxa"/>
            <w:vAlign w:val="center"/>
          </w:tcPr>
          <w:p w14:paraId="7E92E37B" w14:textId="6FB80BE3" w:rsidR="00E6385B" w:rsidRPr="00FD022E" w:rsidRDefault="00E6385B" w:rsidP="00E6385B">
            <w:pPr>
              <w:pStyle w:val="Body"/>
            </w:pPr>
            <w:r w:rsidRPr="000D6411">
              <w:t>Administration</w:t>
            </w:r>
          </w:p>
        </w:tc>
        <w:tc>
          <w:tcPr>
            <w:tcW w:w="1190" w:type="dxa"/>
            <w:shd w:val="clear" w:color="auto" w:fill="auto"/>
            <w:vAlign w:val="center"/>
          </w:tcPr>
          <w:p w14:paraId="642DD64D" w14:textId="2F8A95DC" w:rsidR="00E6385B" w:rsidRPr="0020661F" w:rsidRDefault="00E6385B" w:rsidP="00E6385B">
            <w:pPr>
              <w:pStyle w:val="Body"/>
              <w:jc w:val="right"/>
            </w:pPr>
            <w:r w:rsidRPr="000D6411">
              <w:t>4</w:t>
            </w:r>
          </w:p>
        </w:tc>
        <w:tc>
          <w:tcPr>
            <w:tcW w:w="1191" w:type="dxa"/>
            <w:shd w:val="clear" w:color="auto" w:fill="auto"/>
            <w:vAlign w:val="center"/>
          </w:tcPr>
          <w:p w14:paraId="4D83221C" w14:textId="3D812AC5" w:rsidR="00E6385B" w:rsidRPr="0020661F" w:rsidRDefault="00E6385B" w:rsidP="00E6385B">
            <w:pPr>
              <w:pStyle w:val="Body"/>
              <w:jc w:val="right"/>
            </w:pPr>
            <w:r w:rsidRPr="000D6411">
              <w:t>3</w:t>
            </w:r>
          </w:p>
        </w:tc>
      </w:tr>
      <w:tr w:rsidR="00E6385B" w:rsidRPr="00466E0A" w14:paraId="3D28F857"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tcBorders>
              <w:bottom w:val="single" w:sz="4" w:space="0" w:color="D9D9D9" w:themeColor="background2" w:themeShade="D9"/>
            </w:tcBorders>
            <w:shd w:val="clear" w:color="auto" w:fill="auto"/>
            <w:vAlign w:val="center"/>
          </w:tcPr>
          <w:p w14:paraId="11960AD3" w14:textId="367A3CAF" w:rsidR="00E6385B" w:rsidRPr="00767650" w:rsidRDefault="00E6385B" w:rsidP="00E6385B">
            <w:pPr>
              <w:pStyle w:val="Body"/>
            </w:pPr>
            <w:r w:rsidRPr="000D6411">
              <w:t>Ms Elizabeth Prowse</w:t>
            </w:r>
          </w:p>
        </w:tc>
        <w:tc>
          <w:tcPr>
            <w:tcW w:w="992" w:type="dxa"/>
            <w:tcBorders>
              <w:bottom w:val="single" w:sz="4" w:space="0" w:color="D9D9D9" w:themeColor="background2" w:themeShade="D9"/>
            </w:tcBorders>
            <w:vAlign w:val="center"/>
          </w:tcPr>
          <w:p w14:paraId="4429E84A" w14:textId="01CA6B39" w:rsidR="00E6385B" w:rsidRPr="0033004E" w:rsidRDefault="00E6385B" w:rsidP="00E6385B">
            <w:pPr>
              <w:pStyle w:val="Body"/>
            </w:pPr>
            <w:r w:rsidRPr="000D6411">
              <w:t>Member</w:t>
            </w:r>
          </w:p>
        </w:tc>
        <w:tc>
          <w:tcPr>
            <w:tcW w:w="2410" w:type="dxa"/>
            <w:tcBorders>
              <w:bottom w:val="single" w:sz="4" w:space="0" w:color="D9D9D9" w:themeColor="background2" w:themeShade="D9"/>
            </w:tcBorders>
            <w:vAlign w:val="center"/>
          </w:tcPr>
          <w:p w14:paraId="16C13C19" w14:textId="43080225" w:rsidR="00E6385B" w:rsidRPr="00FD022E" w:rsidRDefault="00E6385B" w:rsidP="00E6385B">
            <w:pPr>
              <w:pStyle w:val="Body"/>
            </w:pPr>
            <w:r w:rsidRPr="000D6411">
              <w:t>Mental health</w:t>
            </w:r>
          </w:p>
        </w:tc>
        <w:tc>
          <w:tcPr>
            <w:tcW w:w="1190" w:type="dxa"/>
            <w:tcBorders>
              <w:bottom w:val="single" w:sz="4" w:space="0" w:color="D9D9D9" w:themeColor="background2" w:themeShade="D9"/>
            </w:tcBorders>
            <w:shd w:val="clear" w:color="auto" w:fill="auto"/>
            <w:vAlign w:val="center"/>
          </w:tcPr>
          <w:p w14:paraId="0E2B3D10" w14:textId="13E4B433" w:rsidR="00E6385B" w:rsidRPr="0020661F" w:rsidRDefault="00E6385B" w:rsidP="00E6385B">
            <w:pPr>
              <w:pStyle w:val="Body"/>
              <w:jc w:val="right"/>
            </w:pPr>
            <w:r w:rsidRPr="000D6411">
              <w:t>4</w:t>
            </w:r>
          </w:p>
        </w:tc>
        <w:tc>
          <w:tcPr>
            <w:tcW w:w="1191" w:type="dxa"/>
            <w:tcBorders>
              <w:bottom w:val="single" w:sz="4" w:space="0" w:color="D9D9D9" w:themeColor="background2" w:themeShade="D9"/>
            </w:tcBorders>
            <w:shd w:val="clear" w:color="auto" w:fill="auto"/>
            <w:vAlign w:val="center"/>
          </w:tcPr>
          <w:p w14:paraId="2BD24836" w14:textId="3D2145D2" w:rsidR="00E6385B" w:rsidRPr="0020661F" w:rsidRDefault="00E6385B" w:rsidP="00E6385B">
            <w:pPr>
              <w:pStyle w:val="Body"/>
              <w:jc w:val="right"/>
            </w:pPr>
            <w:r w:rsidRPr="000D6411">
              <w:t>3</w:t>
            </w:r>
          </w:p>
        </w:tc>
      </w:tr>
      <w:tr w:rsidR="00E6385B" w:rsidRPr="00466E0A" w14:paraId="55AA8573"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3837F5D8" w14:textId="0D1DDA6B" w:rsidR="00E6385B" w:rsidRPr="00767650" w:rsidRDefault="00E6385B" w:rsidP="00E6385B">
            <w:pPr>
              <w:pStyle w:val="Body"/>
            </w:pPr>
            <w:r w:rsidRPr="000D6411">
              <w:t>Dr Phil Sargent</w:t>
            </w:r>
          </w:p>
        </w:tc>
        <w:tc>
          <w:tcPr>
            <w:tcW w:w="992" w:type="dxa"/>
            <w:vAlign w:val="center"/>
          </w:tcPr>
          <w:p w14:paraId="55DF33D7" w14:textId="4582360B" w:rsidR="00E6385B" w:rsidRPr="0033004E" w:rsidRDefault="00E6385B" w:rsidP="00E6385B">
            <w:pPr>
              <w:pStyle w:val="Body"/>
            </w:pPr>
            <w:r w:rsidRPr="000D6411">
              <w:t>Member</w:t>
            </w:r>
          </w:p>
        </w:tc>
        <w:tc>
          <w:tcPr>
            <w:tcW w:w="2410" w:type="dxa"/>
            <w:vAlign w:val="center"/>
          </w:tcPr>
          <w:p w14:paraId="6ED49DD0" w14:textId="3223B161" w:rsidR="00E6385B" w:rsidRPr="00FD022E" w:rsidRDefault="00E6385B" w:rsidP="00E6385B">
            <w:pPr>
              <w:pStyle w:val="Body"/>
            </w:pPr>
            <w:r w:rsidRPr="000D6411">
              <w:t>Paediatrics</w:t>
            </w:r>
          </w:p>
        </w:tc>
        <w:tc>
          <w:tcPr>
            <w:tcW w:w="1190" w:type="dxa"/>
            <w:shd w:val="clear" w:color="auto" w:fill="auto"/>
            <w:vAlign w:val="center"/>
          </w:tcPr>
          <w:p w14:paraId="6DB7252D" w14:textId="3BBC6F9A" w:rsidR="00E6385B" w:rsidRPr="0020661F" w:rsidRDefault="00E6385B" w:rsidP="00E6385B">
            <w:pPr>
              <w:pStyle w:val="Body"/>
              <w:jc w:val="right"/>
            </w:pPr>
            <w:r w:rsidRPr="000D6411">
              <w:t>3</w:t>
            </w:r>
          </w:p>
        </w:tc>
        <w:tc>
          <w:tcPr>
            <w:tcW w:w="1191" w:type="dxa"/>
            <w:shd w:val="clear" w:color="auto" w:fill="auto"/>
            <w:vAlign w:val="center"/>
          </w:tcPr>
          <w:p w14:paraId="261A2FDA" w14:textId="16B2CE52" w:rsidR="00E6385B" w:rsidRPr="0020661F" w:rsidRDefault="00E6385B" w:rsidP="00E6385B">
            <w:pPr>
              <w:pStyle w:val="Body"/>
              <w:jc w:val="right"/>
            </w:pPr>
            <w:r w:rsidRPr="000D6411">
              <w:t>2</w:t>
            </w:r>
          </w:p>
        </w:tc>
      </w:tr>
      <w:tr w:rsidR="00E6385B" w:rsidRPr="00466E0A" w14:paraId="7DD46405"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tcBorders>
              <w:bottom w:val="single" w:sz="4" w:space="0" w:color="D9D9D9" w:themeColor="background2" w:themeShade="D9"/>
            </w:tcBorders>
            <w:shd w:val="clear" w:color="auto" w:fill="auto"/>
            <w:vAlign w:val="center"/>
          </w:tcPr>
          <w:p w14:paraId="184093EA" w14:textId="32F4939A" w:rsidR="00E6385B" w:rsidRPr="00767650" w:rsidRDefault="00E6385B" w:rsidP="00E6385B">
            <w:pPr>
              <w:pStyle w:val="Body"/>
            </w:pPr>
            <w:r w:rsidRPr="000D6411">
              <w:t>Dr Tracy Smith</w:t>
            </w:r>
          </w:p>
        </w:tc>
        <w:tc>
          <w:tcPr>
            <w:tcW w:w="992" w:type="dxa"/>
            <w:tcBorders>
              <w:bottom w:val="single" w:sz="4" w:space="0" w:color="D9D9D9" w:themeColor="background2" w:themeShade="D9"/>
            </w:tcBorders>
            <w:vAlign w:val="center"/>
          </w:tcPr>
          <w:p w14:paraId="00773647" w14:textId="161A8445" w:rsidR="00E6385B" w:rsidRPr="0033004E" w:rsidRDefault="00E6385B" w:rsidP="00E6385B">
            <w:pPr>
              <w:pStyle w:val="Body"/>
            </w:pPr>
            <w:r w:rsidRPr="000D6411">
              <w:t>Member</w:t>
            </w:r>
          </w:p>
        </w:tc>
        <w:tc>
          <w:tcPr>
            <w:tcW w:w="2410" w:type="dxa"/>
            <w:tcBorders>
              <w:bottom w:val="single" w:sz="4" w:space="0" w:color="D9D9D9" w:themeColor="background2" w:themeShade="D9"/>
            </w:tcBorders>
            <w:vAlign w:val="center"/>
          </w:tcPr>
          <w:p w14:paraId="7869F318" w14:textId="494B5940" w:rsidR="00E6385B" w:rsidRPr="00FD022E" w:rsidRDefault="00E6385B" w:rsidP="00E6385B">
            <w:pPr>
              <w:pStyle w:val="Body"/>
            </w:pPr>
            <w:r w:rsidRPr="000D6411">
              <w:t>Respiratory and palliative care</w:t>
            </w:r>
          </w:p>
        </w:tc>
        <w:tc>
          <w:tcPr>
            <w:tcW w:w="1190" w:type="dxa"/>
            <w:tcBorders>
              <w:bottom w:val="single" w:sz="4" w:space="0" w:color="D9D9D9" w:themeColor="background2" w:themeShade="D9"/>
            </w:tcBorders>
            <w:shd w:val="clear" w:color="auto" w:fill="auto"/>
            <w:vAlign w:val="center"/>
          </w:tcPr>
          <w:p w14:paraId="139FCD7E" w14:textId="22632FA9" w:rsidR="00E6385B" w:rsidRPr="0020661F" w:rsidRDefault="00E6385B" w:rsidP="00E6385B">
            <w:pPr>
              <w:pStyle w:val="Body"/>
              <w:jc w:val="right"/>
            </w:pPr>
            <w:r w:rsidRPr="000D6411">
              <w:t>4</w:t>
            </w:r>
          </w:p>
        </w:tc>
        <w:tc>
          <w:tcPr>
            <w:tcW w:w="1191" w:type="dxa"/>
            <w:tcBorders>
              <w:bottom w:val="single" w:sz="4" w:space="0" w:color="D9D9D9" w:themeColor="background2" w:themeShade="D9"/>
            </w:tcBorders>
            <w:shd w:val="clear" w:color="auto" w:fill="auto"/>
            <w:vAlign w:val="center"/>
          </w:tcPr>
          <w:p w14:paraId="749B1DD5" w14:textId="3104546D" w:rsidR="00E6385B" w:rsidRPr="0020661F" w:rsidRDefault="00E6385B" w:rsidP="00E6385B">
            <w:pPr>
              <w:pStyle w:val="Body"/>
              <w:jc w:val="right"/>
            </w:pPr>
            <w:r w:rsidRPr="000D6411">
              <w:t>2</w:t>
            </w:r>
          </w:p>
        </w:tc>
      </w:tr>
      <w:tr w:rsidR="00E6385B" w:rsidRPr="00466E0A" w14:paraId="320DB520"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1ED7E2B5" w14:textId="0B8A197B" w:rsidR="00E6385B" w:rsidRPr="00767650" w:rsidRDefault="00E6385B" w:rsidP="00E6385B">
            <w:pPr>
              <w:pStyle w:val="Body"/>
            </w:pPr>
            <w:r w:rsidRPr="000D6411">
              <w:t>A/Prof Joanna Sutherland</w:t>
            </w:r>
          </w:p>
        </w:tc>
        <w:tc>
          <w:tcPr>
            <w:tcW w:w="992" w:type="dxa"/>
            <w:vAlign w:val="center"/>
          </w:tcPr>
          <w:p w14:paraId="5B20F35F" w14:textId="4986BD8E" w:rsidR="00E6385B" w:rsidRPr="0033004E" w:rsidRDefault="00E6385B" w:rsidP="00E6385B">
            <w:pPr>
              <w:pStyle w:val="Body"/>
            </w:pPr>
            <w:r w:rsidRPr="000D6411">
              <w:t>Member</w:t>
            </w:r>
          </w:p>
        </w:tc>
        <w:tc>
          <w:tcPr>
            <w:tcW w:w="2410" w:type="dxa"/>
            <w:vAlign w:val="center"/>
          </w:tcPr>
          <w:p w14:paraId="1A257781" w14:textId="5BE965DF" w:rsidR="00E6385B" w:rsidRPr="00FD022E" w:rsidRDefault="00E6385B" w:rsidP="00E6385B">
            <w:pPr>
              <w:pStyle w:val="Body"/>
            </w:pPr>
            <w:r w:rsidRPr="000D6411">
              <w:t>Anaesthesia and pain management/rural</w:t>
            </w:r>
          </w:p>
        </w:tc>
        <w:tc>
          <w:tcPr>
            <w:tcW w:w="1190" w:type="dxa"/>
            <w:shd w:val="clear" w:color="auto" w:fill="auto"/>
            <w:vAlign w:val="center"/>
          </w:tcPr>
          <w:p w14:paraId="2A664A3C" w14:textId="68330925" w:rsidR="00E6385B" w:rsidRPr="0020661F" w:rsidRDefault="00E6385B" w:rsidP="00E6385B">
            <w:pPr>
              <w:pStyle w:val="Body"/>
              <w:jc w:val="right"/>
            </w:pPr>
            <w:r w:rsidRPr="000D6411">
              <w:t>4</w:t>
            </w:r>
          </w:p>
        </w:tc>
        <w:tc>
          <w:tcPr>
            <w:tcW w:w="1191" w:type="dxa"/>
            <w:shd w:val="clear" w:color="auto" w:fill="auto"/>
            <w:vAlign w:val="center"/>
          </w:tcPr>
          <w:p w14:paraId="313AA661" w14:textId="21BA3CC7" w:rsidR="00E6385B" w:rsidRPr="0020661F" w:rsidRDefault="00E6385B" w:rsidP="00E6385B">
            <w:pPr>
              <w:pStyle w:val="Body"/>
              <w:jc w:val="right"/>
            </w:pPr>
            <w:r w:rsidRPr="000D6411">
              <w:t>2</w:t>
            </w:r>
          </w:p>
        </w:tc>
      </w:tr>
      <w:tr w:rsidR="00E6385B" w:rsidRPr="00466E0A" w14:paraId="0C3484A0"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tcBorders>
              <w:bottom w:val="single" w:sz="4" w:space="0" w:color="D9D9D9" w:themeColor="background2" w:themeShade="D9"/>
            </w:tcBorders>
            <w:shd w:val="clear" w:color="auto" w:fill="auto"/>
            <w:vAlign w:val="center"/>
          </w:tcPr>
          <w:p w14:paraId="2629DA34" w14:textId="3F1D33E5" w:rsidR="00E6385B" w:rsidRPr="00767650" w:rsidRDefault="00E6385B" w:rsidP="00E6385B">
            <w:pPr>
              <w:pStyle w:val="Body"/>
            </w:pPr>
            <w:r w:rsidRPr="000D6411">
              <w:t>Ms Monica Taylor</w:t>
            </w:r>
          </w:p>
        </w:tc>
        <w:tc>
          <w:tcPr>
            <w:tcW w:w="992" w:type="dxa"/>
            <w:tcBorders>
              <w:bottom w:val="single" w:sz="4" w:space="0" w:color="D9D9D9" w:themeColor="background2" w:themeShade="D9"/>
            </w:tcBorders>
            <w:vAlign w:val="center"/>
          </w:tcPr>
          <w:p w14:paraId="2EA4CEDD" w14:textId="3DDF333A" w:rsidR="00E6385B" w:rsidRPr="0033004E" w:rsidRDefault="00E6385B" w:rsidP="00E6385B">
            <w:pPr>
              <w:pStyle w:val="Body"/>
            </w:pPr>
            <w:r w:rsidRPr="000D6411">
              <w:t>Member</w:t>
            </w:r>
          </w:p>
        </w:tc>
        <w:tc>
          <w:tcPr>
            <w:tcW w:w="2410" w:type="dxa"/>
            <w:tcBorders>
              <w:bottom w:val="single" w:sz="4" w:space="0" w:color="D9D9D9" w:themeColor="background2" w:themeShade="D9"/>
            </w:tcBorders>
            <w:vAlign w:val="center"/>
          </w:tcPr>
          <w:p w14:paraId="03A0C330" w14:textId="2D44851C" w:rsidR="00E6385B" w:rsidRPr="00FD022E" w:rsidRDefault="00E6385B" w:rsidP="00E6385B">
            <w:pPr>
              <w:pStyle w:val="Body"/>
            </w:pPr>
            <w:r w:rsidRPr="000D6411">
              <w:t>Mental health</w:t>
            </w:r>
          </w:p>
        </w:tc>
        <w:tc>
          <w:tcPr>
            <w:tcW w:w="1190" w:type="dxa"/>
            <w:tcBorders>
              <w:bottom w:val="single" w:sz="4" w:space="0" w:color="D9D9D9" w:themeColor="background2" w:themeShade="D9"/>
            </w:tcBorders>
            <w:shd w:val="clear" w:color="auto" w:fill="auto"/>
            <w:vAlign w:val="center"/>
          </w:tcPr>
          <w:p w14:paraId="496CC62E" w14:textId="65A5A256" w:rsidR="00E6385B" w:rsidRPr="0020661F" w:rsidRDefault="00E6385B" w:rsidP="00E6385B">
            <w:pPr>
              <w:pStyle w:val="Body"/>
              <w:jc w:val="right"/>
            </w:pPr>
            <w:r w:rsidRPr="000D6411">
              <w:t>4</w:t>
            </w:r>
          </w:p>
        </w:tc>
        <w:tc>
          <w:tcPr>
            <w:tcW w:w="1191" w:type="dxa"/>
            <w:tcBorders>
              <w:bottom w:val="single" w:sz="4" w:space="0" w:color="D9D9D9" w:themeColor="background2" w:themeShade="D9"/>
            </w:tcBorders>
            <w:shd w:val="clear" w:color="auto" w:fill="auto"/>
            <w:vAlign w:val="center"/>
          </w:tcPr>
          <w:p w14:paraId="6CFB9FF6" w14:textId="0B40D1CE" w:rsidR="00E6385B" w:rsidRPr="0020661F" w:rsidRDefault="00E6385B" w:rsidP="00E6385B">
            <w:pPr>
              <w:pStyle w:val="Body"/>
              <w:jc w:val="right"/>
            </w:pPr>
            <w:r w:rsidRPr="000D6411">
              <w:t>4</w:t>
            </w:r>
          </w:p>
        </w:tc>
      </w:tr>
      <w:tr w:rsidR="00E6385B" w:rsidRPr="00466E0A" w14:paraId="1F97EEEF"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666B7065" w14:textId="24B3B3C1" w:rsidR="00E6385B" w:rsidRPr="00767650" w:rsidRDefault="00E6385B" w:rsidP="00E6385B">
            <w:pPr>
              <w:pStyle w:val="Body"/>
            </w:pPr>
            <w:r w:rsidRPr="000D6411">
              <w:t>A/Prof Melinda Truesdale</w:t>
            </w:r>
          </w:p>
        </w:tc>
        <w:tc>
          <w:tcPr>
            <w:tcW w:w="992" w:type="dxa"/>
            <w:vAlign w:val="center"/>
          </w:tcPr>
          <w:p w14:paraId="42C3BFDD" w14:textId="0FE3381F" w:rsidR="00E6385B" w:rsidRPr="0033004E" w:rsidRDefault="00E6385B" w:rsidP="00E6385B">
            <w:pPr>
              <w:pStyle w:val="Body"/>
            </w:pPr>
            <w:r w:rsidRPr="000D6411">
              <w:t>Member</w:t>
            </w:r>
          </w:p>
        </w:tc>
        <w:tc>
          <w:tcPr>
            <w:tcW w:w="2410" w:type="dxa"/>
            <w:vAlign w:val="center"/>
          </w:tcPr>
          <w:p w14:paraId="6AA44DB6" w14:textId="5409CD81" w:rsidR="00E6385B" w:rsidRPr="00FD022E" w:rsidRDefault="00E6385B" w:rsidP="00E6385B">
            <w:pPr>
              <w:pStyle w:val="Body"/>
            </w:pPr>
            <w:r w:rsidRPr="000D6411">
              <w:t>Emergency medicine</w:t>
            </w:r>
          </w:p>
        </w:tc>
        <w:tc>
          <w:tcPr>
            <w:tcW w:w="1190" w:type="dxa"/>
            <w:shd w:val="clear" w:color="auto" w:fill="auto"/>
            <w:vAlign w:val="center"/>
          </w:tcPr>
          <w:p w14:paraId="3C462372" w14:textId="3E6AEC48" w:rsidR="00E6385B" w:rsidRPr="0020661F" w:rsidRDefault="00E6385B" w:rsidP="00E6385B">
            <w:pPr>
              <w:pStyle w:val="Body"/>
              <w:jc w:val="right"/>
            </w:pPr>
            <w:r w:rsidRPr="000D6411">
              <w:t>4</w:t>
            </w:r>
          </w:p>
        </w:tc>
        <w:tc>
          <w:tcPr>
            <w:tcW w:w="1191" w:type="dxa"/>
            <w:shd w:val="clear" w:color="auto" w:fill="auto"/>
            <w:vAlign w:val="center"/>
          </w:tcPr>
          <w:p w14:paraId="69CAAE91" w14:textId="1153F708" w:rsidR="00E6385B" w:rsidRPr="0020661F" w:rsidRDefault="00E6385B" w:rsidP="00E6385B">
            <w:pPr>
              <w:pStyle w:val="Body"/>
              <w:jc w:val="right"/>
            </w:pPr>
            <w:r w:rsidRPr="000D6411">
              <w:t>3</w:t>
            </w:r>
          </w:p>
        </w:tc>
      </w:tr>
      <w:tr w:rsidR="00E6385B" w:rsidRPr="00466E0A" w14:paraId="11419227"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tcBorders>
              <w:bottom w:val="single" w:sz="4" w:space="0" w:color="D9D9D9" w:themeColor="background2" w:themeShade="D9"/>
            </w:tcBorders>
            <w:shd w:val="clear" w:color="auto" w:fill="auto"/>
            <w:vAlign w:val="center"/>
          </w:tcPr>
          <w:p w14:paraId="7FA6410C" w14:textId="31BE6DA6" w:rsidR="00E6385B" w:rsidRPr="00767650" w:rsidRDefault="00E6385B" w:rsidP="00E6385B">
            <w:pPr>
              <w:pStyle w:val="Body"/>
            </w:pPr>
            <w:r w:rsidRPr="000D6411">
              <w:t>A/Prof Paul Varghese</w:t>
            </w:r>
          </w:p>
        </w:tc>
        <w:tc>
          <w:tcPr>
            <w:tcW w:w="992" w:type="dxa"/>
            <w:tcBorders>
              <w:bottom w:val="single" w:sz="4" w:space="0" w:color="D9D9D9" w:themeColor="background2" w:themeShade="D9"/>
            </w:tcBorders>
            <w:vAlign w:val="center"/>
          </w:tcPr>
          <w:p w14:paraId="281A6FA2" w14:textId="038D481F" w:rsidR="00E6385B" w:rsidRPr="0033004E" w:rsidRDefault="00E6385B" w:rsidP="00E6385B">
            <w:pPr>
              <w:pStyle w:val="Body"/>
            </w:pPr>
            <w:r w:rsidRPr="000D6411">
              <w:t>Member</w:t>
            </w:r>
          </w:p>
        </w:tc>
        <w:tc>
          <w:tcPr>
            <w:tcW w:w="2410" w:type="dxa"/>
            <w:tcBorders>
              <w:bottom w:val="single" w:sz="4" w:space="0" w:color="D9D9D9" w:themeColor="background2" w:themeShade="D9"/>
            </w:tcBorders>
            <w:vAlign w:val="center"/>
          </w:tcPr>
          <w:p w14:paraId="19396083" w14:textId="666A0510" w:rsidR="00E6385B" w:rsidRPr="00FD022E" w:rsidRDefault="00E6385B" w:rsidP="00E6385B">
            <w:pPr>
              <w:pStyle w:val="Body"/>
            </w:pPr>
            <w:r w:rsidRPr="000D6411">
              <w:t>Geriatrics/rehabilitation</w:t>
            </w:r>
          </w:p>
        </w:tc>
        <w:tc>
          <w:tcPr>
            <w:tcW w:w="1190" w:type="dxa"/>
            <w:tcBorders>
              <w:bottom w:val="single" w:sz="4" w:space="0" w:color="D9D9D9" w:themeColor="background2" w:themeShade="D9"/>
            </w:tcBorders>
            <w:shd w:val="clear" w:color="auto" w:fill="auto"/>
            <w:vAlign w:val="center"/>
          </w:tcPr>
          <w:p w14:paraId="49384014" w14:textId="77C0B29F" w:rsidR="00E6385B" w:rsidRPr="0020661F" w:rsidRDefault="00E6385B" w:rsidP="00E6385B">
            <w:pPr>
              <w:pStyle w:val="Body"/>
              <w:jc w:val="right"/>
            </w:pPr>
            <w:r w:rsidRPr="000D6411">
              <w:t>4</w:t>
            </w:r>
          </w:p>
        </w:tc>
        <w:tc>
          <w:tcPr>
            <w:tcW w:w="1191" w:type="dxa"/>
            <w:tcBorders>
              <w:bottom w:val="single" w:sz="4" w:space="0" w:color="D9D9D9" w:themeColor="background2" w:themeShade="D9"/>
            </w:tcBorders>
            <w:shd w:val="clear" w:color="auto" w:fill="auto"/>
            <w:vAlign w:val="center"/>
          </w:tcPr>
          <w:p w14:paraId="0DFF2BD7" w14:textId="61CD502D" w:rsidR="00E6385B" w:rsidRPr="0020661F" w:rsidRDefault="00E6385B" w:rsidP="00E6385B">
            <w:pPr>
              <w:pStyle w:val="Body"/>
              <w:jc w:val="right"/>
            </w:pPr>
            <w:r w:rsidRPr="000D6411">
              <w:t>4</w:t>
            </w:r>
          </w:p>
        </w:tc>
      </w:tr>
      <w:tr w:rsidR="00E6385B" w:rsidRPr="00466E0A" w14:paraId="7712D324"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2E3E5268" w14:textId="05603228" w:rsidR="00E6385B" w:rsidRPr="00767650" w:rsidRDefault="00E6385B" w:rsidP="00E6385B">
            <w:pPr>
              <w:pStyle w:val="Body"/>
            </w:pPr>
            <w:r w:rsidRPr="000D6411">
              <w:t>A/Prof Andrew Wei</w:t>
            </w:r>
          </w:p>
        </w:tc>
        <w:tc>
          <w:tcPr>
            <w:tcW w:w="992" w:type="dxa"/>
            <w:vAlign w:val="center"/>
          </w:tcPr>
          <w:p w14:paraId="27EC1EF3" w14:textId="560B6844" w:rsidR="00E6385B" w:rsidRPr="0033004E" w:rsidRDefault="00E6385B" w:rsidP="00E6385B">
            <w:pPr>
              <w:pStyle w:val="Body"/>
            </w:pPr>
            <w:r w:rsidRPr="000D6411">
              <w:t>Member</w:t>
            </w:r>
          </w:p>
        </w:tc>
        <w:tc>
          <w:tcPr>
            <w:tcW w:w="2410" w:type="dxa"/>
            <w:vAlign w:val="center"/>
          </w:tcPr>
          <w:p w14:paraId="286C087A" w14:textId="1F8DCA99" w:rsidR="00E6385B" w:rsidRPr="00FD022E" w:rsidRDefault="00E6385B" w:rsidP="00E6385B">
            <w:pPr>
              <w:pStyle w:val="Body"/>
            </w:pPr>
            <w:r w:rsidRPr="000D6411">
              <w:t>Haematology</w:t>
            </w:r>
          </w:p>
        </w:tc>
        <w:tc>
          <w:tcPr>
            <w:tcW w:w="1190" w:type="dxa"/>
            <w:shd w:val="clear" w:color="auto" w:fill="auto"/>
            <w:vAlign w:val="center"/>
          </w:tcPr>
          <w:p w14:paraId="538DECA3" w14:textId="048F1605" w:rsidR="00E6385B" w:rsidRPr="0020661F" w:rsidRDefault="00E6385B" w:rsidP="00E6385B">
            <w:pPr>
              <w:pStyle w:val="Body"/>
              <w:jc w:val="right"/>
            </w:pPr>
            <w:r w:rsidRPr="000D6411">
              <w:t>4</w:t>
            </w:r>
          </w:p>
        </w:tc>
        <w:tc>
          <w:tcPr>
            <w:tcW w:w="1191" w:type="dxa"/>
            <w:shd w:val="clear" w:color="auto" w:fill="auto"/>
            <w:vAlign w:val="center"/>
          </w:tcPr>
          <w:p w14:paraId="06BC0B86" w14:textId="69A1189D" w:rsidR="00E6385B" w:rsidRPr="0020661F" w:rsidRDefault="00E6385B" w:rsidP="00E6385B">
            <w:pPr>
              <w:pStyle w:val="Body"/>
              <w:jc w:val="right"/>
            </w:pPr>
            <w:r w:rsidRPr="000D6411">
              <w:t>1</w:t>
            </w:r>
          </w:p>
        </w:tc>
      </w:tr>
      <w:tr w:rsidR="00E6385B" w:rsidRPr="00466E0A" w14:paraId="370A0164"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tcBorders>
              <w:bottom w:val="single" w:sz="4" w:space="0" w:color="D9D9D9" w:themeColor="background2" w:themeShade="D9"/>
            </w:tcBorders>
            <w:shd w:val="clear" w:color="auto" w:fill="auto"/>
            <w:vAlign w:val="center"/>
          </w:tcPr>
          <w:p w14:paraId="4058A4EF" w14:textId="440DFAE1" w:rsidR="00E6385B" w:rsidRPr="00767650" w:rsidRDefault="00E6385B" w:rsidP="00E6385B">
            <w:pPr>
              <w:pStyle w:val="Body"/>
            </w:pPr>
            <w:r w:rsidRPr="000D6411">
              <w:t>A/Prof Bernard Whitfield</w:t>
            </w:r>
          </w:p>
        </w:tc>
        <w:tc>
          <w:tcPr>
            <w:tcW w:w="992" w:type="dxa"/>
            <w:tcBorders>
              <w:bottom w:val="single" w:sz="4" w:space="0" w:color="D9D9D9" w:themeColor="background2" w:themeShade="D9"/>
            </w:tcBorders>
            <w:vAlign w:val="center"/>
          </w:tcPr>
          <w:p w14:paraId="23BC31DA" w14:textId="749E634A" w:rsidR="00E6385B" w:rsidRPr="0033004E" w:rsidRDefault="00E6385B" w:rsidP="00E6385B">
            <w:pPr>
              <w:pStyle w:val="Body"/>
            </w:pPr>
            <w:r w:rsidRPr="000D6411">
              <w:t>Member</w:t>
            </w:r>
          </w:p>
        </w:tc>
        <w:tc>
          <w:tcPr>
            <w:tcW w:w="2410" w:type="dxa"/>
            <w:tcBorders>
              <w:bottom w:val="single" w:sz="4" w:space="0" w:color="D9D9D9" w:themeColor="background2" w:themeShade="D9"/>
            </w:tcBorders>
            <w:vAlign w:val="center"/>
          </w:tcPr>
          <w:p w14:paraId="05D1478C" w14:textId="6CFA157F" w:rsidR="00E6385B" w:rsidRPr="00FD022E" w:rsidRDefault="00E6385B" w:rsidP="00E6385B">
            <w:pPr>
              <w:pStyle w:val="Body"/>
            </w:pPr>
            <w:r w:rsidRPr="000D6411">
              <w:t>Ear nose and throat surgery/ injuries/trauma</w:t>
            </w:r>
          </w:p>
        </w:tc>
        <w:tc>
          <w:tcPr>
            <w:tcW w:w="1190" w:type="dxa"/>
            <w:tcBorders>
              <w:bottom w:val="single" w:sz="4" w:space="0" w:color="D9D9D9" w:themeColor="background2" w:themeShade="D9"/>
            </w:tcBorders>
            <w:shd w:val="clear" w:color="auto" w:fill="auto"/>
            <w:vAlign w:val="center"/>
          </w:tcPr>
          <w:p w14:paraId="48B2870C" w14:textId="0E080E6A" w:rsidR="00E6385B" w:rsidRPr="0020661F" w:rsidRDefault="00E6385B" w:rsidP="00E6385B">
            <w:pPr>
              <w:pStyle w:val="Body"/>
              <w:jc w:val="right"/>
            </w:pPr>
            <w:r w:rsidRPr="000D6411">
              <w:t>4</w:t>
            </w:r>
          </w:p>
        </w:tc>
        <w:tc>
          <w:tcPr>
            <w:tcW w:w="1191" w:type="dxa"/>
            <w:tcBorders>
              <w:bottom w:val="single" w:sz="4" w:space="0" w:color="D9D9D9" w:themeColor="background2" w:themeShade="D9"/>
            </w:tcBorders>
            <w:shd w:val="clear" w:color="auto" w:fill="auto"/>
            <w:vAlign w:val="center"/>
          </w:tcPr>
          <w:p w14:paraId="03F3B240" w14:textId="2773D189" w:rsidR="00E6385B" w:rsidRPr="0020661F" w:rsidRDefault="00E6385B" w:rsidP="00E6385B">
            <w:pPr>
              <w:pStyle w:val="Body"/>
              <w:jc w:val="right"/>
            </w:pPr>
            <w:r w:rsidRPr="000D6411">
              <w:t>1</w:t>
            </w:r>
          </w:p>
        </w:tc>
      </w:tr>
      <w:tr w:rsidR="00E6385B" w:rsidRPr="00466E0A" w14:paraId="5E34B4CF" w14:textId="77777777" w:rsidTr="00EF43F9">
        <w:trPr>
          <w:cnfStyle w:val="000000100000" w:firstRow="0" w:lastRow="0" w:firstColumn="0" w:lastColumn="0" w:oddVBand="0" w:evenVBand="0" w:oddHBand="1" w:evenHBand="0" w:firstRowFirstColumn="0" w:firstRowLastColumn="0" w:lastRowFirstColumn="0" w:lastRowLastColumn="0"/>
          <w:trHeight w:val="340"/>
        </w:trPr>
        <w:tc>
          <w:tcPr>
            <w:tcW w:w="1985" w:type="dxa"/>
            <w:shd w:val="clear" w:color="auto" w:fill="auto"/>
            <w:vAlign w:val="center"/>
          </w:tcPr>
          <w:p w14:paraId="1A9A47B8" w14:textId="2BAEAFF9" w:rsidR="00E6385B" w:rsidRPr="00767650" w:rsidRDefault="00E6385B" w:rsidP="00E6385B">
            <w:pPr>
              <w:pStyle w:val="Body"/>
            </w:pPr>
            <w:r w:rsidRPr="000D6411">
              <w:t>Dr Jo Wright</w:t>
            </w:r>
          </w:p>
        </w:tc>
        <w:tc>
          <w:tcPr>
            <w:tcW w:w="992" w:type="dxa"/>
            <w:vAlign w:val="center"/>
          </w:tcPr>
          <w:p w14:paraId="2BBE2FF8" w14:textId="6106A6AC" w:rsidR="00E6385B" w:rsidRPr="0033004E" w:rsidRDefault="00E6385B" w:rsidP="00E6385B">
            <w:pPr>
              <w:pStyle w:val="Body"/>
            </w:pPr>
            <w:r w:rsidRPr="000D6411">
              <w:t>Member</w:t>
            </w:r>
          </w:p>
        </w:tc>
        <w:tc>
          <w:tcPr>
            <w:tcW w:w="2410" w:type="dxa"/>
            <w:vAlign w:val="center"/>
          </w:tcPr>
          <w:p w14:paraId="3A430A92" w14:textId="1105202B" w:rsidR="00E6385B" w:rsidRPr="00FD022E" w:rsidRDefault="00E6385B" w:rsidP="00E6385B">
            <w:pPr>
              <w:pStyle w:val="Body"/>
            </w:pPr>
            <w:r w:rsidRPr="000D6411">
              <w:t>Rural medical practice</w:t>
            </w:r>
          </w:p>
        </w:tc>
        <w:tc>
          <w:tcPr>
            <w:tcW w:w="1190" w:type="dxa"/>
            <w:shd w:val="clear" w:color="auto" w:fill="auto"/>
            <w:vAlign w:val="center"/>
          </w:tcPr>
          <w:p w14:paraId="38F955D6" w14:textId="1D5E4B70" w:rsidR="00E6385B" w:rsidRPr="0020661F" w:rsidRDefault="00E6385B" w:rsidP="00E6385B">
            <w:pPr>
              <w:pStyle w:val="Body"/>
              <w:jc w:val="right"/>
            </w:pPr>
            <w:r w:rsidRPr="000D6411">
              <w:t>4</w:t>
            </w:r>
          </w:p>
        </w:tc>
        <w:tc>
          <w:tcPr>
            <w:tcW w:w="1191" w:type="dxa"/>
            <w:shd w:val="clear" w:color="auto" w:fill="auto"/>
            <w:vAlign w:val="center"/>
          </w:tcPr>
          <w:p w14:paraId="505EC191" w14:textId="520F4910" w:rsidR="00E6385B" w:rsidRPr="0020661F" w:rsidRDefault="00E6385B" w:rsidP="00E6385B">
            <w:pPr>
              <w:pStyle w:val="Body"/>
              <w:jc w:val="right"/>
            </w:pPr>
            <w:r w:rsidRPr="000D6411">
              <w:t>4</w:t>
            </w:r>
          </w:p>
        </w:tc>
      </w:tr>
      <w:tr w:rsidR="00E6385B" w:rsidRPr="00466E0A" w14:paraId="5F9BC831" w14:textId="77777777" w:rsidTr="00EF43F9">
        <w:trPr>
          <w:cnfStyle w:val="000000010000" w:firstRow="0" w:lastRow="0" w:firstColumn="0" w:lastColumn="0" w:oddVBand="0" w:evenVBand="0" w:oddHBand="0" w:evenHBand="1" w:firstRowFirstColumn="0" w:firstRowLastColumn="0" w:lastRowFirstColumn="0" w:lastRowLastColumn="0"/>
          <w:trHeight w:val="340"/>
        </w:trPr>
        <w:tc>
          <w:tcPr>
            <w:tcW w:w="1985" w:type="dxa"/>
            <w:tcBorders>
              <w:bottom w:val="single" w:sz="4" w:space="0" w:color="D9D9D9" w:themeColor="background2" w:themeShade="D9"/>
            </w:tcBorders>
            <w:shd w:val="clear" w:color="auto" w:fill="auto"/>
            <w:vAlign w:val="center"/>
          </w:tcPr>
          <w:p w14:paraId="3AF40A8B" w14:textId="40B477A1" w:rsidR="00E6385B" w:rsidRPr="00767650" w:rsidRDefault="00E6385B" w:rsidP="00E6385B">
            <w:pPr>
              <w:pStyle w:val="Body"/>
            </w:pPr>
            <w:r w:rsidRPr="000D6411">
              <w:t>Dr Kathryn Zeitz</w:t>
            </w:r>
          </w:p>
        </w:tc>
        <w:tc>
          <w:tcPr>
            <w:tcW w:w="992" w:type="dxa"/>
            <w:tcBorders>
              <w:bottom w:val="single" w:sz="4" w:space="0" w:color="D9D9D9" w:themeColor="background2" w:themeShade="D9"/>
            </w:tcBorders>
            <w:vAlign w:val="center"/>
          </w:tcPr>
          <w:p w14:paraId="3F455308" w14:textId="29258418" w:rsidR="00E6385B" w:rsidRPr="0033004E" w:rsidRDefault="00E6385B" w:rsidP="00E6385B">
            <w:pPr>
              <w:pStyle w:val="Body"/>
            </w:pPr>
            <w:r w:rsidRPr="000D6411">
              <w:t>Member</w:t>
            </w:r>
          </w:p>
        </w:tc>
        <w:tc>
          <w:tcPr>
            <w:tcW w:w="2410" w:type="dxa"/>
            <w:tcBorders>
              <w:bottom w:val="single" w:sz="4" w:space="0" w:color="D9D9D9" w:themeColor="background2" w:themeShade="D9"/>
            </w:tcBorders>
            <w:vAlign w:val="center"/>
          </w:tcPr>
          <w:p w14:paraId="618F4042" w14:textId="5195DA4F" w:rsidR="00E6385B" w:rsidRPr="00FD022E" w:rsidRDefault="00E6385B" w:rsidP="00E6385B">
            <w:pPr>
              <w:pStyle w:val="Body"/>
            </w:pPr>
            <w:r w:rsidRPr="000D6411">
              <w:t>Nursing</w:t>
            </w:r>
          </w:p>
        </w:tc>
        <w:tc>
          <w:tcPr>
            <w:tcW w:w="1190" w:type="dxa"/>
            <w:tcBorders>
              <w:bottom w:val="single" w:sz="4" w:space="0" w:color="D9D9D9" w:themeColor="background2" w:themeShade="D9"/>
            </w:tcBorders>
            <w:shd w:val="clear" w:color="auto" w:fill="auto"/>
            <w:vAlign w:val="center"/>
          </w:tcPr>
          <w:p w14:paraId="4FA10276" w14:textId="7B6D1451" w:rsidR="00E6385B" w:rsidRPr="0020661F" w:rsidRDefault="00E6385B" w:rsidP="00E6385B">
            <w:pPr>
              <w:pStyle w:val="Body"/>
              <w:jc w:val="right"/>
            </w:pPr>
            <w:r w:rsidRPr="000D6411">
              <w:t>4</w:t>
            </w:r>
          </w:p>
        </w:tc>
        <w:tc>
          <w:tcPr>
            <w:tcW w:w="1191" w:type="dxa"/>
            <w:tcBorders>
              <w:bottom w:val="single" w:sz="4" w:space="0" w:color="D9D9D9" w:themeColor="background2" w:themeShade="D9"/>
            </w:tcBorders>
            <w:shd w:val="clear" w:color="auto" w:fill="auto"/>
            <w:vAlign w:val="center"/>
          </w:tcPr>
          <w:p w14:paraId="6EE84494" w14:textId="61E36158" w:rsidR="00E6385B" w:rsidRPr="0020661F" w:rsidRDefault="00E6385B" w:rsidP="00E6385B">
            <w:pPr>
              <w:pStyle w:val="Body"/>
              <w:jc w:val="right"/>
            </w:pPr>
            <w:r w:rsidRPr="000D6411">
              <w:t>3</w:t>
            </w:r>
          </w:p>
        </w:tc>
      </w:tr>
    </w:tbl>
    <w:p w14:paraId="71E2E07D" w14:textId="0D547A53" w:rsidR="001C02D5" w:rsidRDefault="001C02D5" w:rsidP="000431F3">
      <w:pPr>
        <w:pStyle w:val="Body"/>
      </w:pPr>
    </w:p>
    <w:tbl>
      <w:tblPr>
        <w:tblStyle w:val="TableGrid"/>
        <w:tblW w:w="0" w:type="auto"/>
        <w:tblBorders>
          <w:top w:val="single" w:sz="4" w:space="0" w:color="009AB8" w:themeColor="accent3"/>
          <w:left w:val="single" w:sz="4" w:space="0" w:color="009AB8" w:themeColor="accent3"/>
          <w:bottom w:val="single" w:sz="4" w:space="0" w:color="009AB8" w:themeColor="accent3"/>
          <w:right w:val="single" w:sz="4" w:space="0" w:color="009AB8" w:themeColor="accent3"/>
          <w:insideH w:val="single" w:sz="4" w:space="0" w:color="D9D9D9" w:themeColor="background2" w:themeShade="D9"/>
          <w:insideV w:val="single" w:sz="4" w:space="0" w:color="009AB8" w:themeColor="accent3"/>
        </w:tblBorders>
        <w:tblLook w:val="04A0" w:firstRow="1" w:lastRow="0" w:firstColumn="1" w:lastColumn="0" w:noHBand="0" w:noVBand="1"/>
      </w:tblPr>
      <w:tblGrid>
        <w:gridCol w:w="7701"/>
      </w:tblGrid>
      <w:tr w:rsidR="00EF43F9" w14:paraId="3B2E8A7E" w14:textId="77777777" w:rsidTr="009249C6">
        <w:trPr>
          <w:cnfStyle w:val="100000000000" w:firstRow="1" w:lastRow="0" w:firstColumn="0" w:lastColumn="0" w:oddVBand="0" w:evenVBand="0" w:oddHBand="0" w:evenHBand="0" w:firstRowFirstColumn="0" w:firstRowLastColumn="0" w:lastRowFirstColumn="0" w:lastRowLastColumn="0"/>
          <w:trHeight w:val="283"/>
        </w:trPr>
        <w:tc>
          <w:tcPr>
            <w:tcW w:w="7711" w:type="dxa"/>
            <w:shd w:val="clear" w:color="auto" w:fill="auto"/>
            <w:vAlign w:val="center"/>
          </w:tcPr>
          <w:p w14:paraId="72DA48FA" w14:textId="337A3BFC" w:rsidR="00EF43F9" w:rsidRPr="00EF43F9" w:rsidRDefault="00EF43F9" w:rsidP="009249C6">
            <w:pPr>
              <w:pStyle w:val="Body"/>
              <w:rPr>
                <w:rFonts w:asciiTheme="majorHAnsi" w:hAnsiTheme="majorHAnsi"/>
                <w:color w:val="009AB8" w:themeColor="accent3"/>
              </w:rPr>
            </w:pPr>
            <w:r>
              <w:rPr>
                <w:rFonts w:asciiTheme="majorHAnsi" w:hAnsiTheme="majorHAnsi"/>
                <w:color w:val="009AB8" w:themeColor="accent3"/>
              </w:rPr>
              <w:t>Clinical Advisory Committee meetings 2021–22</w:t>
            </w:r>
          </w:p>
        </w:tc>
      </w:tr>
      <w:tr w:rsidR="00EF43F9" w14:paraId="74F66069" w14:textId="77777777" w:rsidTr="009249C6">
        <w:trPr>
          <w:cnfStyle w:val="100000000000" w:firstRow="1" w:lastRow="0" w:firstColumn="0" w:lastColumn="0" w:oddVBand="0" w:evenVBand="0" w:oddHBand="0" w:evenHBand="0" w:firstRowFirstColumn="0" w:firstRowLastColumn="0" w:lastRowFirstColumn="0" w:lastRowLastColumn="0"/>
          <w:trHeight w:val="283"/>
        </w:trPr>
        <w:tc>
          <w:tcPr>
            <w:tcW w:w="7711" w:type="dxa"/>
            <w:shd w:val="clear" w:color="auto" w:fill="auto"/>
            <w:vAlign w:val="center"/>
          </w:tcPr>
          <w:p w14:paraId="0383DE5E" w14:textId="45C7FD72" w:rsidR="00EF43F9" w:rsidRPr="00EF43F9" w:rsidRDefault="00EF43F9" w:rsidP="009249C6">
            <w:pPr>
              <w:pStyle w:val="Body"/>
            </w:pPr>
            <w:r>
              <w:t>18 August 2021</w:t>
            </w:r>
          </w:p>
        </w:tc>
      </w:tr>
      <w:tr w:rsidR="00EF43F9" w14:paraId="124559C6" w14:textId="77777777" w:rsidTr="009249C6">
        <w:trPr>
          <w:cnfStyle w:val="100000000000" w:firstRow="1" w:lastRow="0" w:firstColumn="0" w:lastColumn="0" w:oddVBand="0" w:evenVBand="0" w:oddHBand="0" w:evenHBand="0" w:firstRowFirstColumn="0" w:firstRowLastColumn="0" w:lastRowFirstColumn="0" w:lastRowLastColumn="0"/>
          <w:trHeight w:val="283"/>
        </w:trPr>
        <w:tc>
          <w:tcPr>
            <w:tcW w:w="7711" w:type="dxa"/>
            <w:shd w:val="clear" w:color="auto" w:fill="auto"/>
            <w:vAlign w:val="center"/>
          </w:tcPr>
          <w:p w14:paraId="2ADD990D" w14:textId="6EA58BF2" w:rsidR="00EF43F9" w:rsidRPr="00EF43F9" w:rsidRDefault="00EF43F9" w:rsidP="009249C6">
            <w:pPr>
              <w:pStyle w:val="Body"/>
            </w:pPr>
            <w:r w:rsidRPr="00EF43F9">
              <w:t>21 October</w:t>
            </w:r>
            <w:r>
              <w:t xml:space="preserve"> 2021</w:t>
            </w:r>
          </w:p>
        </w:tc>
      </w:tr>
      <w:tr w:rsidR="00EF43F9" w14:paraId="352A724F" w14:textId="77777777" w:rsidTr="009249C6">
        <w:trPr>
          <w:cnfStyle w:val="100000000000" w:firstRow="1" w:lastRow="0" w:firstColumn="0" w:lastColumn="0" w:oddVBand="0" w:evenVBand="0" w:oddHBand="0" w:evenHBand="0" w:firstRowFirstColumn="0" w:firstRowLastColumn="0" w:lastRowFirstColumn="0" w:lastRowLastColumn="0"/>
          <w:trHeight w:val="283"/>
        </w:trPr>
        <w:tc>
          <w:tcPr>
            <w:tcW w:w="7711" w:type="dxa"/>
            <w:shd w:val="clear" w:color="auto" w:fill="auto"/>
            <w:vAlign w:val="center"/>
          </w:tcPr>
          <w:p w14:paraId="0991B070" w14:textId="383257CD" w:rsidR="00EF43F9" w:rsidRPr="00EF43F9" w:rsidRDefault="00EF43F9" w:rsidP="009249C6">
            <w:pPr>
              <w:pStyle w:val="Body"/>
            </w:pPr>
            <w:r>
              <w:t>2 February 2022</w:t>
            </w:r>
          </w:p>
        </w:tc>
      </w:tr>
      <w:tr w:rsidR="00EF43F9" w14:paraId="3DE266E3" w14:textId="77777777" w:rsidTr="009249C6">
        <w:trPr>
          <w:cnfStyle w:val="100000000000" w:firstRow="1" w:lastRow="0" w:firstColumn="0" w:lastColumn="0" w:oddVBand="0" w:evenVBand="0" w:oddHBand="0" w:evenHBand="0" w:firstRowFirstColumn="0" w:firstRowLastColumn="0" w:lastRowFirstColumn="0" w:lastRowLastColumn="0"/>
          <w:trHeight w:val="283"/>
        </w:trPr>
        <w:tc>
          <w:tcPr>
            <w:tcW w:w="7711" w:type="dxa"/>
            <w:shd w:val="clear" w:color="auto" w:fill="auto"/>
            <w:vAlign w:val="center"/>
          </w:tcPr>
          <w:p w14:paraId="38700E53" w14:textId="63CFE188" w:rsidR="00EF43F9" w:rsidRPr="00EF43F9" w:rsidRDefault="00EF43F9" w:rsidP="009249C6">
            <w:pPr>
              <w:pStyle w:val="Body"/>
            </w:pPr>
            <w:r>
              <w:t>18 May 2022</w:t>
            </w:r>
          </w:p>
        </w:tc>
      </w:tr>
    </w:tbl>
    <w:p w14:paraId="2D90A9AB" w14:textId="77777777" w:rsidR="005559E1" w:rsidRDefault="005559E1" w:rsidP="000431F3">
      <w:pPr>
        <w:pStyle w:val="Body"/>
      </w:pPr>
    </w:p>
    <w:p w14:paraId="224B9757" w14:textId="77777777" w:rsidR="005559E1" w:rsidRDefault="005559E1" w:rsidP="000431F3">
      <w:pPr>
        <w:pStyle w:val="Body"/>
        <w:sectPr w:rsidR="005559E1" w:rsidSect="005559E1">
          <w:footerReference w:type="default" r:id="rId157"/>
          <w:pgSz w:w="9979" w:h="14175"/>
          <w:pgMar w:top="1418" w:right="1134" w:bottom="1134" w:left="1134" w:header="709" w:footer="709" w:gutter="0"/>
          <w:cols w:space="708"/>
          <w:docGrid w:linePitch="360"/>
        </w:sectPr>
      </w:pPr>
    </w:p>
    <w:p w14:paraId="53895E0C" w14:textId="77777777" w:rsidR="00CA5D13" w:rsidRPr="003B5BE2" w:rsidRDefault="00CA5D13" w:rsidP="00CA5D13">
      <w:pPr>
        <w:pStyle w:val="H3"/>
        <w:spacing w:before="0"/>
        <w:rPr>
          <w:color w:val="009AB8" w:themeColor="accent3"/>
        </w:rPr>
      </w:pPr>
      <w:r w:rsidRPr="003B5BE2">
        <w:rPr>
          <w:color w:val="009AB8" w:themeColor="accent3"/>
        </w:rPr>
        <w:t>Jurisdictional Advisory Committee</w:t>
      </w:r>
    </w:p>
    <w:p w14:paraId="57E9E034" w14:textId="77777777" w:rsidR="00CA5D13" w:rsidRDefault="00CA5D13" w:rsidP="00CA5D13">
      <w:pPr>
        <w:pStyle w:val="Body"/>
      </w:pPr>
      <w:r>
        <w:t xml:space="preserve">The Jurisdictional Advisory Committee was established under section 195 of the NHR Act. It consists of a Chair, appointed by the Pricing Authority and nine other members (one to represent each state and territory, and one representing the Commonwealth Government). </w:t>
      </w:r>
    </w:p>
    <w:p w14:paraId="424B0FAB" w14:textId="77777777" w:rsidR="00CA5D13" w:rsidRDefault="00CA5D13" w:rsidP="00CA5D13">
      <w:pPr>
        <w:pStyle w:val="Body"/>
      </w:pPr>
      <w:r>
        <w:t>Committee members are appointed by the head of the health department of the jurisdiction they represent.</w:t>
      </w:r>
    </w:p>
    <w:p w14:paraId="54A4F8B9" w14:textId="77777777" w:rsidR="00CA5D13" w:rsidRDefault="00CA5D13" w:rsidP="00CA5D13">
      <w:pPr>
        <w:pStyle w:val="Body"/>
      </w:pPr>
      <w:r>
        <w:t>The Jurisdictional Advisory Committee met on 10 occasions between 1 July 2021 and 30 June 2022.</w:t>
      </w:r>
    </w:p>
    <w:p w14:paraId="57E6B6BC" w14:textId="77777777" w:rsidR="00CA5D13" w:rsidRDefault="00CA5D13" w:rsidP="00CA5D13">
      <w:pPr>
        <w:pStyle w:val="H6"/>
      </w:pPr>
      <w:r>
        <w:t>Jurisdictional Advisory Committee members as of 30 June 2021:</w:t>
      </w:r>
    </w:p>
    <w:p w14:paraId="48FD28DB" w14:textId="77777777" w:rsidR="00CA5D13" w:rsidRDefault="00CA5D13" w:rsidP="00CA5D13">
      <w:pPr>
        <w:pStyle w:val="Bullets"/>
      </w:pPr>
      <w:r>
        <w:t>Ms Joanne Fitzgerald (Chair)</w:t>
      </w:r>
    </w:p>
    <w:p w14:paraId="33153C3E" w14:textId="77777777" w:rsidR="00CA5D13" w:rsidRDefault="00CA5D13" w:rsidP="00CA5D13">
      <w:pPr>
        <w:pStyle w:val="Bullets"/>
      </w:pPr>
      <w:r>
        <w:t>Mr Rob Anderson (Western Australia)</w:t>
      </w:r>
    </w:p>
    <w:p w14:paraId="50B4D277" w14:textId="77777777" w:rsidR="00CA5D13" w:rsidRDefault="00CA5D13" w:rsidP="00CA5D13">
      <w:pPr>
        <w:pStyle w:val="Bullets"/>
      </w:pPr>
      <w:r>
        <w:t>Ms Lynne Cowan (South Australia)</w:t>
      </w:r>
    </w:p>
    <w:p w14:paraId="43FB050F" w14:textId="77777777" w:rsidR="00CA5D13" w:rsidRDefault="00CA5D13" w:rsidP="00CA5D13">
      <w:pPr>
        <w:pStyle w:val="Bullets"/>
      </w:pPr>
      <w:r w:rsidRPr="000E5239">
        <w:t>Mr Michael Culhane (Australian Capital Territory)</w:t>
      </w:r>
    </w:p>
    <w:p w14:paraId="0FFDE486" w14:textId="77777777" w:rsidR="00CA5D13" w:rsidRDefault="00CA5D13" w:rsidP="00CA5D13">
      <w:pPr>
        <w:pStyle w:val="Bullets"/>
      </w:pPr>
      <w:r>
        <w:t>Ms Toni Cunningham (Queensland)</w:t>
      </w:r>
    </w:p>
    <w:p w14:paraId="1A349484" w14:textId="77777777" w:rsidR="00CA5D13" w:rsidRDefault="00CA5D13" w:rsidP="00CA5D13">
      <w:pPr>
        <w:pStyle w:val="Bullets"/>
      </w:pPr>
      <w:r>
        <w:t>Ms Denise Ferrier (Victoria)</w:t>
      </w:r>
    </w:p>
    <w:p w14:paraId="6E324964" w14:textId="77777777" w:rsidR="00CA5D13" w:rsidRDefault="00CA5D13" w:rsidP="00CA5D13">
      <w:pPr>
        <w:pStyle w:val="Bullets"/>
      </w:pPr>
      <w:r>
        <w:t>Ms Bronwyn Field (Commonwealth Government)</w:t>
      </w:r>
    </w:p>
    <w:p w14:paraId="1A367F6F" w14:textId="77777777" w:rsidR="00CA5D13" w:rsidRDefault="00CA5D13" w:rsidP="00CA5D13">
      <w:pPr>
        <w:pStyle w:val="Bullets"/>
      </w:pPr>
      <w:r>
        <w:t>Dr Nigel Lyons (New South Wales)</w:t>
      </w:r>
    </w:p>
    <w:p w14:paraId="37C393C6" w14:textId="77777777" w:rsidR="00CA5D13" w:rsidRDefault="00CA5D13" w:rsidP="00CA5D13">
      <w:pPr>
        <w:pStyle w:val="Bullets"/>
      </w:pPr>
      <w:r>
        <w:t>Mr Damien Smith (Proxy for Tasmania)</w:t>
      </w:r>
    </w:p>
    <w:p w14:paraId="6508F396" w14:textId="77777777" w:rsidR="00CA5D13" w:rsidRDefault="00CA5D13" w:rsidP="00CA5D13">
      <w:pPr>
        <w:pStyle w:val="Bullets"/>
      </w:pPr>
      <w:r>
        <w:t xml:space="preserve">Mr Stathi Tsangaris (Northern Territory). </w:t>
      </w:r>
    </w:p>
    <w:p w14:paraId="2375A779" w14:textId="77777777" w:rsidR="00CA5D13" w:rsidRDefault="00CA5D13" w:rsidP="00CA5D13">
      <w:pPr>
        <w:pStyle w:val="Body"/>
      </w:pPr>
      <w:r>
        <w:t>During the reporting period, there were changes to the Chair, Australian Capital Territory and Tasmania memberships.</w:t>
      </w:r>
    </w:p>
    <w:p w14:paraId="4077EBAB" w14:textId="77777777" w:rsidR="00CA5D13" w:rsidRPr="003B5BE2" w:rsidRDefault="003B5BE2" w:rsidP="00CA5D13">
      <w:pPr>
        <w:pStyle w:val="H3"/>
        <w:rPr>
          <w:color w:val="009AB8" w:themeColor="accent3"/>
        </w:rPr>
      </w:pPr>
      <w:r>
        <w:br w:type="column"/>
      </w:r>
      <w:bookmarkStart w:id="75" w:name="AuditRiskandComplianceCommittee"/>
      <w:r w:rsidR="00CA5D13" w:rsidRPr="00E7515A">
        <w:rPr>
          <w:color w:val="009AB8" w:themeColor="accent3"/>
        </w:rPr>
        <w:t>Audit, Risk and Compliance Committee</w:t>
      </w:r>
      <w:bookmarkEnd w:id="75"/>
    </w:p>
    <w:p w14:paraId="5398E745" w14:textId="77777777" w:rsidR="00CA5D13" w:rsidRDefault="00CA5D13" w:rsidP="00CA5D13">
      <w:pPr>
        <w:pStyle w:val="Body"/>
      </w:pPr>
      <w:r w:rsidRPr="00E7515A">
        <w:t xml:space="preserve">The IHPA Audit, Risk and Compliance Committee provides independent advice to the </w:t>
      </w:r>
      <w:r>
        <w:t>C</w:t>
      </w:r>
      <w:r w:rsidRPr="00E7515A">
        <w:t xml:space="preserve">hief </w:t>
      </w:r>
      <w:r>
        <w:t>E</w:t>
      </w:r>
      <w:r w:rsidRPr="00E7515A">
        <w:t xml:space="preserve">xecutive </w:t>
      </w:r>
      <w:r>
        <w:t>O</w:t>
      </w:r>
      <w:r w:rsidRPr="00E7515A">
        <w:t>fficer on managing IHPA’s financial and business risk.</w:t>
      </w:r>
    </w:p>
    <w:p w14:paraId="2BED2E57" w14:textId="5DBC4CC9" w:rsidR="00CA5D13" w:rsidRDefault="00CA5D13" w:rsidP="00CA5D13">
      <w:pPr>
        <w:pStyle w:val="Body"/>
      </w:pPr>
      <w:r>
        <w:t xml:space="preserve">The Audit, Risk and Compliance Committee Charter is available at: </w:t>
      </w:r>
      <w:hyperlink r:id="rId158" w:history="1">
        <w:r w:rsidRPr="00CA5D13">
          <w:rPr>
            <w:rStyle w:val="Hyperlink"/>
          </w:rPr>
          <w:t>ihacpa.gov.au/audit-risk-and-compliance-committee</w:t>
        </w:r>
      </w:hyperlink>
      <w:r w:rsidRPr="00CA5D13">
        <w:t>.</w:t>
      </w:r>
      <w:r>
        <w:t xml:space="preserve"> </w:t>
      </w:r>
    </w:p>
    <w:p w14:paraId="45178524" w14:textId="77777777" w:rsidR="00CA5D13" w:rsidRDefault="00CA5D13" w:rsidP="00CA5D13">
      <w:pPr>
        <w:pStyle w:val="Body"/>
      </w:pPr>
      <w:r>
        <w:t>During the reporting period, members of the Audit, Risk and Compliance Committee comprised:</w:t>
      </w:r>
    </w:p>
    <w:p w14:paraId="325B7F22" w14:textId="77777777" w:rsidR="00CA5D13" w:rsidRDefault="00CA5D13" w:rsidP="00CA5D13">
      <w:pPr>
        <w:pStyle w:val="Bullets"/>
      </w:pPr>
      <w:r>
        <w:t>Ms Angela Diamond, Chair and independent member</w:t>
      </w:r>
    </w:p>
    <w:p w14:paraId="7B291902" w14:textId="77777777" w:rsidR="00CA5D13" w:rsidRDefault="00CA5D13" w:rsidP="00CA5D13">
      <w:pPr>
        <w:pStyle w:val="Bullets"/>
      </w:pPr>
      <w:r>
        <w:t xml:space="preserve">Mr Glenn Appleyard, member, Pricing Authority </w:t>
      </w:r>
    </w:p>
    <w:p w14:paraId="72B163E0" w14:textId="77777777" w:rsidR="00CA5D13" w:rsidRDefault="00CA5D13" w:rsidP="00CA5D13">
      <w:pPr>
        <w:pStyle w:val="Bullets"/>
      </w:pPr>
      <w:r>
        <w:t>Mr John Lenarduzzi, independent member</w:t>
      </w:r>
    </w:p>
    <w:p w14:paraId="1A5175D9" w14:textId="77777777" w:rsidR="00CA5D13" w:rsidRDefault="00CA5D13" w:rsidP="00CA5D13">
      <w:pPr>
        <w:pStyle w:val="Bullets"/>
      </w:pPr>
      <w:r>
        <w:t>Ms Joanna Stone, independent member.</w:t>
      </w:r>
    </w:p>
    <w:p w14:paraId="66C623C0" w14:textId="77777777" w:rsidR="00CA5D13" w:rsidRDefault="00CA5D13" w:rsidP="000431F3">
      <w:pPr>
        <w:pStyle w:val="Body"/>
      </w:pPr>
    </w:p>
    <w:p w14:paraId="3F435F3E" w14:textId="77777777" w:rsidR="005559E1" w:rsidRDefault="005559E1" w:rsidP="000431F3">
      <w:pPr>
        <w:pStyle w:val="Body"/>
        <w:sectPr w:rsidR="005559E1" w:rsidSect="003B5BE2">
          <w:footerReference w:type="default" r:id="rId159"/>
          <w:pgSz w:w="9979" w:h="14175"/>
          <w:pgMar w:top="1418" w:right="1134" w:bottom="1134" w:left="1134" w:header="709" w:footer="709" w:gutter="0"/>
          <w:cols w:num="2" w:space="708"/>
          <w:docGrid w:linePitch="360"/>
        </w:sectPr>
      </w:pPr>
    </w:p>
    <w:p w14:paraId="64819D63" w14:textId="77777777" w:rsidR="00B443F2" w:rsidRPr="00BD0D93" w:rsidRDefault="00B443F2" w:rsidP="00B443F2">
      <w:pPr>
        <w:pStyle w:val="FigureHeading"/>
      </w:pPr>
      <w:bookmarkStart w:id="76" w:name="_Toc114824666"/>
      <w:r w:rsidRPr="00BD0D93">
        <w:t xml:space="preserve">Table </w:t>
      </w:r>
      <w:r>
        <w:t>10</w:t>
      </w:r>
      <w:r w:rsidRPr="00BD0D93">
        <w:t xml:space="preserve">: </w:t>
      </w:r>
      <w:r w:rsidRPr="00F1275D">
        <w:t>Details of Audit, Risk and Compliance Committee during the reporting</w:t>
      </w:r>
      <w:r>
        <w:t> </w:t>
      </w:r>
      <w:r w:rsidRPr="00F1275D">
        <w:t>period (2021–22)</w:t>
      </w:r>
      <w:bookmarkEnd w:id="76"/>
    </w:p>
    <w:p w14:paraId="63D459B0" w14:textId="10782C2C" w:rsidR="00B443F2" w:rsidRPr="00BD0D93" w:rsidRDefault="00B443F2" w:rsidP="00F1275D">
      <w:pPr>
        <w:pStyle w:val="Body"/>
        <w:ind w:right="-227"/>
      </w:pPr>
      <w:r w:rsidRPr="00E406AE">
        <w:t xml:space="preserve">The IHPA Audit, Risk and Compliance Committee met on four occasions between 1 July 2021 and 30 June 2022. The (former) </w:t>
      </w:r>
      <w:r>
        <w:t>C</w:t>
      </w:r>
      <w:r w:rsidRPr="00E406AE">
        <w:t xml:space="preserve">hief </w:t>
      </w:r>
      <w:r>
        <w:t>E</w:t>
      </w:r>
      <w:r w:rsidRPr="00E406AE">
        <w:t xml:space="preserve">xecutive </w:t>
      </w:r>
      <w:r>
        <w:t>O</w:t>
      </w:r>
      <w:r w:rsidRPr="00E406AE">
        <w:t xml:space="preserve">fficer, Mr James Downie, attended all meetings during the reporting period. </w:t>
      </w:r>
    </w:p>
    <w:tbl>
      <w:tblPr>
        <w:tblStyle w:val="IHPATable"/>
        <w:tblW w:w="8023" w:type="dxa"/>
        <w:tblLayout w:type="fixed"/>
        <w:tblLook w:val="0020" w:firstRow="1" w:lastRow="0" w:firstColumn="0" w:lastColumn="0" w:noHBand="0" w:noVBand="0"/>
        <w:tblCaption w:val="Table 9"/>
        <w:tblDescription w:val="Details of Audit, Risk and Compliance Committee during the reporting period (2020-21)"/>
      </w:tblPr>
      <w:tblGrid>
        <w:gridCol w:w="993"/>
        <w:gridCol w:w="2835"/>
        <w:gridCol w:w="1417"/>
        <w:gridCol w:w="1474"/>
        <w:gridCol w:w="1304"/>
      </w:tblGrid>
      <w:tr w:rsidR="00B443F2" w:rsidRPr="00F1275D" w14:paraId="05532131" w14:textId="77777777" w:rsidTr="00B443F2">
        <w:trPr>
          <w:cnfStyle w:val="100000000000" w:firstRow="1" w:lastRow="0" w:firstColumn="0" w:lastColumn="0" w:oddVBand="0" w:evenVBand="0" w:oddHBand="0" w:evenHBand="0" w:firstRowFirstColumn="0" w:firstRowLastColumn="0" w:lastRowFirstColumn="0" w:lastRowLastColumn="0"/>
          <w:trHeight w:val="20"/>
        </w:trPr>
        <w:tc>
          <w:tcPr>
            <w:tcW w:w="993" w:type="dxa"/>
            <w:tcBorders>
              <w:right w:val="single" w:sz="4" w:space="0" w:color="D9D9D9" w:themeColor="background2" w:themeShade="D9"/>
            </w:tcBorders>
            <w:shd w:val="clear" w:color="auto" w:fill="009AB8" w:themeFill="accent3"/>
          </w:tcPr>
          <w:p w14:paraId="1C14BA7D" w14:textId="77777777" w:rsidR="00B443F2" w:rsidRPr="00F1275D" w:rsidRDefault="00B443F2"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Member name</w:t>
            </w:r>
          </w:p>
        </w:tc>
        <w:tc>
          <w:tcPr>
            <w:tcW w:w="2835"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009AB8" w:themeFill="accent3"/>
          </w:tcPr>
          <w:p w14:paraId="6243163D" w14:textId="77777777" w:rsidR="00B443F2" w:rsidRPr="00F1275D" w:rsidRDefault="00B443F2"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Qualifications, knowledge, skills and experience</w:t>
            </w:r>
          </w:p>
        </w:tc>
        <w:tc>
          <w:tcPr>
            <w:tcW w:w="1417"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009AB8" w:themeFill="accent3"/>
          </w:tcPr>
          <w:p w14:paraId="42B91147" w14:textId="77777777" w:rsidR="00B443F2" w:rsidRPr="00F1275D" w:rsidRDefault="00B443F2"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Number of meetings attended/</w:t>
            </w:r>
            <w:r w:rsidRPr="00F1275D">
              <w:rPr>
                <w:rFonts w:asciiTheme="majorHAnsi" w:hAnsiTheme="majorHAnsi"/>
                <w:color w:val="FFFFFF" w:themeColor="background2"/>
                <w:sz w:val="18"/>
                <w:szCs w:val="18"/>
                <w:lang w:val="en-US"/>
              </w:rPr>
              <w:br/>
              <w:t>total number of</w:t>
            </w:r>
            <w:r>
              <w:rPr>
                <w:rFonts w:asciiTheme="majorHAnsi" w:hAnsiTheme="majorHAnsi"/>
                <w:color w:val="FFFFFF" w:themeColor="background2"/>
                <w:sz w:val="18"/>
                <w:szCs w:val="18"/>
                <w:lang w:val="en-US"/>
              </w:rPr>
              <w:t> </w:t>
            </w:r>
            <w:r w:rsidRPr="00F1275D">
              <w:rPr>
                <w:rFonts w:asciiTheme="majorHAnsi" w:hAnsiTheme="majorHAnsi"/>
                <w:color w:val="FFFFFF" w:themeColor="background2"/>
                <w:sz w:val="18"/>
                <w:szCs w:val="18"/>
                <w:lang w:val="en-US"/>
              </w:rPr>
              <w:t>meetings eligible</w:t>
            </w:r>
          </w:p>
        </w:tc>
        <w:tc>
          <w:tcPr>
            <w:tcW w:w="1474" w:type="dxa"/>
            <w:tcBorders>
              <w:left w:val="single" w:sz="4" w:space="0" w:color="D9D9D9" w:themeColor="background2" w:themeShade="D9"/>
            </w:tcBorders>
            <w:shd w:val="clear" w:color="auto" w:fill="009AB8" w:themeFill="accent3"/>
          </w:tcPr>
          <w:p w14:paraId="50D8B8F1" w14:textId="77777777" w:rsidR="00B443F2" w:rsidRPr="00F1275D" w:rsidRDefault="00B443F2"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Total annual remuneration</w:t>
            </w:r>
          </w:p>
        </w:tc>
        <w:tc>
          <w:tcPr>
            <w:tcW w:w="1304" w:type="dxa"/>
            <w:tcBorders>
              <w:left w:val="single" w:sz="4" w:space="0" w:color="D9D9D9" w:themeColor="background2" w:themeShade="D9"/>
            </w:tcBorders>
            <w:shd w:val="clear" w:color="auto" w:fill="009AB8" w:themeFill="accent3"/>
          </w:tcPr>
          <w:p w14:paraId="253BE1D3" w14:textId="77777777" w:rsidR="00B443F2" w:rsidRPr="00F1275D" w:rsidRDefault="00B443F2" w:rsidP="00B15944">
            <w:pPr>
              <w:pStyle w:val="Body-Financial"/>
              <w:spacing w:before="120"/>
              <w:rPr>
                <w:rFonts w:asciiTheme="majorHAnsi" w:hAnsiTheme="majorHAnsi"/>
                <w:color w:val="FFFFFF" w:themeColor="background2"/>
                <w:sz w:val="18"/>
                <w:szCs w:val="18"/>
                <w:lang w:val="en-US"/>
              </w:rPr>
            </w:pPr>
            <w:r w:rsidRPr="000E5239">
              <w:rPr>
                <w:rFonts w:asciiTheme="majorHAnsi" w:hAnsiTheme="majorHAnsi"/>
                <w:color w:val="FFFFFF" w:themeColor="background2"/>
                <w:sz w:val="18"/>
                <w:szCs w:val="18"/>
                <w:lang w:val="en-US"/>
              </w:rPr>
              <w:t>Additional information</w:t>
            </w:r>
          </w:p>
        </w:tc>
      </w:tr>
      <w:tr w:rsidR="00B443F2" w:rsidRPr="00F1275D" w14:paraId="6EAD6494" w14:textId="77777777" w:rsidTr="00B443F2">
        <w:trPr>
          <w:cnfStyle w:val="000000100000" w:firstRow="0" w:lastRow="0" w:firstColumn="0" w:lastColumn="0" w:oddVBand="0" w:evenVBand="0" w:oddHBand="1" w:evenHBand="0" w:firstRowFirstColumn="0" w:firstRowLastColumn="0" w:lastRowFirstColumn="0" w:lastRowLastColumn="0"/>
          <w:trHeight w:val="2019"/>
        </w:trPr>
        <w:tc>
          <w:tcPr>
            <w:tcW w:w="993" w:type="dxa"/>
            <w:tcBorders>
              <w:right w:val="single" w:sz="4" w:space="0" w:color="D9D9D9" w:themeColor="background2" w:themeShade="D9"/>
            </w:tcBorders>
          </w:tcPr>
          <w:p w14:paraId="612CF77E" w14:textId="0727BC73" w:rsidR="00B443F2" w:rsidRPr="00F1275D" w:rsidRDefault="00B443F2" w:rsidP="00B15944">
            <w:pPr>
              <w:pStyle w:val="Body-Financial"/>
              <w:spacing w:before="120"/>
              <w:rPr>
                <w:sz w:val="18"/>
                <w:szCs w:val="18"/>
              </w:rPr>
            </w:pPr>
            <w:r w:rsidRPr="00F1275D">
              <w:rPr>
                <w:sz w:val="18"/>
                <w:szCs w:val="18"/>
              </w:rPr>
              <w:t>Ms Angela Diamond</w:t>
            </w:r>
            <w:r>
              <w:rPr>
                <w:sz w:val="18"/>
                <w:szCs w:val="18"/>
              </w:rPr>
              <w:br/>
            </w:r>
          </w:p>
        </w:tc>
        <w:tc>
          <w:tcPr>
            <w:tcW w:w="2835" w:type="dxa"/>
            <w:tcBorders>
              <w:left w:val="single" w:sz="4" w:space="0" w:color="D9D9D9" w:themeColor="background2" w:themeShade="D9"/>
              <w:right w:val="single" w:sz="4" w:space="0" w:color="D9D9D9" w:themeColor="background2" w:themeShade="D9"/>
            </w:tcBorders>
          </w:tcPr>
          <w:p w14:paraId="556BA3A2" w14:textId="01A61EE8" w:rsidR="00194DB1" w:rsidRPr="0094627E" w:rsidRDefault="00194DB1" w:rsidP="00194DB1">
            <w:pPr>
              <w:spacing w:before="60" w:after="60"/>
              <w:rPr>
                <w:color w:val="1C1C1C"/>
                <w:sz w:val="18"/>
                <w:szCs w:val="18"/>
              </w:rPr>
            </w:pPr>
            <w:r w:rsidRPr="0094627E">
              <w:rPr>
                <w:color w:val="1C1C1C"/>
                <w:sz w:val="18"/>
                <w:szCs w:val="18"/>
              </w:rPr>
              <w:t>Ms Angela Diamond has held several senior finance positions within the public service and is</w:t>
            </w:r>
            <w:r>
              <w:rPr>
                <w:color w:val="1C1C1C"/>
                <w:sz w:val="18"/>
                <w:szCs w:val="18"/>
              </w:rPr>
              <w:t> </w:t>
            </w:r>
            <w:r w:rsidRPr="0094627E">
              <w:rPr>
                <w:color w:val="1C1C1C"/>
                <w:sz w:val="18"/>
                <w:szCs w:val="18"/>
              </w:rPr>
              <w:t>currently the</w:t>
            </w:r>
            <w:r w:rsidR="00874736">
              <w:rPr>
                <w:color w:val="1C1C1C"/>
                <w:sz w:val="18"/>
                <w:szCs w:val="18"/>
              </w:rPr>
              <w:t> </w:t>
            </w:r>
            <w:r w:rsidRPr="0094627E">
              <w:rPr>
                <w:color w:val="1C1C1C"/>
                <w:sz w:val="18"/>
                <w:szCs w:val="18"/>
              </w:rPr>
              <w:t>Chief Financial Officer at Services</w:t>
            </w:r>
            <w:r>
              <w:rPr>
                <w:color w:val="1C1C1C"/>
                <w:sz w:val="18"/>
                <w:szCs w:val="18"/>
              </w:rPr>
              <w:t> </w:t>
            </w:r>
            <w:r w:rsidRPr="0094627E">
              <w:rPr>
                <w:color w:val="1C1C1C"/>
                <w:sz w:val="18"/>
                <w:szCs w:val="18"/>
              </w:rPr>
              <w:t>Australia.</w:t>
            </w:r>
          </w:p>
          <w:p w14:paraId="73A8D01C" w14:textId="1D715FDC" w:rsidR="00B443F2" w:rsidRPr="00F1275D" w:rsidRDefault="00194DB1" w:rsidP="00194DB1">
            <w:pPr>
              <w:pStyle w:val="Body-Financial"/>
              <w:spacing w:before="120"/>
              <w:rPr>
                <w:sz w:val="18"/>
                <w:szCs w:val="18"/>
              </w:rPr>
            </w:pPr>
            <w:r w:rsidRPr="0094627E">
              <w:rPr>
                <w:sz w:val="18"/>
                <w:szCs w:val="18"/>
              </w:rPr>
              <w:t>Angela has a Bachelor of Commerce from the Australian National University and is a Certified Practicing Accountant.</w:t>
            </w:r>
          </w:p>
        </w:tc>
        <w:tc>
          <w:tcPr>
            <w:tcW w:w="1417" w:type="dxa"/>
            <w:tcBorders>
              <w:left w:val="single" w:sz="4" w:space="0" w:color="D9D9D9" w:themeColor="background2" w:themeShade="D9"/>
              <w:right w:val="single" w:sz="4" w:space="0" w:color="D9D9D9" w:themeColor="background2" w:themeShade="D9"/>
            </w:tcBorders>
          </w:tcPr>
          <w:p w14:paraId="2E44AF92" w14:textId="77777777" w:rsidR="00B443F2" w:rsidRPr="00F1275D" w:rsidRDefault="00B443F2" w:rsidP="00B15944">
            <w:pPr>
              <w:pStyle w:val="Body-Financial"/>
              <w:spacing w:before="120"/>
              <w:rPr>
                <w:sz w:val="18"/>
                <w:szCs w:val="18"/>
              </w:rPr>
            </w:pPr>
            <w:r w:rsidRPr="00F1275D">
              <w:rPr>
                <w:sz w:val="18"/>
                <w:szCs w:val="18"/>
              </w:rPr>
              <w:t>4/4</w:t>
            </w:r>
          </w:p>
        </w:tc>
        <w:tc>
          <w:tcPr>
            <w:tcW w:w="1474" w:type="dxa"/>
            <w:tcBorders>
              <w:left w:val="single" w:sz="4" w:space="0" w:color="D9D9D9" w:themeColor="background2" w:themeShade="D9"/>
            </w:tcBorders>
          </w:tcPr>
          <w:p w14:paraId="1C102F03" w14:textId="4D7232F7" w:rsidR="00B443F2" w:rsidRPr="00F1275D" w:rsidRDefault="00B443F2" w:rsidP="00B15944">
            <w:pPr>
              <w:pStyle w:val="Body-Financial"/>
              <w:spacing w:before="120"/>
              <w:rPr>
                <w:sz w:val="18"/>
                <w:szCs w:val="18"/>
              </w:rPr>
            </w:pPr>
            <w:r>
              <w:rPr>
                <w:sz w:val="18"/>
                <w:szCs w:val="18"/>
              </w:rPr>
              <w:t>Nil — employed by a Cw</w:t>
            </w:r>
            <w:r w:rsidR="00194DB1">
              <w:rPr>
                <w:sz w:val="18"/>
                <w:szCs w:val="18"/>
              </w:rPr>
              <w:t>l</w:t>
            </w:r>
            <w:r>
              <w:rPr>
                <w:sz w:val="18"/>
                <w:szCs w:val="18"/>
              </w:rPr>
              <w:t>th entity</w:t>
            </w:r>
          </w:p>
        </w:tc>
        <w:tc>
          <w:tcPr>
            <w:tcW w:w="1304" w:type="dxa"/>
            <w:tcBorders>
              <w:left w:val="single" w:sz="4" w:space="0" w:color="D9D9D9" w:themeColor="background2" w:themeShade="D9"/>
            </w:tcBorders>
          </w:tcPr>
          <w:p w14:paraId="33E837B2" w14:textId="77777777" w:rsidR="00B443F2" w:rsidRDefault="00B443F2" w:rsidP="00B15944">
            <w:pPr>
              <w:pStyle w:val="Body-Financial"/>
              <w:spacing w:before="120"/>
              <w:rPr>
                <w:sz w:val="18"/>
                <w:szCs w:val="18"/>
              </w:rPr>
            </w:pPr>
            <w:r w:rsidRPr="000E5239">
              <w:rPr>
                <w:sz w:val="18"/>
                <w:szCs w:val="18"/>
              </w:rPr>
              <w:t>Chair and independent member</w:t>
            </w:r>
          </w:p>
        </w:tc>
      </w:tr>
      <w:tr w:rsidR="00B443F2" w:rsidRPr="00F1275D" w14:paraId="50737B28" w14:textId="77777777" w:rsidTr="00B443F2">
        <w:trPr>
          <w:cnfStyle w:val="000000010000" w:firstRow="0" w:lastRow="0" w:firstColumn="0" w:lastColumn="0" w:oddVBand="0" w:evenVBand="0" w:oddHBand="0" w:evenHBand="1" w:firstRowFirstColumn="0" w:firstRowLastColumn="0" w:lastRowFirstColumn="0" w:lastRowLastColumn="0"/>
          <w:trHeight w:val="4309"/>
        </w:trPr>
        <w:tc>
          <w:tcPr>
            <w:tcW w:w="993" w:type="dxa"/>
            <w:tcBorders>
              <w:bottom w:val="single" w:sz="4" w:space="0" w:color="D9D9D9" w:themeColor="background2" w:themeShade="D9"/>
              <w:right w:val="single" w:sz="4" w:space="0" w:color="D9D9D9" w:themeColor="background2" w:themeShade="D9"/>
            </w:tcBorders>
          </w:tcPr>
          <w:p w14:paraId="0CF87575" w14:textId="77777777" w:rsidR="00B443F2" w:rsidRPr="00F1275D" w:rsidRDefault="00B443F2" w:rsidP="00B15944">
            <w:pPr>
              <w:pStyle w:val="Body-Financial"/>
              <w:spacing w:before="120"/>
              <w:rPr>
                <w:sz w:val="18"/>
                <w:szCs w:val="18"/>
              </w:rPr>
            </w:pPr>
            <w:r w:rsidRPr="00F1275D">
              <w:rPr>
                <w:sz w:val="18"/>
                <w:szCs w:val="18"/>
              </w:rPr>
              <w:t>Mr Glenn Appleyard</w:t>
            </w:r>
          </w:p>
        </w:tc>
        <w:tc>
          <w:tcPr>
            <w:tcW w:w="2835"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0CAF5225" w14:textId="77777777" w:rsidR="00194DB1" w:rsidRPr="0094627E" w:rsidRDefault="00194DB1" w:rsidP="00194DB1">
            <w:pPr>
              <w:spacing w:before="60" w:after="60"/>
              <w:rPr>
                <w:color w:val="1C1C1C"/>
                <w:sz w:val="18"/>
                <w:szCs w:val="18"/>
              </w:rPr>
            </w:pPr>
            <w:r w:rsidRPr="0094627E">
              <w:rPr>
                <w:color w:val="1C1C1C"/>
                <w:sz w:val="18"/>
                <w:szCs w:val="18"/>
              </w:rPr>
              <w:t>Mr Glenn Appleyard was a member of the Australian Accounting Standards Board from 1</w:t>
            </w:r>
            <w:r>
              <w:rPr>
                <w:color w:val="1C1C1C"/>
                <w:sz w:val="18"/>
                <w:szCs w:val="18"/>
              </w:rPr>
              <w:t> </w:t>
            </w:r>
            <w:r w:rsidRPr="0094627E">
              <w:rPr>
                <w:color w:val="1C1C1C"/>
                <w:sz w:val="18"/>
                <w:szCs w:val="18"/>
              </w:rPr>
              <w:t>January 2003 to 31 December 2011.</w:t>
            </w:r>
          </w:p>
          <w:p w14:paraId="3CEF01B9" w14:textId="678C46B5" w:rsidR="00194DB1" w:rsidRPr="0094627E" w:rsidRDefault="00194DB1" w:rsidP="00194DB1">
            <w:pPr>
              <w:spacing w:before="60" w:after="60"/>
              <w:rPr>
                <w:color w:val="1C1C1C"/>
                <w:sz w:val="18"/>
                <w:szCs w:val="18"/>
              </w:rPr>
            </w:pPr>
            <w:r w:rsidRPr="0094627E">
              <w:rPr>
                <w:color w:val="1C1C1C"/>
                <w:sz w:val="18"/>
                <w:szCs w:val="18"/>
              </w:rPr>
              <w:t>Glenn has held several senior positions within the public service including Deputy Secretary in the</w:t>
            </w:r>
            <w:r w:rsidR="00874736">
              <w:rPr>
                <w:color w:val="1C1C1C"/>
                <w:sz w:val="18"/>
                <w:szCs w:val="18"/>
              </w:rPr>
              <w:t> </w:t>
            </w:r>
            <w:r w:rsidRPr="0094627E">
              <w:rPr>
                <w:color w:val="1C1C1C"/>
                <w:sz w:val="18"/>
                <w:szCs w:val="18"/>
              </w:rPr>
              <w:t>Tasmanian and Victorian Departments of Treasury and Finance</w:t>
            </w:r>
            <w:r w:rsidR="00874736">
              <w:rPr>
                <w:color w:val="1C1C1C"/>
                <w:sz w:val="18"/>
                <w:szCs w:val="18"/>
              </w:rPr>
              <w:t> </w:t>
            </w:r>
            <w:r w:rsidRPr="0094627E">
              <w:rPr>
                <w:color w:val="1C1C1C"/>
                <w:sz w:val="18"/>
                <w:szCs w:val="18"/>
              </w:rPr>
              <w:t>and Regional Director for the</w:t>
            </w:r>
            <w:r w:rsidR="00874736">
              <w:rPr>
                <w:color w:val="1C1C1C"/>
                <w:sz w:val="18"/>
                <w:szCs w:val="18"/>
              </w:rPr>
              <w:t> </w:t>
            </w:r>
            <w:r w:rsidRPr="0094627E">
              <w:rPr>
                <w:color w:val="1C1C1C"/>
                <w:sz w:val="18"/>
                <w:szCs w:val="18"/>
              </w:rPr>
              <w:t>Australian Bureau of Statistics in Tasmania.</w:t>
            </w:r>
          </w:p>
          <w:p w14:paraId="3821FD76" w14:textId="5A2C9B8F" w:rsidR="00194DB1" w:rsidRPr="0094627E" w:rsidRDefault="00194DB1" w:rsidP="00194DB1">
            <w:pPr>
              <w:spacing w:before="60" w:after="60"/>
              <w:rPr>
                <w:color w:val="1C1C1C"/>
                <w:sz w:val="18"/>
                <w:szCs w:val="18"/>
              </w:rPr>
            </w:pPr>
            <w:r w:rsidRPr="0094627E">
              <w:rPr>
                <w:color w:val="1C1C1C"/>
                <w:sz w:val="18"/>
                <w:szCs w:val="18"/>
              </w:rPr>
              <w:t>He was a member of the Commonwealth Grants Commission for 11 years and was the Chair of the</w:t>
            </w:r>
            <w:r w:rsidR="00874736">
              <w:rPr>
                <w:color w:val="1C1C1C"/>
                <w:sz w:val="18"/>
                <w:szCs w:val="18"/>
              </w:rPr>
              <w:t> </w:t>
            </w:r>
            <w:r w:rsidRPr="0094627E">
              <w:rPr>
                <w:color w:val="1C1C1C"/>
                <w:sz w:val="18"/>
                <w:szCs w:val="18"/>
              </w:rPr>
              <w:t xml:space="preserve">Tasmanian Economic Regulator. </w:t>
            </w:r>
          </w:p>
          <w:p w14:paraId="0B0556E3" w14:textId="7183082D" w:rsidR="00194DB1" w:rsidRPr="0094627E" w:rsidRDefault="00194DB1" w:rsidP="00194DB1">
            <w:pPr>
              <w:spacing w:before="60" w:after="60"/>
              <w:rPr>
                <w:color w:val="1C1C1C"/>
                <w:sz w:val="18"/>
                <w:szCs w:val="18"/>
              </w:rPr>
            </w:pPr>
            <w:r w:rsidRPr="0094627E">
              <w:rPr>
                <w:color w:val="1C1C1C"/>
                <w:sz w:val="18"/>
                <w:szCs w:val="18"/>
              </w:rPr>
              <w:t>Glenn has been a member of the Independent Hospital Pricing</w:t>
            </w:r>
            <w:r w:rsidR="00874736">
              <w:rPr>
                <w:color w:val="1C1C1C"/>
                <w:sz w:val="18"/>
                <w:szCs w:val="18"/>
              </w:rPr>
              <w:t xml:space="preserve"> </w:t>
            </w:r>
            <w:r w:rsidRPr="0094627E">
              <w:rPr>
                <w:color w:val="1C1C1C"/>
                <w:sz w:val="18"/>
                <w:szCs w:val="18"/>
              </w:rPr>
              <w:t>Authority since his appointment in</w:t>
            </w:r>
            <w:r>
              <w:rPr>
                <w:color w:val="1C1C1C"/>
                <w:sz w:val="18"/>
                <w:szCs w:val="18"/>
              </w:rPr>
              <w:t> </w:t>
            </w:r>
            <w:r w:rsidRPr="0094627E">
              <w:rPr>
                <w:color w:val="1C1C1C"/>
                <w:sz w:val="18"/>
                <w:szCs w:val="18"/>
              </w:rPr>
              <w:t>2012.</w:t>
            </w:r>
          </w:p>
          <w:p w14:paraId="72B8C238" w14:textId="66E2ECB9" w:rsidR="00B443F2" w:rsidRPr="0094627E" w:rsidRDefault="00194DB1" w:rsidP="00194DB1">
            <w:pPr>
              <w:pStyle w:val="Body-Financial"/>
              <w:spacing w:before="120"/>
              <w:rPr>
                <w:sz w:val="18"/>
                <w:szCs w:val="18"/>
              </w:rPr>
            </w:pPr>
            <w:r w:rsidRPr="0094627E">
              <w:rPr>
                <w:sz w:val="18"/>
                <w:szCs w:val="18"/>
              </w:rPr>
              <w:t>Glenn has a Bachelor of Economics from the University of Tasmania.</w:t>
            </w:r>
          </w:p>
        </w:tc>
        <w:tc>
          <w:tcPr>
            <w:tcW w:w="1417"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34FFDFAC" w14:textId="77777777" w:rsidR="00B443F2" w:rsidRPr="00F1275D" w:rsidRDefault="00B443F2" w:rsidP="00B15944">
            <w:pPr>
              <w:pStyle w:val="Body-Financial"/>
              <w:spacing w:before="120"/>
              <w:rPr>
                <w:sz w:val="18"/>
                <w:szCs w:val="18"/>
              </w:rPr>
            </w:pPr>
            <w:r>
              <w:rPr>
                <w:sz w:val="18"/>
                <w:szCs w:val="18"/>
              </w:rPr>
              <w:t>4</w:t>
            </w:r>
            <w:r w:rsidRPr="00F1275D">
              <w:rPr>
                <w:sz w:val="18"/>
                <w:szCs w:val="18"/>
              </w:rPr>
              <w:t>/4</w:t>
            </w:r>
          </w:p>
        </w:tc>
        <w:tc>
          <w:tcPr>
            <w:tcW w:w="1474" w:type="dxa"/>
            <w:tcBorders>
              <w:left w:val="single" w:sz="4" w:space="0" w:color="D9D9D9" w:themeColor="background2" w:themeShade="D9"/>
              <w:bottom w:val="single" w:sz="4" w:space="0" w:color="D9D9D9" w:themeColor="background2" w:themeShade="D9"/>
            </w:tcBorders>
          </w:tcPr>
          <w:p w14:paraId="573490BD" w14:textId="77777777" w:rsidR="00B443F2" w:rsidRPr="00F1275D" w:rsidRDefault="00B443F2" w:rsidP="00B15944">
            <w:pPr>
              <w:pStyle w:val="Body-Financial"/>
              <w:spacing w:before="120"/>
              <w:rPr>
                <w:sz w:val="18"/>
                <w:szCs w:val="18"/>
              </w:rPr>
            </w:pPr>
            <w:r w:rsidRPr="00F1275D">
              <w:rPr>
                <w:sz w:val="18"/>
                <w:szCs w:val="18"/>
              </w:rPr>
              <w:t>$9,232</w:t>
            </w:r>
          </w:p>
        </w:tc>
        <w:tc>
          <w:tcPr>
            <w:tcW w:w="1304" w:type="dxa"/>
            <w:tcBorders>
              <w:left w:val="single" w:sz="4" w:space="0" w:color="D9D9D9" w:themeColor="background2" w:themeShade="D9"/>
              <w:bottom w:val="single" w:sz="4" w:space="0" w:color="D9D9D9" w:themeColor="background2" w:themeShade="D9"/>
            </w:tcBorders>
          </w:tcPr>
          <w:p w14:paraId="16A198E6" w14:textId="77777777" w:rsidR="00B443F2" w:rsidRPr="00F1275D" w:rsidRDefault="00B443F2" w:rsidP="00B15944">
            <w:pPr>
              <w:pStyle w:val="Body-Financial"/>
              <w:spacing w:before="120"/>
              <w:rPr>
                <w:sz w:val="18"/>
                <w:szCs w:val="18"/>
              </w:rPr>
            </w:pPr>
            <w:r w:rsidRPr="000E5239">
              <w:rPr>
                <w:sz w:val="18"/>
                <w:szCs w:val="18"/>
              </w:rPr>
              <w:t>Pricing Authority member</w:t>
            </w:r>
          </w:p>
        </w:tc>
      </w:tr>
    </w:tbl>
    <w:p w14:paraId="37A13A39" w14:textId="4A41EBE2" w:rsidR="005559E1" w:rsidRDefault="005559E1" w:rsidP="000431F3">
      <w:pPr>
        <w:pStyle w:val="Body"/>
      </w:pPr>
    </w:p>
    <w:p w14:paraId="24CC3CB7" w14:textId="77777777" w:rsidR="005559E1" w:rsidRDefault="005559E1" w:rsidP="000431F3">
      <w:pPr>
        <w:pStyle w:val="Body"/>
        <w:sectPr w:rsidR="005559E1" w:rsidSect="005559E1">
          <w:footerReference w:type="default" r:id="rId160"/>
          <w:pgSz w:w="9979" w:h="14175"/>
          <w:pgMar w:top="1418" w:right="1134" w:bottom="1134" w:left="1134" w:header="709" w:footer="709" w:gutter="0"/>
          <w:cols w:space="708"/>
          <w:docGrid w:linePitch="360"/>
        </w:sectPr>
      </w:pPr>
    </w:p>
    <w:tbl>
      <w:tblPr>
        <w:tblStyle w:val="IHPATable"/>
        <w:tblW w:w="8023" w:type="dxa"/>
        <w:tblLayout w:type="fixed"/>
        <w:tblLook w:val="0020" w:firstRow="1" w:lastRow="0" w:firstColumn="0" w:lastColumn="0" w:noHBand="0" w:noVBand="0"/>
        <w:tblCaption w:val="Table 9"/>
        <w:tblDescription w:val="Details of Audit, Risk and Compliance Committee during the reporting period (2020-21)"/>
      </w:tblPr>
      <w:tblGrid>
        <w:gridCol w:w="993"/>
        <w:gridCol w:w="2835"/>
        <w:gridCol w:w="1417"/>
        <w:gridCol w:w="1474"/>
        <w:gridCol w:w="1304"/>
      </w:tblGrid>
      <w:tr w:rsidR="00FB5E55" w:rsidRPr="00F1275D" w14:paraId="4590B641" w14:textId="77777777" w:rsidTr="00B15944">
        <w:trPr>
          <w:cnfStyle w:val="100000000000" w:firstRow="1" w:lastRow="0" w:firstColumn="0" w:lastColumn="0" w:oddVBand="0" w:evenVBand="0" w:oddHBand="0" w:evenHBand="0" w:firstRowFirstColumn="0" w:firstRowLastColumn="0" w:lastRowFirstColumn="0" w:lastRowLastColumn="0"/>
          <w:trHeight w:val="20"/>
        </w:trPr>
        <w:tc>
          <w:tcPr>
            <w:tcW w:w="993" w:type="dxa"/>
            <w:tcBorders>
              <w:right w:val="single" w:sz="4" w:space="0" w:color="D9D9D9" w:themeColor="background2" w:themeShade="D9"/>
            </w:tcBorders>
            <w:shd w:val="clear" w:color="auto" w:fill="009AB8" w:themeFill="accent3"/>
          </w:tcPr>
          <w:p w14:paraId="736F3B9D" w14:textId="77777777" w:rsidR="00FB5E55" w:rsidRPr="00F1275D" w:rsidRDefault="00FB5E55"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Member name</w:t>
            </w:r>
          </w:p>
        </w:tc>
        <w:tc>
          <w:tcPr>
            <w:tcW w:w="2835"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009AB8" w:themeFill="accent3"/>
          </w:tcPr>
          <w:p w14:paraId="0D4EED2D" w14:textId="77777777" w:rsidR="00FB5E55" w:rsidRPr="00F1275D" w:rsidRDefault="00FB5E55"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Qualifications, knowledge, skills and experience</w:t>
            </w:r>
          </w:p>
        </w:tc>
        <w:tc>
          <w:tcPr>
            <w:tcW w:w="1417"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009AB8" w:themeFill="accent3"/>
          </w:tcPr>
          <w:p w14:paraId="27ED83A2" w14:textId="77777777" w:rsidR="00FB5E55" w:rsidRPr="00F1275D" w:rsidRDefault="00FB5E55"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Number of meetings attended/</w:t>
            </w:r>
            <w:r w:rsidRPr="00F1275D">
              <w:rPr>
                <w:rFonts w:asciiTheme="majorHAnsi" w:hAnsiTheme="majorHAnsi"/>
                <w:color w:val="FFFFFF" w:themeColor="background2"/>
                <w:sz w:val="18"/>
                <w:szCs w:val="18"/>
                <w:lang w:val="en-US"/>
              </w:rPr>
              <w:br/>
              <w:t>total number of</w:t>
            </w:r>
            <w:r>
              <w:rPr>
                <w:rFonts w:asciiTheme="majorHAnsi" w:hAnsiTheme="majorHAnsi"/>
                <w:color w:val="FFFFFF" w:themeColor="background2"/>
                <w:sz w:val="18"/>
                <w:szCs w:val="18"/>
                <w:lang w:val="en-US"/>
              </w:rPr>
              <w:t> </w:t>
            </w:r>
            <w:r w:rsidRPr="00F1275D">
              <w:rPr>
                <w:rFonts w:asciiTheme="majorHAnsi" w:hAnsiTheme="majorHAnsi"/>
                <w:color w:val="FFFFFF" w:themeColor="background2"/>
                <w:sz w:val="18"/>
                <w:szCs w:val="18"/>
                <w:lang w:val="en-US"/>
              </w:rPr>
              <w:t>meetings eligible</w:t>
            </w:r>
          </w:p>
        </w:tc>
        <w:tc>
          <w:tcPr>
            <w:tcW w:w="1474" w:type="dxa"/>
            <w:tcBorders>
              <w:left w:val="single" w:sz="4" w:space="0" w:color="D9D9D9" w:themeColor="background2" w:themeShade="D9"/>
            </w:tcBorders>
            <w:shd w:val="clear" w:color="auto" w:fill="009AB8" w:themeFill="accent3"/>
          </w:tcPr>
          <w:p w14:paraId="5DDF9EBD" w14:textId="77777777" w:rsidR="00FB5E55" w:rsidRPr="00F1275D" w:rsidRDefault="00FB5E55" w:rsidP="00B15944">
            <w:pPr>
              <w:pStyle w:val="Body-Financial"/>
              <w:spacing w:before="120"/>
              <w:rPr>
                <w:rFonts w:asciiTheme="majorHAnsi" w:hAnsiTheme="majorHAnsi"/>
                <w:color w:val="FFFFFF" w:themeColor="background2"/>
                <w:sz w:val="18"/>
                <w:szCs w:val="18"/>
                <w:lang w:val="en-US"/>
              </w:rPr>
            </w:pPr>
            <w:r w:rsidRPr="00F1275D">
              <w:rPr>
                <w:rFonts w:asciiTheme="majorHAnsi" w:hAnsiTheme="majorHAnsi"/>
                <w:color w:val="FFFFFF" w:themeColor="background2"/>
                <w:sz w:val="18"/>
                <w:szCs w:val="18"/>
                <w:lang w:val="en-US"/>
              </w:rPr>
              <w:t>Total annual remuneration</w:t>
            </w:r>
          </w:p>
        </w:tc>
        <w:tc>
          <w:tcPr>
            <w:tcW w:w="1304" w:type="dxa"/>
            <w:tcBorders>
              <w:left w:val="single" w:sz="4" w:space="0" w:color="D9D9D9" w:themeColor="background2" w:themeShade="D9"/>
            </w:tcBorders>
            <w:shd w:val="clear" w:color="auto" w:fill="009AB8" w:themeFill="accent3"/>
          </w:tcPr>
          <w:p w14:paraId="66D99E09" w14:textId="77777777" w:rsidR="00FB5E55" w:rsidRPr="00F1275D" w:rsidRDefault="00FB5E55" w:rsidP="00B15944">
            <w:pPr>
              <w:pStyle w:val="Body-Financial"/>
              <w:spacing w:before="120"/>
              <w:rPr>
                <w:rFonts w:asciiTheme="majorHAnsi" w:hAnsiTheme="majorHAnsi"/>
                <w:color w:val="FFFFFF" w:themeColor="background2"/>
                <w:sz w:val="18"/>
                <w:szCs w:val="18"/>
                <w:lang w:val="en-US"/>
              </w:rPr>
            </w:pPr>
            <w:r w:rsidRPr="000E5239">
              <w:rPr>
                <w:rFonts w:asciiTheme="majorHAnsi" w:hAnsiTheme="majorHAnsi"/>
                <w:color w:val="FFFFFF" w:themeColor="background2"/>
                <w:sz w:val="18"/>
                <w:szCs w:val="18"/>
                <w:lang w:val="en-US"/>
              </w:rPr>
              <w:t>Additional information</w:t>
            </w:r>
          </w:p>
        </w:tc>
      </w:tr>
      <w:tr w:rsidR="00FB5E55" w:rsidRPr="00F1275D" w14:paraId="46E103A9" w14:textId="77777777" w:rsidTr="00B15944">
        <w:trPr>
          <w:cnfStyle w:val="000000100000" w:firstRow="0" w:lastRow="0" w:firstColumn="0" w:lastColumn="0" w:oddVBand="0" w:evenVBand="0" w:oddHBand="1" w:evenHBand="0" w:firstRowFirstColumn="0" w:firstRowLastColumn="0" w:lastRowFirstColumn="0" w:lastRowLastColumn="0"/>
          <w:trHeight w:val="2019"/>
        </w:trPr>
        <w:tc>
          <w:tcPr>
            <w:tcW w:w="993" w:type="dxa"/>
            <w:tcBorders>
              <w:right w:val="single" w:sz="4" w:space="0" w:color="D9D9D9" w:themeColor="background2" w:themeShade="D9"/>
            </w:tcBorders>
          </w:tcPr>
          <w:p w14:paraId="5BACC689" w14:textId="3DE18A51" w:rsidR="00FB5E55" w:rsidRPr="00F1275D" w:rsidRDefault="00FB5E55" w:rsidP="00FB5E55">
            <w:pPr>
              <w:pStyle w:val="Body-Financial"/>
              <w:spacing w:before="120"/>
              <w:rPr>
                <w:sz w:val="18"/>
                <w:szCs w:val="18"/>
              </w:rPr>
            </w:pPr>
            <w:r w:rsidRPr="00EA47F1">
              <w:rPr>
                <w:sz w:val="18"/>
                <w:szCs w:val="18"/>
              </w:rPr>
              <w:t>Mr John Lenarduzzi</w:t>
            </w:r>
          </w:p>
        </w:tc>
        <w:tc>
          <w:tcPr>
            <w:tcW w:w="2835" w:type="dxa"/>
            <w:tcBorders>
              <w:left w:val="single" w:sz="4" w:space="0" w:color="D9D9D9" w:themeColor="background2" w:themeShade="D9"/>
              <w:right w:val="single" w:sz="4" w:space="0" w:color="D9D9D9" w:themeColor="background2" w:themeShade="D9"/>
            </w:tcBorders>
          </w:tcPr>
          <w:p w14:paraId="63CBB866" w14:textId="659750A4" w:rsidR="00194DB1" w:rsidRPr="0094627E" w:rsidRDefault="00194DB1" w:rsidP="00194DB1">
            <w:pPr>
              <w:spacing w:before="60" w:after="60"/>
              <w:rPr>
                <w:color w:val="1C1C1C"/>
                <w:sz w:val="18"/>
                <w:szCs w:val="18"/>
              </w:rPr>
            </w:pPr>
            <w:r w:rsidRPr="0094627E">
              <w:rPr>
                <w:color w:val="1C1C1C"/>
                <w:sz w:val="18"/>
                <w:szCs w:val="18"/>
              </w:rPr>
              <w:t>Mr John Lenarduzzi has over 20</w:t>
            </w:r>
            <w:r w:rsidR="00874736">
              <w:rPr>
                <w:color w:val="1C1C1C"/>
                <w:sz w:val="18"/>
                <w:szCs w:val="18"/>
              </w:rPr>
              <w:t> </w:t>
            </w:r>
            <w:r w:rsidRPr="0094627E">
              <w:rPr>
                <w:color w:val="1C1C1C"/>
                <w:sz w:val="18"/>
                <w:szCs w:val="18"/>
              </w:rPr>
              <w:t>years’ experience working in technology and security environments and spent seven years as a senior executive in Australia’s National Intelligence Community. Having started his career as an electronic engineer in Adelaide, he moved to Canberra in 2001 where he worked in a range of roles to deliver transformational change nationally and internationally through strategic planning, organisational change, capability development and operations. John took a role in the</w:t>
            </w:r>
            <w:r w:rsidR="00874736">
              <w:rPr>
                <w:color w:val="1C1C1C"/>
                <w:sz w:val="18"/>
                <w:szCs w:val="18"/>
              </w:rPr>
              <w:t> </w:t>
            </w:r>
            <w:r w:rsidRPr="0094627E">
              <w:rPr>
                <w:color w:val="1C1C1C"/>
                <w:sz w:val="18"/>
                <w:szCs w:val="18"/>
              </w:rPr>
              <w:t>private sector in 2020 and is currently the Director of Managed Security Operations (Global and Commercial) at CyberCX with leadership responsibilities across Australia, New</w:t>
            </w:r>
            <w:r>
              <w:rPr>
                <w:color w:val="1C1C1C"/>
                <w:sz w:val="18"/>
                <w:szCs w:val="18"/>
              </w:rPr>
              <w:t> </w:t>
            </w:r>
            <w:r w:rsidRPr="0094627E">
              <w:rPr>
                <w:color w:val="1C1C1C"/>
                <w:sz w:val="18"/>
                <w:szCs w:val="18"/>
              </w:rPr>
              <w:t xml:space="preserve">Zealand, the United Kingdom and the United States. </w:t>
            </w:r>
          </w:p>
          <w:p w14:paraId="2EA7F806" w14:textId="06A947BB" w:rsidR="00FB5E55" w:rsidRPr="00F1275D" w:rsidRDefault="00194DB1" w:rsidP="00194DB1">
            <w:pPr>
              <w:pStyle w:val="Body-Financial"/>
              <w:spacing w:before="120"/>
              <w:rPr>
                <w:sz w:val="18"/>
                <w:szCs w:val="18"/>
              </w:rPr>
            </w:pPr>
            <w:r w:rsidRPr="0094627E">
              <w:rPr>
                <w:sz w:val="18"/>
                <w:szCs w:val="18"/>
              </w:rPr>
              <w:t>John has a Bachelor of Electrical and</w:t>
            </w:r>
            <w:r w:rsidR="00874736">
              <w:rPr>
                <w:sz w:val="18"/>
                <w:szCs w:val="18"/>
              </w:rPr>
              <w:t> </w:t>
            </w:r>
            <w:r w:rsidRPr="0094627E">
              <w:rPr>
                <w:sz w:val="18"/>
                <w:szCs w:val="18"/>
              </w:rPr>
              <w:t>Electronic Engineering (Flinders</w:t>
            </w:r>
            <w:r w:rsidR="00874736">
              <w:rPr>
                <w:sz w:val="18"/>
                <w:szCs w:val="18"/>
              </w:rPr>
              <w:t> </w:t>
            </w:r>
            <w:r w:rsidRPr="0094627E">
              <w:rPr>
                <w:sz w:val="18"/>
                <w:szCs w:val="18"/>
              </w:rPr>
              <w:t>University) and a Masters of</w:t>
            </w:r>
            <w:r w:rsidR="00874736">
              <w:rPr>
                <w:sz w:val="18"/>
                <w:szCs w:val="18"/>
              </w:rPr>
              <w:t> </w:t>
            </w:r>
            <w:r w:rsidRPr="0094627E">
              <w:rPr>
                <w:sz w:val="18"/>
                <w:szCs w:val="18"/>
              </w:rPr>
              <w:t>Business Administration (Deakin). He</w:t>
            </w:r>
            <w:r w:rsidR="00874736">
              <w:rPr>
                <w:sz w:val="18"/>
                <w:szCs w:val="18"/>
              </w:rPr>
              <w:t> </w:t>
            </w:r>
            <w:r w:rsidRPr="0094627E">
              <w:rPr>
                <w:sz w:val="18"/>
                <w:szCs w:val="18"/>
              </w:rPr>
              <w:t>completed the Senior Executives in National Security Program at</w:t>
            </w:r>
            <w:r w:rsidR="00874736">
              <w:t> </w:t>
            </w:r>
            <w:r w:rsidRPr="0094627E">
              <w:rPr>
                <w:sz w:val="18"/>
                <w:szCs w:val="18"/>
              </w:rPr>
              <w:t>Harvard Kennedy School in 2017</w:t>
            </w:r>
            <w:r w:rsidR="00874736">
              <w:rPr>
                <w:sz w:val="18"/>
                <w:szCs w:val="18"/>
              </w:rPr>
              <w:t> </w:t>
            </w:r>
            <w:r w:rsidRPr="0094627E">
              <w:rPr>
                <w:sz w:val="18"/>
                <w:szCs w:val="18"/>
              </w:rPr>
              <w:t>and sits as an independent member</w:t>
            </w:r>
            <w:r w:rsidR="00874736">
              <w:rPr>
                <w:sz w:val="18"/>
                <w:szCs w:val="18"/>
              </w:rPr>
              <w:t> </w:t>
            </w:r>
            <w:r w:rsidRPr="0094627E">
              <w:rPr>
                <w:sz w:val="18"/>
                <w:szCs w:val="18"/>
              </w:rPr>
              <w:t>on two audit and risk committee boards.</w:t>
            </w:r>
          </w:p>
        </w:tc>
        <w:tc>
          <w:tcPr>
            <w:tcW w:w="1417" w:type="dxa"/>
            <w:tcBorders>
              <w:left w:val="single" w:sz="4" w:space="0" w:color="D9D9D9" w:themeColor="background2" w:themeShade="D9"/>
              <w:right w:val="single" w:sz="4" w:space="0" w:color="D9D9D9" w:themeColor="background2" w:themeShade="D9"/>
            </w:tcBorders>
          </w:tcPr>
          <w:p w14:paraId="7CE2D518" w14:textId="77777777" w:rsidR="00FB5E55" w:rsidRPr="00F1275D" w:rsidRDefault="00FB5E55" w:rsidP="00FB5E55">
            <w:pPr>
              <w:pStyle w:val="Body-Financial"/>
              <w:spacing w:before="120"/>
              <w:rPr>
                <w:sz w:val="18"/>
                <w:szCs w:val="18"/>
              </w:rPr>
            </w:pPr>
            <w:r w:rsidRPr="00F1275D">
              <w:rPr>
                <w:sz w:val="18"/>
                <w:szCs w:val="18"/>
              </w:rPr>
              <w:t>4/4</w:t>
            </w:r>
          </w:p>
        </w:tc>
        <w:tc>
          <w:tcPr>
            <w:tcW w:w="1474" w:type="dxa"/>
            <w:tcBorders>
              <w:left w:val="single" w:sz="4" w:space="0" w:color="D9D9D9" w:themeColor="background2" w:themeShade="D9"/>
            </w:tcBorders>
          </w:tcPr>
          <w:p w14:paraId="2515EE89" w14:textId="1BDAB29C" w:rsidR="00FB5E55" w:rsidRPr="00F1275D" w:rsidRDefault="00FB5E55" w:rsidP="00FB5E55">
            <w:pPr>
              <w:pStyle w:val="Body-Financial"/>
              <w:spacing w:before="120"/>
              <w:rPr>
                <w:sz w:val="18"/>
                <w:szCs w:val="18"/>
              </w:rPr>
            </w:pPr>
            <w:r w:rsidRPr="00EA47F1">
              <w:rPr>
                <w:sz w:val="18"/>
                <w:szCs w:val="18"/>
              </w:rPr>
              <w:t>$8,80</w:t>
            </w:r>
            <w:r w:rsidR="008047B0">
              <w:rPr>
                <w:sz w:val="18"/>
                <w:szCs w:val="18"/>
              </w:rPr>
              <w:t>0</w:t>
            </w:r>
          </w:p>
        </w:tc>
        <w:tc>
          <w:tcPr>
            <w:tcW w:w="1304" w:type="dxa"/>
            <w:tcBorders>
              <w:left w:val="single" w:sz="4" w:space="0" w:color="D9D9D9" w:themeColor="background2" w:themeShade="D9"/>
            </w:tcBorders>
          </w:tcPr>
          <w:p w14:paraId="556CB823" w14:textId="5C011720" w:rsidR="00FB5E55" w:rsidRDefault="00FB5E55" w:rsidP="00FB5E55">
            <w:pPr>
              <w:pStyle w:val="Body-Financial"/>
              <w:spacing w:before="120"/>
              <w:rPr>
                <w:sz w:val="18"/>
                <w:szCs w:val="18"/>
              </w:rPr>
            </w:pPr>
            <w:r w:rsidRPr="000E5239">
              <w:rPr>
                <w:sz w:val="18"/>
                <w:szCs w:val="18"/>
              </w:rPr>
              <w:t>Independent member</w:t>
            </w:r>
          </w:p>
        </w:tc>
      </w:tr>
      <w:tr w:rsidR="00FB5E55" w:rsidRPr="00F1275D" w14:paraId="55B267A5" w14:textId="77777777" w:rsidTr="00FB5E55">
        <w:trPr>
          <w:cnfStyle w:val="000000010000" w:firstRow="0" w:lastRow="0" w:firstColumn="0" w:lastColumn="0" w:oddVBand="0" w:evenVBand="0" w:oddHBand="0" w:evenHBand="1" w:firstRowFirstColumn="0" w:firstRowLastColumn="0" w:lastRowFirstColumn="0" w:lastRowLastColumn="0"/>
          <w:trHeight w:val="1928"/>
        </w:trPr>
        <w:tc>
          <w:tcPr>
            <w:tcW w:w="993" w:type="dxa"/>
            <w:tcBorders>
              <w:bottom w:val="single" w:sz="4" w:space="0" w:color="D9D9D9" w:themeColor="background2" w:themeShade="D9"/>
              <w:right w:val="single" w:sz="4" w:space="0" w:color="D9D9D9" w:themeColor="background2" w:themeShade="D9"/>
            </w:tcBorders>
          </w:tcPr>
          <w:p w14:paraId="41564848" w14:textId="380F211C" w:rsidR="00FB5E55" w:rsidRPr="00F1275D" w:rsidRDefault="00FB5E55" w:rsidP="00FB5E55">
            <w:pPr>
              <w:pStyle w:val="Body-Financial"/>
              <w:spacing w:before="120"/>
              <w:rPr>
                <w:sz w:val="18"/>
                <w:szCs w:val="18"/>
              </w:rPr>
            </w:pPr>
            <w:r w:rsidRPr="00EA47F1">
              <w:rPr>
                <w:sz w:val="18"/>
                <w:szCs w:val="18"/>
              </w:rPr>
              <w:t>Ms Joanna Stone</w:t>
            </w:r>
          </w:p>
        </w:tc>
        <w:tc>
          <w:tcPr>
            <w:tcW w:w="2835"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16AF4D81" w14:textId="300B54BD" w:rsidR="00FB5E55" w:rsidRPr="0094627E" w:rsidRDefault="00194DB1" w:rsidP="00FB5E55">
            <w:pPr>
              <w:pStyle w:val="Body-Financial"/>
              <w:spacing w:before="120"/>
              <w:rPr>
                <w:sz w:val="18"/>
                <w:szCs w:val="18"/>
              </w:rPr>
            </w:pPr>
            <w:r w:rsidRPr="0094627E">
              <w:rPr>
                <w:sz w:val="18"/>
                <w:szCs w:val="18"/>
              </w:rPr>
              <w:t>Ms Joanna Stone has substantial public and private sector management experience and extensive experience across several audit committees as a member and previously as a Chair. Joanna holds formal qualifications in finance.</w:t>
            </w:r>
          </w:p>
        </w:tc>
        <w:tc>
          <w:tcPr>
            <w:tcW w:w="1417"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5E3CFA72" w14:textId="77777777" w:rsidR="00FB5E55" w:rsidRPr="00F1275D" w:rsidRDefault="00FB5E55" w:rsidP="00FB5E55">
            <w:pPr>
              <w:pStyle w:val="Body-Financial"/>
              <w:spacing w:before="120"/>
              <w:rPr>
                <w:sz w:val="18"/>
                <w:szCs w:val="18"/>
              </w:rPr>
            </w:pPr>
            <w:r>
              <w:rPr>
                <w:sz w:val="18"/>
                <w:szCs w:val="18"/>
              </w:rPr>
              <w:t>4</w:t>
            </w:r>
            <w:r w:rsidRPr="00F1275D">
              <w:rPr>
                <w:sz w:val="18"/>
                <w:szCs w:val="18"/>
              </w:rPr>
              <w:t>/4</w:t>
            </w:r>
          </w:p>
        </w:tc>
        <w:tc>
          <w:tcPr>
            <w:tcW w:w="1474" w:type="dxa"/>
            <w:tcBorders>
              <w:left w:val="single" w:sz="4" w:space="0" w:color="D9D9D9" w:themeColor="background2" w:themeShade="D9"/>
              <w:bottom w:val="single" w:sz="4" w:space="0" w:color="D9D9D9" w:themeColor="background2" w:themeShade="D9"/>
            </w:tcBorders>
          </w:tcPr>
          <w:p w14:paraId="6460C42C" w14:textId="1EF58EC1" w:rsidR="00FB5E55" w:rsidRPr="00F1275D" w:rsidRDefault="00FB5E55" w:rsidP="00FB5E55">
            <w:pPr>
              <w:pStyle w:val="Body-Financial"/>
              <w:spacing w:before="120"/>
              <w:rPr>
                <w:sz w:val="18"/>
                <w:szCs w:val="18"/>
              </w:rPr>
            </w:pPr>
            <w:r>
              <w:rPr>
                <w:sz w:val="18"/>
                <w:szCs w:val="18"/>
              </w:rPr>
              <w:t>Nil — employed by a Cw</w:t>
            </w:r>
            <w:r w:rsidR="00194DB1">
              <w:rPr>
                <w:sz w:val="18"/>
                <w:szCs w:val="18"/>
              </w:rPr>
              <w:t>l</w:t>
            </w:r>
            <w:r>
              <w:rPr>
                <w:sz w:val="18"/>
                <w:szCs w:val="18"/>
              </w:rPr>
              <w:t>th entity</w:t>
            </w:r>
          </w:p>
        </w:tc>
        <w:tc>
          <w:tcPr>
            <w:tcW w:w="1304" w:type="dxa"/>
            <w:tcBorders>
              <w:left w:val="single" w:sz="4" w:space="0" w:color="D9D9D9" w:themeColor="background2" w:themeShade="D9"/>
              <w:bottom w:val="single" w:sz="4" w:space="0" w:color="D9D9D9" w:themeColor="background2" w:themeShade="D9"/>
            </w:tcBorders>
          </w:tcPr>
          <w:p w14:paraId="6F52C73D" w14:textId="4445D69B" w:rsidR="00FB5E55" w:rsidRPr="00F1275D" w:rsidRDefault="00FB5E55" w:rsidP="00FB5E55">
            <w:pPr>
              <w:pStyle w:val="Body-Financial"/>
              <w:spacing w:before="120"/>
              <w:rPr>
                <w:sz w:val="18"/>
                <w:szCs w:val="18"/>
              </w:rPr>
            </w:pPr>
            <w:r w:rsidRPr="000E5239">
              <w:rPr>
                <w:sz w:val="18"/>
                <w:szCs w:val="18"/>
              </w:rPr>
              <w:t>Independent member</w:t>
            </w:r>
          </w:p>
        </w:tc>
      </w:tr>
    </w:tbl>
    <w:p w14:paraId="073B58CE" w14:textId="77777777" w:rsidR="005559E1" w:rsidRDefault="005559E1" w:rsidP="000431F3">
      <w:pPr>
        <w:pStyle w:val="Body"/>
      </w:pPr>
    </w:p>
    <w:p w14:paraId="45E8970A" w14:textId="77777777" w:rsidR="00382F3B" w:rsidRDefault="00382F3B" w:rsidP="000431F3">
      <w:pPr>
        <w:pStyle w:val="Body"/>
        <w:sectPr w:rsidR="00382F3B" w:rsidSect="005559E1">
          <w:footerReference w:type="default" r:id="rId161"/>
          <w:pgSz w:w="9979" w:h="14175"/>
          <w:pgMar w:top="1418" w:right="1134" w:bottom="1134" w:left="1134" w:header="709" w:footer="709" w:gutter="0"/>
          <w:cols w:space="708"/>
          <w:docGrid w:linePitch="360"/>
        </w:sectPr>
      </w:pPr>
    </w:p>
    <w:p w14:paraId="726A8CA5" w14:textId="78765EDA" w:rsidR="00F82F0A" w:rsidRDefault="0094627E" w:rsidP="00F82F0A">
      <w:pPr>
        <w:pStyle w:val="Heading1"/>
        <w:spacing w:after="360"/>
        <w:rPr>
          <w:color w:val="009AB8" w:themeColor="accent3"/>
        </w:rPr>
      </w:pPr>
      <w:bookmarkStart w:id="77" w:name="_5.5_Key_corporate"/>
      <w:bookmarkStart w:id="78" w:name="_Toc114824437"/>
      <w:bookmarkEnd w:id="77"/>
      <w:r>
        <w:rPr>
          <w:color w:val="009AB8" w:themeColor="accent3"/>
        </w:rPr>
        <w:t xml:space="preserve">5.5 </w:t>
      </w:r>
      <w:r w:rsidR="00F82F0A">
        <w:rPr>
          <w:color w:val="009AB8" w:themeColor="accent3"/>
        </w:rPr>
        <w:t>Key corporate governance practices</w:t>
      </w:r>
      <w:bookmarkEnd w:id="78"/>
    </w:p>
    <w:p w14:paraId="55E9DC24" w14:textId="77777777" w:rsidR="00BF23D0" w:rsidRDefault="00BF23D0" w:rsidP="000431F3">
      <w:pPr>
        <w:pStyle w:val="Body"/>
        <w:sectPr w:rsidR="00BF23D0" w:rsidSect="005559E1">
          <w:footerReference w:type="default" r:id="rId162"/>
          <w:pgSz w:w="9979" w:h="14175"/>
          <w:pgMar w:top="1418" w:right="1134" w:bottom="1134" w:left="1134" w:header="709" w:footer="709" w:gutter="0"/>
          <w:cols w:space="708"/>
          <w:docGrid w:linePitch="360"/>
        </w:sectPr>
      </w:pPr>
    </w:p>
    <w:p w14:paraId="0E894FF1" w14:textId="77777777" w:rsidR="004961A7" w:rsidRPr="003B5BE2" w:rsidRDefault="004961A7" w:rsidP="004961A7">
      <w:pPr>
        <w:pStyle w:val="H3"/>
        <w:spacing w:before="0"/>
        <w:rPr>
          <w:color w:val="009AB8" w:themeColor="accent3"/>
        </w:rPr>
      </w:pPr>
      <w:r>
        <w:rPr>
          <w:color w:val="009AB8" w:themeColor="accent3"/>
        </w:rPr>
        <w:t>Risk management</w:t>
      </w:r>
    </w:p>
    <w:p w14:paraId="5F4C4873" w14:textId="77777777" w:rsidR="00194DB1" w:rsidRDefault="00194DB1" w:rsidP="00194DB1">
      <w:pPr>
        <w:pStyle w:val="Body"/>
      </w:pPr>
      <w:r>
        <w:t>IHPA’s enterprise-wide approach to risk management remains at the forefront of all of its activities. It administers its risks using tools that address the strategic and tactical risks of all significant decisions. IHPA’s risk management framework including its risk appetite statement and risk register is reviewed annually.</w:t>
      </w:r>
    </w:p>
    <w:p w14:paraId="770E39E6" w14:textId="77777777" w:rsidR="004961A7" w:rsidRDefault="004961A7" w:rsidP="004961A7">
      <w:pPr>
        <w:pStyle w:val="Body"/>
      </w:pPr>
      <w:r>
        <w:t>Strategic risks are identified with reference to current business and environmental issues facing IHPA. These risks fall into three major risk categories:</w:t>
      </w:r>
    </w:p>
    <w:p w14:paraId="77D024D0" w14:textId="77777777" w:rsidR="004961A7" w:rsidRDefault="004961A7" w:rsidP="004961A7">
      <w:pPr>
        <w:pStyle w:val="Bullets"/>
      </w:pPr>
      <w:r>
        <w:t>reputational risks</w:t>
      </w:r>
    </w:p>
    <w:p w14:paraId="07212DF0" w14:textId="77777777" w:rsidR="004961A7" w:rsidRDefault="004961A7" w:rsidP="004961A7">
      <w:pPr>
        <w:pStyle w:val="Bullets"/>
      </w:pPr>
      <w:r>
        <w:t>data and information governance risks</w:t>
      </w:r>
    </w:p>
    <w:p w14:paraId="1EEBF2BB" w14:textId="77777777" w:rsidR="004961A7" w:rsidRDefault="004961A7" w:rsidP="004961A7">
      <w:pPr>
        <w:pStyle w:val="Bullets"/>
      </w:pPr>
      <w:r>
        <w:t>corporate risks.</w:t>
      </w:r>
    </w:p>
    <w:p w14:paraId="787FAAEB" w14:textId="77777777" w:rsidR="00194DB1" w:rsidRDefault="00194DB1" w:rsidP="00194DB1">
      <w:pPr>
        <w:pStyle w:val="Body"/>
      </w:pPr>
      <w:r>
        <w:t>IHPA’s strategic risks are actively managed through audits, assurance and internal control processes. Where new risks emerge, resources are assigned to understand and manage those risks. Potential risks are reviewed biannually or more frequently, as required.</w:t>
      </w:r>
    </w:p>
    <w:p w14:paraId="512C36C7" w14:textId="7FAFA91A" w:rsidR="00194DB1" w:rsidRDefault="00194DB1" w:rsidP="00194DB1">
      <w:pPr>
        <w:pStyle w:val="Body"/>
      </w:pPr>
      <w:r>
        <w:t>Tactical risks are managed through a decision</w:t>
      </w:r>
      <w:r w:rsidR="00874736">
        <w:noBreakHyphen/>
      </w:r>
      <w:r>
        <w:t>based risk management tool, which</w:t>
      </w:r>
      <w:r w:rsidR="00874736">
        <w:t> </w:t>
      </w:r>
      <w:r>
        <w:t>requires recording of the risk and a formal</w:t>
      </w:r>
      <w:r w:rsidR="00874736">
        <w:t> </w:t>
      </w:r>
      <w:r>
        <w:t>decision on the managed likelihood and consequence of the risk. The assessment tool forms part of any major decision, ensuring that the final decision maker is fully informed and cognisant of</w:t>
      </w:r>
      <w:r w:rsidR="00874736">
        <w:t> </w:t>
      </w:r>
      <w:r>
        <w:t>managed risk outcomes during the decision‑making process.</w:t>
      </w:r>
      <w:r w:rsidR="00B77F83">
        <w:br w:type="column"/>
      </w:r>
      <w:r>
        <w:t>IHPA’s Privacy Threshold Assessment tool, allows IHPA to determine whether there is a risk to personal information, and therefore a need to undertake a Privacy Impact Assessment. As with the Tactical Risk Tool the Privacy Threshold Assessment tool forms part of any decision which may impact privacy.</w:t>
      </w:r>
    </w:p>
    <w:p w14:paraId="283E61E3" w14:textId="77777777" w:rsidR="00194DB1" w:rsidRDefault="00194DB1" w:rsidP="00194DB1">
      <w:pPr>
        <w:pStyle w:val="Body"/>
      </w:pPr>
      <w:r w:rsidRPr="000E5239">
        <w:t>IHPA has a mature enterprise risk management framework in place and risk management is considered a business‑as‑usual activity for all IHPA staff.</w:t>
      </w:r>
    </w:p>
    <w:p w14:paraId="7C3E0306" w14:textId="13A38719" w:rsidR="00194DB1" w:rsidRDefault="00194DB1" w:rsidP="00194DB1">
      <w:pPr>
        <w:pStyle w:val="Body"/>
      </w:pPr>
      <w:r w:rsidRPr="000E5239">
        <w:t>During the period of this annual report, IHPA</w:t>
      </w:r>
      <w:r w:rsidR="00874736">
        <w:t> </w:t>
      </w:r>
      <w:r w:rsidRPr="000E5239">
        <w:t>closely monitored and managed the operational and technical risks associated with the</w:t>
      </w:r>
      <w:r w:rsidR="00874736">
        <w:t> </w:t>
      </w:r>
      <w:r w:rsidRPr="000E5239">
        <w:t>coronavirus disease 2019 (COVID-19) pandemic.</w:t>
      </w:r>
    </w:p>
    <w:p w14:paraId="27DE31E1" w14:textId="7206FAE8" w:rsidR="004961A7" w:rsidRDefault="004961A7" w:rsidP="00194DB1">
      <w:pPr>
        <w:pStyle w:val="Body"/>
      </w:pPr>
      <w:r>
        <w:t>Additionally, IHPA continues to maintain a shared Strategic Risk Register with the National Health Funding Body, which has identified joint risks that the agencies manage together. Currently those risks are:</w:t>
      </w:r>
    </w:p>
    <w:p w14:paraId="122C4CD3" w14:textId="77777777" w:rsidR="004961A7" w:rsidRDefault="004961A7" w:rsidP="004961A7">
      <w:pPr>
        <w:pStyle w:val="Bullets"/>
      </w:pPr>
      <w:r>
        <w:t>incorrect calculation of Commonwealth funding entitlements</w:t>
      </w:r>
    </w:p>
    <w:p w14:paraId="488BE416" w14:textId="77777777" w:rsidR="004961A7" w:rsidRDefault="004961A7" w:rsidP="004961A7">
      <w:pPr>
        <w:pStyle w:val="Bullets"/>
      </w:pPr>
      <w:r>
        <w:t>changes to models that have not been effectively modelled or implemented.</w:t>
      </w:r>
    </w:p>
    <w:p w14:paraId="39BA0AFE" w14:textId="77777777" w:rsidR="004961A7" w:rsidRDefault="004961A7" w:rsidP="004961A7">
      <w:pPr>
        <w:pStyle w:val="Body"/>
      </w:pPr>
      <w:r>
        <w:t>IHPA’s business continuity plan ensured an effective and seamless transition to working from home during the entire lockdown period required by the COVID-19 pandemic.</w:t>
      </w:r>
    </w:p>
    <w:p w14:paraId="223B804C" w14:textId="31447470" w:rsidR="00382F3B" w:rsidRDefault="00382F3B" w:rsidP="004961A7">
      <w:pPr>
        <w:pStyle w:val="Body"/>
      </w:pPr>
    </w:p>
    <w:p w14:paraId="7C262200" w14:textId="7214C7A2" w:rsidR="004961A7" w:rsidRDefault="004961A7" w:rsidP="000431F3">
      <w:pPr>
        <w:pStyle w:val="Body"/>
        <w:sectPr w:rsidR="004961A7" w:rsidSect="00BF23D0">
          <w:type w:val="continuous"/>
          <w:pgSz w:w="9979" w:h="14175"/>
          <w:pgMar w:top="1418" w:right="1134" w:bottom="1134" w:left="1134" w:header="709" w:footer="709" w:gutter="0"/>
          <w:cols w:num="2" w:space="708"/>
          <w:docGrid w:linePitch="360"/>
        </w:sectPr>
      </w:pPr>
    </w:p>
    <w:p w14:paraId="16607BEE" w14:textId="77777777" w:rsidR="004961A7" w:rsidRPr="003B5BE2" w:rsidRDefault="004961A7" w:rsidP="004961A7">
      <w:pPr>
        <w:pStyle w:val="H3"/>
        <w:spacing w:before="0"/>
        <w:rPr>
          <w:color w:val="009AB8" w:themeColor="accent3"/>
        </w:rPr>
      </w:pPr>
      <w:r w:rsidRPr="00BA14D0">
        <w:rPr>
          <w:color w:val="009AB8" w:themeColor="accent3"/>
        </w:rPr>
        <w:t>Compliance</w:t>
      </w:r>
    </w:p>
    <w:p w14:paraId="196C3405" w14:textId="77777777" w:rsidR="00297337" w:rsidRDefault="00297337" w:rsidP="00297337">
      <w:pPr>
        <w:pStyle w:val="Body"/>
      </w:pPr>
      <w:r>
        <w:t xml:space="preserve">IHPA has a broad range of compliance obligations including key statutory obligations set out in the </w:t>
      </w:r>
      <w:r w:rsidRPr="00B77F83">
        <w:rPr>
          <w:i/>
          <w:iCs/>
        </w:rPr>
        <w:t>National Health Reform Act 2011</w:t>
      </w:r>
      <w:r>
        <w:t xml:space="preserve">, the National Health Reform Agreement, the </w:t>
      </w:r>
      <w:r w:rsidRPr="00B77F83">
        <w:rPr>
          <w:i/>
          <w:iCs/>
        </w:rPr>
        <w:t>Public</w:t>
      </w:r>
      <w:r>
        <w:rPr>
          <w:i/>
          <w:iCs/>
        </w:rPr>
        <w:t> </w:t>
      </w:r>
      <w:r w:rsidRPr="00B77F83">
        <w:rPr>
          <w:i/>
          <w:iCs/>
        </w:rPr>
        <w:t>Governance Performance and Accountability Act 2013</w:t>
      </w:r>
      <w:r>
        <w:t xml:space="preserve"> and the Public Governance Performance and Accountability Rule 2014.</w:t>
      </w:r>
    </w:p>
    <w:p w14:paraId="67145724" w14:textId="77777777" w:rsidR="00297337" w:rsidRDefault="00297337" w:rsidP="00297337">
      <w:pPr>
        <w:pStyle w:val="Body"/>
      </w:pPr>
      <w:r>
        <w:t>Other legal and compliance obligations include work health and safety, privacy, freedom of information, intellectual property, the Protective Security Policy Framework, website accessibility and records management.</w:t>
      </w:r>
    </w:p>
    <w:p w14:paraId="125FEA2E" w14:textId="77777777" w:rsidR="00297337" w:rsidRDefault="00297337" w:rsidP="00297337">
      <w:pPr>
        <w:pStyle w:val="Body"/>
      </w:pPr>
      <w:r>
        <w:t>The Chief Executive Officer, as the accountable authority, receives management assurances on IHPA’s compliance obligations through an organised system of controls and special exercises, including substantive testing, monthly reports, exception notifications and compliance audits undertaken by an independent internal auditor.</w:t>
      </w:r>
    </w:p>
    <w:p w14:paraId="1F5D7854" w14:textId="77777777" w:rsidR="004961A7" w:rsidRPr="0017297B" w:rsidRDefault="004961A7" w:rsidP="004961A7">
      <w:pPr>
        <w:pStyle w:val="H4"/>
      </w:pPr>
      <w:r w:rsidRPr="0017297B">
        <w:t>Compliance achievements</w:t>
      </w:r>
    </w:p>
    <w:p w14:paraId="5FDDEA02" w14:textId="77777777" w:rsidR="004961A7" w:rsidRDefault="004961A7" w:rsidP="004961A7">
      <w:pPr>
        <w:pStyle w:val="Body"/>
      </w:pPr>
      <w:r>
        <w:t>IHPA’s internal compliance audits during the year show that:</w:t>
      </w:r>
    </w:p>
    <w:p w14:paraId="5F67311B" w14:textId="77777777" w:rsidR="004961A7" w:rsidRPr="00B812E4" w:rsidRDefault="004961A7" w:rsidP="004961A7">
      <w:pPr>
        <w:pStyle w:val="Bullets"/>
      </w:pPr>
      <w:r w:rsidRPr="00B812E4">
        <w:t>information and communication technology systems continued to appropriately address the top risks defined by the Australian Signals Directorate</w:t>
      </w:r>
    </w:p>
    <w:p w14:paraId="14D3C59C" w14:textId="77777777" w:rsidR="004961A7" w:rsidRDefault="004961A7" w:rsidP="004961A7">
      <w:pPr>
        <w:pStyle w:val="Bullets"/>
      </w:pPr>
      <w:r w:rsidRPr="00B812E4">
        <w:t xml:space="preserve">no compliance issues arising from IHPA’s administration of relevant sections of the </w:t>
      </w:r>
      <w:r w:rsidRPr="00B812E4">
        <w:rPr>
          <w:i/>
          <w:iCs/>
        </w:rPr>
        <w:t>National Health Reform Act 2011</w:t>
      </w:r>
      <w:r>
        <w:rPr>
          <w:i/>
          <w:iCs/>
        </w:rPr>
        <w:t>.</w:t>
      </w:r>
    </w:p>
    <w:p w14:paraId="207C25C9" w14:textId="77777777" w:rsidR="004961A7" w:rsidRPr="00D512C9" w:rsidRDefault="002C124D" w:rsidP="004961A7">
      <w:pPr>
        <w:pStyle w:val="H3"/>
        <w:rPr>
          <w:color w:val="009AB8" w:themeColor="accent3"/>
        </w:rPr>
      </w:pPr>
      <w:r>
        <w:rPr>
          <w:color w:val="009AB8" w:themeColor="accent3"/>
        </w:rPr>
        <w:br w:type="column"/>
      </w:r>
      <w:r w:rsidR="004961A7" w:rsidRPr="00D512C9">
        <w:rPr>
          <w:color w:val="009AB8" w:themeColor="accent3"/>
        </w:rPr>
        <w:t>Financial authorisation</w:t>
      </w:r>
    </w:p>
    <w:p w14:paraId="0A7953A1" w14:textId="77777777" w:rsidR="00297337" w:rsidRDefault="00297337" w:rsidP="00297337">
      <w:pPr>
        <w:pStyle w:val="Body"/>
      </w:pPr>
      <w:r w:rsidRPr="002C124D">
        <w:t>As a corporate Commonwealth Agency, IHPA is not required to adhere to the Commonwealth Procurement Rules, however, it chooses to do so</w:t>
      </w:r>
      <w:r>
        <w:t> </w:t>
      </w:r>
      <w:r w:rsidRPr="002C124D">
        <w:t>as a matter of best practice. All of IHPA’s procurement decisions are made in accordance with the Commonwealth Procurement Rules. Line</w:t>
      </w:r>
      <w:r>
        <w:t> </w:t>
      </w:r>
      <w:r w:rsidRPr="002C124D">
        <w:t>managers have value and purchase class limits, in</w:t>
      </w:r>
      <w:r>
        <w:t> </w:t>
      </w:r>
      <w:r w:rsidRPr="002C124D">
        <w:t xml:space="preserve">accordance with the delegation of financial authorities that are approved and reviewed regularly by the </w:t>
      </w:r>
      <w:r>
        <w:t>C</w:t>
      </w:r>
      <w:r w:rsidRPr="002C124D">
        <w:t xml:space="preserve">hief </w:t>
      </w:r>
      <w:r>
        <w:t>E</w:t>
      </w:r>
      <w:r w:rsidRPr="002C124D">
        <w:t xml:space="preserve">xecutive </w:t>
      </w:r>
      <w:r>
        <w:t>O</w:t>
      </w:r>
      <w:r w:rsidRPr="002C124D">
        <w:t>fficer, as the accountable authority.</w:t>
      </w:r>
    </w:p>
    <w:p w14:paraId="1CC0417A" w14:textId="77777777" w:rsidR="004961A7" w:rsidRPr="00C05617" w:rsidRDefault="004961A7" w:rsidP="004961A7">
      <w:pPr>
        <w:pStyle w:val="H3"/>
        <w:rPr>
          <w:color w:val="009AB8" w:themeColor="accent3"/>
        </w:rPr>
      </w:pPr>
      <w:r w:rsidRPr="00C05617">
        <w:rPr>
          <w:color w:val="009AB8" w:themeColor="accent3"/>
        </w:rPr>
        <w:t>Fraud control plan</w:t>
      </w:r>
    </w:p>
    <w:p w14:paraId="59DCD17F" w14:textId="3002BA41" w:rsidR="00297337" w:rsidRDefault="00297337" w:rsidP="00297337">
      <w:pPr>
        <w:pStyle w:val="Body"/>
      </w:pPr>
      <w:r w:rsidRPr="005D2301">
        <w:t>IHPA’s fraud control plan is recognised as a critical internal tool used to mitigate the act and consequences of authorised use of IHPA data and financial resources. The plan encourages ethical behaviour through the use of business processes designed to prevent deceptive activities,</w:t>
      </w:r>
      <w:r w:rsidR="009A618A">
        <w:t xml:space="preserve"> </w:t>
      </w:r>
      <w:r w:rsidRPr="005D2301">
        <w:t>supported by monitoring controls to detect fraud and deter offending behaviour and is reviewed annually or as required.</w:t>
      </w:r>
    </w:p>
    <w:p w14:paraId="147B6F4C" w14:textId="77777777" w:rsidR="004961A7" w:rsidRPr="00C05617" w:rsidRDefault="004961A7" w:rsidP="004961A7">
      <w:pPr>
        <w:pStyle w:val="H3"/>
        <w:rPr>
          <w:color w:val="009AB8" w:themeColor="accent3"/>
        </w:rPr>
      </w:pPr>
      <w:r w:rsidRPr="00C05617">
        <w:rPr>
          <w:color w:val="009AB8" w:themeColor="accent3"/>
        </w:rPr>
        <w:t>Inter-agency financial activity</w:t>
      </w:r>
    </w:p>
    <w:p w14:paraId="49604CA1" w14:textId="73B01033" w:rsidR="00297337" w:rsidRDefault="00297337" w:rsidP="00297337">
      <w:pPr>
        <w:pStyle w:val="Body"/>
      </w:pPr>
      <w:r>
        <w:t>During the 2021–22 financial year, IHPA received shared services resourcing from the</w:t>
      </w:r>
      <w:r w:rsidR="00874736">
        <w:t> </w:t>
      </w:r>
      <w:r>
        <w:t>Commonwealth Department of Health and Aged Care.</w:t>
      </w:r>
      <w:r w:rsidR="009A618A">
        <w:t xml:space="preserve"> </w:t>
      </w:r>
      <w:r>
        <w:t xml:space="preserve">The </w:t>
      </w:r>
      <w:r w:rsidR="009A618A">
        <w:t xml:space="preserve">Commonwealth </w:t>
      </w:r>
      <w:r>
        <w:t>Department of Health and Aged Care charged IHPA $433,000 to provide these services covering treasury, processing of financial transactions, information and communication desktop services and parliamentary support.</w:t>
      </w:r>
    </w:p>
    <w:p w14:paraId="1F48882E" w14:textId="77777777" w:rsidR="004961A7" w:rsidRPr="00C05617" w:rsidRDefault="004961A7" w:rsidP="004961A7">
      <w:pPr>
        <w:pStyle w:val="H3"/>
        <w:ind w:right="-185"/>
        <w:rPr>
          <w:color w:val="009AB8" w:themeColor="accent3"/>
        </w:rPr>
      </w:pPr>
      <w:r w:rsidRPr="00C05617">
        <w:rPr>
          <w:color w:val="009AB8" w:themeColor="accent3"/>
        </w:rPr>
        <w:t>Ecologically sustainable development and environmental performance</w:t>
      </w:r>
    </w:p>
    <w:p w14:paraId="3C9D21AE" w14:textId="77777777" w:rsidR="004961A7" w:rsidRDefault="004961A7" w:rsidP="004961A7">
      <w:pPr>
        <w:pStyle w:val="Body"/>
      </w:pPr>
      <w:r w:rsidRPr="005D2301">
        <w:t xml:space="preserve">IHPA does not undertake any substantive work that is covered by section 516A of the </w:t>
      </w:r>
      <w:r w:rsidRPr="005D2301">
        <w:rPr>
          <w:i/>
          <w:iCs/>
        </w:rPr>
        <w:t>Environment Protection Act 1999</w:t>
      </w:r>
      <w:r w:rsidRPr="005D2301">
        <w:t>.</w:t>
      </w:r>
    </w:p>
    <w:p w14:paraId="4E58F636" w14:textId="7321E94C" w:rsidR="00C05617" w:rsidRDefault="00C05617" w:rsidP="004961A7">
      <w:pPr>
        <w:pStyle w:val="H3"/>
        <w:sectPr w:rsidR="00C05617" w:rsidSect="00C501A2">
          <w:footerReference w:type="default" r:id="rId163"/>
          <w:pgSz w:w="9979" w:h="14175"/>
          <w:pgMar w:top="1418" w:right="1134" w:bottom="1134" w:left="1134" w:header="709" w:footer="709" w:gutter="0"/>
          <w:cols w:num="2" w:space="708"/>
          <w:docGrid w:linePitch="360"/>
        </w:sectPr>
      </w:pPr>
    </w:p>
    <w:p w14:paraId="3CC5580E" w14:textId="72D543FE" w:rsidR="001A462C" w:rsidRDefault="00F66DA1" w:rsidP="001A462C">
      <w:pPr>
        <w:pStyle w:val="Heading1"/>
        <w:spacing w:after="360"/>
        <w:rPr>
          <w:color w:val="009AB8" w:themeColor="accent3"/>
        </w:rPr>
      </w:pPr>
      <w:bookmarkStart w:id="79" w:name="_Toc114824438"/>
      <w:r>
        <w:rPr>
          <w:color w:val="009AB8" w:themeColor="accent3"/>
        </w:rPr>
        <w:t xml:space="preserve">5.6 </w:t>
      </w:r>
      <w:r w:rsidR="001A462C">
        <w:rPr>
          <w:color w:val="009AB8" w:themeColor="accent3"/>
        </w:rPr>
        <w:t>Management of human resources</w:t>
      </w:r>
      <w:bookmarkEnd w:id="79"/>
    </w:p>
    <w:p w14:paraId="4A00A39E" w14:textId="77777777" w:rsidR="001A462C" w:rsidRDefault="001A462C" w:rsidP="00BA14D0">
      <w:pPr>
        <w:pStyle w:val="Body"/>
        <w:sectPr w:rsidR="001A462C" w:rsidSect="001A462C">
          <w:footerReference w:type="default" r:id="rId164"/>
          <w:pgSz w:w="9979" w:h="14175"/>
          <w:pgMar w:top="1418" w:right="1134" w:bottom="1134" w:left="1134" w:header="709" w:footer="709" w:gutter="0"/>
          <w:cols w:space="708"/>
          <w:docGrid w:linePitch="360"/>
        </w:sectPr>
      </w:pPr>
    </w:p>
    <w:p w14:paraId="6D0747F5" w14:textId="7A30D660" w:rsidR="00297337" w:rsidRPr="00AD31A5" w:rsidRDefault="00297337" w:rsidP="00297337">
      <w:pPr>
        <w:pStyle w:val="Body"/>
        <w:rPr>
          <w:b/>
          <w:bCs/>
        </w:rPr>
      </w:pPr>
      <w:r w:rsidRPr="00F66DA1">
        <w:rPr>
          <w:b/>
          <w:bCs/>
        </w:rPr>
        <w:t xml:space="preserve">The </w:t>
      </w:r>
      <w:r>
        <w:rPr>
          <w:b/>
          <w:bCs/>
        </w:rPr>
        <w:t>C</w:t>
      </w:r>
      <w:r w:rsidRPr="00F66DA1">
        <w:rPr>
          <w:b/>
          <w:bCs/>
        </w:rPr>
        <w:t xml:space="preserve">hief </w:t>
      </w:r>
      <w:r>
        <w:rPr>
          <w:b/>
          <w:bCs/>
        </w:rPr>
        <w:t>E</w:t>
      </w:r>
      <w:r w:rsidRPr="00F66DA1">
        <w:rPr>
          <w:b/>
          <w:bCs/>
        </w:rPr>
        <w:t xml:space="preserve">xecutive </w:t>
      </w:r>
      <w:r>
        <w:rPr>
          <w:b/>
          <w:bCs/>
        </w:rPr>
        <w:t>O</w:t>
      </w:r>
      <w:r w:rsidRPr="00F66DA1">
        <w:rPr>
          <w:b/>
          <w:bCs/>
        </w:rPr>
        <w:t>fficer is the Independent Hospital Pricing Authority’s (IHPA) only employee and is based in Sydney, New South Wales. All other staff are seconded from the</w:t>
      </w:r>
      <w:r>
        <w:rPr>
          <w:b/>
          <w:bCs/>
        </w:rPr>
        <w:t xml:space="preserve"> Commonwealth</w:t>
      </w:r>
      <w:r w:rsidRPr="00F66DA1">
        <w:rPr>
          <w:b/>
          <w:bCs/>
        </w:rPr>
        <w:t xml:space="preserve"> Department of Health and Aged Care to IHPA and report to the </w:t>
      </w:r>
      <w:r>
        <w:rPr>
          <w:b/>
          <w:bCs/>
        </w:rPr>
        <w:t>C</w:t>
      </w:r>
      <w:r w:rsidRPr="00F66DA1">
        <w:rPr>
          <w:b/>
          <w:bCs/>
        </w:rPr>
        <w:t>hief</w:t>
      </w:r>
      <w:r w:rsidR="00874736">
        <w:rPr>
          <w:b/>
          <w:bCs/>
        </w:rPr>
        <w:t> </w:t>
      </w:r>
      <w:r>
        <w:rPr>
          <w:b/>
          <w:bCs/>
        </w:rPr>
        <w:t>E</w:t>
      </w:r>
      <w:r w:rsidRPr="00F66DA1">
        <w:rPr>
          <w:b/>
          <w:bCs/>
        </w:rPr>
        <w:t xml:space="preserve">xecutive </w:t>
      </w:r>
      <w:r>
        <w:rPr>
          <w:b/>
          <w:bCs/>
        </w:rPr>
        <w:t>O</w:t>
      </w:r>
      <w:r w:rsidRPr="00F66DA1">
        <w:rPr>
          <w:b/>
          <w:bCs/>
        </w:rPr>
        <w:t>fficer.</w:t>
      </w:r>
    </w:p>
    <w:p w14:paraId="20044EB6" w14:textId="77777777" w:rsidR="00297337" w:rsidRDefault="00297337" w:rsidP="00297337">
      <w:pPr>
        <w:pStyle w:val="Body"/>
      </w:pPr>
      <w:r>
        <w:t>IHPA continues to place great value in creating a more productive and inclusive workplace—primarily by attracting and retaining high calibre, talented and engaged staff. The agency supports a flexible work environment and will continue to support all staff to optimise their work-life balance, as well as providing technological support critical to achieving their required work performance.</w:t>
      </w:r>
    </w:p>
    <w:p w14:paraId="00AABB31" w14:textId="604C5835" w:rsidR="0081770D" w:rsidRPr="00AD31A5" w:rsidRDefault="00297337" w:rsidP="00297337">
      <w:pPr>
        <w:pStyle w:val="H3"/>
        <w:rPr>
          <w:color w:val="009AB8" w:themeColor="accent3"/>
        </w:rPr>
      </w:pPr>
      <w:r w:rsidRPr="005E3563">
        <w:rPr>
          <w:rFonts w:asciiTheme="minorHAnsi" w:hAnsiTheme="minorHAnsi"/>
          <w:bCs w:val="0"/>
          <w:color w:val="1C1C1C"/>
          <w:sz w:val="18"/>
          <w:szCs w:val="18"/>
        </w:rPr>
        <w:t xml:space="preserve">IHPA is committed to the recruitment and retention of a diverse workforce (for example, in gender, age, cultural and linguistic background, disability, Indigenous, and LGBTI+) and actively promotes an inclusive workplace culture. </w:t>
      </w:r>
      <w:r w:rsidR="00AD31A5">
        <w:br w:type="column"/>
      </w:r>
      <w:r w:rsidR="0081770D" w:rsidRPr="00F66DA1">
        <w:rPr>
          <w:color w:val="009AB8" w:themeColor="accent3"/>
        </w:rPr>
        <w:t>Ongoing and non</w:t>
      </w:r>
      <w:r w:rsidR="0081770D" w:rsidRPr="00F66DA1">
        <w:rPr>
          <w:color w:val="009AB8" w:themeColor="accent3"/>
        </w:rPr>
        <w:noBreakHyphen/>
        <w:t>ongoing employees</w:t>
      </w:r>
    </w:p>
    <w:p w14:paraId="45B552F7" w14:textId="2D91E803" w:rsidR="00297337" w:rsidRDefault="00297337" w:rsidP="00297337">
      <w:pPr>
        <w:pStyle w:val="Body"/>
      </w:pPr>
      <w:r w:rsidRPr="005E3563">
        <w:t>Although the Commonwealth Department of Health and Aged Care reports on seconded IHPA</w:t>
      </w:r>
      <w:r w:rsidR="00874736">
        <w:t> </w:t>
      </w:r>
      <w:r w:rsidRPr="005E3563">
        <w:t>staff as part of its mandatory reporting requirements, to ensure transparency, IHPA has provided the following staffing tables.</w:t>
      </w:r>
    </w:p>
    <w:p w14:paraId="26B9A88D" w14:textId="02FD7D62" w:rsidR="00F66DA1" w:rsidRDefault="00F66DA1" w:rsidP="0081770D">
      <w:pPr>
        <w:pStyle w:val="Body"/>
      </w:pPr>
    </w:p>
    <w:p w14:paraId="60E7E42E" w14:textId="465ECD31" w:rsidR="00F66DA1" w:rsidRDefault="00F66DA1" w:rsidP="0004038E">
      <w:pPr>
        <w:pStyle w:val="Body"/>
        <w:sectPr w:rsidR="00F66DA1" w:rsidSect="001A462C">
          <w:type w:val="continuous"/>
          <w:pgSz w:w="9979" w:h="14175"/>
          <w:pgMar w:top="1418" w:right="1134" w:bottom="1134" w:left="1134" w:header="709" w:footer="709" w:gutter="0"/>
          <w:cols w:num="2" w:space="708"/>
          <w:docGrid w:linePitch="360"/>
        </w:sectPr>
      </w:pPr>
    </w:p>
    <w:p w14:paraId="65345A96" w14:textId="05AF66D6" w:rsidR="00F5625D" w:rsidRPr="00C219EA" w:rsidRDefault="00F5625D" w:rsidP="00F5625D">
      <w:pPr>
        <w:pStyle w:val="FigureHeading"/>
      </w:pPr>
      <w:bookmarkStart w:id="80" w:name="_Toc114824667"/>
      <w:bookmarkStart w:id="81" w:name="OngoingNonOngoing"/>
      <w:r w:rsidRPr="00C219EA">
        <w:t xml:space="preserve">Table </w:t>
      </w:r>
      <w:r>
        <w:t>11</w:t>
      </w:r>
      <w:r w:rsidRPr="00C219EA">
        <w:t>: Ongoing seconded employees 202</w:t>
      </w:r>
      <w:r>
        <w:t>2</w:t>
      </w:r>
      <w:bookmarkEnd w:id="80"/>
    </w:p>
    <w:bookmarkEnd w:id="81"/>
    <w:tbl>
      <w:tblPr>
        <w:tblStyle w:val="IHPATable"/>
        <w:tblW w:w="7234" w:type="dxa"/>
        <w:tblLayout w:type="fixed"/>
        <w:tblLook w:val="0020" w:firstRow="1" w:lastRow="0" w:firstColumn="0" w:lastColumn="0" w:noHBand="0" w:noVBand="0"/>
        <w:tblCaption w:val="Table 10"/>
        <w:tblDescription w:val="Ongoing seconded employees 2021"/>
      </w:tblPr>
      <w:tblGrid>
        <w:gridCol w:w="1426"/>
        <w:gridCol w:w="842"/>
        <w:gridCol w:w="851"/>
        <w:gridCol w:w="715"/>
        <w:gridCol w:w="850"/>
        <w:gridCol w:w="850"/>
        <w:gridCol w:w="850"/>
        <w:gridCol w:w="850"/>
      </w:tblGrid>
      <w:tr w:rsidR="00F5625D" w:rsidRPr="00C219EA" w14:paraId="26A728FE" w14:textId="77777777" w:rsidTr="00F5625D">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009AB8" w:themeFill="accent3"/>
          </w:tcPr>
          <w:p w14:paraId="24842534" w14:textId="77777777" w:rsidR="00F5625D" w:rsidRPr="00C219EA" w:rsidRDefault="00F5625D" w:rsidP="00B15944">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009AB8" w:themeFill="accent3"/>
          </w:tcPr>
          <w:p w14:paraId="7C940744" w14:textId="77777777" w:rsidR="00F5625D" w:rsidRPr="00C219EA" w:rsidRDefault="00F5625D" w:rsidP="00B15944">
            <w:pPr>
              <w:spacing w:before="120" w:after="120"/>
              <w:jc w:val="center"/>
              <w:rPr>
                <w:rFonts w:ascii="Futura PT Book" w:hAnsi="Futura PT Book" w:cs="Futura PT Book"/>
                <w:b/>
                <w:bCs/>
                <w:szCs w:val="18"/>
                <w:lang w:val="en-US"/>
              </w:rPr>
            </w:pPr>
            <w:r w:rsidRPr="00C219EA">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009AB8" w:themeFill="accent3"/>
          </w:tcPr>
          <w:p w14:paraId="55E7B190" w14:textId="77777777" w:rsidR="00F5625D" w:rsidRPr="00C219EA" w:rsidRDefault="00F5625D" w:rsidP="00B15944">
            <w:pPr>
              <w:spacing w:before="120" w:after="120"/>
              <w:jc w:val="center"/>
              <w:rPr>
                <w:b/>
                <w:bCs/>
                <w:szCs w:val="18"/>
                <w:lang w:val="en-US"/>
              </w:rPr>
            </w:pPr>
            <w:r w:rsidRPr="00C219EA">
              <w:rPr>
                <w:b/>
                <w:bCs/>
                <w:szCs w:val="18"/>
                <w:lang w:val="en-US"/>
              </w:rPr>
              <w:t>Female</w:t>
            </w:r>
          </w:p>
        </w:tc>
        <w:tc>
          <w:tcPr>
            <w:tcW w:w="850" w:type="dxa"/>
            <w:tcBorders>
              <w:left w:val="single" w:sz="4" w:space="0" w:color="FFFFFF" w:themeColor="background2"/>
            </w:tcBorders>
            <w:shd w:val="clear" w:color="auto" w:fill="009AB8" w:themeFill="accent3"/>
          </w:tcPr>
          <w:p w14:paraId="3493D6E0" w14:textId="77777777" w:rsidR="00F5625D" w:rsidRPr="00C219EA" w:rsidRDefault="00F5625D" w:rsidP="00B15944">
            <w:pPr>
              <w:spacing w:before="120" w:after="120"/>
              <w:rPr>
                <w:b/>
                <w:bCs/>
                <w:szCs w:val="18"/>
                <w:lang w:val="en-US"/>
              </w:rPr>
            </w:pPr>
          </w:p>
        </w:tc>
      </w:tr>
      <w:tr w:rsidR="00F5625D" w:rsidRPr="00C219EA" w14:paraId="4669376A" w14:textId="77777777" w:rsidTr="00F5625D">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75DC550A" w14:textId="77777777" w:rsidR="00F5625D" w:rsidRPr="00C219EA" w:rsidRDefault="00F5625D" w:rsidP="00B15944">
            <w:pPr>
              <w:spacing w:before="120" w:after="120"/>
              <w:rPr>
                <w:rFonts w:ascii="Futura PT Book" w:hAnsi="Futura PT Book" w:cs="Futura PT Book"/>
                <w:b/>
                <w:bCs/>
                <w:color w:val="000000"/>
                <w:sz w:val="16"/>
                <w:szCs w:val="16"/>
                <w:lang w:val="en-US"/>
              </w:rPr>
            </w:pPr>
            <w:r w:rsidRPr="00C219EA">
              <w:rPr>
                <w:b/>
                <w:bCs/>
                <w:color w:val="1C1C1C"/>
                <w:sz w:val="16"/>
                <w:szCs w:val="16"/>
              </w:rPr>
              <w:t>Classification</w:t>
            </w:r>
          </w:p>
        </w:tc>
        <w:tc>
          <w:tcPr>
            <w:tcW w:w="842" w:type="dxa"/>
            <w:shd w:val="clear" w:color="auto" w:fill="BDF4FF" w:themeFill="accent3" w:themeFillTint="33"/>
          </w:tcPr>
          <w:p w14:paraId="20B74663"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Full-time</w:t>
            </w:r>
          </w:p>
        </w:tc>
        <w:tc>
          <w:tcPr>
            <w:tcW w:w="851" w:type="dxa"/>
            <w:shd w:val="clear" w:color="auto" w:fill="BDF4FF" w:themeFill="accent3" w:themeFillTint="33"/>
          </w:tcPr>
          <w:p w14:paraId="32141138"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Part-time</w:t>
            </w:r>
          </w:p>
        </w:tc>
        <w:tc>
          <w:tcPr>
            <w:tcW w:w="715" w:type="dxa"/>
            <w:tcBorders>
              <w:right w:val="single" w:sz="4" w:space="0" w:color="FFFFFF" w:themeColor="background2"/>
            </w:tcBorders>
            <w:shd w:val="clear" w:color="auto" w:fill="BDF4FF" w:themeFill="accent3" w:themeFillTint="33"/>
          </w:tcPr>
          <w:p w14:paraId="46E54F3C" w14:textId="77777777" w:rsidR="00F5625D" w:rsidRPr="00C219EA" w:rsidRDefault="00F5625D"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661D8BFC" w14:textId="77777777" w:rsidR="00F5625D" w:rsidRPr="00C219EA" w:rsidRDefault="00F5625D"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Full-time</w:t>
            </w:r>
          </w:p>
        </w:tc>
        <w:tc>
          <w:tcPr>
            <w:tcW w:w="850" w:type="dxa"/>
            <w:shd w:val="clear" w:color="auto" w:fill="BDF4FF" w:themeFill="accent3" w:themeFillTint="33"/>
          </w:tcPr>
          <w:p w14:paraId="16901E90"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Part-time</w:t>
            </w:r>
          </w:p>
        </w:tc>
        <w:tc>
          <w:tcPr>
            <w:tcW w:w="850" w:type="dxa"/>
            <w:tcBorders>
              <w:right w:val="single" w:sz="4" w:space="0" w:color="FFFFFF" w:themeColor="background2"/>
            </w:tcBorders>
            <w:shd w:val="clear" w:color="auto" w:fill="BDF4FF" w:themeFill="accent3" w:themeFillTint="33"/>
          </w:tcPr>
          <w:p w14:paraId="31F12FE3"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0CC6EC70"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Total</w:t>
            </w:r>
          </w:p>
        </w:tc>
      </w:tr>
      <w:tr w:rsidR="00F5625D" w:rsidRPr="00C219EA" w14:paraId="058FB482"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4D7FB639"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S</w:t>
            </w:r>
            <w:r>
              <w:rPr>
                <w:color w:val="1C1C1C"/>
                <w:sz w:val="16"/>
                <w:szCs w:val="16"/>
              </w:rPr>
              <w:t xml:space="preserve">enior </w:t>
            </w:r>
            <w:r w:rsidRPr="00C219EA">
              <w:rPr>
                <w:color w:val="1C1C1C"/>
                <w:sz w:val="16"/>
                <w:szCs w:val="16"/>
              </w:rPr>
              <w:t>E</w:t>
            </w:r>
            <w:r>
              <w:rPr>
                <w:color w:val="1C1C1C"/>
                <w:sz w:val="16"/>
                <w:szCs w:val="16"/>
              </w:rPr>
              <w:t xml:space="preserve">xecutive </w:t>
            </w:r>
            <w:r w:rsidRPr="00C219EA">
              <w:rPr>
                <w:color w:val="1C1C1C"/>
                <w:sz w:val="16"/>
                <w:szCs w:val="16"/>
              </w:rPr>
              <w:t>S</w:t>
            </w:r>
            <w:r>
              <w:rPr>
                <w:color w:val="1C1C1C"/>
                <w:sz w:val="16"/>
                <w:szCs w:val="16"/>
              </w:rPr>
              <w:t>ervice</w:t>
            </w:r>
          </w:p>
        </w:tc>
        <w:tc>
          <w:tcPr>
            <w:tcW w:w="842" w:type="dxa"/>
            <w:shd w:val="clear" w:color="auto" w:fill="F2F2F2" w:themeFill="background2" w:themeFillShade="F2"/>
          </w:tcPr>
          <w:p w14:paraId="377E84F2"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0BBF0265" w14:textId="1C479741" w:rsidR="00F5625D" w:rsidRPr="00C219EA" w:rsidRDefault="00384A9B" w:rsidP="00B15944">
            <w:pPr>
              <w:spacing w:before="120" w:after="120"/>
              <w:jc w:val="right"/>
              <w:rPr>
                <w:color w:val="1C1C1C"/>
                <w:sz w:val="16"/>
                <w:szCs w:val="16"/>
              </w:rPr>
            </w:pPr>
            <w:r>
              <w:rPr>
                <w:color w:val="1C1C1C"/>
                <w:sz w:val="16"/>
                <w:szCs w:val="16"/>
              </w:rPr>
              <w:t>1</w:t>
            </w:r>
          </w:p>
        </w:tc>
        <w:tc>
          <w:tcPr>
            <w:tcW w:w="715" w:type="dxa"/>
            <w:tcBorders>
              <w:right w:val="single" w:sz="4" w:space="0" w:color="FFFFFF" w:themeColor="background2"/>
            </w:tcBorders>
            <w:shd w:val="clear" w:color="auto" w:fill="F2F2F2" w:themeFill="background2" w:themeFillShade="F2"/>
          </w:tcPr>
          <w:p w14:paraId="39CBA54C" w14:textId="016580BC"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1</w:t>
            </w:r>
          </w:p>
        </w:tc>
        <w:tc>
          <w:tcPr>
            <w:tcW w:w="850" w:type="dxa"/>
            <w:tcBorders>
              <w:left w:val="single" w:sz="4" w:space="0" w:color="FFFFFF" w:themeColor="background2"/>
            </w:tcBorders>
            <w:shd w:val="clear" w:color="auto" w:fill="F2F2F2" w:themeFill="background2" w:themeFillShade="F2"/>
          </w:tcPr>
          <w:p w14:paraId="54912ED2" w14:textId="12438C9F"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2</w:t>
            </w:r>
          </w:p>
        </w:tc>
        <w:tc>
          <w:tcPr>
            <w:tcW w:w="850" w:type="dxa"/>
            <w:shd w:val="clear" w:color="auto" w:fill="F2F2F2" w:themeFill="background2" w:themeFillShade="F2"/>
          </w:tcPr>
          <w:p w14:paraId="60BE22CD"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7949FD9E" w14:textId="0DF08F94" w:rsidR="00F5625D" w:rsidRPr="00C219EA" w:rsidRDefault="00384A9B" w:rsidP="00B15944">
            <w:pPr>
              <w:spacing w:before="120" w:after="120"/>
              <w:jc w:val="right"/>
              <w:rPr>
                <w:color w:val="1C1C1C"/>
                <w:sz w:val="16"/>
                <w:szCs w:val="16"/>
              </w:rPr>
            </w:pPr>
            <w:r>
              <w:rPr>
                <w:color w:val="1C1C1C"/>
                <w:sz w:val="16"/>
                <w:szCs w:val="16"/>
              </w:rPr>
              <w:t>2</w:t>
            </w:r>
          </w:p>
        </w:tc>
        <w:tc>
          <w:tcPr>
            <w:tcW w:w="850" w:type="dxa"/>
            <w:tcBorders>
              <w:left w:val="single" w:sz="4" w:space="0" w:color="FFFFFF" w:themeColor="background2"/>
            </w:tcBorders>
          </w:tcPr>
          <w:p w14:paraId="26938CDD" w14:textId="635B6082" w:rsidR="00F5625D" w:rsidRPr="00C219EA" w:rsidRDefault="00384A9B" w:rsidP="00B15944">
            <w:pPr>
              <w:spacing w:before="120" w:after="120"/>
              <w:jc w:val="right"/>
              <w:rPr>
                <w:color w:val="1C1C1C"/>
                <w:sz w:val="16"/>
                <w:szCs w:val="16"/>
              </w:rPr>
            </w:pPr>
            <w:r>
              <w:rPr>
                <w:color w:val="1C1C1C"/>
                <w:sz w:val="16"/>
                <w:szCs w:val="16"/>
              </w:rPr>
              <w:t>3</w:t>
            </w:r>
          </w:p>
        </w:tc>
      </w:tr>
      <w:tr w:rsidR="00F5625D" w:rsidRPr="00C219EA" w14:paraId="47D3DABD"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750C97DF"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7F2B2C23" w14:textId="7DB6E1E9" w:rsidR="00F5625D" w:rsidRPr="00C219EA" w:rsidRDefault="00384A9B" w:rsidP="00B15944">
            <w:pPr>
              <w:spacing w:before="120" w:after="120"/>
              <w:jc w:val="right"/>
              <w:rPr>
                <w:color w:val="1C1C1C"/>
                <w:sz w:val="16"/>
                <w:szCs w:val="16"/>
              </w:rPr>
            </w:pPr>
            <w:r>
              <w:rPr>
                <w:color w:val="1C1C1C"/>
                <w:sz w:val="16"/>
                <w:szCs w:val="16"/>
              </w:rPr>
              <w:t>6</w:t>
            </w:r>
          </w:p>
        </w:tc>
        <w:tc>
          <w:tcPr>
            <w:tcW w:w="851" w:type="dxa"/>
            <w:shd w:val="clear" w:color="auto" w:fill="F2F2F2" w:themeFill="background2" w:themeFillShade="F2"/>
          </w:tcPr>
          <w:p w14:paraId="36492ABC" w14:textId="41AF3A45" w:rsidR="00F5625D" w:rsidRPr="00C219EA" w:rsidRDefault="00384A9B" w:rsidP="00B15944">
            <w:pPr>
              <w:spacing w:before="120" w:after="120"/>
              <w:jc w:val="right"/>
              <w:rPr>
                <w:color w:val="1C1C1C"/>
                <w:sz w:val="16"/>
                <w:szCs w:val="16"/>
              </w:rPr>
            </w:pPr>
            <w:r>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FF9370E" w14:textId="2804428B"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6</w:t>
            </w:r>
          </w:p>
        </w:tc>
        <w:tc>
          <w:tcPr>
            <w:tcW w:w="850" w:type="dxa"/>
            <w:tcBorders>
              <w:left w:val="single" w:sz="4" w:space="0" w:color="FFFFFF" w:themeColor="background2"/>
            </w:tcBorders>
            <w:shd w:val="clear" w:color="auto" w:fill="F2F2F2" w:themeFill="background2" w:themeFillShade="F2"/>
          </w:tcPr>
          <w:p w14:paraId="06C1D5E0" w14:textId="64A98F05"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8</w:t>
            </w:r>
          </w:p>
        </w:tc>
        <w:tc>
          <w:tcPr>
            <w:tcW w:w="850" w:type="dxa"/>
            <w:shd w:val="clear" w:color="auto" w:fill="F2F2F2" w:themeFill="background2" w:themeFillShade="F2"/>
          </w:tcPr>
          <w:p w14:paraId="5536B848" w14:textId="1A4CF42F" w:rsidR="00F5625D" w:rsidRPr="00C219EA" w:rsidRDefault="00384A9B" w:rsidP="00B15944">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2F488E0E" w14:textId="422C0825" w:rsidR="00F5625D" w:rsidRPr="00C219EA" w:rsidRDefault="00384A9B" w:rsidP="00B15944">
            <w:pPr>
              <w:spacing w:before="120" w:after="120"/>
              <w:jc w:val="right"/>
              <w:rPr>
                <w:color w:val="1C1C1C"/>
                <w:sz w:val="16"/>
                <w:szCs w:val="16"/>
              </w:rPr>
            </w:pPr>
            <w:r>
              <w:rPr>
                <w:color w:val="1C1C1C"/>
                <w:sz w:val="16"/>
                <w:szCs w:val="16"/>
              </w:rPr>
              <w:t>8</w:t>
            </w:r>
          </w:p>
        </w:tc>
        <w:tc>
          <w:tcPr>
            <w:tcW w:w="850" w:type="dxa"/>
            <w:tcBorders>
              <w:left w:val="single" w:sz="4" w:space="0" w:color="FFFFFF" w:themeColor="background2"/>
            </w:tcBorders>
          </w:tcPr>
          <w:p w14:paraId="0D7E7825" w14:textId="01D4A4B9" w:rsidR="00F5625D" w:rsidRPr="00C219EA" w:rsidRDefault="00384A9B" w:rsidP="00B15944">
            <w:pPr>
              <w:spacing w:before="120" w:after="120"/>
              <w:jc w:val="right"/>
              <w:rPr>
                <w:color w:val="1C1C1C"/>
                <w:sz w:val="16"/>
                <w:szCs w:val="16"/>
              </w:rPr>
            </w:pPr>
            <w:r>
              <w:rPr>
                <w:color w:val="1C1C1C"/>
                <w:sz w:val="16"/>
                <w:szCs w:val="16"/>
              </w:rPr>
              <w:t>14</w:t>
            </w:r>
          </w:p>
        </w:tc>
      </w:tr>
      <w:tr w:rsidR="00F5625D" w:rsidRPr="00C219EA" w14:paraId="6C4C89AA"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257B6073"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092FE2D0" w14:textId="2DDD1A69" w:rsidR="00F5625D" w:rsidRPr="00C219EA" w:rsidRDefault="00384A9B" w:rsidP="00B15944">
            <w:pPr>
              <w:spacing w:before="120" w:after="120"/>
              <w:jc w:val="right"/>
              <w:rPr>
                <w:color w:val="1C1C1C"/>
                <w:sz w:val="16"/>
                <w:szCs w:val="16"/>
              </w:rPr>
            </w:pPr>
            <w:r>
              <w:rPr>
                <w:color w:val="1C1C1C"/>
                <w:sz w:val="16"/>
                <w:szCs w:val="16"/>
              </w:rPr>
              <w:t>6</w:t>
            </w:r>
          </w:p>
        </w:tc>
        <w:tc>
          <w:tcPr>
            <w:tcW w:w="851" w:type="dxa"/>
            <w:shd w:val="clear" w:color="auto" w:fill="F2F2F2" w:themeFill="background2" w:themeFillShade="F2"/>
          </w:tcPr>
          <w:p w14:paraId="0D1D0089" w14:textId="0B47BEB0" w:rsidR="00F5625D" w:rsidRPr="00C219EA" w:rsidRDefault="00384A9B" w:rsidP="00B15944">
            <w:pPr>
              <w:spacing w:before="120" w:after="120"/>
              <w:jc w:val="right"/>
              <w:rPr>
                <w:color w:val="1C1C1C"/>
                <w:sz w:val="16"/>
                <w:szCs w:val="16"/>
              </w:rPr>
            </w:pPr>
            <w:r>
              <w:rPr>
                <w:color w:val="1C1C1C"/>
                <w:sz w:val="16"/>
                <w:szCs w:val="16"/>
              </w:rPr>
              <w:t>1</w:t>
            </w:r>
          </w:p>
        </w:tc>
        <w:tc>
          <w:tcPr>
            <w:tcW w:w="715" w:type="dxa"/>
            <w:tcBorders>
              <w:right w:val="single" w:sz="4" w:space="0" w:color="FFFFFF" w:themeColor="background2"/>
            </w:tcBorders>
            <w:shd w:val="clear" w:color="auto" w:fill="F2F2F2" w:themeFill="background2" w:themeFillShade="F2"/>
          </w:tcPr>
          <w:p w14:paraId="2CAA3960" w14:textId="5864B891"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7</w:t>
            </w:r>
          </w:p>
        </w:tc>
        <w:tc>
          <w:tcPr>
            <w:tcW w:w="850" w:type="dxa"/>
            <w:tcBorders>
              <w:left w:val="single" w:sz="4" w:space="0" w:color="FFFFFF" w:themeColor="background2"/>
            </w:tcBorders>
            <w:shd w:val="clear" w:color="auto" w:fill="F2F2F2" w:themeFill="background2" w:themeFillShade="F2"/>
          </w:tcPr>
          <w:p w14:paraId="1967D4CB" w14:textId="2CCDD50D"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18</w:t>
            </w:r>
          </w:p>
        </w:tc>
        <w:tc>
          <w:tcPr>
            <w:tcW w:w="850" w:type="dxa"/>
            <w:shd w:val="clear" w:color="auto" w:fill="F2F2F2" w:themeFill="background2" w:themeFillShade="F2"/>
          </w:tcPr>
          <w:p w14:paraId="3F5B3D13" w14:textId="2E299BB2" w:rsidR="00F5625D" w:rsidRPr="00C219EA" w:rsidRDefault="00384A9B" w:rsidP="00B15944">
            <w:pPr>
              <w:spacing w:before="120" w:after="120"/>
              <w:jc w:val="right"/>
              <w:rPr>
                <w:color w:val="1C1C1C"/>
                <w:sz w:val="16"/>
                <w:szCs w:val="16"/>
              </w:rPr>
            </w:pPr>
            <w:r>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2A42C6C3" w14:textId="2F36AD58" w:rsidR="00F5625D" w:rsidRPr="00C219EA" w:rsidRDefault="00384A9B" w:rsidP="00B15944">
            <w:pPr>
              <w:spacing w:before="120" w:after="120"/>
              <w:jc w:val="right"/>
              <w:rPr>
                <w:color w:val="1C1C1C"/>
                <w:sz w:val="16"/>
                <w:szCs w:val="16"/>
              </w:rPr>
            </w:pPr>
            <w:r>
              <w:rPr>
                <w:color w:val="1C1C1C"/>
                <w:sz w:val="16"/>
                <w:szCs w:val="16"/>
              </w:rPr>
              <w:t>20</w:t>
            </w:r>
          </w:p>
        </w:tc>
        <w:tc>
          <w:tcPr>
            <w:tcW w:w="850" w:type="dxa"/>
            <w:tcBorders>
              <w:left w:val="single" w:sz="4" w:space="0" w:color="FFFFFF" w:themeColor="background2"/>
            </w:tcBorders>
          </w:tcPr>
          <w:p w14:paraId="5ECFFDE8" w14:textId="3820CF2E" w:rsidR="00F5625D" w:rsidRPr="00C219EA" w:rsidRDefault="00384A9B" w:rsidP="00B15944">
            <w:pPr>
              <w:spacing w:before="120" w:after="120"/>
              <w:jc w:val="right"/>
              <w:rPr>
                <w:color w:val="1C1C1C"/>
                <w:sz w:val="16"/>
                <w:szCs w:val="16"/>
              </w:rPr>
            </w:pPr>
            <w:r>
              <w:rPr>
                <w:color w:val="1C1C1C"/>
                <w:sz w:val="16"/>
                <w:szCs w:val="16"/>
              </w:rPr>
              <w:t>27</w:t>
            </w:r>
          </w:p>
        </w:tc>
      </w:tr>
      <w:tr w:rsidR="00F5625D" w:rsidRPr="00C219EA" w14:paraId="66EA3C28"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4F4A3D89"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6E27977E" w14:textId="56532DAB" w:rsidR="00F5625D" w:rsidRPr="00C219EA" w:rsidRDefault="00D354FD" w:rsidP="00D354FD">
            <w:pPr>
              <w:tabs>
                <w:tab w:val="left" w:pos="526"/>
                <w:tab w:val="right" w:pos="626"/>
              </w:tabs>
              <w:spacing w:before="120" w:after="120"/>
              <w:rPr>
                <w:color w:val="1C1C1C"/>
                <w:sz w:val="16"/>
                <w:szCs w:val="16"/>
              </w:rPr>
            </w:pPr>
            <w:r>
              <w:rPr>
                <w:color w:val="1C1C1C"/>
                <w:sz w:val="16"/>
                <w:szCs w:val="16"/>
              </w:rPr>
              <w:tab/>
            </w:r>
            <w:r>
              <w:rPr>
                <w:color w:val="1C1C1C"/>
                <w:sz w:val="16"/>
                <w:szCs w:val="16"/>
              </w:rPr>
              <w:tab/>
            </w:r>
            <w:r w:rsidR="00384A9B">
              <w:rPr>
                <w:color w:val="1C1C1C"/>
                <w:sz w:val="16"/>
                <w:szCs w:val="16"/>
              </w:rPr>
              <w:t>5</w:t>
            </w:r>
          </w:p>
        </w:tc>
        <w:tc>
          <w:tcPr>
            <w:tcW w:w="851" w:type="dxa"/>
            <w:shd w:val="clear" w:color="auto" w:fill="F2F2F2" w:themeFill="background2" w:themeFillShade="F2"/>
          </w:tcPr>
          <w:p w14:paraId="7FEBBE19" w14:textId="5B634377" w:rsidR="00F5625D" w:rsidRPr="00C219EA" w:rsidRDefault="00384A9B" w:rsidP="00B15944">
            <w:pPr>
              <w:spacing w:before="120" w:after="120"/>
              <w:jc w:val="right"/>
              <w:rPr>
                <w:color w:val="1C1C1C"/>
                <w:sz w:val="16"/>
                <w:szCs w:val="16"/>
              </w:rPr>
            </w:pPr>
            <w:r>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11E8B2B5" w14:textId="7DC8B6D4"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5</w:t>
            </w:r>
          </w:p>
        </w:tc>
        <w:tc>
          <w:tcPr>
            <w:tcW w:w="850" w:type="dxa"/>
            <w:tcBorders>
              <w:left w:val="single" w:sz="4" w:space="0" w:color="FFFFFF" w:themeColor="background2"/>
            </w:tcBorders>
            <w:shd w:val="clear" w:color="auto" w:fill="F2F2F2" w:themeFill="background2" w:themeFillShade="F2"/>
          </w:tcPr>
          <w:p w14:paraId="271C7357" w14:textId="661BE0E4" w:rsidR="00F5625D" w:rsidRPr="00C219EA" w:rsidRDefault="00384A9B" w:rsidP="00B15944">
            <w:pPr>
              <w:spacing w:before="120" w:after="120"/>
              <w:jc w:val="right"/>
              <w:rPr>
                <w:rFonts w:ascii="Futura PT Book" w:hAnsi="Futura PT Book" w:cs="Futura PT Book"/>
                <w:color w:val="000000"/>
                <w:sz w:val="16"/>
                <w:szCs w:val="16"/>
                <w:lang w:val="en-US"/>
              </w:rPr>
            </w:pPr>
            <w:r>
              <w:rPr>
                <w:color w:val="1C1C1C"/>
                <w:sz w:val="16"/>
                <w:szCs w:val="16"/>
              </w:rPr>
              <w:t>6</w:t>
            </w:r>
          </w:p>
        </w:tc>
        <w:tc>
          <w:tcPr>
            <w:tcW w:w="850" w:type="dxa"/>
            <w:shd w:val="clear" w:color="auto" w:fill="F2F2F2" w:themeFill="background2" w:themeFillShade="F2"/>
          </w:tcPr>
          <w:p w14:paraId="0981A32E" w14:textId="0A3B3618" w:rsidR="00F5625D" w:rsidRPr="00C219EA" w:rsidRDefault="00384A9B" w:rsidP="00B15944">
            <w:pPr>
              <w:spacing w:before="120" w:after="120"/>
              <w:jc w:val="right"/>
              <w:rPr>
                <w:color w:val="1C1C1C"/>
                <w:sz w:val="16"/>
                <w:szCs w:val="16"/>
              </w:rPr>
            </w:pPr>
            <w:r>
              <w:rPr>
                <w:color w:val="1C1C1C"/>
                <w:sz w:val="16"/>
                <w:szCs w:val="16"/>
              </w:rPr>
              <w:t>3</w:t>
            </w:r>
          </w:p>
        </w:tc>
        <w:tc>
          <w:tcPr>
            <w:tcW w:w="850" w:type="dxa"/>
            <w:tcBorders>
              <w:right w:val="single" w:sz="4" w:space="0" w:color="FFFFFF" w:themeColor="background2"/>
            </w:tcBorders>
            <w:shd w:val="clear" w:color="auto" w:fill="F2F2F2" w:themeFill="background2" w:themeFillShade="F2"/>
          </w:tcPr>
          <w:p w14:paraId="4D5DD5A1" w14:textId="7528C827" w:rsidR="00F5625D" w:rsidRPr="00C219EA" w:rsidRDefault="00384A9B" w:rsidP="00B15944">
            <w:pPr>
              <w:spacing w:before="120" w:after="120"/>
              <w:jc w:val="right"/>
              <w:rPr>
                <w:color w:val="1C1C1C"/>
                <w:sz w:val="16"/>
                <w:szCs w:val="16"/>
              </w:rPr>
            </w:pPr>
            <w:r>
              <w:rPr>
                <w:color w:val="1C1C1C"/>
                <w:sz w:val="16"/>
                <w:szCs w:val="16"/>
              </w:rPr>
              <w:t>9</w:t>
            </w:r>
          </w:p>
        </w:tc>
        <w:tc>
          <w:tcPr>
            <w:tcW w:w="850" w:type="dxa"/>
            <w:tcBorders>
              <w:left w:val="single" w:sz="4" w:space="0" w:color="FFFFFF" w:themeColor="background2"/>
            </w:tcBorders>
          </w:tcPr>
          <w:p w14:paraId="23D96AFD" w14:textId="2E7FBE72" w:rsidR="00F5625D" w:rsidRPr="00C219EA" w:rsidRDefault="00384A9B" w:rsidP="00B15944">
            <w:pPr>
              <w:spacing w:before="120" w:after="120"/>
              <w:jc w:val="right"/>
              <w:rPr>
                <w:color w:val="1C1C1C"/>
                <w:sz w:val="16"/>
                <w:szCs w:val="16"/>
              </w:rPr>
            </w:pPr>
            <w:r>
              <w:rPr>
                <w:color w:val="1C1C1C"/>
                <w:sz w:val="16"/>
                <w:szCs w:val="16"/>
              </w:rPr>
              <w:t>14</w:t>
            </w:r>
          </w:p>
        </w:tc>
      </w:tr>
      <w:tr w:rsidR="00F5625D" w:rsidRPr="00C219EA" w14:paraId="29462693"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4312B8FA" w14:textId="77777777" w:rsidR="00F5625D" w:rsidRPr="00C219EA" w:rsidRDefault="00F5625D" w:rsidP="00B15944">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404F1E9F"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36567E66"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F3BD138"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24D613BB" w14:textId="4B670927" w:rsidR="00F5625D" w:rsidRPr="00C219EA" w:rsidRDefault="00D354FD" w:rsidP="00B15944">
            <w:pPr>
              <w:spacing w:before="120" w:after="120"/>
              <w:jc w:val="right"/>
              <w:rPr>
                <w:color w:val="1C1C1C"/>
                <w:sz w:val="16"/>
                <w:szCs w:val="16"/>
              </w:rPr>
            </w:pPr>
            <w:r>
              <w:rPr>
                <w:color w:val="1C1C1C"/>
                <w:sz w:val="16"/>
                <w:szCs w:val="16"/>
              </w:rPr>
              <w:t>0</w:t>
            </w:r>
          </w:p>
        </w:tc>
        <w:tc>
          <w:tcPr>
            <w:tcW w:w="850" w:type="dxa"/>
            <w:shd w:val="clear" w:color="auto" w:fill="F2F2F2" w:themeFill="background2" w:themeFillShade="F2"/>
          </w:tcPr>
          <w:p w14:paraId="43BFC43A"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2ED7B000" w14:textId="6D0B0DF5" w:rsidR="00F5625D" w:rsidRPr="00C219EA" w:rsidRDefault="00D354FD"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2387BC0E" w14:textId="477D489E" w:rsidR="00F5625D" w:rsidRPr="00C219EA" w:rsidRDefault="00D354FD" w:rsidP="00B15944">
            <w:pPr>
              <w:spacing w:before="120" w:after="120"/>
              <w:jc w:val="right"/>
              <w:rPr>
                <w:color w:val="1C1C1C"/>
                <w:sz w:val="16"/>
                <w:szCs w:val="16"/>
              </w:rPr>
            </w:pPr>
            <w:r>
              <w:rPr>
                <w:color w:val="1C1C1C"/>
                <w:sz w:val="16"/>
                <w:szCs w:val="16"/>
              </w:rPr>
              <w:t>0</w:t>
            </w:r>
          </w:p>
        </w:tc>
      </w:tr>
      <w:tr w:rsidR="00F5625D" w:rsidRPr="00C219EA" w14:paraId="024E6C3F" w14:textId="77777777" w:rsidTr="00F5625D">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0342A5CE" w14:textId="77777777" w:rsidR="00F5625D" w:rsidRPr="00C219EA" w:rsidRDefault="00F5625D" w:rsidP="00B15944">
            <w:pPr>
              <w:spacing w:before="120" w:after="120"/>
              <w:rPr>
                <w:b/>
                <w:bCs/>
                <w:color w:val="1C1C1C"/>
                <w:sz w:val="16"/>
                <w:szCs w:val="16"/>
              </w:rPr>
            </w:pPr>
            <w:r w:rsidRPr="00C219EA">
              <w:rPr>
                <w:b/>
                <w:bCs/>
                <w:color w:val="1C1C1C"/>
                <w:sz w:val="16"/>
                <w:szCs w:val="16"/>
              </w:rPr>
              <w:t>Total</w:t>
            </w:r>
          </w:p>
        </w:tc>
        <w:tc>
          <w:tcPr>
            <w:tcW w:w="842" w:type="dxa"/>
            <w:shd w:val="clear" w:color="auto" w:fill="BDF4FF" w:themeFill="accent3" w:themeFillTint="33"/>
          </w:tcPr>
          <w:p w14:paraId="2EDF7F7E" w14:textId="7124E398" w:rsidR="00F5625D" w:rsidRPr="00C219EA" w:rsidRDefault="00384A9B" w:rsidP="00B15944">
            <w:pPr>
              <w:spacing w:before="120" w:after="120"/>
              <w:jc w:val="right"/>
              <w:rPr>
                <w:b/>
                <w:bCs/>
                <w:color w:val="1C1C1C"/>
                <w:sz w:val="16"/>
                <w:szCs w:val="16"/>
              </w:rPr>
            </w:pPr>
            <w:r>
              <w:rPr>
                <w:b/>
                <w:bCs/>
                <w:color w:val="1C1C1C"/>
                <w:sz w:val="16"/>
                <w:szCs w:val="16"/>
              </w:rPr>
              <w:t>1</w:t>
            </w:r>
            <w:r w:rsidR="00A743BA">
              <w:rPr>
                <w:b/>
                <w:bCs/>
                <w:color w:val="1C1C1C"/>
                <w:sz w:val="16"/>
                <w:szCs w:val="16"/>
              </w:rPr>
              <w:t>7</w:t>
            </w:r>
          </w:p>
        </w:tc>
        <w:tc>
          <w:tcPr>
            <w:tcW w:w="851" w:type="dxa"/>
            <w:shd w:val="clear" w:color="auto" w:fill="BDF4FF" w:themeFill="accent3" w:themeFillTint="33"/>
          </w:tcPr>
          <w:p w14:paraId="4F2ACC55" w14:textId="1A6C3B1C" w:rsidR="00F5625D" w:rsidRPr="00C219EA" w:rsidRDefault="00384A9B" w:rsidP="00B15944">
            <w:pPr>
              <w:spacing w:before="120" w:after="120"/>
              <w:jc w:val="right"/>
              <w:rPr>
                <w:b/>
                <w:bCs/>
                <w:color w:val="1C1C1C"/>
                <w:sz w:val="16"/>
                <w:szCs w:val="16"/>
              </w:rPr>
            </w:pPr>
            <w:r>
              <w:rPr>
                <w:b/>
                <w:bCs/>
                <w:color w:val="1C1C1C"/>
                <w:sz w:val="16"/>
                <w:szCs w:val="16"/>
              </w:rPr>
              <w:t>2</w:t>
            </w:r>
          </w:p>
        </w:tc>
        <w:tc>
          <w:tcPr>
            <w:tcW w:w="715" w:type="dxa"/>
            <w:tcBorders>
              <w:right w:val="single" w:sz="4" w:space="0" w:color="FFFFFF" w:themeColor="background2"/>
            </w:tcBorders>
            <w:shd w:val="clear" w:color="auto" w:fill="BDF4FF" w:themeFill="accent3" w:themeFillTint="33"/>
          </w:tcPr>
          <w:p w14:paraId="37EDB544" w14:textId="1868C908" w:rsidR="00F5625D" w:rsidRPr="00C219EA" w:rsidRDefault="00384A9B" w:rsidP="00B15944">
            <w:pPr>
              <w:spacing w:before="120" w:after="120"/>
              <w:jc w:val="right"/>
              <w:rPr>
                <w:b/>
                <w:bCs/>
                <w:color w:val="1C1C1C"/>
                <w:sz w:val="16"/>
                <w:szCs w:val="16"/>
              </w:rPr>
            </w:pPr>
            <w:r>
              <w:rPr>
                <w:b/>
                <w:bCs/>
                <w:color w:val="1C1C1C"/>
                <w:sz w:val="16"/>
                <w:szCs w:val="16"/>
              </w:rPr>
              <w:t>19</w:t>
            </w:r>
          </w:p>
        </w:tc>
        <w:tc>
          <w:tcPr>
            <w:tcW w:w="850" w:type="dxa"/>
            <w:tcBorders>
              <w:left w:val="single" w:sz="4" w:space="0" w:color="FFFFFF" w:themeColor="background2"/>
            </w:tcBorders>
            <w:shd w:val="clear" w:color="auto" w:fill="BDF4FF" w:themeFill="accent3" w:themeFillTint="33"/>
          </w:tcPr>
          <w:p w14:paraId="354FCA1F" w14:textId="2351D4DC" w:rsidR="00F5625D" w:rsidRPr="00C219EA" w:rsidRDefault="00384A9B" w:rsidP="00B15944">
            <w:pPr>
              <w:spacing w:before="120" w:after="120"/>
              <w:jc w:val="right"/>
              <w:rPr>
                <w:b/>
                <w:bCs/>
                <w:color w:val="1C1C1C"/>
                <w:sz w:val="16"/>
                <w:szCs w:val="16"/>
              </w:rPr>
            </w:pPr>
            <w:r>
              <w:rPr>
                <w:b/>
                <w:bCs/>
                <w:color w:val="1C1C1C"/>
                <w:sz w:val="16"/>
                <w:szCs w:val="16"/>
              </w:rPr>
              <w:t>34</w:t>
            </w:r>
          </w:p>
        </w:tc>
        <w:tc>
          <w:tcPr>
            <w:tcW w:w="850" w:type="dxa"/>
            <w:shd w:val="clear" w:color="auto" w:fill="BDF4FF" w:themeFill="accent3" w:themeFillTint="33"/>
          </w:tcPr>
          <w:p w14:paraId="5109C7A0" w14:textId="1470DB5E" w:rsidR="00F5625D" w:rsidRPr="00C219EA" w:rsidRDefault="00384A9B" w:rsidP="00B15944">
            <w:pPr>
              <w:spacing w:before="120" w:after="120"/>
              <w:jc w:val="right"/>
              <w:rPr>
                <w:b/>
                <w:bCs/>
                <w:color w:val="1C1C1C"/>
                <w:sz w:val="16"/>
                <w:szCs w:val="16"/>
              </w:rPr>
            </w:pPr>
            <w:r>
              <w:rPr>
                <w:b/>
                <w:bCs/>
                <w:color w:val="1C1C1C"/>
                <w:sz w:val="16"/>
                <w:szCs w:val="16"/>
              </w:rPr>
              <w:t>5</w:t>
            </w:r>
          </w:p>
        </w:tc>
        <w:tc>
          <w:tcPr>
            <w:tcW w:w="850" w:type="dxa"/>
            <w:tcBorders>
              <w:right w:val="single" w:sz="4" w:space="0" w:color="FFFFFF" w:themeColor="background2"/>
            </w:tcBorders>
            <w:shd w:val="clear" w:color="auto" w:fill="BDF4FF" w:themeFill="accent3" w:themeFillTint="33"/>
          </w:tcPr>
          <w:p w14:paraId="7F3C2016" w14:textId="6FFC015E" w:rsidR="00F5625D" w:rsidRPr="00C219EA" w:rsidRDefault="00384A9B" w:rsidP="00B15944">
            <w:pPr>
              <w:spacing w:before="120" w:after="120"/>
              <w:jc w:val="right"/>
              <w:rPr>
                <w:b/>
                <w:bCs/>
                <w:color w:val="1C1C1C"/>
                <w:sz w:val="16"/>
                <w:szCs w:val="16"/>
              </w:rPr>
            </w:pPr>
            <w:r>
              <w:rPr>
                <w:b/>
                <w:bCs/>
                <w:color w:val="1C1C1C"/>
                <w:sz w:val="16"/>
                <w:szCs w:val="16"/>
              </w:rPr>
              <w:t>39</w:t>
            </w:r>
          </w:p>
        </w:tc>
        <w:tc>
          <w:tcPr>
            <w:tcW w:w="850" w:type="dxa"/>
            <w:tcBorders>
              <w:left w:val="single" w:sz="4" w:space="0" w:color="FFFFFF" w:themeColor="background2"/>
            </w:tcBorders>
            <w:shd w:val="clear" w:color="auto" w:fill="BDF4FF" w:themeFill="accent3" w:themeFillTint="33"/>
          </w:tcPr>
          <w:p w14:paraId="40A7D976" w14:textId="4D9BF5DA" w:rsidR="00F5625D" w:rsidRPr="00C219EA" w:rsidRDefault="00384A9B" w:rsidP="00B15944">
            <w:pPr>
              <w:spacing w:before="120" w:after="120"/>
              <w:jc w:val="right"/>
              <w:rPr>
                <w:b/>
                <w:bCs/>
                <w:color w:val="1C1C1C"/>
                <w:sz w:val="16"/>
                <w:szCs w:val="16"/>
              </w:rPr>
            </w:pPr>
            <w:r>
              <w:rPr>
                <w:b/>
                <w:bCs/>
                <w:color w:val="1C1C1C"/>
                <w:sz w:val="16"/>
                <w:szCs w:val="16"/>
              </w:rPr>
              <w:t>58</w:t>
            </w:r>
          </w:p>
        </w:tc>
      </w:tr>
    </w:tbl>
    <w:p w14:paraId="159B6157" w14:textId="77777777" w:rsidR="00F5625D" w:rsidRPr="00C219EA" w:rsidRDefault="00F5625D" w:rsidP="00F5625D">
      <w:pPr>
        <w:rPr>
          <w:color w:val="1C1C1C"/>
          <w:sz w:val="18"/>
          <w:szCs w:val="18"/>
        </w:rPr>
      </w:pPr>
    </w:p>
    <w:p w14:paraId="04F1FFC8" w14:textId="30ACC539" w:rsidR="00F5625D" w:rsidRPr="00C219EA" w:rsidRDefault="00F5625D" w:rsidP="00F5625D">
      <w:pPr>
        <w:pStyle w:val="FigureHeading"/>
      </w:pPr>
      <w:bookmarkStart w:id="82" w:name="_Toc114824668"/>
      <w:r w:rsidRPr="00C219EA">
        <w:t xml:space="preserve">Table </w:t>
      </w:r>
      <w:r>
        <w:t>12</w:t>
      </w:r>
      <w:r w:rsidRPr="00C219EA">
        <w:t>: Ongoing seconded employees 20</w:t>
      </w:r>
      <w:r>
        <w:t>21</w:t>
      </w:r>
      <w:bookmarkEnd w:id="82"/>
    </w:p>
    <w:tbl>
      <w:tblPr>
        <w:tblStyle w:val="IHPATable"/>
        <w:tblW w:w="7234" w:type="dxa"/>
        <w:tblLayout w:type="fixed"/>
        <w:tblLook w:val="0020" w:firstRow="1" w:lastRow="0" w:firstColumn="0" w:lastColumn="0" w:noHBand="0" w:noVBand="0"/>
        <w:tblCaption w:val="Table 11"/>
        <w:tblDescription w:val="Ongoing seconded employees 2020"/>
      </w:tblPr>
      <w:tblGrid>
        <w:gridCol w:w="1426"/>
        <w:gridCol w:w="842"/>
        <w:gridCol w:w="851"/>
        <w:gridCol w:w="715"/>
        <w:gridCol w:w="850"/>
        <w:gridCol w:w="850"/>
        <w:gridCol w:w="850"/>
        <w:gridCol w:w="850"/>
      </w:tblGrid>
      <w:tr w:rsidR="00F5625D" w:rsidRPr="00C219EA" w14:paraId="658C099E" w14:textId="77777777" w:rsidTr="00F5625D">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009AB8" w:themeFill="accent3"/>
          </w:tcPr>
          <w:p w14:paraId="52EE5679" w14:textId="77777777" w:rsidR="00F5625D" w:rsidRPr="00C219EA" w:rsidRDefault="00F5625D" w:rsidP="00B15944">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009AB8" w:themeFill="accent3"/>
          </w:tcPr>
          <w:p w14:paraId="1C78505A" w14:textId="77777777" w:rsidR="00F5625D" w:rsidRPr="00C219EA" w:rsidRDefault="00F5625D" w:rsidP="00B15944">
            <w:pPr>
              <w:spacing w:before="120" w:after="120"/>
              <w:jc w:val="center"/>
              <w:rPr>
                <w:rFonts w:ascii="Futura PT Book" w:hAnsi="Futura PT Book" w:cs="Futura PT Book"/>
                <w:b/>
                <w:bCs/>
                <w:szCs w:val="18"/>
                <w:lang w:val="en-US"/>
              </w:rPr>
            </w:pPr>
            <w:r w:rsidRPr="00C219EA">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009AB8" w:themeFill="accent3"/>
          </w:tcPr>
          <w:p w14:paraId="4EAF51DB" w14:textId="77777777" w:rsidR="00F5625D" w:rsidRPr="00C219EA" w:rsidRDefault="00F5625D" w:rsidP="00B15944">
            <w:pPr>
              <w:spacing w:before="120" w:after="120"/>
              <w:jc w:val="center"/>
              <w:rPr>
                <w:b/>
                <w:bCs/>
                <w:szCs w:val="18"/>
                <w:lang w:val="en-US"/>
              </w:rPr>
            </w:pPr>
            <w:r w:rsidRPr="00C219EA">
              <w:rPr>
                <w:b/>
                <w:bCs/>
                <w:szCs w:val="18"/>
                <w:lang w:val="en-US"/>
              </w:rPr>
              <w:t>Female</w:t>
            </w:r>
          </w:p>
        </w:tc>
        <w:tc>
          <w:tcPr>
            <w:tcW w:w="850" w:type="dxa"/>
            <w:tcBorders>
              <w:left w:val="single" w:sz="4" w:space="0" w:color="FFFFFF" w:themeColor="background2"/>
            </w:tcBorders>
            <w:shd w:val="clear" w:color="auto" w:fill="009AB8" w:themeFill="accent3"/>
          </w:tcPr>
          <w:p w14:paraId="36E40B23" w14:textId="77777777" w:rsidR="00F5625D" w:rsidRPr="00C219EA" w:rsidRDefault="00F5625D" w:rsidP="00B15944">
            <w:pPr>
              <w:spacing w:before="120" w:after="120"/>
              <w:rPr>
                <w:b/>
                <w:bCs/>
                <w:szCs w:val="18"/>
                <w:lang w:val="en-US"/>
              </w:rPr>
            </w:pPr>
          </w:p>
        </w:tc>
      </w:tr>
      <w:tr w:rsidR="00F5625D" w:rsidRPr="00C219EA" w14:paraId="360A6BF5" w14:textId="77777777" w:rsidTr="00F5625D">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4859CC50" w14:textId="77777777" w:rsidR="00F5625D" w:rsidRPr="00C219EA" w:rsidRDefault="00F5625D" w:rsidP="00B15944">
            <w:pPr>
              <w:spacing w:before="120" w:after="120"/>
              <w:rPr>
                <w:rFonts w:ascii="Futura PT Book" w:hAnsi="Futura PT Book" w:cs="Futura PT Book"/>
                <w:b/>
                <w:bCs/>
                <w:color w:val="000000"/>
                <w:sz w:val="16"/>
                <w:szCs w:val="16"/>
                <w:lang w:val="en-US"/>
              </w:rPr>
            </w:pPr>
            <w:r w:rsidRPr="00C219EA">
              <w:rPr>
                <w:b/>
                <w:bCs/>
                <w:color w:val="1C1C1C"/>
                <w:sz w:val="16"/>
                <w:szCs w:val="16"/>
              </w:rPr>
              <w:t>Classification</w:t>
            </w:r>
          </w:p>
        </w:tc>
        <w:tc>
          <w:tcPr>
            <w:tcW w:w="842" w:type="dxa"/>
            <w:shd w:val="clear" w:color="auto" w:fill="BDF4FF" w:themeFill="accent3" w:themeFillTint="33"/>
          </w:tcPr>
          <w:p w14:paraId="37FFF1B4"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Full-time</w:t>
            </w:r>
          </w:p>
        </w:tc>
        <w:tc>
          <w:tcPr>
            <w:tcW w:w="851" w:type="dxa"/>
            <w:shd w:val="clear" w:color="auto" w:fill="BDF4FF" w:themeFill="accent3" w:themeFillTint="33"/>
          </w:tcPr>
          <w:p w14:paraId="70E85BA8"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Part-time</w:t>
            </w:r>
          </w:p>
        </w:tc>
        <w:tc>
          <w:tcPr>
            <w:tcW w:w="715" w:type="dxa"/>
            <w:tcBorders>
              <w:right w:val="single" w:sz="4" w:space="0" w:color="FFFFFF" w:themeColor="background2"/>
            </w:tcBorders>
            <w:shd w:val="clear" w:color="auto" w:fill="BDF4FF" w:themeFill="accent3" w:themeFillTint="33"/>
          </w:tcPr>
          <w:p w14:paraId="1D1130FF" w14:textId="77777777" w:rsidR="00F5625D" w:rsidRPr="00C219EA" w:rsidRDefault="00F5625D"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37916EF2" w14:textId="77777777" w:rsidR="00F5625D" w:rsidRPr="00C219EA" w:rsidRDefault="00F5625D"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Full-time</w:t>
            </w:r>
          </w:p>
        </w:tc>
        <w:tc>
          <w:tcPr>
            <w:tcW w:w="850" w:type="dxa"/>
            <w:shd w:val="clear" w:color="auto" w:fill="BDF4FF" w:themeFill="accent3" w:themeFillTint="33"/>
          </w:tcPr>
          <w:p w14:paraId="6159F841"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Part-time</w:t>
            </w:r>
          </w:p>
        </w:tc>
        <w:tc>
          <w:tcPr>
            <w:tcW w:w="850" w:type="dxa"/>
            <w:tcBorders>
              <w:right w:val="single" w:sz="4" w:space="0" w:color="FFFFFF" w:themeColor="background2"/>
            </w:tcBorders>
            <w:shd w:val="clear" w:color="auto" w:fill="BDF4FF" w:themeFill="accent3" w:themeFillTint="33"/>
          </w:tcPr>
          <w:p w14:paraId="5395B43F"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3130BE89"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Total</w:t>
            </w:r>
          </w:p>
        </w:tc>
      </w:tr>
      <w:tr w:rsidR="00F5625D" w:rsidRPr="00C219EA" w14:paraId="49DB96A9"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48DC55D8"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S</w:t>
            </w:r>
            <w:r>
              <w:rPr>
                <w:color w:val="1C1C1C"/>
                <w:sz w:val="16"/>
                <w:szCs w:val="16"/>
              </w:rPr>
              <w:t xml:space="preserve">enior </w:t>
            </w:r>
            <w:r w:rsidRPr="00C219EA">
              <w:rPr>
                <w:color w:val="1C1C1C"/>
                <w:sz w:val="16"/>
                <w:szCs w:val="16"/>
              </w:rPr>
              <w:t>E</w:t>
            </w:r>
            <w:r>
              <w:rPr>
                <w:color w:val="1C1C1C"/>
                <w:sz w:val="16"/>
                <w:szCs w:val="16"/>
              </w:rPr>
              <w:t xml:space="preserve">xecutive </w:t>
            </w:r>
            <w:r w:rsidRPr="00C219EA">
              <w:rPr>
                <w:color w:val="1C1C1C"/>
                <w:sz w:val="16"/>
                <w:szCs w:val="16"/>
              </w:rPr>
              <w:t>S</w:t>
            </w:r>
            <w:r>
              <w:rPr>
                <w:color w:val="1C1C1C"/>
                <w:sz w:val="16"/>
                <w:szCs w:val="16"/>
              </w:rPr>
              <w:t>ervice</w:t>
            </w:r>
          </w:p>
        </w:tc>
        <w:tc>
          <w:tcPr>
            <w:tcW w:w="842" w:type="dxa"/>
            <w:shd w:val="clear" w:color="auto" w:fill="F2F2F2" w:themeFill="background2" w:themeFillShade="F2"/>
          </w:tcPr>
          <w:p w14:paraId="47D61004"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7A314D67"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50737475" w14:textId="77777777" w:rsidR="00F5625D" w:rsidRPr="00C219EA" w:rsidRDefault="00F5625D" w:rsidP="00B15944">
            <w:pPr>
              <w:spacing w:before="120" w:after="120"/>
              <w:jc w:val="right"/>
              <w:rPr>
                <w:rFonts w:ascii="Futura PT Book" w:hAnsi="Futura PT Book" w:cs="Futura PT Book"/>
                <w:color w:val="000000"/>
                <w:sz w:val="16"/>
                <w:szCs w:val="16"/>
                <w:lang w:val="en-US"/>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78479912" w14:textId="77777777" w:rsidR="00F5625D" w:rsidRPr="00C219EA" w:rsidRDefault="00F5625D" w:rsidP="00B15944">
            <w:pPr>
              <w:spacing w:before="120" w:after="120"/>
              <w:jc w:val="right"/>
              <w:rPr>
                <w:rFonts w:ascii="Futura PT Book" w:hAnsi="Futura PT Book" w:cs="Futura PT Book"/>
                <w:color w:val="000000"/>
                <w:sz w:val="16"/>
                <w:szCs w:val="16"/>
                <w:lang w:val="en-US"/>
              </w:rPr>
            </w:pPr>
            <w:r w:rsidRPr="00C219EA">
              <w:rPr>
                <w:color w:val="1C1C1C"/>
                <w:sz w:val="16"/>
                <w:szCs w:val="16"/>
              </w:rPr>
              <w:t>2</w:t>
            </w:r>
          </w:p>
        </w:tc>
        <w:tc>
          <w:tcPr>
            <w:tcW w:w="850" w:type="dxa"/>
            <w:shd w:val="clear" w:color="auto" w:fill="F2F2F2" w:themeFill="background2" w:themeFillShade="F2"/>
          </w:tcPr>
          <w:p w14:paraId="6DC84F4F"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389768A2" w14:textId="77777777" w:rsidR="00F5625D" w:rsidRPr="00C219EA" w:rsidRDefault="00F5625D" w:rsidP="00B15944">
            <w:pPr>
              <w:spacing w:before="120" w:after="120"/>
              <w:jc w:val="right"/>
              <w:rPr>
                <w:color w:val="1C1C1C"/>
                <w:sz w:val="16"/>
                <w:szCs w:val="16"/>
              </w:rPr>
            </w:pPr>
            <w:r w:rsidRPr="00C219EA">
              <w:rPr>
                <w:color w:val="1C1C1C"/>
                <w:sz w:val="16"/>
                <w:szCs w:val="16"/>
              </w:rPr>
              <w:t>2</w:t>
            </w:r>
          </w:p>
        </w:tc>
        <w:tc>
          <w:tcPr>
            <w:tcW w:w="850" w:type="dxa"/>
            <w:tcBorders>
              <w:left w:val="single" w:sz="4" w:space="0" w:color="FFFFFF" w:themeColor="background2"/>
            </w:tcBorders>
          </w:tcPr>
          <w:p w14:paraId="2395EE16" w14:textId="77777777" w:rsidR="00F5625D" w:rsidRPr="00C219EA" w:rsidRDefault="00F5625D" w:rsidP="00B15944">
            <w:pPr>
              <w:spacing w:before="120" w:after="120"/>
              <w:jc w:val="right"/>
              <w:rPr>
                <w:color w:val="1C1C1C"/>
                <w:sz w:val="16"/>
                <w:szCs w:val="16"/>
              </w:rPr>
            </w:pPr>
            <w:r w:rsidRPr="00C219EA">
              <w:rPr>
                <w:color w:val="1C1C1C"/>
                <w:sz w:val="16"/>
                <w:szCs w:val="16"/>
              </w:rPr>
              <w:t>2</w:t>
            </w:r>
          </w:p>
        </w:tc>
      </w:tr>
      <w:tr w:rsidR="00F5625D" w:rsidRPr="00C219EA" w14:paraId="79B0AE31"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082FB4FA"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293E9DA8" w14:textId="240462C9" w:rsidR="00F5625D" w:rsidRPr="00C219EA" w:rsidRDefault="00D354FD" w:rsidP="00B15944">
            <w:pPr>
              <w:spacing w:before="120" w:after="120"/>
              <w:jc w:val="right"/>
              <w:rPr>
                <w:color w:val="1C1C1C"/>
                <w:sz w:val="16"/>
                <w:szCs w:val="16"/>
              </w:rPr>
            </w:pPr>
            <w:r>
              <w:rPr>
                <w:color w:val="1C1C1C"/>
                <w:sz w:val="16"/>
                <w:szCs w:val="16"/>
              </w:rPr>
              <w:t>5</w:t>
            </w:r>
          </w:p>
        </w:tc>
        <w:tc>
          <w:tcPr>
            <w:tcW w:w="851" w:type="dxa"/>
            <w:shd w:val="clear" w:color="auto" w:fill="F2F2F2" w:themeFill="background2" w:themeFillShade="F2"/>
          </w:tcPr>
          <w:p w14:paraId="623310C5"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5C172E21" w14:textId="770111AB" w:rsidR="00F5625D" w:rsidRPr="00C219EA" w:rsidRDefault="00D354FD" w:rsidP="00B15944">
            <w:pPr>
              <w:spacing w:before="120" w:after="120"/>
              <w:jc w:val="right"/>
              <w:rPr>
                <w:rFonts w:ascii="Futura PT Book" w:hAnsi="Futura PT Book" w:cs="Futura PT Book"/>
                <w:color w:val="000000"/>
                <w:sz w:val="16"/>
                <w:szCs w:val="16"/>
                <w:lang w:val="en-US"/>
              </w:rPr>
            </w:pPr>
            <w:r>
              <w:rPr>
                <w:color w:val="1C1C1C"/>
                <w:sz w:val="16"/>
                <w:szCs w:val="16"/>
              </w:rPr>
              <w:t>5</w:t>
            </w:r>
          </w:p>
        </w:tc>
        <w:tc>
          <w:tcPr>
            <w:tcW w:w="850" w:type="dxa"/>
            <w:tcBorders>
              <w:left w:val="single" w:sz="4" w:space="0" w:color="FFFFFF" w:themeColor="background2"/>
            </w:tcBorders>
            <w:shd w:val="clear" w:color="auto" w:fill="F2F2F2" w:themeFill="background2" w:themeFillShade="F2"/>
          </w:tcPr>
          <w:p w14:paraId="00519CA8" w14:textId="19AF98A6" w:rsidR="00F5625D" w:rsidRPr="00C219EA" w:rsidRDefault="00D354FD" w:rsidP="00B15944">
            <w:pPr>
              <w:spacing w:before="120" w:after="120"/>
              <w:jc w:val="right"/>
              <w:rPr>
                <w:rFonts w:ascii="Futura PT Book" w:hAnsi="Futura PT Book" w:cs="Futura PT Book"/>
                <w:color w:val="000000"/>
                <w:sz w:val="16"/>
                <w:szCs w:val="16"/>
                <w:lang w:val="en-US"/>
              </w:rPr>
            </w:pPr>
            <w:r>
              <w:rPr>
                <w:color w:val="1C1C1C"/>
                <w:sz w:val="16"/>
                <w:szCs w:val="16"/>
              </w:rPr>
              <w:t>7</w:t>
            </w:r>
          </w:p>
        </w:tc>
        <w:tc>
          <w:tcPr>
            <w:tcW w:w="850" w:type="dxa"/>
            <w:shd w:val="clear" w:color="auto" w:fill="F2F2F2" w:themeFill="background2" w:themeFillShade="F2"/>
          </w:tcPr>
          <w:p w14:paraId="55F38563" w14:textId="41075159" w:rsidR="00F5625D" w:rsidRPr="00C219EA" w:rsidRDefault="00D354FD" w:rsidP="00B15944">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7A51152F" w14:textId="77777777" w:rsidR="00F5625D" w:rsidRPr="00C219EA" w:rsidRDefault="00F5625D" w:rsidP="00B15944">
            <w:pPr>
              <w:spacing w:before="120" w:after="120"/>
              <w:jc w:val="right"/>
              <w:rPr>
                <w:color w:val="1C1C1C"/>
                <w:sz w:val="16"/>
                <w:szCs w:val="16"/>
              </w:rPr>
            </w:pPr>
            <w:r>
              <w:rPr>
                <w:color w:val="1C1C1C"/>
                <w:sz w:val="16"/>
                <w:szCs w:val="16"/>
              </w:rPr>
              <w:t>7</w:t>
            </w:r>
          </w:p>
        </w:tc>
        <w:tc>
          <w:tcPr>
            <w:tcW w:w="850" w:type="dxa"/>
            <w:tcBorders>
              <w:left w:val="single" w:sz="4" w:space="0" w:color="FFFFFF" w:themeColor="background2"/>
            </w:tcBorders>
          </w:tcPr>
          <w:p w14:paraId="13A69BB8" w14:textId="393D1566" w:rsidR="00F5625D" w:rsidRPr="00C219EA" w:rsidRDefault="00F5625D" w:rsidP="00B15944">
            <w:pPr>
              <w:spacing w:before="120" w:after="120"/>
              <w:jc w:val="right"/>
              <w:rPr>
                <w:color w:val="1C1C1C"/>
                <w:sz w:val="16"/>
                <w:szCs w:val="16"/>
              </w:rPr>
            </w:pPr>
            <w:r w:rsidRPr="00C219EA">
              <w:rPr>
                <w:color w:val="1C1C1C"/>
                <w:sz w:val="16"/>
                <w:szCs w:val="16"/>
              </w:rPr>
              <w:t>1</w:t>
            </w:r>
            <w:r w:rsidR="00D354FD">
              <w:rPr>
                <w:color w:val="1C1C1C"/>
                <w:sz w:val="16"/>
                <w:szCs w:val="16"/>
              </w:rPr>
              <w:t>2</w:t>
            </w:r>
          </w:p>
        </w:tc>
      </w:tr>
      <w:tr w:rsidR="00F5625D" w:rsidRPr="00C219EA" w14:paraId="2178DF4A"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0A179187"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4536A81B" w14:textId="765DD44C" w:rsidR="00F5625D" w:rsidRPr="00C219EA" w:rsidRDefault="00D354FD" w:rsidP="00B15944">
            <w:pPr>
              <w:spacing w:before="120" w:after="120"/>
              <w:jc w:val="right"/>
              <w:rPr>
                <w:color w:val="1C1C1C"/>
                <w:sz w:val="16"/>
                <w:szCs w:val="16"/>
              </w:rPr>
            </w:pPr>
            <w:r>
              <w:rPr>
                <w:color w:val="1C1C1C"/>
                <w:sz w:val="16"/>
                <w:szCs w:val="16"/>
              </w:rPr>
              <w:t>10</w:t>
            </w:r>
          </w:p>
        </w:tc>
        <w:tc>
          <w:tcPr>
            <w:tcW w:w="851" w:type="dxa"/>
            <w:shd w:val="clear" w:color="auto" w:fill="F2F2F2" w:themeFill="background2" w:themeFillShade="F2"/>
          </w:tcPr>
          <w:p w14:paraId="5CDBF943"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7DF656ED" w14:textId="509337B1" w:rsidR="00F5625D" w:rsidRPr="00C219EA" w:rsidRDefault="00D354FD" w:rsidP="00B15944">
            <w:pPr>
              <w:spacing w:before="120" w:after="120"/>
              <w:jc w:val="right"/>
              <w:rPr>
                <w:rFonts w:ascii="Futura PT Book" w:hAnsi="Futura PT Book" w:cs="Futura PT Book"/>
                <w:color w:val="000000"/>
                <w:sz w:val="16"/>
                <w:szCs w:val="16"/>
                <w:lang w:val="en-US"/>
              </w:rPr>
            </w:pPr>
            <w:r>
              <w:rPr>
                <w:color w:val="1C1C1C"/>
                <w:sz w:val="16"/>
                <w:szCs w:val="16"/>
              </w:rPr>
              <w:t>10</w:t>
            </w:r>
          </w:p>
        </w:tc>
        <w:tc>
          <w:tcPr>
            <w:tcW w:w="850" w:type="dxa"/>
            <w:tcBorders>
              <w:left w:val="single" w:sz="4" w:space="0" w:color="FFFFFF" w:themeColor="background2"/>
            </w:tcBorders>
            <w:shd w:val="clear" w:color="auto" w:fill="F2F2F2" w:themeFill="background2" w:themeFillShade="F2"/>
          </w:tcPr>
          <w:p w14:paraId="6E71CF43" w14:textId="1127A275" w:rsidR="00F5625D" w:rsidRPr="00C219EA" w:rsidRDefault="00D354FD" w:rsidP="00B15944">
            <w:pPr>
              <w:spacing w:before="120" w:after="120"/>
              <w:jc w:val="right"/>
              <w:rPr>
                <w:rFonts w:ascii="Futura PT Book" w:hAnsi="Futura PT Book" w:cs="Futura PT Book"/>
                <w:color w:val="000000"/>
                <w:sz w:val="16"/>
                <w:szCs w:val="16"/>
                <w:lang w:val="en-US"/>
              </w:rPr>
            </w:pPr>
            <w:r>
              <w:rPr>
                <w:color w:val="1C1C1C"/>
                <w:sz w:val="16"/>
                <w:szCs w:val="16"/>
              </w:rPr>
              <w:t>9</w:t>
            </w:r>
          </w:p>
        </w:tc>
        <w:tc>
          <w:tcPr>
            <w:tcW w:w="850" w:type="dxa"/>
            <w:shd w:val="clear" w:color="auto" w:fill="F2F2F2" w:themeFill="background2" w:themeFillShade="F2"/>
          </w:tcPr>
          <w:p w14:paraId="1F291F46" w14:textId="77777777" w:rsidR="00F5625D" w:rsidRPr="00C219EA" w:rsidRDefault="00F5625D" w:rsidP="00B15944">
            <w:pPr>
              <w:spacing w:before="120" w:after="120"/>
              <w:jc w:val="right"/>
              <w:rPr>
                <w:color w:val="1C1C1C"/>
                <w:sz w:val="16"/>
                <w:szCs w:val="16"/>
              </w:rPr>
            </w:pPr>
            <w:r>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07A1837F" w14:textId="0E17A849" w:rsidR="00F5625D" w:rsidRPr="00C219EA" w:rsidRDefault="00F5625D" w:rsidP="00B15944">
            <w:pPr>
              <w:spacing w:before="120" w:after="120"/>
              <w:jc w:val="right"/>
              <w:rPr>
                <w:color w:val="1C1C1C"/>
                <w:sz w:val="16"/>
                <w:szCs w:val="16"/>
              </w:rPr>
            </w:pPr>
            <w:r w:rsidRPr="00C219EA">
              <w:rPr>
                <w:color w:val="1C1C1C"/>
                <w:sz w:val="16"/>
                <w:szCs w:val="16"/>
              </w:rPr>
              <w:t>1</w:t>
            </w:r>
            <w:r w:rsidR="00D354FD">
              <w:rPr>
                <w:color w:val="1C1C1C"/>
                <w:sz w:val="16"/>
                <w:szCs w:val="16"/>
              </w:rPr>
              <w:t>1</w:t>
            </w:r>
          </w:p>
        </w:tc>
        <w:tc>
          <w:tcPr>
            <w:tcW w:w="850" w:type="dxa"/>
            <w:tcBorders>
              <w:left w:val="single" w:sz="4" w:space="0" w:color="FFFFFF" w:themeColor="background2"/>
            </w:tcBorders>
          </w:tcPr>
          <w:p w14:paraId="5A3E420D" w14:textId="77EFAC86" w:rsidR="00F5625D" w:rsidRPr="00C219EA" w:rsidRDefault="00D354FD" w:rsidP="00B15944">
            <w:pPr>
              <w:spacing w:before="120" w:after="120"/>
              <w:jc w:val="right"/>
              <w:rPr>
                <w:color w:val="1C1C1C"/>
                <w:sz w:val="16"/>
                <w:szCs w:val="16"/>
              </w:rPr>
            </w:pPr>
            <w:r>
              <w:rPr>
                <w:color w:val="1C1C1C"/>
                <w:sz w:val="16"/>
                <w:szCs w:val="16"/>
              </w:rPr>
              <w:t>21</w:t>
            </w:r>
          </w:p>
        </w:tc>
      </w:tr>
      <w:tr w:rsidR="00F5625D" w:rsidRPr="00C219EA" w14:paraId="6E068C1F"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351AE94F" w14:textId="77777777" w:rsidR="00F5625D" w:rsidRPr="00C219EA" w:rsidRDefault="00F5625D" w:rsidP="00B15944">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647543DA" w14:textId="13F213F7" w:rsidR="00F5625D" w:rsidRPr="00C219EA" w:rsidRDefault="00D354FD" w:rsidP="00B15944">
            <w:pPr>
              <w:spacing w:before="120" w:after="120"/>
              <w:jc w:val="right"/>
              <w:rPr>
                <w:color w:val="1C1C1C"/>
                <w:sz w:val="16"/>
                <w:szCs w:val="16"/>
              </w:rPr>
            </w:pPr>
            <w:r>
              <w:rPr>
                <w:color w:val="1C1C1C"/>
                <w:sz w:val="16"/>
                <w:szCs w:val="16"/>
              </w:rPr>
              <w:t>2</w:t>
            </w:r>
          </w:p>
        </w:tc>
        <w:tc>
          <w:tcPr>
            <w:tcW w:w="851" w:type="dxa"/>
            <w:shd w:val="clear" w:color="auto" w:fill="F2F2F2" w:themeFill="background2" w:themeFillShade="F2"/>
          </w:tcPr>
          <w:p w14:paraId="01B8FF54"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3127FA08" w14:textId="62D4BFCB" w:rsidR="00F5625D" w:rsidRPr="00C219EA" w:rsidRDefault="00D354FD" w:rsidP="00B15944">
            <w:pPr>
              <w:spacing w:before="120" w:after="120"/>
              <w:jc w:val="right"/>
              <w:rPr>
                <w:rFonts w:ascii="Futura PT Book" w:hAnsi="Futura PT Book" w:cs="Futura PT Book"/>
                <w:color w:val="000000"/>
                <w:sz w:val="16"/>
                <w:szCs w:val="16"/>
                <w:lang w:val="en-US"/>
              </w:rPr>
            </w:pPr>
            <w:r>
              <w:rPr>
                <w:color w:val="1C1C1C"/>
                <w:sz w:val="16"/>
                <w:szCs w:val="16"/>
              </w:rPr>
              <w:t>2</w:t>
            </w:r>
          </w:p>
        </w:tc>
        <w:tc>
          <w:tcPr>
            <w:tcW w:w="850" w:type="dxa"/>
            <w:tcBorders>
              <w:left w:val="single" w:sz="4" w:space="0" w:color="FFFFFF" w:themeColor="background2"/>
            </w:tcBorders>
            <w:shd w:val="clear" w:color="auto" w:fill="F2F2F2" w:themeFill="background2" w:themeFillShade="F2"/>
          </w:tcPr>
          <w:p w14:paraId="65AFC771" w14:textId="2A01F3AB" w:rsidR="00F5625D" w:rsidRPr="00C219EA" w:rsidRDefault="00D354FD" w:rsidP="00B15944">
            <w:pPr>
              <w:spacing w:before="120" w:after="120"/>
              <w:jc w:val="right"/>
              <w:rPr>
                <w:rFonts w:ascii="Futura PT Book" w:hAnsi="Futura PT Book" w:cs="Futura PT Book"/>
                <w:color w:val="000000"/>
                <w:sz w:val="16"/>
                <w:szCs w:val="16"/>
                <w:lang w:val="en-US"/>
              </w:rPr>
            </w:pPr>
            <w:r>
              <w:rPr>
                <w:color w:val="1C1C1C"/>
                <w:sz w:val="16"/>
                <w:szCs w:val="16"/>
              </w:rPr>
              <w:t>3</w:t>
            </w:r>
          </w:p>
        </w:tc>
        <w:tc>
          <w:tcPr>
            <w:tcW w:w="850" w:type="dxa"/>
            <w:shd w:val="clear" w:color="auto" w:fill="F2F2F2" w:themeFill="background2" w:themeFillShade="F2"/>
          </w:tcPr>
          <w:p w14:paraId="23833649" w14:textId="77777777" w:rsidR="00F5625D" w:rsidRPr="00C219EA" w:rsidRDefault="00F5625D" w:rsidP="00B15944">
            <w:pPr>
              <w:spacing w:before="120" w:after="120"/>
              <w:jc w:val="right"/>
              <w:rPr>
                <w:color w:val="1C1C1C"/>
                <w:sz w:val="16"/>
                <w:szCs w:val="16"/>
              </w:rPr>
            </w:pPr>
            <w:r w:rsidRPr="00C219EA">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7BC64823" w14:textId="3B820D6A" w:rsidR="00F5625D" w:rsidRPr="00C219EA" w:rsidRDefault="00D354FD" w:rsidP="00B15944">
            <w:pPr>
              <w:spacing w:before="120" w:after="120"/>
              <w:jc w:val="right"/>
              <w:rPr>
                <w:color w:val="1C1C1C"/>
                <w:sz w:val="16"/>
                <w:szCs w:val="16"/>
              </w:rPr>
            </w:pPr>
            <w:r>
              <w:rPr>
                <w:color w:val="1C1C1C"/>
                <w:sz w:val="16"/>
                <w:szCs w:val="16"/>
              </w:rPr>
              <w:t>5</w:t>
            </w:r>
          </w:p>
        </w:tc>
        <w:tc>
          <w:tcPr>
            <w:tcW w:w="850" w:type="dxa"/>
            <w:tcBorders>
              <w:left w:val="single" w:sz="4" w:space="0" w:color="FFFFFF" w:themeColor="background2"/>
            </w:tcBorders>
          </w:tcPr>
          <w:p w14:paraId="00CA5AB5" w14:textId="51F5CD05" w:rsidR="00F5625D" w:rsidRPr="00C219EA" w:rsidRDefault="00D354FD" w:rsidP="00B15944">
            <w:pPr>
              <w:spacing w:before="120" w:after="120"/>
              <w:jc w:val="right"/>
              <w:rPr>
                <w:color w:val="1C1C1C"/>
                <w:sz w:val="16"/>
                <w:szCs w:val="16"/>
              </w:rPr>
            </w:pPr>
            <w:r>
              <w:rPr>
                <w:color w:val="1C1C1C"/>
                <w:sz w:val="16"/>
                <w:szCs w:val="16"/>
              </w:rPr>
              <w:t>7</w:t>
            </w:r>
          </w:p>
        </w:tc>
      </w:tr>
      <w:tr w:rsidR="00F5625D" w:rsidRPr="00C219EA" w14:paraId="199CEC75"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0C3A6E36" w14:textId="77777777" w:rsidR="00F5625D" w:rsidRPr="00C219EA" w:rsidRDefault="00F5625D" w:rsidP="00B15944">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38A2D0AE"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592C6C7D"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184AE9FA"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0CFEEB3F" w14:textId="77777777" w:rsidR="00F5625D" w:rsidRPr="00C219EA" w:rsidRDefault="00F5625D" w:rsidP="00B15944">
            <w:pPr>
              <w:spacing w:before="120" w:after="120"/>
              <w:jc w:val="right"/>
              <w:rPr>
                <w:color w:val="1C1C1C"/>
                <w:sz w:val="16"/>
                <w:szCs w:val="16"/>
              </w:rPr>
            </w:pPr>
            <w:r w:rsidRPr="00C219EA">
              <w:rPr>
                <w:color w:val="1C1C1C"/>
                <w:sz w:val="16"/>
                <w:szCs w:val="16"/>
              </w:rPr>
              <w:t>1</w:t>
            </w:r>
          </w:p>
        </w:tc>
        <w:tc>
          <w:tcPr>
            <w:tcW w:w="850" w:type="dxa"/>
            <w:shd w:val="clear" w:color="auto" w:fill="F2F2F2" w:themeFill="background2" w:themeFillShade="F2"/>
          </w:tcPr>
          <w:p w14:paraId="2A93980B" w14:textId="77777777" w:rsidR="00F5625D" w:rsidRPr="00C219EA" w:rsidRDefault="00F5625D"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7B3CB4C3" w14:textId="77777777" w:rsidR="00F5625D" w:rsidRPr="00C219EA" w:rsidRDefault="00F5625D" w:rsidP="00B15944">
            <w:pPr>
              <w:spacing w:before="120" w:after="120"/>
              <w:jc w:val="right"/>
              <w:rPr>
                <w:color w:val="1C1C1C"/>
                <w:sz w:val="16"/>
                <w:szCs w:val="16"/>
              </w:rPr>
            </w:pPr>
            <w:r w:rsidRPr="00C219EA">
              <w:rPr>
                <w:color w:val="1C1C1C"/>
                <w:sz w:val="16"/>
                <w:szCs w:val="16"/>
              </w:rPr>
              <w:t>1</w:t>
            </w:r>
          </w:p>
        </w:tc>
        <w:tc>
          <w:tcPr>
            <w:tcW w:w="850" w:type="dxa"/>
            <w:tcBorders>
              <w:left w:val="single" w:sz="4" w:space="0" w:color="FFFFFF" w:themeColor="background2"/>
            </w:tcBorders>
          </w:tcPr>
          <w:p w14:paraId="62EF83B7" w14:textId="77777777" w:rsidR="00F5625D" w:rsidRPr="00C219EA" w:rsidRDefault="00F5625D" w:rsidP="00B15944">
            <w:pPr>
              <w:spacing w:before="120" w:after="120"/>
              <w:jc w:val="right"/>
              <w:rPr>
                <w:color w:val="1C1C1C"/>
                <w:sz w:val="16"/>
                <w:szCs w:val="16"/>
              </w:rPr>
            </w:pPr>
            <w:r w:rsidRPr="00C219EA">
              <w:rPr>
                <w:color w:val="1C1C1C"/>
                <w:sz w:val="16"/>
                <w:szCs w:val="16"/>
              </w:rPr>
              <w:t>1</w:t>
            </w:r>
          </w:p>
        </w:tc>
      </w:tr>
      <w:tr w:rsidR="00F5625D" w:rsidRPr="00C219EA" w14:paraId="7160F38F" w14:textId="77777777" w:rsidTr="00F5625D">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34280A57" w14:textId="77777777" w:rsidR="00F5625D" w:rsidRPr="00C219EA" w:rsidRDefault="00F5625D" w:rsidP="00B15944">
            <w:pPr>
              <w:spacing w:before="120" w:after="120"/>
              <w:rPr>
                <w:b/>
                <w:bCs/>
                <w:color w:val="1C1C1C"/>
                <w:sz w:val="16"/>
                <w:szCs w:val="16"/>
              </w:rPr>
            </w:pPr>
            <w:r w:rsidRPr="00C219EA">
              <w:rPr>
                <w:b/>
                <w:bCs/>
                <w:color w:val="1C1C1C"/>
                <w:sz w:val="16"/>
                <w:szCs w:val="16"/>
              </w:rPr>
              <w:t>Total</w:t>
            </w:r>
          </w:p>
        </w:tc>
        <w:tc>
          <w:tcPr>
            <w:tcW w:w="842" w:type="dxa"/>
            <w:shd w:val="clear" w:color="auto" w:fill="BDF4FF" w:themeFill="accent3" w:themeFillTint="33"/>
          </w:tcPr>
          <w:p w14:paraId="7F216A2B" w14:textId="4511C60A" w:rsidR="00F5625D" w:rsidRPr="00C219EA" w:rsidRDefault="00D354FD" w:rsidP="00B15944">
            <w:pPr>
              <w:spacing w:before="120" w:after="120"/>
              <w:jc w:val="right"/>
              <w:rPr>
                <w:b/>
                <w:bCs/>
                <w:color w:val="1C1C1C"/>
                <w:sz w:val="16"/>
                <w:szCs w:val="16"/>
              </w:rPr>
            </w:pPr>
            <w:r>
              <w:rPr>
                <w:b/>
                <w:bCs/>
                <w:color w:val="1C1C1C"/>
                <w:sz w:val="16"/>
                <w:szCs w:val="16"/>
              </w:rPr>
              <w:t>17</w:t>
            </w:r>
          </w:p>
        </w:tc>
        <w:tc>
          <w:tcPr>
            <w:tcW w:w="851" w:type="dxa"/>
            <w:shd w:val="clear" w:color="auto" w:fill="BDF4FF" w:themeFill="accent3" w:themeFillTint="33"/>
          </w:tcPr>
          <w:p w14:paraId="3FF2E729" w14:textId="77777777" w:rsidR="00F5625D" w:rsidRPr="00C219EA" w:rsidRDefault="00F5625D" w:rsidP="00B15944">
            <w:pPr>
              <w:spacing w:before="120" w:after="120"/>
              <w:jc w:val="right"/>
              <w:rPr>
                <w:b/>
                <w:bCs/>
                <w:color w:val="1C1C1C"/>
                <w:sz w:val="16"/>
                <w:szCs w:val="16"/>
              </w:rPr>
            </w:pPr>
            <w:r w:rsidRPr="00C219EA">
              <w:rPr>
                <w:b/>
                <w:bCs/>
                <w:color w:val="1C1C1C"/>
                <w:sz w:val="16"/>
                <w:szCs w:val="16"/>
              </w:rPr>
              <w:t>0</w:t>
            </w:r>
          </w:p>
        </w:tc>
        <w:tc>
          <w:tcPr>
            <w:tcW w:w="715" w:type="dxa"/>
            <w:tcBorders>
              <w:right w:val="single" w:sz="4" w:space="0" w:color="FFFFFF" w:themeColor="background2"/>
            </w:tcBorders>
            <w:shd w:val="clear" w:color="auto" w:fill="BDF4FF" w:themeFill="accent3" w:themeFillTint="33"/>
          </w:tcPr>
          <w:p w14:paraId="649AED54" w14:textId="52297D90" w:rsidR="00F5625D" w:rsidRPr="00C219EA" w:rsidRDefault="00D354FD" w:rsidP="00B15944">
            <w:pPr>
              <w:spacing w:before="120" w:after="120"/>
              <w:jc w:val="right"/>
              <w:rPr>
                <w:b/>
                <w:bCs/>
                <w:color w:val="1C1C1C"/>
                <w:sz w:val="16"/>
                <w:szCs w:val="16"/>
              </w:rPr>
            </w:pPr>
            <w:r>
              <w:rPr>
                <w:b/>
                <w:bCs/>
                <w:color w:val="1C1C1C"/>
                <w:sz w:val="16"/>
                <w:szCs w:val="16"/>
              </w:rPr>
              <w:t>17</w:t>
            </w:r>
          </w:p>
        </w:tc>
        <w:tc>
          <w:tcPr>
            <w:tcW w:w="850" w:type="dxa"/>
            <w:tcBorders>
              <w:left w:val="single" w:sz="4" w:space="0" w:color="FFFFFF" w:themeColor="background2"/>
            </w:tcBorders>
            <w:shd w:val="clear" w:color="auto" w:fill="BDF4FF" w:themeFill="accent3" w:themeFillTint="33"/>
          </w:tcPr>
          <w:p w14:paraId="268F9CC3" w14:textId="556E64E3" w:rsidR="00F5625D" w:rsidRPr="00C219EA" w:rsidRDefault="00D354FD" w:rsidP="00B15944">
            <w:pPr>
              <w:spacing w:before="120" w:after="120"/>
              <w:jc w:val="right"/>
              <w:rPr>
                <w:b/>
                <w:bCs/>
                <w:color w:val="1C1C1C"/>
                <w:sz w:val="16"/>
                <w:szCs w:val="16"/>
              </w:rPr>
            </w:pPr>
            <w:r>
              <w:rPr>
                <w:b/>
                <w:bCs/>
                <w:color w:val="1C1C1C"/>
                <w:sz w:val="16"/>
                <w:szCs w:val="16"/>
              </w:rPr>
              <w:t>22</w:t>
            </w:r>
          </w:p>
        </w:tc>
        <w:tc>
          <w:tcPr>
            <w:tcW w:w="850" w:type="dxa"/>
            <w:shd w:val="clear" w:color="auto" w:fill="BDF4FF" w:themeFill="accent3" w:themeFillTint="33"/>
          </w:tcPr>
          <w:p w14:paraId="6E7DB83C" w14:textId="234E0113" w:rsidR="00F5625D" w:rsidRPr="00C219EA" w:rsidRDefault="00D354FD" w:rsidP="00B15944">
            <w:pPr>
              <w:spacing w:before="120" w:after="120"/>
              <w:jc w:val="right"/>
              <w:rPr>
                <w:b/>
                <w:bCs/>
                <w:color w:val="1C1C1C"/>
                <w:sz w:val="16"/>
                <w:szCs w:val="16"/>
              </w:rPr>
            </w:pPr>
            <w:r>
              <w:rPr>
                <w:b/>
                <w:bCs/>
                <w:color w:val="1C1C1C"/>
                <w:sz w:val="16"/>
                <w:szCs w:val="16"/>
              </w:rPr>
              <w:t>4</w:t>
            </w:r>
          </w:p>
        </w:tc>
        <w:tc>
          <w:tcPr>
            <w:tcW w:w="850" w:type="dxa"/>
            <w:tcBorders>
              <w:right w:val="single" w:sz="4" w:space="0" w:color="FFFFFF" w:themeColor="background2"/>
            </w:tcBorders>
            <w:shd w:val="clear" w:color="auto" w:fill="BDF4FF" w:themeFill="accent3" w:themeFillTint="33"/>
          </w:tcPr>
          <w:p w14:paraId="6811B601" w14:textId="4E622A71" w:rsidR="00F5625D" w:rsidRPr="00C219EA" w:rsidRDefault="00F5625D" w:rsidP="00B15944">
            <w:pPr>
              <w:spacing w:before="120" w:after="120"/>
              <w:jc w:val="right"/>
              <w:rPr>
                <w:b/>
                <w:bCs/>
                <w:color w:val="1C1C1C"/>
                <w:sz w:val="16"/>
                <w:szCs w:val="16"/>
              </w:rPr>
            </w:pPr>
            <w:r w:rsidRPr="00C219EA">
              <w:rPr>
                <w:b/>
                <w:bCs/>
                <w:color w:val="1C1C1C"/>
                <w:sz w:val="16"/>
                <w:szCs w:val="16"/>
              </w:rPr>
              <w:t>2</w:t>
            </w:r>
            <w:r w:rsidR="00D354FD">
              <w:rPr>
                <w:b/>
                <w:bCs/>
                <w:color w:val="1C1C1C"/>
                <w:sz w:val="16"/>
                <w:szCs w:val="16"/>
              </w:rPr>
              <w:t>6</w:t>
            </w:r>
          </w:p>
        </w:tc>
        <w:tc>
          <w:tcPr>
            <w:tcW w:w="850" w:type="dxa"/>
            <w:tcBorders>
              <w:left w:val="single" w:sz="4" w:space="0" w:color="FFFFFF" w:themeColor="background2"/>
            </w:tcBorders>
            <w:shd w:val="clear" w:color="auto" w:fill="BDF4FF" w:themeFill="accent3" w:themeFillTint="33"/>
          </w:tcPr>
          <w:p w14:paraId="0A8026E6" w14:textId="3BABAB28" w:rsidR="00F5625D" w:rsidRPr="00C219EA" w:rsidRDefault="00F5625D" w:rsidP="00B15944">
            <w:pPr>
              <w:spacing w:before="120" w:after="120"/>
              <w:jc w:val="right"/>
              <w:rPr>
                <w:b/>
                <w:bCs/>
                <w:color w:val="1C1C1C"/>
                <w:sz w:val="16"/>
                <w:szCs w:val="16"/>
              </w:rPr>
            </w:pPr>
            <w:r w:rsidRPr="00C219EA">
              <w:rPr>
                <w:b/>
                <w:bCs/>
                <w:color w:val="1C1C1C"/>
                <w:sz w:val="16"/>
                <w:szCs w:val="16"/>
              </w:rPr>
              <w:t>4</w:t>
            </w:r>
            <w:r w:rsidR="00D354FD">
              <w:rPr>
                <w:b/>
                <w:bCs/>
                <w:color w:val="1C1C1C"/>
                <w:sz w:val="16"/>
                <w:szCs w:val="16"/>
              </w:rPr>
              <w:t>3</w:t>
            </w:r>
          </w:p>
        </w:tc>
      </w:tr>
    </w:tbl>
    <w:p w14:paraId="69E9EDE9" w14:textId="64C066F8" w:rsidR="00C05617" w:rsidRDefault="00C05617" w:rsidP="0004038E">
      <w:pPr>
        <w:pStyle w:val="Body"/>
      </w:pPr>
    </w:p>
    <w:p w14:paraId="443B13E2" w14:textId="77777777" w:rsidR="00F5625D" w:rsidRDefault="00F5625D" w:rsidP="0004038E">
      <w:pPr>
        <w:pStyle w:val="Body"/>
      </w:pPr>
    </w:p>
    <w:p w14:paraId="51CA9B9B" w14:textId="77777777" w:rsidR="00F5625D" w:rsidRDefault="00F5625D" w:rsidP="0004038E">
      <w:pPr>
        <w:pStyle w:val="Body"/>
        <w:sectPr w:rsidR="00F5625D" w:rsidSect="00F5625D">
          <w:footerReference w:type="default" r:id="rId165"/>
          <w:pgSz w:w="9979" w:h="14175"/>
          <w:pgMar w:top="1418" w:right="1134" w:bottom="1134" w:left="1134" w:header="709" w:footer="709" w:gutter="0"/>
          <w:cols w:space="708"/>
          <w:docGrid w:linePitch="360"/>
        </w:sectPr>
      </w:pPr>
    </w:p>
    <w:p w14:paraId="5634EED4" w14:textId="6175016E" w:rsidR="00213FC3" w:rsidRPr="00C219EA" w:rsidRDefault="00213FC3" w:rsidP="00213FC3">
      <w:pPr>
        <w:pStyle w:val="FigureHeading"/>
      </w:pPr>
      <w:bookmarkStart w:id="83" w:name="_Toc114824669"/>
      <w:r w:rsidRPr="00C219EA">
        <w:t xml:space="preserve">Table </w:t>
      </w:r>
      <w:r>
        <w:t>13</w:t>
      </w:r>
      <w:r w:rsidRPr="00C219EA">
        <w:t xml:space="preserve">: </w:t>
      </w:r>
      <w:r>
        <w:t>Non-o</w:t>
      </w:r>
      <w:r w:rsidRPr="00C219EA">
        <w:t>ngoing seconded employees 202</w:t>
      </w:r>
      <w:r>
        <w:t>2</w:t>
      </w:r>
      <w:bookmarkEnd w:id="83"/>
    </w:p>
    <w:tbl>
      <w:tblPr>
        <w:tblStyle w:val="IHPATable"/>
        <w:tblW w:w="7234" w:type="dxa"/>
        <w:tblLayout w:type="fixed"/>
        <w:tblLook w:val="0020" w:firstRow="1" w:lastRow="0" w:firstColumn="0" w:lastColumn="0" w:noHBand="0" w:noVBand="0"/>
        <w:tblCaption w:val="Table 10"/>
        <w:tblDescription w:val="Ongoing seconded employees 2021"/>
      </w:tblPr>
      <w:tblGrid>
        <w:gridCol w:w="1426"/>
        <w:gridCol w:w="842"/>
        <w:gridCol w:w="851"/>
        <w:gridCol w:w="715"/>
        <w:gridCol w:w="850"/>
        <w:gridCol w:w="850"/>
        <w:gridCol w:w="850"/>
        <w:gridCol w:w="850"/>
      </w:tblGrid>
      <w:tr w:rsidR="00213FC3" w:rsidRPr="00C219EA" w14:paraId="5B53D4F9" w14:textId="77777777" w:rsidTr="00B15944">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009AB8" w:themeFill="accent3"/>
          </w:tcPr>
          <w:p w14:paraId="47BB1FF2" w14:textId="77777777" w:rsidR="00213FC3" w:rsidRPr="00C219EA" w:rsidRDefault="00213FC3" w:rsidP="00B15944">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009AB8" w:themeFill="accent3"/>
          </w:tcPr>
          <w:p w14:paraId="70C55416" w14:textId="77777777" w:rsidR="00213FC3" w:rsidRPr="00C219EA" w:rsidRDefault="00213FC3" w:rsidP="00B15944">
            <w:pPr>
              <w:spacing w:before="120" w:after="120"/>
              <w:jc w:val="center"/>
              <w:rPr>
                <w:rFonts w:ascii="Futura PT Book" w:hAnsi="Futura PT Book" w:cs="Futura PT Book"/>
                <w:b/>
                <w:bCs/>
                <w:szCs w:val="18"/>
                <w:lang w:val="en-US"/>
              </w:rPr>
            </w:pPr>
            <w:r w:rsidRPr="00C219EA">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009AB8" w:themeFill="accent3"/>
          </w:tcPr>
          <w:p w14:paraId="5D37D3A4" w14:textId="77777777" w:rsidR="00213FC3" w:rsidRPr="00C219EA" w:rsidRDefault="00213FC3" w:rsidP="00B15944">
            <w:pPr>
              <w:spacing w:before="120" w:after="120"/>
              <w:jc w:val="center"/>
              <w:rPr>
                <w:b/>
                <w:bCs/>
                <w:szCs w:val="18"/>
                <w:lang w:val="en-US"/>
              </w:rPr>
            </w:pPr>
            <w:r w:rsidRPr="00C219EA">
              <w:rPr>
                <w:b/>
                <w:bCs/>
                <w:szCs w:val="18"/>
                <w:lang w:val="en-US"/>
              </w:rPr>
              <w:t>Female</w:t>
            </w:r>
          </w:p>
        </w:tc>
        <w:tc>
          <w:tcPr>
            <w:tcW w:w="850" w:type="dxa"/>
            <w:tcBorders>
              <w:left w:val="single" w:sz="4" w:space="0" w:color="FFFFFF" w:themeColor="background2"/>
            </w:tcBorders>
            <w:shd w:val="clear" w:color="auto" w:fill="009AB8" w:themeFill="accent3"/>
          </w:tcPr>
          <w:p w14:paraId="41BF19F6" w14:textId="77777777" w:rsidR="00213FC3" w:rsidRPr="00C219EA" w:rsidRDefault="00213FC3" w:rsidP="00B15944">
            <w:pPr>
              <w:spacing w:before="120" w:after="120"/>
              <w:rPr>
                <w:b/>
                <w:bCs/>
                <w:szCs w:val="18"/>
                <w:lang w:val="en-US"/>
              </w:rPr>
            </w:pPr>
          </w:p>
        </w:tc>
      </w:tr>
      <w:tr w:rsidR="00213FC3" w:rsidRPr="00C219EA" w14:paraId="25C3F62E"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3A1E2FCC" w14:textId="77777777" w:rsidR="00213FC3" w:rsidRPr="00C219EA" w:rsidRDefault="00213FC3" w:rsidP="00B15944">
            <w:pPr>
              <w:spacing w:before="120" w:after="120"/>
              <w:rPr>
                <w:rFonts w:ascii="Futura PT Book" w:hAnsi="Futura PT Book" w:cs="Futura PT Book"/>
                <w:b/>
                <w:bCs/>
                <w:color w:val="000000"/>
                <w:sz w:val="16"/>
                <w:szCs w:val="16"/>
                <w:lang w:val="en-US"/>
              </w:rPr>
            </w:pPr>
            <w:r w:rsidRPr="00C219EA">
              <w:rPr>
                <w:b/>
                <w:bCs/>
                <w:color w:val="1C1C1C"/>
                <w:sz w:val="16"/>
                <w:szCs w:val="16"/>
              </w:rPr>
              <w:t>Classification</w:t>
            </w:r>
          </w:p>
        </w:tc>
        <w:tc>
          <w:tcPr>
            <w:tcW w:w="842" w:type="dxa"/>
            <w:shd w:val="clear" w:color="auto" w:fill="BDF4FF" w:themeFill="accent3" w:themeFillTint="33"/>
          </w:tcPr>
          <w:p w14:paraId="331C68B2"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Full-time</w:t>
            </w:r>
          </w:p>
        </w:tc>
        <w:tc>
          <w:tcPr>
            <w:tcW w:w="851" w:type="dxa"/>
            <w:shd w:val="clear" w:color="auto" w:fill="BDF4FF" w:themeFill="accent3" w:themeFillTint="33"/>
          </w:tcPr>
          <w:p w14:paraId="63E9485B"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Part-time</w:t>
            </w:r>
          </w:p>
        </w:tc>
        <w:tc>
          <w:tcPr>
            <w:tcW w:w="715" w:type="dxa"/>
            <w:tcBorders>
              <w:right w:val="single" w:sz="4" w:space="0" w:color="FFFFFF" w:themeColor="background2"/>
            </w:tcBorders>
            <w:shd w:val="clear" w:color="auto" w:fill="BDF4FF" w:themeFill="accent3" w:themeFillTint="33"/>
          </w:tcPr>
          <w:p w14:paraId="0789C725" w14:textId="77777777" w:rsidR="00213FC3" w:rsidRPr="00C219EA" w:rsidRDefault="00213FC3"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4BA98220" w14:textId="77777777" w:rsidR="00213FC3" w:rsidRPr="00C219EA" w:rsidRDefault="00213FC3"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Full-time</w:t>
            </w:r>
          </w:p>
        </w:tc>
        <w:tc>
          <w:tcPr>
            <w:tcW w:w="850" w:type="dxa"/>
            <w:shd w:val="clear" w:color="auto" w:fill="BDF4FF" w:themeFill="accent3" w:themeFillTint="33"/>
          </w:tcPr>
          <w:p w14:paraId="40F1DB7E"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Part-time</w:t>
            </w:r>
          </w:p>
        </w:tc>
        <w:tc>
          <w:tcPr>
            <w:tcW w:w="850" w:type="dxa"/>
            <w:tcBorders>
              <w:right w:val="single" w:sz="4" w:space="0" w:color="FFFFFF" w:themeColor="background2"/>
            </w:tcBorders>
            <w:shd w:val="clear" w:color="auto" w:fill="BDF4FF" w:themeFill="accent3" w:themeFillTint="33"/>
          </w:tcPr>
          <w:p w14:paraId="197E50C2"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1DECF01B"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Total</w:t>
            </w:r>
          </w:p>
        </w:tc>
      </w:tr>
      <w:tr w:rsidR="00213FC3" w:rsidRPr="00C219EA" w14:paraId="5E5ED66D"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69C8094B"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S</w:t>
            </w:r>
            <w:r>
              <w:rPr>
                <w:color w:val="1C1C1C"/>
                <w:sz w:val="16"/>
                <w:szCs w:val="16"/>
              </w:rPr>
              <w:t xml:space="preserve">enior </w:t>
            </w:r>
            <w:r w:rsidRPr="00C219EA">
              <w:rPr>
                <w:color w:val="1C1C1C"/>
                <w:sz w:val="16"/>
                <w:szCs w:val="16"/>
              </w:rPr>
              <w:t>E</w:t>
            </w:r>
            <w:r>
              <w:rPr>
                <w:color w:val="1C1C1C"/>
                <w:sz w:val="16"/>
                <w:szCs w:val="16"/>
              </w:rPr>
              <w:t xml:space="preserve">xecutive </w:t>
            </w:r>
            <w:r w:rsidRPr="00C219EA">
              <w:rPr>
                <w:color w:val="1C1C1C"/>
                <w:sz w:val="16"/>
                <w:szCs w:val="16"/>
              </w:rPr>
              <w:t>S</w:t>
            </w:r>
            <w:r>
              <w:rPr>
                <w:color w:val="1C1C1C"/>
                <w:sz w:val="16"/>
                <w:szCs w:val="16"/>
              </w:rPr>
              <w:t>ervice</w:t>
            </w:r>
          </w:p>
        </w:tc>
        <w:tc>
          <w:tcPr>
            <w:tcW w:w="842" w:type="dxa"/>
            <w:shd w:val="clear" w:color="auto" w:fill="F2F2F2" w:themeFill="background2" w:themeFillShade="F2"/>
          </w:tcPr>
          <w:p w14:paraId="3A196022"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7A89C2AD"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11FE6E3F" w14:textId="77777777" w:rsidR="00213FC3" w:rsidRPr="00C219EA" w:rsidRDefault="00213FC3" w:rsidP="00B15944">
            <w:pPr>
              <w:spacing w:before="120" w:after="120"/>
              <w:jc w:val="right"/>
              <w:rPr>
                <w:rFonts w:ascii="Futura PT Book" w:hAnsi="Futura PT Book" w:cs="Futura PT Book"/>
                <w:color w:val="000000"/>
                <w:sz w:val="16"/>
                <w:szCs w:val="16"/>
                <w:lang w:val="en-US"/>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68D8230D" w14:textId="7836CFAC"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shd w:val="clear" w:color="auto" w:fill="F2F2F2" w:themeFill="background2" w:themeFillShade="F2"/>
          </w:tcPr>
          <w:p w14:paraId="46C5A475"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2742E436" w14:textId="02BC3ADD" w:rsidR="00213FC3" w:rsidRPr="00C219EA" w:rsidRDefault="00213FC3"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4C39BEF0" w14:textId="2A06264D" w:rsidR="00213FC3" w:rsidRPr="00C219EA" w:rsidRDefault="00213FC3" w:rsidP="00B15944">
            <w:pPr>
              <w:spacing w:before="120" w:after="120"/>
              <w:jc w:val="right"/>
              <w:rPr>
                <w:color w:val="1C1C1C"/>
                <w:sz w:val="16"/>
                <w:szCs w:val="16"/>
              </w:rPr>
            </w:pPr>
            <w:r>
              <w:rPr>
                <w:color w:val="1C1C1C"/>
                <w:sz w:val="16"/>
                <w:szCs w:val="16"/>
              </w:rPr>
              <w:t>0</w:t>
            </w:r>
          </w:p>
        </w:tc>
      </w:tr>
      <w:tr w:rsidR="00213FC3" w:rsidRPr="00C219EA" w14:paraId="5C69AB3A"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7754FA3F"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12113D3F" w14:textId="64F65255" w:rsidR="00213FC3" w:rsidRPr="00C219EA" w:rsidRDefault="00195317" w:rsidP="00B15944">
            <w:pPr>
              <w:spacing w:before="120" w:after="120"/>
              <w:jc w:val="right"/>
              <w:rPr>
                <w:color w:val="1C1C1C"/>
                <w:sz w:val="16"/>
                <w:szCs w:val="16"/>
              </w:rPr>
            </w:pPr>
            <w:r>
              <w:rPr>
                <w:color w:val="1C1C1C"/>
                <w:sz w:val="16"/>
                <w:szCs w:val="16"/>
              </w:rPr>
              <w:t>1</w:t>
            </w:r>
          </w:p>
        </w:tc>
        <w:tc>
          <w:tcPr>
            <w:tcW w:w="851" w:type="dxa"/>
            <w:shd w:val="clear" w:color="auto" w:fill="F2F2F2" w:themeFill="background2" w:themeFillShade="F2"/>
          </w:tcPr>
          <w:p w14:paraId="3A676531" w14:textId="1057459C" w:rsidR="00213FC3" w:rsidRPr="00C219EA" w:rsidRDefault="00195317" w:rsidP="00B15944">
            <w:pPr>
              <w:spacing w:before="120" w:after="120"/>
              <w:jc w:val="right"/>
              <w:rPr>
                <w:color w:val="1C1C1C"/>
                <w:sz w:val="16"/>
                <w:szCs w:val="16"/>
              </w:rPr>
            </w:pPr>
            <w:r>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BA1D155" w14:textId="446A6465" w:rsidR="00213FC3" w:rsidRPr="00C219EA" w:rsidRDefault="00A743BA" w:rsidP="00B15944">
            <w:pPr>
              <w:spacing w:before="120" w:after="120"/>
              <w:jc w:val="right"/>
              <w:rPr>
                <w:rFonts w:ascii="Futura PT Book" w:hAnsi="Futura PT Book" w:cs="Futura PT Book"/>
                <w:color w:val="000000"/>
                <w:sz w:val="16"/>
                <w:szCs w:val="16"/>
                <w:lang w:val="en-US"/>
              </w:rPr>
            </w:pPr>
            <w:r>
              <w:rPr>
                <w:color w:val="1C1C1C"/>
                <w:sz w:val="16"/>
                <w:szCs w:val="16"/>
              </w:rPr>
              <w:t>1</w:t>
            </w:r>
          </w:p>
        </w:tc>
        <w:tc>
          <w:tcPr>
            <w:tcW w:w="850" w:type="dxa"/>
            <w:tcBorders>
              <w:left w:val="single" w:sz="4" w:space="0" w:color="FFFFFF" w:themeColor="background2"/>
            </w:tcBorders>
            <w:shd w:val="clear" w:color="auto" w:fill="F2F2F2" w:themeFill="background2" w:themeFillShade="F2"/>
          </w:tcPr>
          <w:p w14:paraId="79E87D1F" w14:textId="17F4F5DC" w:rsidR="00213FC3" w:rsidRPr="00C219EA" w:rsidRDefault="00195317"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shd w:val="clear" w:color="auto" w:fill="F2F2F2" w:themeFill="background2" w:themeFillShade="F2"/>
          </w:tcPr>
          <w:p w14:paraId="671506E5" w14:textId="3994A553" w:rsidR="00213FC3" w:rsidRPr="00C219EA" w:rsidRDefault="00195317" w:rsidP="00B15944">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2CB66A1E" w14:textId="4279F70D" w:rsidR="00213FC3" w:rsidRPr="00C219EA" w:rsidRDefault="00195317"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6D11BC17" w14:textId="23BDD467" w:rsidR="00213FC3" w:rsidRPr="00C219EA" w:rsidRDefault="00195317" w:rsidP="00B15944">
            <w:pPr>
              <w:spacing w:before="120" w:after="120"/>
              <w:jc w:val="right"/>
              <w:rPr>
                <w:color w:val="1C1C1C"/>
                <w:sz w:val="16"/>
                <w:szCs w:val="16"/>
              </w:rPr>
            </w:pPr>
            <w:r>
              <w:rPr>
                <w:color w:val="1C1C1C"/>
                <w:sz w:val="16"/>
                <w:szCs w:val="16"/>
              </w:rPr>
              <w:t>1</w:t>
            </w:r>
          </w:p>
        </w:tc>
      </w:tr>
      <w:tr w:rsidR="00213FC3" w:rsidRPr="00C219EA" w14:paraId="6FB5D5BC"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5CDAA710"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4B47E63B" w14:textId="6C383721" w:rsidR="00213FC3" w:rsidRPr="00C219EA" w:rsidRDefault="00195317" w:rsidP="00B15944">
            <w:pPr>
              <w:spacing w:before="120" w:after="120"/>
              <w:jc w:val="right"/>
              <w:rPr>
                <w:color w:val="1C1C1C"/>
                <w:sz w:val="16"/>
                <w:szCs w:val="16"/>
              </w:rPr>
            </w:pPr>
            <w:r>
              <w:rPr>
                <w:color w:val="1C1C1C"/>
                <w:sz w:val="16"/>
                <w:szCs w:val="16"/>
              </w:rPr>
              <w:t>1</w:t>
            </w:r>
          </w:p>
        </w:tc>
        <w:tc>
          <w:tcPr>
            <w:tcW w:w="851" w:type="dxa"/>
            <w:shd w:val="clear" w:color="auto" w:fill="F2F2F2" w:themeFill="background2" w:themeFillShade="F2"/>
          </w:tcPr>
          <w:p w14:paraId="205841F9" w14:textId="068C396B" w:rsidR="00213FC3" w:rsidRPr="00C219EA" w:rsidRDefault="00195317" w:rsidP="00B15944">
            <w:pPr>
              <w:spacing w:before="120" w:after="120"/>
              <w:jc w:val="right"/>
              <w:rPr>
                <w:color w:val="1C1C1C"/>
                <w:sz w:val="16"/>
                <w:szCs w:val="16"/>
              </w:rPr>
            </w:pPr>
            <w:r>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74E7AD71" w14:textId="6BFF1180" w:rsidR="00213FC3" w:rsidRPr="00C219EA" w:rsidRDefault="00195317" w:rsidP="00B15944">
            <w:pPr>
              <w:spacing w:before="120" w:after="120"/>
              <w:jc w:val="right"/>
              <w:rPr>
                <w:rFonts w:ascii="Futura PT Book" w:hAnsi="Futura PT Book" w:cs="Futura PT Book"/>
                <w:color w:val="000000"/>
                <w:sz w:val="16"/>
                <w:szCs w:val="16"/>
                <w:lang w:val="en-US"/>
              </w:rPr>
            </w:pPr>
            <w:r>
              <w:rPr>
                <w:color w:val="1C1C1C"/>
                <w:sz w:val="16"/>
                <w:szCs w:val="16"/>
              </w:rPr>
              <w:t>1</w:t>
            </w:r>
          </w:p>
        </w:tc>
        <w:tc>
          <w:tcPr>
            <w:tcW w:w="850" w:type="dxa"/>
            <w:tcBorders>
              <w:left w:val="single" w:sz="4" w:space="0" w:color="FFFFFF" w:themeColor="background2"/>
            </w:tcBorders>
            <w:shd w:val="clear" w:color="auto" w:fill="F2F2F2" w:themeFill="background2" w:themeFillShade="F2"/>
          </w:tcPr>
          <w:p w14:paraId="76F5CCE5" w14:textId="09EF8600" w:rsidR="00213FC3" w:rsidRPr="00C219EA" w:rsidRDefault="00195317" w:rsidP="00B15944">
            <w:pPr>
              <w:spacing w:before="120" w:after="120"/>
              <w:jc w:val="right"/>
              <w:rPr>
                <w:rFonts w:ascii="Futura PT Book" w:hAnsi="Futura PT Book" w:cs="Futura PT Book"/>
                <w:color w:val="000000"/>
                <w:sz w:val="16"/>
                <w:szCs w:val="16"/>
                <w:lang w:val="en-US"/>
              </w:rPr>
            </w:pPr>
            <w:r>
              <w:rPr>
                <w:color w:val="1C1C1C"/>
                <w:sz w:val="16"/>
                <w:szCs w:val="16"/>
              </w:rPr>
              <w:t>3</w:t>
            </w:r>
          </w:p>
        </w:tc>
        <w:tc>
          <w:tcPr>
            <w:tcW w:w="850" w:type="dxa"/>
            <w:shd w:val="clear" w:color="auto" w:fill="F2F2F2" w:themeFill="background2" w:themeFillShade="F2"/>
          </w:tcPr>
          <w:p w14:paraId="4EC26F57" w14:textId="211CB290" w:rsidR="00213FC3" w:rsidRPr="00C219EA" w:rsidRDefault="00195317" w:rsidP="00B15944">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14364A14" w14:textId="006467B4" w:rsidR="00213FC3" w:rsidRPr="00C219EA" w:rsidRDefault="00195317" w:rsidP="00B15944">
            <w:pPr>
              <w:spacing w:before="120" w:after="120"/>
              <w:jc w:val="right"/>
              <w:rPr>
                <w:color w:val="1C1C1C"/>
                <w:sz w:val="16"/>
                <w:szCs w:val="16"/>
              </w:rPr>
            </w:pPr>
            <w:r>
              <w:rPr>
                <w:color w:val="1C1C1C"/>
                <w:sz w:val="16"/>
                <w:szCs w:val="16"/>
              </w:rPr>
              <w:t>3</w:t>
            </w:r>
          </w:p>
        </w:tc>
        <w:tc>
          <w:tcPr>
            <w:tcW w:w="850" w:type="dxa"/>
            <w:tcBorders>
              <w:left w:val="single" w:sz="4" w:space="0" w:color="FFFFFF" w:themeColor="background2"/>
            </w:tcBorders>
          </w:tcPr>
          <w:p w14:paraId="01C4A335" w14:textId="0319EFD5" w:rsidR="00213FC3" w:rsidRPr="00C219EA" w:rsidRDefault="00195317" w:rsidP="00B15944">
            <w:pPr>
              <w:spacing w:before="120" w:after="120"/>
              <w:jc w:val="right"/>
              <w:rPr>
                <w:color w:val="1C1C1C"/>
                <w:sz w:val="16"/>
                <w:szCs w:val="16"/>
              </w:rPr>
            </w:pPr>
            <w:r>
              <w:rPr>
                <w:color w:val="1C1C1C"/>
                <w:sz w:val="16"/>
                <w:szCs w:val="16"/>
              </w:rPr>
              <w:t>4</w:t>
            </w:r>
          </w:p>
        </w:tc>
      </w:tr>
      <w:tr w:rsidR="00213FC3" w:rsidRPr="00C219EA" w14:paraId="3C361127"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2DD570F5"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705B2185" w14:textId="1783592E" w:rsidR="00213FC3" w:rsidRPr="00C219EA" w:rsidRDefault="00213FC3" w:rsidP="00B15944">
            <w:pPr>
              <w:tabs>
                <w:tab w:val="left" w:pos="526"/>
                <w:tab w:val="right" w:pos="626"/>
              </w:tabs>
              <w:spacing w:before="120" w:after="120"/>
              <w:rPr>
                <w:color w:val="1C1C1C"/>
                <w:sz w:val="16"/>
                <w:szCs w:val="16"/>
              </w:rPr>
            </w:pPr>
            <w:r>
              <w:rPr>
                <w:color w:val="1C1C1C"/>
                <w:sz w:val="16"/>
                <w:szCs w:val="16"/>
              </w:rPr>
              <w:tab/>
            </w:r>
            <w:r>
              <w:rPr>
                <w:color w:val="1C1C1C"/>
                <w:sz w:val="16"/>
                <w:szCs w:val="16"/>
              </w:rPr>
              <w:tab/>
            </w:r>
            <w:r w:rsidR="00195317">
              <w:rPr>
                <w:color w:val="1C1C1C"/>
                <w:sz w:val="16"/>
                <w:szCs w:val="16"/>
              </w:rPr>
              <w:t>0</w:t>
            </w:r>
          </w:p>
        </w:tc>
        <w:tc>
          <w:tcPr>
            <w:tcW w:w="851" w:type="dxa"/>
            <w:shd w:val="clear" w:color="auto" w:fill="F2F2F2" w:themeFill="background2" w:themeFillShade="F2"/>
          </w:tcPr>
          <w:p w14:paraId="7321E632" w14:textId="320D9FCA" w:rsidR="00213FC3" w:rsidRPr="00C219EA" w:rsidRDefault="00195317" w:rsidP="00B15944">
            <w:pPr>
              <w:spacing w:before="120" w:after="120"/>
              <w:jc w:val="right"/>
              <w:rPr>
                <w:color w:val="1C1C1C"/>
                <w:sz w:val="16"/>
                <w:szCs w:val="16"/>
              </w:rPr>
            </w:pPr>
            <w:r>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7689082B" w14:textId="5957F9F1" w:rsidR="00213FC3" w:rsidRPr="00C219EA" w:rsidRDefault="00195317"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020B4B24" w14:textId="238206F4" w:rsidR="00213FC3" w:rsidRPr="00C219EA" w:rsidRDefault="00195317"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shd w:val="clear" w:color="auto" w:fill="F2F2F2" w:themeFill="background2" w:themeFillShade="F2"/>
          </w:tcPr>
          <w:p w14:paraId="064E5EC0" w14:textId="2A9E6081" w:rsidR="00213FC3" w:rsidRPr="00C219EA" w:rsidRDefault="00195317" w:rsidP="00B15944">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0795A7D9" w14:textId="3E7E913B" w:rsidR="00213FC3" w:rsidRPr="00C219EA" w:rsidRDefault="00195317"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1354EDDE" w14:textId="584FFBC5" w:rsidR="00213FC3" w:rsidRPr="00C219EA" w:rsidRDefault="00195317" w:rsidP="00B15944">
            <w:pPr>
              <w:spacing w:before="120" w:after="120"/>
              <w:jc w:val="right"/>
              <w:rPr>
                <w:color w:val="1C1C1C"/>
                <w:sz w:val="16"/>
                <w:szCs w:val="16"/>
              </w:rPr>
            </w:pPr>
            <w:r>
              <w:rPr>
                <w:color w:val="1C1C1C"/>
                <w:sz w:val="16"/>
                <w:szCs w:val="16"/>
              </w:rPr>
              <w:t>0</w:t>
            </w:r>
          </w:p>
        </w:tc>
      </w:tr>
      <w:tr w:rsidR="00213FC3" w:rsidRPr="00C219EA" w14:paraId="37D4D70D"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013CDE43" w14:textId="77777777" w:rsidR="00213FC3" w:rsidRPr="00C219EA" w:rsidRDefault="00213FC3" w:rsidP="00B15944">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172762B2"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5D01FC8A"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3042101D"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7170FFC0" w14:textId="77777777" w:rsidR="00213FC3" w:rsidRPr="00C219EA" w:rsidRDefault="00213FC3" w:rsidP="00B15944">
            <w:pPr>
              <w:spacing w:before="120" w:after="120"/>
              <w:jc w:val="right"/>
              <w:rPr>
                <w:color w:val="1C1C1C"/>
                <w:sz w:val="16"/>
                <w:szCs w:val="16"/>
              </w:rPr>
            </w:pPr>
            <w:r>
              <w:rPr>
                <w:color w:val="1C1C1C"/>
                <w:sz w:val="16"/>
                <w:szCs w:val="16"/>
              </w:rPr>
              <w:t>0</w:t>
            </w:r>
          </w:p>
        </w:tc>
        <w:tc>
          <w:tcPr>
            <w:tcW w:w="850" w:type="dxa"/>
            <w:shd w:val="clear" w:color="auto" w:fill="F2F2F2" w:themeFill="background2" w:themeFillShade="F2"/>
          </w:tcPr>
          <w:p w14:paraId="17105313"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684FD026" w14:textId="77777777" w:rsidR="00213FC3" w:rsidRPr="00C219EA" w:rsidRDefault="00213FC3"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58F1303F" w14:textId="77777777" w:rsidR="00213FC3" w:rsidRPr="00C219EA" w:rsidRDefault="00213FC3" w:rsidP="00B15944">
            <w:pPr>
              <w:spacing w:before="120" w:after="120"/>
              <w:jc w:val="right"/>
              <w:rPr>
                <w:color w:val="1C1C1C"/>
                <w:sz w:val="16"/>
                <w:szCs w:val="16"/>
              </w:rPr>
            </w:pPr>
            <w:r>
              <w:rPr>
                <w:color w:val="1C1C1C"/>
                <w:sz w:val="16"/>
                <w:szCs w:val="16"/>
              </w:rPr>
              <w:t>0</w:t>
            </w:r>
          </w:p>
        </w:tc>
      </w:tr>
      <w:tr w:rsidR="00213FC3" w:rsidRPr="00C219EA" w14:paraId="6414C877"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7B4AD25B" w14:textId="77777777" w:rsidR="00213FC3" w:rsidRPr="00C219EA" w:rsidRDefault="00213FC3" w:rsidP="00B15944">
            <w:pPr>
              <w:spacing w:before="120" w:after="120"/>
              <w:rPr>
                <w:b/>
                <w:bCs/>
                <w:color w:val="1C1C1C"/>
                <w:sz w:val="16"/>
                <w:szCs w:val="16"/>
              </w:rPr>
            </w:pPr>
            <w:r w:rsidRPr="00C219EA">
              <w:rPr>
                <w:b/>
                <w:bCs/>
                <w:color w:val="1C1C1C"/>
                <w:sz w:val="16"/>
                <w:szCs w:val="16"/>
              </w:rPr>
              <w:t>Total</w:t>
            </w:r>
          </w:p>
        </w:tc>
        <w:tc>
          <w:tcPr>
            <w:tcW w:w="842" w:type="dxa"/>
            <w:shd w:val="clear" w:color="auto" w:fill="BDF4FF" w:themeFill="accent3" w:themeFillTint="33"/>
          </w:tcPr>
          <w:p w14:paraId="0074D596" w14:textId="137E2AB2" w:rsidR="00213FC3" w:rsidRPr="00C219EA" w:rsidRDefault="00195317" w:rsidP="00B15944">
            <w:pPr>
              <w:spacing w:before="120" w:after="120"/>
              <w:jc w:val="right"/>
              <w:rPr>
                <w:b/>
                <w:bCs/>
                <w:color w:val="1C1C1C"/>
                <w:sz w:val="16"/>
                <w:szCs w:val="16"/>
              </w:rPr>
            </w:pPr>
            <w:r>
              <w:rPr>
                <w:b/>
                <w:bCs/>
                <w:color w:val="1C1C1C"/>
                <w:sz w:val="16"/>
                <w:szCs w:val="16"/>
              </w:rPr>
              <w:t>2</w:t>
            </w:r>
          </w:p>
        </w:tc>
        <w:tc>
          <w:tcPr>
            <w:tcW w:w="851" w:type="dxa"/>
            <w:shd w:val="clear" w:color="auto" w:fill="BDF4FF" w:themeFill="accent3" w:themeFillTint="33"/>
          </w:tcPr>
          <w:p w14:paraId="1D329DF5" w14:textId="570CF717" w:rsidR="00213FC3" w:rsidRPr="00C219EA" w:rsidRDefault="00195317" w:rsidP="00B15944">
            <w:pPr>
              <w:spacing w:before="120" w:after="120"/>
              <w:jc w:val="right"/>
              <w:rPr>
                <w:b/>
                <w:bCs/>
                <w:color w:val="1C1C1C"/>
                <w:sz w:val="16"/>
                <w:szCs w:val="16"/>
              </w:rPr>
            </w:pPr>
            <w:r>
              <w:rPr>
                <w:b/>
                <w:bCs/>
                <w:color w:val="1C1C1C"/>
                <w:sz w:val="16"/>
                <w:szCs w:val="16"/>
              </w:rPr>
              <w:t>0</w:t>
            </w:r>
          </w:p>
        </w:tc>
        <w:tc>
          <w:tcPr>
            <w:tcW w:w="715" w:type="dxa"/>
            <w:tcBorders>
              <w:right w:val="single" w:sz="4" w:space="0" w:color="FFFFFF" w:themeColor="background2"/>
            </w:tcBorders>
            <w:shd w:val="clear" w:color="auto" w:fill="BDF4FF" w:themeFill="accent3" w:themeFillTint="33"/>
          </w:tcPr>
          <w:p w14:paraId="39E277E7" w14:textId="00E4185A" w:rsidR="00213FC3" w:rsidRPr="00C219EA" w:rsidRDefault="00195317" w:rsidP="00B15944">
            <w:pPr>
              <w:spacing w:before="120" w:after="120"/>
              <w:jc w:val="right"/>
              <w:rPr>
                <w:b/>
                <w:bCs/>
                <w:color w:val="1C1C1C"/>
                <w:sz w:val="16"/>
                <w:szCs w:val="16"/>
              </w:rPr>
            </w:pPr>
            <w:r>
              <w:rPr>
                <w:b/>
                <w:bCs/>
                <w:color w:val="1C1C1C"/>
                <w:sz w:val="16"/>
                <w:szCs w:val="16"/>
              </w:rPr>
              <w:t>2</w:t>
            </w:r>
          </w:p>
        </w:tc>
        <w:tc>
          <w:tcPr>
            <w:tcW w:w="850" w:type="dxa"/>
            <w:tcBorders>
              <w:left w:val="single" w:sz="4" w:space="0" w:color="FFFFFF" w:themeColor="background2"/>
            </w:tcBorders>
            <w:shd w:val="clear" w:color="auto" w:fill="BDF4FF" w:themeFill="accent3" w:themeFillTint="33"/>
          </w:tcPr>
          <w:p w14:paraId="401EAB3A" w14:textId="709A6AFC" w:rsidR="00213FC3" w:rsidRPr="00C219EA" w:rsidRDefault="00195317" w:rsidP="00B15944">
            <w:pPr>
              <w:spacing w:before="120" w:after="120"/>
              <w:jc w:val="right"/>
              <w:rPr>
                <w:b/>
                <w:bCs/>
                <w:color w:val="1C1C1C"/>
                <w:sz w:val="16"/>
                <w:szCs w:val="16"/>
              </w:rPr>
            </w:pPr>
            <w:r>
              <w:rPr>
                <w:b/>
                <w:bCs/>
                <w:color w:val="1C1C1C"/>
                <w:sz w:val="16"/>
                <w:szCs w:val="16"/>
              </w:rPr>
              <w:t>3</w:t>
            </w:r>
          </w:p>
        </w:tc>
        <w:tc>
          <w:tcPr>
            <w:tcW w:w="850" w:type="dxa"/>
            <w:shd w:val="clear" w:color="auto" w:fill="BDF4FF" w:themeFill="accent3" w:themeFillTint="33"/>
          </w:tcPr>
          <w:p w14:paraId="739BAB2E" w14:textId="73116B02" w:rsidR="00213FC3" w:rsidRPr="00C219EA" w:rsidRDefault="00195317" w:rsidP="00B15944">
            <w:pPr>
              <w:spacing w:before="120" w:after="120"/>
              <w:jc w:val="right"/>
              <w:rPr>
                <w:b/>
                <w:bCs/>
                <w:color w:val="1C1C1C"/>
                <w:sz w:val="16"/>
                <w:szCs w:val="16"/>
              </w:rPr>
            </w:pPr>
            <w:r>
              <w:rPr>
                <w:b/>
                <w:bCs/>
                <w:color w:val="1C1C1C"/>
                <w:sz w:val="16"/>
                <w:szCs w:val="16"/>
              </w:rPr>
              <w:t>0</w:t>
            </w:r>
          </w:p>
        </w:tc>
        <w:tc>
          <w:tcPr>
            <w:tcW w:w="850" w:type="dxa"/>
            <w:tcBorders>
              <w:right w:val="single" w:sz="4" w:space="0" w:color="FFFFFF" w:themeColor="background2"/>
            </w:tcBorders>
            <w:shd w:val="clear" w:color="auto" w:fill="BDF4FF" w:themeFill="accent3" w:themeFillTint="33"/>
          </w:tcPr>
          <w:p w14:paraId="3602FF1E" w14:textId="57F07EC8" w:rsidR="00213FC3" w:rsidRPr="00C219EA" w:rsidRDefault="00195317" w:rsidP="00B15944">
            <w:pPr>
              <w:spacing w:before="120" w:after="120"/>
              <w:jc w:val="right"/>
              <w:rPr>
                <w:b/>
                <w:bCs/>
                <w:color w:val="1C1C1C"/>
                <w:sz w:val="16"/>
                <w:szCs w:val="16"/>
              </w:rPr>
            </w:pPr>
            <w:r>
              <w:rPr>
                <w:b/>
                <w:bCs/>
                <w:color w:val="1C1C1C"/>
                <w:sz w:val="16"/>
                <w:szCs w:val="16"/>
              </w:rPr>
              <w:t>3</w:t>
            </w:r>
          </w:p>
        </w:tc>
        <w:tc>
          <w:tcPr>
            <w:tcW w:w="850" w:type="dxa"/>
            <w:tcBorders>
              <w:left w:val="single" w:sz="4" w:space="0" w:color="FFFFFF" w:themeColor="background2"/>
            </w:tcBorders>
            <w:shd w:val="clear" w:color="auto" w:fill="BDF4FF" w:themeFill="accent3" w:themeFillTint="33"/>
          </w:tcPr>
          <w:p w14:paraId="2C020208" w14:textId="6C541656" w:rsidR="00213FC3" w:rsidRPr="00C219EA" w:rsidRDefault="00195317" w:rsidP="00B15944">
            <w:pPr>
              <w:spacing w:before="120" w:after="120"/>
              <w:jc w:val="right"/>
              <w:rPr>
                <w:b/>
                <w:bCs/>
                <w:color w:val="1C1C1C"/>
                <w:sz w:val="16"/>
                <w:szCs w:val="16"/>
              </w:rPr>
            </w:pPr>
            <w:r>
              <w:rPr>
                <w:b/>
                <w:bCs/>
                <w:color w:val="1C1C1C"/>
                <w:sz w:val="16"/>
                <w:szCs w:val="16"/>
              </w:rPr>
              <w:t>5</w:t>
            </w:r>
          </w:p>
        </w:tc>
      </w:tr>
    </w:tbl>
    <w:p w14:paraId="0C5B7C16" w14:textId="77777777" w:rsidR="00213FC3" w:rsidRPr="00C219EA" w:rsidRDefault="00213FC3" w:rsidP="00213FC3">
      <w:pPr>
        <w:rPr>
          <w:color w:val="1C1C1C"/>
          <w:sz w:val="18"/>
          <w:szCs w:val="18"/>
        </w:rPr>
      </w:pPr>
    </w:p>
    <w:p w14:paraId="2CB41F53" w14:textId="41A13B84" w:rsidR="00213FC3" w:rsidRPr="00C219EA" w:rsidRDefault="00213FC3" w:rsidP="00213FC3">
      <w:pPr>
        <w:pStyle w:val="FigureHeading"/>
      </w:pPr>
      <w:bookmarkStart w:id="84" w:name="_Toc114824670"/>
      <w:r w:rsidRPr="00C219EA">
        <w:t xml:space="preserve">Table </w:t>
      </w:r>
      <w:r>
        <w:t>14</w:t>
      </w:r>
      <w:r w:rsidRPr="00C219EA">
        <w:t xml:space="preserve">: </w:t>
      </w:r>
      <w:r>
        <w:t>Non-o</w:t>
      </w:r>
      <w:r w:rsidRPr="00C219EA">
        <w:t>ngoing seconded employees 20</w:t>
      </w:r>
      <w:r>
        <w:t>21</w:t>
      </w:r>
      <w:bookmarkEnd w:id="84"/>
    </w:p>
    <w:tbl>
      <w:tblPr>
        <w:tblStyle w:val="IHPATable"/>
        <w:tblW w:w="7234" w:type="dxa"/>
        <w:tblLayout w:type="fixed"/>
        <w:tblLook w:val="0020" w:firstRow="1" w:lastRow="0" w:firstColumn="0" w:lastColumn="0" w:noHBand="0" w:noVBand="0"/>
        <w:tblCaption w:val="Table 11"/>
        <w:tblDescription w:val="Ongoing seconded employees 2020"/>
      </w:tblPr>
      <w:tblGrid>
        <w:gridCol w:w="1426"/>
        <w:gridCol w:w="842"/>
        <w:gridCol w:w="851"/>
        <w:gridCol w:w="715"/>
        <w:gridCol w:w="850"/>
        <w:gridCol w:w="850"/>
        <w:gridCol w:w="850"/>
        <w:gridCol w:w="850"/>
      </w:tblGrid>
      <w:tr w:rsidR="00213FC3" w:rsidRPr="00C219EA" w14:paraId="2DE1F54E" w14:textId="77777777" w:rsidTr="00B15944">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009AB8" w:themeFill="accent3"/>
          </w:tcPr>
          <w:p w14:paraId="152289FF" w14:textId="77777777" w:rsidR="00213FC3" w:rsidRPr="00C219EA" w:rsidRDefault="00213FC3" w:rsidP="00B15944">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009AB8" w:themeFill="accent3"/>
          </w:tcPr>
          <w:p w14:paraId="6914C31E" w14:textId="77777777" w:rsidR="00213FC3" w:rsidRPr="00C219EA" w:rsidRDefault="00213FC3" w:rsidP="00B15944">
            <w:pPr>
              <w:spacing w:before="120" w:after="120"/>
              <w:jc w:val="center"/>
              <w:rPr>
                <w:rFonts w:ascii="Futura PT Book" w:hAnsi="Futura PT Book" w:cs="Futura PT Book"/>
                <w:b/>
                <w:bCs/>
                <w:szCs w:val="18"/>
                <w:lang w:val="en-US"/>
              </w:rPr>
            </w:pPr>
            <w:r w:rsidRPr="00C219EA">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009AB8" w:themeFill="accent3"/>
          </w:tcPr>
          <w:p w14:paraId="5C8E3AAD" w14:textId="77777777" w:rsidR="00213FC3" w:rsidRPr="00C219EA" w:rsidRDefault="00213FC3" w:rsidP="00B15944">
            <w:pPr>
              <w:spacing w:before="120" w:after="120"/>
              <w:jc w:val="center"/>
              <w:rPr>
                <w:b/>
                <w:bCs/>
                <w:szCs w:val="18"/>
                <w:lang w:val="en-US"/>
              </w:rPr>
            </w:pPr>
            <w:r w:rsidRPr="00C219EA">
              <w:rPr>
                <w:b/>
                <w:bCs/>
                <w:szCs w:val="18"/>
                <w:lang w:val="en-US"/>
              </w:rPr>
              <w:t>Female</w:t>
            </w:r>
          </w:p>
        </w:tc>
        <w:tc>
          <w:tcPr>
            <w:tcW w:w="850" w:type="dxa"/>
            <w:tcBorders>
              <w:left w:val="single" w:sz="4" w:space="0" w:color="FFFFFF" w:themeColor="background2"/>
            </w:tcBorders>
            <w:shd w:val="clear" w:color="auto" w:fill="009AB8" w:themeFill="accent3"/>
          </w:tcPr>
          <w:p w14:paraId="576DE473" w14:textId="77777777" w:rsidR="00213FC3" w:rsidRPr="00C219EA" w:rsidRDefault="00213FC3" w:rsidP="00B15944">
            <w:pPr>
              <w:spacing w:before="120" w:after="120"/>
              <w:rPr>
                <w:b/>
                <w:bCs/>
                <w:szCs w:val="18"/>
                <w:lang w:val="en-US"/>
              </w:rPr>
            </w:pPr>
          </w:p>
        </w:tc>
      </w:tr>
      <w:tr w:rsidR="00213FC3" w:rsidRPr="00C219EA" w14:paraId="005DD0FE"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508C8FE5" w14:textId="77777777" w:rsidR="00213FC3" w:rsidRPr="00C219EA" w:rsidRDefault="00213FC3" w:rsidP="00B15944">
            <w:pPr>
              <w:spacing w:before="120" w:after="120"/>
              <w:rPr>
                <w:rFonts w:ascii="Futura PT Book" w:hAnsi="Futura PT Book" w:cs="Futura PT Book"/>
                <w:b/>
                <w:bCs/>
                <w:color w:val="000000"/>
                <w:sz w:val="16"/>
                <w:szCs w:val="16"/>
                <w:lang w:val="en-US"/>
              </w:rPr>
            </w:pPr>
            <w:r w:rsidRPr="00C219EA">
              <w:rPr>
                <w:b/>
                <w:bCs/>
                <w:color w:val="1C1C1C"/>
                <w:sz w:val="16"/>
                <w:szCs w:val="16"/>
              </w:rPr>
              <w:t>Classification</w:t>
            </w:r>
          </w:p>
        </w:tc>
        <w:tc>
          <w:tcPr>
            <w:tcW w:w="842" w:type="dxa"/>
            <w:shd w:val="clear" w:color="auto" w:fill="BDF4FF" w:themeFill="accent3" w:themeFillTint="33"/>
          </w:tcPr>
          <w:p w14:paraId="3B7926DF"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Full-time</w:t>
            </w:r>
          </w:p>
        </w:tc>
        <w:tc>
          <w:tcPr>
            <w:tcW w:w="851" w:type="dxa"/>
            <w:shd w:val="clear" w:color="auto" w:fill="BDF4FF" w:themeFill="accent3" w:themeFillTint="33"/>
          </w:tcPr>
          <w:p w14:paraId="31D51B52"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Part-time</w:t>
            </w:r>
          </w:p>
        </w:tc>
        <w:tc>
          <w:tcPr>
            <w:tcW w:w="715" w:type="dxa"/>
            <w:tcBorders>
              <w:right w:val="single" w:sz="4" w:space="0" w:color="FFFFFF" w:themeColor="background2"/>
            </w:tcBorders>
            <w:shd w:val="clear" w:color="auto" w:fill="BDF4FF" w:themeFill="accent3" w:themeFillTint="33"/>
          </w:tcPr>
          <w:p w14:paraId="5785D841" w14:textId="77777777" w:rsidR="00213FC3" w:rsidRPr="00C219EA" w:rsidRDefault="00213FC3"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44C609AF" w14:textId="77777777" w:rsidR="00213FC3" w:rsidRPr="00C219EA" w:rsidRDefault="00213FC3" w:rsidP="00B15944">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Full-time</w:t>
            </w:r>
          </w:p>
        </w:tc>
        <w:tc>
          <w:tcPr>
            <w:tcW w:w="850" w:type="dxa"/>
            <w:shd w:val="clear" w:color="auto" w:fill="BDF4FF" w:themeFill="accent3" w:themeFillTint="33"/>
          </w:tcPr>
          <w:p w14:paraId="7C6E50C4"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Part-time</w:t>
            </w:r>
          </w:p>
        </w:tc>
        <w:tc>
          <w:tcPr>
            <w:tcW w:w="850" w:type="dxa"/>
            <w:tcBorders>
              <w:right w:val="single" w:sz="4" w:space="0" w:color="FFFFFF" w:themeColor="background2"/>
            </w:tcBorders>
            <w:shd w:val="clear" w:color="auto" w:fill="BDF4FF" w:themeFill="accent3" w:themeFillTint="33"/>
          </w:tcPr>
          <w:p w14:paraId="2F1D795F"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Total</w:t>
            </w:r>
          </w:p>
        </w:tc>
        <w:tc>
          <w:tcPr>
            <w:tcW w:w="850" w:type="dxa"/>
            <w:tcBorders>
              <w:left w:val="single" w:sz="4" w:space="0" w:color="FFFFFF" w:themeColor="background2"/>
            </w:tcBorders>
            <w:shd w:val="clear" w:color="auto" w:fill="BDF4FF" w:themeFill="accent3" w:themeFillTint="33"/>
          </w:tcPr>
          <w:p w14:paraId="18C60941"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Total</w:t>
            </w:r>
          </w:p>
        </w:tc>
      </w:tr>
      <w:tr w:rsidR="00213FC3" w:rsidRPr="00C219EA" w14:paraId="1C06C23D"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2A27539A"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S</w:t>
            </w:r>
            <w:r>
              <w:rPr>
                <w:color w:val="1C1C1C"/>
                <w:sz w:val="16"/>
                <w:szCs w:val="16"/>
              </w:rPr>
              <w:t xml:space="preserve">enior </w:t>
            </w:r>
            <w:r w:rsidRPr="00C219EA">
              <w:rPr>
                <w:color w:val="1C1C1C"/>
                <w:sz w:val="16"/>
                <w:szCs w:val="16"/>
              </w:rPr>
              <w:t>E</w:t>
            </w:r>
            <w:r>
              <w:rPr>
                <w:color w:val="1C1C1C"/>
                <w:sz w:val="16"/>
                <w:szCs w:val="16"/>
              </w:rPr>
              <w:t xml:space="preserve">xecutive </w:t>
            </w:r>
            <w:r w:rsidRPr="00C219EA">
              <w:rPr>
                <w:color w:val="1C1C1C"/>
                <w:sz w:val="16"/>
                <w:szCs w:val="16"/>
              </w:rPr>
              <w:t>S</w:t>
            </w:r>
            <w:r>
              <w:rPr>
                <w:color w:val="1C1C1C"/>
                <w:sz w:val="16"/>
                <w:szCs w:val="16"/>
              </w:rPr>
              <w:t>ervice</w:t>
            </w:r>
          </w:p>
        </w:tc>
        <w:tc>
          <w:tcPr>
            <w:tcW w:w="842" w:type="dxa"/>
            <w:shd w:val="clear" w:color="auto" w:fill="F2F2F2" w:themeFill="background2" w:themeFillShade="F2"/>
          </w:tcPr>
          <w:p w14:paraId="41BEFEAF"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573D493A"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652F251D" w14:textId="77777777" w:rsidR="00213FC3" w:rsidRPr="00C219EA" w:rsidRDefault="00213FC3" w:rsidP="00B15944">
            <w:pPr>
              <w:spacing w:before="120" w:after="120"/>
              <w:jc w:val="right"/>
              <w:rPr>
                <w:rFonts w:ascii="Futura PT Book" w:hAnsi="Futura PT Book" w:cs="Futura PT Book"/>
                <w:color w:val="000000"/>
                <w:sz w:val="16"/>
                <w:szCs w:val="16"/>
                <w:lang w:val="en-US"/>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5CAFAAB7" w14:textId="72178B3A"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shd w:val="clear" w:color="auto" w:fill="F2F2F2" w:themeFill="background2" w:themeFillShade="F2"/>
          </w:tcPr>
          <w:p w14:paraId="5A351EDF"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42EE3C89" w14:textId="52FB3A63" w:rsidR="00213FC3" w:rsidRPr="00C219EA" w:rsidRDefault="00213FC3"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48952059" w14:textId="7B09C22E" w:rsidR="00213FC3" w:rsidRPr="00C219EA" w:rsidRDefault="00213FC3" w:rsidP="00B15944">
            <w:pPr>
              <w:spacing w:before="120" w:after="120"/>
              <w:jc w:val="right"/>
              <w:rPr>
                <w:color w:val="1C1C1C"/>
                <w:sz w:val="16"/>
                <w:szCs w:val="16"/>
              </w:rPr>
            </w:pPr>
            <w:r>
              <w:rPr>
                <w:color w:val="1C1C1C"/>
                <w:sz w:val="16"/>
                <w:szCs w:val="16"/>
              </w:rPr>
              <w:t>0</w:t>
            </w:r>
          </w:p>
        </w:tc>
      </w:tr>
      <w:tr w:rsidR="00213FC3" w:rsidRPr="00C219EA" w14:paraId="51AAE6EA"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4A5651B6"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6C898BC1" w14:textId="7F9D84CD" w:rsidR="00213FC3" w:rsidRPr="00C219EA" w:rsidRDefault="00213FC3" w:rsidP="00B15944">
            <w:pPr>
              <w:spacing w:before="120" w:after="120"/>
              <w:jc w:val="right"/>
              <w:rPr>
                <w:color w:val="1C1C1C"/>
                <w:sz w:val="16"/>
                <w:szCs w:val="16"/>
              </w:rPr>
            </w:pPr>
            <w:r>
              <w:rPr>
                <w:color w:val="1C1C1C"/>
                <w:sz w:val="16"/>
                <w:szCs w:val="16"/>
              </w:rPr>
              <w:t>0</w:t>
            </w:r>
          </w:p>
        </w:tc>
        <w:tc>
          <w:tcPr>
            <w:tcW w:w="851" w:type="dxa"/>
            <w:shd w:val="clear" w:color="auto" w:fill="F2F2F2" w:themeFill="background2" w:themeFillShade="F2"/>
          </w:tcPr>
          <w:p w14:paraId="73C366BE"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A497C23" w14:textId="607115EB"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602C20F5" w14:textId="7EB7F61E"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shd w:val="clear" w:color="auto" w:fill="F2F2F2" w:themeFill="background2" w:themeFillShade="F2"/>
          </w:tcPr>
          <w:p w14:paraId="17F93378" w14:textId="341388DA" w:rsidR="00213FC3" w:rsidRPr="00C219EA" w:rsidRDefault="00213FC3" w:rsidP="00B15944">
            <w:pPr>
              <w:spacing w:before="120" w:after="120"/>
              <w:jc w:val="right"/>
              <w:rPr>
                <w:color w:val="1C1C1C"/>
                <w:sz w:val="16"/>
                <w:szCs w:val="16"/>
              </w:rPr>
            </w:pPr>
            <w:r>
              <w:rPr>
                <w:color w:val="1C1C1C"/>
                <w:sz w:val="16"/>
                <w:szCs w:val="16"/>
              </w:rPr>
              <w:t>1</w:t>
            </w:r>
          </w:p>
        </w:tc>
        <w:tc>
          <w:tcPr>
            <w:tcW w:w="850" w:type="dxa"/>
            <w:tcBorders>
              <w:right w:val="single" w:sz="4" w:space="0" w:color="FFFFFF" w:themeColor="background2"/>
            </w:tcBorders>
            <w:shd w:val="clear" w:color="auto" w:fill="F2F2F2" w:themeFill="background2" w:themeFillShade="F2"/>
          </w:tcPr>
          <w:p w14:paraId="4E383B9D" w14:textId="00113E7F" w:rsidR="00213FC3" w:rsidRPr="00C219EA" w:rsidRDefault="00213FC3" w:rsidP="00B15944">
            <w:pPr>
              <w:spacing w:before="120" w:after="120"/>
              <w:jc w:val="right"/>
              <w:rPr>
                <w:color w:val="1C1C1C"/>
                <w:sz w:val="16"/>
                <w:szCs w:val="16"/>
              </w:rPr>
            </w:pPr>
            <w:r>
              <w:rPr>
                <w:color w:val="1C1C1C"/>
                <w:sz w:val="16"/>
                <w:szCs w:val="16"/>
              </w:rPr>
              <w:t>1</w:t>
            </w:r>
          </w:p>
        </w:tc>
        <w:tc>
          <w:tcPr>
            <w:tcW w:w="850" w:type="dxa"/>
            <w:tcBorders>
              <w:left w:val="single" w:sz="4" w:space="0" w:color="FFFFFF" w:themeColor="background2"/>
            </w:tcBorders>
          </w:tcPr>
          <w:p w14:paraId="5E53D8A4" w14:textId="406B5EFD" w:rsidR="00213FC3" w:rsidRPr="00C219EA" w:rsidRDefault="00213FC3" w:rsidP="00B15944">
            <w:pPr>
              <w:spacing w:before="120" w:after="120"/>
              <w:jc w:val="right"/>
              <w:rPr>
                <w:color w:val="1C1C1C"/>
                <w:sz w:val="16"/>
                <w:szCs w:val="16"/>
              </w:rPr>
            </w:pPr>
            <w:r w:rsidRPr="00C219EA">
              <w:rPr>
                <w:color w:val="1C1C1C"/>
                <w:sz w:val="16"/>
                <w:szCs w:val="16"/>
              </w:rPr>
              <w:t>1</w:t>
            </w:r>
          </w:p>
        </w:tc>
      </w:tr>
      <w:tr w:rsidR="00213FC3" w:rsidRPr="00C219EA" w14:paraId="19657BEA"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246988F5"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7FB7F2B2" w14:textId="58FCAB2D" w:rsidR="00213FC3" w:rsidRPr="00C219EA" w:rsidRDefault="00213FC3" w:rsidP="00B15944">
            <w:pPr>
              <w:spacing w:before="120" w:after="120"/>
              <w:jc w:val="right"/>
              <w:rPr>
                <w:color w:val="1C1C1C"/>
                <w:sz w:val="16"/>
                <w:szCs w:val="16"/>
              </w:rPr>
            </w:pPr>
            <w:r>
              <w:rPr>
                <w:color w:val="1C1C1C"/>
                <w:sz w:val="16"/>
                <w:szCs w:val="16"/>
              </w:rPr>
              <w:t>1</w:t>
            </w:r>
          </w:p>
        </w:tc>
        <w:tc>
          <w:tcPr>
            <w:tcW w:w="851" w:type="dxa"/>
            <w:shd w:val="clear" w:color="auto" w:fill="F2F2F2" w:themeFill="background2" w:themeFillShade="F2"/>
          </w:tcPr>
          <w:p w14:paraId="4EE692BF"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7E987B6E" w14:textId="703FBD2E"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1</w:t>
            </w:r>
          </w:p>
        </w:tc>
        <w:tc>
          <w:tcPr>
            <w:tcW w:w="850" w:type="dxa"/>
            <w:tcBorders>
              <w:left w:val="single" w:sz="4" w:space="0" w:color="FFFFFF" w:themeColor="background2"/>
            </w:tcBorders>
            <w:shd w:val="clear" w:color="auto" w:fill="F2F2F2" w:themeFill="background2" w:themeFillShade="F2"/>
          </w:tcPr>
          <w:p w14:paraId="3AC42731" w14:textId="14EAE8F8"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2</w:t>
            </w:r>
          </w:p>
        </w:tc>
        <w:tc>
          <w:tcPr>
            <w:tcW w:w="850" w:type="dxa"/>
            <w:shd w:val="clear" w:color="auto" w:fill="F2F2F2" w:themeFill="background2" w:themeFillShade="F2"/>
          </w:tcPr>
          <w:p w14:paraId="122062F0" w14:textId="53DD4E2F" w:rsidR="00213FC3" w:rsidRPr="00C219EA" w:rsidRDefault="00213FC3" w:rsidP="00B15944">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7F804662" w14:textId="5690A707" w:rsidR="00213FC3" w:rsidRPr="00C219EA" w:rsidRDefault="00213FC3" w:rsidP="00B15944">
            <w:pPr>
              <w:spacing w:before="120" w:after="120"/>
              <w:jc w:val="right"/>
              <w:rPr>
                <w:color w:val="1C1C1C"/>
                <w:sz w:val="16"/>
                <w:szCs w:val="16"/>
              </w:rPr>
            </w:pPr>
            <w:r>
              <w:rPr>
                <w:color w:val="1C1C1C"/>
                <w:sz w:val="16"/>
                <w:szCs w:val="16"/>
              </w:rPr>
              <w:t>2</w:t>
            </w:r>
          </w:p>
        </w:tc>
        <w:tc>
          <w:tcPr>
            <w:tcW w:w="850" w:type="dxa"/>
            <w:tcBorders>
              <w:left w:val="single" w:sz="4" w:space="0" w:color="FFFFFF" w:themeColor="background2"/>
            </w:tcBorders>
          </w:tcPr>
          <w:p w14:paraId="77191C74" w14:textId="5B91A99E" w:rsidR="00213FC3" w:rsidRPr="00C219EA" w:rsidRDefault="00213FC3" w:rsidP="00B15944">
            <w:pPr>
              <w:spacing w:before="120" w:after="120"/>
              <w:jc w:val="right"/>
              <w:rPr>
                <w:color w:val="1C1C1C"/>
                <w:sz w:val="16"/>
                <w:szCs w:val="16"/>
              </w:rPr>
            </w:pPr>
            <w:r>
              <w:rPr>
                <w:color w:val="1C1C1C"/>
                <w:sz w:val="16"/>
                <w:szCs w:val="16"/>
              </w:rPr>
              <w:t>3</w:t>
            </w:r>
          </w:p>
        </w:tc>
      </w:tr>
      <w:tr w:rsidR="00213FC3" w:rsidRPr="00C219EA" w14:paraId="7DDF4AB3"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654F7787" w14:textId="77777777" w:rsidR="00213FC3" w:rsidRPr="00C219EA" w:rsidRDefault="00213FC3" w:rsidP="00B15944">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34A966BC" w14:textId="28EF068A" w:rsidR="00213FC3" w:rsidRPr="00C219EA" w:rsidRDefault="00213FC3" w:rsidP="00B15944">
            <w:pPr>
              <w:spacing w:before="120" w:after="120"/>
              <w:jc w:val="right"/>
              <w:rPr>
                <w:color w:val="1C1C1C"/>
                <w:sz w:val="16"/>
                <w:szCs w:val="16"/>
              </w:rPr>
            </w:pPr>
            <w:r>
              <w:rPr>
                <w:color w:val="1C1C1C"/>
                <w:sz w:val="16"/>
                <w:szCs w:val="16"/>
              </w:rPr>
              <w:t>0</w:t>
            </w:r>
          </w:p>
        </w:tc>
        <w:tc>
          <w:tcPr>
            <w:tcW w:w="851" w:type="dxa"/>
            <w:shd w:val="clear" w:color="auto" w:fill="F2F2F2" w:themeFill="background2" w:themeFillShade="F2"/>
          </w:tcPr>
          <w:p w14:paraId="61D71B54"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144047F9" w14:textId="37A8E0D7"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0115E8DD" w14:textId="292A42A5" w:rsidR="00213FC3" w:rsidRPr="00C219EA" w:rsidRDefault="00213FC3" w:rsidP="00B15944">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shd w:val="clear" w:color="auto" w:fill="F2F2F2" w:themeFill="background2" w:themeFillShade="F2"/>
          </w:tcPr>
          <w:p w14:paraId="40930BC0" w14:textId="5A41A9AD" w:rsidR="00213FC3" w:rsidRPr="00C219EA" w:rsidRDefault="00213FC3" w:rsidP="00B15944">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643697B2" w14:textId="0437ED5E" w:rsidR="00213FC3" w:rsidRPr="00C219EA" w:rsidRDefault="00213FC3"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1D666FE4" w14:textId="6A39E9D0" w:rsidR="00213FC3" w:rsidRPr="00C219EA" w:rsidRDefault="00213FC3" w:rsidP="00B15944">
            <w:pPr>
              <w:spacing w:before="120" w:after="120"/>
              <w:jc w:val="right"/>
              <w:rPr>
                <w:color w:val="1C1C1C"/>
                <w:sz w:val="16"/>
                <w:szCs w:val="16"/>
              </w:rPr>
            </w:pPr>
            <w:r>
              <w:rPr>
                <w:color w:val="1C1C1C"/>
                <w:sz w:val="16"/>
                <w:szCs w:val="16"/>
              </w:rPr>
              <w:t>0</w:t>
            </w:r>
          </w:p>
        </w:tc>
      </w:tr>
      <w:tr w:rsidR="00213FC3" w:rsidRPr="00C219EA" w14:paraId="3EFABDC9" w14:textId="77777777" w:rsidTr="00B15944">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7A41C32A" w14:textId="77777777" w:rsidR="00213FC3" w:rsidRPr="00C219EA" w:rsidRDefault="00213FC3" w:rsidP="00B15944">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47E91220"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536936CE"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06686D3B"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6F333597" w14:textId="409A57E0" w:rsidR="00213FC3" w:rsidRPr="00C219EA" w:rsidRDefault="00A743BA" w:rsidP="00B15944">
            <w:pPr>
              <w:spacing w:before="120" w:after="120"/>
              <w:jc w:val="right"/>
              <w:rPr>
                <w:color w:val="1C1C1C"/>
                <w:sz w:val="16"/>
                <w:szCs w:val="16"/>
              </w:rPr>
            </w:pPr>
            <w:r>
              <w:rPr>
                <w:color w:val="1C1C1C"/>
                <w:sz w:val="16"/>
                <w:szCs w:val="16"/>
              </w:rPr>
              <w:t>0</w:t>
            </w:r>
          </w:p>
        </w:tc>
        <w:tc>
          <w:tcPr>
            <w:tcW w:w="850" w:type="dxa"/>
            <w:shd w:val="clear" w:color="auto" w:fill="F2F2F2" w:themeFill="background2" w:themeFillShade="F2"/>
          </w:tcPr>
          <w:p w14:paraId="1A9BD4CC" w14:textId="77777777" w:rsidR="00213FC3" w:rsidRPr="00C219EA" w:rsidRDefault="00213FC3" w:rsidP="00B15944">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673F6229" w14:textId="7C29F667" w:rsidR="00213FC3" w:rsidRPr="00C219EA" w:rsidRDefault="00A743BA" w:rsidP="00B15944">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05A5A6C0" w14:textId="70DEB8F0" w:rsidR="00213FC3" w:rsidRPr="00C219EA" w:rsidRDefault="00A743BA" w:rsidP="00B15944">
            <w:pPr>
              <w:spacing w:before="120" w:after="120"/>
              <w:jc w:val="right"/>
              <w:rPr>
                <w:color w:val="1C1C1C"/>
                <w:sz w:val="16"/>
                <w:szCs w:val="16"/>
              </w:rPr>
            </w:pPr>
            <w:r>
              <w:rPr>
                <w:color w:val="1C1C1C"/>
                <w:sz w:val="16"/>
                <w:szCs w:val="16"/>
              </w:rPr>
              <w:t>0</w:t>
            </w:r>
          </w:p>
        </w:tc>
      </w:tr>
      <w:tr w:rsidR="00213FC3" w:rsidRPr="00C219EA" w14:paraId="2477EDE9" w14:textId="77777777" w:rsidTr="00B15944">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BDF4FF" w:themeFill="accent3" w:themeFillTint="33"/>
          </w:tcPr>
          <w:p w14:paraId="344F9E0A" w14:textId="77777777" w:rsidR="00213FC3" w:rsidRPr="00C219EA" w:rsidRDefault="00213FC3" w:rsidP="00B15944">
            <w:pPr>
              <w:spacing w:before="120" w:after="120"/>
              <w:rPr>
                <w:b/>
                <w:bCs/>
                <w:color w:val="1C1C1C"/>
                <w:sz w:val="16"/>
                <w:szCs w:val="16"/>
              </w:rPr>
            </w:pPr>
            <w:r w:rsidRPr="00C219EA">
              <w:rPr>
                <w:b/>
                <w:bCs/>
                <w:color w:val="1C1C1C"/>
                <w:sz w:val="16"/>
                <w:szCs w:val="16"/>
              </w:rPr>
              <w:t>Total</w:t>
            </w:r>
          </w:p>
        </w:tc>
        <w:tc>
          <w:tcPr>
            <w:tcW w:w="842" w:type="dxa"/>
            <w:shd w:val="clear" w:color="auto" w:fill="BDF4FF" w:themeFill="accent3" w:themeFillTint="33"/>
          </w:tcPr>
          <w:p w14:paraId="6D6EAD30" w14:textId="74DAB046" w:rsidR="00213FC3" w:rsidRPr="00C219EA" w:rsidRDefault="00213FC3" w:rsidP="00B15944">
            <w:pPr>
              <w:spacing w:before="120" w:after="120"/>
              <w:jc w:val="right"/>
              <w:rPr>
                <w:b/>
                <w:bCs/>
                <w:color w:val="1C1C1C"/>
                <w:sz w:val="16"/>
                <w:szCs w:val="16"/>
              </w:rPr>
            </w:pPr>
            <w:r>
              <w:rPr>
                <w:b/>
                <w:bCs/>
                <w:color w:val="1C1C1C"/>
                <w:sz w:val="16"/>
                <w:szCs w:val="16"/>
              </w:rPr>
              <w:t>1</w:t>
            </w:r>
          </w:p>
        </w:tc>
        <w:tc>
          <w:tcPr>
            <w:tcW w:w="851" w:type="dxa"/>
            <w:shd w:val="clear" w:color="auto" w:fill="BDF4FF" w:themeFill="accent3" w:themeFillTint="33"/>
          </w:tcPr>
          <w:p w14:paraId="49F6F62F" w14:textId="77777777" w:rsidR="00213FC3" w:rsidRPr="00C219EA" w:rsidRDefault="00213FC3" w:rsidP="00B15944">
            <w:pPr>
              <w:spacing w:before="120" w:after="120"/>
              <w:jc w:val="right"/>
              <w:rPr>
                <w:b/>
                <w:bCs/>
                <w:color w:val="1C1C1C"/>
                <w:sz w:val="16"/>
                <w:szCs w:val="16"/>
              </w:rPr>
            </w:pPr>
            <w:r w:rsidRPr="00C219EA">
              <w:rPr>
                <w:b/>
                <w:bCs/>
                <w:color w:val="1C1C1C"/>
                <w:sz w:val="16"/>
                <w:szCs w:val="16"/>
              </w:rPr>
              <w:t>0</w:t>
            </w:r>
          </w:p>
        </w:tc>
        <w:tc>
          <w:tcPr>
            <w:tcW w:w="715" w:type="dxa"/>
            <w:tcBorders>
              <w:right w:val="single" w:sz="4" w:space="0" w:color="FFFFFF" w:themeColor="background2"/>
            </w:tcBorders>
            <w:shd w:val="clear" w:color="auto" w:fill="BDF4FF" w:themeFill="accent3" w:themeFillTint="33"/>
          </w:tcPr>
          <w:p w14:paraId="224F4AB5" w14:textId="04A96CF6" w:rsidR="00213FC3" w:rsidRPr="00C219EA" w:rsidRDefault="00213FC3" w:rsidP="00B15944">
            <w:pPr>
              <w:spacing w:before="120" w:after="120"/>
              <w:jc w:val="right"/>
              <w:rPr>
                <w:b/>
                <w:bCs/>
                <w:color w:val="1C1C1C"/>
                <w:sz w:val="16"/>
                <w:szCs w:val="16"/>
              </w:rPr>
            </w:pPr>
            <w:r>
              <w:rPr>
                <w:b/>
                <w:bCs/>
                <w:color w:val="1C1C1C"/>
                <w:sz w:val="16"/>
                <w:szCs w:val="16"/>
              </w:rPr>
              <w:t>1</w:t>
            </w:r>
          </w:p>
        </w:tc>
        <w:tc>
          <w:tcPr>
            <w:tcW w:w="850" w:type="dxa"/>
            <w:tcBorders>
              <w:left w:val="single" w:sz="4" w:space="0" w:color="FFFFFF" w:themeColor="background2"/>
            </w:tcBorders>
            <w:shd w:val="clear" w:color="auto" w:fill="BDF4FF" w:themeFill="accent3" w:themeFillTint="33"/>
          </w:tcPr>
          <w:p w14:paraId="56F1CF3B" w14:textId="72C5D2D6" w:rsidR="00213FC3" w:rsidRPr="00C219EA" w:rsidRDefault="00213FC3" w:rsidP="00B15944">
            <w:pPr>
              <w:spacing w:before="120" w:after="120"/>
              <w:jc w:val="right"/>
              <w:rPr>
                <w:b/>
                <w:bCs/>
                <w:color w:val="1C1C1C"/>
                <w:sz w:val="16"/>
                <w:szCs w:val="16"/>
              </w:rPr>
            </w:pPr>
            <w:r>
              <w:rPr>
                <w:b/>
                <w:bCs/>
                <w:color w:val="1C1C1C"/>
                <w:sz w:val="16"/>
                <w:szCs w:val="16"/>
              </w:rPr>
              <w:t>2</w:t>
            </w:r>
          </w:p>
        </w:tc>
        <w:tc>
          <w:tcPr>
            <w:tcW w:w="850" w:type="dxa"/>
            <w:shd w:val="clear" w:color="auto" w:fill="BDF4FF" w:themeFill="accent3" w:themeFillTint="33"/>
          </w:tcPr>
          <w:p w14:paraId="15A7DD3B" w14:textId="7E86F1DE" w:rsidR="00213FC3" w:rsidRPr="00C219EA" w:rsidRDefault="00213FC3" w:rsidP="00B15944">
            <w:pPr>
              <w:spacing w:before="120" w:after="120"/>
              <w:jc w:val="right"/>
              <w:rPr>
                <w:b/>
                <w:bCs/>
                <w:color w:val="1C1C1C"/>
                <w:sz w:val="16"/>
                <w:szCs w:val="16"/>
              </w:rPr>
            </w:pPr>
            <w:r>
              <w:rPr>
                <w:b/>
                <w:bCs/>
                <w:color w:val="1C1C1C"/>
                <w:sz w:val="16"/>
                <w:szCs w:val="16"/>
              </w:rPr>
              <w:t>1</w:t>
            </w:r>
          </w:p>
        </w:tc>
        <w:tc>
          <w:tcPr>
            <w:tcW w:w="850" w:type="dxa"/>
            <w:tcBorders>
              <w:right w:val="single" w:sz="4" w:space="0" w:color="FFFFFF" w:themeColor="background2"/>
            </w:tcBorders>
            <w:shd w:val="clear" w:color="auto" w:fill="BDF4FF" w:themeFill="accent3" w:themeFillTint="33"/>
          </w:tcPr>
          <w:p w14:paraId="63DEEF42" w14:textId="1F0B947F" w:rsidR="00213FC3" w:rsidRPr="00C219EA" w:rsidRDefault="00213FC3" w:rsidP="00B15944">
            <w:pPr>
              <w:spacing w:before="120" w:after="120"/>
              <w:jc w:val="right"/>
              <w:rPr>
                <w:b/>
                <w:bCs/>
                <w:color w:val="1C1C1C"/>
                <w:sz w:val="16"/>
                <w:szCs w:val="16"/>
              </w:rPr>
            </w:pPr>
            <w:r>
              <w:rPr>
                <w:b/>
                <w:bCs/>
                <w:color w:val="1C1C1C"/>
                <w:sz w:val="16"/>
                <w:szCs w:val="16"/>
              </w:rPr>
              <w:t>3</w:t>
            </w:r>
          </w:p>
        </w:tc>
        <w:tc>
          <w:tcPr>
            <w:tcW w:w="850" w:type="dxa"/>
            <w:tcBorders>
              <w:left w:val="single" w:sz="4" w:space="0" w:color="FFFFFF" w:themeColor="background2"/>
            </w:tcBorders>
            <w:shd w:val="clear" w:color="auto" w:fill="BDF4FF" w:themeFill="accent3" w:themeFillTint="33"/>
          </w:tcPr>
          <w:p w14:paraId="7A8D941C" w14:textId="1A4C81A3" w:rsidR="00213FC3" w:rsidRPr="00C219EA" w:rsidRDefault="00213FC3" w:rsidP="00B15944">
            <w:pPr>
              <w:spacing w:before="120" w:after="120"/>
              <w:jc w:val="right"/>
              <w:rPr>
                <w:b/>
                <w:bCs/>
                <w:color w:val="1C1C1C"/>
                <w:sz w:val="16"/>
                <w:szCs w:val="16"/>
              </w:rPr>
            </w:pPr>
            <w:r w:rsidRPr="00C219EA">
              <w:rPr>
                <w:b/>
                <w:bCs/>
                <w:color w:val="1C1C1C"/>
                <w:sz w:val="16"/>
                <w:szCs w:val="16"/>
              </w:rPr>
              <w:t>4</w:t>
            </w:r>
          </w:p>
        </w:tc>
      </w:tr>
    </w:tbl>
    <w:p w14:paraId="27EEC150" w14:textId="77777777" w:rsidR="00213FC3" w:rsidRDefault="00213FC3" w:rsidP="00213FC3">
      <w:pPr>
        <w:pStyle w:val="Body"/>
      </w:pPr>
    </w:p>
    <w:p w14:paraId="4818582A" w14:textId="77777777" w:rsidR="00F5625D" w:rsidRDefault="00F5625D" w:rsidP="0004038E">
      <w:pPr>
        <w:pStyle w:val="Body"/>
      </w:pPr>
    </w:p>
    <w:p w14:paraId="052BBFDB" w14:textId="777BF81A" w:rsidR="00C05617" w:rsidRDefault="00C05617" w:rsidP="0004038E">
      <w:pPr>
        <w:pStyle w:val="Body"/>
        <w:sectPr w:rsidR="00C05617" w:rsidSect="00F5625D">
          <w:footerReference w:type="default" r:id="rId166"/>
          <w:pgSz w:w="9979" w:h="14175"/>
          <w:pgMar w:top="1418" w:right="1134" w:bottom="1134" w:left="1134" w:header="709" w:footer="709" w:gutter="0"/>
          <w:cols w:space="708"/>
          <w:docGrid w:linePitch="360"/>
        </w:sectPr>
      </w:pPr>
    </w:p>
    <w:p w14:paraId="3EBD84B3" w14:textId="1A057B2F" w:rsidR="00422E00" w:rsidRPr="00695163" w:rsidRDefault="00422E00" w:rsidP="00EB012D">
      <w:pPr>
        <w:pStyle w:val="H3"/>
        <w:spacing w:before="0" w:after="0"/>
        <w:rPr>
          <w:color w:val="009AB8" w:themeColor="accent3"/>
        </w:rPr>
      </w:pPr>
      <w:r w:rsidRPr="00695163">
        <w:rPr>
          <w:color w:val="009AB8" w:themeColor="accent3"/>
        </w:rPr>
        <w:t>Key management personnel</w:t>
      </w:r>
    </w:p>
    <w:p w14:paraId="0798AFDB" w14:textId="0C41430A" w:rsidR="00422E00" w:rsidRPr="00422E00" w:rsidRDefault="001E2294" w:rsidP="00EB012D">
      <w:pPr>
        <w:pStyle w:val="FigureHeading"/>
        <w:spacing w:before="120" w:after="120"/>
      </w:pPr>
      <w:bookmarkStart w:id="85" w:name="_Toc82510955"/>
      <w:bookmarkStart w:id="86" w:name="_Toc114824671"/>
      <w:r w:rsidRPr="00F92CE2">
        <w:rPr>
          <w:noProof/>
          <w:color w:val="C40B46" w:themeColor="accent6"/>
          <w:lang w:eastAsia="en-AU"/>
        </w:rPr>
        <mc:AlternateContent>
          <mc:Choice Requires="wps">
            <w:drawing>
              <wp:anchor distT="45720" distB="45720" distL="114300" distR="114300" simplePos="0" relativeHeight="252081152" behindDoc="0" locked="0" layoutInCell="1" allowOverlap="1" wp14:anchorId="454CE18F" wp14:editId="647F1CFE">
                <wp:simplePos x="0" y="0"/>
                <wp:positionH relativeFrom="margin">
                  <wp:posOffset>-3039350</wp:posOffset>
                </wp:positionH>
                <wp:positionV relativeFrom="margin">
                  <wp:posOffset>2286311</wp:posOffset>
                </wp:positionV>
                <wp:extent cx="5255812" cy="620202"/>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255812" cy="62020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806A6A7" w14:textId="45DCED81" w:rsidR="00A17FAD"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t>8</w:t>
                            </w:r>
                            <w:r w:rsidR="00C70EA1">
                              <w:rPr>
                                <w:color w:val="003F2C" w:themeColor="text1"/>
                                <w:sz w:val="16"/>
                                <w:szCs w:val="16"/>
                              </w:rPr>
                              <w:t>1</w:t>
                            </w:r>
                          </w:p>
                          <w:p w14:paraId="5361E0E2" w14:textId="69C29C1A" w:rsidR="00B51E6F" w:rsidRDefault="00B51E6F" w:rsidP="00A43FEE">
                            <w:pPr>
                              <w:pStyle w:val="Footer"/>
                              <w:tabs>
                                <w:tab w:val="clear" w:pos="4680"/>
                                <w:tab w:val="clear" w:pos="9360"/>
                                <w:tab w:val="right" w:pos="11766"/>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4CE18F" id="_x0000_t202" coordsize="21600,21600" o:spt="202" path="m,l,21600r21600,l21600,xe">
                <v:stroke joinstyle="miter"/>
                <v:path gradientshapeok="t" o:connecttype="rect"/>
              </v:shapetype>
              <v:shape id="Text Box 2" o:spid="_x0000_s1026" type="#_x0000_t202" alt="&quot;&quot;" style="position:absolute;margin-left:-239.3pt;margin-top:180pt;width:413.85pt;height:48.85pt;rotation:90;z-index:25208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" filled="f">
                <v:stroke opacity="0"/>
                <v:textbox>
                  <w:txbxContent>
                    <w:p w14:paraId="3806A6A7" w14:textId="45DCED81" w:rsidR="00A17FAD"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t>8</w:t>
                      </w:r>
                      <w:r w:rsidR="00C70EA1">
                        <w:rPr>
                          <w:color w:val="003F2C" w:themeColor="text1"/>
                          <w:sz w:val="16"/>
                          <w:szCs w:val="16"/>
                        </w:rPr>
                        <w:t>1</w:t>
                      </w:r>
                    </w:p>
                    <w:p w14:paraId="5361E0E2" w14:textId="69C29C1A" w:rsidR="00B51E6F" w:rsidRDefault="00B51E6F" w:rsidP="00A43FEE">
                      <w:pPr>
                        <w:pStyle w:val="Footer"/>
                        <w:tabs>
                          <w:tab w:val="clear" w:pos="4680"/>
                          <w:tab w:val="clear" w:pos="9360"/>
                          <w:tab w:val="right" w:pos="11766"/>
                        </w:tabs>
                      </w:pPr>
                    </w:p>
                  </w:txbxContent>
                </v:textbox>
                <w10:wrap anchorx="margin" anchory="margin"/>
              </v:shape>
            </w:pict>
          </mc:Fallback>
        </mc:AlternateContent>
      </w:r>
      <w:r w:rsidR="00422E00" w:rsidRPr="00422E00">
        <w:t>Table 1</w:t>
      </w:r>
      <w:r w:rsidR="00695163">
        <w:t>5</w:t>
      </w:r>
      <w:r w:rsidR="00422E00" w:rsidRPr="00422E00">
        <w:t>: Information about remuneration for key management personnel</w:t>
      </w:r>
      <w:bookmarkEnd w:id="85"/>
      <w:bookmarkEnd w:id="86"/>
    </w:p>
    <w:tbl>
      <w:tblPr>
        <w:tblStyle w:val="TableGrid"/>
        <w:tblW w:w="12044" w:type="dxa"/>
        <w:tblLayout w:type="fixed"/>
        <w:tblCellMar>
          <w:left w:w="85" w:type="dxa"/>
          <w:right w:w="85" w:type="dxa"/>
        </w:tblCellMar>
        <w:tblLook w:val="04A0" w:firstRow="1" w:lastRow="0" w:firstColumn="1" w:lastColumn="0" w:noHBand="0" w:noVBand="1"/>
      </w:tblPr>
      <w:tblGrid>
        <w:gridCol w:w="1838"/>
        <w:gridCol w:w="2268"/>
        <w:gridCol w:w="851"/>
        <w:gridCol w:w="850"/>
        <w:gridCol w:w="1132"/>
        <w:gridCol w:w="1368"/>
        <w:gridCol w:w="902"/>
        <w:gridCol w:w="992"/>
        <w:gridCol w:w="784"/>
        <w:gridCol w:w="67"/>
        <w:gridCol w:w="992"/>
      </w:tblGrid>
      <w:tr w:rsidR="0021373C" w:rsidRPr="00A018BD" w14:paraId="451AFC55" w14:textId="77777777" w:rsidTr="00236754">
        <w:trPr>
          <w:cnfStyle w:val="100000000000" w:firstRow="1" w:lastRow="0" w:firstColumn="0" w:lastColumn="0" w:oddVBand="0" w:evenVBand="0" w:oddHBand="0" w:evenHBand="0" w:firstRowFirstColumn="0" w:firstRowLastColumn="0" w:lastRowFirstColumn="0" w:lastRowLastColumn="0"/>
          <w:trHeight w:val="227"/>
        </w:trPr>
        <w:tc>
          <w:tcPr>
            <w:tcW w:w="1838" w:type="dxa"/>
            <w:tcBorders>
              <w:left w:val="single" w:sz="4" w:space="0" w:color="F2F2F2" w:themeColor="background2" w:themeShade="F2"/>
            </w:tcBorders>
            <w:shd w:val="clear" w:color="auto" w:fill="009AB8" w:themeFill="accent3"/>
            <w:vAlign w:val="center"/>
          </w:tcPr>
          <w:p w14:paraId="1D8AEEF4" w14:textId="77777777" w:rsidR="00073FDF" w:rsidRPr="006C7BD7" w:rsidRDefault="00073FDF" w:rsidP="006C7BD7">
            <w:pPr>
              <w:pStyle w:val="Body"/>
              <w:jc w:val="center"/>
              <w:rPr>
                <w:rFonts w:asciiTheme="majorHAnsi" w:hAnsiTheme="majorHAnsi"/>
                <w:color w:val="FFFFFF" w:themeColor="background2"/>
                <w:sz w:val="15"/>
                <w:szCs w:val="15"/>
              </w:rPr>
            </w:pPr>
          </w:p>
        </w:tc>
        <w:tc>
          <w:tcPr>
            <w:tcW w:w="2268" w:type="dxa"/>
            <w:tcBorders>
              <w:right w:val="single" w:sz="4" w:space="0" w:color="3BDEFF" w:themeColor="accent3" w:themeTint="99"/>
            </w:tcBorders>
            <w:shd w:val="clear" w:color="auto" w:fill="009AB8" w:themeFill="accent3"/>
            <w:vAlign w:val="center"/>
          </w:tcPr>
          <w:p w14:paraId="75FDCA73" w14:textId="77777777" w:rsidR="00073FDF" w:rsidRPr="006C7BD7" w:rsidRDefault="00073FDF" w:rsidP="006C7BD7">
            <w:pPr>
              <w:pStyle w:val="Body"/>
              <w:jc w:val="center"/>
              <w:rPr>
                <w:rFonts w:asciiTheme="majorHAnsi" w:hAnsiTheme="majorHAnsi"/>
                <w:color w:val="FFFFFF" w:themeColor="background2"/>
                <w:sz w:val="15"/>
                <w:szCs w:val="15"/>
              </w:rPr>
            </w:pPr>
          </w:p>
        </w:tc>
        <w:tc>
          <w:tcPr>
            <w:tcW w:w="2833" w:type="dxa"/>
            <w:gridSpan w:val="3"/>
            <w:tcBorders>
              <w:left w:val="single" w:sz="4" w:space="0" w:color="3BDEFF" w:themeColor="accent3" w:themeTint="99"/>
              <w:right w:val="single" w:sz="4" w:space="0" w:color="3BDEFF" w:themeColor="accent3" w:themeTint="99"/>
            </w:tcBorders>
            <w:shd w:val="clear" w:color="auto" w:fill="009AB8" w:themeFill="accent3"/>
            <w:vAlign w:val="center"/>
          </w:tcPr>
          <w:p w14:paraId="7B3F9A63" w14:textId="4E191313" w:rsidR="00073FDF" w:rsidRPr="006C7BD7" w:rsidRDefault="00073FDF" w:rsidP="006C7BD7">
            <w:pPr>
              <w:pStyle w:val="Body"/>
              <w:jc w:val="center"/>
              <w:rPr>
                <w:rFonts w:asciiTheme="majorHAnsi" w:hAnsiTheme="majorHAnsi"/>
                <w:color w:val="FFFFFF" w:themeColor="background2"/>
                <w:sz w:val="15"/>
                <w:szCs w:val="15"/>
              </w:rPr>
            </w:pPr>
            <w:r>
              <w:rPr>
                <w:rFonts w:asciiTheme="majorHAnsi" w:hAnsiTheme="majorHAnsi"/>
                <w:color w:val="FFFFFF" w:themeColor="background2"/>
                <w:sz w:val="15"/>
                <w:szCs w:val="15"/>
              </w:rPr>
              <w:t>Short term benefits</w:t>
            </w:r>
          </w:p>
        </w:tc>
        <w:tc>
          <w:tcPr>
            <w:tcW w:w="1368" w:type="dxa"/>
            <w:tcBorders>
              <w:left w:val="single" w:sz="4" w:space="0" w:color="3BDEFF" w:themeColor="accent3" w:themeTint="99"/>
              <w:right w:val="single" w:sz="4" w:space="0" w:color="3BDEFF" w:themeColor="accent3" w:themeTint="99"/>
            </w:tcBorders>
            <w:shd w:val="clear" w:color="auto" w:fill="009AB8" w:themeFill="accent3"/>
            <w:vAlign w:val="center"/>
          </w:tcPr>
          <w:p w14:paraId="5212B9A1" w14:textId="6D90464B" w:rsidR="00073FDF" w:rsidRPr="006C7BD7" w:rsidRDefault="00073FDF" w:rsidP="006C7BD7">
            <w:pPr>
              <w:pStyle w:val="Body"/>
              <w:jc w:val="center"/>
              <w:rPr>
                <w:rFonts w:asciiTheme="majorHAnsi" w:hAnsiTheme="majorHAnsi"/>
                <w:color w:val="FFFFFF" w:themeColor="background2"/>
                <w:sz w:val="15"/>
                <w:szCs w:val="15"/>
              </w:rPr>
            </w:pPr>
            <w:r w:rsidRPr="006C7BD7">
              <w:rPr>
                <w:rFonts w:asciiTheme="majorHAnsi" w:hAnsiTheme="majorHAnsi"/>
                <w:color w:val="FFFFFF" w:themeColor="background2"/>
                <w:sz w:val="15"/>
                <w:szCs w:val="15"/>
              </w:rPr>
              <w:t>Post-employment</w:t>
            </w:r>
          </w:p>
        </w:tc>
        <w:tc>
          <w:tcPr>
            <w:tcW w:w="1894" w:type="dxa"/>
            <w:gridSpan w:val="2"/>
            <w:tcBorders>
              <w:left w:val="single" w:sz="4" w:space="0" w:color="3BDEFF" w:themeColor="accent3" w:themeTint="99"/>
              <w:right w:val="single" w:sz="4" w:space="0" w:color="3BDEFF" w:themeColor="accent3" w:themeTint="99"/>
            </w:tcBorders>
            <w:shd w:val="clear" w:color="auto" w:fill="009AB8" w:themeFill="accent3"/>
            <w:vAlign w:val="center"/>
          </w:tcPr>
          <w:p w14:paraId="421716B8" w14:textId="3FBEE277" w:rsidR="00073FDF" w:rsidRPr="006C7BD7" w:rsidRDefault="00073FDF" w:rsidP="006C7BD7">
            <w:pPr>
              <w:pStyle w:val="Body"/>
              <w:jc w:val="center"/>
              <w:rPr>
                <w:rFonts w:asciiTheme="majorHAnsi" w:hAnsiTheme="majorHAnsi"/>
                <w:color w:val="FFFFFF" w:themeColor="background2"/>
                <w:sz w:val="15"/>
                <w:szCs w:val="15"/>
              </w:rPr>
            </w:pPr>
            <w:r>
              <w:rPr>
                <w:rFonts w:asciiTheme="majorHAnsi" w:hAnsiTheme="majorHAnsi"/>
                <w:color w:val="FFFFFF" w:themeColor="background2"/>
                <w:sz w:val="15"/>
                <w:szCs w:val="15"/>
              </w:rPr>
              <w:t>Other long-term benefits</w:t>
            </w:r>
          </w:p>
        </w:tc>
        <w:tc>
          <w:tcPr>
            <w:tcW w:w="784" w:type="dxa"/>
            <w:tcBorders>
              <w:left w:val="single" w:sz="4" w:space="0" w:color="3BDEFF" w:themeColor="accent3" w:themeTint="99"/>
            </w:tcBorders>
            <w:shd w:val="clear" w:color="auto" w:fill="009AB8" w:themeFill="accent3"/>
            <w:vAlign w:val="center"/>
          </w:tcPr>
          <w:p w14:paraId="0ACF5EFF" w14:textId="77777777" w:rsidR="00073FDF" w:rsidRPr="006C7BD7" w:rsidRDefault="00073FDF" w:rsidP="006C7BD7">
            <w:pPr>
              <w:pStyle w:val="Body"/>
              <w:jc w:val="center"/>
              <w:rPr>
                <w:rFonts w:asciiTheme="majorHAnsi" w:hAnsiTheme="majorHAnsi"/>
                <w:color w:val="FFFFFF" w:themeColor="background2"/>
                <w:sz w:val="15"/>
                <w:szCs w:val="15"/>
              </w:rPr>
            </w:pPr>
          </w:p>
        </w:tc>
        <w:tc>
          <w:tcPr>
            <w:tcW w:w="1059" w:type="dxa"/>
            <w:gridSpan w:val="2"/>
            <w:tcBorders>
              <w:right w:val="single" w:sz="4" w:space="0" w:color="F2F2F2" w:themeColor="background2" w:themeShade="F2"/>
            </w:tcBorders>
            <w:shd w:val="clear" w:color="auto" w:fill="009AB8" w:themeFill="accent3"/>
            <w:vAlign w:val="center"/>
          </w:tcPr>
          <w:p w14:paraId="507C216C" w14:textId="77777777" w:rsidR="00073FDF" w:rsidRPr="006C7BD7" w:rsidRDefault="00073FDF" w:rsidP="006C7BD7">
            <w:pPr>
              <w:pStyle w:val="Body"/>
              <w:jc w:val="center"/>
              <w:rPr>
                <w:rFonts w:asciiTheme="majorHAnsi" w:hAnsiTheme="majorHAnsi"/>
                <w:color w:val="FFFFFF" w:themeColor="background2"/>
                <w:sz w:val="15"/>
                <w:szCs w:val="15"/>
              </w:rPr>
            </w:pPr>
          </w:p>
        </w:tc>
      </w:tr>
      <w:tr w:rsidR="0021373C" w:rsidRPr="00A018BD" w14:paraId="06467BB4" w14:textId="77777777" w:rsidTr="00236754">
        <w:trPr>
          <w:cnfStyle w:val="100000000000" w:firstRow="1" w:lastRow="0" w:firstColumn="0" w:lastColumn="0" w:oddVBand="0" w:evenVBand="0" w:oddHBand="0" w:evenHBand="0" w:firstRowFirstColumn="0" w:firstRowLastColumn="0" w:lastRowFirstColumn="0" w:lastRowLastColumn="0"/>
        </w:trPr>
        <w:tc>
          <w:tcPr>
            <w:tcW w:w="1838" w:type="dxa"/>
            <w:tcBorders>
              <w:left w:val="single" w:sz="4" w:space="0" w:color="F2F2F2" w:themeColor="background2" w:themeShade="F2"/>
              <w:right w:val="single" w:sz="4" w:space="0" w:color="D9D9D9" w:themeColor="background2" w:themeShade="D9"/>
            </w:tcBorders>
            <w:shd w:val="clear" w:color="auto" w:fill="F2F2F2" w:themeFill="background2" w:themeFillShade="F2"/>
            <w:vAlign w:val="center"/>
          </w:tcPr>
          <w:p w14:paraId="374F2963" w14:textId="62766316" w:rsidR="00A018BD" w:rsidRPr="00A018BD" w:rsidRDefault="002424AE" w:rsidP="008628BE">
            <w:pPr>
              <w:pStyle w:val="Body"/>
              <w:rPr>
                <w:sz w:val="15"/>
                <w:szCs w:val="15"/>
              </w:rPr>
            </w:pPr>
            <w:r>
              <w:rPr>
                <w:sz w:val="15"/>
                <w:szCs w:val="15"/>
              </w:rPr>
              <w:t>Name</w:t>
            </w:r>
          </w:p>
        </w:tc>
        <w:tc>
          <w:tcPr>
            <w:tcW w:w="2268"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72F39301" w14:textId="332B2DC3" w:rsidR="00A018BD" w:rsidRPr="00A018BD" w:rsidRDefault="002424AE" w:rsidP="008628BE">
            <w:pPr>
              <w:pStyle w:val="Body"/>
              <w:rPr>
                <w:sz w:val="15"/>
                <w:szCs w:val="15"/>
              </w:rPr>
            </w:pPr>
            <w:r>
              <w:rPr>
                <w:sz w:val="15"/>
                <w:szCs w:val="15"/>
              </w:rPr>
              <w:t>Position title</w:t>
            </w:r>
          </w:p>
        </w:tc>
        <w:tc>
          <w:tcPr>
            <w:tcW w:w="851"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055B779E" w14:textId="61B3F577" w:rsidR="00A018BD" w:rsidRPr="00A018BD" w:rsidRDefault="002424AE" w:rsidP="00B94E7C">
            <w:pPr>
              <w:pStyle w:val="Body"/>
              <w:jc w:val="center"/>
              <w:rPr>
                <w:sz w:val="15"/>
                <w:szCs w:val="15"/>
              </w:rPr>
            </w:pPr>
            <w:r>
              <w:rPr>
                <w:sz w:val="15"/>
                <w:szCs w:val="15"/>
              </w:rPr>
              <w:t>Base salary</w:t>
            </w:r>
          </w:p>
        </w:tc>
        <w:tc>
          <w:tcPr>
            <w:tcW w:w="850"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21088B64" w14:textId="3AD88353" w:rsidR="00A018BD" w:rsidRPr="00A018BD" w:rsidRDefault="00197612" w:rsidP="00B94E7C">
            <w:pPr>
              <w:pStyle w:val="Body"/>
              <w:jc w:val="center"/>
              <w:rPr>
                <w:sz w:val="15"/>
                <w:szCs w:val="15"/>
              </w:rPr>
            </w:pPr>
            <w:r>
              <w:rPr>
                <w:sz w:val="15"/>
                <w:szCs w:val="15"/>
              </w:rPr>
              <w:t>Bonuses</w:t>
            </w:r>
          </w:p>
        </w:tc>
        <w:tc>
          <w:tcPr>
            <w:tcW w:w="1132"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5FD84E7F" w14:textId="0773DFEA" w:rsidR="00A018BD" w:rsidRPr="00A018BD" w:rsidRDefault="00197612" w:rsidP="00B94E7C">
            <w:pPr>
              <w:pStyle w:val="Body"/>
              <w:jc w:val="center"/>
              <w:rPr>
                <w:sz w:val="15"/>
                <w:szCs w:val="15"/>
              </w:rPr>
            </w:pPr>
            <w:r>
              <w:rPr>
                <w:sz w:val="15"/>
                <w:szCs w:val="15"/>
              </w:rPr>
              <w:t>Other benefits and allowances</w:t>
            </w:r>
          </w:p>
        </w:tc>
        <w:tc>
          <w:tcPr>
            <w:tcW w:w="1368"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08484FCF" w14:textId="6DB468DC" w:rsidR="00A018BD" w:rsidRPr="00A018BD" w:rsidRDefault="00197612" w:rsidP="00B94E7C">
            <w:pPr>
              <w:pStyle w:val="Body"/>
              <w:jc w:val="center"/>
              <w:rPr>
                <w:sz w:val="15"/>
                <w:szCs w:val="15"/>
              </w:rPr>
            </w:pPr>
            <w:r>
              <w:rPr>
                <w:sz w:val="15"/>
                <w:szCs w:val="15"/>
              </w:rPr>
              <w:t>Superannuation contributions</w:t>
            </w:r>
          </w:p>
        </w:tc>
        <w:tc>
          <w:tcPr>
            <w:tcW w:w="902"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592A5A5E" w14:textId="12050AD0" w:rsidR="00A018BD" w:rsidRPr="00A018BD" w:rsidRDefault="00197612" w:rsidP="00B94E7C">
            <w:pPr>
              <w:pStyle w:val="Body"/>
              <w:jc w:val="center"/>
              <w:rPr>
                <w:sz w:val="15"/>
                <w:szCs w:val="15"/>
              </w:rPr>
            </w:pPr>
            <w:r>
              <w:rPr>
                <w:sz w:val="15"/>
                <w:szCs w:val="15"/>
              </w:rPr>
              <w:t>Long service leave</w:t>
            </w:r>
          </w:p>
        </w:tc>
        <w:tc>
          <w:tcPr>
            <w:tcW w:w="992"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48D99B65" w14:textId="19C01DA1" w:rsidR="00A018BD" w:rsidRPr="00A018BD" w:rsidRDefault="00197612" w:rsidP="00B94E7C">
            <w:pPr>
              <w:pStyle w:val="Body"/>
              <w:jc w:val="center"/>
              <w:rPr>
                <w:sz w:val="15"/>
                <w:szCs w:val="15"/>
              </w:rPr>
            </w:pPr>
            <w:r>
              <w:rPr>
                <w:sz w:val="15"/>
                <w:szCs w:val="15"/>
              </w:rPr>
              <w:t>Other long</w:t>
            </w:r>
            <w:r w:rsidR="003C5F44">
              <w:rPr>
                <w:sz w:val="15"/>
                <w:szCs w:val="15"/>
              </w:rPr>
              <w:t>-</w:t>
            </w:r>
            <w:r>
              <w:rPr>
                <w:sz w:val="15"/>
                <w:szCs w:val="15"/>
              </w:rPr>
              <w:t>term benefits</w:t>
            </w:r>
          </w:p>
        </w:tc>
        <w:tc>
          <w:tcPr>
            <w:tcW w:w="851" w:type="dxa"/>
            <w:gridSpan w:val="2"/>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5F2B43F6" w14:textId="7714E985" w:rsidR="00A018BD" w:rsidRPr="00A018BD" w:rsidRDefault="00197612" w:rsidP="00B94E7C">
            <w:pPr>
              <w:pStyle w:val="Body"/>
              <w:jc w:val="center"/>
              <w:rPr>
                <w:sz w:val="15"/>
                <w:szCs w:val="15"/>
              </w:rPr>
            </w:pPr>
            <w:r>
              <w:rPr>
                <w:sz w:val="15"/>
                <w:szCs w:val="15"/>
              </w:rPr>
              <w:t>Termination benefits</w:t>
            </w:r>
          </w:p>
        </w:tc>
        <w:tc>
          <w:tcPr>
            <w:tcW w:w="992" w:type="dxa"/>
            <w:tcBorders>
              <w:left w:val="single" w:sz="4" w:space="0" w:color="D9D9D9" w:themeColor="background2" w:themeShade="D9"/>
              <w:right w:val="single" w:sz="4" w:space="0" w:color="F2F2F2" w:themeColor="background2" w:themeShade="F2"/>
            </w:tcBorders>
            <w:shd w:val="clear" w:color="auto" w:fill="F2F2F2" w:themeFill="background2" w:themeFillShade="F2"/>
            <w:vAlign w:val="center"/>
          </w:tcPr>
          <w:p w14:paraId="19DB1F25" w14:textId="14067648" w:rsidR="00A018BD" w:rsidRPr="00A018BD" w:rsidRDefault="00197612" w:rsidP="00B94E7C">
            <w:pPr>
              <w:pStyle w:val="Body"/>
              <w:jc w:val="center"/>
              <w:rPr>
                <w:sz w:val="15"/>
                <w:szCs w:val="15"/>
              </w:rPr>
            </w:pPr>
            <w:r>
              <w:rPr>
                <w:sz w:val="15"/>
                <w:szCs w:val="15"/>
              </w:rPr>
              <w:t>Total remuneration</w:t>
            </w:r>
          </w:p>
        </w:tc>
      </w:tr>
      <w:tr w:rsidR="0021373C" w:rsidRPr="00A018BD" w14:paraId="0B81A2B4" w14:textId="77777777" w:rsidTr="00236754">
        <w:trPr>
          <w:cnfStyle w:val="100000000000" w:firstRow="1" w:lastRow="0" w:firstColumn="0" w:lastColumn="0" w:oddVBand="0" w:evenVBand="0" w:oddHBand="0" w:evenHBand="0" w:firstRowFirstColumn="0" w:firstRowLastColumn="0" w:lastRowFirstColumn="0" w:lastRowLastColumn="0"/>
        </w:trPr>
        <w:tc>
          <w:tcPr>
            <w:tcW w:w="1838" w:type="dxa"/>
            <w:tcBorders>
              <w:left w:val="single" w:sz="4" w:space="0" w:color="F2F2F2" w:themeColor="background2" w:themeShade="F2"/>
              <w:right w:val="single" w:sz="4" w:space="0" w:color="D9D9D9" w:themeColor="background2" w:themeShade="D9"/>
            </w:tcBorders>
            <w:shd w:val="clear" w:color="auto" w:fill="F2F2F2" w:themeFill="background2" w:themeFillShade="F2"/>
          </w:tcPr>
          <w:p w14:paraId="31B6FFCF" w14:textId="77777777" w:rsidR="00CC30B9" w:rsidRDefault="00CC30B9" w:rsidP="00A73D04">
            <w:pPr>
              <w:pStyle w:val="Body"/>
              <w:rPr>
                <w:sz w:val="15"/>
                <w:szCs w:val="15"/>
              </w:rPr>
            </w:pPr>
          </w:p>
        </w:tc>
        <w:tc>
          <w:tcPr>
            <w:tcW w:w="2268" w:type="dxa"/>
            <w:tcBorders>
              <w:left w:val="single" w:sz="4" w:space="0" w:color="D9D9D9" w:themeColor="background2" w:themeShade="D9"/>
              <w:right w:val="single" w:sz="4" w:space="0" w:color="D9D9D9" w:themeColor="background2" w:themeShade="D9"/>
            </w:tcBorders>
            <w:shd w:val="clear" w:color="auto" w:fill="F2F2F2" w:themeFill="background2" w:themeFillShade="F2"/>
          </w:tcPr>
          <w:p w14:paraId="54807F6A" w14:textId="77777777" w:rsidR="00CC30B9" w:rsidRDefault="00CC30B9" w:rsidP="00A73D04">
            <w:pPr>
              <w:pStyle w:val="Body"/>
              <w:rPr>
                <w:sz w:val="15"/>
                <w:szCs w:val="15"/>
              </w:rPr>
            </w:pPr>
          </w:p>
        </w:tc>
        <w:tc>
          <w:tcPr>
            <w:tcW w:w="851"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60A4EFD4" w14:textId="074B9422" w:rsidR="00CC30B9" w:rsidRDefault="00CC30B9" w:rsidP="00B94E7C">
            <w:pPr>
              <w:pStyle w:val="Body"/>
              <w:jc w:val="center"/>
              <w:rPr>
                <w:sz w:val="15"/>
                <w:szCs w:val="15"/>
              </w:rPr>
            </w:pPr>
            <w:r>
              <w:rPr>
                <w:sz w:val="15"/>
                <w:szCs w:val="15"/>
              </w:rPr>
              <w:t>$</w:t>
            </w:r>
          </w:p>
        </w:tc>
        <w:tc>
          <w:tcPr>
            <w:tcW w:w="850"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32918E8E" w14:textId="797E8D6D" w:rsidR="00CC30B9" w:rsidRDefault="00CC30B9" w:rsidP="00B94E7C">
            <w:pPr>
              <w:pStyle w:val="Body"/>
              <w:jc w:val="center"/>
              <w:rPr>
                <w:sz w:val="15"/>
                <w:szCs w:val="15"/>
              </w:rPr>
            </w:pPr>
            <w:r>
              <w:rPr>
                <w:sz w:val="15"/>
                <w:szCs w:val="15"/>
              </w:rPr>
              <w:t>$</w:t>
            </w:r>
          </w:p>
        </w:tc>
        <w:tc>
          <w:tcPr>
            <w:tcW w:w="1132"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15169EB4" w14:textId="07048DD4" w:rsidR="00CC30B9" w:rsidRDefault="00CC30B9" w:rsidP="00B94E7C">
            <w:pPr>
              <w:pStyle w:val="Body"/>
              <w:jc w:val="center"/>
              <w:rPr>
                <w:sz w:val="15"/>
                <w:szCs w:val="15"/>
              </w:rPr>
            </w:pPr>
            <w:r>
              <w:rPr>
                <w:sz w:val="15"/>
                <w:szCs w:val="15"/>
              </w:rPr>
              <w:t>$</w:t>
            </w:r>
          </w:p>
        </w:tc>
        <w:tc>
          <w:tcPr>
            <w:tcW w:w="1368"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1FD30CF3" w14:textId="54C1C1FA" w:rsidR="00CC30B9" w:rsidRDefault="00CC30B9" w:rsidP="00B94E7C">
            <w:pPr>
              <w:pStyle w:val="Body"/>
              <w:jc w:val="center"/>
              <w:rPr>
                <w:sz w:val="15"/>
                <w:szCs w:val="15"/>
              </w:rPr>
            </w:pPr>
            <w:r>
              <w:rPr>
                <w:sz w:val="15"/>
                <w:szCs w:val="15"/>
              </w:rPr>
              <w:t>$</w:t>
            </w:r>
          </w:p>
        </w:tc>
        <w:tc>
          <w:tcPr>
            <w:tcW w:w="902"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7EA48A89" w14:textId="283B63FF" w:rsidR="00CC30B9" w:rsidRDefault="00CC30B9" w:rsidP="00B94E7C">
            <w:pPr>
              <w:pStyle w:val="Body"/>
              <w:jc w:val="center"/>
              <w:rPr>
                <w:sz w:val="15"/>
                <w:szCs w:val="15"/>
              </w:rPr>
            </w:pPr>
            <w:r>
              <w:rPr>
                <w:sz w:val="15"/>
                <w:szCs w:val="15"/>
              </w:rPr>
              <w:t>$</w:t>
            </w:r>
          </w:p>
        </w:tc>
        <w:tc>
          <w:tcPr>
            <w:tcW w:w="992" w:type="dxa"/>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096395D2" w14:textId="0977EEC1" w:rsidR="00CC30B9" w:rsidRDefault="00CC30B9" w:rsidP="00B94E7C">
            <w:pPr>
              <w:pStyle w:val="Body"/>
              <w:jc w:val="center"/>
              <w:rPr>
                <w:sz w:val="15"/>
                <w:szCs w:val="15"/>
              </w:rPr>
            </w:pPr>
            <w:r>
              <w:rPr>
                <w:sz w:val="15"/>
                <w:szCs w:val="15"/>
              </w:rPr>
              <w:t>$</w:t>
            </w:r>
          </w:p>
        </w:tc>
        <w:tc>
          <w:tcPr>
            <w:tcW w:w="851" w:type="dxa"/>
            <w:gridSpan w:val="2"/>
            <w:tcBorders>
              <w:left w:val="single" w:sz="4" w:space="0" w:color="D9D9D9" w:themeColor="background2" w:themeShade="D9"/>
              <w:right w:val="single" w:sz="4" w:space="0" w:color="D9D9D9" w:themeColor="background2" w:themeShade="D9"/>
            </w:tcBorders>
            <w:shd w:val="clear" w:color="auto" w:fill="F2F2F2" w:themeFill="background2" w:themeFillShade="F2"/>
            <w:vAlign w:val="center"/>
          </w:tcPr>
          <w:p w14:paraId="4C774A11" w14:textId="590F0FAB" w:rsidR="00CC30B9" w:rsidRDefault="00CC30B9" w:rsidP="00B94E7C">
            <w:pPr>
              <w:pStyle w:val="Body"/>
              <w:jc w:val="center"/>
              <w:rPr>
                <w:sz w:val="15"/>
                <w:szCs w:val="15"/>
              </w:rPr>
            </w:pPr>
            <w:r>
              <w:rPr>
                <w:sz w:val="15"/>
                <w:szCs w:val="15"/>
              </w:rPr>
              <w:t>$</w:t>
            </w:r>
          </w:p>
        </w:tc>
        <w:tc>
          <w:tcPr>
            <w:tcW w:w="992" w:type="dxa"/>
            <w:tcBorders>
              <w:left w:val="single" w:sz="4" w:space="0" w:color="D9D9D9" w:themeColor="background2" w:themeShade="D9"/>
              <w:right w:val="single" w:sz="4" w:space="0" w:color="F2F2F2" w:themeColor="background2" w:themeShade="F2"/>
            </w:tcBorders>
            <w:shd w:val="clear" w:color="auto" w:fill="F2F2F2" w:themeFill="background2" w:themeFillShade="F2"/>
            <w:vAlign w:val="center"/>
          </w:tcPr>
          <w:p w14:paraId="17615189" w14:textId="31D8FDBF" w:rsidR="00CC30B9" w:rsidRDefault="00CC30B9" w:rsidP="00B94E7C">
            <w:pPr>
              <w:pStyle w:val="Body"/>
              <w:jc w:val="center"/>
              <w:rPr>
                <w:sz w:val="15"/>
                <w:szCs w:val="15"/>
              </w:rPr>
            </w:pPr>
            <w:r>
              <w:rPr>
                <w:sz w:val="15"/>
                <w:szCs w:val="15"/>
              </w:rPr>
              <w:t>$</w:t>
            </w:r>
          </w:p>
        </w:tc>
      </w:tr>
      <w:tr w:rsidR="0021373C" w:rsidRPr="00A018BD" w14:paraId="274F3CED"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90450C7" w14:textId="0D7DF0E7" w:rsidR="00A018BD" w:rsidRPr="00A018BD" w:rsidRDefault="003C5F44" w:rsidP="00A73D04">
            <w:pPr>
              <w:pStyle w:val="Body"/>
              <w:rPr>
                <w:sz w:val="15"/>
                <w:szCs w:val="15"/>
              </w:rPr>
            </w:pPr>
            <w:r>
              <w:rPr>
                <w:sz w:val="15"/>
                <w:szCs w:val="15"/>
              </w:rPr>
              <w:t xml:space="preserve">Mr </w:t>
            </w:r>
            <w:r w:rsidR="00214BB9">
              <w:rPr>
                <w:sz w:val="15"/>
                <w:szCs w:val="15"/>
              </w:rPr>
              <w:t>Glenn Appleyard</w:t>
            </w:r>
            <w:r w:rsidR="00061BB7">
              <w:rPr>
                <w:rStyle w:val="FootnoteReference"/>
                <w:sz w:val="15"/>
                <w:szCs w:val="15"/>
              </w:rPr>
              <w:footnoteReference w:id="5"/>
            </w:r>
          </w:p>
        </w:tc>
        <w:tc>
          <w:tcPr>
            <w:tcW w:w="2268"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59BB877" w14:textId="7D658670" w:rsidR="00A018BD" w:rsidRPr="00A018BD" w:rsidRDefault="00214BB9" w:rsidP="00A73D04">
            <w:pPr>
              <w:pStyle w:val="Body"/>
              <w:rPr>
                <w:sz w:val="15"/>
                <w:szCs w:val="15"/>
              </w:rPr>
            </w:pPr>
            <w:r>
              <w:rPr>
                <w:sz w:val="15"/>
                <w:szCs w:val="15"/>
              </w:rPr>
              <w:t>Pricing Authority member</w:t>
            </w:r>
          </w:p>
        </w:tc>
        <w:tc>
          <w:tcPr>
            <w:tcW w:w="851"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2005C5D" w14:textId="759A8CD2" w:rsidR="00A018BD" w:rsidRPr="00A018BD" w:rsidRDefault="00D74256" w:rsidP="0098514E">
            <w:pPr>
              <w:pStyle w:val="Body"/>
              <w:jc w:val="center"/>
              <w:rPr>
                <w:sz w:val="15"/>
                <w:szCs w:val="15"/>
              </w:rPr>
            </w:pPr>
            <w:r>
              <w:rPr>
                <w:sz w:val="15"/>
                <w:szCs w:val="15"/>
              </w:rPr>
              <w:t>15,222</w:t>
            </w:r>
          </w:p>
        </w:tc>
        <w:tc>
          <w:tcPr>
            <w:tcW w:w="850"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2E418EE" w14:textId="00782BD0" w:rsidR="00A018BD" w:rsidRPr="00A018BD" w:rsidRDefault="0098514E" w:rsidP="0098514E">
            <w:pPr>
              <w:pStyle w:val="Body"/>
              <w:jc w:val="center"/>
              <w:rPr>
                <w:sz w:val="15"/>
                <w:szCs w:val="15"/>
              </w:rPr>
            </w:pPr>
            <w:r>
              <w:rPr>
                <w:sz w:val="15"/>
                <w:szCs w:val="15"/>
              </w:rPr>
              <w:t>-</w:t>
            </w:r>
          </w:p>
        </w:tc>
        <w:tc>
          <w:tcPr>
            <w:tcW w:w="1132"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39D1E53" w14:textId="0DE304A5" w:rsidR="00A018BD" w:rsidRPr="00A018BD" w:rsidRDefault="0098514E" w:rsidP="0098514E">
            <w:pPr>
              <w:pStyle w:val="Body"/>
              <w:jc w:val="center"/>
              <w:rPr>
                <w:sz w:val="15"/>
                <w:szCs w:val="15"/>
              </w:rPr>
            </w:pPr>
            <w:r>
              <w:rPr>
                <w:sz w:val="15"/>
                <w:szCs w:val="15"/>
              </w:rPr>
              <w:t>-</w:t>
            </w:r>
          </w:p>
        </w:tc>
        <w:tc>
          <w:tcPr>
            <w:tcW w:w="1368"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DA15B5F" w14:textId="7CF3774D" w:rsidR="00A018BD" w:rsidRPr="00A018BD" w:rsidRDefault="00D74256" w:rsidP="0098514E">
            <w:pPr>
              <w:pStyle w:val="Body"/>
              <w:jc w:val="center"/>
              <w:rPr>
                <w:sz w:val="15"/>
                <w:szCs w:val="15"/>
              </w:rPr>
            </w:pPr>
            <w:r>
              <w:rPr>
                <w:sz w:val="15"/>
                <w:szCs w:val="15"/>
              </w:rPr>
              <w:t>2,344</w:t>
            </w:r>
          </w:p>
        </w:tc>
        <w:tc>
          <w:tcPr>
            <w:tcW w:w="902"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23B4A37" w14:textId="5BB0321C" w:rsidR="00A018BD" w:rsidRPr="00A018BD" w:rsidRDefault="0098514E" w:rsidP="0098514E">
            <w:pPr>
              <w:pStyle w:val="Body"/>
              <w:jc w:val="center"/>
              <w:rPr>
                <w:sz w:val="15"/>
                <w:szCs w:val="15"/>
              </w:rPr>
            </w:pPr>
            <w:r>
              <w:rPr>
                <w:sz w:val="15"/>
                <w:szCs w:val="15"/>
              </w:rPr>
              <w:t>-</w:t>
            </w:r>
          </w:p>
        </w:tc>
        <w:tc>
          <w:tcPr>
            <w:tcW w:w="992"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79AFFD1" w14:textId="72B38AF6" w:rsidR="00A018BD" w:rsidRPr="00A018BD" w:rsidRDefault="0098514E" w:rsidP="0098514E">
            <w:pPr>
              <w:pStyle w:val="Body"/>
              <w:jc w:val="center"/>
              <w:rPr>
                <w:sz w:val="15"/>
                <w:szCs w:val="15"/>
              </w:rPr>
            </w:pPr>
            <w:r>
              <w:rPr>
                <w:sz w:val="15"/>
                <w:szCs w:val="15"/>
              </w:rPr>
              <w:t>-</w:t>
            </w:r>
          </w:p>
        </w:tc>
        <w:tc>
          <w:tcPr>
            <w:tcW w:w="851" w:type="dxa"/>
            <w:gridSpan w:val="2"/>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054B49E" w14:textId="73BC633C" w:rsidR="00A018BD" w:rsidRPr="00A018BD" w:rsidRDefault="0098514E" w:rsidP="0098514E">
            <w:pPr>
              <w:pStyle w:val="Body"/>
              <w:jc w:val="center"/>
              <w:rPr>
                <w:sz w:val="15"/>
                <w:szCs w:val="15"/>
              </w:rPr>
            </w:pPr>
            <w:r>
              <w:rPr>
                <w:sz w:val="15"/>
                <w:szCs w:val="15"/>
              </w:rPr>
              <w:t>-</w:t>
            </w:r>
          </w:p>
        </w:tc>
        <w:tc>
          <w:tcPr>
            <w:tcW w:w="992" w:type="dxa"/>
            <w:tcBorders>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CA1D403" w14:textId="4A756CD5" w:rsidR="00A018BD" w:rsidRPr="00A018BD" w:rsidRDefault="00D74256" w:rsidP="0098514E">
            <w:pPr>
              <w:pStyle w:val="Body"/>
              <w:jc w:val="center"/>
              <w:rPr>
                <w:sz w:val="15"/>
                <w:szCs w:val="15"/>
              </w:rPr>
            </w:pPr>
            <w:r>
              <w:rPr>
                <w:sz w:val="15"/>
                <w:szCs w:val="15"/>
              </w:rPr>
              <w:t>17,566</w:t>
            </w:r>
          </w:p>
        </w:tc>
      </w:tr>
      <w:tr w:rsidR="0021373C" w:rsidRPr="00A018BD" w14:paraId="678B6EC6"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5E10EAA" w14:textId="06E42CDD" w:rsidR="00A018BD" w:rsidRPr="00A018BD" w:rsidRDefault="003C5F44" w:rsidP="00A73D04">
            <w:pPr>
              <w:pStyle w:val="Body"/>
              <w:rPr>
                <w:sz w:val="15"/>
                <w:szCs w:val="15"/>
              </w:rPr>
            </w:pPr>
            <w:r>
              <w:rPr>
                <w:sz w:val="15"/>
                <w:szCs w:val="15"/>
              </w:rPr>
              <w:t xml:space="preserve">A/Prof </w:t>
            </w:r>
            <w:r w:rsidR="00214BB9">
              <w:rPr>
                <w:sz w:val="15"/>
                <w:szCs w:val="15"/>
              </w:rPr>
              <w:t>Bruce Chater</w:t>
            </w:r>
            <w:r w:rsidR="00061BB7">
              <w:rPr>
                <w:rStyle w:val="FootnoteReference"/>
                <w:sz w:val="15"/>
                <w:szCs w:val="15"/>
              </w:rPr>
              <w:footnoteReference w:id="6"/>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5FC5CEF" w14:textId="293093F9" w:rsidR="00A018BD" w:rsidRPr="00A018BD" w:rsidRDefault="00214BB9" w:rsidP="00A73D04">
            <w:pPr>
              <w:pStyle w:val="Body"/>
              <w:rPr>
                <w:sz w:val="15"/>
                <w:szCs w:val="15"/>
              </w:rPr>
            </w:pPr>
            <w:r>
              <w:rPr>
                <w:sz w:val="15"/>
                <w:szCs w:val="15"/>
              </w:rPr>
              <w:t>Pricing Authority member</w:t>
            </w:r>
            <w:r w:rsidR="00297337">
              <w:rPr>
                <w:sz w:val="15"/>
                <w:szCs w:val="15"/>
              </w:rPr>
              <w:t xml:space="preserve"> (former)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D861A1B" w14:textId="7EFB072A" w:rsidR="00A018BD" w:rsidRPr="00A018BD" w:rsidRDefault="00D74256" w:rsidP="0098514E">
            <w:pPr>
              <w:pStyle w:val="Body"/>
              <w:jc w:val="center"/>
              <w:rPr>
                <w:sz w:val="15"/>
                <w:szCs w:val="15"/>
              </w:rPr>
            </w:pPr>
            <w:r>
              <w:rPr>
                <w:sz w:val="15"/>
                <w:szCs w:val="15"/>
              </w:rPr>
              <w:t>8,002</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CA4837C" w14:textId="1D356B9C" w:rsidR="00A018BD"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E54E152" w14:textId="402CB330" w:rsidR="00A018BD"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954E63F" w14:textId="628E5687" w:rsidR="00A018BD" w:rsidRPr="00A018BD" w:rsidRDefault="00D74256" w:rsidP="0098514E">
            <w:pPr>
              <w:pStyle w:val="Body"/>
              <w:jc w:val="center"/>
              <w:rPr>
                <w:sz w:val="15"/>
                <w:szCs w:val="15"/>
              </w:rPr>
            </w:pPr>
            <w:r>
              <w:rPr>
                <w:sz w:val="15"/>
                <w:szCs w:val="15"/>
              </w:rPr>
              <w:t>800</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911E89C" w14:textId="117F4ED1" w:rsidR="00A018BD"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F158DD4" w14:textId="6CE6F7C6" w:rsidR="00A018BD"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8EEB9BC" w14:textId="1D37DBD3" w:rsidR="00A018BD"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9583239" w14:textId="5BD24102" w:rsidR="00A018BD" w:rsidRPr="00A018BD" w:rsidRDefault="00D74256" w:rsidP="0098514E">
            <w:pPr>
              <w:pStyle w:val="Body"/>
              <w:jc w:val="center"/>
              <w:rPr>
                <w:sz w:val="15"/>
                <w:szCs w:val="15"/>
              </w:rPr>
            </w:pPr>
            <w:r>
              <w:rPr>
                <w:sz w:val="15"/>
                <w:szCs w:val="15"/>
              </w:rPr>
              <w:t>8,802</w:t>
            </w:r>
          </w:p>
        </w:tc>
      </w:tr>
      <w:tr w:rsidR="0021373C" w:rsidRPr="00A018BD" w14:paraId="4B5A9910"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B25995D" w14:textId="1A0CE5B6" w:rsidR="00A018BD" w:rsidRPr="00A018BD" w:rsidRDefault="003C5F44" w:rsidP="00A73D04">
            <w:pPr>
              <w:pStyle w:val="Body"/>
              <w:rPr>
                <w:sz w:val="15"/>
                <w:szCs w:val="15"/>
              </w:rPr>
            </w:pPr>
            <w:r>
              <w:rPr>
                <w:sz w:val="15"/>
                <w:szCs w:val="15"/>
              </w:rPr>
              <w:t xml:space="preserve">Dr </w:t>
            </w:r>
            <w:r w:rsidR="00214BB9">
              <w:rPr>
                <w:sz w:val="15"/>
                <w:szCs w:val="15"/>
              </w:rPr>
              <w:t>Adam Coltzau</w:t>
            </w:r>
            <w:r w:rsidR="00683471">
              <w:rPr>
                <w:rStyle w:val="FootnoteReference"/>
                <w:sz w:val="15"/>
                <w:szCs w:val="15"/>
              </w:rPr>
              <w:footnoteReference w:id="7"/>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C797328" w14:textId="4AC63D6E" w:rsidR="00A018BD" w:rsidRPr="00A018BD" w:rsidRDefault="00214BB9" w:rsidP="00A73D04">
            <w:pPr>
              <w:pStyle w:val="Body"/>
              <w:rPr>
                <w:sz w:val="15"/>
                <w:szCs w:val="15"/>
              </w:rPr>
            </w:pPr>
            <w:r>
              <w:rPr>
                <w:sz w:val="15"/>
                <w:szCs w:val="15"/>
              </w:rPr>
              <w:t>Pricing Authority member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A438E6F" w14:textId="4972AF57" w:rsidR="00A018BD" w:rsidRPr="00A018BD" w:rsidRDefault="00D74256" w:rsidP="0098514E">
            <w:pPr>
              <w:pStyle w:val="Body"/>
              <w:jc w:val="center"/>
              <w:rPr>
                <w:sz w:val="15"/>
                <w:szCs w:val="15"/>
              </w:rPr>
            </w:pPr>
            <w:r>
              <w:rPr>
                <w:sz w:val="15"/>
                <w:szCs w:val="15"/>
              </w:rPr>
              <w:t>6,542</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CBC2E6A" w14:textId="256DF71F" w:rsidR="00A018BD"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A4D562D" w14:textId="61602307" w:rsidR="00A018BD"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3EFC2A1" w14:textId="5C052EEF" w:rsidR="00A018BD" w:rsidRPr="00A018BD" w:rsidRDefault="00D74256" w:rsidP="0098514E">
            <w:pPr>
              <w:pStyle w:val="Body"/>
              <w:jc w:val="center"/>
              <w:rPr>
                <w:sz w:val="15"/>
                <w:szCs w:val="15"/>
              </w:rPr>
            </w:pPr>
            <w:r>
              <w:rPr>
                <w:sz w:val="15"/>
                <w:szCs w:val="15"/>
              </w:rPr>
              <w:t>654</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00A82DD" w14:textId="1C09FFD4" w:rsidR="00A018BD" w:rsidRPr="00A018BD" w:rsidRDefault="00D74256"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E4B332C" w14:textId="086917B9" w:rsidR="00A018BD" w:rsidRPr="00A018BD" w:rsidRDefault="00D74256"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5F7057C" w14:textId="4C4CF5E9" w:rsidR="00A018BD" w:rsidRPr="00A018BD" w:rsidRDefault="00D74256"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09A5278" w14:textId="342F954C" w:rsidR="00A018BD" w:rsidRPr="00A018BD" w:rsidRDefault="00D74256" w:rsidP="0098514E">
            <w:pPr>
              <w:pStyle w:val="Body"/>
              <w:jc w:val="center"/>
              <w:rPr>
                <w:sz w:val="15"/>
                <w:szCs w:val="15"/>
              </w:rPr>
            </w:pPr>
            <w:r>
              <w:rPr>
                <w:sz w:val="15"/>
                <w:szCs w:val="15"/>
              </w:rPr>
              <w:t>7,196</w:t>
            </w:r>
          </w:p>
        </w:tc>
      </w:tr>
      <w:tr w:rsidR="0021373C" w:rsidRPr="00A018BD" w14:paraId="7B7AEE12"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DAEE1FC" w14:textId="655915CD" w:rsidR="00A018BD" w:rsidRPr="00A018BD" w:rsidRDefault="003C5F44" w:rsidP="00A73D04">
            <w:pPr>
              <w:pStyle w:val="Body"/>
              <w:rPr>
                <w:sz w:val="15"/>
                <w:szCs w:val="15"/>
              </w:rPr>
            </w:pPr>
            <w:r>
              <w:rPr>
                <w:sz w:val="15"/>
                <w:szCs w:val="15"/>
              </w:rPr>
              <w:t xml:space="preserve">Mr </w:t>
            </w:r>
            <w:r w:rsidR="00214BB9">
              <w:rPr>
                <w:sz w:val="15"/>
                <w:szCs w:val="15"/>
              </w:rPr>
              <w:t>James Downie</w:t>
            </w:r>
            <w:r w:rsidR="00A8306A">
              <w:rPr>
                <w:rStyle w:val="FootnoteReference"/>
                <w:sz w:val="15"/>
                <w:szCs w:val="15"/>
              </w:rPr>
              <w:footnoteReference w:id="8"/>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9208551" w14:textId="49C8CB99" w:rsidR="00A018BD" w:rsidRPr="00A018BD" w:rsidRDefault="0098514E" w:rsidP="00A73D04">
            <w:pPr>
              <w:pStyle w:val="Body"/>
              <w:rPr>
                <w:sz w:val="15"/>
                <w:szCs w:val="15"/>
              </w:rPr>
            </w:pPr>
            <w:r>
              <w:rPr>
                <w:sz w:val="15"/>
                <w:szCs w:val="15"/>
              </w:rPr>
              <w:t>Chief Executive Officer</w:t>
            </w:r>
            <w:r w:rsidR="00297337">
              <w:rPr>
                <w:sz w:val="15"/>
                <w:szCs w:val="15"/>
              </w:rPr>
              <w:t xml:space="preserve"> (former)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FA76F89" w14:textId="69495A9F" w:rsidR="00A018BD" w:rsidRPr="00A018BD" w:rsidRDefault="00D74256" w:rsidP="0098514E">
            <w:pPr>
              <w:pStyle w:val="Body"/>
              <w:jc w:val="center"/>
              <w:rPr>
                <w:sz w:val="15"/>
                <w:szCs w:val="15"/>
              </w:rPr>
            </w:pPr>
            <w:r>
              <w:rPr>
                <w:sz w:val="15"/>
                <w:szCs w:val="15"/>
              </w:rPr>
              <w:t>438,702</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56E9EF4" w14:textId="06AE2F21" w:rsidR="00A018BD"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FD4DBB8" w14:textId="089BF058" w:rsidR="00A018BD"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3FDFD09" w14:textId="003D2E2A" w:rsidR="00A018BD" w:rsidRPr="00A018BD" w:rsidRDefault="00D74256" w:rsidP="0098514E">
            <w:pPr>
              <w:pStyle w:val="Body"/>
              <w:jc w:val="center"/>
              <w:rPr>
                <w:sz w:val="15"/>
                <w:szCs w:val="15"/>
              </w:rPr>
            </w:pPr>
            <w:r>
              <w:rPr>
                <w:sz w:val="15"/>
                <w:szCs w:val="15"/>
              </w:rPr>
              <w:t>22,430</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1E0F7EC" w14:textId="2991D95A" w:rsidR="00A018BD" w:rsidRPr="00A018BD" w:rsidRDefault="00D74256" w:rsidP="0098514E">
            <w:pPr>
              <w:pStyle w:val="Body"/>
              <w:jc w:val="center"/>
              <w:rPr>
                <w:sz w:val="15"/>
                <w:szCs w:val="15"/>
              </w:rPr>
            </w:pPr>
            <w:r>
              <w:rPr>
                <w:sz w:val="15"/>
                <w:szCs w:val="15"/>
              </w:rPr>
              <w:t>72,397</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E93CE4E" w14:textId="02F8FE34" w:rsidR="00A018BD"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75E81AC" w14:textId="1A1512BC" w:rsidR="00A018BD" w:rsidRPr="00A018BD" w:rsidRDefault="00D74256"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FA1565C" w14:textId="3CBE89E8" w:rsidR="00A018BD" w:rsidRPr="00A018BD" w:rsidRDefault="00D74256" w:rsidP="0098514E">
            <w:pPr>
              <w:pStyle w:val="Body"/>
              <w:jc w:val="center"/>
              <w:rPr>
                <w:sz w:val="15"/>
                <w:szCs w:val="15"/>
              </w:rPr>
            </w:pPr>
            <w:r>
              <w:rPr>
                <w:sz w:val="15"/>
                <w:szCs w:val="15"/>
              </w:rPr>
              <w:t>533,529</w:t>
            </w:r>
          </w:p>
        </w:tc>
      </w:tr>
      <w:tr w:rsidR="0021373C" w:rsidRPr="00A018BD" w14:paraId="7AFACFE6"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23C3226" w14:textId="63BADE7D" w:rsidR="008628BE" w:rsidRPr="00A018BD" w:rsidRDefault="003C5F44" w:rsidP="00A73D04">
            <w:pPr>
              <w:pStyle w:val="Body"/>
              <w:rPr>
                <w:sz w:val="15"/>
                <w:szCs w:val="15"/>
              </w:rPr>
            </w:pPr>
            <w:r>
              <w:rPr>
                <w:sz w:val="15"/>
                <w:szCs w:val="15"/>
              </w:rPr>
              <w:t xml:space="preserve">Ms </w:t>
            </w:r>
            <w:r w:rsidR="00214BB9">
              <w:rPr>
                <w:sz w:val="15"/>
                <w:szCs w:val="15"/>
              </w:rPr>
              <w:t>Joanne Fitzgerald</w:t>
            </w:r>
            <w:r w:rsidR="00A8306A">
              <w:rPr>
                <w:rStyle w:val="FootnoteReference"/>
                <w:sz w:val="15"/>
                <w:szCs w:val="15"/>
              </w:rPr>
              <w:footnoteReference w:id="9"/>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A5CDC63" w14:textId="7EFF2E38" w:rsidR="008628BE" w:rsidRPr="00A018BD" w:rsidRDefault="0098514E" w:rsidP="00A73D04">
            <w:pPr>
              <w:pStyle w:val="Body"/>
              <w:rPr>
                <w:sz w:val="15"/>
                <w:szCs w:val="15"/>
              </w:rPr>
            </w:pPr>
            <w:r>
              <w:rPr>
                <w:sz w:val="15"/>
                <w:szCs w:val="15"/>
              </w:rPr>
              <w:t>Chief Executive Officer</w:t>
            </w:r>
            <w:r w:rsidR="00297337">
              <w:rPr>
                <w:sz w:val="15"/>
                <w:szCs w:val="15"/>
              </w:rPr>
              <w:t xml:space="preserve"> (acting)</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77F69C1" w14:textId="60BCCD8A" w:rsidR="008628BE" w:rsidRPr="00A018BD" w:rsidRDefault="00D74256" w:rsidP="0098514E">
            <w:pPr>
              <w:pStyle w:val="Body"/>
              <w:jc w:val="center"/>
              <w:rPr>
                <w:sz w:val="15"/>
                <w:szCs w:val="15"/>
              </w:rPr>
            </w:pPr>
            <w:r>
              <w:rPr>
                <w:sz w:val="15"/>
                <w:szCs w:val="15"/>
              </w:rPr>
              <w:t>9,454</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E08D5E5" w14:textId="6352AC10" w:rsidR="008628BE"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402A8A8" w14:textId="2813EC9D" w:rsidR="008628BE" w:rsidRPr="00A018BD" w:rsidRDefault="00D74256" w:rsidP="0098514E">
            <w:pPr>
              <w:pStyle w:val="Body"/>
              <w:jc w:val="center"/>
              <w:rPr>
                <w:sz w:val="15"/>
                <w:szCs w:val="15"/>
              </w:rPr>
            </w:pPr>
            <w:r>
              <w:rPr>
                <w:sz w:val="15"/>
                <w:szCs w:val="15"/>
              </w:rPr>
              <w:t>575</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50CEF2D" w14:textId="5E7B765D" w:rsidR="008628BE" w:rsidRPr="00A018BD" w:rsidRDefault="00D74256" w:rsidP="0098514E">
            <w:pPr>
              <w:pStyle w:val="Body"/>
              <w:jc w:val="center"/>
              <w:rPr>
                <w:sz w:val="15"/>
                <w:szCs w:val="15"/>
              </w:rPr>
            </w:pPr>
            <w:r>
              <w:rPr>
                <w:sz w:val="15"/>
                <w:szCs w:val="15"/>
              </w:rPr>
              <w:t>1,445</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C406964" w14:textId="09F14823" w:rsidR="008628BE" w:rsidRPr="00A018BD" w:rsidRDefault="00D74256" w:rsidP="0098514E">
            <w:pPr>
              <w:pStyle w:val="Body"/>
              <w:jc w:val="center"/>
              <w:rPr>
                <w:sz w:val="15"/>
                <w:szCs w:val="15"/>
              </w:rPr>
            </w:pPr>
            <w:r>
              <w:rPr>
                <w:sz w:val="15"/>
                <w:szCs w:val="15"/>
              </w:rPr>
              <w:t>211</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E17E536" w14:textId="253CCE7C" w:rsidR="008628BE"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5C13830" w14:textId="40D3E2D9"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0954EC0" w14:textId="7F755EE7" w:rsidR="008628BE" w:rsidRPr="00A018BD" w:rsidRDefault="00D74256" w:rsidP="0098514E">
            <w:pPr>
              <w:pStyle w:val="Body"/>
              <w:jc w:val="center"/>
              <w:rPr>
                <w:sz w:val="15"/>
                <w:szCs w:val="15"/>
              </w:rPr>
            </w:pPr>
            <w:r>
              <w:rPr>
                <w:sz w:val="15"/>
                <w:szCs w:val="15"/>
              </w:rPr>
              <w:t>11,685</w:t>
            </w:r>
          </w:p>
        </w:tc>
      </w:tr>
      <w:tr w:rsidR="0021373C" w:rsidRPr="00A018BD" w14:paraId="58D135C3"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22B111D" w14:textId="5F5F4413" w:rsidR="008628BE" w:rsidRPr="00A018BD" w:rsidRDefault="003C5F44" w:rsidP="00A73D04">
            <w:pPr>
              <w:pStyle w:val="Body"/>
              <w:rPr>
                <w:sz w:val="15"/>
                <w:szCs w:val="15"/>
              </w:rPr>
            </w:pPr>
            <w:r>
              <w:rPr>
                <w:sz w:val="15"/>
                <w:szCs w:val="15"/>
              </w:rPr>
              <w:t xml:space="preserve">Ms </w:t>
            </w:r>
            <w:r w:rsidR="00214BB9">
              <w:rPr>
                <w:sz w:val="15"/>
                <w:szCs w:val="15"/>
              </w:rPr>
              <w:t>Prudence Ford</w:t>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93C7687" w14:textId="322F8DC9" w:rsidR="008628BE" w:rsidRPr="00A018BD" w:rsidRDefault="00214BB9" w:rsidP="00A73D04">
            <w:pPr>
              <w:pStyle w:val="Body"/>
              <w:rPr>
                <w:sz w:val="15"/>
                <w:szCs w:val="15"/>
              </w:rPr>
            </w:pPr>
            <w:r>
              <w:rPr>
                <w:sz w:val="15"/>
                <w:szCs w:val="15"/>
              </w:rPr>
              <w:t>Pricing Authority member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F9BEF95" w14:textId="32DE6DF5" w:rsidR="008628BE" w:rsidRPr="00A018BD" w:rsidRDefault="00D74256" w:rsidP="0098514E">
            <w:pPr>
              <w:pStyle w:val="Body"/>
              <w:jc w:val="center"/>
              <w:rPr>
                <w:sz w:val="15"/>
                <w:szCs w:val="15"/>
              </w:rPr>
            </w:pPr>
            <w:r>
              <w:rPr>
                <w:sz w:val="15"/>
                <w:szCs w:val="15"/>
              </w:rPr>
              <w:t>31,748</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C431F77" w14:textId="759FC44E" w:rsidR="008628BE"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61AE747" w14:textId="4F6832FA" w:rsidR="008628BE"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12780D5" w14:textId="37152FA4" w:rsidR="008628BE" w:rsidRPr="00A018BD" w:rsidRDefault="00D74256" w:rsidP="0098514E">
            <w:pPr>
              <w:pStyle w:val="Body"/>
              <w:jc w:val="center"/>
              <w:rPr>
                <w:sz w:val="15"/>
                <w:szCs w:val="15"/>
              </w:rPr>
            </w:pPr>
            <w:r>
              <w:rPr>
                <w:sz w:val="15"/>
                <w:szCs w:val="15"/>
              </w:rPr>
              <w:t>3,175</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38656C0" w14:textId="5BFF57F4"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3BAE8C2" w14:textId="28CA2A5E" w:rsidR="008628BE"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4800843" w14:textId="6A790C25"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EC9A524" w14:textId="0F6BF182" w:rsidR="008628BE" w:rsidRPr="00A018BD" w:rsidRDefault="00D74256" w:rsidP="0098514E">
            <w:pPr>
              <w:pStyle w:val="Body"/>
              <w:jc w:val="center"/>
              <w:rPr>
                <w:sz w:val="15"/>
                <w:szCs w:val="15"/>
              </w:rPr>
            </w:pPr>
            <w:r>
              <w:rPr>
                <w:sz w:val="15"/>
                <w:szCs w:val="15"/>
              </w:rPr>
              <w:t>34,923</w:t>
            </w:r>
          </w:p>
        </w:tc>
      </w:tr>
      <w:tr w:rsidR="0021373C" w:rsidRPr="00A018BD" w14:paraId="28529320"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6DE7FAD" w14:textId="7E0766D3" w:rsidR="008628BE" w:rsidRPr="00A018BD" w:rsidRDefault="00D61B93" w:rsidP="00A73D04">
            <w:pPr>
              <w:pStyle w:val="Body"/>
              <w:rPr>
                <w:sz w:val="15"/>
                <w:szCs w:val="15"/>
              </w:rPr>
            </w:pPr>
            <w:r>
              <w:rPr>
                <w:sz w:val="15"/>
                <w:szCs w:val="15"/>
              </w:rPr>
              <w:t xml:space="preserve">Distinguished </w:t>
            </w:r>
            <w:r w:rsidR="003C5F44">
              <w:rPr>
                <w:sz w:val="15"/>
                <w:szCs w:val="15"/>
              </w:rPr>
              <w:t xml:space="preserve">Prof </w:t>
            </w:r>
            <w:r w:rsidR="00214BB9">
              <w:rPr>
                <w:sz w:val="15"/>
                <w:szCs w:val="15"/>
              </w:rPr>
              <w:t>Jane Hall</w:t>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0D4CFC4" w14:textId="655F3647" w:rsidR="008628BE" w:rsidRPr="00A018BD" w:rsidRDefault="00214BB9" w:rsidP="00A73D04">
            <w:pPr>
              <w:pStyle w:val="Body"/>
              <w:rPr>
                <w:sz w:val="15"/>
                <w:szCs w:val="15"/>
              </w:rPr>
            </w:pPr>
            <w:r>
              <w:rPr>
                <w:sz w:val="15"/>
                <w:szCs w:val="15"/>
              </w:rPr>
              <w:t>Pricing Authority member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F33435C" w14:textId="7F3CD097" w:rsidR="008628BE" w:rsidRPr="00A018BD" w:rsidRDefault="00D74256" w:rsidP="0098514E">
            <w:pPr>
              <w:pStyle w:val="Body"/>
              <w:jc w:val="center"/>
              <w:rPr>
                <w:sz w:val="15"/>
                <w:szCs w:val="15"/>
              </w:rPr>
            </w:pPr>
            <w:r>
              <w:rPr>
                <w:sz w:val="15"/>
                <w:szCs w:val="15"/>
              </w:rPr>
              <w:t>31,748</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CABD9E5" w14:textId="0D3AC872" w:rsidR="008628BE"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7D2E5E2" w14:textId="45830BCB" w:rsidR="008628BE"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0C9D1B7" w14:textId="04F39699" w:rsidR="008628BE" w:rsidRPr="00A018BD" w:rsidRDefault="00D74256" w:rsidP="0098514E">
            <w:pPr>
              <w:pStyle w:val="Body"/>
              <w:jc w:val="center"/>
              <w:rPr>
                <w:sz w:val="15"/>
                <w:szCs w:val="15"/>
              </w:rPr>
            </w:pPr>
            <w:r>
              <w:rPr>
                <w:sz w:val="15"/>
                <w:szCs w:val="15"/>
              </w:rPr>
              <w:t>3,175</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97F1F50" w14:textId="6DDE1609"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CE124FE" w14:textId="6EC80EEB" w:rsidR="008628BE"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454F173" w14:textId="6CC8B29C"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9BFA610" w14:textId="120FD22B" w:rsidR="008628BE" w:rsidRPr="00A018BD" w:rsidRDefault="00D74256" w:rsidP="0098514E">
            <w:pPr>
              <w:pStyle w:val="Body"/>
              <w:jc w:val="center"/>
              <w:rPr>
                <w:sz w:val="15"/>
                <w:szCs w:val="15"/>
              </w:rPr>
            </w:pPr>
            <w:r>
              <w:rPr>
                <w:sz w:val="15"/>
                <w:szCs w:val="15"/>
              </w:rPr>
              <w:t>34,923</w:t>
            </w:r>
          </w:p>
        </w:tc>
      </w:tr>
      <w:tr w:rsidR="0021373C" w:rsidRPr="00A018BD" w14:paraId="14091025"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0689C74" w14:textId="6B9171A4" w:rsidR="008628BE" w:rsidRPr="00A018BD" w:rsidRDefault="003C5F44" w:rsidP="00A73D04">
            <w:pPr>
              <w:pStyle w:val="Body"/>
              <w:rPr>
                <w:sz w:val="15"/>
                <w:szCs w:val="15"/>
              </w:rPr>
            </w:pPr>
            <w:r>
              <w:rPr>
                <w:sz w:val="15"/>
                <w:szCs w:val="15"/>
              </w:rPr>
              <w:t xml:space="preserve">Ms </w:t>
            </w:r>
            <w:r w:rsidR="00214BB9">
              <w:rPr>
                <w:sz w:val="15"/>
                <w:szCs w:val="15"/>
              </w:rPr>
              <w:t>Jenny Richter</w:t>
            </w:r>
            <w:r w:rsidR="002316DC">
              <w:rPr>
                <w:sz w:val="15"/>
                <w:szCs w:val="15"/>
              </w:rPr>
              <w:t xml:space="preserve"> AM</w:t>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846F5B2" w14:textId="10B22EF7" w:rsidR="008628BE" w:rsidRPr="00A018BD" w:rsidRDefault="00214BB9" w:rsidP="00A73D04">
            <w:pPr>
              <w:pStyle w:val="Body"/>
              <w:rPr>
                <w:sz w:val="15"/>
                <w:szCs w:val="15"/>
              </w:rPr>
            </w:pPr>
            <w:r>
              <w:rPr>
                <w:sz w:val="15"/>
                <w:szCs w:val="15"/>
              </w:rPr>
              <w:t>Pricing Authority member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54C6231" w14:textId="3A892EC2" w:rsidR="008628BE" w:rsidRPr="00A018BD" w:rsidRDefault="00D74256" w:rsidP="0098514E">
            <w:pPr>
              <w:pStyle w:val="Body"/>
              <w:jc w:val="center"/>
              <w:rPr>
                <w:sz w:val="15"/>
                <w:szCs w:val="15"/>
              </w:rPr>
            </w:pPr>
            <w:r>
              <w:rPr>
                <w:sz w:val="15"/>
                <w:szCs w:val="15"/>
              </w:rPr>
              <w:t>31,748</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E5FB1F0" w14:textId="2328644E" w:rsidR="008628BE"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83A309C" w14:textId="610CDCE4" w:rsidR="008628BE"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B67A438" w14:textId="1FF9795B" w:rsidR="008628BE" w:rsidRPr="00A018BD" w:rsidRDefault="00D74256" w:rsidP="0098514E">
            <w:pPr>
              <w:pStyle w:val="Body"/>
              <w:jc w:val="center"/>
              <w:rPr>
                <w:sz w:val="15"/>
                <w:szCs w:val="15"/>
              </w:rPr>
            </w:pPr>
            <w:r>
              <w:rPr>
                <w:sz w:val="15"/>
                <w:szCs w:val="15"/>
              </w:rPr>
              <w:t>3,175</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213C020" w14:textId="7C0054C5"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ABE65EB" w14:textId="0BF1451C" w:rsidR="008628BE"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5589720" w14:textId="6993F91D"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2AA8DA6" w14:textId="33FC3B92" w:rsidR="008628BE" w:rsidRPr="00A018BD" w:rsidRDefault="00D74256" w:rsidP="0098514E">
            <w:pPr>
              <w:pStyle w:val="Body"/>
              <w:jc w:val="center"/>
              <w:rPr>
                <w:sz w:val="15"/>
                <w:szCs w:val="15"/>
              </w:rPr>
            </w:pPr>
            <w:r>
              <w:rPr>
                <w:sz w:val="15"/>
                <w:szCs w:val="15"/>
              </w:rPr>
              <w:t>34,923</w:t>
            </w:r>
          </w:p>
        </w:tc>
      </w:tr>
      <w:tr w:rsidR="0021373C" w:rsidRPr="00A018BD" w14:paraId="7CC2FFEC"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9740DDF" w14:textId="7EF2D210" w:rsidR="008628BE" w:rsidRPr="00A018BD" w:rsidRDefault="003C5F44" w:rsidP="00A73D04">
            <w:pPr>
              <w:pStyle w:val="Body"/>
              <w:rPr>
                <w:sz w:val="15"/>
                <w:szCs w:val="15"/>
              </w:rPr>
            </w:pPr>
            <w:r>
              <w:rPr>
                <w:sz w:val="15"/>
                <w:szCs w:val="15"/>
              </w:rPr>
              <w:t xml:space="preserve">Mr </w:t>
            </w:r>
            <w:r w:rsidR="00214BB9">
              <w:rPr>
                <w:sz w:val="15"/>
                <w:szCs w:val="15"/>
              </w:rPr>
              <w:t>Shane Solomon</w:t>
            </w:r>
            <w:r w:rsidR="00A8306A">
              <w:rPr>
                <w:rStyle w:val="FootnoteReference"/>
                <w:sz w:val="15"/>
                <w:szCs w:val="15"/>
              </w:rPr>
              <w:footnoteReference w:id="10"/>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44510BC" w14:textId="78B64B61" w:rsidR="008628BE" w:rsidRPr="00A018BD" w:rsidRDefault="00214BB9" w:rsidP="00A73D04">
            <w:pPr>
              <w:pStyle w:val="Body"/>
              <w:rPr>
                <w:sz w:val="15"/>
                <w:szCs w:val="15"/>
              </w:rPr>
            </w:pPr>
            <w:r>
              <w:rPr>
                <w:sz w:val="15"/>
                <w:szCs w:val="15"/>
              </w:rPr>
              <w:t>Pricing Authority</w:t>
            </w:r>
            <w:r w:rsidR="00297337">
              <w:rPr>
                <w:sz w:val="15"/>
                <w:szCs w:val="15"/>
              </w:rPr>
              <w:t xml:space="preserve"> Chair</w:t>
            </w:r>
            <w:r>
              <w:rPr>
                <w:sz w:val="15"/>
                <w:szCs w:val="15"/>
              </w:rPr>
              <w:t xml:space="preserve"> (</w:t>
            </w:r>
            <w:r w:rsidR="00297337">
              <w:rPr>
                <w:sz w:val="15"/>
                <w:szCs w:val="15"/>
              </w:rPr>
              <w:t>former</w:t>
            </w:r>
            <w:r>
              <w:rPr>
                <w:sz w:val="15"/>
                <w:szCs w:val="15"/>
              </w:rPr>
              <w:t>)</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89FC548" w14:textId="140E2750" w:rsidR="008628BE" w:rsidRPr="00A018BD" w:rsidRDefault="00D74256" w:rsidP="0098514E">
            <w:pPr>
              <w:pStyle w:val="Body"/>
              <w:jc w:val="center"/>
              <w:rPr>
                <w:sz w:val="15"/>
                <w:szCs w:val="15"/>
              </w:rPr>
            </w:pPr>
            <w:r>
              <w:rPr>
                <w:sz w:val="15"/>
                <w:szCs w:val="15"/>
              </w:rPr>
              <w:t>52,234</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4600B7B" w14:textId="5F9CC23A" w:rsidR="008628BE"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3A573F5" w14:textId="75127B30" w:rsidR="008628BE"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D5E44AA" w14:textId="72DBF502" w:rsidR="008628BE" w:rsidRPr="00A018BD" w:rsidRDefault="00D74256" w:rsidP="0098514E">
            <w:pPr>
              <w:pStyle w:val="Body"/>
              <w:jc w:val="center"/>
              <w:rPr>
                <w:sz w:val="15"/>
                <w:szCs w:val="15"/>
              </w:rPr>
            </w:pPr>
            <w:r>
              <w:rPr>
                <w:sz w:val="15"/>
                <w:szCs w:val="15"/>
              </w:rPr>
              <w:t>5,224</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47CEC40" w14:textId="33C1135C"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7801976" w14:textId="41F500D7" w:rsidR="008628BE"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85D7EE9" w14:textId="6C1B2CD6" w:rsidR="008628BE"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5DA8F95" w14:textId="0AB59E22" w:rsidR="008628BE" w:rsidRPr="00A018BD" w:rsidRDefault="00D74256" w:rsidP="0098514E">
            <w:pPr>
              <w:pStyle w:val="Body"/>
              <w:jc w:val="center"/>
              <w:rPr>
                <w:sz w:val="15"/>
                <w:szCs w:val="15"/>
              </w:rPr>
            </w:pPr>
            <w:r>
              <w:rPr>
                <w:sz w:val="15"/>
                <w:szCs w:val="15"/>
              </w:rPr>
              <w:t>57</w:t>
            </w:r>
            <w:r w:rsidR="00297337">
              <w:rPr>
                <w:sz w:val="15"/>
                <w:szCs w:val="15"/>
              </w:rPr>
              <w:t>,</w:t>
            </w:r>
            <w:r>
              <w:rPr>
                <w:sz w:val="15"/>
                <w:szCs w:val="15"/>
              </w:rPr>
              <w:t>458</w:t>
            </w:r>
          </w:p>
        </w:tc>
      </w:tr>
      <w:tr w:rsidR="0021373C" w:rsidRPr="00A018BD" w14:paraId="4FDEC0B6"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A7DB74C" w14:textId="1FFE1D2C" w:rsidR="006C7BD7" w:rsidRPr="00A018BD" w:rsidRDefault="003C5F44" w:rsidP="00A73D04">
            <w:pPr>
              <w:pStyle w:val="Body"/>
              <w:rPr>
                <w:sz w:val="15"/>
                <w:szCs w:val="15"/>
              </w:rPr>
            </w:pPr>
            <w:r>
              <w:rPr>
                <w:sz w:val="15"/>
                <w:szCs w:val="15"/>
              </w:rPr>
              <w:t xml:space="preserve">Dr </w:t>
            </w:r>
            <w:r w:rsidR="00214BB9">
              <w:rPr>
                <w:sz w:val="15"/>
                <w:szCs w:val="15"/>
              </w:rPr>
              <w:t>Kate Taylor</w:t>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3EDA80A" w14:textId="5AC23D4F" w:rsidR="006C7BD7" w:rsidRPr="00A018BD" w:rsidRDefault="0098514E" w:rsidP="00A73D04">
            <w:pPr>
              <w:pStyle w:val="Body"/>
              <w:rPr>
                <w:sz w:val="15"/>
                <w:szCs w:val="15"/>
              </w:rPr>
            </w:pPr>
            <w:r>
              <w:rPr>
                <w:sz w:val="15"/>
                <w:szCs w:val="15"/>
              </w:rPr>
              <w:t>Pricing Authority member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F5461C6" w14:textId="4C8BBE96" w:rsidR="006C7BD7" w:rsidRPr="00A018BD" w:rsidRDefault="00D74256" w:rsidP="0098514E">
            <w:pPr>
              <w:pStyle w:val="Body"/>
              <w:jc w:val="center"/>
              <w:rPr>
                <w:sz w:val="15"/>
                <w:szCs w:val="15"/>
              </w:rPr>
            </w:pPr>
            <w:r>
              <w:rPr>
                <w:sz w:val="15"/>
                <w:szCs w:val="15"/>
              </w:rPr>
              <w:t>31,748</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337B01C" w14:textId="1BD40643" w:rsidR="006C7BD7"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A6C1171" w14:textId="1C72A436" w:rsidR="006C7BD7"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EE5EBC6" w14:textId="16BA3C06" w:rsidR="006C7BD7" w:rsidRPr="00A018BD" w:rsidRDefault="00D74256" w:rsidP="0098514E">
            <w:pPr>
              <w:pStyle w:val="Body"/>
              <w:jc w:val="center"/>
              <w:rPr>
                <w:sz w:val="15"/>
                <w:szCs w:val="15"/>
              </w:rPr>
            </w:pPr>
            <w:r>
              <w:rPr>
                <w:sz w:val="15"/>
                <w:szCs w:val="15"/>
              </w:rPr>
              <w:t>3,175</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592EEF6" w14:textId="11108BC3" w:rsidR="006C7BD7"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0E619A6" w14:textId="6F2DFE63" w:rsidR="006C7BD7"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672DDAE" w14:textId="2CAC613D" w:rsidR="006C7BD7"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FAF3707" w14:textId="7E8F528F" w:rsidR="006C7BD7" w:rsidRPr="00A018BD" w:rsidRDefault="00D74256" w:rsidP="0098514E">
            <w:pPr>
              <w:pStyle w:val="Body"/>
              <w:jc w:val="center"/>
              <w:rPr>
                <w:sz w:val="15"/>
                <w:szCs w:val="15"/>
              </w:rPr>
            </w:pPr>
            <w:r>
              <w:rPr>
                <w:sz w:val="15"/>
                <w:szCs w:val="15"/>
              </w:rPr>
              <w:t>34,923</w:t>
            </w:r>
          </w:p>
        </w:tc>
      </w:tr>
      <w:tr w:rsidR="0021373C" w:rsidRPr="00A018BD" w14:paraId="67ECFC6C"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2EE2FC4" w14:textId="468F300A" w:rsidR="00214BB9" w:rsidRDefault="003C5F44" w:rsidP="00A73D04">
            <w:pPr>
              <w:pStyle w:val="Body"/>
              <w:rPr>
                <w:sz w:val="15"/>
                <w:szCs w:val="15"/>
              </w:rPr>
            </w:pPr>
            <w:r>
              <w:rPr>
                <w:sz w:val="15"/>
                <w:szCs w:val="15"/>
              </w:rPr>
              <w:t xml:space="preserve">Mr </w:t>
            </w:r>
            <w:r w:rsidR="00214BB9">
              <w:rPr>
                <w:sz w:val="15"/>
                <w:szCs w:val="15"/>
              </w:rPr>
              <w:t>David Tune</w:t>
            </w:r>
            <w:r>
              <w:rPr>
                <w:sz w:val="15"/>
                <w:szCs w:val="15"/>
              </w:rPr>
              <w:t xml:space="preserve"> AO PSM</w:t>
            </w:r>
            <w:r w:rsidR="00A8306A">
              <w:rPr>
                <w:rStyle w:val="FootnoteReference"/>
                <w:sz w:val="15"/>
                <w:szCs w:val="15"/>
              </w:rPr>
              <w:footnoteReference w:id="11"/>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6AB4C6B" w14:textId="448CBEE8" w:rsidR="00214BB9" w:rsidRPr="00A018BD" w:rsidRDefault="0098514E" w:rsidP="00A73D04">
            <w:pPr>
              <w:pStyle w:val="Body"/>
              <w:rPr>
                <w:sz w:val="15"/>
                <w:szCs w:val="15"/>
              </w:rPr>
            </w:pPr>
            <w:r>
              <w:rPr>
                <w:sz w:val="15"/>
                <w:szCs w:val="15"/>
              </w:rPr>
              <w:t xml:space="preserve">Pricing Authority </w:t>
            </w:r>
            <w:r w:rsidR="00297337">
              <w:rPr>
                <w:sz w:val="15"/>
                <w:szCs w:val="15"/>
              </w:rPr>
              <w:t>Chair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49F7305" w14:textId="73D1A8A5" w:rsidR="00214BB9" w:rsidRPr="00A018BD" w:rsidRDefault="00D74256" w:rsidP="0098514E">
            <w:pPr>
              <w:pStyle w:val="Body"/>
              <w:jc w:val="center"/>
              <w:rPr>
                <w:sz w:val="15"/>
                <w:szCs w:val="15"/>
              </w:rPr>
            </w:pPr>
            <w:r>
              <w:rPr>
                <w:sz w:val="15"/>
                <w:szCs w:val="15"/>
              </w:rPr>
              <w:t>33,411</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40C71F7" w14:textId="3000EDFD" w:rsidR="00214BB9"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C7CE0D4" w14:textId="080755C9" w:rsidR="00214BB9"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DCA0586" w14:textId="6A0E16B8" w:rsidR="00214BB9" w:rsidRPr="00A018BD" w:rsidRDefault="00D74256" w:rsidP="0098514E">
            <w:pPr>
              <w:pStyle w:val="Body"/>
              <w:jc w:val="center"/>
              <w:rPr>
                <w:sz w:val="15"/>
                <w:szCs w:val="15"/>
              </w:rPr>
            </w:pPr>
            <w:r>
              <w:rPr>
                <w:sz w:val="15"/>
                <w:szCs w:val="15"/>
              </w:rPr>
              <w:t>3,341</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A42BDB9" w14:textId="42CE7B6D" w:rsidR="00214BB9"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D752618" w14:textId="52850457" w:rsidR="00214BB9"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52432FEC" w14:textId="2B1A57F0" w:rsidR="00214BB9"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6925C54" w14:textId="264C09E2" w:rsidR="00214BB9" w:rsidRPr="00A018BD" w:rsidRDefault="00D74256" w:rsidP="0098514E">
            <w:pPr>
              <w:pStyle w:val="Body"/>
              <w:jc w:val="center"/>
              <w:rPr>
                <w:sz w:val="15"/>
                <w:szCs w:val="15"/>
              </w:rPr>
            </w:pPr>
            <w:r>
              <w:rPr>
                <w:sz w:val="15"/>
                <w:szCs w:val="15"/>
              </w:rPr>
              <w:t>36,752</w:t>
            </w:r>
          </w:p>
        </w:tc>
      </w:tr>
      <w:tr w:rsidR="0021373C" w:rsidRPr="00A018BD" w14:paraId="4758C881"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60C22E6" w14:textId="5877B97C" w:rsidR="00A018BD" w:rsidRPr="00A018BD" w:rsidRDefault="003C5F44" w:rsidP="00A73D04">
            <w:pPr>
              <w:pStyle w:val="Body"/>
              <w:rPr>
                <w:sz w:val="15"/>
                <w:szCs w:val="15"/>
              </w:rPr>
            </w:pPr>
            <w:r>
              <w:rPr>
                <w:sz w:val="15"/>
                <w:szCs w:val="15"/>
              </w:rPr>
              <w:t xml:space="preserve">Ms </w:t>
            </w:r>
            <w:r w:rsidR="00214BB9">
              <w:rPr>
                <w:sz w:val="15"/>
                <w:szCs w:val="15"/>
              </w:rPr>
              <w:t>Jennifer Williams</w:t>
            </w:r>
            <w:r w:rsidR="002316DC">
              <w:rPr>
                <w:sz w:val="15"/>
                <w:szCs w:val="15"/>
              </w:rPr>
              <w:t xml:space="preserve"> AM</w:t>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0AA39CDC" w14:textId="38BBC73A" w:rsidR="00A018BD" w:rsidRPr="00A018BD" w:rsidRDefault="0098514E" w:rsidP="00A73D04">
            <w:pPr>
              <w:pStyle w:val="Body"/>
              <w:rPr>
                <w:sz w:val="15"/>
                <w:szCs w:val="15"/>
              </w:rPr>
            </w:pPr>
            <w:r>
              <w:rPr>
                <w:sz w:val="15"/>
                <w:szCs w:val="15"/>
              </w:rPr>
              <w:t>Pricing Authority Deputy Chair</w:t>
            </w: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1C56C74" w14:textId="23F4ADD5" w:rsidR="00A018BD" w:rsidRPr="00A018BD" w:rsidRDefault="00D74256" w:rsidP="0098514E">
            <w:pPr>
              <w:pStyle w:val="Body"/>
              <w:jc w:val="center"/>
              <w:rPr>
                <w:sz w:val="15"/>
                <w:szCs w:val="15"/>
              </w:rPr>
            </w:pPr>
            <w:r>
              <w:rPr>
                <w:sz w:val="15"/>
                <w:szCs w:val="15"/>
              </w:rPr>
              <w:t>31,748</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4DDE7163" w14:textId="2EB6DED9" w:rsidR="00A018BD" w:rsidRPr="00A018BD" w:rsidRDefault="0098514E" w:rsidP="0098514E">
            <w:pPr>
              <w:pStyle w:val="Body"/>
              <w:jc w:val="center"/>
              <w:rPr>
                <w:sz w:val="15"/>
                <w:szCs w:val="15"/>
              </w:rPr>
            </w:pPr>
            <w:r>
              <w:rPr>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69B0B53C" w14:textId="6ACE5106" w:rsidR="00A018BD" w:rsidRPr="00A018BD" w:rsidRDefault="0098514E" w:rsidP="0098514E">
            <w:pPr>
              <w:pStyle w:val="Body"/>
              <w:jc w:val="center"/>
              <w:rPr>
                <w:sz w:val="15"/>
                <w:szCs w:val="15"/>
              </w:rPr>
            </w:pPr>
            <w:r>
              <w:rPr>
                <w:sz w:val="15"/>
                <w:szCs w:val="15"/>
              </w:rPr>
              <w:t>-</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B25A992" w14:textId="3192E88E" w:rsidR="00A018BD" w:rsidRPr="00A018BD" w:rsidRDefault="00D74256" w:rsidP="0098514E">
            <w:pPr>
              <w:pStyle w:val="Body"/>
              <w:jc w:val="center"/>
              <w:rPr>
                <w:sz w:val="15"/>
                <w:szCs w:val="15"/>
              </w:rPr>
            </w:pPr>
            <w:r>
              <w:rPr>
                <w:sz w:val="15"/>
                <w:szCs w:val="15"/>
              </w:rPr>
              <w:t>3,175</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2EE719A9" w14:textId="0661D84C" w:rsidR="00A018BD"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72D03724" w14:textId="5404587E" w:rsidR="00A018BD" w:rsidRPr="00A018BD" w:rsidRDefault="0098514E" w:rsidP="0098514E">
            <w:pPr>
              <w:pStyle w:val="Body"/>
              <w:jc w:val="center"/>
              <w:rPr>
                <w:sz w:val="15"/>
                <w:szCs w:val="15"/>
              </w:rPr>
            </w:pPr>
            <w:r>
              <w:rPr>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38E05C9C" w14:textId="77B663AA" w:rsidR="00A018BD" w:rsidRPr="00A018BD" w:rsidRDefault="0098514E" w:rsidP="0098514E">
            <w:pPr>
              <w:pStyle w:val="Body"/>
              <w:jc w:val="center"/>
              <w:rPr>
                <w:sz w:val="15"/>
                <w:szCs w:val="15"/>
              </w:rPr>
            </w:pPr>
            <w:r>
              <w:rPr>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FFFFFF" w:themeFill="background2"/>
          </w:tcPr>
          <w:p w14:paraId="124DA251" w14:textId="609CC46B" w:rsidR="00A018BD" w:rsidRPr="00A018BD" w:rsidRDefault="00D74256" w:rsidP="0098514E">
            <w:pPr>
              <w:pStyle w:val="Body"/>
              <w:jc w:val="center"/>
              <w:rPr>
                <w:sz w:val="15"/>
                <w:szCs w:val="15"/>
              </w:rPr>
            </w:pPr>
            <w:r>
              <w:rPr>
                <w:sz w:val="15"/>
                <w:szCs w:val="15"/>
              </w:rPr>
              <w:t>34,923</w:t>
            </w:r>
          </w:p>
        </w:tc>
      </w:tr>
      <w:tr w:rsidR="0021373C" w:rsidRPr="00214BB9" w14:paraId="71052B95" w14:textId="77777777" w:rsidTr="00236754">
        <w:trPr>
          <w:cnfStyle w:val="100000000000" w:firstRow="1" w:lastRow="0" w:firstColumn="0" w:lastColumn="0" w:oddVBand="0" w:evenVBand="0" w:oddHBand="0" w:evenHBand="0" w:firstRowFirstColumn="0" w:firstRowLastColumn="0" w:lastRowFirstColumn="0" w:lastRowLastColumn="0"/>
          <w:trHeight w:val="215"/>
        </w:trPr>
        <w:tc>
          <w:tcPr>
            <w:tcW w:w="183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3410D6DA" w14:textId="70560820" w:rsidR="00A018BD" w:rsidRPr="00214BB9" w:rsidRDefault="00214BB9" w:rsidP="00A73D04">
            <w:pPr>
              <w:pStyle w:val="Body"/>
              <w:rPr>
                <w:rFonts w:asciiTheme="majorHAnsi" w:hAnsiTheme="majorHAnsi"/>
                <w:sz w:val="15"/>
                <w:szCs w:val="15"/>
              </w:rPr>
            </w:pPr>
            <w:r w:rsidRPr="00214BB9">
              <w:rPr>
                <w:rFonts w:asciiTheme="majorHAnsi" w:hAnsiTheme="majorHAnsi"/>
                <w:sz w:val="15"/>
                <w:szCs w:val="15"/>
              </w:rPr>
              <w:t>Total</w:t>
            </w:r>
          </w:p>
        </w:tc>
        <w:tc>
          <w:tcPr>
            <w:tcW w:w="22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050F48CF" w14:textId="77777777" w:rsidR="00A018BD" w:rsidRPr="00214BB9" w:rsidRDefault="00A018BD" w:rsidP="00A73D04">
            <w:pPr>
              <w:pStyle w:val="Body"/>
              <w:rPr>
                <w:rFonts w:asciiTheme="majorHAnsi" w:hAnsiTheme="majorHAnsi"/>
                <w:sz w:val="15"/>
                <w:szCs w:val="15"/>
              </w:rPr>
            </w:pPr>
          </w:p>
        </w:tc>
        <w:tc>
          <w:tcPr>
            <w:tcW w:w="851"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3668D7FC" w14:textId="20D3714D" w:rsidR="00A018BD" w:rsidRPr="00D74256" w:rsidRDefault="00D74256" w:rsidP="0098514E">
            <w:pPr>
              <w:pStyle w:val="Body"/>
              <w:jc w:val="center"/>
              <w:rPr>
                <w:rFonts w:asciiTheme="majorHAnsi" w:hAnsiTheme="majorHAnsi"/>
                <w:sz w:val="15"/>
                <w:szCs w:val="15"/>
              </w:rPr>
            </w:pPr>
            <w:r w:rsidRPr="00D74256">
              <w:rPr>
                <w:rFonts w:asciiTheme="majorHAnsi" w:hAnsiTheme="majorHAnsi"/>
                <w:sz w:val="15"/>
                <w:szCs w:val="15"/>
              </w:rPr>
              <w:t>722,307</w:t>
            </w:r>
          </w:p>
        </w:tc>
        <w:tc>
          <w:tcPr>
            <w:tcW w:w="850"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6F32AD85" w14:textId="388FFFCD" w:rsidR="00A018BD" w:rsidRPr="00D74256" w:rsidRDefault="0098514E" w:rsidP="0098514E">
            <w:pPr>
              <w:pStyle w:val="Body"/>
              <w:jc w:val="center"/>
              <w:rPr>
                <w:rFonts w:asciiTheme="majorHAnsi" w:hAnsiTheme="majorHAnsi"/>
                <w:sz w:val="15"/>
                <w:szCs w:val="15"/>
              </w:rPr>
            </w:pPr>
            <w:r w:rsidRPr="00D74256">
              <w:rPr>
                <w:rFonts w:asciiTheme="majorHAnsi" w:hAnsiTheme="majorHAnsi"/>
                <w:sz w:val="15"/>
                <w:szCs w:val="15"/>
              </w:rPr>
              <w:t>-</w:t>
            </w:r>
          </w:p>
        </w:tc>
        <w:tc>
          <w:tcPr>
            <w:tcW w:w="113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0637B265" w14:textId="0BECC300" w:rsidR="00A018BD" w:rsidRPr="00D74256" w:rsidRDefault="00D74256" w:rsidP="0098514E">
            <w:pPr>
              <w:pStyle w:val="Body"/>
              <w:jc w:val="center"/>
              <w:rPr>
                <w:rFonts w:asciiTheme="majorHAnsi" w:hAnsiTheme="majorHAnsi"/>
                <w:sz w:val="15"/>
                <w:szCs w:val="15"/>
              </w:rPr>
            </w:pPr>
            <w:r w:rsidRPr="00D74256">
              <w:rPr>
                <w:rFonts w:asciiTheme="majorHAnsi" w:hAnsiTheme="majorHAnsi"/>
                <w:sz w:val="15"/>
                <w:szCs w:val="15"/>
              </w:rPr>
              <w:t>575</w:t>
            </w:r>
          </w:p>
        </w:tc>
        <w:tc>
          <w:tcPr>
            <w:tcW w:w="1368"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21C36F89" w14:textId="6C0878AA" w:rsidR="00A018BD" w:rsidRPr="00D74256" w:rsidRDefault="00D74256" w:rsidP="0098514E">
            <w:pPr>
              <w:pStyle w:val="Body"/>
              <w:jc w:val="center"/>
              <w:rPr>
                <w:rFonts w:asciiTheme="majorHAnsi" w:hAnsiTheme="majorHAnsi"/>
                <w:sz w:val="15"/>
                <w:szCs w:val="15"/>
              </w:rPr>
            </w:pPr>
            <w:r>
              <w:rPr>
                <w:rFonts w:asciiTheme="majorHAnsi" w:hAnsiTheme="majorHAnsi"/>
                <w:sz w:val="15"/>
                <w:szCs w:val="15"/>
              </w:rPr>
              <w:t>52,113</w:t>
            </w:r>
          </w:p>
        </w:tc>
        <w:tc>
          <w:tcPr>
            <w:tcW w:w="90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619AA000" w14:textId="3E1F27F7" w:rsidR="00A018BD" w:rsidRPr="00D74256" w:rsidRDefault="00D74256" w:rsidP="0098514E">
            <w:pPr>
              <w:pStyle w:val="Body"/>
              <w:jc w:val="center"/>
              <w:rPr>
                <w:rFonts w:asciiTheme="majorHAnsi" w:hAnsiTheme="majorHAnsi"/>
                <w:sz w:val="15"/>
                <w:szCs w:val="15"/>
              </w:rPr>
            </w:pPr>
            <w:r>
              <w:rPr>
                <w:rFonts w:asciiTheme="majorHAnsi" w:hAnsiTheme="majorHAnsi"/>
                <w:sz w:val="15"/>
                <w:szCs w:val="15"/>
              </w:rPr>
              <w:t>72,608</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03F919EA" w14:textId="45C3C046" w:rsidR="00A018BD" w:rsidRPr="00D74256" w:rsidRDefault="0098514E" w:rsidP="0098514E">
            <w:pPr>
              <w:pStyle w:val="Body"/>
              <w:jc w:val="center"/>
              <w:rPr>
                <w:rFonts w:asciiTheme="majorHAnsi" w:hAnsiTheme="majorHAnsi"/>
                <w:sz w:val="15"/>
                <w:szCs w:val="15"/>
              </w:rPr>
            </w:pPr>
            <w:r w:rsidRPr="00D74256">
              <w:rPr>
                <w:rFonts w:asciiTheme="majorHAnsi" w:hAnsiTheme="majorHAnsi"/>
                <w:sz w:val="15"/>
                <w:szCs w:val="15"/>
              </w:rPr>
              <w:t>-</w:t>
            </w:r>
          </w:p>
        </w:tc>
        <w:tc>
          <w:tcPr>
            <w:tcW w:w="851" w:type="dxa"/>
            <w:gridSpan w:val="2"/>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0663C76E" w14:textId="01B429DB" w:rsidR="00A018BD" w:rsidRPr="00D74256" w:rsidRDefault="0098514E" w:rsidP="0098514E">
            <w:pPr>
              <w:pStyle w:val="Body"/>
              <w:jc w:val="center"/>
              <w:rPr>
                <w:rFonts w:asciiTheme="majorHAnsi" w:hAnsiTheme="majorHAnsi"/>
                <w:sz w:val="15"/>
                <w:szCs w:val="15"/>
              </w:rPr>
            </w:pPr>
            <w:r w:rsidRPr="00D74256">
              <w:rPr>
                <w:rFonts w:asciiTheme="majorHAnsi" w:hAnsiTheme="majorHAnsi"/>
                <w:sz w:val="15"/>
                <w:szCs w:val="15"/>
              </w:rPr>
              <w:t>-</w:t>
            </w:r>
          </w:p>
        </w:tc>
        <w:tc>
          <w:tcPr>
            <w:tcW w:w="992" w:type="dxa"/>
            <w:tcBorders>
              <w:top w:val="single" w:sz="4" w:space="0" w:color="F2F2F2" w:themeColor="background2" w:themeShade="F2"/>
              <w:left w:val="single" w:sz="4" w:space="0" w:color="F2F2F2" w:themeColor="background2" w:themeShade="F2"/>
              <w:bottom w:val="single" w:sz="4" w:space="0" w:color="F2F2F2" w:themeColor="background2" w:themeShade="F2"/>
              <w:right w:val="single" w:sz="4" w:space="0" w:color="F2F2F2" w:themeColor="background2" w:themeShade="F2"/>
            </w:tcBorders>
            <w:shd w:val="clear" w:color="auto" w:fill="BDF4FF" w:themeFill="accent3" w:themeFillTint="33"/>
          </w:tcPr>
          <w:p w14:paraId="3CE67AE3" w14:textId="6040AA12" w:rsidR="00A018BD" w:rsidRPr="00D74256" w:rsidRDefault="00D74256" w:rsidP="0098514E">
            <w:pPr>
              <w:pStyle w:val="Body"/>
              <w:jc w:val="center"/>
              <w:rPr>
                <w:rFonts w:asciiTheme="majorHAnsi" w:hAnsiTheme="majorHAnsi"/>
                <w:sz w:val="15"/>
                <w:szCs w:val="15"/>
              </w:rPr>
            </w:pPr>
            <w:r>
              <w:rPr>
                <w:rFonts w:asciiTheme="majorHAnsi" w:hAnsiTheme="majorHAnsi"/>
                <w:sz w:val="15"/>
                <w:szCs w:val="15"/>
              </w:rPr>
              <w:t>847,603</w:t>
            </w:r>
          </w:p>
        </w:tc>
      </w:tr>
    </w:tbl>
    <w:p w14:paraId="368D0A1C" w14:textId="40B70820" w:rsidR="00A21378" w:rsidRDefault="00297337" w:rsidP="0021373C">
      <w:pPr>
        <w:pStyle w:val="Body"/>
        <w:spacing w:before="120" w:after="120"/>
        <w:sectPr w:rsidR="00A21378" w:rsidSect="00683471">
          <w:headerReference w:type="default" r:id="rId167"/>
          <w:footerReference w:type="default" r:id="rId168"/>
          <w:pgSz w:w="14175" w:h="9979" w:orient="landscape"/>
          <w:pgMar w:top="709" w:right="1134" w:bottom="709" w:left="1134" w:header="510" w:footer="510" w:gutter="0"/>
          <w:cols w:space="708"/>
          <w:docGrid w:linePitch="360"/>
        </w:sectPr>
      </w:pPr>
      <w:r w:rsidRPr="00297337">
        <w:t>Key management personnel are those persons having authority and responsibility for planning, directing and controlling the activities of the entity, directly or indirectly. IHPA has determined the key management personnel to be the Chief Executive Officer and the Pricing Authority members. The disaggregated key management personnel remuneration information in the table above is in accordance with the Public Governance, Performance and Accountability Rule 2014.</w:t>
      </w:r>
    </w:p>
    <w:p w14:paraId="2C736493" w14:textId="77777777" w:rsidR="007412CC" w:rsidRPr="0035003A" w:rsidRDefault="007412CC" w:rsidP="007412CC">
      <w:pPr>
        <w:pStyle w:val="H3"/>
        <w:rPr>
          <w:color w:val="009AB8" w:themeColor="accent3"/>
        </w:rPr>
      </w:pPr>
      <w:r w:rsidRPr="0035003A">
        <w:rPr>
          <w:color w:val="009AB8" w:themeColor="accent3"/>
        </w:rPr>
        <w:t>Staff development</w:t>
      </w:r>
    </w:p>
    <w:p w14:paraId="4727CA5E" w14:textId="77777777" w:rsidR="00297337" w:rsidRPr="00297337" w:rsidRDefault="00297337" w:rsidP="00297337">
      <w:pPr>
        <w:pStyle w:val="H4"/>
        <w:rPr>
          <w:rFonts w:asciiTheme="minorHAnsi" w:hAnsiTheme="minorHAnsi"/>
          <w:bCs w:val="0"/>
          <w:sz w:val="18"/>
        </w:rPr>
      </w:pPr>
      <w:r w:rsidRPr="00297337">
        <w:rPr>
          <w:rFonts w:asciiTheme="minorHAnsi" w:hAnsiTheme="minorHAnsi"/>
          <w:bCs w:val="0"/>
          <w:sz w:val="18"/>
        </w:rPr>
        <w:t>IHPA cultivates, values and supports staff by developing their skills and capabilities to meet their work requirements, as well as to achieve their full potential. IHPA promotes a culture where people work within and across teams to broaden their expertise.</w:t>
      </w:r>
    </w:p>
    <w:p w14:paraId="2057AC93" w14:textId="20BE3BDD" w:rsidR="002C779C" w:rsidRPr="000330A2" w:rsidRDefault="00297337" w:rsidP="00297337">
      <w:pPr>
        <w:pStyle w:val="H4"/>
      </w:pPr>
      <w:r w:rsidRPr="00297337">
        <w:rPr>
          <w:rFonts w:asciiTheme="minorHAnsi" w:hAnsiTheme="minorHAnsi"/>
          <w:bCs w:val="0"/>
          <w:sz w:val="18"/>
        </w:rPr>
        <w:t>Training was provided on a programmed basis to management and a needs basis to individual staff. Additionally, mid-level and senior management staff undertook a program of leadership capability training. IHPA supported individuals to</w:t>
      </w:r>
      <w:r w:rsidR="00874736">
        <w:rPr>
          <w:rFonts w:asciiTheme="minorHAnsi" w:hAnsiTheme="minorHAnsi"/>
          <w:bCs w:val="0"/>
          <w:sz w:val="18"/>
        </w:rPr>
        <w:t> </w:t>
      </w:r>
      <w:r w:rsidRPr="00297337">
        <w:rPr>
          <w:rFonts w:asciiTheme="minorHAnsi" w:hAnsiTheme="minorHAnsi"/>
          <w:bCs w:val="0"/>
          <w:sz w:val="18"/>
        </w:rPr>
        <w:t>attend conferences and training events that assisted them to acquire and develop skills used in</w:t>
      </w:r>
      <w:r w:rsidR="00874736">
        <w:rPr>
          <w:rFonts w:asciiTheme="minorHAnsi" w:hAnsiTheme="minorHAnsi"/>
          <w:bCs w:val="0"/>
          <w:sz w:val="18"/>
        </w:rPr>
        <w:t> </w:t>
      </w:r>
      <w:r w:rsidRPr="00297337">
        <w:rPr>
          <w:rFonts w:asciiTheme="minorHAnsi" w:hAnsiTheme="minorHAnsi"/>
          <w:bCs w:val="0"/>
          <w:sz w:val="18"/>
        </w:rPr>
        <w:t>their work. In 2021–22, IHPA’s training investment averaged $1,701 per staff member.</w:t>
      </w:r>
      <w:r w:rsidR="00B63D0B">
        <w:br w:type="column"/>
      </w:r>
      <w:r w:rsidR="002C779C" w:rsidRPr="000330A2">
        <w:t>Education and review processes</w:t>
      </w:r>
    </w:p>
    <w:p w14:paraId="4256F4A4" w14:textId="77777777" w:rsidR="00297337" w:rsidRPr="00DE23A4" w:rsidRDefault="00297337" w:rsidP="00297337">
      <w:pPr>
        <w:pStyle w:val="Body"/>
      </w:pPr>
      <w:r w:rsidRPr="00E16303">
        <w:t xml:space="preserve">During the reporting period, the </w:t>
      </w:r>
      <w:r>
        <w:t>C</w:t>
      </w:r>
      <w:r w:rsidRPr="00E16303">
        <w:t xml:space="preserve">hief </w:t>
      </w:r>
      <w:r>
        <w:t>E</w:t>
      </w:r>
      <w:r w:rsidRPr="00E16303">
        <w:t xml:space="preserve">xecutive </w:t>
      </w:r>
      <w:r>
        <w:t>O</w:t>
      </w:r>
      <w:r w:rsidRPr="00E16303">
        <w:t>fficer enhanced his skills through attendance at domestic and international activity based funding events and attended specialised leadership training that was also made available to IHPA mid</w:t>
      </w:r>
      <w:r>
        <w:t>-</w:t>
      </w:r>
      <w:r w:rsidRPr="00E16303">
        <w:t>level and senior management staff. He</w:t>
      </w:r>
      <w:r>
        <w:t> </w:t>
      </w:r>
      <w:r w:rsidRPr="00E16303">
        <w:t>receives regular performance feedback via</w:t>
      </w:r>
      <w:r>
        <w:t> </w:t>
      </w:r>
      <w:r w:rsidRPr="00E16303">
        <w:t>the</w:t>
      </w:r>
      <w:r>
        <w:t> </w:t>
      </w:r>
      <w:r w:rsidRPr="00E16303">
        <w:t>Pricing Authority meetings.</w:t>
      </w:r>
    </w:p>
    <w:p w14:paraId="1642047A" w14:textId="77777777" w:rsidR="002C779C" w:rsidRPr="000330A2" w:rsidRDefault="002C779C" w:rsidP="00E16303">
      <w:pPr>
        <w:pStyle w:val="H4"/>
      </w:pPr>
      <w:r w:rsidRPr="000330A2">
        <w:t>Work health and safety</w:t>
      </w:r>
    </w:p>
    <w:p w14:paraId="60DBE321" w14:textId="77777777" w:rsidR="00297337" w:rsidRDefault="00297337" w:rsidP="00297337">
      <w:pPr>
        <w:pStyle w:val="Body"/>
      </w:pPr>
      <w:r>
        <w:t xml:space="preserve">In 2021–22, IHPA’s Work Health and Safety Committee continued to manage work health and safety matters in accordance with the </w:t>
      </w:r>
      <w:r w:rsidRPr="00ED5B0B">
        <w:rPr>
          <w:i/>
          <w:iCs/>
        </w:rPr>
        <w:t>Work</w:t>
      </w:r>
      <w:r>
        <w:rPr>
          <w:i/>
          <w:iCs/>
        </w:rPr>
        <w:t> </w:t>
      </w:r>
      <w:r w:rsidRPr="00ED5B0B">
        <w:rPr>
          <w:i/>
          <w:iCs/>
        </w:rPr>
        <w:t>Health and Safety Act 2011</w:t>
      </w:r>
      <w:r>
        <w:t>.</w:t>
      </w:r>
    </w:p>
    <w:p w14:paraId="6EA549DE" w14:textId="77777777" w:rsidR="00297337" w:rsidRDefault="00297337" w:rsidP="00297337">
      <w:pPr>
        <w:pStyle w:val="Body"/>
      </w:pPr>
      <w:r>
        <w:t>The committee met six times during the year and dealt with a range of work health and safety matters.</w:t>
      </w:r>
    </w:p>
    <w:p w14:paraId="560FC488" w14:textId="77777777" w:rsidR="00297337" w:rsidRDefault="00297337" w:rsidP="00297337">
      <w:pPr>
        <w:pStyle w:val="Body"/>
      </w:pPr>
      <w:r>
        <w:t>IHPA maintained its ongoing practice of providing workplace assessments for new staff, as required, and provided additional support to staff working from home during the COVID-19 pandemic.</w:t>
      </w:r>
    </w:p>
    <w:p w14:paraId="35F36B0D" w14:textId="77777777" w:rsidR="00297337" w:rsidRDefault="00297337" w:rsidP="00297337">
      <w:pPr>
        <w:pStyle w:val="Body"/>
      </w:pPr>
      <w:r>
        <w:t xml:space="preserve">In 2021–22, no notifiable incidents were identified with regards to work health and safety. </w:t>
      </w:r>
    </w:p>
    <w:p w14:paraId="565E9CCD" w14:textId="77777777" w:rsidR="00297337" w:rsidRDefault="00297337" w:rsidP="00297337">
      <w:pPr>
        <w:pStyle w:val="Body"/>
      </w:pPr>
      <w:r>
        <w:t>One worker reported an injury.</w:t>
      </w:r>
    </w:p>
    <w:p w14:paraId="3D6438D3" w14:textId="76134FBD" w:rsidR="00B63D0B" w:rsidRPr="00DE23A4" w:rsidRDefault="00297337" w:rsidP="00297337">
      <w:pPr>
        <w:pStyle w:val="Body"/>
      </w:pPr>
      <w:r>
        <w:t>There were no investigations conducted during the</w:t>
      </w:r>
      <w:r w:rsidR="00874736">
        <w:t> </w:t>
      </w:r>
      <w:r>
        <w:t>year relating to businesses or undertakings conducted by the entity.</w:t>
      </w:r>
    </w:p>
    <w:p w14:paraId="35FACA96" w14:textId="1321241B" w:rsidR="002C779C" w:rsidRPr="000330A2" w:rsidRDefault="002C779C" w:rsidP="00E16303">
      <w:pPr>
        <w:pStyle w:val="H4"/>
      </w:pPr>
      <w:r w:rsidRPr="000330A2">
        <w:t>Advertising and market research</w:t>
      </w:r>
    </w:p>
    <w:p w14:paraId="7C47FE81" w14:textId="11BC5E9D" w:rsidR="00B63D0B" w:rsidRDefault="00B63D0B" w:rsidP="00705609">
      <w:pPr>
        <w:pStyle w:val="Body"/>
      </w:pPr>
      <w:r w:rsidRPr="00ED5B0B">
        <w:t xml:space="preserve">In 2021–22, IHPA commissioned no advertising that must be reported under section 311A of the </w:t>
      </w:r>
      <w:r w:rsidRPr="00ED5B0B">
        <w:rPr>
          <w:i/>
          <w:iCs/>
        </w:rPr>
        <w:t>Commonwealth Electoral Act 1918</w:t>
      </w:r>
      <w:r w:rsidRPr="00ED5B0B">
        <w:t>.</w:t>
      </w:r>
    </w:p>
    <w:p w14:paraId="4D687674" w14:textId="77777777" w:rsidR="00A17FAD" w:rsidRDefault="00A17FAD" w:rsidP="00705609">
      <w:pPr>
        <w:pStyle w:val="Body"/>
        <w:sectPr w:rsidR="00A17FAD" w:rsidSect="00441579">
          <w:footerReference w:type="default" r:id="rId169"/>
          <w:pgSz w:w="9979" w:h="14175"/>
          <w:pgMar w:top="1134" w:right="1134" w:bottom="1134" w:left="1134" w:header="709" w:footer="709" w:gutter="0"/>
          <w:cols w:num="2" w:space="708"/>
          <w:docGrid w:linePitch="360"/>
        </w:sectPr>
      </w:pPr>
    </w:p>
    <w:p w14:paraId="600F9A37" w14:textId="6EF04F6F" w:rsidR="007C084D" w:rsidRDefault="007C084D" w:rsidP="00705609">
      <w:pPr>
        <w:pStyle w:val="Body"/>
      </w:pPr>
    </w:p>
    <w:p w14:paraId="14243DED" w14:textId="77777777" w:rsidR="00A17FAD" w:rsidRDefault="00A17FAD" w:rsidP="00705609">
      <w:pPr>
        <w:pStyle w:val="Body"/>
      </w:pPr>
    </w:p>
    <w:p w14:paraId="5995CDB4" w14:textId="77777777" w:rsidR="007C084D" w:rsidRDefault="007C084D" w:rsidP="00705609">
      <w:pPr>
        <w:pStyle w:val="Body"/>
        <w:sectPr w:rsidR="007C084D" w:rsidSect="00441579">
          <w:footerReference w:type="default" r:id="rId170"/>
          <w:pgSz w:w="9979" w:h="14175"/>
          <w:pgMar w:top="1134" w:right="1134" w:bottom="1134" w:left="1134" w:header="709" w:footer="709" w:gutter="0"/>
          <w:cols w:num="2" w:space="708"/>
          <w:docGrid w:linePitch="360"/>
        </w:sectPr>
      </w:pPr>
    </w:p>
    <w:p w14:paraId="5B9EFAC2" w14:textId="2D165D42" w:rsidR="007C084D" w:rsidRDefault="007C084D" w:rsidP="00705609">
      <w:pPr>
        <w:pStyle w:val="Body"/>
      </w:pPr>
      <w:r>
        <w:rPr>
          <w:noProof/>
          <w:lang w:eastAsia="en-AU"/>
        </w:rPr>
        <w:drawing>
          <wp:anchor distT="0" distB="0" distL="114300" distR="114300" simplePos="0" relativeHeight="252083200" behindDoc="1" locked="0" layoutInCell="1" allowOverlap="1" wp14:anchorId="4E047069" wp14:editId="69855F61">
            <wp:simplePos x="0" y="0"/>
            <wp:positionH relativeFrom="column">
              <wp:posOffset>-720090</wp:posOffset>
            </wp:positionH>
            <wp:positionV relativeFrom="paragraph">
              <wp:posOffset>-720090</wp:posOffset>
            </wp:positionV>
            <wp:extent cx="6434367" cy="9040535"/>
            <wp:effectExtent l="0" t="0" r="5080" b="1905"/>
            <wp:wrapNone/>
            <wp:docPr id="119" name="Pictur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a:extLst>
                        <a:ext uri="{C183D7F6-B498-43B3-948B-1728B52AA6E4}">
                          <adec:decorative xmlns:adec="http://schemas.microsoft.com/office/drawing/2017/decorative" val="1"/>
                        </a:ext>
                      </a:extLst>
                    </pic:cNvPr>
                    <pic:cNvPicPr/>
                  </pic:nvPicPr>
                  <pic:blipFill>
                    <a:blip r:embed="rId171"/>
                    <a:stretch>
                      <a:fillRect/>
                    </a:stretch>
                  </pic:blipFill>
                  <pic:spPr>
                    <a:xfrm>
                      <a:off x="0" y="0"/>
                      <a:ext cx="6434367" cy="9040535"/>
                    </a:xfrm>
                    <a:prstGeom prst="rect">
                      <a:avLst/>
                    </a:prstGeom>
                  </pic:spPr>
                </pic:pic>
              </a:graphicData>
            </a:graphic>
            <wp14:sizeRelH relativeFrom="page">
              <wp14:pctWidth>0</wp14:pctWidth>
            </wp14:sizeRelH>
            <wp14:sizeRelV relativeFrom="page">
              <wp14:pctHeight>0</wp14:pctHeight>
            </wp14:sizeRelV>
          </wp:anchor>
        </w:drawing>
      </w:r>
    </w:p>
    <w:p w14:paraId="6D030E7F" w14:textId="77777777" w:rsidR="007C084D" w:rsidRDefault="007C084D" w:rsidP="00705609">
      <w:pPr>
        <w:pStyle w:val="Body"/>
      </w:pPr>
    </w:p>
    <w:p w14:paraId="0DD95F50" w14:textId="729AFDAE" w:rsidR="00ED5B0B" w:rsidRDefault="00ED5B0B" w:rsidP="00705609">
      <w:pPr>
        <w:pStyle w:val="Body"/>
        <w:sectPr w:rsidR="00ED5B0B" w:rsidSect="00441579">
          <w:footerReference w:type="default" r:id="rId172"/>
          <w:pgSz w:w="9979" w:h="14175"/>
          <w:pgMar w:top="1134" w:right="1134" w:bottom="1134" w:left="1134" w:header="709" w:footer="709" w:gutter="0"/>
          <w:cols w:num="2" w:space="708"/>
          <w:docGrid w:linePitch="360"/>
        </w:sectPr>
      </w:pPr>
    </w:p>
    <w:p w14:paraId="7A8EE807" w14:textId="1C311E84" w:rsidR="000015B1" w:rsidRDefault="000015B1" w:rsidP="000015B1">
      <w:pPr>
        <w:pStyle w:val="H1"/>
        <w:spacing w:before="120"/>
      </w:pPr>
      <w:bookmarkStart w:id="88" w:name="_Toc114824439"/>
      <w:r>
        <w:rPr>
          <w:noProof/>
          <w:lang w:eastAsia="en-AU"/>
        </w:rPr>
        <w:drawing>
          <wp:anchor distT="0" distB="0" distL="114300" distR="114300" simplePos="0" relativeHeight="252016640" behindDoc="1" locked="0" layoutInCell="1" allowOverlap="1" wp14:anchorId="3F23E0B5" wp14:editId="3CA900C1">
            <wp:simplePos x="0" y="0"/>
            <wp:positionH relativeFrom="column">
              <wp:posOffset>-718592</wp:posOffset>
            </wp:positionH>
            <wp:positionV relativeFrom="paragraph">
              <wp:posOffset>-900430</wp:posOffset>
            </wp:positionV>
            <wp:extent cx="6439120" cy="9056698"/>
            <wp:effectExtent l="0" t="0" r="0" b="0"/>
            <wp:wrapNone/>
            <wp:docPr id="176" name="Picture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a:extLst>
                        <a:ext uri="{C183D7F6-B498-43B3-948B-1728B52AA6E4}">
                          <adec:decorative xmlns:adec="http://schemas.microsoft.com/office/drawing/2017/decorative" val="1"/>
                        </a:ext>
                      </a:extLst>
                    </pic:cNvPr>
                    <pic:cNvPicPr>
                      <a:picLocks noChangeAspect="1" noChangeArrowheads="1"/>
                    </pic:cNvPicPr>
                  </pic:nvPicPr>
                  <pic:blipFill>
                    <a:blip r:embed="rId173"/>
                    <a:stretch>
                      <a:fillRect/>
                    </a:stretch>
                  </pic:blipFill>
                  <pic:spPr bwMode="auto">
                    <a:xfrm>
                      <a:off x="0" y="0"/>
                      <a:ext cx="6439120" cy="90566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02BE">
        <w:t xml:space="preserve">6. </w:t>
      </w:r>
      <w:r w:rsidR="00454BF9">
        <w:t>F</w:t>
      </w:r>
      <w:r>
        <w:rPr>
          <w:noProof/>
          <w:lang w:eastAsia="en-AU"/>
        </w:rPr>
        <w:t>inancia</w:t>
      </w:r>
      <w:r w:rsidR="00116A30">
        <w:rPr>
          <w:noProof/>
          <w:lang w:eastAsia="en-AU"/>
        </w:rPr>
        <w:t>l</w:t>
      </w:r>
      <w:r>
        <w:rPr>
          <w:noProof/>
          <w:lang w:eastAsia="en-AU"/>
        </w:rPr>
        <w:br/>
        <w:t>management</w:t>
      </w:r>
      <w:bookmarkEnd w:id="88"/>
    </w:p>
    <w:p w14:paraId="57685F3C" w14:textId="71066671" w:rsidR="000015B1" w:rsidRPr="000E7CB6" w:rsidRDefault="000015B1" w:rsidP="000015B1">
      <w:pPr>
        <w:spacing w:before="1440" w:after="0"/>
        <w:jc w:val="center"/>
        <w:rPr>
          <w:color w:val="FFFFFF" w:themeColor="background2"/>
          <w:sz w:val="200"/>
          <w:szCs w:val="200"/>
        </w:rPr>
      </w:pPr>
      <w:r w:rsidRPr="000E7CB6">
        <w:rPr>
          <w:noProof/>
          <w:color w:val="FFFFFF" w:themeColor="background2"/>
          <w:sz w:val="200"/>
          <w:szCs w:val="200"/>
          <w:lang w:eastAsia="en-AU"/>
        </w:rPr>
        <w:t>0</w:t>
      </w:r>
      <w:r w:rsidR="002E02BE">
        <w:rPr>
          <w:noProof/>
          <w:color w:val="FFFFFF" w:themeColor="background2"/>
          <w:sz w:val="200"/>
          <w:szCs w:val="200"/>
          <w:lang w:eastAsia="en-AU"/>
        </w:rPr>
        <w:t>6</w:t>
      </w:r>
    </w:p>
    <w:p w14:paraId="5D6BE66A" w14:textId="5A1A6307" w:rsidR="00386C88" w:rsidRDefault="00386C88" w:rsidP="000015B1">
      <w:pPr>
        <w:pStyle w:val="H1"/>
        <w:spacing w:before="1680"/>
        <w:sectPr w:rsidR="00386C88" w:rsidSect="00386C88">
          <w:headerReference w:type="default" r:id="rId174"/>
          <w:footerReference w:type="default" r:id="rId175"/>
          <w:pgSz w:w="9979" w:h="14175"/>
          <w:pgMar w:top="1418" w:right="1134" w:bottom="1134" w:left="1134" w:header="709" w:footer="709" w:gutter="0"/>
          <w:cols w:space="708"/>
          <w:docGrid w:linePitch="360"/>
        </w:sectPr>
      </w:pPr>
    </w:p>
    <w:p w14:paraId="5D929C4A" w14:textId="234B62E7" w:rsidR="0015771D" w:rsidRPr="007F327F" w:rsidRDefault="0015771D" w:rsidP="00C7201E">
      <w:pPr>
        <w:pStyle w:val="Heading1"/>
        <w:rPr>
          <w:color w:val="292929"/>
        </w:rPr>
      </w:pPr>
      <w:bookmarkStart w:id="89" w:name="_Toc44350189"/>
      <w:bookmarkStart w:id="90" w:name="_Toc50378086"/>
      <w:bookmarkStart w:id="91" w:name="_Toc114824440"/>
      <w:r w:rsidRPr="007F327F">
        <w:rPr>
          <w:color w:val="292929"/>
        </w:rPr>
        <w:t>Financial statements</w:t>
      </w:r>
      <w:bookmarkEnd w:id="89"/>
      <w:bookmarkEnd w:id="90"/>
      <w:bookmarkEnd w:id="91"/>
    </w:p>
    <w:p w14:paraId="2D965B1B" w14:textId="2B3A37A2" w:rsidR="00140F74" w:rsidRPr="00856C65" w:rsidRDefault="00777BB5" w:rsidP="004F7900">
      <w:pPr>
        <w:pStyle w:val="TOCHeader"/>
        <w:numPr>
          <w:ilvl w:val="0"/>
          <w:numId w:val="0"/>
        </w:numPr>
        <w:spacing w:after="80"/>
        <w:rPr>
          <w:rFonts w:eastAsiaTheme="minorEastAsia"/>
          <w:b w:val="0"/>
          <w:bCs w:val="0"/>
          <w:sz w:val="24"/>
          <w:szCs w:val="24"/>
          <w:lang w:val="en-PH"/>
        </w:rPr>
      </w:pPr>
      <w:r w:rsidRPr="00B12AE3">
        <w:fldChar w:fldCharType="begin"/>
      </w:r>
      <w:r w:rsidRPr="00B12AE3">
        <w:instrText xml:space="preserve"> TOC \h \z \t "H3 Financials,2,H2 Financials,1,H4 Financials,3" </w:instrText>
      </w:r>
      <w:r w:rsidRPr="00B12AE3">
        <w:fldChar w:fldCharType="separate"/>
      </w:r>
      <w:hyperlink w:anchor="_Toc114824698" w:history="1">
        <w:r w:rsidR="00140F74" w:rsidRPr="00856C65">
          <w:rPr>
            <w:rStyle w:val="Hyperlink"/>
            <w:b w:val="0"/>
            <w:bCs w:val="0"/>
          </w:rPr>
          <w:t>Independent auditor’s report</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_Toc114824698 \h </w:instrText>
        </w:r>
        <w:r w:rsidR="00140F74" w:rsidRPr="00856C65">
          <w:rPr>
            <w:b w:val="0"/>
            <w:bCs w:val="0"/>
            <w:webHidden/>
          </w:rPr>
        </w:r>
        <w:r w:rsidR="00140F74" w:rsidRPr="00856C65">
          <w:rPr>
            <w:b w:val="0"/>
            <w:bCs w:val="0"/>
            <w:webHidden/>
          </w:rPr>
          <w:fldChar w:fldCharType="separate"/>
        </w:r>
        <w:r w:rsidR="00783BD7">
          <w:rPr>
            <w:b w:val="0"/>
            <w:bCs w:val="0"/>
            <w:webHidden/>
          </w:rPr>
          <w:t>87</w:t>
        </w:r>
        <w:r w:rsidR="00140F74" w:rsidRPr="00856C65">
          <w:rPr>
            <w:b w:val="0"/>
            <w:bCs w:val="0"/>
            <w:webHidden/>
          </w:rPr>
          <w:fldChar w:fldCharType="end"/>
        </w:r>
      </w:hyperlink>
    </w:p>
    <w:p w14:paraId="7C31E489" w14:textId="6AD193B8" w:rsidR="00140F74" w:rsidRPr="00856C65" w:rsidRDefault="00000000" w:rsidP="004F7900">
      <w:pPr>
        <w:pStyle w:val="TOCHeader"/>
        <w:numPr>
          <w:ilvl w:val="0"/>
          <w:numId w:val="0"/>
        </w:numPr>
        <w:spacing w:after="80"/>
        <w:rPr>
          <w:rFonts w:eastAsiaTheme="minorEastAsia"/>
          <w:b w:val="0"/>
          <w:bCs w:val="0"/>
          <w:sz w:val="24"/>
          <w:szCs w:val="24"/>
          <w:lang w:val="en-PH"/>
        </w:rPr>
      </w:pPr>
      <w:hyperlink w:anchor="_Toc114824699" w:history="1">
        <w:r w:rsidR="00140F74" w:rsidRPr="00856C65">
          <w:rPr>
            <w:rStyle w:val="Hyperlink"/>
            <w:b w:val="0"/>
            <w:bCs w:val="0"/>
          </w:rPr>
          <w:t>Statement by the Chief Executive Officer and Chief Financial Officer</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_Toc114824699 \h </w:instrText>
        </w:r>
        <w:r w:rsidR="00140F74" w:rsidRPr="00856C65">
          <w:rPr>
            <w:b w:val="0"/>
            <w:bCs w:val="0"/>
            <w:webHidden/>
          </w:rPr>
        </w:r>
        <w:r w:rsidR="00140F74" w:rsidRPr="00856C65">
          <w:rPr>
            <w:b w:val="0"/>
            <w:bCs w:val="0"/>
            <w:webHidden/>
          </w:rPr>
          <w:fldChar w:fldCharType="separate"/>
        </w:r>
        <w:r w:rsidR="00783BD7">
          <w:rPr>
            <w:b w:val="0"/>
            <w:bCs w:val="0"/>
            <w:webHidden/>
          </w:rPr>
          <w:t>89</w:t>
        </w:r>
        <w:r w:rsidR="00140F74" w:rsidRPr="00856C65">
          <w:rPr>
            <w:b w:val="0"/>
            <w:bCs w:val="0"/>
            <w:webHidden/>
          </w:rPr>
          <w:fldChar w:fldCharType="end"/>
        </w:r>
      </w:hyperlink>
    </w:p>
    <w:p w14:paraId="211951C9" w14:textId="3ED7A7FA" w:rsidR="00140F74" w:rsidRPr="00856C65" w:rsidRDefault="00000000" w:rsidP="004F7900">
      <w:pPr>
        <w:pStyle w:val="TOCHeader"/>
        <w:numPr>
          <w:ilvl w:val="0"/>
          <w:numId w:val="0"/>
        </w:numPr>
        <w:spacing w:after="80"/>
        <w:rPr>
          <w:rFonts w:eastAsiaTheme="minorEastAsia"/>
          <w:b w:val="0"/>
          <w:bCs w:val="0"/>
          <w:sz w:val="24"/>
          <w:szCs w:val="24"/>
          <w:lang w:val="en-PH"/>
        </w:rPr>
      </w:pPr>
      <w:hyperlink w:anchor="_Toc114824700" w:history="1">
        <w:r w:rsidR="00140F74" w:rsidRPr="00856C65">
          <w:rPr>
            <w:rStyle w:val="Hyperlink"/>
            <w:b w:val="0"/>
            <w:bCs w:val="0"/>
          </w:rPr>
          <w:t>Primary financial statements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_Toc114824700 \h </w:instrText>
        </w:r>
        <w:r w:rsidR="00140F74" w:rsidRPr="00856C65">
          <w:rPr>
            <w:b w:val="0"/>
            <w:bCs w:val="0"/>
            <w:webHidden/>
          </w:rPr>
        </w:r>
        <w:r w:rsidR="00140F74" w:rsidRPr="00856C65">
          <w:rPr>
            <w:b w:val="0"/>
            <w:bCs w:val="0"/>
            <w:webHidden/>
          </w:rPr>
          <w:fldChar w:fldCharType="separate"/>
        </w:r>
        <w:r w:rsidR="00783BD7">
          <w:rPr>
            <w:b w:val="0"/>
            <w:bCs w:val="0"/>
            <w:webHidden/>
          </w:rPr>
          <w:t>90</w:t>
        </w:r>
        <w:r w:rsidR="00140F74" w:rsidRPr="00856C65">
          <w:rPr>
            <w:b w:val="0"/>
            <w:bCs w:val="0"/>
            <w:webHidden/>
          </w:rPr>
          <w:fldChar w:fldCharType="end"/>
        </w:r>
      </w:hyperlink>
    </w:p>
    <w:p w14:paraId="636342CA" w14:textId="187A9022" w:rsidR="00140F74" w:rsidRPr="00856C65" w:rsidRDefault="00000000" w:rsidP="004F7900">
      <w:pPr>
        <w:pStyle w:val="TOCBody"/>
        <w:spacing w:after="80"/>
        <w:rPr>
          <w:rFonts w:eastAsiaTheme="minorEastAsia"/>
          <w:b w:val="0"/>
          <w:bCs w:val="0"/>
          <w:sz w:val="24"/>
          <w:szCs w:val="24"/>
          <w:lang w:val="en-PH"/>
        </w:rPr>
      </w:pPr>
      <w:hyperlink w:anchor="_Toc114824701" w:history="1">
        <w:r w:rsidR="00140F74" w:rsidRPr="00856C65">
          <w:rPr>
            <w:rStyle w:val="Hyperlink"/>
            <w:b w:val="0"/>
            <w:bCs w:val="0"/>
          </w:rPr>
          <w:t>Statement of comprehensive income</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_Toc114824701 \h </w:instrText>
        </w:r>
        <w:r w:rsidR="00140F74" w:rsidRPr="00856C65">
          <w:rPr>
            <w:b w:val="0"/>
            <w:bCs w:val="0"/>
            <w:webHidden/>
          </w:rPr>
        </w:r>
        <w:r w:rsidR="00140F74" w:rsidRPr="00856C65">
          <w:rPr>
            <w:b w:val="0"/>
            <w:bCs w:val="0"/>
            <w:webHidden/>
          </w:rPr>
          <w:fldChar w:fldCharType="separate"/>
        </w:r>
        <w:r w:rsidR="00783BD7">
          <w:rPr>
            <w:b w:val="0"/>
            <w:bCs w:val="0"/>
            <w:webHidden/>
          </w:rPr>
          <w:t>90</w:t>
        </w:r>
        <w:r w:rsidR="00140F74" w:rsidRPr="00856C65">
          <w:rPr>
            <w:b w:val="0"/>
            <w:bCs w:val="0"/>
            <w:webHidden/>
          </w:rPr>
          <w:fldChar w:fldCharType="end"/>
        </w:r>
      </w:hyperlink>
    </w:p>
    <w:p w14:paraId="7206371E" w14:textId="3B0B11C6" w:rsidR="00140F74" w:rsidRPr="00856C65" w:rsidRDefault="00000000" w:rsidP="004F7900">
      <w:pPr>
        <w:pStyle w:val="TOCBody"/>
        <w:spacing w:after="80"/>
        <w:rPr>
          <w:rFonts w:eastAsiaTheme="minorEastAsia"/>
          <w:b w:val="0"/>
          <w:bCs w:val="0"/>
          <w:sz w:val="24"/>
          <w:szCs w:val="24"/>
          <w:lang w:val="en-PH"/>
        </w:rPr>
      </w:pPr>
      <w:hyperlink w:anchor="_Toc114824702" w:history="1">
        <w:r w:rsidR="00140F74" w:rsidRPr="00856C65">
          <w:rPr>
            <w:rStyle w:val="Hyperlink"/>
            <w:b w:val="0"/>
            <w:bCs w:val="0"/>
          </w:rPr>
          <w:t>Statement of financial position</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_Toc114824702 \h </w:instrText>
        </w:r>
        <w:r w:rsidR="00140F74" w:rsidRPr="00856C65">
          <w:rPr>
            <w:b w:val="0"/>
            <w:bCs w:val="0"/>
            <w:webHidden/>
          </w:rPr>
        </w:r>
        <w:r w:rsidR="00140F74" w:rsidRPr="00856C65">
          <w:rPr>
            <w:b w:val="0"/>
            <w:bCs w:val="0"/>
            <w:webHidden/>
          </w:rPr>
          <w:fldChar w:fldCharType="separate"/>
        </w:r>
        <w:r w:rsidR="00783BD7">
          <w:rPr>
            <w:b w:val="0"/>
            <w:bCs w:val="0"/>
            <w:webHidden/>
          </w:rPr>
          <w:t>91</w:t>
        </w:r>
        <w:r w:rsidR="00140F74" w:rsidRPr="00856C65">
          <w:rPr>
            <w:b w:val="0"/>
            <w:bCs w:val="0"/>
            <w:webHidden/>
          </w:rPr>
          <w:fldChar w:fldCharType="end"/>
        </w:r>
      </w:hyperlink>
    </w:p>
    <w:p w14:paraId="737D5DC6" w14:textId="7C67A5F7" w:rsidR="00140F74" w:rsidRPr="00856C65" w:rsidRDefault="00000000" w:rsidP="004F7900">
      <w:pPr>
        <w:pStyle w:val="TOCBody"/>
        <w:spacing w:after="80"/>
        <w:rPr>
          <w:rFonts w:eastAsiaTheme="minorEastAsia"/>
          <w:b w:val="0"/>
          <w:bCs w:val="0"/>
          <w:sz w:val="24"/>
          <w:szCs w:val="24"/>
          <w:lang w:val="en-PH"/>
        </w:rPr>
      </w:pPr>
      <w:hyperlink w:anchor="_Toc114824703" w:history="1">
        <w:r w:rsidR="00140F74" w:rsidRPr="00856C65">
          <w:rPr>
            <w:rStyle w:val="Hyperlink"/>
            <w:b w:val="0"/>
            <w:bCs w:val="0"/>
          </w:rPr>
          <w:t>Statement of changes in equity</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_Toc114824703 \h </w:instrText>
        </w:r>
        <w:r w:rsidR="00140F74" w:rsidRPr="00856C65">
          <w:rPr>
            <w:b w:val="0"/>
            <w:bCs w:val="0"/>
            <w:webHidden/>
          </w:rPr>
        </w:r>
        <w:r w:rsidR="00140F74" w:rsidRPr="00856C65">
          <w:rPr>
            <w:b w:val="0"/>
            <w:bCs w:val="0"/>
            <w:webHidden/>
          </w:rPr>
          <w:fldChar w:fldCharType="separate"/>
        </w:r>
        <w:r w:rsidR="00783BD7">
          <w:rPr>
            <w:b w:val="0"/>
            <w:bCs w:val="0"/>
            <w:webHidden/>
          </w:rPr>
          <w:t>92</w:t>
        </w:r>
        <w:r w:rsidR="00140F74" w:rsidRPr="00856C65">
          <w:rPr>
            <w:b w:val="0"/>
            <w:bCs w:val="0"/>
            <w:webHidden/>
          </w:rPr>
          <w:fldChar w:fldCharType="end"/>
        </w:r>
      </w:hyperlink>
    </w:p>
    <w:p w14:paraId="2B837A14" w14:textId="3319A7F0" w:rsidR="00140F74" w:rsidRPr="00856C65" w:rsidRDefault="00000000" w:rsidP="004F7900">
      <w:pPr>
        <w:pStyle w:val="TOCBody"/>
        <w:spacing w:after="80"/>
        <w:rPr>
          <w:rFonts w:eastAsiaTheme="minorEastAsia"/>
          <w:b w:val="0"/>
          <w:bCs w:val="0"/>
          <w:sz w:val="24"/>
          <w:szCs w:val="24"/>
          <w:lang w:val="en-PH"/>
        </w:rPr>
      </w:pPr>
      <w:hyperlink w:anchor="_Toc114824704" w:history="1">
        <w:r w:rsidR="00140F74" w:rsidRPr="00856C65">
          <w:rPr>
            <w:rStyle w:val="Hyperlink"/>
            <w:b w:val="0"/>
            <w:bCs w:val="0"/>
          </w:rPr>
          <w:t>Cash flow statement</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_Toc114824704 \h </w:instrText>
        </w:r>
        <w:r w:rsidR="00140F74" w:rsidRPr="00856C65">
          <w:rPr>
            <w:b w:val="0"/>
            <w:bCs w:val="0"/>
            <w:webHidden/>
          </w:rPr>
        </w:r>
        <w:r w:rsidR="00140F74" w:rsidRPr="00856C65">
          <w:rPr>
            <w:b w:val="0"/>
            <w:bCs w:val="0"/>
            <w:webHidden/>
          </w:rPr>
          <w:fldChar w:fldCharType="separate"/>
        </w:r>
        <w:r w:rsidR="00783BD7">
          <w:rPr>
            <w:b w:val="0"/>
            <w:bCs w:val="0"/>
            <w:webHidden/>
          </w:rPr>
          <w:t>93</w:t>
        </w:r>
        <w:r w:rsidR="00140F74" w:rsidRPr="00856C65">
          <w:rPr>
            <w:b w:val="0"/>
            <w:bCs w:val="0"/>
            <w:webHidden/>
          </w:rPr>
          <w:fldChar w:fldCharType="end"/>
        </w:r>
      </w:hyperlink>
    </w:p>
    <w:p w14:paraId="6DEF228F" w14:textId="629551D8" w:rsidR="00140F74" w:rsidRPr="00856C65" w:rsidRDefault="00000000" w:rsidP="004F7900">
      <w:pPr>
        <w:pStyle w:val="TOCHeader"/>
        <w:numPr>
          <w:ilvl w:val="0"/>
          <w:numId w:val="0"/>
        </w:numPr>
        <w:spacing w:after="80"/>
        <w:rPr>
          <w:rFonts w:eastAsiaTheme="minorEastAsia"/>
          <w:b w:val="0"/>
          <w:bCs w:val="0"/>
          <w:sz w:val="24"/>
          <w:szCs w:val="24"/>
          <w:lang w:val="en-PH"/>
        </w:rPr>
      </w:pPr>
      <w:hyperlink w:anchor="_Toc114824705" w:history="1">
        <w:r w:rsidR="00140F74" w:rsidRPr="00856C65">
          <w:rPr>
            <w:rStyle w:val="Hyperlink"/>
            <w:b w:val="0"/>
            <w:bCs w:val="0"/>
          </w:rPr>
          <w:t>Overview</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_Toc114824705 \h </w:instrText>
        </w:r>
        <w:r w:rsidR="00140F74" w:rsidRPr="00856C65">
          <w:rPr>
            <w:b w:val="0"/>
            <w:bCs w:val="0"/>
            <w:webHidden/>
          </w:rPr>
        </w:r>
        <w:r w:rsidR="00140F74" w:rsidRPr="00856C65">
          <w:rPr>
            <w:b w:val="0"/>
            <w:bCs w:val="0"/>
            <w:webHidden/>
          </w:rPr>
          <w:fldChar w:fldCharType="separate"/>
        </w:r>
        <w:r w:rsidR="00783BD7">
          <w:rPr>
            <w:b w:val="0"/>
            <w:bCs w:val="0"/>
            <w:webHidden/>
          </w:rPr>
          <w:t>94</w:t>
        </w:r>
        <w:r w:rsidR="00140F74" w:rsidRPr="00856C65">
          <w:rPr>
            <w:b w:val="0"/>
            <w:bCs w:val="0"/>
            <w:webHidden/>
          </w:rPr>
          <w:fldChar w:fldCharType="end"/>
        </w:r>
      </w:hyperlink>
    </w:p>
    <w:p w14:paraId="0A0DCB3A" w14:textId="45C283A5" w:rsidR="00140F74" w:rsidRPr="00856C65" w:rsidRDefault="00000000" w:rsidP="004F7900">
      <w:pPr>
        <w:pStyle w:val="TOCHeader"/>
        <w:numPr>
          <w:ilvl w:val="0"/>
          <w:numId w:val="0"/>
        </w:numPr>
        <w:spacing w:after="80"/>
        <w:rPr>
          <w:rFonts w:eastAsiaTheme="minorEastAsia"/>
          <w:b w:val="0"/>
          <w:bCs w:val="0"/>
          <w:sz w:val="24"/>
          <w:szCs w:val="24"/>
          <w:lang w:val="en-PH"/>
        </w:rPr>
      </w:pPr>
      <w:hyperlink w:anchor="_Toc114824706" w:history="1">
        <w:r w:rsidR="00140F74" w:rsidRPr="00856C65">
          <w:rPr>
            <w:rStyle w:val="Hyperlink"/>
            <w:b w:val="0"/>
            <w:bCs w:val="0"/>
          </w:rPr>
          <w:t>Notes to the financial statements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_Toc114824706 \h </w:instrText>
        </w:r>
        <w:r w:rsidR="00140F74" w:rsidRPr="00856C65">
          <w:rPr>
            <w:b w:val="0"/>
            <w:bCs w:val="0"/>
            <w:webHidden/>
          </w:rPr>
        </w:r>
        <w:r w:rsidR="00140F74" w:rsidRPr="00856C65">
          <w:rPr>
            <w:b w:val="0"/>
            <w:bCs w:val="0"/>
            <w:webHidden/>
          </w:rPr>
          <w:fldChar w:fldCharType="separate"/>
        </w:r>
        <w:r w:rsidR="00783BD7">
          <w:rPr>
            <w:b w:val="0"/>
            <w:bCs w:val="0"/>
            <w:webHidden/>
          </w:rPr>
          <w:t>96</w:t>
        </w:r>
        <w:r w:rsidR="00140F74" w:rsidRPr="00856C65">
          <w:rPr>
            <w:b w:val="0"/>
            <w:bCs w:val="0"/>
            <w:webHidden/>
          </w:rPr>
          <w:fldChar w:fldCharType="end"/>
        </w:r>
      </w:hyperlink>
    </w:p>
    <w:p w14:paraId="4E3A2C89" w14:textId="28BCD036" w:rsidR="00140F74" w:rsidRPr="00856C65" w:rsidRDefault="00000000" w:rsidP="004F7900">
      <w:pPr>
        <w:pStyle w:val="TOCBody"/>
        <w:spacing w:after="80"/>
        <w:rPr>
          <w:rFonts w:asciiTheme="majorHAnsi" w:eastAsiaTheme="minorEastAsia" w:hAnsiTheme="majorHAnsi"/>
          <w:b w:val="0"/>
          <w:bCs w:val="0"/>
          <w:sz w:val="24"/>
          <w:szCs w:val="24"/>
          <w:lang w:val="en-PH"/>
        </w:rPr>
      </w:pPr>
      <w:hyperlink w:anchor="_Toc114824707" w:history="1">
        <w:r w:rsidR="00140F74" w:rsidRPr="00856C65">
          <w:rPr>
            <w:rStyle w:val="Hyperlink"/>
            <w:rFonts w:asciiTheme="majorHAnsi" w:hAnsiTheme="majorHAnsi"/>
            <w:b w:val="0"/>
            <w:bCs w:val="0"/>
          </w:rPr>
          <w:t>Financial performance</w:t>
        </w:r>
        <w:r w:rsidR="00140F74" w:rsidRPr="00856C65">
          <w:rPr>
            <w:rFonts w:asciiTheme="majorHAnsi" w:hAnsiTheme="majorHAnsi"/>
            <w:b w:val="0"/>
            <w:bCs w:val="0"/>
            <w:webHidden/>
          </w:rPr>
          <w:tab/>
        </w:r>
        <w:r w:rsidR="00140F74" w:rsidRPr="00856C65">
          <w:rPr>
            <w:rFonts w:asciiTheme="majorHAnsi" w:hAnsiTheme="majorHAnsi"/>
            <w:b w:val="0"/>
            <w:bCs w:val="0"/>
            <w:webHidden/>
          </w:rPr>
          <w:fldChar w:fldCharType="begin"/>
        </w:r>
        <w:r w:rsidR="00140F74" w:rsidRPr="00856C96">
          <w:rPr>
            <w:rFonts w:asciiTheme="majorHAnsi" w:hAnsiTheme="majorHAnsi"/>
            <w:b w:val="0"/>
            <w:bCs w:val="0"/>
            <w:webHidden/>
          </w:rPr>
          <w:instrText xml:space="preserve"> PAGEREF _Toc114824707 \h </w:instrText>
        </w:r>
        <w:r w:rsidR="00140F74" w:rsidRPr="00856C65">
          <w:rPr>
            <w:rFonts w:asciiTheme="majorHAnsi" w:hAnsiTheme="majorHAnsi"/>
            <w:b w:val="0"/>
            <w:bCs w:val="0"/>
            <w:webHidden/>
          </w:rPr>
        </w:r>
        <w:r w:rsidR="00140F74" w:rsidRPr="00856C65">
          <w:rPr>
            <w:rFonts w:asciiTheme="majorHAnsi" w:hAnsiTheme="majorHAnsi"/>
            <w:b w:val="0"/>
            <w:bCs w:val="0"/>
            <w:webHidden/>
          </w:rPr>
          <w:fldChar w:fldCharType="separate"/>
        </w:r>
        <w:r w:rsidR="00783BD7">
          <w:rPr>
            <w:rFonts w:asciiTheme="majorHAnsi" w:hAnsiTheme="majorHAnsi"/>
            <w:b w:val="0"/>
            <w:bCs w:val="0"/>
            <w:webHidden/>
          </w:rPr>
          <w:t>96</w:t>
        </w:r>
        <w:r w:rsidR="00140F74" w:rsidRPr="00856C65">
          <w:rPr>
            <w:rFonts w:asciiTheme="majorHAnsi" w:hAnsiTheme="majorHAnsi"/>
            <w:b w:val="0"/>
            <w:bCs w:val="0"/>
            <w:webHidden/>
          </w:rPr>
          <w:fldChar w:fldCharType="end"/>
        </w:r>
      </w:hyperlink>
    </w:p>
    <w:p w14:paraId="28CB7404" w14:textId="1AC5EB6D" w:rsidR="00140F74" w:rsidRPr="00856C65" w:rsidRDefault="00000000" w:rsidP="004F7900">
      <w:pPr>
        <w:pStyle w:val="TOCBody"/>
        <w:spacing w:after="80"/>
        <w:rPr>
          <w:rFonts w:eastAsiaTheme="minorEastAsia"/>
          <w:b w:val="0"/>
          <w:bCs w:val="0"/>
          <w:sz w:val="24"/>
          <w:szCs w:val="24"/>
          <w:lang w:val="en-PH"/>
        </w:rPr>
      </w:pPr>
      <w:hyperlink w:anchor="_Toc114824708" w:history="1">
        <w:r w:rsidR="00140F74" w:rsidRPr="00856C65">
          <w:rPr>
            <w:rStyle w:val="Hyperlink"/>
            <w:b w:val="0"/>
            <w:bCs w:val="0"/>
          </w:rPr>
          <w:t>Note 1.1 Expenses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_Toc114824708 \h </w:instrText>
        </w:r>
        <w:r w:rsidR="00140F74" w:rsidRPr="00856C65">
          <w:rPr>
            <w:b w:val="0"/>
            <w:bCs w:val="0"/>
            <w:webHidden/>
          </w:rPr>
        </w:r>
        <w:r w:rsidR="00140F74" w:rsidRPr="00856C65">
          <w:rPr>
            <w:b w:val="0"/>
            <w:bCs w:val="0"/>
            <w:webHidden/>
          </w:rPr>
          <w:fldChar w:fldCharType="separate"/>
        </w:r>
        <w:r w:rsidR="00783BD7">
          <w:rPr>
            <w:b w:val="0"/>
            <w:bCs w:val="0"/>
            <w:webHidden/>
          </w:rPr>
          <w:t>96</w:t>
        </w:r>
        <w:r w:rsidR="00140F74" w:rsidRPr="00856C65">
          <w:rPr>
            <w:b w:val="0"/>
            <w:bCs w:val="0"/>
            <w:webHidden/>
          </w:rPr>
          <w:fldChar w:fldCharType="end"/>
        </w:r>
      </w:hyperlink>
    </w:p>
    <w:p w14:paraId="202E74AD" w14:textId="3F1558B6" w:rsidR="00140F74" w:rsidRPr="00856C65" w:rsidRDefault="00000000" w:rsidP="004F7900">
      <w:pPr>
        <w:pStyle w:val="TOCBody"/>
        <w:spacing w:after="80"/>
        <w:rPr>
          <w:rFonts w:eastAsiaTheme="minorEastAsia"/>
          <w:b w:val="0"/>
          <w:bCs w:val="0"/>
          <w:sz w:val="24"/>
          <w:szCs w:val="24"/>
          <w:lang w:val="en-PH"/>
        </w:rPr>
      </w:pPr>
      <w:hyperlink w:anchor="_Toc114824709" w:history="1">
        <w:r w:rsidR="00140F74" w:rsidRPr="00856C65">
          <w:rPr>
            <w:rStyle w:val="Hyperlink"/>
            <w:b w:val="0"/>
            <w:bCs w:val="0"/>
          </w:rPr>
          <w:t>Note 1.2 Own-source revenue and gains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_Toc114824709 \h </w:instrText>
        </w:r>
        <w:r w:rsidR="00140F74" w:rsidRPr="00856C65">
          <w:rPr>
            <w:b w:val="0"/>
            <w:bCs w:val="0"/>
            <w:webHidden/>
          </w:rPr>
        </w:r>
        <w:r w:rsidR="00140F74" w:rsidRPr="00856C65">
          <w:rPr>
            <w:b w:val="0"/>
            <w:bCs w:val="0"/>
            <w:webHidden/>
          </w:rPr>
          <w:fldChar w:fldCharType="separate"/>
        </w:r>
        <w:r w:rsidR="00783BD7">
          <w:rPr>
            <w:b w:val="0"/>
            <w:bCs w:val="0"/>
            <w:webHidden/>
          </w:rPr>
          <w:t>98</w:t>
        </w:r>
        <w:r w:rsidR="00140F74" w:rsidRPr="00856C65">
          <w:rPr>
            <w:b w:val="0"/>
            <w:bCs w:val="0"/>
            <w:webHidden/>
          </w:rPr>
          <w:fldChar w:fldCharType="end"/>
        </w:r>
      </w:hyperlink>
    </w:p>
    <w:p w14:paraId="313EE5AB" w14:textId="5C3EC486" w:rsidR="00140F74" w:rsidRPr="00856C65" w:rsidRDefault="00000000" w:rsidP="004F7900">
      <w:pPr>
        <w:pStyle w:val="TOCBody"/>
        <w:spacing w:after="80"/>
        <w:rPr>
          <w:rFonts w:asciiTheme="majorHAnsi" w:eastAsiaTheme="minorEastAsia" w:hAnsiTheme="majorHAnsi"/>
          <w:b w:val="0"/>
          <w:bCs w:val="0"/>
          <w:sz w:val="24"/>
          <w:szCs w:val="24"/>
          <w:lang w:val="en-PH"/>
        </w:rPr>
      </w:pPr>
      <w:hyperlink w:anchor="_Toc114824710" w:history="1">
        <w:r w:rsidR="00140F74" w:rsidRPr="00856C65">
          <w:rPr>
            <w:rStyle w:val="Hyperlink"/>
            <w:rFonts w:asciiTheme="majorHAnsi" w:hAnsiTheme="majorHAnsi"/>
            <w:b w:val="0"/>
            <w:bCs w:val="0"/>
          </w:rPr>
          <w:t>Financial position</w:t>
        </w:r>
        <w:r w:rsidR="00140F74" w:rsidRPr="00856C65">
          <w:rPr>
            <w:rFonts w:asciiTheme="majorHAnsi" w:hAnsiTheme="majorHAnsi"/>
            <w:b w:val="0"/>
            <w:bCs w:val="0"/>
            <w:webHidden/>
          </w:rPr>
          <w:tab/>
        </w:r>
        <w:r w:rsidR="00140F74" w:rsidRPr="00856C65">
          <w:rPr>
            <w:rFonts w:asciiTheme="majorHAnsi" w:hAnsiTheme="majorHAnsi"/>
            <w:b w:val="0"/>
            <w:bCs w:val="0"/>
            <w:webHidden/>
          </w:rPr>
          <w:fldChar w:fldCharType="begin"/>
        </w:r>
        <w:r w:rsidR="00140F74" w:rsidRPr="00856C96">
          <w:rPr>
            <w:rFonts w:asciiTheme="majorHAnsi" w:hAnsiTheme="majorHAnsi"/>
            <w:b w:val="0"/>
            <w:bCs w:val="0"/>
            <w:webHidden/>
          </w:rPr>
          <w:instrText xml:space="preserve"> PAGEREF _Toc114824710 \h </w:instrText>
        </w:r>
        <w:r w:rsidR="00140F74" w:rsidRPr="00856C65">
          <w:rPr>
            <w:rFonts w:asciiTheme="majorHAnsi" w:hAnsiTheme="majorHAnsi"/>
            <w:b w:val="0"/>
            <w:bCs w:val="0"/>
            <w:webHidden/>
          </w:rPr>
        </w:r>
        <w:r w:rsidR="00140F74" w:rsidRPr="00856C65">
          <w:rPr>
            <w:rFonts w:asciiTheme="majorHAnsi" w:hAnsiTheme="majorHAnsi"/>
            <w:b w:val="0"/>
            <w:bCs w:val="0"/>
            <w:webHidden/>
          </w:rPr>
          <w:fldChar w:fldCharType="separate"/>
        </w:r>
        <w:r w:rsidR="00783BD7">
          <w:rPr>
            <w:rFonts w:asciiTheme="majorHAnsi" w:hAnsiTheme="majorHAnsi"/>
            <w:b w:val="0"/>
            <w:bCs w:val="0"/>
            <w:webHidden/>
          </w:rPr>
          <w:t>100</w:t>
        </w:r>
        <w:r w:rsidR="00140F74" w:rsidRPr="00856C65">
          <w:rPr>
            <w:rFonts w:asciiTheme="majorHAnsi" w:hAnsiTheme="majorHAnsi"/>
            <w:b w:val="0"/>
            <w:bCs w:val="0"/>
            <w:webHidden/>
          </w:rPr>
          <w:fldChar w:fldCharType="end"/>
        </w:r>
      </w:hyperlink>
    </w:p>
    <w:p w14:paraId="54FD9C46" w14:textId="5AF987E2" w:rsidR="00140F74" w:rsidRPr="00856C65" w:rsidRDefault="00000000" w:rsidP="004F7900">
      <w:pPr>
        <w:pStyle w:val="TOCBody"/>
        <w:spacing w:after="80"/>
        <w:rPr>
          <w:rFonts w:eastAsiaTheme="minorEastAsia"/>
          <w:b w:val="0"/>
          <w:bCs w:val="0"/>
          <w:sz w:val="24"/>
          <w:szCs w:val="24"/>
          <w:lang w:val="en-PH"/>
        </w:rPr>
      </w:pPr>
      <w:hyperlink w:anchor="_Toc114824711" w:history="1">
        <w:r w:rsidR="00140F74" w:rsidRPr="00856C65">
          <w:rPr>
            <w:rStyle w:val="Hyperlink"/>
            <w:b w:val="0"/>
            <w:bCs w:val="0"/>
          </w:rPr>
          <w:t>Note 2.1 Financial assets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_Toc114824711 \h </w:instrText>
        </w:r>
        <w:r w:rsidR="00140F74" w:rsidRPr="00856C65">
          <w:rPr>
            <w:b w:val="0"/>
            <w:bCs w:val="0"/>
            <w:webHidden/>
          </w:rPr>
        </w:r>
        <w:r w:rsidR="00140F74" w:rsidRPr="00856C65">
          <w:rPr>
            <w:b w:val="0"/>
            <w:bCs w:val="0"/>
            <w:webHidden/>
          </w:rPr>
          <w:fldChar w:fldCharType="separate"/>
        </w:r>
        <w:r w:rsidR="00783BD7">
          <w:rPr>
            <w:b w:val="0"/>
            <w:bCs w:val="0"/>
            <w:webHidden/>
          </w:rPr>
          <w:t>100</w:t>
        </w:r>
        <w:r w:rsidR="00140F74" w:rsidRPr="00856C65">
          <w:rPr>
            <w:b w:val="0"/>
            <w:bCs w:val="0"/>
            <w:webHidden/>
          </w:rPr>
          <w:fldChar w:fldCharType="end"/>
        </w:r>
      </w:hyperlink>
    </w:p>
    <w:p w14:paraId="20610A64" w14:textId="49A46C54" w:rsidR="00140F74" w:rsidRPr="00856C65" w:rsidRDefault="00000000" w:rsidP="004F7900">
      <w:pPr>
        <w:pStyle w:val="TOCBody"/>
        <w:spacing w:after="80"/>
        <w:rPr>
          <w:rFonts w:eastAsiaTheme="minorEastAsia"/>
          <w:b w:val="0"/>
          <w:bCs w:val="0"/>
          <w:sz w:val="24"/>
          <w:szCs w:val="24"/>
          <w:lang w:val="en-PH"/>
        </w:rPr>
      </w:pPr>
      <w:hyperlink w:anchor="_Toc114824712" w:history="1">
        <w:r w:rsidR="00140F74" w:rsidRPr="00856C65">
          <w:rPr>
            <w:rStyle w:val="Hyperlink"/>
            <w:b w:val="0"/>
            <w:bCs w:val="0"/>
          </w:rPr>
          <w:t>Note 2.2 Non-financial assets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_Toc114824712 \h </w:instrText>
        </w:r>
        <w:r w:rsidR="00140F74" w:rsidRPr="00856C65">
          <w:rPr>
            <w:b w:val="0"/>
            <w:bCs w:val="0"/>
            <w:webHidden/>
          </w:rPr>
        </w:r>
        <w:r w:rsidR="00140F74" w:rsidRPr="00856C65">
          <w:rPr>
            <w:b w:val="0"/>
            <w:bCs w:val="0"/>
            <w:webHidden/>
          </w:rPr>
          <w:fldChar w:fldCharType="separate"/>
        </w:r>
        <w:r w:rsidR="00783BD7">
          <w:rPr>
            <w:b w:val="0"/>
            <w:bCs w:val="0"/>
            <w:webHidden/>
          </w:rPr>
          <w:t>101</w:t>
        </w:r>
        <w:r w:rsidR="00140F74" w:rsidRPr="00856C65">
          <w:rPr>
            <w:b w:val="0"/>
            <w:bCs w:val="0"/>
            <w:webHidden/>
          </w:rPr>
          <w:fldChar w:fldCharType="end"/>
        </w:r>
      </w:hyperlink>
    </w:p>
    <w:p w14:paraId="45D85374" w14:textId="014ECD72" w:rsidR="00140F74" w:rsidRPr="00856C65" w:rsidRDefault="00000000" w:rsidP="004F7900">
      <w:pPr>
        <w:pStyle w:val="TOCBody"/>
        <w:spacing w:after="80"/>
        <w:rPr>
          <w:rFonts w:eastAsiaTheme="minorEastAsia"/>
          <w:b w:val="0"/>
          <w:bCs w:val="0"/>
          <w:sz w:val="24"/>
          <w:szCs w:val="24"/>
          <w:lang w:val="en-PH"/>
        </w:rPr>
      </w:pPr>
      <w:hyperlink w:anchor="_Toc114824713" w:history="1">
        <w:r w:rsidR="00140F74" w:rsidRPr="00856C65">
          <w:rPr>
            <w:rStyle w:val="Hyperlink"/>
            <w:b w:val="0"/>
            <w:bCs w:val="0"/>
          </w:rPr>
          <w:t>Note 2.3 Payables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_Toc114824713 \h </w:instrText>
        </w:r>
        <w:r w:rsidR="00140F74" w:rsidRPr="00856C65">
          <w:rPr>
            <w:b w:val="0"/>
            <w:bCs w:val="0"/>
            <w:webHidden/>
          </w:rPr>
        </w:r>
        <w:r w:rsidR="00140F74" w:rsidRPr="00856C65">
          <w:rPr>
            <w:b w:val="0"/>
            <w:bCs w:val="0"/>
            <w:webHidden/>
          </w:rPr>
          <w:fldChar w:fldCharType="separate"/>
        </w:r>
        <w:r w:rsidR="00783BD7">
          <w:rPr>
            <w:b w:val="0"/>
            <w:bCs w:val="0"/>
            <w:webHidden/>
          </w:rPr>
          <w:t>104</w:t>
        </w:r>
        <w:r w:rsidR="00140F74" w:rsidRPr="00856C65">
          <w:rPr>
            <w:b w:val="0"/>
            <w:bCs w:val="0"/>
            <w:webHidden/>
          </w:rPr>
          <w:fldChar w:fldCharType="end"/>
        </w:r>
      </w:hyperlink>
    </w:p>
    <w:p w14:paraId="17065AAA" w14:textId="06F7245E" w:rsidR="00140F74" w:rsidRPr="00856C65" w:rsidRDefault="00000000" w:rsidP="004F7900">
      <w:pPr>
        <w:pStyle w:val="TOCBody"/>
        <w:spacing w:after="80"/>
        <w:rPr>
          <w:rFonts w:eastAsiaTheme="minorEastAsia"/>
          <w:b w:val="0"/>
          <w:bCs w:val="0"/>
          <w:sz w:val="24"/>
          <w:szCs w:val="24"/>
          <w:lang w:val="en-PH"/>
        </w:rPr>
      </w:pPr>
      <w:hyperlink w:anchor="_Toc114824714" w:history="1">
        <w:r w:rsidR="00140F74" w:rsidRPr="00856C65">
          <w:rPr>
            <w:rStyle w:val="Hyperlink"/>
            <w:b w:val="0"/>
            <w:bCs w:val="0"/>
          </w:rPr>
          <w:t>Note 2.4 Interest bearing liabilities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_Toc114824714 \h </w:instrText>
        </w:r>
        <w:r w:rsidR="00140F74" w:rsidRPr="00856C65">
          <w:rPr>
            <w:b w:val="0"/>
            <w:bCs w:val="0"/>
            <w:webHidden/>
          </w:rPr>
        </w:r>
        <w:r w:rsidR="00140F74" w:rsidRPr="00856C65">
          <w:rPr>
            <w:b w:val="0"/>
            <w:bCs w:val="0"/>
            <w:webHidden/>
          </w:rPr>
          <w:fldChar w:fldCharType="separate"/>
        </w:r>
        <w:r w:rsidR="00783BD7">
          <w:rPr>
            <w:b w:val="0"/>
            <w:bCs w:val="0"/>
            <w:webHidden/>
          </w:rPr>
          <w:t>104</w:t>
        </w:r>
        <w:r w:rsidR="00140F74" w:rsidRPr="00856C65">
          <w:rPr>
            <w:b w:val="0"/>
            <w:bCs w:val="0"/>
            <w:webHidden/>
          </w:rPr>
          <w:fldChar w:fldCharType="end"/>
        </w:r>
      </w:hyperlink>
    </w:p>
    <w:p w14:paraId="69D0F735" w14:textId="391E203C" w:rsidR="00140F74" w:rsidRPr="00856C65" w:rsidRDefault="00000000" w:rsidP="004F7900">
      <w:pPr>
        <w:pStyle w:val="TOCBody"/>
        <w:spacing w:after="80"/>
        <w:rPr>
          <w:rFonts w:asciiTheme="majorHAnsi" w:eastAsiaTheme="minorEastAsia" w:hAnsiTheme="majorHAnsi"/>
          <w:b w:val="0"/>
          <w:bCs w:val="0"/>
          <w:sz w:val="24"/>
          <w:szCs w:val="24"/>
          <w:lang w:val="en-PH"/>
        </w:rPr>
      </w:pPr>
      <w:hyperlink w:anchor="_Toc114824715" w:history="1">
        <w:r w:rsidR="00140F74" w:rsidRPr="00856C65">
          <w:rPr>
            <w:rStyle w:val="Hyperlink"/>
            <w:rFonts w:asciiTheme="majorHAnsi" w:hAnsiTheme="majorHAnsi"/>
            <w:b w:val="0"/>
            <w:bCs w:val="0"/>
          </w:rPr>
          <w:t>People and Relationships</w:t>
        </w:r>
        <w:r w:rsidR="00140F74" w:rsidRPr="00856C65">
          <w:rPr>
            <w:rFonts w:asciiTheme="majorHAnsi" w:hAnsiTheme="majorHAnsi"/>
            <w:b w:val="0"/>
            <w:bCs w:val="0"/>
            <w:webHidden/>
          </w:rPr>
          <w:tab/>
        </w:r>
        <w:r w:rsidR="00140F74" w:rsidRPr="00856C65">
          <w:rPr>
            <w:rFonts w:asciiTheme="majorHAnsi" w:hAnsiTheme="majorHAnsi"/>
            <w:b w:val="0"/>
            <w:bCs w:val="0"/>
            <w:webHidden/>
          </w:rPr>
          <w:fldChar w:fldCharType="begin"/>
        </w:r>
        <w:r w:rsidR="00140F74" w:rsidRPr="00856C96">
          <w:rPr>
            <w:rFonts w:asciiTheme="majorHAnsi" w:hAnsiTheme="majorHAnsi"/>
            <w:b w:val="0"/>
            <w:bCs w:val="0"/>
            <w:webHidden/>
          </w:rPr>
          <w:instrText xml:space="preserve"> PAGEREF _Toc114824715 \h </w:instrText>
        </w:r>
        <w:r w:rsidR="00140F74" w:rsidRPr="00856C65">
          <w:rPr>
            <w:rFonts w:asciiTheme="majorHAnsi" w:hAnsiTheme="majorHAnsi"/>
            <w:b w:val="0"/>
            <w:bCs w:val="0"/>
            <w:webHidden/>
          </w:rPr>
        </w:r>
        <w:r w:rsidR="00140F74" w:rsidRPr="00856C65">
          <w:rPr>
            <w:rFonts w:asciiTheme="majorHAnsi" w:hAnsiTheme="majorHAnsi"/>
            <w:b w:val="0"/>
            <w:bCs w:val="0"/>
            <w:webHidden/>
          </w:rPr>
          <w:fldChar w:fldCharType="separate"/>
        </w:r>
        <w:r w:rsidR="00783BD7">
          <w:rPr>
            <w:rFonts w:asciiTheme="majorHAnsi" w:hAnsiTheme="majorHAnsi"/>
            <w:b w:val="0"/>
            <w:bCs w:val="0"/>
            <w:webHidden/>
          </w:rPr>
          <w:t>105</w:t>
        </w:r>
        <w:r w:rsidR="00140F74" w:rsidRPr="00856C65">
          <w:rPr>
            <w:rFonts w:asciiTheme="majorHAnsi" w:hAnsiTheme="majorHAnsi"/>
            <w:b w:val="0"/>
            <w:bCs w:val="0"/>
            <w:webHidden/>
          </w:rPr>
          <w:fldChar w:fldCharType="end"/>
        </w:r>
      </w:hyperlink>
    </w:p>
    <w:p w14:paraId="10A8A916" w14:textId="25BE5FF8" w:rsidR="00140F74" w:rsidRPr="00856C65" w:rsidRDefault="00000000" w:rsidP="002A1A5E">
      <w:pPr>
        <w:pStyle w:val="TOCBody"/>
        <w:spacing w:after="80"/>
        <w:rPr>
          <w:rFonts w:eastAsiaTheme="minorEastAsia"/>
          <w:b w:val="0"/>
          <w:bCs w:val="0"/>
          <w:sz w:val="24"/>
          <w:szCs w:val="24"/>
          <w:lang w:val="en-PH"/>
        </w:rPr>
      </w:pPr>
      <w:hyperlink w:anchor="_Toc114824716" w:history="1">
        <w:r w:rsidR="00140F74" w:rsidRPr="00856C65">
          <w:rPr>
            <w:rStyle w:val="Hyperlink"/>
            <w:b w:val="0"/>
            <w:bCs w:val="0"/>
          </w:rPr>
          <w:t>Note 3.1 Employee provisions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_Toc114824716 \h </w:instrText>
        </w:r>
        <w:r w:rsidR="00140F74" w:rsidRPr="00856C65">
          <w:rPr>
            <w:b w:val="0"/>
            <w:bCs w:val="0"/>
            <w:webHidden/>
          </w:rPr>
        </w:r>
        <w:r w:rsidR="00140F74" w:rsidRPr="00856C65">
          <w:rPr>
            <w:b w:val="0"/>
            <w:bCs w:val="0"/>
            <w:webHidden/>
          </w:rPr>
          <w:fldChar w:fldCharType="separate"/>
        </w:r>
        <w:r w:rsidR="00783BD7">
          <w:rPr>
            <w:b w:val="0"/>
            <w:bCs w:val="0"/>
            <w:webHidden/>
          </w:rPr>
          <w:t>105</w:t>
        </w:r>
        <w:r w:rsidR="00140F74" w:rsidRPr="00856C65">
          <w:rPr>
            <w:b w:val="0"/>
            <w:bCs w:val="0"/>
            <w:webHidden/>
          </w:rPr>
          <w:fldChar w:fldCharType="end"/>
        </w:r>
      </w:hyperlink>
    </w:p>
    <w:p w14:paraId="316B7BFF" w14:textId="72E03040" w:rsidR="00140F74" w:rsidRPr="00856C65" w:rsidRDefault="00000000" w:rsidP="002A1A5E">
      <w:pPr>
        <w:pStyle w:val="TOCBody"/>
        <w:spacing w:after="80"/>
        <w:rPr>
          <w:rFonts w:eastAsiaTheme="minorEastAsia"/>
          <w:b w:val="0"/>
          <w:bCs w:val="0"/>
          <w:sz w:val="24"/>
          <w:szCs w:val="24"/>
          <w:lang w:val="en-PH"/>
        </w:rPr>
      </w:pPr>
      <w:hyperlink w:anchor="_Toc114824717" w:history="1">
        <w:r w:rsidR="00140F74" w:rsidRPr="00856C65">
          <w:rPr>
            <w:rStyle w:val="Hyperlink"/>
            <w:b w:val="0"/>
            <w:bCs w:val="0"/>
          </w:rPr>
          <w:t>Note 3.2 Key management personnel remuneration</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_Toc114824717 \h </w:instrText>
        </w:r>
        <w:r w:rsidR="00140F74" w:rsidRPr="00856C65">
          <w:rPr>
            <w:b w:val="0"/>
            <w:bCs w:val="0"/>
            <w:webHidden/>
          </w:rPr>
        </w:r>
        <w:r w:rsidR="00140F74" w:rsidRPr="00856C65">
          <w:rPr>
            <w:b w:val="0"/>
            <w:bCs w:val="0"/>
            <w:webHidden/>
          </w:rPr>
          <w:fldChar w:fldCharType="separate"/>
        </w:r>
        <w:r w:rsidR="00783BD7">
          <w:rPr>
            <w:b w:val="0"/>
            <w:bCs w:val="0"/>
            <w:webHidden/>
          </w:rPr>
          <w:t>106</w:t>
        </w:r>
        <w:r w:rsidR="00140F74" w:rsidRPr="00856C65">
          <w:rPr>
            <w:b w:val="0"/>
            <w:bCs w:val="0"/>
            <w:webHidden/>
          </w:rPr>
          <w:fldChar w:fldCharType="end"/>
        </w:r>
      </w:hyperlink>
    </w:p>
    <w:p w14:paraId="0380B8A9" w14:textId="51E5224E" w:rsidR="00140F74" w:rsidRPr="00856C65" w:rsidRDefault="00000000" w:rsidP="002A1A5E">
      <w:pPr>
        <w:pStyle w:val="TOCBody"/>
        <w:spacing w:after="80"/>
        <w:rPr>
          <w:rFonts w:eastAsiaTheme="minorEastAsia"/>
          <w:b w:val="0"/>
          <w:bCs w:val="0"/>
          <w:sz w:val="24"/>
          <w:szCs w:val="24"/>
          <w:lang w:val="en-PH"/>
        </w:rPr>
      </w:pPr>
      <w:hyperlink w:anchor="_Toc114824718" w:history="1">
        <w:r w:rsidR="00140F74" w:rsidRPr="00856C65">
          <w:rPr>
            <w:rStyle w:val="Hyperlink"/>
            <w:b w:val="0"/>
            <w:bCs w:val="0"/>
          </w:rPr>
          <w:t>Note 3.3 Related party disclosures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_Toc114824718 \h </w:instrText>
        </w:r>
        <w:r w:rsidR="00140F74" w:rsidRPr="00856C65">
          <w:rPr>
            <w:b w:val="0"/>
            <w:bCs w:val="0"/>
            <w:webHidden/>
          </w:rPr>
        </w:r>
        <w:r w:rsidR="00140F74" w:rsidRPr="00856C65">
          <w:rPr>
            <w:b w:val="0"/>
            <w:bCs w:val="0"/>
            <w:webHidden/>
          </w:rPr>
          <w:fldChar w:fldCharType="separate"/>
        </w:r>
        <w:r w:rsidR="00783BD7">
          <w:rPr>
            <w:b w:val="0"/>
            <w:bCs w:val="0"/>
            <w:webHidden/>
          </w:rPr>
          <w:t>106</w:t>
        </w:r>
        <w:r w:rsidR="00140F74" w:rsidRPr="00856C65">
          <w:rPr>
            <w:b w:val="0"/>
            <w:bCs w:val="0"/>
            <w:webHidden/>
          </w:rPr>
          <w:fldChar w:fldCharType="end"/>
        </w:r>
      </w:hyperlink>
    </w:p>
    <w:p w14:paraId="7C38E8C2" w14:textId="6BD78B64" w:rsidR="00140F74" w:rsidRPr="00856C65" w:rsidRDefault="00000000" w:rsidP="004F7900">
      <w:pPr>
        <w:pStyle w:val="TOCBody"/>
        <w:spacing w:after="80"/>
        <w:rPr>
          <w:rFonts w:asciiTheme="majorHAnsi" w:eastAsiaTheme="minorEastAsia" w:hAnsiTheme="majorHAnsi"/>
          <w:b w:val="0"/>
          <w:bCs w:val="0"/>
          <w:sz w:val="24"/>
          <w:szCs w:val="24"/>
          <w:lang w:val="en-PH"/>
        </w:rPr>
      </w:pPr>
      <w:hyperlink w:anchor="_Toc114824719" w:history="1">
        <w:r w:rsidR="00140F74" w:rsidRPr="00856C65">
          <w:rPr>
            <w:rStyle w:val="Hyperlink"/>
            <w:rFonts w:asciiTheme="majorHAnsi" w:hAnsiTheme="majorHAnsi"/>
            <w:b w:val="0"/>
            <w:bCs w:val="0"/>
          </w:rPr>
          <w:t>Managing uncertainties</w:t>
        </w:r>
        <w:r w:rsidR="00140F74" w:rsidRPr="00856C65">
          <w:rPr>
            <w:rFonts w:asciiTheme="majorHAnsi" w:hAnsiTheme="majorHAnsi"/>
            <w:b w:val="0"/>
            <w:bCs w:val="0"/>
            <w:webHidden/>
          </w:rPr>
          <w:tab/>
        </w:r>
        <w:r w:rsidR="00140F74" w:rsidRPr="00856C65">
          <w:rPr>
            <w:rFonts w:asciiTheme="majorHAnsi" w:hAnsiTheme="majorHAnsi"/>
            <w:b w:val="0"/>
            <w:bCs w:val="0"/>
            <w:webHidden/>
          </w:rPr>
          <w:fldChar w:fldCharType="begin"/>
        </w:r>
        <w:r w:rsidR="00140F74" w:rsidRPr="00856C96">
          <w:rPr>
            <w:rFonts w:asciiTheme="majorHAnsi" w:hAnsiTheme="majorHAnsi"/>
            <w:b w:val="0"/>
            <w:bCs w:val="0"/>
            <w:webHidden/>
          </w:rPr>
          <w:instrText xml:space="preserve"> PAGEREF _Toc114824719 \h </w:instrText>
        </w:r>
        <w:r w:rsidR="00140F74" w:rsidRPr="00856C65">
          <w:rPr>
            <w:rFonts w:asciiTheme="majorHAnsi" w:hAnsiTheme="majorHAnsi"/>
            <w:b w:val="0"/>
            <w:bCs w:val="0"/>
            <w:webHidden/>
          </w:rPr>
        </w:r>
        <w:r w:rsidR="00140F74" w:rsidRPr="00856C65">
          <w:rPr>
            <w:rFonts w:asciiTheme="majorHAnsi" w:hAnsiTheme="majorHAnsi"/>
            <w:b w:val="0"/>
            <w:bCs w:val="0"/>
            <w:webHidden/>
          </w:rPr>
          <w:fldChar w:fldCharType="separate"/>
        </w:r>
        <w:r w:rsidR="00783BD7">
          <w:rPr>
            <w:rFonts w:asciiTheme="majorHAnsi" w:hAnsiTheme="majorHAnsi"/>
            <w:b w:val="0"/>
            <w:bCs w:val="0"/>
            <w:webHidden/>
          </w:rPr>
          <w:t>107</w:t>
        </w:r>
        <w:r w:rsidR="00140F74" w:rsidRPr="00856C65">
          <w:rPr>
            <w:rFonts w:asciiTheme="majorHAnsi" w:hAnsiTheme="majorHAnsi"/>
            <w:b w:val="0"/>
            <w:bCs w:val="0"/>
            <w:webHidden/>
          </w:rPr>
          <w:fldChar w:fldCharType="end"/>
        </w:r>
      </w:hyperlink>
    </w:p>
    <w:p w14:paraId="2E46519D" w14:textId="1972FCED" w:rsidR="00140F74" w:rsidRPr="00856C65" w:rsidRDefault="00000000" w:rsidP="002A1A5E">
      <w:pPr>
        <w:pStyle w:val="TOCBody"/>
        <w:spacing w:after="80"/>
        <w:rPr>
          <w:rFonts w:eastAsiaTheme="minorEastAsia"/>
          <w:b w:val="0"/>
          <w:bCs w:val="0"/>
          <w:sz w:val="24"/>
          <w:szCs w:val="24"/>
          <w:lang w:val="en-PH"/>
        </w:rPr>
      </w:pPr>
      <w:hyperlink w:anchor="_Toc114824720" w:history="1">
        <w:r w:rsidR="00140F74" w:rsidRPr="00856C65">
          <w:rPr>
            <w:rStyle w:val="Hyperlink"/>
            <w:b w:val="0"/>
            <w:bCs w:val="0"/>
          </w:rPr>
          <w:t>Note 4.1 Contingent assets and liabilities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_Toc114824720 \h </w:instrText>
        </w:r>
        <w:r w:rsidR="00140F74" w:rsidRPr="00856C65">
          <w:rPr>
            <w:b w:val="0"/>
            <w:bCs w:val="0"/>
            <w:webHidden/>
          </w:rPr>
        </w:r>
        <w:r w:rsidR="00140F74" w:rsidRPr="00856C65">
          <w:rPr>
            <w:b w:val="0"/>
            <w:bCs w:val="0"/>
            <w:webHidden/>
          </w:rPr>
          <w:fldChar w:fldCharType="separate"/>
        </w:r>
        <w:r w:rsidR="00783BD7">
          <w:rPr>
            <w:b w:val="0"/>
            <w:bCs w:val="0"/>
            <w:webHidden/>
          </w:rPr>
          <w:t>107</w:t>
        </w:r>
        <w:r w:rsidR="00140F74" w:rsidRPr="00856C65">
          <w:rPr>
            <w:b w:val="0"/>
            <w:bCs w:val="0"/>
            <w:webHidden/>
          </w:rPr>
          <w:fldChar w:fldCharType="end"/>
        </w:r>
      </w:hyperlink>
    </w:p>
    <w:p w14:paraId="5AB5C6AE" w14:textId="065E5900" w:rsidR="00140F74" w:rsidRPr="00856C65" w:rsidRDefault="00000000" w:rsidP="002A1A5E">
      <w:pPr>
        <w:pStyle w:val="TOCBody"/>
        <w:spacing w:after="80"/>
        <w:rPr>
          <w:rFonts w:eastAsiaTheme="minorEastAsia"/>
          <w:b w:val="0"/>
          <w:bCs w:val="0"/>
          <w:sz w:val="24"/>
          <w:szCs w:val="24"/>
          <w:lang w:val="en-PH"/>
        </w:rPr>
      </w:pPr>
      <w:hyperlink w:anchor="_Toc114824721" w:history="1">
        <w:r w:rsidR="00140F74" w:rsidRPr="00856C65">
          <w:rPr>
            <w:rStyle w:val="Hyperlink"/>
            <w:b w:val="0"/>
            <w:bCs w:val="0"/>
          </w:rPr>
          <w:t>Note 4.2 Financial instruments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_Toc114824721 \h </w:instrText>
        </w:r>
        <w:r w:rsidR="00140F74" w:rsidRPr="00856C65">
          <w:rPr>
            <w:b w:val="0"/>
            <w:bCs w:val="0"/>
            <w:webHidden/>
          </w:rPr>
        </w:r>
        <w:r w:rsidR="00140F74" w:rsidRPr="00856C65">
          <w:rPr>
            <w:b w:val="0"/>
            <w:bCs w:val="0"/>
            <w:webHidden/>
          </w:rPr>
          <w:fldChar w:fldCharType="separate"/>
        </w:r>
        <w:r w:rsidR="00783BD7">
          <w:rPr>
            <w:b w:val="0"/>
            <w:bCs w:val="0"/>
            <w:webHidden/>
          </w:rPr>
          <w:t>108</w:t>
        </w:r>
        <w:r w:rsidR="00140F74" w:rsidRPr="00856C65">
          <w:rPr>
            <w:b w:val="0"/>
            <w:bCs w:val="0"/>
            <w:webHidden/>
          </w:rPr>
          <w:fldChar w:fldCharType="end"/>
        </w:r>
      </w:hyperlink>
    </w:p>
    <w:p w14:paraId="0A93E877" w14:textId="62672759" w:rsidR="00140F74" w:rsidRPr="00856C65" w:rsidRDefault="00000000" w:rsidP="002A1A5E">
      <w:pPr>
        <w:pStyle w:val="TOCBody"/>
        <w:spacing w:after="80"/>
        <w:rPr>
          <w:rFonts w:eastAsiaTheme="minorEastAsia"/>
          <w:b w:val="0"/>
          <w:bCs w:val="0"/>
          <w:sz w:val="24"/>
          <w:szCs w:val="24"/>
          <w:lang w:val="en-PH"/>
        </w:rPr>
      </w:pPr>
      <w:hyperlink w:anchor="_Toc114824722" w:history="1">
        <w:r w:rsidR="00140F74" w:rsidRPr="00856C65">
          <w:rPr>
            <w:rStyle w:val="Hyperlink"/>
            <w:b w:val="0"/>
            <w:bCs w:val="0"/>
          </w:rPr>
          <w:t>Note 4.3 Fair value measurement</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_Toc114824722 \h </w:instrText>
        </w:r>
        <w:r w:rsidR="00140F74" w:rsidRPr="00856C65">
          <w:rPr>
            <w:b w:val="0"/>
            <w:bCs w:val="0"/>
            <w:webHidden/>
          </w:rPr>
        </w:r>
        <w:r w:rsidR="00140F74" w:rsidRPr="00856C65">
          <w:rPr>
            <w:b w:val="0"/>
            <w:bCs w:val="0"/>
            <w:webHidden/>
          </w:rPr>
          <w:fldChar w:fldCharType="separate"/>
        </w:r>
        <w:r w:rsidR="00783BD7">
          <w:rPr>
            <w:b w:val="0"/>
            <w:bCs w:val="0"/>
            <w:webHidden/>
          </w:rPr>
          <w:t>109</w:t>
        </w:r>
        <w:r w:rsidR="00140F74" w:rsidRPr="00856C65">
          <w:rPr>
            <w:b w:val="0"/>
            <w:bCs w:val="0"/>
            <w:webHidden/>
          </w:rPr>
          <w:fldChar w:fldCharType="end"/>
        </w:r>
      </w:hyperlink>
    </w:p>
    <w:p w14:paraId="6749DC3E" w14:textId="5F703FC0" w:rsidR="00140F74" w:rsidRPr="00856C65" w:rsidRDefault="00000000" w:rsidP="004F7900">
      <w:pPr>
        <w:pStyle w:val="TOCBody"/>
        <w:spacing w:after="80"/>
        <w:rPr>
          <w:rFonts w:asciiTheme="majorHAnsi" w:eastAsiaTheme="minorEastAsia" w:hAnsiTheme="majorHAnsi"/>
          <w:b w:val="0"/>
          <w:bCs w:val="0"/>
          <w:sz w:val="24"/>
          <w:szCs w:val="24"/>
          <w:lang w:val="en-PH"/>
        </w:rPr>
      </w:pPr>
      <w:hyperlink w:anchor="_Toc114824723" w:history="1">
        <w:r w:rsidR="00140F74" w:rsidRPr="00856C65">
          <w:rPr>
            <w:rStyle w:val="Hyperlink"/>
            <w:rFonts w:asciiTheme="majorHAnsi" w:hAnsiTheme="majorHAnsi"/>
            <w:b w:val="0"/>
            <w:bCs w:val="0"/>
          </w:rPr>
          <w:t>Other information</w:t>
        </w:r>
        <w:r w:rsidR="00140F74" w:rsidRPr="00856C65">
          <w:rPr>
            <w:rFonts w:asciiTheme="majorHAnsi" w:hAnsiTheme="majorHAnsi"/>
            <w:b w:val="0"/>
            <w:bCs w:val="0"/>
            <w:webHidden/>
          </w:rPr>
          <w:tab/>
        </w:r>
        <w:r w:rsidR="00140F74" w:rsidRPr="00856C65">
          <w:rPr>
            <w:rFonts w:asciiTheme="majorHAnsi" w:hAnsiTheme="majorHAnsi"/>
            <w:b w:val="0"/>
            <w:bCs w:val="0"/>
            <w:webHidden/>
          </w:rPr>
          <w:fldChar w:fldCharType="begin"/>
        </w:r>
        <w:r w:rsidR="00140F74" w:rsidRPr="00856C96">
          <w:rPr>
            <w:rFonts w:asciiTheme="majorHAnsi" w:hAnsiTheme="majorHAnsi"/>
            <w:b w:val="0"/>
            <w:bCs w:val="0"/>
            <w:webHidden/>
          </w:rPr>
          <w:instrText xml:space="preserve"> PAGEREF _Toc114824723 \h </w:instrText>
        </w:r>
        <w:r w:rsidR="00140F74" w:rsidRPr="00856C65">
          <w:rPr>
            <w:rFonts w:asciiTheme="majorHAnsi" w:hAnsiTheme="majorHAnsi"/>
            <w:b w:val="0"/>
            <w:bCs w:val="0"/>
            <w:webHidden/>
          </w:rPr>
        </w:r>
        <w:r w:rsidR="00140F74" w:rsidRPr="00856C65">
          <w:rPr>
            <w:rFonts w:asciiTheme="majorHAnsi" w:hAnsiTheme="majorHAnsi"/>
            <w:b w:val="0"/>
            <w:bCs w:val="0"/>
            <w:webHidden/>
          </w:rPr>
          <w:fldChar w:fldCharType="separate"/>
        </w:r>
        <w:r w:rsidR="00783BD7">
          <w:rPr>
            <w:rFonts w:asciiTheme="majorHAnsi" w:hAnsiTheme="majorHAnsi"/>
            <w:b w:val="0"/>
            <w:bCs w:val="0"/>
            <w:webHidden/>
          </w:rPr>
          <w:t>110</w:t>
        </w:r>
        <w:r w:rsidR="00140F74" w:rsidRPr="00856C65">
          <w:rPr>
            <w:rFonts w:asciiTheme="majorHAnsi" w:hAnsiTheme="majorHAnsi"/>
            <w:b w:val="0"/>
            <w:bCs w:val="0"/>
            <w:webHidden/>
          </w:rPr>
          <w:fldChar w:fldCharType="end"/>
        </w:r>
      </w:hyperlink>
    </w:p>
    <w:p w14:paraId="17932D83" w14:textId="79A83CAC" w:rsidR="00140F74" w:rsidRDefault="00000000" w:rsidP="002A1A5E">
      <w:pPr>
        <w:pStyle w:val="TOCBody"/>
        <w:spacing w:after="80"/>
        <w:rPr>
          <w:rFonts w:eastAsiaTheme="minorEastAsia"/>
          <w:sz w:val="24"/>
          <w:szCs w:val="24"/>
          <w:lang w:val="en-PH"/>
        </w:rPr>
      </w:pPr>
      <w:hyperlink w:anchor="_Toc114824724" w:history="1">
        <w:r w:rsidR="00140F74" w:rsidRPr="00856C65">
          <w:rPr>
            <w:rStyle w:val="Hyperlink"/>
            <w:b w:val="0"/>
            <w:bCs w:val="0"/>
          </w:rPr>
          <w:t>Note 5.1 Current/non-current distinction for assets and liabilities</w:t>
        </w:r>
        <w:r w:rsidR="00140F74" w:rsidRPr="00856C65">
          <w:rPr>
            <w:b w:val="0"/>
            <w:bCs w:val="0"/>
            <w:webHidden/>
          </w:rPr>
          <w:tab/>
        </w:r>
        <w:r w:rsidR="00140F74" w:rsidRPr="00856C65">
          <w:rPr>
            <w:b w:val="0"/>
            <w:bCs w:val="0"/>
            <w:webHidden/>
          </w:rPr>
          <w:fldChar w:fldCharType="begin"/>
        </w:r>
        <w:r w:rsidR="00140F74" w:rsidRPr="00856C65">
          <w:rPr>
            <w:b w:val="0"/>
            <w:bCs w:val="0"/>
            <w:webHidden/>
          </w:rPr>
          <w:instrText xml:space="preserve"> PAGEREF _Toc114824724 \h </w:instrText>
        </w:r>
        <w:r w:rsidR="00140F74" w:rsidRPr="00856C65">
          <w:rPr>
            <w:b w:val="0"/>
            <w:bCs w:val="0"/>
            <w:webHidden/>
          </w:rPr>
        </w:r>
        <w:r w:rsidR="00140F74" w:rsidRPr="00856C65">
          <w:rPr>
            <w:b w:val="0"/>
            <w:bCs w:val="0"/>
            <w:webHidden/>
          </w:rPr>
          <w:fldChar w:fldCharType="separate"/>
        </w:r>
        <w:r w:rsidR="00783BD7">
          <w:rPr>
            <w:b w:val="0"/>
            <w:bCs w:val="0"/>
            <w:webHidden/>
          </w:rPr>
          <w:t>110</w:t>
        </w:r>
        <w:r w:rsidR="00140F74" w:rsidRPr="00856C65">
          <w:rPr>
            <w:b w:val="0"/>
            <w:bCs w:val="0"/>
            <w:webHidden/>
          </w:rPr>
          <w:fldChar w:fldCharType="end"/>
        </w:r>
      </w:hyperlink>
    </w:p>
    <w:p w14:paraId="47EA3275" w14:textId="21B205E9" w:rsidR="0015771D" w:rsidRPr="00777BB5" w:rsidRDefault="00777BB5" w:rsidP="004F7900">
      <w:pPr>
        <w:pStyle w:val="TOCBody"/>
        <w:spacing w:after="80"/>
      </w:pPr>
      <w:r w:rsidRPr="00B12AE3">
        <w:fldChar w:fldCharType="end"/>
      </w:r>
    </w:p>
    <w:p w14:paraId="61352473" w14:textId="77777777" w:rsidR="008D2A25" w:rsidRDefault="008D2A25" w:rsidP="00705609">
      <w:pPr>
        <w:pStyle w:val="Body"/>
        <w:sectPr w:rsidR="008D2A25" w:rsidSect="00441579">
          <w:headerReference w:type="default" r:id="rId176"/>
          <w:footerReference w:type="default" r:id="rId177"/>
          <w:pgSz w:w="9979" w:h="14175"/>
          <w:pgMar w:top="1134" w:right="1134" w:bottom="1134" w:left="1134" w:header="709" w:footer="709" w:gutter="0"/>
          <w:cols w:space="708"/>
          <w:docGrid w:linePitch="360"/>
        </w:sectPr>
      </w:pPr>
    </w:p>
    <w:p w14:paraId="249C3949" w14:textId="460EDC97" w:rsidR="004F27FE" w:rsidRPr="009F752B" w:rsidRDefault="00942010" w:rsidP="00441579">
      <w:pPr>
        <w:pStyle w:val="H2Financials"/>
      </w:pPr>
      <w:bookmarkStart w:id="92" w:name="_Toc76744237"/>
      <w:bookmarkStart w:id="93" w:name="_Toc83220554"/>
      <w:bookmarkStart w:id="94" w:name="_Toc114824698"/>
      <w:r>
        <w:t>Independent a</w:t>
      </w:r>
      <w:r w:rsidR="00400ACB">
        <w:t>uditor’s</w:t>
      </w:r>
      <w:r w:rsidR="004F27FE" w:rsidRPr="009F752B">
        <w:t> </w:t>
      </w:r>
      <w:r>
        <w:t>r</w:t>
      </w:r>
      <w:r w:rsidR="004F27FE" w:rsidRPr="009F752B">
        <w:t>eport</w:t>
      </w:r>
      <w:bookmarkEnd w:id="92"/>
      <w:bookmarkEnd w:id="93"/>
      <w:bookmarkEnd w:id="94"/>
    </w:p>
    <w:p w14:paraId="3C240C99" w14:textId="19C7BEFB" w:rsidR="0080406A" w:rsidRDefault="00FE1E88" w:rsidP="00777BB5">
      <w:pPr>
        <w:pStyle w:val="Body"/>
      </w:pPr>
      <w:r>
        <w:rPr>
          <w:noProof/>
          <w:lang w:eastAsia="en-AU"/>
        </w:rPr>
        <w:drawing>
          <wp:inline distT="0" distB="0" distL="0" distR="0" wp14:anchorId="53406925" wp14:editId="73BE677B">
            <wp:extent cx="4028132" cy="5693545"/>
            <wp:effectExtent l="127000" t="127000" r="125095" b="123190"/>
            <wp:docPr id="28" name="Picture 28" descr="Independent auditor’s report to the Minister for Health and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ndependent auditor’s report to the Minister for Health and Aged Care"/>
                    <pic:cNvPicPr/>
                  </pic:nvPicPr>
                  <pic:blipFill>
                    <a:blip r:embed="rId178"/>
                    <a:stretch>
                      <a:fillRect/>
                    </a:stretch>
                  </pic:blipFill>
                  <pic:spPr>
                    <a:xfrm>
                      <a:off x="0" y="0"/>
                      <a:ext cx="4028132" cy="5693545"/>
                    </a:xfrm>
                    <a:prstGeom prst="rect">
                      <a:avLst/>
                    </a:prstGeom>
                    <a:ln>
                      <a:noFill/>
                    </a:ln>
                    <a:effectLst>
                      <a:outerShdw blurRad="190500" algn="tl" rotWithShape="0">
                        <a:srgbClr val="000000">
                          <a:alpha val="10000"/>
                        </a:srgbClr>
                      </a:outerShdw>
                    </a:effectLst>
                  </pic:spPr>
                </pic:pic>
              </a:graphicData>
            </a:graphic>
          </wp:inline>
        </w:drawing>
      </w:r>
    </w:p>
    <w:p w14:paraId="6BA9477F" w14:textId="722CCF92" w:rsidR="00777BB5" w:rsidRDefault="00777BB5" w:rsidP="004F27FE">
      <w:pPr>
        <w:rPr>
          <w:color w:val="1C1C1C"/>
          <w:sz w:val="18"/>
          <w:szCs w:val="18"/>
        </w:rPr>
        <w:sectPr w:rsidR="00777BB5" w:rsidSect="00441579">
          <w:footerReference w:type="default" r:id="rId179"/>
          <w:footnotePr>
            <w:pos w:val="beneathText"/>
          </w:footnotePr>
          <w:pgSz w:w="9979" w:h="14175" w:code="13"/>
          <w:pgMar w:top="1134" w:right="1134" w:bottom="1134" w:left="1134" w:header="709" w:footer="709" w:gutter="0"/>
          <w:cols w:space="623"/>
          <w:docGrid w:linePitch="360"/>
        </w:sectPr>
      </w:pPr>
    </w:p>
    <w:p w14:paraId="2DCCD539" w14:textId="1EF65D1B" w:rsidR="0080406A" w:rsidRPr="00777BB5" w:rsidRDefault="00FE1E88" w:rsidP="004F27FE">
      <w:pPr>
        <w:rPr>
          <w:rStyle w:val="BodyChar"/>
        </w:rPr>
      </w:pPr>
      <w:r>
        <w:rPr>
          <w:noProof/>
          <w:lang w:eastAsia="en-AU"/>
        </w:rPr>
        <w:drawing>
          <wp:inline distT="0" distB="0" distL="0" distR="0" wp14:anchorId="694643FA" wp14:editId="68C8AA0B">
            <wp:extent cx="4218594" cy="5962752"/>
            <wp:effectExtent l="127000" t="127000" r="125095" b="120650"/>
            <wp:docPr id="30" name="Picture 30" descr="Independent auditor’s report to the Minister for Health and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ndependent auditor’s report to the Minister for Health and Aged Care"/>
                    <pic:cNvPicPr/>
                  </pic:nvPicPr>
                  <pic:blipFill>
                    <a:blip r:embed="rId180"/>
                    <a:stretch>
                      <a:fillRect/>
                    </a:stretch>
                  </pic:blipFill>
                  <pic:spPr>
                    <a:xfrm>
                      <a:off x="0" y="0"/>
                      <a:ext cx="4218594" cy="5962752"/>
                    </a:xfrm>
                    <a:prstGeom prst="rect">
                      <a:avLst/>
                    </a:prstGeom>
                    <a:ln>
                      <a:noFill/>
                    </a:ln>
                    <a:effectLst>
                      <a:outerShdw blurRad="190500" algn="tl" rotWithShape="0">
                        <a:srgbClr val="000000">
                          <a:alpha val="10000"/>
                        </a:srgbClr>
                      </a:outerShdw>
                    </a:effectLst>
                  </pic:spPr>
                </pic:pic>
              </a:graphicData>
            </a:graphic>
          </wp:inline>
        </w:drawing>
      </w:r>
    </w:p>
    <w:p w14:paraId="545A1E82" w14:textId="77777777" w:rsidR="00C14FCE" w:rsidRDefault="00C14FCE" w:rsidP="004F27FE">
      <w:pPr>
        <w:rPr>
          <w:color w:val="1C1C1C"/>
          <w:sz w:val="18"/>
          <w:szCs w:val="18"/>
        </w:rPr>
        <w:sectPr w:rsidR="00C14FCE" w:rsidSect="00441579">
          <w:footerReference w:type="default" r:id="rId181"/>
          <w:footnotePr>
            <w:pos w:val="beneathText"/>
          </w:footnotePr>
          <w:pgSz w:w="9979" w:h="14175" w:code="13"/>
          <w:pgMar w:top="1134" w:right="1134" w:bottom="1134" w:left="1134" w:header="709" w:footer="709" w:gutter="0"/>
          <w:cols w:space="623"/>
          <w:docGrid w:linePitch="360"/>
        </w:sectPr>
      </w:pPr>
    </w:p>
    <w:p w14:paraId="1775FD1D" w14:textId="532E88D7" w:rsidR="00C14FCE" w:rsidRPr="008D2A25" w:rsidRDefault="00C14FCE" w:rsidP="00C14FCE">
      <w:pPr>
        <w:rPr>
          <w:b/>
          <w:bCs/>
          <w:color w:val="1C1C1C"/>
          <w:sz w:val="18"/>
          <w:szCs w:val="18"/>
        </w:rPr>
      </w:pPr>
      <w:r w:rsidRPr="008D2A25">
        <w:rPr>
          <w:b/>
          <w:bCs/>
          <w:color w:val="1C1C1C"/>
          <w:sz w:val="18"/>
          <w:szCs w:val="18"/>
        </w:rPr>
        <w:t>Independent Hospital Pricing Authority Financial Statements 202</w:t>
      </w:r>
      <w:r w:rsidR="00DF22E5">
        <w:rPr>
          <w:b/>
          <w:bCs/>
          <w:color w:val="1C1C1C"/>
          <w:sz w:val="18"/>
          <w:szCs w:val="18"/>
        </w:rPr>
        <w:t>1</w:t>
      </w:r>
      <w:r w:rsidRPr="008D2A25">
        <w:rPr>
          <w:b/>
          <w:bCs/>
          <w:color w:val="1C1C1C"/>
          <w:sz w:val="18"/>
          <w:szCs w:val="18"/>
        </w:rPr>
        <w:t>–2</w:t>
      </w:r>
      <w:r w:rsidR="00DF22E5">
        <w:rPr>
          <w:b/>
          <w:bCs/>
          <w:color w:val="1C1C1C"/>
          <w:sz w:val="18"/>
          <w:szCs w:val="18"/>
        </w:rPr>
        <w:t>2</w:t>
      </w:r>
    </w:p>
    <w:p w14:paraId="247C0B57" w14:textId="08C0B723" w:rsidR="00C14FCE" w:rsidRPr="008D2A25" w:rsidRDefault="00C14FCE" w:rsidP="00C14FCE">
      <w:pPr>
        <w:rPr>
          <w:color w:val="1C1C1C"/>
          <w:sz w:val="18"/>
          <w:szCs w:val="18"/>
        </w:rPr>
      </w:pPr>
      <w:r w:rsidRPr="008D2A25">
        <w:rPr>
          <w:color w:val="1C1C1C"/>
          <w:sz w:val="18"/>
          <w:szCs w:val="18"/>
        </w:rPr>
        <w:t>For the year ended 30 June 202</w:t>
      </w:r>
      <w:r w:rsidR="00DF22E5">
        <w:rPr>
          <w:color w:val="1C1C1C"/>
          <w:sz w:val="18"/>
          <w:szCs w:val="18"/>
        </w:rPr>
        <w:t>2</w:t>
      </w:r>
    </w:p>
    <w:p w14:paraId="45CBDF39" w14:textId="77777777" w:rsidR="00C14FCE" w:rsidRPr="008D2A25" w:rsidRDefault="00C14FCE" w:rsidP="00C14FCE">
      <w:pPr>
        <w:pStyle w:val="H3Financials"/>
      </w:pPr>
      <w:bookmarkStart w:id="95" w:name="_Toc83220555"/>
      <w:bookmarkStart w:id="96" w:name="_Toc112133275"/>
      <w:bookmarkStart w:id="97" w:name="_Toc114824699"/>
      <w:r w:rsidRPr="00974E28">
        <w:t>Statement by the Chief Executive Officer and Chief Financial Officer</w:t>
      </w:r>
      <w:bookmarkEnd w:id="95"/>
      <w:bookmarkEnd w:id="96"/>
      <w:bookmarkEnd w:id="97"/>
    </w:p>
    <w:p w14:paraId="393F66A6" w14:textId="4B31B3FD" w:rsidR="00C14FCE" w:rsidRPr="008D2A25" w:rsidRDefault="00C14FCE" w:rsidP="00C14FCE">
      <w:pPr>
        <w:pStyle w:val="Body"/>
      </w:pPr>
      <w:r w:rsidRPr="008D2A25">
        <w:t>In our opinion, the attached financial statements for the year ended 30 June 202</w:t>
      </w:r>
      <w:r w:rsidR="00DF22E5">
        <w:t>2</w:t>
      </w:r>
      <w:r w:rsidRPr="008D2A25">
        <w:t xml:space="preserve"> comply with subsection 42(2) of the </w:t>
      </w:r>
      <w:r w:rsidRPr="008D2A25">
        <w:rPr>
          <w:i/>
          <w:iCs/>
        </w:rPr>
        <w:t>Public Governance, Performance and Accountability Act 2013</w:t>
      </w:r>
      <w:r w:rsidRPr="008D2A25">
        <w:t xml:space="preserve"> (PGPA Act), and are based on properly maintained financial records as per subsection 41(2) of the PGPA Act.</w:t>
      </w:r>
    </w:p>
    <w:p w14:paraId="5051B915" w14:textId="0B60E057" w:rsidR="00C14FCE" w:rsidRPr="008D2A25" w:rsidRDefault="00C14FCE" w:rsidP="00C14FCE">
      <w:pPr>
        <w:pStyle w:val="Body"/>
      </w:pPr>
      <w:r w:rsidRPr="008D2A25">
        <w:t>In our opinion, at the date of this statement, there are reasonable grounds to believe that the Independent Hospital Pricing Authority</w:t>
      </w:r>
      <w:r w:rsidR="00F8111C" w:rsidRPr="00856C96">
        <w:rPr>
          <w:vertAlign w:val="superscript"/>
        </w:rPr>
        <w:t>1</w:t>
      </w:r>
      <w:r w:rsidR="008047B0">
        <w:t xml:space="preserve"> </w:t>
      </w:r>
      <w:r w:rsidRPr="008D2A25">
        <w:t>will be able to pay its debts as and when they fall due.</w:t>
      </w:r>
    </w:p>
    <w:p w14:paraId="3E1FDEE7" w14:textId="631481FB" w:rsidR="00C14FCE" w:rsidRPr="008D2A25" w:rsidRDefault="007634CD" w:rsidP="0060649A">
      <w:pPr>
        <w:spacing w:before="360"/>
        <w:rPr>
          <w:color w:val="1C1C1C"/>
          <w:sz w:val="18"/>
          <w:szCs w:val="18"/>
        </w:rPr>
      </w:pPr>
      <w:r w:rsidRPr="00B812E4">
        <w:rPr>
          <w:noProof/>
          <w:lang w:eastAsia="en-AU"/>
        </w:rPr>
        <w:drawing>
          <wp:inline distT="0" distB="0" distL="0" distR="0" wp14:anchorId="24CB778A" wp14:editId="78E708F2">
            <wp:extent cx="647356" cy="449067"/>
            <wp:effectExtent l="0" t="0" r="635" b="8255"/>
            <wp:docPr id="90" name="Picture 90" descr="Signature of Ms Joanne Fitzgerald&#10;Acting Chief Executive Officer, Independent Hospital Pricing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ignature of Ms Joanne Fitzgerald&#10;Acting Chief Executive Officer, Independent Hospital Pricing Authority&#10;"/>
                    <pic:cNvPicPr>
                      <a:picLocks noChangeAspect="1" noChangeArrowheads="1"/>
                    </pic:cNvPicPr>
                  </pic:nvPicPr>
                  <pic:blipFill>
                    <a:blip r:embed="rId60"/>
                    <a:stretch>
                      <a:fillRect/>
                    </a:stretch>
                  </pic:blipFill>
                  <pic:spPr bwMode="auto">
                    <a:xfrm>
                      <a:off x="0" y="0"/>
                      <a:ext cx="647356" cy="449067"/>
                    </a:xfrm>
                    <a:prstGeom prst="rect">
                      <a:avLst/>
                    </a:prstGeom>
                    <a:noFill/>
                    <a:ln>
                      <a:noFill/>
                    </a:ln>
                  </pic:spPr>
                </pic:pic>
              </a:graphicData>
            </a:graphic>
          </wp:inline>
        </w:drawing>
      </w:r>
    </w:p>
    <w:p w14:paraId="67B71391" w14:textId="1E8B14EB" w:rsidR="00C14FCE" w:rsidRPr="008D2A25" w:rsidRDefault="00F71418" w:rsidP="00C14FCE">
      <w:pPr>
        <w:rPr>
          <w:color w:val="1C1C1C"/>
          <w:sz w:val="18"/>
          <w:szCs w:val="18"/>
        </w:rPr>
      </w:pPr>
      <w:r>
        <w:rPr>
          <w:color w:val="1C1C1C"/>
          <w:sz w:val="18"/>
          <w:szCs w:val="18"/>
        </w:rPr>
        <w:t>M</w:t>
      </w:r>
      <w:r w:rsidR="00DF22E5">
        <w:rPr>
          <w:color w:val="1C1C1C"/>
          <w:sz w:val="18"/>
          <w:szCs w:val="18"/>
        </w:rPr>
        <w:t>s Joanne Fitzgerald</w:t>
      </w:r>
      <w:r w:rsidR="00C14FCE" w:rsidRPr="008D2A25">
        <w:rPr>
          <w:color w:val="1C1C1C"/>
          <w:sz w:val="18"/>
          <w:szCs w:val="18"/>
        </w:rPr>
        <w:br/>
      </w:r>
      <w:r w:rsidR="007634CD">
        <w:rPr>
          <w:color w:val="1C1C1C"/>
          <w:sz w:val="18"/>
          <w:szCs w:val="18"/>
        </w:rPr>
        <w:t xml:space="preserve">Acting </w:t>
      </w:r>
      <w:r w:rsidR="00C14FCE" w:rsidRPr="008D2A25">
        <w:rPr>
          <w:color w:val="1C1C1C"/>
          <w:sz w:val="18"/>
          <w:szCs w:val="18"/>
        </w:rPr>
        <w:t>Chief Executive Officer</w:t>
      </w:r>
      <w:r w:rsidR="00C14FCE" w:rsidRPr="008D2A25">
        <w:rPr>
          <w:color w:val="1C1C1C"/>
          <w:sz w:val="18"/>
          <w:szCs w:val="18"/>
        </w:rPr>
        <w:br/>
      </w:r>
      <w:r w:rsidR="00B17D0D">
        <w:rPr>
          <w:color w:val="1C1C1C"/>
          <w:sz w:val="18"/>
          <w:szCs w:val="18"/>
        </w:rPr>
        <w:t>14</w:t>
      </w:r>
      <w:r w:rsidR="00C14FCE" w:rsidRPr="009C6E92">
        <w:rPr>
          <w:color w:val="1C1C1C"/>
          <w:sz w:val="18"/>
          <w:szCs w:val="18"/>
        </w:rPr>
        <w:t xml:space="preserve"> September 202</w:t>
      </w:r>
      <w:r w:rsidR="007634CD">
        <w:rPr>
          <w:color w:val="1C1C1C"/>
          <w:sz w:val="18"/>
          <w:szCs w:val="18"/>
        </w:rPr>
        <w:t>2</w:t>
      </w:r>
    </w:p>
    <w:p w14:paraId="75767EBC" w14:textId="77777777" w:rsidR="00C14FCE" w:rsidRPr="008D2A25" w:rsidRDefault="00C14FCE" w:rsidP="00C14FCE">
      <w:pPr>
        <w:rPr>
          <w:color w:val="1C1C1C"/>
          <w:sz w:val="18"/>
          <w:szCs w:val="18"/>
        </w:rPr>
      </w:pPr>
      <w:r w:rsidRPr="008D2A25">
        <w:rPr>
          <w:noProof/>
          <w:color w:val="1C1C1C"/>
          <w:sz w:val="18"/>
          <w:szCs w:val="18"/>
          <w:lang w:eastAsia="en-AU"/>
        </w:rPr>
        <w:drawing>
          <wp:inline distT="0" distB="0" distL="0" distR="0" wp14:anchorId="4F8BD838" wp14:editId="36ADD4B7">
            <wp:extent cx="384424" cy="486320"/>
            <wp:effectExtent l="0" t="0" r="0" b="9525"/>
            <wp:docPr id="47" name="Picture 47" descr="Signature of Mr Chris Miljak, Chief Financial Office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ignature of Mr Chris Miljak, Chief Financial Officer, Independent Hospital Pricing Authority"/>
                    <pic:cNvPicPr>
                      <a:picLocks noChangeAspect="1" noChangeArrowheads="1"/>
                    </pic:cNvPicPr>
                  </pic:nvPicPr>
                  <pic:blipFill>
                    <a:blip r:embed="rId182">
                      <a:extLst>
                        <a:ext uri="{28A0092B-C50C-407E-A947-70E740481C1C}">
                          <a14:useLocalDpi xmlns:a14="http://schemas.microsoft.com/office/drawing/2010/main"/>
                        </a:ext>
                      </a:extLst>
                    </a:blip>
                    <a:stretch>
                      <a:fillRect/>
                    </a:stretch>
                  </pic:blipFill>
                  <pic:spPr bwMode="auto">
                    <a:xfrm>
                      <a:off x="0" y="0"/>
                      <a:ext cx="384424" cy="486320"/>
                    </a:xfrm>
                    <a:prstGeom prst="rect">
                      <a:avLst/>
                    </a:prstGeom>
                    <a:noFill/>
                    <a:ln>
                      <a:noFill/>
                    </a:ln>
                  </pic:spPr>
                </pic:pic>
              </a:graphicData>
            </a:graphic>
          </wp:inline>
        </w:drawing>
      </w:r>
    </w:p>
    <w:p w14:paraId="5DE8E310" w14:textId="58AE2E65" w:rsidR="00C14FCE" w:rsidRDefault="00F71418" w:rsidP="00C14FCE">
      <w:pPr>
        <w:rPr>
          <w:color w:val="1C1C1C"/>
          <w:sz w:val="18"/>
          <w:szCs w:val="18"/>
        </w:rPr>
      </w:pPr>
      <w:r>
        <w:rPr>
          <w:color w:val="1C1C1C"/>
          <w:sz w:val="18"/>
          <w:szCs w:val="18"/>
        </w:rPr>
        <w:t xml:space="preserve">Mr </w:t>
      </w:r>
      <w:r w:rsidR="00C14FCE" w:rsidRPr="008D2A25">
        <w:rPr>
          <w:color w:val="1C1C1C"/>
          <w:sz w:val="18"/>
          <w:szCs w:val="18"/>
        </w:rPr>
        <w:t>Chris Miljak</w:t>
      </w:r>
      <w:r w:rsidR="00C14FCE" w:rsidRPr="008D2A25">
        <w:rPr>
          <w:color w:val="1C1C1C"/>
          <w:sz w:val="18"/>
          <w:szCs w:val="18"/>
        </w:rPr>
        <w:br/>
        <w:t>Chief Financial Officer</w:t>
      </w:r>
      <w:r w:rsidR="00C14FCE" w:rsidRPr="008D2A25">
        <w:rPr>
          <w:color w:val="1C1C1C"/>
          <w:sz w:val="18"/>
          <w:szCs w:val="18"/>
        </w:rPr>
        <w:br/>
      </w:r>
      <w:r w:rsidR="00B17D0D">
        <w:rPr>
          <w:color w:val="1C1C1C"/>
          <w:sz w:val="18"/>
          <w:szCs w:val="18"/>
        </w:rPr>
        <w:t>14</w:t>
      </w:r>
      <w:r w:rsidR="00C14FCE" w:rsidRPr="009C6E92">
        <w:rPr>
          <w:color w:val="1C1C1C"/>
          <w:sz w:val="18"/>
          <w:szCs w:val="18"/>
        </w:rPr>
        <w:t xml:space="preserve"> September 202</w:t>
      </w:r>
      <w:r w:rsidR="007634CD">
        <w:rPr>
          <w:color w:val="1C1C1C"/>
          <w:sz w:val="18"/>
          <w:szCs w:val="18"/>
        </w:rPr>
        <w:t>2</w:t>
      </w:r>
    </w:p>
    <w:p w14:paraId="44D2D000" w14:textId="77777777" w:rsidR="008047B0" w:rsidRDefault="008047B0" w:rsidP="00C14FCE">
      <w:pPr>
        <w:rPr>
          <w:color w:val="1C1C1C"/>
          <w:sz w:val="18"/>
          <w:szCs w:val="18"/>
        </w:rPr>
      </w:pPr>
    </w:p>
    <w:p w14:paraId="33DE31E2" w14:textId="77777777" w:rsidR="008047B0" w:rsidRDefault="008047B0" w:rsidP="00C14FCE">
      <w:pPr>
        <w:rPr>
          <w:color w:val="1C1C1C"/>
          <w:sz w:val="18"/>
          <w:szCs w:val="18"/>
        </w:rPr>
      </w:pPr>
    </w:p>
    <w:p w14:paraId="3A76BFEF" w14:textId="77777777" w:rsidR="008047B0" w:rsidRDefault="008047B0" w:rsidP="00C14FCE">
      <w:pPr>
        <w:rPr>
          <w:color w:val="1C1C1C"/>
          <w:sz w:val="18"/>
          <w:szCs w:val="18"/>
        </w:rPr>
      </w:pPr>
    </w:p>
    <w:p w14:paraId="475D8F4B" w14:textId="77777777" w:rsidR="008047B0" w:rsidRDefault="008047B0" w:rsidP="00C14FCE">
      <w:pPr>
        <w:rPr>
          <w:color w:val="1C1C1C"/>
          <w:sz w:val="18"/>
          <w:szCs w:val="18"/>
        </w:rPr>
      </w:pPr>
    </w:p>
    <w:p w14:paraId="5259BEA1" w14:textId="77777777" w:rsidR="008047B0" w:rsidRDefault="008047B0" w:rsidP="00C14FCE">
      <w:pPr>
        <w:rPr>
          <w:color w:val="1C1C1C"/>
          <w:sz w:val="18"/>
          <w:szCs w:val="18"/>
        </w:rPr>
      </w:pPr>
    </w:p>
    <w:p w14:paraId="2123DF65" w14:textId="767D2944" w:rsidR="008047B0" w:rsidRDefault="008047B0" w:rsidP="00C14FCE">
      <w:pPr>
        <w:rPr>
          <w:color w:val="1C1C1C"/>
          <w:sz w:val="18"/>
          <w:szCs w:val="18"/>
        </w:rPr>
      </w:pPr>
    </w:p>
    <w:p w14:paraId="3AA50679" w14:textId="67F611AB" w:rsidR="008047B0" w:rsidRDefault="008047B0" w:rsidP="00C14FCE">
      <w:pPr>
        <w:rPr>
          <w:color w:val="1C1C1C"/>
          <w:sz w:val="18"/>
          <w:szCs w:val="18"/>
        </w:rPr>
      </w:pPr>
    </w:p>
    <w:p w14:paraId="6610B26C" w14:textId="2999C941" w:rsidR="008047B0" w:rsidRDefault="008047B0" w:rsidP="00C14FCE">
      <w:pPr>
        <w:rPr>
          <w:color w:val="1C1C1C"/>
          <w:sz w:val="18"/>
          <w:szCs w:val="18"/>
        </w:rPr>
      </w:pPr>
    </w:p>
    <w:p w14:paraId="019C8553" w14:textId="77777777" w:rsidR="00F8111C" w:rsidRDefault="00F8111C" w:rsidP="00F8111C">
      <w:pPr>
        <w:rPr>
          <w:color w:val="1C1C1C"/>
          <w:sz w:val="18"/>
          <w:szCs w:val="18"/>
        </w:rPr>
      </w:pPr>
    </w:p>
    <w:p w14:paraId="6CB3852F" w14:textId="77777777" w:rsidR="00F8111C" w:rsidRDefault="00F8111C" w:rsidP="00F8111C">
      <w:pPr>
        <w:rPr>
          <w:color w:val="1C1C1C"/>
          <w:sz w:val="18"/>
          <w:szCs w:val="18"/>
        </w:rPr>
      </w:pPr>
      <w:r>
        <w:rPr>
          <w:color w:val="1C1C1C"/>
          <w:sz w:val="18"/>
          <w:szCs w:val="18"/>
        </w:rPr>
        <w:t>________________</w:t>
      </w:r>
    </w:p>
    <w:p w14:paraId="49A10C3F" w14:textId="4BD0EEAB" w:rsidR="00C14FCE" w:rsidRDefault="00F8111C" w:rsidP="004F27FE">
      <w:pPr>
        <w:rPr>
          <w:color w:val="1C1C1C"/>
          <w:sz w:val="18"/>
          <w:szCs w:val="18"/>
        </w:rPr>
      </w:pPr>
      <w:r>
        <w:rPr>
          <w:vertAlign w:val="superscript"/>
        </w:rPr>
        <w:t xml:space="preserve">1 </w:t>
      </w:r>
      <w:r w:rsidRPr="008047B0">
        <w:rPr>
          <w:color w:val="1C1C1C"/>
          <w:sz w:val="18"/>
          <w:szCs w:val="18"/>
        </w:rPr>
        <w:t>On 12 August 2022, the Independent Hospital Pricing Authority was renamed to the Independent Health and Aged Care Pricing Authority.</w:t>
      </w:r>
    </w:p>
    <w:p w14:paraId="13B2BE0A" w14:textId="0E5ABA12" w:rsidR="00537CCC" w:rsidRPr="004F27FE" w:rsidRDefault="00537CCC" w:rsidP="004F27FE">
      <w:pPr>
        <w:rPr>
          <w:color w:val="1C1C1C"/>
          <w:sz w:val="18"/>
          <w:szCs w:val="18"/>
        </w:rPr>
        <w:sectPr w:rsidR="00537CCC" w:rsidRPr="004F27FE" w:rsidSect="00441579">
          <w:footerReference w:type="default" r:id="rId183"/>
          <w:pgSz w:w="9979" w:h="14175" w:code="13"/>
          <w:pgMar w:top="1134" w:right="1134" w:bottom="1134" w:left="1134" w:header="709" w:footer="709" w:gutter="0"/>
          <w:cols w:space="623"/>
          <w:docGrid w:linePitch="360"/>
        </w:sectPr>
      </w:pPr>
    </w:p>
    <w:p w14:paraId="6AFC67FA" w14:textId="565FEC75" w:rsidR="00AB15B8" w:rsidRPr="00241765" w:rsidRDefault="00AB15B8" w:rsidP="00AB15B8">
      <w:pPr>
        <w:pStyle w:val="H2Financials"/>
        <w:spacing w:after="240"/>
      </w:pPr>
      <w:bookmarkStart w:id="98" w:name="_Toc76744238"/>
      <w:bookmarkStart w:id="99" w:name="_Toc83220556"/>
      <w:bookmarkStart w:id="100" w:name="_Toc112133276"/>
      <w:bookmarkStart w:id="101" w:name="_Toc114824700"/>
      <w:r w:rsidRPr="00241765">
        <w:t>Primary financial statements</w:t>
      </w:r>
      <w:bookmarkEnd w:id="98"/>
      <w:bookmarkEnd w:id="99"/>
      <w:bookmarkEnd w:id="100"/>
      <w:bookmarkEnd w:id="101"/>
    </w:p>
    <w:p w14:paraId="702DE17F" w14:textId="77777777" w:rsidR="00AB15B8" w:rsidRPr="00241765" w:rsidRDefault="00AB15B8" w:rsidP="00AB15B8">
      <w:pPr>
        <w:pStyle w:val="H3Financials"/>
        <w:spacing w:before="120"/>
        <w:rPr>
          <w:color w:val="292929"/>
        </w:rPr>
      </w:pPr>
      <w:bookmarkStart w:id="102" w:name="_Toc83220557"/>
      <w:bookmarkStart w:id="103" w:name="_Toc112133277"/>
      <w:bookmarkStart w:id="104" w:name="_Toc114824701"/>
      <w:r w:rsidRPr="00241765">
        <w:rPr>
          <w:color w:val="292929"/>
        </w:rPr>
        <w:t>Statement of comprehensive income</w:t>
      </w:r>
      <w:bookmarkEnd w:id="102"/>
      <w:bookmarkEnd w:id="103"/>
      <w:bookmarkEnd w:id="104"/>
      <w:r w:rsidRPr="00241765">
        <w:rPr>
          <w:color w:val="292929"/>
        </w:rPr>
        <w:t xml:space="preserve"> </w:t>
      </w:r>
    </w:p>
    <w:p w14:paraId="2B30B2C2" w14:textId="2B63954D" w:rsidR="00AB15B8" w:rsidRPr="004F27FE" w:rsidRDefault="00AB15B8" w:rsidP="00AB15B8">
      <w:pPr>
        <w:spacing w:after="0"/>
        <w:rPr>
          <w:i/>
          <w:iCs/>
          <w:color w:val="292929"/>
          <w:sz w:val="18"/>
          <w:szCs w:val="18"/>
        </w:rPr>
      </w:pPr>
      <w:r w:rsidRPr="004F27FE">
        <w:rPr>
          <w:i/>
          <w:iCs/>
          <w:color w:val="292929"/>
          <w:sz w:val="18"/>
          <w:szCs w:val="18"/>
        </w:rPr>
        <w:t>for the period ended 30 June 202</w:t>
      </w:r>
      <w:r w:rsidR="007C0038">
        <w:rPr>
          <w:i/>
          <w:iCs/>
          <w:color w:val="292929"/>
          <w:sz w:val="18"/>
          <w:szCs w:val="18"/>
        </w:rPr>
        <w:t>2</w:t>
      </w:r>
    </w:p>
    <w:tbl>
      <w:tblPr>
        <w:tblStyle w:val="1"/>
        <w:tblW w:w="7423" w:type="dxa"/>
        <w:tblLayout w:type="fixed"/>
        <w:tblLook w:val="0020" w:firstRow="1" w:lastRow="0" w:firstColumn="0" w:lastColumn="0" w:noHBand="0" w:noVBand="0"/>
        <w:tblCaption w:val="Statement of comprehensive income"/>
        <w:tblDescription w:val="Statement of comprehensive income"/>
      </w:tblPr>
      <w:tblGrid>
        <w:gridCol w:w="3483"/>
        <w:gridCol w:w="985"/>
        <w:gridCol w:w="985"/>
        <w:gridCol w:w="985"/>
        <w:gridCol w:w="985"/>
      </w:tblGrid>
      <w:tr w:rsidR="00AB15B8" w:rsidRPr="004F27FE" w14:paraId="6A6C1A57" w14:textId="77777777" w:rsidTr="00B15944">
        <w:trPr>
          <w:trHeight w:val="340"/>
        </w:trPr>
        <w:tc>
          <w:tcPr>
            <w:tcW w:w="3483" w:type="dxa"/>
          </w:tcPr>
          <w:p w14:paraId="06468C6E" w14:textId="77777777" w:rsidR="00AB15B8" w:rsidRPr="004F27FE" w:rsidRDefault="00AB15B8" w:rsidP="00B15944">
            <w:pPr>
              <w:autoSpaceDE w:val="0"/>
              <w:autoSpaceDN w:val="0"/>
              <w:adjustRightInd w:val="0"/>
              <w:spacing w:before="20" w:after="20"/>
              <w:rPr>
                <w:rFonts w:ascii="Futura PT Book" w:hAnsi="Futura PT Book"/>
                <w:color w:val="292929"/>
                <w:sz w:val="24"/>
                <w:szCs w:val="24"/>
              </w:rPr>
            </w:pPr>
          </w:p>
        </w:tc>
        <w:tc>
          <w:tcPr>
            <w:tcW w:w="985" w:type="dxa"/>
            <w:tcBorders>
              <w:bottom w:val="single" w:sz="12" w:space="0" w:color="auto"/>
              <w:right w:val="single" w:sz="18" w:space="0" w:color="FFFFFF" w:themeColor="background2"/>
            </w:tcBorders>
            <w:vAlign w:val="bottom"/>
          </w:tcPr>
          <w:p w14:paraId="5B86042B" w14:textId="77777777" w:rsidR="00AB15B8" w:rsidRPr="004F27FE" w:rsidRDefault="00AB15B8"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3F5AC5E8" w14:textId="52E91C3F" w:rsidR="00AB15B8" w:rsidRPr="004F27FE" w:rsidRDefault="00AB15B8"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2</w:t>
            </w:r>
            <w:r w:rsidRPr="004F27FE">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1867186B" w14:textId="5A4F13F4" w:rsidR="00AB15B8" w:rsidRPr="004F27FE" w:rsidRDefault="00AB15B8"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4F27FE">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tcBorders>
            <w:vAlign w:val="bottom"/>
          </w:tcPr>
          <w:p w14:paraId="4620911F" w14:textId="77777777" w:rsidR="00AB15B8" w:rsidRPr="004F27FE" w:rsidRDefault="00AB15B8"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Original Budget</w:t>
            </w:r>
            <w:r w:rsidRPr="004F27FE">
              <w:rPr>
                <w:rFonts w:asciiTheme="majorHAnsi" w:hAnsiTheme="majorHAnsi" w:cs="Futura PT Heavy"/>
                <w:color w:val="292929"/>
                <w:sz w:val="16"/>
                <w:szCs w:val="16"/>
                <w:lang w:val="en-US"/>
              </w:rPr>
              <w:br/>
              <w:t>$’000</w:t>
            </w:r>
          </w:p>
        </w:tc>
      </w:tr>
      <w:tr w:rsidR="00AB15B8" w:rsidRPr="004F27FE" w14:paraId="238A51EC" w14:textId="77777777" w:rsidTr="00B15944">
        <w:trPr>
          <w:trHeight w:hRule="exact" w:val="227"/>
        </w:trPr>
        <w:tc>
          <w:tcPr>
            <w:tcW w:w="3483" w:type="dxa"/>
          </w:tcPr>
          <w:p w14:paraId="503B71C4" w14:textId="77777777"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NET COST OF SERVICES</w:t>
            </w:r>
          </w:p>
        </w:tc>
        <w:tc>
          <w:tcPr>
            <w:tcW w:w="985" w:type="dxa"/>
            <w:tcBorders>
              <w:top w:val="single" w:sz="12" w:space="0" w:color="auto"/>
              <w:right w:val="single" w:sz="18" w:space="0" w:color="FFFFFF" w:themeColor="background2"/>
            </w:tcBorders>
          </w:tcPr>
          <w:p w14:paraId="13885734"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7086280D"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65BB6378"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top w:val="single" w:sz="12" w:space="0" w:color="auto"/>
              <w:left w:val="single" w:sz="18" w:space="0" w:color="FFFFFF" w:themeColor="background2"/>
            </w:tcBorders>
          </w:tcPr>
          <w:p w14:paraId="60E3F066" w14:textId="77777777" w:rsidR="00AB15B8" w:rsidRPr="004F27FE" w:rsidRDefault="00AB15B8" w:rsidP="00B15944">
            <w:pPr>
              <w:autoSpaceDE w:val="0"/>
              <w:autoSpaceDN w:val="0"/>
              <w:adjustRightInd w:val="0"/>
              <w:spacing w:before="20" w:after="20"/>
              <w:rPr>
                <w:color w:val="292929"/>
                <w:sz w:val="14"/>
                <w:szCs w:val="14"/>
              </w:rPr>
            </w:pPr>
          </w:p>
        </w:tc>
      </w:tr>
      <w:tr w:rsidR="00AB15B8" w:rsidRPr="004F27FE" w14:paraId="54A02E57" w14:textId="77777777" w:rsidTr="00B15944">
        <w:trPr>
          <w:trHeight w:val="227"/>
        </w:trPr>
        <w:tc>
          <w:tcPr>
            <w:tcW w:w="3483" w:type="dxa"/>
          </w:tcPr>
          <w:p w14:paraId="0C758E8C" w14:textId="77777777"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EXPENSES</w:t>
            </w:r>
          </w:p>
        </w:tc>
        <w:tc>
          <w:tcPr>
            <w:tcW w:w="985" w:type="dxa"/>
            <w:tcBorders>
              <w:right w:val="single" w:sz="18" w:space="0" w:color="FFFFFF" w:themeColor="background2"/>
            </w:tcBorders>
          </w:tcPr>
          <w:p w14:paraId="14EA5319"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left w:val="single" w:sz="18" w:space="0" w:color="FFFFFF" w:themeColor="background2"/>
              <w:right w:val="single" w:sz="18" w:space="0" w:color="FFFFFF" w:themeColor="background2"/>
            </w:tcBorders>
          </w:tcPr>
          <w:p w14:paraId="7C82AF6F"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left w:val="single" w:sz="18" w:space="0" w:color="FFFFFF" w:themeColor="background2"/>
              <w:right w:val="single" w:sz="18" w:space="0" w:color="FFFFFF" w:themeColor="background2"/>
            </w:tcBorders>
          </w:tcPr>
          <w:p w14:paraId="3C912EDC"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left w:val="single" w:sz="18" w:space="0" w:color="FFFFFF" w:themeColor="background2"/>
            </w:tcBorders>
          </w:tcPr>
          <w:p w14:paraId="28BF7960" w14:textId="77777777" w:rsidR="00AB15B8" w:rsidRPr="004F27FE" w:rsidRDefault="00AB15B8" w:rsidP="00B15944">
            <w:pPr>
              <w:autoSpaceDE w:val="0"/>
              <w:autoSpaceDN w:val="0"/>
              <w:adjustRightInd w:val="0"/>
              <w:spacing w:before="20" w:after="20"/>
              <w:rPr>
                <w:color w:val="292929"/>
                <w:sz w:val="14"/>
                <w:szCs w:val="14"/>
              </w:rPr>
            </w:pPr>
          </w:p>
        </w:tc>
      </w:tr>
      <w:tr w:rsidR="00AB15B8" w:rsidRPr="004F27FE" w14:paraId="1D49CC2B" w14:textId="77777777" w:rsidTr="00B15944">
        <w:trPr>
          <w:trHeight w:val="170"/>
        </w:trPr>
        <w:tc>
          <w:tcPr>
            <w:tcW w:w="3483" w:type="dxa"/>
          </w:tcPr>
          <w:p w14:paraId="201EB0F9"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Employee benefits</w:t>
            </w:r>
          </w:p>
        </w:tc>
        <w:tc>
          <w:tcPr>
            <w:tcW w:w="985" w:type="dxa"/>
            <w:tcBorders>
              <w:right w:val="single" w:sz="18" w:space="0" w:color="FFFFFF" w:themeColor="background2"/>
            </w:tcBorders>
          </w:tcPr>
          <w:p w14:paraId="5478137A"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1.1A</w:t>
            </w:r>
          </w:p>
        </w:tc>
        <w:tc>
          <w:tcPr>
            <w:tcW w:w="985" w:type="dxa"/>
            <w:tcBorders>
              <w:left w:val="single" w:sz="18" w:space="0" w:color="FFFFFF" w:themeColor="background2"/>
              <w:right w:val="single" w:sz="18" w:space="0" w:color="FFFFFF" w:themeColor="background2"/>
            </w:tcBorders>
          </w:tcPr>
          <w:p w14:paraId="1D90130D" w14:textId="08F9D771"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8,864</w:t>
            </w:r>
            <w:r w:rsidRPr="004F27FE">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3B37AA7F" w14:textId="797615F5"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7,</w:t>
            </w:r>
            <w:r>
              <w:rPr>
                <w:color w:val="292929"/>
                <w:sz w:val="14"/>
                <w:szCs w:val="14"/>
              </w:rPr>
              <w:t>764</w:t>
            </w:r>
          </w:p>
        </w:tc>
        <w:tc>
          <w:tcPr>
            <w:tcW w:w="985" w:type="dxa"/>
            <w:tcBorders>
              <w:left w:val="single" w:sz="18" w:space="0" w:color="FFFFFF" w:themeColor="background2"/>
            </w:tcBorders>
          </w:tcPr>
          <w:p w14:paraId="61949CA2" w14:textId="653160AD"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12</w:t>
            </w:r>
            <w:r w:rsidRPr="004F27FE">
              <w:rPr>
                <w:color w:val="292929"/>
                <w:sz w:val="14"/>
                <w:szCs w:val="14"/>
              </w:rPr>
              <w:t>,</w:t>
            </w:r>
            <w:r>
              <w:rPr>
                <w:color w:val="292929"/>
                <w:sz w:val="14"/>
                <w:szCs w:val="14"/>
              </w:rPr>
              <w:t>641</w:t>
            </w:r>
          </w:p>
        </w:tc>
      </w:tr>
      <w:tr w:rsidR="00AB15B8" w:rsidRPr="004F27FE" w14:paraId="7304DE35" w14:textId="77777777" w:rsidTr="00B15944">
        <w:trPr>
          <w:trHeight w:val="170"/>
        </w:trPr>
        <w:tc>
          <w:tcPr>
            <w:tcW w:w="3483" w:type="dxa"/>
          </w:tcPr>
          <w:p w14:paraId="332A54E1"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Suppliers</w:t>
            </w:r>
          </w:p>
        </w:tc>
        <w:tc>
          <w:tcPr>
            <w:tcW w:w="985" w:type="dxa"/>
            <w:tcBorders>
              <w:right w:val="single" w:sz="18" w:space="0" w:color="FFFFFF" w:themeColor="background2"/>
            </w:tcBorders>
          </w:tcPr>
          <w:p w14:paraId="7A070B9C"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1.1B</w:t>
            </w:r>
          </w:p>
        </w:tc>
        <w:tc>
          <w:tcPr>
            <w:tcW w:w="985" w:type="dxa"/>
            <w:tcBorders>
              <w:left w:val="single" w:sz="18" w:space="0" w:color="FFFFFF" w:themeColor="background2"/>
              <w:right w:val="single" w:sz="18" w:space="0" w:color="FFFFFF" w:themeColor="background2"/>
            </w:tcBorders>
          </w:tcPr>
          <w:p w14:paraId="7B5551A2" w14:textId="695964F2"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16,695</w:t>
            </w:r>
          </w:p>
        </w:tc>
        <w:tc>
          <w:tcPr>
            <w:tcW w:w="985" w:type="dxa"/>
            <w:tcBorders>
              <w:left w:val="single" w:sz="18" w:space="0" w:color="FFFFFF" w:themeColor="background2"/>
              <w:right w:val="single" w:sz="18" w:space="0" w:color="FFFFFF" w:themeColor="background2"/>
            </w:tcBorders>
          </w:tcPr>
          <w:p w14:paraId="1329BEB2" w14:textId="7449ACCE"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9,800</w:t>
            </w:r>
          </w:p>
        </w:tc>
        <w:tc>
          <w:tcPr>
            <w:tcW w:w="985" w:type="dxa"/>
            <w:tcBorders>
              <w:left w:val="single" w:sz="18" w:space="0" w:color="FFFFFF" w:themeColor="background2"/>
            </w:tcBorders>
          </w:tcPr>
          <w:p w14:paraId="43857C78" w14:textId="7C283050"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w:t>
            </w:r>
            <w:r>
              <w:rPr>
                <w:color w:val="292929"/>
                <w:sz w:val="14"/>
                <w:szCs w:val="14"/>
              </w:rPr>
              <w:t>8</w:t>
            </w:r>
            <w:r w:rsidRPr="004F27FE">
              <w:rPr>
                <w:color w:val="292929"/>
                <w:sz w:val="14"/>
                <w:szCs w:val="14"/>
              </w:rPr>
              <w:t>,</w:t>
            </w:r>
            <w:r>
              <w:rPr>
                <w:color w:val="292929"/>
                <w:sz w:val="14"/>
                <w:szCs w:val="14"/>
              </w:rPr>
              <w:t>702</w:t>
            </w:r>
          </w:p>
        </w:tc>
      </w:tr>
      <w:tr w:rsidR="00AB15B8" w:rsidRPr="004F27FE" w14:paraId="4B46CCD0" w14:textId="77777777" w:rsidTr="00B15944">
        <w:trPr>
          <w:trHeight w:val="170"/>
        </w:trPr>
        <w:tc>
          <w:tcPr>
            <w:tcW w:w="3483" w:type="dxa"/>
          </w:tcPr>
          <w:p w14:paraId="1CCD968F"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Depreciation and amortisation</w:t>
            </w:r>
          </w:p>
        </w:tc>
        <w:tc>
          <w:tcPr>
            <w:tcW w:w="985" w:type="dxa"/>
            <w:tcBorders>
              <w:right w:val="single" w:sz="18" w:space="0" w:color="FFFFFF" w:themeColor="background2"/>
            </w:tcBorders>
          </w:tcPr>
          <w:p w14:paraId="1615B6CE"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2.2A</w:t>
            </w:r>
          </w:p>
        </w:tc>
        <w:tc>
          <w:tcPr>
            <w:tcW w:w="985" w:type="dxa"/>
            <w:tcBorders>
              <w:left w:val="single" w:sz="18" w:space="0" w:color="FFFFFF" w:themeColor="background2"/>
              <w:right w:val="single" w:sz="18" w:space="0" w:color="FFFFFF" w:themeColor="background2"/>
            </w:tcBorders>
          </w:tcPr>
          <w:p w14:paraId="5A12C1EB" w14:textId="5C62FA6B"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1,301</w:t>
            </w:r>
          </w:p>
        </w:tc>
        <w:tc>
          <w:tcPr>
            <w:tcW w:w="985" w:type="dxa"/>
            <w:tcBorders>
              <w:left w:val="single" w:sz="18" w:space="0" w:color="FFFFFF" w:themeColor="background2"/>
              <w:right w:val="single" w:sz="18" w:space="0" w:color="FFFFFF" w:themeColor="background2"/>
            </w:tcBorders>
          </w:tcPr>
          <w:p w14:paraId="1CA64058" w14:textId="116479FE"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w:t>
            </w:r>
            <w:r>
              <w:rPr>
                <w:color w:val="292929"/>
                <w:sz w:val="14"/>
                <w:szCs w:val="14"/>
              </w:rPr>
              <w:t>437</w:t>
            </w:r>
            <w:r w:rsidRPr="004F27FE">
              <w:rPr>
                <w:color w:val="292929"/>
                <w:sz w:val="14"/>
                <w:szCs w:val="14"/>
              </w:rPr>
              <w:t xml:space="preserve"> </w:t>
            </w:r>
          </w:p>
        </w:tc>
        <w:tc>
          <w:tcPr>
            <w:tcW w:w="985" w:type="dxa"/>
            <w:tcBorders>
              <w:left w:val="single" w:sz="18" w:space="0" w:color="FFFFFF" w:themeColor="background2"/>
            </w:tcBorders>
          </w:tcPr>
          <w:p w14:paraId="30FF3FFE" w14:textId="5B7C066B"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1,1</w:t>
            </w:r>
            <w:r>
              <w:rPr>
                <w:color w:val="292929"/>
                <w:sz w:val="14"/>
                <w:szCs w:val="14"/>
              </w:rPr>
              <w:t>65</w:t>
            </w:r>
            <w:r w:rsidRPr="004F27FE">
              <w:rPr>
                <w:color w:val="292929"/>
                <w:sz w:val="14"/>
                <w:szCs w:val="14"/>
              </w:rPr>
              <w:t xml:space="preserve">  </w:t>
            </w:r>
          </w:p>
        </w:tc>
      </w:tr>
      <w:tr w:rsidR="00AB15B8" w:rsidRPr="004F27FE" w14:paraId="4F6EEFA9" w14:textId="77777777" w:rsidTr="00B15944">
        <w:trPr>
          <w:trHeight w:val="170"/>
        </w:trPr>
        <w:tc>
          <w:tcPr>
            <w:tcW w:w="3483" w:type="dxa"/>
          </w:tcPr>
          <w:p w14:paraId="762C23B9"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Finance costs</w:t>
            </w:r>
          </w:p>
        </w:tc>
        <w:tc>
          <w:tcPr>
            <w:tcW w:w="985" w:type="dxa"/>
            <w:tcBorders>
              <w:right w:val="single" w:sz="18" w:space="0" w:color="FFFFFF" w:themeColor="background2"/>
            </w:tcBorders>
          </w:tcPr>
          <w:p w14:paraId="16635A15"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1.1C</w:t>
            </w:r>
          </w:p>
        </w:tc>
        <w:tc>
          <w:tcPr>
            <w:tcW w:w="985" w:type="dxa"/>
            <w:tcBorders>
              <w:left w:val="single" w:sz="18" w:space="0" w:color="FFFFFF" w:themeColor="background2"/>
              <w:right w:val="single" w:sz="18" w:space="0" w:color="FFFFFF" w:themeColor="background2"/>
            </w:tcBorders>
          </w:tcPr>
          <w:p w14:paraId="7C83A46D" w14:textId="5FD3CEC1"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6</w:t>
            </w:r>
            <w:r>
              <w:rPr>
                <w:rFonts w:asciiTheme="majorHAnsi" w:hAnsiTheme="majorHAnsi"/>
                <w:color w:val="292929"/>
                <w:sz w:val="14"/>
                <w:szCs w:val="14"/>
              </w:rPr>
              <w:t>1</w:t>
            </w:r>
            <w:r w:rsidRPr="004F27FE">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6147F0C4" w14:textId="755801DD"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63</w:t>
            </w:r>
            <w:r w:rsidRPr="004F27FE">
              <w:rPr>
                <w:color w:val="292929"/>
                <w:sz w:val="14"/>
                <w:szCs w:val="14"/>
              </w:rPr>
              <w:t xml:space="preserve"> </w:t>
            </w:r>
          </w:p>
        </w:tc>
        <w:tc>
          <w:tcPr>
            <w:tcW w:w="985" w:type="dxa"/>
            <w:tcBorders>
              <w:left w:val="single" w:sz="18" w:space="0" w:color="FFFFFF" w:themeColor="background2"/>
            </w:tcBorders>
          </w:tcPr>
          <w:p w14:paraId="1FEC831F" w14:textId="1C2C315D"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 6</w:t>
            </w:r>
            <w:r>
              <w:rPr>
                <w:color w:val="292929"/>
                <w:sz w:val="14"/>
                <w:szCs w:val="14"/>
              </w:rPr>
              <w:t>0</w:t>
            </w:r>
            <w:r w:rsidRPr="004F27FE">
              <w:rPr>
                <w:color w:val="292929"/>
                <w:sz w:val="14"/>
                <w:szCs w:val="14"/>
              </w:rPr>
              <w:t xml:space="preserve"> </w:t>
            </w:r>
          </w:p>
        </w:tc>
      </w:tr>
      <w:tr w:rsidR="00AB15B8" w:rsidRPr="004F27FE" w14:paraId="3E8E4FEF" w14:textId="77777777" w:rsidTr="00B15944">
        <w:trPr>
          <w:trHeight w:val="170"/>
        </w:trPr>
        <w:tc>
          <w:tcPr>
            <w:tcW w:w="3483" w:type="dxa"/>
          </w:tcPr>
          <w:p w14:paraId="6DED1775"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Losses from the disposal of assets</w:t>
            </w:r>
          </w:p>
        </w:tc>
        <w:tc>
          <w:tcPr>
            <w:tcW w:w="985" w:type="dxa"/>
            <w:tcBorders>
              <w:right w:val="single" w:sz="18" w:space="0" w:color="FFFFFF" w:themeColor="background2"/>
            </w:tcBorders>
          </w:tcPr>
          <w:p w14:paraId="3BA9E761" w14:textId="5ADBCF1F"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2.2A</w:t>
            </w:r>
          </w:p>
        </w:tc>
        <w:tc>
          <w:tcPr>
            <w:tcW w:w="985" w:type="dxa"/>
            <w:tcBorders>
              <w:left w:val="single" w:sz="18" w:space="0" w:color="FFFFFF" w:themeColor="background2"/>
              <w:bottom w:val="single" w:sz="2" w:space="0" w:color="auto"/>
              <w:right w:val="single" w:sz="18" w:space="0" w:color="FFFFFF" w:themeColor="background2"/>
            </w:tcBorders>
          </w:tcPr>
          <w:p w14:paraId="001E4218" w14:textId="5D0B7887"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738</w:t>
            </w:r>
            <w:r w:rsidRPr="004F27FE">
              <w:rPr>
                <w:rFonts w:asciiTheme="majorHAnsi" w:hAnsiTheme="majorHAnsi"/>
                <w:color w:val="292929"/>
                <w:sz w:val="14"/>
                <w:szCs w:val="14"/>
              </w:rPr>
              <w:t xml:space="preserve"> </w:t>
            </w:r>
          </w:p>
        </w:tc>
        <w:tc>
          <w:tcPr>
            <w:tcW w:w="985" w:type="dxa"/>
            <w:tcBorders>
              <w:left w:val="single" w:sz="18" w:space="0" w:color="FFFFFF" w:themeColor="background2"/>
              <w:bottom w:val="single" w:sz="2" w:space="0" w:color="auto"/>
              <w:right w:val="single" w:sz="18" w:space="0" w:color="FFFFFF" w:themeColor="background2"/>
            </w:tcBorders>
          </w:tcPr>
          <w:p w14:paraId="23DA3BA2" w14:textId="2B27B33C"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w:t>
            </w:r>
            <w:r w:rsidRPr="004F27FE">
              <w:rPr>
                <w:color w:val="292929"/>
                <w:sz w:val="14"/>
                <w:szCs w:val="14"/>
              </w:rPr>
              <w:t xml:space="preserve"> </w:t>
            </w:r>
          </w:p>
        </w:tc>
        <w:tc>
          <w:tcPr>
            <w:tcW w:w="985" w:type="dxa"/>
            <w:tcBorders>
              <w:left w:val="single" w:sz="18" w:space="0" w:color="FFFFFF" w:themeColor="background2"/>
              <w:bottom w:val="single" w:sz="2" w:space="0" w:color="auto"/>
            </w:tcBorders>
          </w:tcPr>
          <w:p w14:paraId="062E7013"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 - </w:t>
            </w:r>
          </w:p>
        </w:tc>
      </w:tr>
      <w:tr w:rsidR="00AB15B8" w:rsidRPr="004F27FE" w14:paraId="05EB4671" w14:textId="77777777" w:rsidTr="00B15944">
        <w:trPr>
          <w:trHeight w:val="170"/>
        </w:trPr>
        <w:tc>
          <w:tcPr>
            <w:tcW w:w="3483" w:type="dxa"/>
          </w:tcPr>
          <w:p w14:paraId="749D6527" w14:textId="77777777"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Total expenses</w:t>
            </w:r>
          </w:p>
        </w:tc>
        <w:tc>
          <w:tcPr>
            <w:tcW w:w="985" w:type="dxa"/>
            <w:tcBorders>
              <w:right w:val="single" w:sz="18" w:space="0" w:color="FFFFFF" w:themeColor="background2"/>
            </w:tcBorders>
          </w:tcPr>
          <w:p w14:paraId="553E877F" w14:textId="77777777" w:rsidR="00AB15B8" w:rsidRPr="004F27FE" w:rsidRDefault="00AB15B8"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AE0F691" w14:textId="07B2F4CC"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27,659</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35FF3F1" w14:textId="691CA244"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19,064</w:t>
            </w:r>
          </w:p>
        </w:tc>
        <w:tc>
          <w:tcPr>
            <w:tcW w:w="985" w:type="dxa"/>
            <w:tcBorders>
              <w:top w:val="single" w:sz="2" w:space="0" w:color="auto"/>
              <w:left w:val="single" w:sz="18" w:space="0" w:color="FFFFFF" w:themeColor="background2"/>
              <w:bottom w:val="single" w:sz="2" w:space="0" w:color="auto"/>
            </w:tcBorders>
          </w:tcPr>
          <w:p w14:paraId="131E212C" w14:textId="3C0969D9"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32,568</w:t>
            </w:r>
          </w:p>
        </w:tc>
      </w:tr>
      <w:tr w:rsidR="00AB15B8" w:rsidRPr="004F27FE" w14:paraId="0B11217E" w14:textId="77777777" w:rsidTr="00B15944">
        <w:trPr>
          <w:trHeight w:val="283"/>
        </w:trPr>
        <w:tc>
          <w:tcPr>
            <w:tcW w:w="3483" w:type="dxa"/>
          </w:tcPr>
          <w:p w14:paraId="2DFA0C08" w14:textId="77777777"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OWN-SOURCE INCOME</w:t>
            </w:r>
          </w:p>
        </w:tc>
        <w:tc>
          <w:tcPr>
            <w:tcW w:w="985" w:type="dxa"/>
            <w:tcBorders>
              <w:right w:val="single" w:sz="18" w:space="0" w:color="FFFFFF" w:themeColor="background2"/>
            </w:tcBorders>
          </w:tcPr>
          <w:p w14:paraId="6CAC6479"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2C97606F"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465B3A25" w14:textId="77777777" w:rsidR="00AB15B8" w:rsidRPr="004F27FE" w:rsidRDefault="00AB15B8"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tcBorders>
          </w:tcPr>
          <w:p w14:paraId="34D283A5" w14:textId="77777777" w:rsidR="00AB15B8" w:rsidRPr="004F27FE" w:rsidRDefault="00AB15B8" w:rsidP="00B15944">
            <w:pPr>
              <w:autoSpaceDE w:val="0"/>
              <w:autoSpaceDN w:val="0"/>
              <w:adjustRightInd w:val="0"/>
              <w:spacing w:before="20" w:after="20"/>
              <w:rPr>
                <w:color w:val="292929"/>
                <w:sz w:val="14"/>
                <w:szCs w:val="14"/>
              </w:rPr>
            </w:pPr>
          </w:p>
        </w:tc>
      </w:tr>
      <w:tr w:rsidR="00AB15B8" w:rsidRPr="004F27FE" w14:paraId="2F1DAE17" w14:textId="77777777" w:rsidTr="00B15944">
        <w:trPr>
          <w:trHeight w:val="170"/>
        </w:trPr>
        <w:tc>
          <w:tcPr>
            <w:tcW w:w="3483" w:type="dxa"/>
          </w:tcPr>
          <w:p w14:paraId="2B3E9C5E" w14:textId="77777777"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Own-source revenue</w:t>
            </w:r>
          </w:p>
        </w:tc>
        <w:tc>
          <w:tcPr>
            <w:tcW w:w="985" w:type="dxa"/>
            <w:tcBorders>
              <w:right w:val="single" w:sz="18" w:space="0" w:color="FFFFFF" w:themeColor="background2"/>
            </w:tcBorders>
          </w:tcPr>
          <w:p w14:paraId="1C018177" w14:textId="77777777" w:rsidR="00AB15B8" w:rsidRPr="004F27FE" w:rsidRDefault="00AB15B8"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00D0785E" w14:textId="77777777" w:rsidR="00AB15B8" w:rsidRPr="004F27FE" w:rsidRDefault="00AB15B8"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58A66239" w14:textId="77777777" w:rsidR="00AB15B8" w:rsidRPr="004F27FE" w:rsidRDefault="00AB15B8"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tcBorders>
          </w:tcPr>
          <w:p w14:paraId="021307C4" w14:textId="77777777" w:rsidR="00AB15B8" w:rsidRPr="004F27FE" w:rsidRDefault="00AB15B8" w:rsidP="00B15944">
            <w:pPr>
              <w:autoSpaceDE w:val="0"/>
              <w:autoSpaceDN w:val="0"/>
              <w:adjustRightInd w:val="0"/>
              <w:spacing w:before="20" w:after="20"/>
              <w:jc w:val="right"/>
              <w:rPr>
                <w:color w:val="292929"/>
                <w:sz w:val="14"/>
                <w:szCs w:val="14"/>
              </w:rPr>
            </w:pPr>
          </w:p>
        </w:tc>
      </w:tr>
      <w:tr w:rsidR="00AB15B8" w:rsidRPr="004F27FE" w14:paraId="26DD7659" w14:textId="77777777" w:rsidTr="00B15944">
        <w:trPr>
          <w:trHeight w:val="170"/>
        </w:trPr>
        <w:tc>
          <w:tcPr>
            <w:tcW w:w="3483" w:type="dxa"/>
          </w:tcPr>
          <w:p w14:paraId="20AC7191"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r>
              <w:rPr>
                <w:rFonts w:cs="Futura PT Book"/>
                <w:color w:val="292929"/>
                <w:sz w:val="14"/>
                <w:szCs w:val="14"/>
                <w:lang w:val="en-US"/>
              </w:rPr>
              <w:t>Revenue from contracts with customers</w:t>
            </w:r>
          </w:p>
        </w:tc>
        <w:tc>
          <w:tcPr>
            <w:tcW w:w="985" w:type="dxa"/>
            <w:tcBorders>
              <w:right w:val="single" w:sz="18" w:space="0" w:color="FFFFFF" w:themeColor="background2"/>
            </w:tcBorders>
          </w:tcPr>
          <w:p w14:paraId="128D7D8D"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1.2A</w:t>
            </w:r>
          </w:p>
        </w:tc>
        <w:tc>
          <w:tcPr>
            <w:tcW w:w="985" w:type="dxa"/>
            <w:tcBorders>
              <w:left w:val="single" w:sz="18" w:space="0" w:color="FFFFFF" w:themeColor="background2"/>
              <w:right w:val="single" w:sz="18" w:space="0" w:color="FFFFFF" w:themeColor="background2"/>
            </w:tcBorders>
          </w:tcPr>
          <w:p w14:paraId="591654B3" w14:textId="66303090" w:rsidR="00AB15B8" w:rsidRPr="004F27FE" w:rsidRDefault="00700E20"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1,034</w:t>
            </w:r>
          </w:p>
        </w:tc>
        <w:tc>
          <w:tcPr>
            <w:tcW w:w="985" w:type="dxa"/>
            <w:tcBorders>
              <w:left w:val="single" w:sz="18" w:space="0" w:color="FFFFFF" w:themeColor="background2"/>
              <w:right w:val="single" w:sz="18" w:space="0" w:color="FFFFFF" w:themeColor="background2"/>
            </w:tcBorders>
          </w:tcPr>
          <w:p w14:paraId="48BC45FF" w14:textId="1991F88F" w:rsidR="00AB15B8" w:rsidRPr="004F27FE" w:rsidRDefault="00700E20"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217</w:t>
            </w:r>
            <w:r w:rsidR="00AB15B8" w:rsidRPr="004F27FE">
              <w:rPr>
                <w:color w:val="292929"/>
                <w:sz w:val="14"/>
                <w:szCs w:val="14"/>
              </w:rPr>
              <w:t xml:space="preserve"> </w:t>
            </w:r>
          </w:p>
        </w:tc>
        <w:tc>
          <w:tcPr>
            <w:tcW w:w="985" w:type="dxa"/>
            <w:tcBorders>
              <w:left w:val="single" w:sz="18" w:space="0" w:color="FFFFFF" w:themeColor="background2"/>
            </w:tcBorders>
          </w:tcPr>
          <w:p w14:paraId="79D621D9" w14:textId="10891CA2" w:rsidR="00AB15B8" w:rsidRPr="004F27FE" w:rsidRDefault="00700E20"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1,000</w:t>
            </w:r>
          </w:p>
        </w:tc>
      </w:tr>
      <w:tr w:rsidR="00AB15B8" w:rsidRPr="004F27FE" w14:paraId="738A35EF" w14:textId="77777777" w:rsidTr="00B15944">
        <w:trPr>
          <w:trHeight w:val="170"/>
        </w:trPr>
        <w:tc>
          <w:tcPr>
            <w:tcW w:w="3483" w:type="dxa"/>
          </w:tcPr>
          <w:p w14:paraId="1911F932" w14:textId="454FDA56" w:rsidR="00AB15B8" w:rsidRPr="004F27FE" w:rsidRDefault="00700E20" w:rsidP="00B15944">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Resources received free of charge</w:t>
            </w:r>
          </w:p>
        </w:tc>
        <w:tc>
          <w:tcPr>
            <w:tcW w:w="985" w:type="dxa"/>
            <w:tcBorders>
              <w:right w:val="single" w:sz="18" w:space="0" w:color="FFFFFF" w:themeColor="background2"/>
            </w:tcBorders>
          </w:tcPr>
          <w:p w14:paraId="6191A3DE" w14:textId="1E631EDE" w:rsidR="00AB15B8" w:rsidRPr="004F27FE" w:rsidRDefault="00700E20" w:rsidP="00B15944">
            <w:pPr>
              <w:autoSpaceDE w:val="0"/>
              <w:autoSpaceDN w:val="0"/>
              <w:adjustRightInd w:val="0"/>
              <w:spacing w:before="20" w:after="20"/>
              <w:jc w:val="right"/>
              <w:rPr>
                <w:color w:val="292929"/>
                <w:sz w:val="14"/>
                <w:szCs w:val="14"/>
              </w:rPr>
            </w:pPr>
            <w:r>
              <w:rPr>
                <w:color w:val="292929"/>
                <w:sz w:val="14"/>
                <w:szCs w:val="14"/>
              </w:rPr>
              <w:t>1.2B</w:t>
            </w:r>
          </w:p>
        </w:tc>
        <w:tc>
          <w:tcPr>
            <w:tcW w:w="985" w:type="dxa"/>
            <w:tcBorders>
              <w:left w:val="single" w:sz="18" w:space="0" w:color="FFFFFF" w:themeColor="background2"/>
              <w:right w:val="single" w:sz="18" w:space="0" w:color="FFFFFF" w:themeColor="background2"/>
            </w:tcBorders>
          </w:tcPr>
          <w:p w14:paraId="2B485809" w14:textId="384B1E89" w:rsidR="00AB15B8" w:rsidRPr="004F27FE" w:rsidRDefault="00700E20"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8,514</w:t>
            </w:r>
            <w:r w:rsidR="00AB15B8" w:rsidRPr="004F27FE">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116629B0" w14:textId="729D2DF3" w:rsidR="00AB15B8" w:rsidRPr="004F27FE" w:rsidRDefault="00700E20"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7,440</w:t>
            </w:r>
          </w:p>
        </w:tc>
        <w:tc>
          <w:tcPr>
            <w:tcW w:w="985" w:type="dxa"/>
            <w:tcBorders>
              <w:left w:val="single" w:sz="18" w:space="0" w:color="FFFFFF" w:themeColor="background2"/>
            </w:tcBorders>
          </w:tcPr>
          <w:p w14:paraId="175A054E" w14:textId="6124AF45" w:rsidR="00AB15B8" w:rsidRPr="004F27FE" w:rsidRDefault="00700E20"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12,260</w:t>
            </w:r>
            <w:r w:rsidR="00AB15B8" w:rsidRPr="004F27FE">
              <w:rPr>
                <w:color w:val="292929"/>
                <w:sz w:val="14"/>
                <w:szCs w:val="14"/>
              </w:rPr>
              <w:t xml:space="preserve"> </w:t>
            </w:r>
          </w:p>
        </w:tc>
      </w:tr>
      <w:tr w:rsidR="00AB15B8" w:rsidRPr="004F27FE" w14:paraId="2C234A3F" w14:textId="77777777" w:rsidTr="00B15944">
        <w:trPr>
          <w:trHeight w:val="170"/>
        </w:trPr>
        <w:tc>
          <w:tcPr>
            <w:tcW w:w="3483" w:type="dxa"/>
          </w:tcPr>
          <w:p w14:paraId="1843FF4C" w14:textId="360E2150" w:rsidR="00AB15B8" w:rsidRPr="004F27FE" w:rsidRDefault="00700E20" w:rsidP="00B15944">
            <w:pPr>
              <w:suppressAutoHyphens/>
              <w:autoSpaceDE w:val="0"/>
              <w:autoSpaceDN w:val="0"/>
              <w:adjustRightInd w:val="0"/>
              <w:spacing w:before="20" w:after="20"/>
              <w:textAlignment w:val="center"/>
              <w:rPr>
                <w:rFonts w:cs="Futura PT Book"/>
                <w:color w:val="292929"/>
                <w:sz w:val="14"/>
                <w:szCs w:val="14"/>
                <w:lang w:val="en-US"/>
              </w:rPr>
            </w:pPr>
            <w:r>
              <w:rPr>
                <w:rFonts w:cs="Futura PT Book"/>
                <w:color w:val="292929"/>
                <w:sz w:val="14"/>
                <w:szCs w:val="14"/>
                <w:lang w:val="en-US"/>
              </w:rPr>
              <w:t>Interest</w:t>
            </w:r>
          </w:p>
        </w:tc>
        <w:tc>
          <w:tcPr>
            <w:tcW w:w="985" w:type="dxa"/>
            <w:tcBorders>
              <w:right w:val="single" w:sz="18" w:space="0" w:color="FFFFFF" w:themeColor="background2"/>
            </w:tcBorders>
          </w:tcPr>
          <w:p w14:paraId="03A5C8A0" w14:textId="2267F03D"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bottom w:val="single" w:sz="2" w:space="0" w:color="auto"/>
              <w:right w:val="single" w:sz="18" w:space="0" w:color="FFFFFF" w:themeColor="background2"/>
            </w:tcBorders>
          </w:tcPr>
          <w:p w14:paraId="0A0E5694" w14:textId="66A1C3C5" w:rsidR="00AB15B8" w:rsidRPr="004F27FE" w:rsidRDefault="00700E20"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6</w:t>
            </w:r>
          </w:p>
        </w:tc>
        <w:tc>
          <w:tcPr>
            <w:tcW w:w="985" w:type="dxa"/>
            <w:tcBorders>
              <w:left w:val="single" w:sz="18" w:space="0" w:color="FFFFFF" w:themeColor="background2"/>
              <w:bottom w:val="single" w:sz="2" w:space="0" w:color="auto"/>
              <w:right w:val="single" w:sz="18" w:space="0" w:color="FFFFFF" w:themeColor="background2"/>
            </w:tcBorders>
          </w:tcPr>
          <w:p w14:paraId="631C24EF" w14:textId="7B4CEFB7" w:rsidR="00AB15B8" w:rsidRPr="004F27FE" w:rsidRDefault="00700E20"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5</w:t>
            </w:r>
          </w:p>
        </w:tc>
        <w:tc>
          <w:tcPr>
            <w:tcW w:w="985" w:type="dxa"/>
            <w:tcBorders>
              <w:left w:val="single" w:sz="18" w:space="0" w:color="FFFFFF" w:themeColor="background2"/>
              <w:bottom w:val="single" w:sz="2" w:space="0" w:color="auto"/>
            </w:tcBorders>
          </w:tcPr>
          <w:p w14:paraId="49C1D55E" w14:textId="1EBC4118" w:rsidR="00AB15B8" w:rsidRPr="004F27FE" w:rsidRDefault="00700E20"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5</w:t>
            </w:r>
          </w:p>
        </w:tc>
      </w:tr>
      <w:tr w:rsidR="007C0038" w:rsidRPr="004F27FE" w14:paraId="1738F30E" w14:textId="77777777" w:rsidTr="00B15944">
        <w:trPr>
          <w:trHeight w:val="170"/>
        </w:trPr>
        <w:tc>
          <w:tcPr>
            <w:tcW w:w="3483" w:type="dxa"/>
          </w:tcPr>
          <w:p w14:paraId="60E41738" w14:textId="77777777" w:rsidR="007C0038" w:rsidRPr="004F27FE" w:rsidRDefault="007C0038" w:rsidP="007C0038">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Total own-source revenue</w:t>
            </w:r>
          </w:p>
        </w:tc>
        <w:tc>
          <w:tcPr>
            <w:tcW w:w="985" w:type="dxa"/>
            <w:tcBorders>
              <w:right w:val="single" w:sz="18" w:space="0" w:color="FFFFFF" w:themeColor="background2"/>
            </w:tcBorders>
          </w:tcPr>
          <w:p w14:paraId="295BB25C" w14:textId="77777777" w:rsidR="007C0038" w:rsidRPr="004F27FE" w:rsidRDefault="007C0038" w:rsidP="007C0038">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DD6464B" w14:textId="3591B173" w:rsidR="007C0038" w:rsidRPr="004F27FE" w:rsidRDefault="007C0038" w:rsidP="007C0038">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9,554</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053810A" w14:textId="1B101D66" w:rsidR="007C0038" w:rsidRPr="004F27FE" w:rsidRDefault="007C0038" w:rsidP="007C0038">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7,662</w:t>
            </w:r>
          </w:p>
        </w:tc>
        <w:tc>
          <w:tcPr>
            <w:tcW w:w="985" w:type="dxa"/>
            <w:tcBorders>
              <w:top w:val="single" w:sz="2" w:space="0" w:color="auto"/>
              <w:left w:val="single" w:sz="18" w:space="0" w:color="FFFFFF" w:themeColor="background2"/>
              <w:bottom w:val="single" w:sz="2" w:space="0" w:color="auto"/>
            </w:tcBorders>
          </w:tcPr>
          <w:p w14:paraId="7E8A35A5" w14:textId="658F6F62" w:rsidR="007C0038" w:rsidRPr="004F27FE" w:rsidRDefault="007C0038" w:rsidP="007C0038">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13,265</w:t>
            </w:r>
            <w:r w:rsidRPr="004F27FE">
              <w:rPr>
                <w:color w:val="292929"/>
                <w:sz w:val="14"/>
                <w:szCs w:val="14"/>
              </w:rPr>
              <w:t xml:space="preserve"> </w:t>
            </w:r>
          </w:p>
        </w:tc>
      </w:tr>
      <w:tr w:rsidR="00700E20" w:rsidRPr="004F27FE" w14:paraId="74FB4846" w14:textId="77777777" w:rsidTr="00700E20">
        <w:trPr>
          <w:trHeight w:val="170"/>
        </w:trPr>
        <w:tc>
          <w:tcPr>
            <w:tcW w:w="3483" w:type="dxa"/>
          </w:tcPr>
          <w:p w14:paraId="39822920" w14:textId="77777777" w:rsidR="00700E20" w:rsidRPr="004F27FE" w:rsidRDefault="00700E20"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p>
        </w:tc>
        <w:tc>
          <w:tcPr>
            <w:tcW w:w="985" w:type="dxa"/>
            <w:tcBorders>
              <w:right w:val="single" w:sz="18" w:space="0" w:color="FFFFFF" w:themeColor="background2"/>
            </w:tcBorders>
          </w:tcPr>
          <w:p w14:paraId="517082F9" w14:textId="77777777" w:rsidR="00700E20" w:rsidRPr="004F27FE" w:rsidRDefault="00700E20"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645D6CD6" w14:textId="77777777" w:rsidR="00700E20" w:rsidRDefault="00700E20"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6F253A89" w14:textId="77777777" w:rsidR="00700E20" w:rsidRPr="004F27FE" w:rsidRDefault="00700E20" w:rsidP="00B15944">
            <w:pPr>
              <w:suppressAutoHyphens/>
              <w:autoSpaceDE w:val="0"/>
              <w:autoSpaceDN w:val="0"/>
              <w:adjustRightInd w:val="0"/>
              <w:spacing w:before="20" w:after="20"/>
              <w:jc w:val="right"/>
              <w:textAlignment w:val="center"/>
              <w:rPr>
                <w:color w:val="292929"/>
                <w:sz w:val="14"/>
                <w:szCs w:val="14"/>
              </w:rPr>
            </w:pPr>
          </w:p>
        </w:tc>
        <w:tc>
          <w:tcPr>
            <w:tcW w:w="985" w:type="dxa"/>
            <w:tcBorders>
              <w:top w:val="single" w:sz="2" w:space="0" w:color="auto"/>
              <w:left w:val="single" w:sz="18" w:space="0" w:color="FFFFFF" w:themeColor="background2"/>
            </w:tcBorders>
          </w:tcPr>
          <w:p w14:paraId="02439016" w14:textId="77777777" w:rsidR="00700E20" w:rsidRPr="004F27FE" w:rsidRDefault="00700E20" w:rsidP="00B15944">
            <w:pPr>
              <w:suppressAutoHyphens/>
              <w:autoSpaceDE w:val="0"/>
              <w:autoSpaceDN w:val="0"/>
              <w:adjustRightInd w:val="0"/>
              <w:spacing w:before="20" w:after="20"/>
              <w:jc w:val="right"/>
              <w:textAlignment w:val="center"/>
              <w:rPr>
                <w:color w:val="292929"/>
                <w:sz w:val="14"/>
                <w:szCs w:val="14"/>
              </w:rPr>
            </w:pPr>
          </w:p>
        </w:tc>
      </w:tr>
      <w:tr w:rsidR="00700E20" w:rsidRPr="004F27FE" w14:paraId="4BEE134B" w14:textId="77777777" w:rsidTr="00700E20">
        <w:trPr>
          <w:trHeight w:val="170"/>
        </w:trPr>
        <w:tc>
          <w:tcPr>
            <w:tcW w:w="3483" w:type="dxa"/>
          </w:tcPr>
          <w:p w14:paraId="05BA2601" w14:textId="19D87003" w:rsidR="00700E20" w:rsidRPr="00700E20" w:rsidRDefault="00700E20" w:rsidP="00B15944">
            <w:pPr>
              <w:suppressAutoHyphens/>
              <w:autoSpaceDE w:val="0"/>
              <w:autoSpaceDN w:val="0"/>
              <w:adjustRightInd w:val="0"/>
              <w:spacing w:before="20" w:after="20"/>
              <w:textAlignment w:val="center"/>
              <w:rPr>
                <w:rFonts w:cs="Futura PT Book"/>
                <w:color w:val="292929"/>
                <w:sz w:val="14"/>
                <w:szCs w:val="14"/>
                <w:lang w:val="en-US"/>
              </w:rPr>
            </w:pPr>
            <w:r w:rsidRPr="00700E20">
              <w:rPr>
                <w:rFonts w:cs="Futura PT Book"/>
                <w:color w:val="292929"/>
                <w:sz w:val="14"/>
                <w:szCs w:val="14"/>
                <w:lang w:val="en-US"/>
              </w:rPr>
              <w:t>Other gains</w:t>
            </w:r>
          </w:p>
        </w:tc>
        <w:tc>
          <w:tcPr>
            <w:tcW w:w="985" w:type="dxa"/>
            <w:tcBorders>
              <w:right w:val="single" w:sz="18" w:space="0" w:color="FFFFFF" w:themeColor="background2"/>
            </w:tcBorders>
          </w:tcPr>
          <w:p w14:paraId="5150AA16" w14:textId="55C262BC" w:rsidR="00700E20" w:rsidRPr="004F27FE" w:rsidRDefault="00CA6B25" w:rsidP="00B15944">
            <w:pPr>
              <w:autoSpaceDE w:val="0"/>
              <w:autoSpaceDN w:val="0"/>
              <w:adjustRightInd w:val="0"/>
              <w:spacing w:before="20" w:after="20"/>
              <w:jc w:val="right"/>
              <w:rPr>
                <w:color w:val="292929"/>
                <w:sz w:val="14"/>
                <w:szCs w:val="14"/>
              </w:rPr>
            </w:pPr>
            <w:r>
              <w:rPr>
                <w:color w:val="292929"/>
                <w:sz w:val="14"/>
                <w:szCs w:val="14"/>
              </w:rPr>
              <w:t>1.2C</w:t>
            </w:r>
          </w:p>
        </w:tc>
        <w:tc>
          <w:tcPr>
            <w:tcW w:w="985" w:type="dxa"/>
            <w:tcBorders>
              <w:left w:val="single" w:sz="18" w:space="0" w:color="FFFFFF" w:themeColor="background2"/>
              <w:bottom w:val="single" w:sz="2" w:space="0" w:color="auto"/>
              <w:right w:val="single" w:sz="18" w:space="0" w:color="FFFFFF" w:themeColor="background2"/>
            </w:tcBorders>
          </w:tcPr>
          <w:p w14:paraId="1E99F0E6" w14:textId="5B47B568" w:rsidR="00700E20" w:rsidRDefault="00CA6B2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270</w:t>
            </w:r>
          </w:p>
        </w:tc>
        <w:tc>
          <w:tcPr>
            <w:tcW w:w="985" w:type="dxa"/>
            <w:tcBorders>
              <w:left w:val="single" w:sz="18" w:space="0" w:color="FFFFFF" w:themeColor="background2"/>
              <w:bottom w:val="single" w:sz="2" w:space="0" w:color="auto"/>
              <w:right w:val="single" w:sz="18" w:space="0" w:color="FFFFFF" w:themeColor="background2"/>
            </w:tcBorders>
          </w:tcPr>
          <w:p w14:paraId="12BB7868" w14:textId="213E5E4A" w:rsidR="00700E20"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c>
          <w:tcPr>
            <w:tcW w:w="985" w:type="dxa"/>
            <w:tcBorders>
              <w:left w:val="single" w:sz="18" w:space="0" w:color="FFFFFF" w:themeColor="background2"/>
              <w:bottom w:val="single" w:sz="2" w:space="0" w:color="auto"/>
            </w:tcBorders>
          </w:tcPr>
          <w:p w14:paraId="3D06E0E2" w14:textId="70B4057C" w:rsidR="00700E20"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r>
      <w:tr w:rsidR="00700E20" w:rsidRPr="004F27FE" w14:paraId="544295A9" w14:textId="77777777" w:rsidTr="00B15944">
        <w:trPr>
          <w:trHeight w:val="170"/>
        </w:trPr>
        <w:tc>
          <w:tcPr>
            <w:tcW w:w="3483" w:type="dxa"/>
          </w:tcPr>
          <w:p w14:paraId="36B5A535" w14:textId="3F4D4A08" w:rsidR="00700E20" w:rsidRPr="004F27FE" w:rsidRDefault="00700E20"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Total gains</w:t>
            </w:r>
          </w:p>
        </w:tc>
        <w:tc>
          <w:tcPr>
            <w:tcW w:w="985" w:type="dxa"/>
            <w:tcBorders>
              <w:right w:val="single" w:sz="18" w:space="0" w:color="FFFFFF" w:themeColor="background2"/>
            </w:tcBorders>
          </w:tcPr>
          <w:p w14:paraId="718FA204" w14:textId="77777777" w:rsidR="00700E20" w:rsidRPr="004F27FE" w:rsidRDefault="00700E20"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E476366" w14:textId="5AB925EB" w:rsidR="00700E20" w:rsidRDefault="00CA6B2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270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3BD01EC" w14:textId="3FFB281B" w:rsidR="00700E20"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c>
          <w:tcPr>
            <w:tcW w:w="985" w:type="dxa"/>
            <w:tcBorders>
              <w:top w:val="single" w:sz="2" w:space="0" w:color="auto"/>
              <w:left w:val="single" w:sz="18" w:space="0" w:color="FFFFFF" w:themeColor="background2"/>
              <w:bottom w:val="single" w:sz="2" w:space="0" w:color="auto"/>
            </w:tcBorders>
          </w:tcPr>
          <w:p w14:paraId="04FF6140" w14:textId="454366A0" w:rsidR="00700E20"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r>
      <w:tr w:rsidR="00700E20" w:rsidRPr="004F27FE" w14:paraId="6416D458" w14:textId="77777777" w:rsidTr="00B15944">
        <w:trPr>
          <w:trHeight w:val="170"/>
        </w:trPr>
        <w:tc>
          <w:tcPr>
            <w:tcW w:w="3483" w:type="dxa"/>
          </w:tcPr>
          <w:p w14:paraId="1D51E603" w14:textId="4D19B980" w:rsidR="00700E20" w:rsidRPr="004F27FE" w:rsidRDefault="00700E20"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Total own-source income</w:t>
            </w:r>
          </w:p>
        </w:tc>
        <w:tc>
          <w:tcPr>
            <w:tcW w:w="985" w:type="dxa"/>
            <w:tcBorders>
              <w:right w:val="single" w:sz="18" w:space="0" w:color="FFFFFF" w:themeColor="background2"/>
            </w:tcBorders>
          </w:tcPr>
          <w:p w14:paraId="69F1C340" w14:textId="77777777" w:rsidR="00700E20" w:rsidRPr="004F27FE" w:rsidRDefault="00700E20"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ADC56FF" w14:textId="743D5689" w:rsidR="00700E20" w:rsidRDefault="00CA6B2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9,824</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202724A" w14:textId="37AB4176" w:rsidR="00700E20"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7,662</w:t>
            </w:r>
          </w:p>
        </w:tc>
        <w:tc>
          <w:tcPr>
            <w:tcW w:w="985" w:type="dxa"/>
            <w:tcBorders>
              <w:top w:val="single" w:sz="2" w:space="0" w:color="auto"/>
              <w:left w:val="single" w:sz="18" w:space="0" w:color="FFFFFF" w:themeColor="background2"/>
              <w:bottom w:val="single" w:sz="2" w:space="0" w:color="auto"/>
            </w:tcBorders>
          </w:tcPr>
          <w:p w14:paraId="62E7723F" w14:textId="3923C545" w:rsidR="00700E20"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13,265</w:t>
            </w:r>
          </w:p>
        </w:tc>
      </w:tr>
      <w:tr w:rsidR="00AB15B8" w:rsidRPr="004F27FE" w14:paraId="14E8717E" w14:textId="77777777" w:rsidTr="00B15944">
        <w:trPr>
          <w:trHeight w:val="170"/>
        </w:trPr>
        <w:tc>
          <w:tcPr>
            <w:tcW w:w="3483" w:type="dxa"/>
          </w:tcPr>
          <w:p w14:paraId="7ED11A27" w14:textId="77777777"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Net cost of services</w:t>
            </w:r>
          </w:p>
        </w:tc>
        <w:tc>
          <w:tcPr>
            <w:tcW w:w="985" w:type="dxa"/>
            <w:tcBorders>
              <w:right w:val="single" w:sz="18" w:space="0" w:color="FFFFFF" w:themeColor="background2"/>
            </w:tcBorders>
          </w:tcPr>
          <w:p w14:paraId="36E5419B" w14:textId="77777777" w:rsidR="00AB15B8" w:rsidRPr="004F27FE" w:rsidRDefault="00AB15B8"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4129F78" w14:textId="170F77B0" w:rsidR="00AB15B8" w:rsidRPr="004F27FE" w:rsidRDefault="00CA6B2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17,835</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97C6F00" w14:textId="2D646197" w:rsidR="00AB15B8"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11,402</w:t>
            </w:r>
          </w:p>
        </w:tc>
        <w:tc>
          <w:tcPr>
            <w:tcW w:w="985" w:type="dxa"/>
            <w:tcBorders>
              <w:top w:val="single" w:sz="2" w:space="0" w:color="auto"/>
              <w:left w:val="single" w:sz="18" w:space="0" w:color="FFFFFF" w:themeColor="background2"/>
              <w:bottom w:val="single" w:sz="2" w:space="0" w:color="auto"/>
            </w:tcBorders>
          </w:tcPr>
          <w:p w14:paraId="25BB1384" w14:textId="6F19B57B" w:rsidR="00AB15B8" w:rsidRPr="004F27FE" w:rsidRDefault="00CA6B2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19,303</w:t>
            </w:r>
          </w:p>
        </w:tc>
      </w:tr>
      <w:tr w:rsidR="00AB15B8" w:rsidRPr="004F27FE" w14:paraId="63354DEC" w14:textId="77777777" w:rsidTr="00B15944">
        <w:trPr>
          <w:trHeight w:val="227"/>
        </w:trPr>
        <w:tc>
          <w:tcPr>
            <w:tcW w:w="3483" w:type="dxa"/>
          </w:tcPr>
          <w:p w14:paraId="3456ADA4"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right w:val="single" w:sz="18" w:space="0" w:color="FFFFFF" w:themeColor="background2"/>
            </w:tcBorders>
          </w:tcPr>
          <w:p w14:paraId="7C502F43"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B321082" w14:textId="77777777"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AB005BF" w14:textId="77777777" w:rsidR="00AB15B8" w:rsidRPr="004F27FE" w:rsidRDefault="00AB15B8" w:rsidP="00B15944">
            <w:pPr>
              <w:suppressAutoHyphens/>
              <w:autoSpaceDE w:val="0"/>
              <w:autoSpaceDN w:val="0"/>
              <w:adjustRightInd w:val="0"/>
              <w:spacing w:before="20" w:after="20"/>
              <w:jc w:val="right"/>
              <w:textAlignment w:val="center"/>
              <w:rPr>
                <w:color w:val="292929"/>
                <w:sz w:val="14"/>
                <w:szCs w:val="14"/>
              </w:rPr>
            </w:pPr>
          </w:p>
        </w:tc>
        <w:tc>
          <w:tcPr>
            <w:tcW w:w="985" w:type="dxa"/>
            <w:tcBorders>
              <w:top w:val="single" w:sz="2" w:space="0" w:color="auto"/>
              <w:left w:val="single" w:sz="18" w:space="0" w:color="FFFFFF" w:themeColor="background2"/>
              <w:bottom w:val="single" w:sz="2" w:space="0" w:color="auto"/>
            </w:tcBorders>
          </w:tcPr>
          <w:p w14:paraId="0DD944E9" w14:textId="77777777"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AB15B8" w:rsidRPr="004F27FE" w14:paraId="205234A0" w14:textId="77777777" w:rsidTr="00B15944">
        <w:trPr>
          <w:trHeight w:val="227"/>
        </w:trPr>
        <w:tc>
          <w:tcPr>
            <w:tcW w:w="3483" w:type="dxa"/>
          </w:tcPr>
          <w:p w14:paraId="0EFB482E" w14:textId="77777777" w:rsidR="00AB15B8" w:rsidRPr="004F27FE" w:rsidRDefault="00AB15B8" w:rsidP="00B15944">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Revenue from Government</w:t>
            </w:r>
          </w:p>
        </w:tc>
        <w:tc>
          <w:tcPr>
            <w:tcW w:w="985" w:type="dxa"/>
            <w:tcBorders>
              <w:right w:val="single" w:sz="18" w:space="0" w:color="FFFFFF" w:themeColor="background2"/>
            </w:tcBorders>
          </w:tcPr>
          <w:p w14:paraId="590CC056" w14:textId="5EB8807D"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1.2</w:t>
            </w:r>
            <w:r w:rsidR="00CA6B25">
              <w:rPr>
                <w:rFonts w:cs="Futura PT Book"/>
                <w:color w:val="292929"/>
                <w:sz w:val="14"/>
                <w:szCs w:val="14"/>
                <w:lang w:val="en-US"/>
              </w:rPr>
              <w:t>D</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93B82D9" w14:textId="442E522C" w:rsidR="00AB15B8" w:rsidRPr="004F27FE" w:rsidRDefault="00AB15B8"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1</w:t>
            </w:r>
            <w:r w:rsidR="00CA6B25">
              <w:rPr>
                <w:rFonts w:asciiTheme="majorHAnsi" w:hAnsiTheme="majorHAnsi"/>
                <w:color w:val="292929"/>
                <w:sz w:val="14"/>
                <w:szCs w:val="14"/>
              </w:rPr>
              <w:t>8,359</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B17B657" w14:textId="0680B7FA"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w:t>
            </w:r>
            <w:r w:rsidR="00CA6B25">
              <w:rPr>
                <w:color w:val="292929"/>
                <w:sz w:val="14"/>
                <w:szCs w:val="14"/>
              </w:rPr>
              <w:t>3</w:t>
            </w:r>
            <w:r w:rsidRPr="004F27FE">
              <w:rPr>
                <w:color w:val="292929"/>
                <w:sz w:val="14"/>
                <w:szCs w:val="14"/>
              </w:rPr>
              <w:t>,</w:t>
            </w:r>
            <w:r w:rsidR="00CA6B25">
              <w:rPr>
                <w:color w:val="292929"/>
                <w:sz w:val="14"/>
                <w:szCs w:val="14"/>
              </w:rPr>
              <w:t>744</w:t>
            </w:r>
            <w:r w:rsidRPr="004F27FE">
              <w:rPr>
                <w:color w:val="292929"/>
                <w:sz w:val="14"/>
                <w:szCs w:val="14"/>
              </w:rPr>
              <w:t xml:space="preserve"> </w:t>
            </w:r>
          </w:p>
        </w:tc>
        <w:tc>
          <w:tcPr>
            <w:tcW w:w="985" w:type="dxa"/>
            <w:tcBorders>
              <w:top w:val="single" w:sz="2" w:space="0" w:color="auto"/>
              <w:left w:val="single" w:sz="18" w:space="0" w:color="FFFFFF" w:themeColor="background2"/>
              <w:bottom w:val="single" w:sz="2" w:space="0" w:color="auto"/>
            </w:tcBorders>
          </w:tcPr>
          <w:p w14:paraId="37BB1CF2" w14:textId="277414B8"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1</w:t>
            </w:r>
            <w:r w:rsidR="00CA6B25">
              <w:rPr>
                <w:rFonts w:cs="Futura PT Book"/>
                <w:color w:val="292929"/>
                <w:sz w:val="14"/>
                <w:szCs w:val="14"/>
                <w:lang w:val="en-US"/>
              </w:rPr>
              <w:t>9</w:t>
            </w:r>
            <w:r w:rsidRPr="004F27FE">
              <w:rPr>
                <w:rFonts w:cs="Futura PT Book"/>
                <w:color w:val="292929"/>
                <w:sz w:val="14"/>
                <w:szCs w:val="14"/>
                <w:lang w:val="en-US"/>
              </w:rPr>
              <w:t>,</w:t>
            </w:r>
            <w:r w:rsidR="00CA6B25">
              <w:rPr>
                <w:rFonts w:cs="Futura PT Book"/>
                <w:color w:val="292929"/>
                <w:sz w:val="14"/>
                <w:szCs w:val="14"/>
                <w:lang w:val="en-US"/>
              </w:rPr>
              <w:t>249</w:t>
            </w:r>
          </w:p>
        </w:tc>
      </w:tr>
      <w:tr w:rsidR="00AB15B8" w:rsidRPr="004F27FE" w14:paraId="38354069" w14:textId="77777777" w:rsidTr="00B15944">
        <w:trPr>
          <w:trHeight w:val="170"/>
        </w:trPr>
        <w:tc>
          <w:tcPr>
            <w:tcW w:w="3483" w:type="dxa"/>
          </w:tcPr>
          <w:p w14:paraId="0CB9A742" w14:textId="04AE6E42"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Surplus</w:t>
            </w:r>
            <w:r>
              <w:rPr>
                <w:rFonts w:asciiTheme="majorHAnsi" w:hAnsiTheme="majorHAnsi" w:cs="Futura PT Book"/>
                <w:color w:val="292929"/>
                <w:sz w:val="14"/>
                <w:szCs w:val="14"/>
                <w:lang w:val="en-US"/>
              </w:rPr>
              <w:t xml:space="preserve"> / (</w:t>
            </w:r>
            <w:r w:rsidR="00745E1A">
              <w:rPr>
                <w:rFonts w:asciiTheme="majorHAnsi" w:hAnsiTheme="majorHAnsi" w:cs="Futura PT Book"/>
                <w:color w:val="292929"/>
                <w:sz w:val="14"/>
                <w:szCs w:val="14"/>
                <w:lang w:val="en-US"/>
              </w:rPr>
              <w:t>D</w:t>
            </w:r>
            <w:r>
              <w:rPr>
                <w:rFonts w:asciiTheme="majorHAnsi" w:hAnsiTheme="majorHAnsi" w:cs="Futura PT Book"/>
                <w:color w:val="292929"/>
                <w:sz w:val="14"/>
                <w:szCs w:val="14"/>
                <w:lang w:val="en-US"/>
              </w:rPr>
              <w:t>eficit)</w:t>
            </w:r>
          </w:p>
        </w:tc>
        <w:tc>
          <w:tcPr>
            <w:tcW w:w="985" w:type="dxa"/>
            <w:tcBorders>
              <w:right w:val="single" w:sz="18" w:space="0" w:color="FFFFFF" w:themeColor="background2"/>
            </w:tcBorders>
          </w:tcPr>
          <w:p w14:paraId="49524D3E" w14:textId="77777777" w:rsidR="00AB15B8" w:rsidRPr="004F27FE" w:rsidRDefault="00AB15B8"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56A1B30" w14:textId="6A89258C" w:rsidR="00AB15B8" w:rsidRPr="004F27FE" w:rsidRDefault="00CA6B2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524</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2A1EE36" w14:textId="30357AF6" w:rsidR="00AB15B8" w:rsidRPr="004F27FE" w:rsidRDefault="00CA6B25"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2,342</w:t>
            </w:r>
          </w:p>
        </w:tc>
        <w:tc>
          <w:tcPr>
            <w:tcW w:w="985" w:type="dxa"/>
            <w:tcBorders>
              <w:top w:val="single" w:sz="2" w:space="0" w:color="auto"/>
              <w:left w:val="single" w:sz="18" w:space="0" w:color="FFFFFF" w:themeColor="background2"/>
              <w:bottom w:val="single" w:sz="2" w:space="0" w:color="auto"/>
            </w:tcBorders>
          </w:tcPr>
          <w:p w14:paraId="193C4524" w14:textId="09292ED6"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w:t>
            </w:r>
            <w:r w:rsidR="00CA6B25">
              <w:rPr>
                <w:rFonts w:cs="Futura PT Book"/>
                <w:color w:val="292929"/>
                <w:sz w:val="14"/>
                <w:szCs w:val="14"/>
                <w:lang w:val="en-US"/>
              </w:rPr>
              <w:t>54</w:t>
            </w:r>
            <w:r w:rsidRPr="004F27FE">
              <w:rPr>
                <w:rFonts w:cs="Futura PT Book"/>
                <w:color w:val="292929"/>
                <w:sz w:val="14"/>
                <w:szCs w:val="14"/>
                <w:lang w:val="en-US"/>
              </w:rPr>
              <w:t>)</w:t>
            </w:r>
          </w:p>
        </w:tc>
      </w:tr>
      <w:tr w:rsidR="00AB15B8" w:rsidRPr="004F27FE" w14:paraId="1334F2B5" w14:textId="77777777" w:rsidTr="00B15944">
        <w:trPr>
          <w:trHeight w:val="170"/>
        </w:trPr>
        <w:tc>
          <w:tcPr>
            <w:tcW w:w="3483" w:type="dxa"/>
          </w:tcPr>
          <w:p w14:paraId="6DF4CDD0" w14:textId="46A86F3D" w:rsidR="00AB15B8" w:rsidRPr="004F27FE" w:rsidRDefault="00AB15B8"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Total comprehensive surplus</w:t>
            </w:r>
            <w:r>
              <w:rPr>
                <w:rFonts w:asciiTheme="majorHAnsi" w:hAnsiTheme="majorHAnsi" w:cs="Futura PT Book"/>
                <w:color w:val="292929"/>
                <w:sz w:val="14"/>
                <w:szCs w:val="14"/>
                <w:lang w:val="en-US"/>
              </w:rPr>
              <w:t xml:space="preserve"> / (</w:t>
            </w:r>
            <w:r w:rsidR="007C0038">
              <w:rPr>
                <w:rFonts w:asciiTheme="majorHAnsi" w:hAnsiTheme="majorHAnsi" w:cs="Futura PT Book"/>
                <w:color w:val="292929"/>
                <w:sz w:val="14"/>
                <w:szCs w:val="14"/>
                <w:lang w:val="en-US"/>
              </w:rPr>
              <w:t>d</w:t>
            </w:r>
            <w:r>
              <w:rPr>
                <w:rFonts w:asciiTheme="majorHAnsi" w:hAnsiTheme="majorHAnsi" w:cs="Futura PT Book"/>
                <w:color w:val="292929"/>
                <w:sz w:val="14"/>
                <w:szCs w:val="14"/>
                <w:lang w:val="en-US"/>
              </w:rPr>
              <w:t>eficit)</w:t>
            </w:r>
          </w:p>
        </w:tc>
        <w:tc>
          <w:tcPr>
            <w:tcW w:w="985" w:type="dxa"/>
            <w:tcBorders>
              <w:right w:val="single" w:sz="18" w:space="0" w:color="FFFFFF" w:themeColor="background2"/>
            </w:tcBorders>
          </w:tcPr>
          <w:p w14:paraId="6388A450" w14:textId="77777777" w:rsidR="00AB15B8" w:rsidRPr="004F27FE" w:rsidRDefault="00AB15B8"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C1485BB" w14:textId="4D75498F" w:rsidR="00AB15B8" w:rsidRPr="004F27FE" w:rsidRDefault="00CA6B2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524</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A5B034B" w14:textId="3E7A27F2" w:rsidR="00AB15B8" w:rsidRPr="004F27FE" w:rsidRDefault="00CA6B25"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2,342</w:t>
            </w:r>
          </w:p>
        </w:tc>
        <w:tc>
          <w:tcPr>
            <w:tcW w:w="985" w:type="dxa"/>
            <w:tcBorders>
              <w:top w:val="single" w:sz="2" w:space="0" w:color="auto"/>
              <w:left w:val="single" w:sz="18" w:space="0" w:color="FFFFFF" w:themeColor="background2"/>
              <w:bottom w:val="single" w:sz="2" w:space="0" w:color="auto"/>
            </w:tcBorders>
          </w:tcPr>
          <w:p w14:paraId="609A1C1A" w14:textId="7C98A29D" w:rsidR="00AB15B8" w:rsidRPr="004F27FE" w:rsidRDefault="00AB15B8"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w:t>
            </w:r>
            <w:r w:rsidR="00CA6B25">
              <w:rPr>
                <w:rFonts w:cs="Futura PT Book"/>
                <w:color w:val="292929"/>
                <w:sz w:val="14"/>
                <w:szCs w:val="14"/>
                <w:lang w:val="en-US"/>
              </w:rPr>
              <w:t>54</w:t>
            </w:r>
            <w:r w:rsidRPr="004F27FE">
              <w:rPr>
                <w:rFonts w:cs="Futura PT Book"/>
                <w:color w:val="292929"/>
                <w:sz w:val="14"/>
                <w:szCs w:val="14"/>
                <w:lang w:val="en-US"/>
              </w:rPr>
              <w:t>)</w:t>
            </w:r>
          </w:p>
        </w:tc>
      </w:tr>
      <w:tr w:rsidR="00AB15B8" w:rsidRPr="004F27FE" w14:paraId="0D1CA1AB" w14:textId="77777777" w:rsidTr="00B15944">
        <w:trPr>
          <w:trHeight w:val="20"/>
        </w:trPr>
        <w:tc>
          <w:tcPr>
            <w:tcW w:w="3483" w:type="dxa"/>
          </w:tcPr>
          <w:p w14:paraId="714FB463" w14:textId="77777777" w:rsidR="00AB15B8" w:rsidRPr="004F27FE" w:rsidRDefault="00AB15B8" w:rsidP="00B15944">
            <w:pPr>
              <w:suppressAutoHyphens/>
              <w:autoSpaceDE w:val="0"/>
              <w:autoSpaceDN w:val="0"/>
              <w:adjustRightInd w:val="0"/>
              <w:textAlignment w:val="center"/>
              <w:rPr>
                <w:rFonts w:asciiTheme="majorHAnsi" w:hAnsiTheme="majorHAnsi" w:cs="Futura PT Book"/>
                <w:color w:val="292929"/>
                <w:sz w:val="4"/>
                <w:szCs w:val="4"/>
                <w:lang w:val="en-US"/>
              </w:rPr>
            </w:pPr>
          </w:p>
        </w:tc>
        <w:tc>
          <w:tcPr>
            <w:tcW w:w="985" w:type="dxa"/>
            <w:tcBorders>
              <w:right w:val="single" w:sz="18" w:space="0" w:color="FFFFFF" w:themeColor="background2"/>
            </w:tcBorders>
          </w:tcPr>
          <w:p w14:paraId="19C8215E" w14:textId="77777777" w:rsidR="00AB15B8" w:rsidRPr="004F27FE" w:rsidRDefault="00AB15B8" w:rsidP="00B15944">
            <w:pPr>
              <w:autoSpaceDE w:val="0"/>
              <w:autoSpaceDN w:val="0"/>
              <w:adjustRightInd w:val="0"/>
              <w:jc w:val="right"/>
              <w:rPr>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2DB4E01A" w14:textId="77777777" w:rsidR="00AB15B8" w:rsidRPr="004F27FE" w:rsidRDefault="00AB15B8" w:rsidP="00B15944">
            <w:pPr>
              <w:suppressAutoHyphens/>
              <w:autoSpaceDE w:val="0"/>
              <w:autoSpaceDN w:val="0"/>
              <w:adjustRightInd w:val="0"/>
              <w:jc w:val="right"/>
              <w:textAlignment w:val="center"/>
              <w:rPr>
                <w:rFonts w:asciiTheme="majorHAnsi" w:hAnsiTheme="majorHAnsi"/>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0F060DD4" w14:textId="77777777" w:rsidR="00AB15B8" w:rsidRPr="004F27FE" w:rsidRDefault="00AB15B8" w:rsidP="00B15944">
            <w:pPr>
              <w:suppressAutoHyphens/>
              <w:autoSpaceDE w:val="0"/>
              <w:autoSpaceDN w:val="0"/>
              <w:adjustRightInd w:val="0"/>
              <w:jc w:val="right"/>
              <w:textAlignment w:val="center"/>
              <w:rPr>
                <w:color w:val="292929"/>
                <w:sz w:val="4"/>
                <w:szCs w:val="4"/>
              </w:rPr>
            </w:pPr>
          </w:p>
        </w:tc>
        <w:tc>
          <w:tcPr>
            <w:tcW w:w="985" w:type="dxa"/>
            <w:tcBorders>
              <w:top w:val="single" w:sz="2" w:space="0" w:color="auto"/>
              <w:left w:val="single" w:sz="18" w:space="0" w:color="FFFFFF" w:themeColor="background2"/>
            </w:tcBorders>
          </w:tcPr>
          <w:p w14:paraId="764D4352" w14:textId="77777777" w:rsidR="00AB15B8" w:rsidRPr="004F27FE" w:rsidRDefault="00AB15B8" w:rsidP="00B15944">
            <w:pPr>
              <w:suppressAutoHyphens/>
              <w:autoSpaceDE w:val="0"/>
              <w:autoSpaceDN w:val="0"/>
              <w:adjustRightInd w:val="0"/>
              <w:jc w:val="right"/>
              <w:textAlignment w:val="center"/>
              <w:rPr>
                <w:rFonts w:cs="Futura PT Book"/>
                <w:color w:val="292929"/>
                <w:sz w:val="4"/>
                <w:szCs w:val="4"/>
                <w:lang w:val="en-US"/>
              </w:rPr>
            </w:pPr>
          </w:p>
        </w:tc>
      </w:tr>
      <w:tr w:rsidR="00AB15B8" w:rsidRPr="004F27FE" w14:paraId="38263352" w14:textId="77777777" w:rsidTr="007C0038">
        <w:trPr>
          <w:trHeight w:val="376"/>
        </w:trPr>
        <w:tc>
          <w:tcPr>
            <w:tcW w:w="7423" w:type="dxa"/>
            <w:gridSpan w:val="5"/>
          </w:tcPr>
          <w:p w14:paraId="1E72E0C9" w14:textId="77777777" w:rsidR="00AB15B8" w:rsidRPr="004F27FE" w:rsidRDefault="00AB15B8" w:rsidP="00B15944">
            <w:pPr>
              <w:suppressAutoHyphens/>
              <w:autoSpaceDE w:val="0"/>
              <w:autoSpaceDN w:val="0"/>
              <w:adjustRightInd w:val="0"/>
              <w:textAlignment w:val="center"/>
              <w:rPr>
                <w:rFonts w:cs="Futura PT Book"/>
                <w:color w:val="292929"/>
                <w:sz w:val="14"/>
                <w:szCs w:val="14"/>
                <w:lang w:val="en-US"/>
              </w:rPr>
            </w:pPr>
            <w:r w:rsidRPr="004F27FE">
              <w:rPr>
                <w:rFonts w:cs="Futura PT Book"/>
                <w:color w:val="292929"/>
                <w:sz w:val="14"/>
                <w:szCs w:val="14"/>
                <w:lang w:val="en-US"/>
              </w:rPr>
              <w:t>The above statement should be read in conjunction with the accompanying notes.</w:t>
            </w:r>
          </w:p>
        </w:tc>
      </w:tr>
    </w:tbl>
    <w:p w14:paraId="2C8BA263" w14:textId="77777777" w:rsidR="00AB15B8" w:rsidRPr="00241765" w:rsidRDefault="00AB15B8" w:rsidP="007C0038">
      <w:pPr>
        <w:pStyle w:val="H4"/>
        <w:spacing w:before="0" w:after="120"/>
        <w:rPr>
          <w:color w:val="292929"/>
          <w:sz w:val="18"/>
        </w:rPr>
      </w:pPr>
      <w:r w:rsidRPr="00241765">
        <w:rPr>
          <w:color w:val="292929"/>
          <w:sz w:val="18"/>
        </w:rPr>
        <w:t>Budget Variances Commentary</w:t>
      </w:r>
    </w:p>
    <w:p w14:paraId="03E18264" w14:textId="77777777" w:rsidR="00AB15B8" w:rsidRPr="00241765" w:rsidRDefault="00AB15B8" w:rsidP="00AB15B8">
      <w:pPr>
        <w:pStyle w:val="Body-Financial"/>
        <w:rPr>
          <w:b/>
          <w:bCs/>
          <w:color w:val="292929"/>
        </w:rPr>
      </w:pPr>
      <w:r w:rsidRPr="00241765">
        <w:rPr>
          <w:b/>
          <w:bCs/>
          <w:color w:val="292929"/>
        </w:rPr>
        <w:t>Statement of Comprehensive Income</w:t>
      </w:r>
    </w:p>
    <w:p w14:paraId="7CE0711B" w14:textId="2960F01D" w:rsidR="005F65A6" w:rsidRDefault="00745E1A" w:rsidP="00745E1A">
      <w:pPr>
        <w:pStyle w:val="Body-Financial"/>
        <w:ind w:right="-86"/>
        <w:rPr>
          <w:color w:val="292929"/>
        </w:rPr>
      </w:pPr>
      <w:r w:rsidRPr="00CA6B25">
        <w:rPr>
          <w:color w:val="292929"/>
        </w:rPr>
        <w:t>Total expenses of $27.659m were $4.909m lower than budget</w:t>
      </w:r>
      <w:r w:rsidR="005F65A6" w:rsidRPr="005F65A6">
        <w:t xml:space="preserve"> </w:t>
      </w:r>
      <w:r w:rsidR="005F65A6" w:rsidRPr="005F65A6">
        <w:rPr>
          <w:color w:val="292929"/>
        </w:rPr>
        <w:t>primarily due to lower employee benefits expenses of $3.777m and supplier expenses of $2.007m.</w:t>
      </w:r>
    </w:p>
    <w:p w14:paraId="0BBA3AF4" w14:textId="27CCD1CF" w:rsidR="00745E1A" w:rsidRPr="00CA6B25" w:rsidRDefault="00745E1A" w:rsidP="00856C96">
      <w:pPr>
        <w:pStyle w:val="Body-Financial"/>
        <w:ind w:right="-86"/>
        <w:rPr>
          <w:color w:val="292929"/>
          <w:lang w:val="en-PH"/>
        </w:rPr>
      </w:pPr>
      <w:r w:rsidRPr="00CA6B25">
        <w:rPr>
          <w:color w:val="292929"/>
        </w:rPr>
        <w:t>Employee benefits expenses were below budget due to lower staff levels</w:t>
      </w:r>
      <w:r w:rsidR="0079765E">
        <w:rPr>
          <w:color w:val="292929"/>
        </w:rPr>
        <w:t xml:space="preserve">, </w:t>
      </w:r>
      <w:r w:rsidRPr="00CA6B25">
        <w:rPr>
          <w:color w:val="292929"/>
        </w:rPr>
        <w:t>and supplier expenses were lower due to deferred program activity arising from state and territory hospital resources manag</w:t>
      </w:r>
      <w:r w:rsidR="00FE1E88">
        <w:rPr>
          <w:color w:val="292929"/>
        </w:rPr>
        <w:t>ing</w:t>
      </w:r>
      <w:r w:rsidRPr="00CA6B25">
        <w:rPr>
          <w:color w:val="292929"/>
        </w:rPr>
        <w:t xml:space="preserve"> the </w:t>
      </w:r>
      <w:r w:rsidR="0079765E">
        <w:rPr>
          <w:color w:val="292929"/>
        </w:rPr>
        <w:t>COVID-19</w:t>
      </w:r>
      <w:r>
        <w:rPr>
          <w:color w:val="292929"/>
        </w:rPr>
        <w:t xml:space="preserve"> </w:t>
      </w:r>
      <w:r w:rsidR="00FE1E88">
        <w:rPr>
          <w:color w:val="292929"/>
        </w:rPr>
        <w:t>priorities</w:t>
      </w:r>
      <w:r w:rsidRPr="00CA6B25">
        <w:rPr>
          <w:color w:val="292929"/>
        </w:rPr>
        <w:t>.</w:t>
      </w:r>
    </w:p>
    <w:p w14:paraId="250940A0" w14:textId="5DC8E042" w:rsidR="0079765E" w:rsidRDefault="00745E1A" w:rsidP="00745E1A">
      <w:pPr>
        <w:pStyle w:val="Body-Financial"/>
        <w:rPr>
          <w:color w:val="292929"/>
        </w:rPr>
      </w:pPr>
      <w:r w:rsidRPr="00CA6B25">
        <w:rPr>
          <w:color w:val="292929"/>
        </w:rPr>
        <w:t xml:space="preserve">Total own source income of $9.824m was $3.441m less than budget </w:t>
      </w:r>
      <w:r w:rsidR="0079765E" w:rsidRPr="0079765E">
        <w:rPr>
          <w:color w:val="292929"/>
        </w:rPr>
        <w:t>primarily due to lower resources received free of charge due to lower employee benefits expenses.</w:t>
      </w:r>
    </w:p>
    <w:p w14:paraId="4797895A" w14:textId="1B7D0A14" w:rsidR="00DF22E5" w:rsidRDefault="00DF22E5" w:rsidP="008664C1">
      <w:pPr>
        <w:pStyle w:val="Body"/>
        <w:rPr>
          <w:color w:val="292929"/>
        </w:rPr>
        <w:sectPr w:rsidR="00DF22E5" w:rsidSect="007634CD">
          <w:footerReference w:type="default" r:id="rId184"/>
          <w:pgSz w:w="9979" w:h="14175"/>
          <w:pgMar w:top="1134" w:right="1134" w:bottom="1050" w:left="1134" w:header="709" w:footer="709" w:gutter="0"/>
          <w:cols w:space="708"/>
          <w:docGrid w:linePitch="360"/>
        </w:sectPr>
      </w:pPr>
    </w:p>
    <w:p w14:paraId="4BCEEEA5" w14:textId="77777777" w:rsidR="00904764" w:rsidRPr="00241765" w:rsidRDefault="00904764" w:rsidP="00904764">
      <w:pPr>
        <w:pStyle w:val="H3Financials"/>
        <w:spacing w:before="0" w:after="40"/>
        <w:rPr>
          <w:color w:val="292929"/>
        </w:rPr>
      </w:pPr>
      <w:bookmarkStart w:id="105" w:name="_Toc83220558"/>
      <w:bookmarkStart w:id="106" w:name="_Toc112133278"/>
      <w:bookmarkStart w:id="107" w:name="_Toc114824702"/>
      <w:r w:rsidRPr="00241765">
        <w:rPr>
          <w:color w:val="292929"/>
        </w:rPr>
        <w:t>Statement of financial position</w:t>
      </w:r>
      <w:bookmarkEnd w:id="105"/>
      <w:bookmarkEnd w:id="106"/>
      <w:bookmarkEnd w:id="107"/>
      <w:r w:rsidRPr="00241765">
        <w:rPr>
          <w:color w:val="292929"/>
        </w:rPr>
        <w:t xml:space="preserve"> </w:t>
      </w:r>
    </w:p>
    <w:p w14:paraId="5CA61B2A" w14:textId="32A3F1ED" w:rsidR="00904764" w:rsidRPr="00241765" w:rsidRDefault="00904764" w:rsidP="00904764">
      <w:pPr>
        <w:pStyle w:val="Body"/>
        <w:spacing w:after="0"/>
        <w:rPr>
          <w:i/>
          <w:iCs/>
          <w:color w:val="292929"/>
        </w:rPr>
      </w:pPr>
      <w:r w:rsidRPr="00241765">
        <w:rPr>
          <w:i/>
          <w:iCs/>
          <w:color w:val="292929"/>
        </w:rPr>
        <w:t>as at 30 June 202</w:t>
      </w:r>
      <w:r>
        <w:rPr>
          <w:i/>
          <w:iCs/>
          <w:color w:val="292929"/>
        </w:rPr>
        <w:t>2</w:t>
      </w:r>
    </w:p>
    <w:tbl>
      <w:tblPr>
        <w:tblStyle w:val="IHPA"/>
        <w:tblW w:w="7423" w:type="dxa"/>
        <w:tblLayout w:type="fixed"/>
        <w:tblLook w:val="0020" w:firstRow="1" w:lastRow="0" w:firstColumn="0" w:lastColumn="0" w:noHBand="0" w:noVBand="0"/>
        <w:tblCaption w:val="Statement of financial position"/>
        <w:tblDescription w:val="Statement of financial position"/>
      </w:tblPr>
      <w:tblGrid>
        <w:gridCol w:w="3483"/>
        <w:gridCol w:w="985"/>
        <w:gridCol w:w="985"/>
        <w:gridCol w:w="985"/>
        <w:gridCol w:w="985"/>
      </w:tblGrid>
      <w:tr w:rsidR="00904764" w:rsidRPr="00241765" w14:paraId="22FEF0E4" w14:textId="77777777" w:rsidTr="00B15944">
        <w:trPr>
          <w:trHeight w:val="340"/>
        </w:trPr>
        <w:tc>
          <w:tcPr>
            <w:tcW w:w="3483" w:type="dxa"/>
          </w:tcPr>
          <w:p w14:paraId="6B6CF152" w14:textId="77777777" w:rsidR="00904764" w:rsidRPr="00241765" w:rsidRDefault="00904764" w:rsidP="00B15944">
            <w:pPr>
              <w:autoSpaceDE w:val="0"/>
              <w:autoSpaceDN w:val="0"/>
              <w:adjustRightInd w:val="0"/>
              <w:spacing w:before="20" w:after="20"/>
              <w:rPr>
                <w:rFonts w:ascii="Futura PT Book" w:hAnsi="Futura PT Book"/>
                <w:color w:val="292929"/>
                <w:sz w:val="24"/>
                <w:szCs w:val="24"/>
              </w:rPr>
            </w:pPr>
          </w:p>
        </w:tc>
        <w:tc>
          <w:tcPr>
            <w:tcW w:w="985" w:type="dxa"/>
            <w:tcBorders>
              <w:bottom w:val="single" w:sz="12" w:space="0" w:color="auto"/>
              <w:right w:val="single" w:sz="18" w:space="0" w:color="FFFFFF" w:themeColor="background2"/>
            </w:tcBorders>
            <w:vAlign w:val="bottom"/>
          </w:tcPr>
          <w:p w14:paraId="4D72D98A" w14:textId="77777777" w:rsidR="00904764" w:rsidRPr="00241765" w:rsidRDefault="0090476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4A105B9F" w14:textId="77868D70" w:rsidR="00904764" w:rsidRPr="00241765" w:rsidRDefault="0090476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2</w:t>
            </w:r>
            <w:r w:rsidRPr="00241765">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7097D074" w14:textId="44D3E3BF" w:rsidR="00904764" w:rsidRPr="00241765" w:rsidRDefault="0090476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241765">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tcBorders>
            <w:vAlign w:val="bottom"/>
          </w:tcPr>
          <w:p w14:paraId="0B24EF59" w14:textId="77777777" w:rsidR="00904764" w:rsidRPr="00241765" w:rsidRDefault="0090476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Original Budget</w:t>
            </w:r>
            <w:r w:rsidRPr="00241765">
              <w:rPr>
                <w:rFonts w:asciiTheme="majorHAnsi" w:hAnsiTheme="majorHAnsi" w:cs="Futura PT Heavy"/>
                <w:color w:val="292929"/>
                <w:sz w:val="16"/>
                <w:szCs w:val="16"/>
                <w:lang w:val="en-US"/>
              </w:rPr>
              <w:br/>
              <w:t>$’000</w:t>
            </w:r>
          </w:p>
        </w:tc>
      </w:tr>
      <w:tr w:rsidR="00904764" w:rsidRPr="00241765" w14:paraId="2F62F1DB" w14:textId="77777777" w:rsidTr="00B15944">
        <w:trPr>
          <w:trHeight w:hRule="exact" w:val="227"/>
        </w:trPr>
        <w:tc>
          <w:tcPr>
            <w:tcW w:w="3483" w:type="dxa"/>
          </w:tcPr>
          <w:p w14:paraId="296C2037"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s="Futura PT Book"/>
                <w:color w:val="292929"/>
                <w:sz w:val="14"/>
                <w:szCs w:val="14"/>
                <w:lang w:val="en-US"/>
              </w:rPr>
              <w:t>ASSETS</w:t>
            </w:r>
          </w:p>
        </w:tc>
        <w:tc>
          <w:tcPr>
            <w:tcW w:w="985" w:type="dxa"/>
            <w:tcBorders>
              <w:top w:val="single" w:sz="12" w:space="0" w:color="auto"/>
              <w:right w:val="single" w:sz="18" w:space="0" w:color="FFFFFF" w:themeColor="background2"/>
            </w:tcBorders>
          </w:tcPr>
          <w:p w14:paraId="341C991A"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482A39FC" w14:textId="77777777" w:rsidR="00904764" w:rsidRPr="00241765" w:rsidRDefault="00904764" w:rsidP="00B15944">
            <w:pPr>
              <w:autoSpaceDE w:val="0"/>
              <w:autoSpaceDN w:val="0"/>
              <w:adjustRightInd w:val="0"/>
              <w:spacing w:before="20" w:after="20"/>
              <w:jc w:val="right"/>
              <w:rPr>
                <w:rFonts w:asciiTheme="majorHAnsi" w:hAnsiTheme="majorHAnsi"/>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16FF5396"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tcBorders>
          </w:tcPr>
          <w:p w14:paraId="5C366F91" w14:textId="77777777" w:rsidR="00904764" w:rsidRPr="00241765" w:rsidRDefault="00904764" w:rsidP="00B15944">
            <w:pPr>
              <w:autoSpaceDE w:val="0"/>
              <w:autoSpaceDN w:val="0"/>
              <w:adjustRightInd w:val="0"/>
              <w:spacing w:before="20" w:after="20"/>
              <w:jc w:val="right"/>
              <w:rPr>
                <w:color w:val="292929"/>
                <w:sz w:val="14"/>
                <w:szCs w:val="14"/>
              </w:rPr>
            </w:pPr>
          </w:p>
        </w:tc>
      </w:tr>
      <w:tr w:rsidR="00904764" w:rsidRPr="00241765" w14:paraId="37CB75E3" w14:textId="77777777" w:rsidTr="00B15944">
        <w:trPr>
          <w:trHeight w:val="170"/>
        </w:trPr>
        <w:tc>
          <w:tcPr>
            <w:tcW w:w="3483" w:type="dxa"/>
          </w:tcPr>
          <w:p w14:paraId="01E532C8"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Financial assets</w:t>
            </w:r>
          </w:p>
        </w:tc>
        <w:tc>
          <w:tcPr>
            <w:tcW w:w="985" w:type="dxa"/>
            <w:tcBorders>
              <w:right w:val="single" w:sz="18" w:space="0" w:color="FFFFFF" w:themeColor="background2"/>
            </w:tcBorders>
          </w:tcPr>
          <w:p w14:paraId="50D9DC6D"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50EA1D29" w14:textId="77777777" w:rsidR="00904764" w:rsidRPr="00241765" w:rsidRDefault="00904764" w:rsidP="00B15944">
            <w:pPr>
              <w:autoSpaceDE w:val="0"/>
              <w:autoSpaceDN w:val="0"/>
              <w:adjustRightInd w:val="0"/>
              <w:spacing w:before="20" w:after="20"/>
              <w:jc w:val="right"/>
              <w:rPr>
                <w:rFonts w:asciiTheme="majorHAnsi" w:hAnsiTheme="majorHAnsi"/>
                <w:color w:val="292929"/>
                <w:sz w:val="14"/>
                <w:szCs w:val="14"/>
              </w:rPr>
            </w:pPr>
            <w:r w:rsidRPr="00241765">
              <w:rPr>
                <w:rFonts w:asciiTheme="majorHAnsi" w:hAnsiTheme="majorHAnsi" w:cs="Calibri"/>
                <w:color w:val="292929"/>
                <w:sz w:val="14"/>
                <w:szCs w:val="14"/>
              </w:rPr>
              <w:t> </w:t>
            </w:r>
          </w:p>
        </w:tc>
        <w:tc>
          <w:tcPr>
            <w:tcW w:w="985" w:type="dxa"/>
            <w:tcBorders>
              <w:left w:val="single" w:sz="18" w:space="0" w:color="FFFFFF" w:themeColor="background2"/>
              <w:right w:val="single" w:sz="18" w:space="0" w:color="FFFFFF" w:themeColor="background2"/>
            </w:tcBorders>
          </w:tcPr>
          <w:p w14:paraId="406D9D63"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tcBorders>
          </w:tcPr>
          <w:p w14:paraId="483BC398" w14:textId="77777777" w:rsidR="00904764" w:rsidRPr="00241765" w:rsidRDefault="00904764" w:rsidP="00B15944">
            <w:pPr>
              <w:autoSpaceDE w:val="0"/>
              <w:autoSpaceDN w:val="0"/>
              <w:adjustRightInd w:val="0"/>
              <w:spacing w:before="20" w:after="20"/>
              <w:jc w:val="right"/>
              <w:rPr>
                <w:color w:val="292929"/>
                <w:sz w:val="14"/>
                <w:szCs w:val="14"/>
              </w:rPr>
            </w:pPr>
          </w:p>
        </w:tc>
      </w:tr>
      <w:tr w:rsidR="00904764" w:rsidRPr="00241765" w14:paraId="52AF2D3B" w14:textId="77777777" w:rsidTr="00B15944">
        <w:trPr>
          <w:trHeight w:val="170"/>
        </w:trPr>
        <w:tc>
          <w:tcPr>
            <w:tcW w:w="3483" w:type="dxa"/>
          </w:tcPr>
          <w:p w14:paraId="13764CE0"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Cash and cash equivalents</w:t>
            </w:r>
          </w:p>
        </w:tc>
        <w:tc>
          <w:tcPr>
            <w:tcW w:w="985" w:type="dxa"/>
            <w:tcBorders>
              <w:right w:val="single" w:sz="18" w:space="0" w:color="FFFFFF" w:themeColor="background2"/>
            </w:tcBorders>
          </w:tcPr>
          <w:p w14:paraId="3C6FE4D3"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2.1A</w:t>
            </w:r>
          </w:p>
        </w:tc>
        <w:tc>
          <w:tcPr>
            <w:tcW w:w="985" w:type="dxa"/>
            <w:tcBorders>
              <w:left w:val="single" w:sz="18" w:space="0" w:color="FFFFFF" w:themeColor="background2"/>
              <w:right w:val="single" w:sz="18" w:space="0" w:color="FFFFFF" w:themeColor="background2"/>
            </w:tcBorders>
          </w:tcPr>
          <w:p w14:paraId="2BAA3604" w14:textId="2569DFBA"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s="Calibri"/>
                <w:color w:val="292929"/>
                <w:sz w:val="14"/>
                <w:szCs w:val="14"/>
              </w:rPr>
              <w:t>16,</w:t>
            </w:r>
            <w:r>
              <w:rPr>
                <w:rFonts w:asciiTheme="majorHAnsi" w:hAnsiTheme="majorHAnsi" w:cs="Calibri"/>
                <w:color w:val="292929"/>
                <w:sz w:val="14"/>
                <w:szCs w:val="14"/>
              </w:rPr>
              <w:t>079</w:t>
            </w:r>
          </w:p>
        </w:tc>
        <w:tc>
          <w:tcPr>
            <w:tcW w:w="985" w:type="dxa"/>
            <w:tcBorders>
              <w:left w:val="single" w:sz="18" w:space="0" w:color="FFFFFF" w:themeColor="background2"/>
              <w:right w:val="single" w:sz="18" w:space="0" w:color="FFFFFF" w:themeColor="background2"/>
            </w:tcBorders>
          </w:tcPr>
          <w:p w14:paraId="3BE6F63E" w14:textId="067D1BFF"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w:t>
            </w:r>
            <w:r>
              <w:rPr>
                <w:rFonts w:cs="Calibri"/>
                <w:color w:val="292929"/>
                <w:sz w:val="14"/>
                <w:szCs w:val="14"/>
              </w:rPr>
              <w:t>6</w:t>
            </w:r>
            <w:r w:rsidRPr="00241765">
              <w:rPr>
                <w:rFonts w:cs="Calibri"/>
                <w:color w:val="292929"/>
                <w:sz w:val="14"/>
                <w:szCs w:val="14"/>
              </w:rPr>
              <w:t>,</w:t>
            </w:r>
            <w:r>
              <w:rPr>
                <w:rFonts w:cs="Calibri"/>
                <w:color w:val="292929"/>
                <w:sz w:val="14"/>
                <w:szCs w:val="14"/>
              </w:rPr>
              <w:t>251</w:t>
            </w:r>
          </w:p>
        </w:tc>
        <w:tc>
          <w:tcPr>
            <w:tcW w:w="985" w:type="dxa"/>
            <w:tcBorders>
              <w:left w:val="single" w:sz="18" w:space="0" w:color="FFFFFF" w:themeColor="background2"/>
            </w:tcBorders>
          </w:tcPr>
          <w:p w14:paraId="26818A9B" w14:textId="7C3E144B"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1</w:t>
            </w:r>
            <w:r>
              <w:rPr>
                <w:color w:val="292929"/>
                <w:sz w:val="14"/>
                <w:szCs w:val="14"/>
              </w:rPr>
              <w:t>3</w:t>
            </w:r>
            <w:r w:rsidRPr="00241765">
              <w:rPr>
                <w:color w:val="292929"/>
                <w:sz w:val="14"/>
                <w:szCs w:val="14"/>
              </w:rPr>
              <w:t>,</w:t>
            </w:r>
            <w:r>
              <w:rPr>
                <w:color w:val="292929"/>
                <w:sz w:val="14"/>
                <w:szCs w:val="14"/>
              </w:rPr>
              <w:t>476</w:t>
            </w:r>
          </w:p>
        </w:tc>
      </w:tr>
      <w:tr w:rsidR="00904764" w:rsidRPr="00241765" w14:paraId="3C4D4978" w14:textId="77777777" w:rsidTr="00B15944">
        <w:trPr>
          <w:trHeight w:val="170"/>
        </w:trPr>
        <w:tc>
          <w:tcPr>
            <w:tcW w:w="3483" w:type="dxa"/>
          </w:tcPr>
          <w:p w14:paraId="256710DE"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Trade and other receivables</w:t>
            </w:r>
          </w:p>
        </w:tc>
        <w:tc>
          <w:tcPr>
            <w:tcW w:w="985" w:type="dxa"/>
            <w:tcBorders>
              <w:right w:val="single" w:sz="18" w:space="0" w:color="FFFFFF" w:themeColor="background2"/>
            </w:tcBorders>
          </w:tcPr>
          <w:p w14:paraId="7DFEE5B8"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2.1B</w:t>
            </w:r>
          </w:p>
        </w:tc>
        <w:tc>
          <w:tcPr>
            <w:tcW w:w="985" w:type="dxa"/>
            <w:tcBorders>
              <w:left w:val="single" w:sz="18" w:space="0" w:color="FFFFFF" w:themeColor="background2"/>
              <w:bottom w:val="single" w:sz="2" w:space="0" w:color="auto"/>
              <w:right w:val="single" w:sz="18" w:space="0" w:color="FFFFFF" w:themeColor="background2"/>
            </w:tcBorders>
          </w:tcPr>
          <w:p w14:paraId="36BFB237" w14:textId="3C7B93B4"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529</w:t>
            </w:r>
          </w:p>
        </w:tc>
        <w:tc>
          <w:tcPr>
            <w:tcW w:w="985" w:type="dxa"/>
            <w:tcBorders>
              <w:left w:val="single" w:sz="18" w:space="0" w:color="FFFFFF" w:themeColor="background2"/>
              <w:bottom w:val="single" w:sz="2" w:space="0" w:color="auto"/>
              <w:right w:val="single" w:sz="18" w:space="0" w:color="FFFFFF" w:themeColor="background2"/>
            </w:tcBorders>
          </w:tcPr>
          <w:p w14:paraId="7324B0E2" w14:textId="7105CC5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273</w:t>
            </w:r>
          </w:p>
        </w:tc>
        <w:tc>
          <w:tcPr>
            <w:tcW w:w="985" w:type="dxa"/>
            <w:tcBorders>
              <w:left w:val="single" w:sz="18" w:space="0" w:color="FFFFFF" w:themeColor="background2"/>
              <w:bottom w:val="single" w:sz="2" w:space="0" w:color="auto"/>
            </w:tcBorders>
          </w:tcPr>
          <w:p w14:paraId="61A2C430" w14:textId="76C19A01"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199</w:t>
            </w:r>
          </w:p>
        </w:tc>
      </w:tr>
      <w:tr w:rsidR="00904764" w:rsidRPr="00241765" w14:paraId="2CFD4B64" w14:textId="77777777" w:rsidTr="00B15944">
        <w:trPr>
          <w:trHeight w:val="170"/>
        </w:trPr>
        <w:tc>
          <w:tcPr>
            <w:tcW w:w="3483" w:type="dxa"/>
          </w:tcPr>
          <w:p w14:paraId="7C0846E0"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s="Futura PT Book"/>
                <w:color w:val="292929"/>
                <w:sz w:val="14"/>
                <w:szCs w:val="14"/>
                <w:lang w:val="en-US"/>
              </w:rPr>
              <w:t>Total financial assets</w:t>
            </w:r>
          </w:p>
        </w:tc>
        <w:tc>
          <w:tcPr>
            <w:tcW w:w="985" w:type="dxa"/>
            <w:tcBorders>
              <w:right w:val="single" w:sz="18" w:space="0" w:color="FFFFFF" w:themeColor="background2"/>
            </w:tcBorders>
          </w:tcPr>
          <w:p w14:paraId="6493E7C0"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92E8BA4" w14:textId="1A325B37"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6F1958">
              <w:rPr>
                <w:rFonts w:asciiTheme="majorHAnsi" w:hAnsiTheme="majorHAnsi" w:cs="Calibri"/>
                <w:color w:val="292929"/>
                <w:sz w:val="14"/>
                <w:szCs w:val="14"/>
              </w:rPr>
              <w:t>16,</w:t>
            </w:r>
            <w:r>
              <w:rPr>
                <w:rFonts w:asciiTheme="majorHAnsi" w:hAnsiTheme="majorHAnsi" w:cs="Calibri"/>
                <w:color w:val="292929"/>
                <w:sz w:val="14"/>
                <w:szCs w:val="14"/>
              </w:rPr>
              <w:t>608</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9AFD2B8" w14:textId="08A7B8D1"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w:t>
            </w:r>
            <w:r>
              <w:rPr>
                <w:rFonts w:cs="Calibri"/>
                <w:color w:val="292929"/>
                <w:sz w:val="14"/>
                <w:szCs w:val="14"/>
              </w:rPr>
              <w:t>6</w:t>
            </w:r>
            <w:r w:rsidRPr="00241765">
              <w:rPr>
                <w:rFonts w:cs="Calibri"/>
                <w:color w:val="292929"/>
                <w:sz w:val="14"/>
                <w:szCs w:val="14"/>
              </w:rPr>
              <w:t>,</w:t>
            </w:r>
            <w:r>
              <w:rPr>
                <w:rFonts w:cs="Calibri"/>
                <w:color w:val="292929"/>
                <w:sz w:val="14"/>
                <w:szCs w:val="14"/>
              </w:rPr>
              <w:t>524</w:t>
            </w:r>
          </w:p>
        </w:tc>
        <w:tc>
          <w:tcPr>
            <w:tcW w:w="985" w:type="dxa"/>
            <w:tcBorders>
              <w:top w:val="single" w:sz="2" w:space="0" w:color="auto"/>
              <w:left w:val="single" w:sz="18" w:space="0" w:color="FFFFFF" w:themeColor="background2"/>
              <w:bottom w:val="single" w:sz="2" w:space="0" w:color="auto"/>
            </w:tcBorders>
          </w:tcPr>
          <w:p w14:paraId="5933A2E7" w14:textId="215FBDEC"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1</w:t>
            </w:r>
            <w:r>
              <w:rPr>
                <w:color w:val="292929"/>
                <w:sz w:val="14"/>
                <w:szCs w:val="14"/>
              </w:rPr>
              <w:t>3,675</w:t>
            </w:r>
          </w:p>
        </w:tc>
      </w:tr>
      <w:tr w:rsidR="00904764" w:rsidRPr="00241765" w14:paraId="16E3E287" w14:textId="77777777" w:rsidTr="00B15944">
        <w:trPr>
          <w:trHeight w:val="227"/>
        </w:trPr>
        <w:tc>
          <w:tcPr>
            <w:tcW w:w="3483" w:type="dxa"/>
          </w:tcPr>
          <w:p w14:paraId="0C41FC25"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Non-financial assets</w:t>
            </w:r>
          </w:p>
        </w:tc>
        <w:tc>
          <w:tcPr>
            <w:tcW w:w="985" w:type="dxa"/>
            <w:tcBorders>
              <w:right w:val="single" w:sz="18" w:space="0" w:color="FFFFFF" w:themeColor="background2"/>
            </w:tcBorders>
          </w:tcPr>
          <w:p w14:paraId="5A72CF7D" w14:textId="77777777" w:rsidR="00904764" w:rsidRPr="00241765" w:rsidRDefault="00904764"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018EC328" w14:textId="77777777" w:rsidR="00904764" w:rsidRPr="00241765" w:rsidRDefault="00904764" w:rsidP="00B15944">
            <w:pPr>
              <w:autoSpaceDE w:val="0"/>
              <w:autoSpaceDN w:val="0"/>
              <w:adjustRightInd w:val="0"/>
              <w:spacing w:before="20" w:after="20"/>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5CE199B7" w14:textId="77777777" w:rsidR="00904764" w:rsidRPr="00241765" w:rsidRDefault="00904764"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tcBorders>
          </w:tcPr>
          <w:p w14:paraId="55D2E68F" w14:textId="77777777" w:rsidR="00904764" w:rsidRPr="00241765" w:rsidRDefault="00904764" w:rsidP="00B15944">
            <w:pPr>
              <w:autoSpaceDE w:val="0"/>
              <w:autoSpaceDN w:val="0"/>
              <w:adjustRightInd w:val="0"/>
              <w:spacing w:before="20" w:after="20"/>
              <w:rPr>
                <w:color w:val="292929"/>
                <w:sz w:val="14"/>
                <w:szCs w:val="14"/>
              </w:rPr>
            </w:pPr>
          </w:p>
        </w:tc>
      </w:tr>
      <w:tr w:rsidR="00904764" w:rsidRPr="00241765" w14:paraId="4B80A33B" w14:textId="77777777" w:rsidTr="00B15944">
        <w:trPr>
          <w:trHeight w:val="170"/>
        </w:trPr>
        <w:tc>
          <w:tcPr>
            <w:tcW w:w="3483" w:type="dxa"/>
          </w:tcPr>
          <w:p w14:paraId="3F762212"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Buildings</w:t>
            </w:r>
          </w:p>
        </w:tc>
        <w:tc>
          <w:tcPr>
            <w:tcW w:w="985" w:type="dxa"/>
            <w:tcBorders>
              <w:right w:val="single" w:sz="18" w:space="0" w:color="FFFFFF" w:themeColor="background2"/>
            </w:tcBorders>
          </w:tcPr>
          <w:p w14:paraId="3205DBE4" w14:textId="77777777" w:rsidR="00904764" w:rsidRPr="00241765" w:rsidRDefault="00904764" w:rsidP="00B15944">
            <w:pPr>
              <w:autoSpaceDE w:val="0"/>
              <w:autoSpaceDN w:val="0"/>
              <w:adjustRightInd w:val="0"/>
              <w:spacing w:before="20" w:after="20"/>
              <w:jc w:val="right"/>
              <w:rPr>
                <w:color w:val="292929"/>
                <w:sz w:val="14"/>
                <w:szCs w:val="14"/>
              </w:rPr>
            </w:pPr>
            <w:r w:rsidRPr="00241765">
              <w:rPr>
                <w:color w:val="292929"/>
                <w:sz w:val="14"/>
                <w:szCs w:val="14"/>
              </w:rPr>
              <w:t>2.2A</w:t>
            </w:r>
          </w:p>
        </w:tc>
        <w:tc>
          <w:tcPr>
            <w:tcW w:w="985" w:type="dxa"/>
            <w:tcBorders>
              <w:left w:val="single" w:sz="18" w:space="0" w:color="FFFFFF" w:themeColor="background2"/>
              <w:right w:val="single" w:sz="18" w:space="0" w:color="FFFFFF" w:themeColor="background2"/>
            </w:tcBorders>
          </w:tcPr>
          <w:p w14:paraId="25D17B05" w14:textId="19F4FC1F" w:rsidR="00904764" w:rsidRPr="00241765" w:rsidRDefault="00904764"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12</w:t>
            </w:r>
            <w:r w:rsidRPr="006F1958">
              <w:rPr>
                <w:rFonts w:asciiTheme="majorHAnsi" w:hAnsiTheme="majorHAnsi" w:cs="Calibri"/>
                <w:color w:val="292929"/>
                <w:sz w:val="14"/>
                <w:szCs w:val="14"/>
              </w:rPr>
              <w:t>,</w:t>
            </w:r>
            <w:r>
              <w:rPr>
                <w:rFonts w:asciiTheme="majorHAnsi" w:hAnsiTheme="majorHAnsi" w:cs="Calibri"/>
                <w:color w:val="292929"/>
                <w:sz w:val="14"/>
                <w:szCs w:val="14"/>
              </w:rPr>
              <w:t>375</w:t>
            </w:r>
          </w:p>
        </w:tc>
        <w:tc>
          <w:tcPr>
            <w:tcW w:w="985" w:type="dxa"/>
            <w:tcBorders>
              <w:left w:val="single" w:sz="18" w:space="0" w:color="FFFFFF" w:themeColor="background2"/>
              <w:right w:val="single" w:sz="18" w:space="0" w:color="FFFFFF" w:themeColor="background2"/>
            </w:tcBorders>
          </w:tcPr>
          <w:p w14:paraId="70692357" w14:textId="17DAEC4E" w:rsidR="00904764" w:rsidRPr="00241765" w:rsidRDefault="00904764" w:rsidP="00B15944">
            <w:pPr>
              <w:autoSpaceDE w:val="0"/>
              <w:autoSpaceDN w:val="0"/>
              <w:adjustRightInd w:val="0"/>
              <w:spacing w:before="20" w:after="20"/>
              <w:jc w:val="right"/>
              <w:rPr>
                <w:color w:val="292929"/>
                <w:sz w:val="14"/>
                <w:szCs w:val="14"/>
              </w:rPr>
            </w:pPr>
            <w:r>
              <w:rPr>
                <w:rFonts w:cs="Calibri"/>
                <w:color w:val="292929"/>
                <w:sz w:val="14"/>
                <w:szCs w:val="14"/>
              </w:rPr>
              <w:t>1,124</w:t>
            </w:r>
          </w:p>
        </w:tc>
        <w:tc>
          <w:tcPr>
            <w:tcW w:w="985" w:type="dxa"/>
            <w:tcBorders>
              <w:left w:val="single" w:sz="18" w:space="0" w:color="FFFFFF" w:themeColor="background2"/>
            </w:tcBorders>
          </w:tcPr>
          <w:p w14:paraId="0C7DA71C" w14:textId="0F412D7B" w:rsidR="00904764" w:rsidRPr="00241765" w:rsidRDefault="00D429CA" w:rsidP="00B15944">
            <w:pPr>
              <w:autoSpaceDE w:val="0"/>
              <w:autoSpaceDN w:val="0"/>
              <w:adjustRightInd w:val="0"/>
              <w:spacing w:before="20" w:after="20"/>
              <w:jc w:val="right"/>
              <w:rPr>
                <w:color w:val="292929"/>
                <w:sz w:val="14"/>
                <w:szCs w:val="14"/>
              </w:rPr>
            </w:pPr>
            <w:r>
              <w:rPr>
                <w:rFonts w:cs="Calibri"/>
                <w:color w:val="292929"/>
                <w:sz w:val="14"/>
                <w:szCs w:val="14"/>
              </w:rPr>
              <w:t>4,569</w:t>
            </w:r>
          </w:p>
        </w:tc>
      </w:tr>
      <w:tr w:rsidR="00904764" w:rsidRPr="00241765" w14:paraId="2B430EA2" w14:textId="77777777" w:rsidTr="00B15944">
        <w:trPr>
          <w:trHeight w:val="170"/>
        </w:trPr>
        <w:tc>
          <w:tcPr>
            <w:tcW w:w="3483" w:type="dxa"/>
          </w:tcPr>
          <w:p w14:paraId="2102E1E8"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Leasehold improvement</w:t>
            </w:r>
          </w:p>
        </w:tc>
        <w:tc>
          <w:tcPr>
            <w:tcW w:w="985" w:type="dxa"/>
            <w:tcBorders>
              <w:right w:val="single" w:sz="18" w:space="0" w:color="FFFFFF" w:themeColor="background2"/>
            </w:tcBorders>
          </w:tcPr>
          <w:p w14:paraId="06A14219"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2.2A</w:t>
            </w:r>
          </w:p>
        </w:tc>
        <w:tc>
          <w:tcPr>
            <w:tcW w:w="985" w:type="dxa"/>
            <w:tcBorders>
              <w:left w:val="single" w:sz="18" w:space="0" w:color="FFFFFF" w:themeColor="background2"/>
              <w:right w:val="single" w:sz="18" w:space="0" w:color="FFFFFF" w:themeColor="background2"/>
            </w:tcBorders>
          </w:tcPr>
          <w:p w14:paraId="73717120" w14:textId="0D89329A"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2</w:t>
            </w:r>
            <w:r w:rsidRPr="006F1958">
              <w:rPr>
                <w:rFonts w:asciiTheme="majorHAnsi" w:hAnsiTheme="majorHAnsi" w:cs="Calibri"/>
                <w:color w:val="292929"/>
                <w:sz w:val="14"/>
                <w:szCs w:val="14"/>
              </w:rPr>
              <w:t>,</w:t>
            </w:r>
            <w:r>
              <w:rPr>
                <w:rFonts w:asciiTheme="majorHAnsi" w:hAnsiTheme="majorHAnsi" w:cs="Calibri"/>
                <w:color w:val="292929"/>
                <w:sz w:val="14"/>
                <w:szCs w:val="14"/>
              </w:rPr>
              <w:t>398</w:t>
            </w:r>
          </w:p>
        </w:tc>
        <w:tc>
          <w:tcPr>
            <w:tcW w:w="985" w:type="dxa"/>
            <w:tcBorders>
              <w:left w:val="single" w:sz="18" w:space="0" w:color="FFFFFF" w:themeColor="background2"/>
              <w:right w:val="single" w:sz="18" w:space="0" w:color="FFFFFF" w:themeColor="background2"/>
            </w:tcBorders>
          </w:tcPr>
          <w:p w14:paraId="620DD3BB" w14:textId="36317634"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w:t>
            </w:r>
            <w:r>
              <w:rPr>
                <w:rFonts w:cs="Calibri"/>
                <w:color w:val="292929"/>
                <w:sz w:val="14"/>
                <w:szCs w:val="14"/>
              </w:rPr>
              <w:t>107</w:t>
            </w:r>
          </w:p>
        </w:tc>
        <w:tc>
          <w:tcPr>
            <w:tcW w:w="985" w:type="dxa"/>
            <w:tcBorders>
              <w:left w:val="single" w:sz="18" w:space="0" w:color="FFFFFF" w:themeColor="background2"/>
            </w:tcBorders>
          </w:tcPr>
          <w:p w14:paraId="4780978E" w14:textId="11FE8DCD"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1,323</w:t>
            </w:r>
          </w:p>
        </w:tc>
      </w:tr>
      <w:tr w:rsidR="00904764" w:rsidRPr="00241765" w14:paraId="27C9A46D" w14:textId="77777777" w:rsidTr="00856C96">
        <w:trPr>
          <w:trHeight w:val="170"/>
        </w:trPr>
        <w:tc>
          <w:tcPr>
            <w:tcW w:w="3483" w:type="dxa"/>
          </w:tcPr>
          <w:p w14:paraId="469533D8"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Pr>
                <w:color w:val="292929"/>
                <w:sz w:val="14"/>
                <w:szCs w:val="14"/>
              </w:rPr>
              <w:t>Computer software</w:t>
            </w:r>
          </w:p>
        </w:tc>
        <w:tc>
          <w:tcPr>
            <w:tcW w:w="985" w:type="dxa"/>
            <w:tcBorders>
              <w:right w:val="single" w:sz="18" w:space="0" w:color="FFFFFF" w:themeColor="background2"/>
            </w:tcBorders>
          </w:tcPr>
          <w:p w14:paraId="64F2BAE3" w14:textId="77777777" w:rsidR="00904764" w:rsidRPr="00241765" w:rsidRDefault="00904764" w:rsidP="00B15944">
            <w:pPr>
              <w:autoSpaceDE w:val="0"/>
              <w:autoSpaceDN w:val="0"/>
              <w:adjustRightInd w:val="0"/>
              <w:spacing w:before="20" w:after="20"/>
              <w:jc w:val="right"/>
              <w:rPr>
                <w:color w:val="292929"/>
                <w:sz w:val="14"/>
                <w:szCs w:val="14"/>
              </w:rPr>
            </w:pPr>
            <w:r w:rsidRPr="00241765">
              <w:rPr>
                <w:color w:val="292929"/>
                <w:sz w:val="14"/>
                <w:szCs w:val="14"/>
              </w:rPr>
              <w:t>2.2A</w:t>
            </w:r>
          </w:p>
        </w:tc>
        <w:tc>
          <w:tcPr>
            <w:tcW w:w="985" w:type="dxa"/>
            <w:tcBorders>
              <w:left w:val="single" w:sz="18" w:space="0" w:color="FFFFFF" w:themeColor="background2"/>
              <w:right w:val="single" w:sz="18" w:space="0" w:color="FFFFFF" w:themeColor="background2"/>
            </w:tcBorders>
          </w:tcPr>
          <w:p w14:paraId="4EF87300" w14:textId="0EA2375A"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61</w:t>
            </w:r>
          </w:p>
        </w:tc>
        <w:tc>
          <w:tcPr>
            <w:tcW w:w="985" w:type="dxa"/>
            <w:tcBorders>
              <w:left w:val="single" w:sz="18" w:space="0" w:color="FFFFFF" w:themeColor="background2"/>
              <w:right w:val="single" w:sz="18" w:space="0" w:color="FFFFFF" w:themeColor="background2"/>
            </w:tcBorders>
          </w:tcPr>
          <w:p w14:paraId="2C60AD5B" w14:textId="4C988E50"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92</w:t>
            </w:r>
          </w:p>
        </w:tc>
        <w:tc>
          <w:tcPr>
            <w:tcW w:w="985" w:type="dxa"/>
            <w:tcBorders>
              <w:left w:val="single" w:sz="18" w:space="0" w:color="FFFFFF" w:themeColor="background2"/>
            </w:tcBorders>
          </w:tcPr>
          <w:p w14:paraId="13E7342F" w14:textId="31E1CA35"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833</w:t>
            </w:r>
          </w:p>
        </w:tc>
      </w:tr>
      <w:tr w:rsidR="00904764" w:rsidRPr="00241765" w14:paraId="3D76DC48" w14:textId="77777777" w:rsidTr="00856C96">
        <w:trPr>
          <w:trHeight w:val="170"/>
        </w:trPr>
        <w:tc>
          <w:tcPr>
            <w:tcW w:w="3483" w:type="dxa"/>
          </w:tcPr>
          <w:p w14:paraId="7DB5A9A8"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Pr>
                <w:color w:val="292929"/>
                <w:sz w:val="14"/>
                <w:szCs w:val="14"/>
              </w:rPr>
              <w:t>Plant and equipment</w:t>
            </w:r>
          </w:p>
        </w:tc>
        <w:tc>
          <w:tcPr>
            <w:tcW w:w="985" w:type="dxa"/>
          </w:tcPr>
          <w:p w14:paraId="3D3A9DD9"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2.2A</w:t>
            </w:r>
          </w:p>
        </w:tc>
        <w:tc>
          <w:tcPr>
            <w:tcW w:w="985" w:type="dxa"/>
          </w:tcPr>
          <w:p w14:paraId="0CC66594" w14:textId="38FE4B79"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w:t>
            </w:r>
          </w:p>
        </w:tc>
        <w:tc>
          <w:tcPr>
            <w:tcW w:w="985" w:type="dxa"/>
          </w:tcPr>
          <w:p w14:paraId="323386C7" w14:textId="5909D1ED"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w:t>
            </w:r>
          </w:p>
        </w:tc>
        <w:tc>
          <w:tcPr>
            <w:tcW w:w="985" w:type="dxa"/>
          </w:tcPr>
          <w:p w14:paraId="7DC659FB" w14:textId="0098A6EC"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w:t>
            </w:r>
            <w:r w:rsidR="00D429CA">
              <w:rPr>
                <w:rFonts w:cs="Calibri"/>
                <w:color w:val="292929"/>
                <w:sz w:val="14"/>
                <w:szCs w:val="14"/>
              </w:rPr>
              <w:t>2</w:t>
            </w:r>
          </w:p>
        </w:tc>
      </w:tr>
      <w:tr w:rsidR="00904764" w:rsidRPr="00241765" w14:paraId="4DE6B659" w14:textId="77777777" w:rsidTr="00856C96">
        <w:trPr>
          <w:trHeight w:val="170"/>
        </w:trPr>
        <w:tc>
          <w:tcPr>
            <w:tcW w:w="3483" w:type="dxa"/>
          </w:tcPr>
          <w:p w14:paraId="13ED97CA"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Other</w:t>
            </w:r>
            <w:r>
              <w:rPr>
                <w:color w:val="292929"/>
                <w:sz w:val="14"/>
                <w:szCs w:val="14"/>
              </w:rPr>
              <w:t xml:space="preserve"> - </w:t>
            </w:r>
            <w:r w:rsidRPr="00241765">
              <w:rPr>
                <w:color w:val="292929"/>
                <w:sz w:val="14"/>
                <w:szCs w:val="14"/>
              </w:rPr>
              <w:t>prepayments</w:t>
            </w:r>
          </w:p>
        </w:tc>
        <w:tc>
          <w:tcPr>
            <w:tcW w:w="985" w:type="dxa"/>
            <w:tcBorders>
              <w:right w:val="single" w:sz="18" w:space="0" w:color="FFFFFF" w:themeColor="background2"/>
            </w:tcBorders>
          </w:tcPr>
          <w:p w14:paraId="1CE4EDDC"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1585E3B8" w14:textId="3EC1A7DD"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308</w:t>
            </w:r>
            <w:r w:rsidRPr="00241765">
              <w:rPr>
                <w:rFonts w:asciiTheme="majorHAnsi" w:hAnsiTheme="majorHAnsi" w:cs="Calibri"/>
                <w:color w:val="292929"/>
                <w:sz w:val="14"/>
                <w:szCs w:val="14"/>
              </w:rPr>
              <w:t xml:space="preserve"> </w:t>
            </w:r>
          </w:p>
        </w:tc>
        <w:tc>
          <w:tcPr>
            <w:tcW w:w="985" w:type="dxa"/>
            <w:tcBorders>
              <w:left w:val="single" w:sz="18" w:space="0" w:color="FFFFFF" w:themeColor="background2"/>
              <w:bottom w:val="single" w:sz="2" w:space="0" w:color="auto"/>
              <w:right w:val="single" w:sz="18" w:space="0" w:color="FFFFFF" w:themeColor="background2"/>
            </w:tcBorders>
          </w:tcPr>
          <w:p w14:paraId="4C7DD8AB" w14:textId="41E19C72"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368</w:t>
            </w:r>
          </w:p>
        </w:tc>
        <w:tc>
          <w:tcPr>
            <w:tcW w:w="985" w:type="dxa"/>
            <w:tcBorders>
              <w:left w:val="single" w:sz="18" w:space="0" w:color="FFFFFF" w:themeColor="background2"/>
              <w:bottom w:val="single" w:sz="2" w:space="0" w:color="auto"/>
            </w:tcBorders>
          </w:tcPr>
          <w:p w14:paraId="12EDF543" w14:textId="10D85018"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60</w:t>
            </w:r>
          </w:p>
        </w:tc>
      </w:tr>
      <w:tr w:rsidR="00904764" w:rsidRPr="00241765" w14:paraId="1CD1A948" w14:textId="77777777" w:rsidTr="00B15944">
        <w:trPr>
          <w:trHeight w:val="170"/>
        </w:trPr>
        <w:tc>
          <w:tcPr>
            <w:tcW w:w="3483" w:type="dxa"/>
          </w:tcPr>
          <w:p w14:paraId="26EE5837"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non-financial assets</w:t>
            </w:r>
          </w:p>
        </w:tc>
        <w:tc>
          <w:tcPr>
            <w:tcW w:w="985" w:type="dxa"/>
            <w:tcBorders>
              <w:right w:val="single" w:sz="18" w:space="0" w:color="FFFFFF" w:themeColor="background2"/>
            </w:tcBorders>
          </w:tcPr>
          <w:p w14:paraId="20BAEE54"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E55D6C5" w14:textId="0278E5F9"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s="Calibri"/>
                <w:color w:val="292929"/>
                <w:sz w:val="14"/>
                <w:szCs w:val="14"/>
              </w:rPr>
              <w:t>15,142</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E1D1DA0" w14:textId="19FE7532"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2,692</w:t>
            </w:r>
          </w:p>
        </w:tc>
        <w:tc>
          <w:tcPr>
            <w:tcW w:w="985" w:type="dxa"/>
            <w:tcBorders>
              <w:top w:val="single" w:sz="2" w:space="0" w:color="auto"/>
              <w:left w:val="single" w:sz="18" w:space="0" w:color="FFFFFF" w:themeColor="background2"/>
              <w:bottom w:val="single" w:sz="2" w:space="0" w:color="auto"/>
            </w:tcBorders>
          </w:tcPr>
          <w:p w14:paraId="3E069011" w14:textId="72E2B8F8" w:rsidR="00904764" w:rsidRPr="00241765" w:rsidRDefault="00D429CA" w:rsidP="00B15944">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6,797</w:t>
            </w:r>
          </w:p>
        </w:tc>
      </w:tr>
      <w:tr w:rsidR="00904764" w:rsidRPr="00241765" w14:paraId="410A4829" w14:textId="77777777" w:rsidTr="00B15944">
        <w:trPr>
          <w:trHeight w:val="170"/>
        </w:trPr>
        <w:tc>
          <w:tcPr>
            <w:tcW w:w="3483" w:type="dxa"/>
          </w:tcPr>
          <w:p w14:paraId="3257DF1D"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assets</w:t>
            </w:r>
          </w:p>
        </w:tc>
        <w:tc>
          <w:tcPr>
            <w:tcW w:w="985" w:type="dxa"/>
            <w:tcBorders>
              <w:right w:val="single" w:sz="18" w:space="0" w:color="FFFFFF" w:themeColor="background2"/>
            </w:tcBorders>
          </w:tcPr>
          <w:p w14:paraId="70171899"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4117A735" w14:textId="38BB3BC5"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s="Calibri"/>
                <w:color w:val="292929"/>
                <w:sz w:val="14"/>
                <w:szCs w:val="14"/>
              </w:rPr>
              <w:t>31,750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43767F62" w14:textId="2F1F0A02"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19,216</w:t>
            </w:r>
          </w:p>
        </w:tc>
        <w:tc>
          <w:tcPr>
            <w:tcW w:w="985" w:type="dxa"/>
            <w:tcBorders>
              <w:top w:val="single" w:sz="2" w:space="0" w:color="auto"/>
              <w:left w:val="single" w:sz="18" w:space="0" w:color="FFFFFF" w:themeColor="background2"/>
              <w:bottom w:val="single" w:sz="2" w:space="0" w:color="auto"/>
            </w:tcBorders>
          </w:tcPr>
          <w:p w14:paraId="3401B85B" w14:textId="6B562D23"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2</w:t>
            </w:r>
            <w:r w:rsidR="00D429CA">
              <w:rPr>
                <w:rFonts w:cs="Calibri"/>
                <w:color w:val="292929"/>
                <w:sz w:val="14"/>
                <w:szCs w:val="14"/>
              </w:rPr>
              <w:t>0,472</w:t>
            </w:r>
          </w:p>
        </w:tc>
      </w:tr>
      <w:tr w:rsidR="00904764" w:rsidRPr="00241765" w14:paraId="12869874" w14:textId="77777777" w:rsidTr="00B15944">
        <w:trPr>
          <w:trHeight w:val="283"/>
        </w:trPr>
        <w:tc>
          <w:tcPr>
            <w:tcW w:w="3483" w:type="dxa"/>
          </w:tcPr>
          <w:p w14:paraId="427F2336"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LIABILITIES</w:t>
            </w:r>
          </w:p>
        </w:tc>
        <w:tc>
          <w:tcPr>
            <w:tcW w:w="985" w:type="dxa"/>
            <w:tcBorders>
              <w:right w:val="single" w:sz="18" w:space="0" w:color="FFFFFF" w:themeColor="background2"/>
            </w:tcBorders>
          </w:tcPr>
          <w:p w14:paraId="2276B20D" w14:textId="77777777" w:rsidR="00904764" w:rsidRPr="00241765" w:rsidRDefault="00904764"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3E99519F" w14:textId="77777777" w:rsidR="00904764" w:rsidRPr="00241765" w:rsidRDefault="00904764" w:rsidP="00B15944">
            <w:pPr>
              <w:autoSpaceDE w:val="0"/>
              <w:autoSpaceDN w:val="0"/>
              <w:adjustRightInd w:val="0"/>
              <w:spacing w:before="20" w:after="20"/>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1ADD23BF" w14:textId="77777777" w:rsidR="00904764" w:rsidRPr="00241765" w:rsidRDefault="00904764"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tcBorders>
          </w:tcPr>
          <w:p w14:paraId="30B107D7" w14:textId="77777777" w:rsidR="00904764" w:rsidRPr="00241765" w:rsidRDefault="00904764" w:rsidP="00B15944">
            <w:pPr>
              <w:autoSpaceDE w:val="0"/>
              <w:autoSpaceDN w:val="0"/>
              <w:adjustRightInd w:val="0"/>
              <w:spacing w:before="20" w:after="20"/>
              <w:rPr>
                <w:color w:val="292929"/>
                <w:sz w:val="14"/>
                <w:szCs w:val="14"/>
              </w:rPr>
            </w:pPr>
          </w:p>
        </w:tc>
      </w:tr>
      <w:tr w:rsidR="00904764" w:rsidRPr="00241765" w14:paraId="6359F29C" w14:textId="77777777" w:rsidTr="00B15944">
        <w:trPr>
          <w:trHeight w:val="170"/>
        </w:trPr>
        <w:tc>
          <w:tcPr>
            <w:tcW w:w="3483" w:type="dxa"/>
          </w:tcPr>
          <w:p w14:paraId="50934958"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Payables</w:t>
            </w:r>
          </w:p>
        </w:tc>
        <w:tc>
          <w:tcPr>
            <w:tcW w:w="985" w:type="dxa"/>
            <w:tcBorders>
              <w:right w:val="single" w:sz="18" w:space="0" w:color="FFFFFF" w:themeColor="background2"/>
            </w:tcBorders>
          </w:tcPr>
          <w:p w14:paraId="3D719F71"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4AFE9029" w14:textId="77777777"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22ED5421"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tcBorders>
          </w:tcPr>
          <w:p w14:paraId="05C14AA9"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 xml:space="preserve"> </w:t>
            </w:r>
          </w:p>
        </w:tc>
      </w:tr>
      <w:tr w:rsidR="00904764" w:rsidRPr="00241765" w14:paraId="1D348A1B" w14:textId="77777777" w:rsidTr="00B15944">
        <w:trPr>
          <w:trHeight w:val="170"/>
        </w:trPr>
        <w:tc>
          <w:tcPr>
            <w:tcW w:w="3483" w:type="dxa"/>
          </w:tcPr>
          <w:p w14:paraId="0CBD33E0"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Suppliers</w:t>
            </w:r>
          </w:p>
        </w:tc>
        <w:tc>
          <w:tcPr>
            <w:tcW w:w="985" w:type="dxa"/>
            <w:tcBorders>
              <w:right w:val="single" w:sz="18" w:space="0" w:color="FFFFFF" w:themeColor="background2"/>
            </w:tcBorders>
          </w:tcPr>
          <w:p w14:paraId="517BCCC0" w14:textId="77777777" w:rsidR="00904764" w:rsidRPr="00241765" w:rsidRDefault="00904764" w:rsidP="00B15944">
            <w:pPr>
              <w:autoSpaceDE w:val="0"/>
              <w:autoSpaceDN w:val="0"/>
              <w:adjustRightInd w:val="0"/>
              <w:spacing w:before="20" w:after="20"/>
              <w:jc w:val="right"/>
              <w:rPr>
                <w:color w:val="292929"/>
                <w:sz w:val="14"/>
                <w:szCs w:val="14"/>
              </w:rPr>
            </w:pPr>
            <w:r w:rsidRPr="00241765">
              <w:rPr>
                <w:color w:val="292929"/>
                <w:sz w:val="14"/>
                <w:szCs w:val="14"/>
              </w:rPr>
              <w:t>2.3A</w:t>
            </w:r>
          </w:p>
        </w:tc>
        <w:tc>
          <w:tcPr>
            <w:tcW w:w="985" w:type="dxa"/>
            <w:tcBorders>
              <w:left w:val="single" w:sz="18" w:space="0" w:color="FFFFFF" w:themeColor="background2"/>
              <w:right w:val="single" w:sz="18" w:space="0" w:color="FFFFFF" w:themeColor="background2"/>
            </w:tcBorders>
          </w:tcPr>
          <w:p w14:paraId="156ABA51" w14:textId="6CFC1C2E" w:rsidR="00904764" w:rsidRPr="00241765" w:rsidRDefault="00D429CA"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2</w:t>
            </w:r>
            <w:r w:rsidR="00904764" w:rsidRPr="006F1958">
              <w:rPr>
                <w:rFonts w:asciiTheme="majorHAnsi" w:hAnsiTheme="majorHAnsi" w:cs="Calibri"/>
                <w:color w:val="292929"/>
                <w:sz w:val="14"/>
                <w:szCs w:val="14"/>
              </w:rPr>
              <w:t>,</w:t>
            </w:r>
            <w:r>
              <w:rPr>
                <w:rFonts w:asciiTheme="majorHAnsi" w:hAnsiTheme="majorHAnsi" w:cs="Calibri"/>
                <w:color w:val="292929"/>
                <w:sz w:val="14"/>
                <w:szCs w:val="14"/>
              </w:rPr>
              <w:t>623</w:t>
            </w:r>
          </w:p>
        </w:tc>
        <w:tc>
          <w:tcPr>
            <w:tcW w:w="985" w:type="dxa"/>
            <w:tcBorders>
              <w:left w:val="single" w:sz="18" w:space="0" w:color="FFFFFF" w:themeColor="background2"/>
              <w:right w:val="single" w:sz="18" w:space="0" w:color="FFFFFF" w:themeColor="background2"/>
            </w:tcBorders>
          </w:tcPr>
          <w:p w14:paraId="3A7A83BA" w14:textId="5755631C"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w:t>
            </w:r>
            <w:r w:rsidR="00904764" w:rsidRPr="00241765">
              <w:rPr>
                <w:rFonts w:cs="Calibri"/>
                <w:color w:val="292929"/>
                <w:sz w:val="14"/>
                <w:szCs w:val="14"/>
              </w:rPr>
              <w:t>,</w:t>
            </w:r>
            <w:r>
              <w:rPr>
                <w:rFonts w:cs="Calibri"/>
                <w:color w:val="292929"/>
                <w:sz w:val="14"/>
                <w:szCs w:val="14"/>
              </w:rPr>
              <w:t>737</w:t>
            </w:r>
          </w:p>
        </w:tc>
        <w:tc>
          <w:tcPr>
            <w:tcW w:w="985" w:type="dxa"/>
            <w:tcBorders>
              <w:left w:val="single" w:sz="18" w:space="0" w:color="FFFFFF" w:themeColor="background2"/>
            </w:tcBorders>
          </w:tcPr>
          <w:p w14:paraId="091C494B" w14:textId="5CC3A955"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1,977</w:t>
            </w:r>
          </w:p>
        </w:tc>
      </w:tr>
      <w:tr w:rsidR="00904764" w:rsidRPr="00241765" w14:paraId="00C20154" w14:textId="77777777" w:rsidTr="00B15944">
        <w:trPr>
          <w:trHeight w:val="170"/>
        </w:trPr>
        <w:tc>
          <w:tcPr>
            <w:tcW w:w="3483" w:type="dxa"/>
          </w:tcPr>
          <w:p w14:paraId="03A2E8B5"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Other payables</w:t>
            </w:r>
          </w:p>
        </w:tc>
        <w:tc>
          <w:tcPr>
            <w:tcW w:w="985" w:type="dxa"/>
            <w:tcBorders>
              <w:right w:val="single" w:sz="18" w:space="0" w:color="FFFFFF" w:themeColor="background2"/>
            </w:tcBorders>
          </w:tcPr>
          <w:p w14:paraId="1BC61264" w14:textId="77777777" w:rsidR="00904764" w:rsidRPr="00241765" w:rsidRDefault="00904764" w:rsidP="00B15944">
            <w:pPr>
              <w:autoSpaceDE w:val="0"/>
              <w:autoSpaceDN w:val="0"/>
              <w:adjustRightInd w:val="0"/>
              <w:spacing w:before="20" w:after="20"/>
              <w:jc w:val="right"/>
              <w:rPr>
                <w:color w:val="292929"/>
                <w:sz w:val="14"/>
                <w:szCs w:val="14"/>
              </w:rPr>
            </w:pPr>
            <w:r w:rsidRPr="00241765">
              <w:rPr>
                <w:color w:val="292929"/>
                <w:sz w:val="14"/>
                <w:szCs w:val="14"/>
              </w:rPr>
              <w:t>2.3B</w:t>
            </w:r>
          </w:p>
        </w:tc>
        <w:tc>
          <w:tcPr>
            <w:tcW w:w="985" w:type="dxa"/>
            <w:tcBorders>
              <w:left w:val="single" w:sz="18" w:space="0" w:color="FFFFFF" w:themeColor="background2"/>
              <w:bottom w:val="single" w:sz="2" w:space="0" w:color="auto"/>
              <w:right w:val="single" w:sz="18" w:space="0" w:color="FFFFFF" w:themeColor="background2"/>
            </w:tcBorders>
          </w:tcPr>
          <w:p w14:paraId="18BC475E" w14:textId="119327F5" w:rsidR="00904764" w:rsidRPr="00241765" w:rsidRDefault="00D429CA"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235</w:t>
            </w:r>
          </w:p>
        </w:tc>
        <w:tc>
          <w:tcPr>
            <w:tcW w:w="985" w:type="dxa"/>
            <w:tcBorders>
              <w:left w:val="single" w:sz="18" w:space="0" w:color="FFFFFF" w:themeColor="background2"/>
              <w:bottom w:val="single" w:sz="2" w:space="0" w:color="auto"/>
              <w:right w:val="single" w:sz="18" w:space="0" w:color="FFFFFF" w:themeColor="background2"/>
            </w:tcBorders>
          </w:tcPr>
          <w:p w14:paraId="0A0AAE1A" w14:textId="0B5845ED"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w:t>
            </w:r>
            <w:r w:rsidR="00D429CA">
              <w:rPr>
                <w:rFonts w:cs="Calibri"/>
                <w:color w:val="292929"/>
                <w:sz w:val="14"/>
                <w:szCs w:val="14"/>
              </w:rPr>
              <w:t>8</w:t>
            </w:r>
          </w:p>
        </w:tc>
        <w:tc>
          <w:tcPr>
            <w:tcW w:w="985" w:type="dxa"/>
            <w:tcBorders>
              <w:left w:val="single" w:sz="18" w:space="0" w:color="FFFFFF" w:themeColor="background2"/>
              <w:bottom w:val="single" w:sz="2" w:space="0" w:color="auto"/>
            </w:tcBorders>
          </w:tcPr>
          <w:p w14:paraId="56C5E3D3" w14:textId="7C218065"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12</w:t>
            </w:r>
          </w:p>
        </w:tc>
      </w:tr>
      <w:tr w:rsidR="00904764" w:rsidRPr="00241765" w14:paraId="16395291" w14:textId="77777777" w:rsidTr="00B15944">
        <w:trPr>
          <w:trHeight w:val="170"/>
        </w:trPr>
        <w:tc>
          <w:tcPr>
            <w:tcW w:w="3483" w:type="dxa"/>
          </w:tcPr>
          <w:p w14:paraId="2DB9A7AB"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payables</w:t>
            </w:r>
          </w:p>
        </w:tc>
        <w:tc>
          <w:tcPr>
            <w:tcW w:w="985" w:type="dxa"/>
            <w:tcBorders>
              <w:right w:val="single" w:sz="18" w:space="0" w:color="FFFFFF" w:themeColor="background2"/>
            </w:tcBorders>
          </w:tcPr>
          <w:p w14:paraId="46620EC8"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ADDF4D2" w14:textId="10E342C8" w:rsidR="00904764" w:rsidRPr="00241765" w:rsidRDefault="00D429CA"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2,858</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005FC7F" w14:textId="6A41CAF1"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1,755</w:t>
            </w:r>
          </w:p>
        </w:tc>
        <w:tc>
          <w:tcPr>
            <w:tcW w:w="985" w:type="dxa"/>
            <w:tcBorders>
              <w:top w:val="single" w:sz="2" w:space="0" w:color="auto"/>
              <w:left w:val="single" w:sz="18" w:space="0" w:color="FFFFFF" w:themeColor="background2"/>
              <w:bottom w:val="single" w:sz="2" w:space="0" w:color="auto"/>
            </w:tcBorders>
          </w:tcPr>
          <w:p w14:paraId="30B476AB" w14:textId="7D950FA3"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1,989</w:t>
            </w:r>
          </w:p>
        </w:tc>
      </w:tr>
      <w:tr w:rsidR="00904764" w:rsidRPr="00241765" w14:paraId="0BDC7427" w14:textId="77777777" w:rsidTr="00B15944">
        <w:trPr>
          <w:trHeight w:val="227"/>
        </w:trPr>
        <w:tc>
          <w:tcPr>
            <w:tcW w:w="3483" w:type="dxa"/>
          </w:tcPr>
          <w:p w14:paraId="3021535A"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Interest bearing liabilities</w:t>
            </w:r>
          </w:p>
        </w:tc>
        <w:tc>
          <w:tcPr>
            <w:tcW w:w="985" w:type="dxa"/>
            <w:tcBorders>
              <w:right w:val="single" w:sz="18" w:space="0" w:color="FFFFFF" w:themeColor="background2"/>
            </w:tcBorders>
          </w:tcPr>
          <w:p w14:paraId="098772E6"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top w:val="single" w:sz="2" w:space="0" w:color="auto"/>
              <w:left w:val="single" w:sz="18" w:space="0" w:color="FFFFFF" w:themeColor="background2"/>
              <w:right w:val="single" w:sz="18" w:space="0" w:color="FFFFFF" w:themeColor="background2"/>
            </w:tcBorders>
          </w:tcPr>
          <w:p w14:paraId="2C4F94CF"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 xml:space="preserve"> </w:t>
            </w:r>
          </w:p>
        </w:tc>
        <w:tc>
          <w:tcPr>
            <w:tcW w:w="985" w:type="dxa"/>
            <w:tcBorders>
              <w:top w:val="single" w:sz="2" w:space="0" w:color="auto"/>
              <w:left w:val="single" w:sz="18" w:space="0" w:color="FFFFFF" w:themeColor="background2"/>
              <w:right w:val="single" w:sz="18" w:space="0" w:color="FFFFFF" w:themeColor="background2"/>
            </w:tcBorders>
          </w:tcPr>
          <w:p w14:paraId="040C85F8"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 xml:space="preserve"> </w:t>
            </w:r>
          </w:p>
        </w:tc>
        <w:tc>
          <w:tcPr>
            <w:tcW w:w="985" w:type="dxa"/>
            <w:tcBorders>
              <w:top w:val="single" w:sz="2" w:space="0" w:color="auto"/>
              <w:left w:val="single" w:sz="18" w:space="0" w:color="FFFFFF" w:themeColor="background2"/>
            </w:tcBorders>
          </w:tcPr>
          <w:p w14:paraId="6F7C3A7B"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rFonts w:cs="Futura PT Book"/>
                <w:color w:val="292929"/>
                <w:sz w:val="14"/>
                <w:szCs w:val="14"/>
                <w:lang w:val="en-US"/>
              </w:rPr>
              <w:t xml:space="preserve"> </w:t>
            </w:r>
          </w:p>
        </w:tc>
      </w:tr>
      <w:tr w:rsidR="00904764" w:rsidRPr="00241765" w14:paraId="63A776E0" w14:textId="77777777" w:rsidTr="00B15944">
        <w:trPr>
          <w:trHeight w:val="170"/>
        </w:trPr>
        <w:tc>
          <w:tcPr>
            <w:tcW w:w="3483" w:type="dxa"/>
          </w:tcPr>
          <w:p w14:paraId="2360AC33"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Lease liabilities</w:t>
            </w:r>
          </w:p>
        </w:tc>
        <w:tc>
          <w:tcPr>
            <w:tcW w:w="985" w:type="dxa"/>
            <w:tcBorders>
              <w:right w:val="single" w:sz="18" w:space="0" w:color="FFFFFF" w:themeColor="background2"/>
            </w:tcBorders>
          </w:tcPr>
          <w:p w14:paraId="4EBAE490" w14:textId="77777777" w:rsidR="00904764" w:rsidRPr="00241765" w:rsidRDefault="00904764" w:rsidP="00B15944">
            <w:pPr>
              <w:autoSpaceDE w:val="0"/>
              <w:autoSpaceDN w:val="0"/>
              <w:adjustRightInd w:val="0"/>
              <w:spacing w:before="20" w:after="20"/>
              <w:jc w:val="right"/>
              <w:rPr>
                <w:color w:val="292929"/>
                <w:sz w:val="14"/>
                <w:szCs w:val="14"/>
              </w:rPr>
            </w:pPr>
            <w:r w:rsidRPr="00241765">
              <w:rPr>
                <w:color w:val="292929"/>
                <w:sz w:val="14"/>
                <w:szCs w:val="14"/>
              </w:rPr>
              <w:t>2.4A</w:t>
            </w:r>
          </w:p>
        </w:tc>
        <w:tc>
          <w:tcPr>
            <w:tcW w:w="985" w:type="dxa"/>
            <w:tcBorders>
              <w:left w:val="single" w:sz="18" w:space="0" w:color="FFFFFF" w:themeColor="background2"/>
              <w:bottom w:val="single" w:sz="2" w:space="0" w:color="auto"/>
              <w:right w:val="single" w:sz="18" w:space="0" w:color="FFFFFF" w:themeColor="background2"/>
            </w:tcBorders>
          </w:tcPr>
          <w:p w14:paraId="72DF3F74" w14:textId="23DEE4DA"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s="Calibri"/>
                <w:color w:val="292929"/>
                <w:sz w:val="14"/>
                <w:szCs w:val="14"/>
              </w:rPr>
              <w:t>1</w:t>
            </w:r>
            <w:r w:rsidR="00D429CA">
              <w:rPr>
                <w:rFonts w:asciiTheme="majorHAnsi" w:hAnsiTheme="majorHAnsi" w:cs="Calibri"/>
                <w:color w:val="292929"/>
                <w:sz w:val="14"/>
                <w:szCs w:val="14"/>
              </w:rPr>
              <w:t>2</w:t>
            </w:r>
            <w:r w:rsidRPr="00241765">
              <w:rPr>
                <w:rFonts w:asciiTheme="majorHAnsi" w:hAnsiTheme="majorHAnsi" w:cs="Calibri"/>
                <w:color w:val="292929"/>
                <w:sz w:val="14"/>
                <w:szCs w:val="14"/>
              </w:rPr>
              <w:t>,5</w:t>
            </w:r>
            <w:r w:rsidR="00D429CA">
              <w:rPr>
                <w:rFonts w:asciiTheme="majorHAnsi" w:hAnsiTheme="majorHAnsi" w:cs="Calibri"/>
                <w:color w:val="292929"/>
                <w:sz w:val="14"/>
                <w:szCs w:val="14"/>
              </w:rPr>
              <w:t>32</w:t>
            </w:r>
          </w:p>
        </w:tc>
        <w:tc>
          <w:tcPr>
            <w:tcW w:w="985" w:type="dxa"/>
            <w:tcBorders>
              <w:left w:val="single" w:sz="18" w:space="0" w:color="FFFFFF" w:themeColor="background2"/>
              <w:bottom w:val="single" w:sz="2" w:space="0" w:color="auto"/>
              <w:right w:val="single" w:sz="18" w:space="0" w:color="FFFFFF" w:themeColor="background2"/>
            </w:tcBorders>
          </w:tcPr>
          <w:p w14:paraId="7992287E" w14:textId="7D254748"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w:t>
            </w:r>
            <w:r w:rsidR="00904764" w:rsidRPr="00241765">
              <w:rPr>
                <w:rFonts w:cs="Calibri"/>
                <w:color w:val="292929"/>
                <w:sz w:val="14"/>
                <w:szCs w:val="14"/>
              </w:rPr>
              <w:t>,</w:t>
            </w:r>
            <w:r>
              <w:rPr>
                <w:rFonts w:cs="Calibri"/>
                <w:color w:val="292929"/>
                <w:sz w:val="14"/>
                <w:szCs w:val="14"/>
              </w:rPr>
              <w:t>519</w:t>
            </w:r>
          </w:p>
        </w:tc>
        <w:tc>
          <w:tcPr>
            <w:tcW w:w="985" w:type="dxa"/>
            <w:tcBorders>
              <w:left w:val="single" w:sz="18" w:space="0" w:color="FFFFFF" w:themeColor="background2"/>
              <w:bottom w:val="single" w:sz="2" w:space="0" w:color="auto"/>
            </w:tcBorders>
          </w:tcPr>
          <w:p w14:paraId="77286494" w14:textId="4B6F87CE"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5</w:t>
            </w:r>
            <w:r w:rsidR="00D429CA">
              <w:rPr>
                <w:rFonts w:cs="Calibri"/>
                <w:color w:val="292929"/>
                <w:sz w:val="14"/>
                <w:szCs w:val="14"/>
              </w:rPr>
              <w:t>,038</w:t>
            </w:r>
          </w:p>
        </w:tc>
      </w:tr>
      <w:tr w:rsidR="00904764" w:rsidRPr="00241765" w14:paraId="47076583" w14:textId="77777777" w:rsidTr="00B15944">
        <w:trPr>
          <w:trHeight w:val="170"/>
        </w:trPr>
        <w:tc>
          <w:tcPr>
            <w:tcW w:w="3483" w:type="dxa"/>
          </w:tcPr>
          <w:p w14:paraId="2A886BFB"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interest bearing liabilities</w:t>
            </w:r>
          </w:p>
        </w:tc>
        <w:tc>
          <w:tcPr>
            <w:tcW w:w="985" w:type="dxa"/>
            <w:tcBorders>
              <w:right w:val="single" w:sz="18" w:space="0" w:color="FFFFFF" w:themeColor="background2"/>
            </w:tcBorders>
          </w:tcPr>
          <w:p w14:paraId="4EA358A5"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B8C9153" w14:textId="075D5DAA"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s="Calibri"/>
                <w:color w:val="292929"/>
                <w:sz w:val="14"/>
                <w:szCs w:val="14"/>
              </w:rPr>
              <w:t>1</w:t>
            </w:r>
            <w:r w:rsidR="00D429CA">
              <w:rPr>
                <w:rFonts w:asciiTheme="majorHAnsi" w:hAnsiTheme="majorHAnsi" w:cs="Calibri"/>
                <w:color w:val="292929"/>
                <w:sz w:val="14"/>
                <w:szCs w:val="14"/>
              </w:rPr>
              <w:t>2</w:t>
            </w:r>
            <w:r w:rsidRPr="00241765">
              <w:rPr>
                <w:rFonts w:asciiTheme="majorHAnsi" w:hAnsiTheme="majorHAnsi" w:cs="Calibri"/>
                <w:color w:val="292929"/>
                <w:sz w:val="14"/>
                <w:szCs w:val="14"/>
              </w:rPr>
              <w:t>,5</w:t>
            </w:r>
            <w:r w:rsidR="00D429CA">
              <w:rPr>
                <w:rFonts w:asciiTheme="majorHAnsi" w:hAnsiTheme="majorHAnsi" w:cs="Calibri"/>
                <w:color w:val="292929"/>
                <w:sz w:val="14"/>
                <w:szCs w:val="14"/>
              </w:rPr>
              <w:t>32</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AAFFFC3" w14:textId="6DE173D3" w:rsidR="00904764" w:rsidRPr="00241765" w:rsidRDefault="00D429CA"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w:t>
            </w:r>
            <w:r w:rsidR="00904764" w:rsidRPr="00241765">
              <w:rPr>
                <w:rFonts w:cs="Calibri"/>
                <w:color w:val="292929"/>
                <w:sz w:val="14"/>
                <w:szCs w:val="14"/>
              </w:rPr>
              <w:t>,</w:t>
            </w:r>
            <w:r>
              <w:rPr>
                <w:rFonts w:cs="Calibri"/>
                <w:color w:val="292929"/>
                <w:sz w:val="14"/>
                <w:szCs w:val="14"/>
              </w:rPr>
              <w:t>519</w:t>
            </w:r>
          </w:p>
        </w:tc>
        <w:tc>
          <w:tcPr>
            <w:tcW w:w="985" w:type="dxa"/>
            <w:tcBorders>
              <w:top w:val="single" w:sz="2" w:space="0" w:color="auto"/>
              <w:left w:val="single" w:sz="18" w:space="0" w:color="FFFFFF" w:themeColor="background2"/>
              <w:bottom w:val="single" w:sz="2" w:space="0" w:color="auto"/>
            </w:tcBorders>
          </w:tcPr>
          <w:p w14:paraId="1CF390D1" w14:textId="6449A90A"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5,</w:t>
            </w:r>
            <w:r w:rsidR="00D429CA">
              <w:rPr>
                <w:rFonts w:cs="Calibri"/>
                <w:color w:val="292929"/>
                <w:sz w:val="14"/>
                <w:szCs w:val="14"/>
              </w:rPr>
              <w:t>038</w:t>
            </w:r>
          </w:p>
        </w:tc>
      </w:tr>
      <w:tr w:rsidR="00904764" w:rsidRPr="00241765" w14:paraId="20524CD2" w14:textId="77777777" w:rsidTr="00B15944">
        <w:trPr>
          <w:trHeight w:val="227"/>
        </w:trPr>
        <w:tc>
          <w:tcPr>
            <w:tcW w:w="3483" w:type="dxa"/>
          </w:tcPr>
          <w:p w14:paraId="01CE264A"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Provisions</w:t>
            </w:r>
          </w:p>
        </w:tc>
        <w:tc>
          <w:tcPr>
            <w:tcW w:w="985" w:type="dxa"/>
            <w:tcBorders>
              <w:right w:val="single" w:sz="18" w:space="0" w:color="FFFFFF" w:themeColor="background2"/>
            </w:tcBorders>
          </w:tcPr>
          <w:p w14:paraId="5C9F943C" w14:textId="77777777" w:rsidR="00904764" w:rsidRPr="00241765" w:rsidRDefault="00904764"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7106BA35"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2A227020" w14:textId="77777777" w:rsidR="00904764" w:rsidRPr="00241765" w:rsidRDefault="00904764" w:rsidP="00B15944">
            <w:pPr>
              <w:suppressAutoHyphens/>
              <w:autoSpaceDE w:val="0"/>
              <w:autoSpaceDN w:val="0"/>
              <w:adjustRightInd w:val="0"/>
              <w:spacing w:before="20" w:after="20"/>
              <w:textAlignment w:val="center"/>
              <w:rPr>
                <w:color w:val="292929"/>
                <w:sz w:val="14"/>
                <w:szCs w:val="14"/>
              </w:rPr>
            </w:pPr>
          </w:p>
        </w:tc>
        <w:tc>
          <w:tcPr>
            <w:tcW w:w="985" w:type="dxa"/>
            <w:tcBorders>
              <w:top w:val="single" w:sz="2" w:space="0" w:color="auto"/>
              <w:left w:val="single" w:sz="18" w:space="0" w:color="FFFFFF" w:themeColor="background2"/>
            </w:tcBorders>
          </w:tcPr>
          <w:p w14:paraId="0634529F"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p>
        </w:tc>
      </w:tr>
      <w:tr w:rsidR="00904764" w:rsidRPr="00241765" w14:paraId="28C73E17" w14:textId="77777777" w:rsidTr="00B15944">
        <w:trPr>
          <w:trHeight w:val="170"/>
        </w:trPr>
        <w:tc>
          <w:tcPr>
            <w:tcW w:w="3483" w:type="dxa"/>
          </w:tcPr>
          <w:p w14:paraId="1059CA77" w14:textId="77777777" w:rsidR="00904764" w:rsidRPr="00241765" w:rsidRDefault="00904764" w:rsidP="00B15944">
            <w:pPr>
              <w:suppressAutoHyphens/>
              <w:autoSpaceDE w:val="0"/>
              <w:autoSpaceDN w:val="0"/>
              <w:adjustRightInd w:val="0"/>
              <w:spacing w:before="20" w:after="20"/>
              <w:textAlignment w:val="center"/>
              <w:rPr>
                <w:color w:val="292929"/>
                <w:sz w:val="14"/>
                <w:szCs w:val="14"/>
              </w:rPr>
            </w:pPr>
            <w:r w:rsidRPr="00241765">
              <w:rPr>
                <w:color w:val="292929"/>
                <w:sz w:val="14"/>
                <w:szCs w:val="14"/>
              </w:rPr>
              <w:t>Employee provisions</w:t>
            </w:r>
          </w:p>
        </w:tc>
        <w:tc>
          <w:tcPr>
            <w:tcW w:w="985" w:type="dxa"/>
            <w:tcBorders>
              <w:right w:val="single" w:sz="18" w:space="0" w:color="FFFFFF" w:themeColor="background2"/>
            </w:tcBorders>
          </w:tcPr>
          <w:p w14:paraId="5FB8F738" w14:textId="77777777" w:rsidR="00904764" w:rsidRPr="00241765" w:rsidRDefault="00904764" w:rsidP="00B15944">
            <w:pPr>
              <w:autoSpaceDE w:val="0"/>
              <w:autoSpaceDN w:val="0"/>
              <w:adjustRightInd w:val="0"/>
              <w:spacing w:before="20" w:after="20"/>
              <w:jc w:val="right"/>
              <w:rPr>
                <w:color w:val="292929"/>
                <w:sz w:val="14"/>
                <w:szCs w:val="14"/>
              </w:rPr>
            </w:pPr>
            <w:r w:rsidRPr="00241765">
              <w:rPr>
                <w:color w:val="292929"/>
                <w:sz w:val="14"/>
                <w:szCs w:val="14"/>
              </w:rPr>
              <w:t>3.1A</w:t>
            </w:r>
          </w:p>
        </w:tc>
        <w:tc>
          <w:tcPr>
            <w:tcW w:w="985" w:type="dxa"/>
            <w:tcBorders>
              <w:left w:val="single" w:sz="18" w:space="0" w:color="FFFFFF" w:themeColor="background2"/>
              <w:bottom w:val="single" w:sz="2" w:space="0" w:color="auto"/>
              <w:right w:val="single" w:sz="18" w:space="0" w:color="FFFFFF" w:themeColor="background2"/>
            </w:tcBorders>
          </w:tcPr>
          <w:p w14:paraId="55F0FDD4" w14:textId="4F8FA16B" w:rsidR="00904764" w:rsidRPr="00241765" w:rsidRDefault="00D429CA"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p>
        </w:tc>
        <w:tc>
          <w:tcPr>
            <w:tcW w:w="985" w:type="dxa"/>
            <w:tcBorders>
              <w:left w:val="single" w:sz="18" w:space="0" w:color="FFFFFF" w:themeColor="background2"/>
              <w:bottom w:val="single" w:sz="2" w:space="0" w:color="auto"/>
              <w:right w:val="single" w:sz="18" w:space="0" w:color="FFFFFF" w:themeColor="background2"/>
            </w:tcBorders>
          </w:tcPr>
          <w:p w14:paraId="194689BB" w14:textId="71DF9C6D"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sidRPr="00241765">
              <w:rPr>
                <w:color w:val="292929"/>
                <w:sz w:val="14"/>
                <w:szCs w:val="14"/>
              </w:rPr>
              <w:t>10</w:t>
            </w:r>
            <w:r w:rsidR="00D429CA">
              <w:rPr>
                <w:color w:val="292929"/>
                <w:sz w:val="14"/>
                <w:szCs w:val="14"/>
              </w:rPr>
              <w:t>6</w:t>
            </w:r>
          </w:p>
        </w:tc>
        <w:tc>
          <w:tcPr>
            <w:tcW w:w="985" w:type="dxa"/>
            <w:tcBorders>
              <w:left w:val="single" w:sz="18" w:space="0" w:color="FFFFFF" w:themeColor="background2"/>
              <w:bottom w:val="single" w:sz="2" w:space="0" w:color="auto"/>
            </w:tcBorders>
          </w:tcPr>
          <w:p w14:paraId="421E8AFF"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100</w:t>
            </w:r>
          </w:p>
        </w:tc>
      </w:tr>
      <w:tr w:rsidR="00904764" w:rsidRPr="00241765" w14:paraId="773C6E19" w14:textId="77777777" w:rsidTr="00B15944">
        <w:trPr>
          <w:trHeight w:val="170"/>
        </w:trPr>
        <w:tc>
          <w:tcPr>
            <w:tcW w:w="3483" w:type="dxa"/>
          </w:tcPr>
          <w:p w14:paraId="7EA5CFF1"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Total provisions</w:t>
            </w:r>
          </w:p>
        </w:tc>
        <w:tc>
          <w:tcPr>
            <w:tcW w:w="985" w:type="dxa"/>
            <w:tcBorders>
              <w:right w:val="single" w:sz="18" w:space="0" w:color="FFFFFF" w:themeColor="background2"/>
            </w:tcBorders>
          </w:tcPr>
          <w:p w14:paraId="3A275DB7"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343176A" w14:textId="164AD30F" w:rsidR="00904764" w:rsidRPr="00241765" w:rsidRDefault="00D429CA"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FE6007F" w14:textId="2FC7C2E5"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sidRPr="00241765">
              <w:rPr>
                <w:color w:val="292929"/>
                <w:sz w:val="14"/>
                <w:szCs w:val="14"/>
              </w:rPr>
              <w:t>10</w:t>
            </w:r>
            <w:r w:rsidR="00D429CA">
              <w:rPr>
                <w:color w:val="292929"/>
                <w:sz w:val="14"/>
                <w:szCs w:val="14"/>
              </w:rPr>
              <w:t>6</w:t>
            </w:r>
          </w:p>
        </w:tc>
        <w:tc>
          <w:tcPr>
            <w:tcW w:w="985" w:type="dxa"/>
            <w:tcBorders>
              <w:top w:val="single" w:sz="2" w:space="0" w:color="auto"/>
              <w:left w:val="single" w:sz="18" w:space="0" w:color="FFFFFF" w:themeColor="background2"/>
              <w:bottom w:val="single" w:sz="2" w:space="0" w:color="auto"/>
            </w:tcBorders>
          </w:tcPr>
          <w:p w14:paraId="05ADCA74" w14:textId="77777777"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100</w:t>
            </w:r>
          </w:p>
        </w:tc>
      </w:tr>
      <w:tr w:rsidR="00904764" w:rsidRPr="00241765" w14:paraId="76569A6D" w14:textId="77777777" w:rsidTr="00B15944">
        <w:trPr>
          <w:trHeight w:val="227"/>
        </w:trPr>
        <w:tc>
          <w:tcPr>
            <w:tcW w:w="3483" w:type="dxa"/>
          </w:tcPr>
          <w:p w14:paraId="6458AA7E"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Total liabilities</w:t>
            </w:r>
          </w:p>
        </w:tc>
        <w:tc>
          <w:tcPr>
            <w:tcW w:w="985" w:type="dxa"/>
            <w:tcBorders>
              <w:right w:val="single" w:sz="18" w:space="0" w:color="FFFFFF" w:themeColor="background2"/>
            </w:tcBorders>
          </w:tcPr>
          <w:p w14:paraId="389195E4" w14:textId="77777777" w:rsidR="00904764" w:rsidRPr="00241765" w:rsidRDefault="00904764" w:rsidP="00B15944">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443017CE" w14:textId="5BE94E42" w:rsidR="00904764" w:rsidRPr="00241765" w:rsidRDefault="00D429CA"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s="Calibri"/>
                <w:color w:val="292929"/>
                <w:sz w:val="14"/>
                <w:szCs w:val="14"/>
              </w:rPr>
              <w:t>15,390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40E1AB9" w14:textId="1D8DC8D6" w:rsidR="00904764" w:rsidRPr="00241765" w:rsidRDefault="00D429CA" w:rsidP="00B15944">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3</w:t>
            </w:r>
            <w:r w:rsidR="00904764" w:rsidRPr="00241765">
              <w:rPr>
                <w:rFonts w:cs="Calibri"/>
                <w:color w:val="292929"/>
                <w:sz w:val="14"/>
                <w:szCs w:val="14"/>
              </w:rPr>
              <w:t>,</w:t>
            </w:r>
            <w:r>
              <w:rPr>
                <w:rFonts w:cs="Calibri"/>
                <w:color w:val="292929"/>
                <w:sz w:val="14"/>
                <w:szCs w:val="14"/>
              </w:rPr>
              <w:t>380</w:t>
            </w:r>
          </w:p>
        </w:tc>
        <w:tc>
          <w:tcPr>
            <w:tcW w:w="985" w:type="dxa"/>
            <w:tcBorders>
              <w:top w:val="single" w:sz="2" w:space="0" w:color="auto"/>
              <w:left w:val="single" w:sz="18" w:space="0" w:color="FFFFFF" w:themeColor="background2"/>
              <w:bottom w:val="single" w:sz="2" w:space="0" w:color="auto"/>
            </w:tcBorders>
          </w:tcPr>
          <w:p w14:paraId="2C23D95D" w14:textId="59A3328A" w:rsidR="00904764" w:rsidRPr="00241765" w:rsidRDefault="002164B4"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7,127</w:t>
            </w:r>
          </w:p>
        </w:tc>
      </w:tr>
      <w:tr w:rsidR="00904764" w:rsidRPr="00241765" w14:paraId="284E7C2A" w14:textId="77777777" w:rsidTr="00B15944">
        <w:trPr>
          <w:trHeight w:val="170"/>
        </w:trPr>
        <w:tc>
          <w:tcPr>
            <w:tcW w:w="3483" w:type="dxa"/>
          </w:tcPr>
          <w:p w14:paraId="736F3909"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Net assets</w:t>
            </w:r>
          </w:p>
        </w:tc>
        <w:tc>
          <w:tcPr>
            <w:tcW w:w="985" w:type="dxa"/>
            <w:tcBorders>
              <w:right w:val="single" w:sz="18" w:space="0" w:color="FFFFFF" w:themeColor="background2"/>
            </w:tcBorders>
          </w:tcPr>
          <w:p w14:paraId="0CEC0EC6"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6FF892F" w14:textId="3DB061E3"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1</w:t>
            </w:r>
            <w:r w:rsidR="00D429CA">
              <w:rPr>
                <w:rFonts w:asciiTheme="majorHAnsi" w:hAnsiTheme="majorHAnsi" w:cs="Calibri"/>
                <w:color w:val="292929"/>
                <w:sz w:val="14"/>
                <w:szCs w:val="14"/>
              </w:rPr>
              <w:t>6</w:t>
            </w:r>
            <w:r w:rsidRPr="00241765">
              <w:rPr>
                <w:rFonts w:asciiTheme="majorHAnsi" w:hAnsiTheme="majorHAnsi" w:cs="Calibri"/>
                <w:color w:val="292929"/>
                <w:sz w:val="14"/>
                <w:szCs w:val="14"/>
              </w:rPr>
              <w:t>,</w:t>
            </w:r>
            <w:r w:rsidR="00D429CA">
              <w:rPr>
                <w:rFonts w:asciiTheme="majorHAnsi" w:hAnsiTheme="majorHAnsi" w:cs="Calibri"/>
                <w:color w:val="292929"/>
                <w:sz w:val="14"/>
                <w:szCs w:val="14"/>
              </w:rPr>
              <w:t>360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43EC650" w14:textId="19A27DAF"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1</w:t>
            </w:r>
            <w:r w:rsidR="00D429CA">
              <w:rPr>
                <w:rFonts w:cs="Calibri"/>
                <w:color w:val="292929"/>
                <w:sz w:val="14"/>
                <w:szCs w:val="14"/>
              </w:rPr>
              <w:t>5</w:t>
            </w:r>
            <w:r w:rsidRPr="00241765">
              <w:rPr>
                <w:rFonts w:cs="Calibri"/>
                <w:color w:val="292929"/>
                <w:sz w:val="14"/>
                <w:szCs w:val="14"/>
              </w:rPr>
              <w:t>,</w:t>
            </w:r>
            <w:r w:rsidR="00D429CA">
              <w:rPr>
                <w:rFonts w:cs="Calibri"/>
                <w:color w:val="292929"/>
                <w:sz w:val="14"/>
                <w:szCs w:val="14"/>
              </w:rPr>
              <w:t>836</w:t>
            </w:r>
          </w:p>
        </w:tc>
        <w:tc>
          <w:tcPr>
            <w:tcW w:w="985" w:type="dxa"/>
            <w:tcBorders>
              <w:top w:val="single" w:sz="2" w:space="0" w:color="auto"/>
              <w:left w:val="single" w:sz="18" w:space="0" w:color="FFFFFF" w:themeColor="background2"/>
              <w:bottom w:val="single" w:sz="2" w:space="0" w:color="auto"/>
            </w:tcBorders>
          </w:tcPr>
          <w:p w14:paraId="174AB6AB" w14:textId="1F9638A3"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13,</w:t>
            </w:r>
            <w:r w:rsidR="002164B4">
              <w:rPr>
                <w:rFonts w:cs="Calibri"/>
                <w:color w:val="292929"/>
                <w:sz w:val="14"/>
                <w:szCs w:val="14"/>
              </w:rPr>
              <w:t>345</w:t>
            </w:r>
          </w:p>
        </w:tc>
      </w:tr>
      <w:tr w:rsidR="002164B4" w:rsidRPr="00241765" w14:paraId="74A61289" w14:textId="77777777" w:rsidTr="00B15944">
        <w:trPr>
          <w:trHeight w:val="170"/>
        </w:trPr>
        <w:tc>
          <w:tcPr>
            <w:tcW w:w="3483" w:type="dxa"/>
          </w:tcPr>
          <w:p w14:paraId="6B46C6CF" w14:textId="3271CB97" w:rsidR="002164B4" w:rsidRPr="002164B4" w:rsidRDefault="002164B4" w:rsidP="00B15944">
            <w:pPr>
              <w:suppressAutoHyphens/>
              <w:autoSpaceDE w:val="0"/>
              <w:autoSpaceDN w:val="0"/>
              <w:adjustRightInd w:val="0"/>
              <w:spacing w:before="20" w:after="20"/>
              <w:textAlignment w:val="center"/>
              <w:rPr>
                <w:rFonts w:asciiTheme="majorHAnsi" w:hAnsiTheme="majorHAnsi"/>
                <w:color w:val="292929"/>
                <w:sz w:val="14"/>
                <w:szCs w:val="14"/>
              </w:rPr>
            </w:pPr>
            <w:r w:rsidRPr="002164B4">
              <w:rPr>
                <w:rFonts w:asciiTheme="majorHAnsi" w:hAnsiTheme="majorHAnsi"/>
                <w:color w:val="292929"/>
                <w:sz w:val="14"/>
                <w:szCs w:val="14"/>
              </w:rPr>
              <w:t>EQUITY</w:t>
            </w:r>
          </w:p>
        </w:tc>
        <w:tc>
          <w:tcPr>
            <w:tcW w:w="985" w:type="dxa"/>
            <w:tcBorders>
              <w:right w:val="single" w:sz="18" w:space="0" w:color="FFFFFF" w:themeColor="background2"/>
            </w:tcBorders>
          </w:tcPr>
          <w:p w14:paraId="1545D3A3" w14:textId="77777777" w:rsidR="002164B4" w:rsidRPr="00241765" w:rsidRDefault="002164B4"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32D4BF00" w14:textId="77777777" w:rsidR="002164B4" w:rsidRPr="00241765" w:rsidRDefault="002164B4" w:rsidP="00B15944">
            <w:pPr>
              <w:suppressAutoHyphens/>
              <w:autoSpaceDE w:val="0"/>
              <w:autoSpaceDN w:val="0"/>
              <w:adjustRightInd w:val="0"/>
              <w:spacing w:before="20" w:after="20"/>
              <w:jc w:val="right"/>
              <w:textAlignment w:val="center"/>
              <w:rPr>
                <w:rFonts w:asciiTheme="majorHAnsi" w:hAnsiTheme="majorHAnsi" w:cs="Calibri"/>
                <w:color w:val="292929"/>
                <w:sz w:val="14"/>
                <w:szCs w:val="14"/>
              </w:rPr>
            </w:pPr>
          </w:p>
        </w:tc>
        <w:tc>
          <w:tcPr>
            <w:tcW w:w="985" w:type="dxa"/>
            <w:tcBorders>
              <w:left w:val="single" w:sz="18" w:space="0" w:color="FFFFFF" w:themeColor="background2"/>
              <w:right w:val="single" w:sz="18" w:space="0" w:color="FFFFFF" w:themeColor="background2"/>
            </w:tcBorders>
          </w:tcPr>
          <w:p w14:paraId="26B031FA" w14:textId="77777777" w:rsidR="002164B4" w:rsidRPr="00241765" w:rsidRDefault="002164B4" w:rsidP="00B15944">
            <w:pPr>
              <w:suppressAutoHyphens/>
              <w:autoSpaceDE w:val="0"/>
              <w:autoSpaceDN w:val="0"/>
              <w:adjustRightInd w:val="0"/>
              <w:spacing w:before="20" w:after="20"/>
              <w:jc w:val="right"/>
              <w:textAlignment w:val="center"/>
              <w:rPr>
                <w:rFonts w:cs="Calibri"/>
                <w:color w:val="292929"/>
                <w:sz w:val="14"/>
                <w:szCs w:val="14"/>
              </w:rPr>
            </w:pPr>
          </w:p>
        </w:tc>
        <w:tc>
          <w:tcPr>
            <w:tcW w:w="985" w:type="dxa"/>
            <w:tcBorders>
              <w:left w:val="single" w:sz="18" w:space="0" w:color="FFFFFF" w:themeColor="background2"/>
            </w:tcBorders>
          </w:tcPr>
          <w:p w14:paraId="507A0887" w14:textId="77777777" w:rsidR="002164B4" w:rsidRPr="00241765" w:rsidRDefault="002164B4" w:rsidP="00B15944">
            <w:pPr>
              <w:suppressAutoHyphens/>
              <w:autoSpaceDE w:val="0"/>
              <w:autoSpaceDN w:val="0"/>
              <w:adjustRightInd w:val="0"/>
              <w:spacing w:before="20" w:after="20"/>
              <w:jc w:val="right"/>
              <w:textAlignment w:val="center"/>
              <w:rPr>
                <w:rFonts w:cs="Calibri"/>
                <w:color w:val="292929"/>
                <w:sz w:val="14"/>
                <w:szCs w:val="14"/>
              </w:rPr>
            </w:pPr>
          </w:p>
        </w:tc>
      </w:tr>
      <w:tr w:rsidR="00904764" w:rsidRPr="00241765" w14:paraId="550B5DAE" w14:textId="77777777" w:rsidTr="00B15944">
        <w:trPr>
          <w:trHeight w:val="170"/>
        </w:trPr>
        <w:tc>
          <w:tcPr>
            <w:tcW w:w="3483" w:type="dxa"/>
          </w:tcPr>
          <w:p w14:paraId="028FF41E" w14:textId="77777777" w:rsidR="00904764" w:rsidRPr="00241765" w:rsidRDefault="00904764" w:rsidP="00B15944">
            <w:pPr>
              <w:suppressAutoHyphens/>
              <w:autoSpaceDE w:val="0"/>
              <w:autoSpaceDN w:val="0"/>
              <w:adjustRightInd w:val="0"/>
              <w:spacing w:before="20" w:after="20"/>
              <w:textAlignment w:val="center"/>
              <w:rPr>
                <w:color w:val="292929"/>
                <w:sz w:val="14"/>
                <w:szCs w:val="14"/>
              </w:rPr>
            </w:pPr>
            <w:r w:rsidRPr="00241765">
              <w:rPr>
                <w:color w:val="292929"/>
                <w:sz w:val="14"/>
                <w:szCs w:val="14"/>
              </w:rPr>
              <w:t>Contributed equity</w:t>
            </w:r>
          </w:p>
        </w:tc>
        <w:tc>
          <w:tcPr>
            <w:tcW w:w="985" w:type="dxa"/>
            <w:tcBorders>
              <w:right w:val="single" w:sz="18" w:space="0" w:color="FFFFFF" w:themeColor="background2"/>
            </w:tcBorders>
          </w:tcPr>
          <w:p w14:paraId="6794DF24"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5541436B" w14:textId="4E808FF4"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400</w:t>
            </w:r>
          </w:p>
        </w:tc>
        <w:tc>
          <w:tcPr>
            <w:tcW w:w="985" w:type="dxa"/>
            <w:tcBorders>
              <w:left w:val="single" w:sz="18" w:space="0" w:color="FFFFFF" w:themeColor="background2"/>
              <w:right w:val="single" w:sz="18" w:space="0" w:color="FFFFFF" w:themeColor="background2"/>
            </w:tcBorders>
          </w:tcPr>
          <w:p w14:paraId="43C43A76" w14:textId="4D962EDA"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400</w:t>
            </w:r>
          </w:p>
        </w:tc>
        <w:tc>
          <w:tcPr>
            <w:tcW w:w="985" w:type="dxa"/>
            <w:tcBorders>
              <w:left w:val="single" w:sz="18" w:space="0" w:color="FFFFFF" w:themeColor="background2"/>
            </w:tcBorders>
          </w:tcPr>
          <w:p w14:paraId="5A038B7F" w14:textId="15903591"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400</w:t>
            </w:r>
          </w:p>
        </w:tc>
      </w:tr>
      <w:tr w:rsidR="00904764" w:rsidRPr="00241765" w14:paraId="2B0E79BC" w14:textId="77777777" w:rsidTr="00B15944">
        <w:trPr>
          <w:trHeight w:val="170"/>
        </w:trPr>
        <w:tc>
          <w:tcPr>
            <w:tcW w:w="3483" w:type="dxa"/>
          </w:tcPr>
          <w:p w14:paraId="3015AE2F" w14:textId="77777777" w:rsidR="00904764" w:rsidRPr="00241765" w:rsidRDefault="00904764" w:rsidP="00B15944">
            <w:pPr>
              <w:suppressAutoHyphens/>
              <w:autoSpaceDE w:val="0"/>
              <w:autoSpaceDN w:val="0"/>
              <w:adjustRightInd w:val="0"/>
              <w:spacing w:before="20" w:after="20"/>
              <w:textAlignment w:val="center"/>
              <w:rPr>
                <w:color w:val="292929"/>
                <w:sz w:val="14"/>
                <w:szCs w:val="14"/>
              </w:rPr>
            </w:pPr>
            <w:r w:rsidRPr="00241765">
              <w:rPr>
                <w:color w:val="292929"/>
                <w:sz w:val="14"/>
                <w:szCs w:val="14"/>
              </w:rPr>
              <w:t>Retained surplus</w:t>
            </w:r>
          </w:p>
        </w:tc>
        <w:tc>
          <w:tcPr>
            <w:tcW w:w="985" w:type="dxa"/>
            <w:tcBorders>
              <w:right w:val="single" w:sz="18" w:space="0" w:color="FFFFFF" w:themeColor="background2"/>
            </w:tcBorders>
          </w:tcPr>
          <w:p w14:paraId="4AC80FF9"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7819A78F" w14:textId="351F5709"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15,</w:t>
            </w:r>
            <w:r w:rsidR="002164B4">
              <w:rPr>
                <w:rFonts w:asciiTheme="majorHAnsi" w:hAnsiTheme="majorHAnsi" w:cs="Calibri"/>
                <w:color w:val="292929"/>
                <w:sz w:val="14"/>
                <w:szCs w:val="14"/>
              </w:rPr>
              <w:t>960</w:t>
            </w:r>
          </w:p>
        </w:tc>
        <w:tc>
          <w:tcPr>
            <w:tcW w:w="985" w:type="dxa"/>
            <w:tcBorders>
              <w:left w:val="single" w:sz="18" w:space="0" w:color="FFFFFF" w:themeColor="background2"/>
              <w:bottom w:val="single" w:sz="2" w:space="0" w:color="auto"/>
              <w:right w:val="single" w:sz="18" w:space="0" w:color="FFFFFF" w:themeColor="background2"/>
            </w:tcBorders>
          </w:tcPr>
          <w:p w14:paraId="0B3E0C91" w14:textId="4135F83A"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1</w:t>
            </w:r>
            <w:r w:rsidR="002164B4">
              <w:rPr>
                <w:rFonts w:cs="Calibri"/>
                <w:color w:val="292929"/>
                <w:sz w:val="14"/>
                <w:szCs w:val="14"/>
              </w:rPr>
              <w:t>5</w:t>
            </w:r>
            <w:r w:rsidRPr="00241765">
              <w:rPr>
                <w:rFonts w:cs="Calibri"/>
                <w:color w:val="292929"/>
                <w:sz w:val="14"/>
                <w:szCs w:val="14"/>
              </w:rPr>
              <w:t>,</w:t>
            </w:r>
            <w:r w:rsidR="002164B4">
              <w:rPr>
                <w:rFonts w:cs="Calibri"/>
                <w:color w:val="292929"/>
                <w:sz w:val="14"/>
                <w:szCs w:val="14"/>
              </w:rPr>
              <w:t>436</w:t>
            </w:r>
          </w:p>
        </w:tc>
        <w:tc>
          <w:tcPr>
            <w:tcW w:w="985" w:type="dxa"/>
            <w:tcBorders>
              <w:left w:val="single" w:sz="18" w:space="0" w:color="FFFFFF" w:themeColor="background2"/>
              <w:bottom w:val="single" w:sz="2" w:space="0" w:color="auto"/>
            </w:tcBorders>
          </w:tcPr>
          <w:p w14:paraId="6674D4A4" w14:textId="0332242C"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12,9</w:t>
            </w:r>
            <w:r w:rsidR="002164B4">
              <w:rPr>
                <w:rFonts w:cs="Calibri"/>
                <w:color w:val="292929"/>
                <w:sz w:val="14"/>
                <w:szCs w:val="14"/>
              </w:rPr>
              <w:t>45</w:t>
            </w:r>
          </w:p>
        </w:tc>
      </w:tr>
      <w:tr w:rsidR="00904764" w:rsidRPr="00241765" w14:paraId="2AF95CD7" w14:textId="77777777" w:rsidTr="00B15944">
        <w:trPr>
          <w:trHeight w:val="170"/>
        </w:trPr>
        <w:tc>
          <w:tcPr>
            <w:tcW w:w="3483" w:type="dxa"/>
          </w:tcPr>
          <w:p w14:paraId="6560F930"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Total equity</w:t>
            </w:r>
          </w:p>
        </w:tc>
        <w:tc>
          <w:tcPr>
            <w:tcW w:w="985" w:type="dxa"/>
            <w:tcBorders>
              <w:right w:val="single" w:sz="18" w:space="0" w:color="FFFFFF" w:themeColor="background2"/>
            </w:tcBorders>
          </w:tcPr>
          <w:p w14:paraId="544482C0" w14:textId="77777777" w:rsidR="00904764" w:rsidRPr="00241765" w:rsidRDefault="00904764"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358D132" w14:textId="0E5AD47B"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1</w:t>
            </w:r>
            <w:r w:rsidR="002164B4">
              <w:rPr>
                <w:rFonts w:asciiTheme="majorHAnsi" w:hAnsiTheme="majorHAnsi" w:cs="Calibri"/>
                <w:color w:val="292929"/>
                <w:sz w:val="14"/>
                <w:szCs w:val="14"/>
              </w:rPr>
              <w:t>6</w:t>
            </w:r>
            <w:r w:rsidRPr="00241765">
              <w:rPr>
                <w:rFonts w:asciiTheme="majorHAnsi" w:hAnsiTheme="majorHAnsi" w:cs="Calibri"/>
                <w:color w:val="292929"/>
                <w:sz w:val="14"/>
                <w:szCs w:val="14"/>
              </w:rPr>
              <w:t>,</w:t>
            </w:r>
            <w:r w:rsidR="002164B4">
              <w:rPr>
                <w:rFonts w:asciiTheme="majorHAnsi" w:hAnsiTheme="majorHAnsi" w:cs="Calibri"/>
                <w:color w:val="292929"/>
                <w:sz w:val="14"/>
                <w:szCs w:val="14"/>
              </w:rPr>
              <w:t>360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15E5603" w14:textId="0B010553" w:rsidR="00904764" w:rsidRPr="00241765" w:rsidRDefault="00904764" w:rsidP="00B15944">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1</w:t>
            </w:r>
            <w:r w:rsidR="002164B4">
              <w:rPr>
                <w:rFonts w:cs="Calibri"/>
                <w:color w:val="292929"/>
                <w:sz w:val="14"/>
                <w:szCs w:val="14"/>
              </w:rPr>
              <w:t>5</w:t>
            </w:r>
            <w:r w:rsidRPr="00241765">
              <w:rPr>
                <w:rFonts w:cs="Calibri"/>
                <w:color w:val="292929"/>
                <w:sz w:val="14"/>
                <w:szCs w:val="14"/>
              </w:rPr>
              <w:t>,</w:t>
            </w:r>
            <w:r w:rsidR="002164B4">
              <w:rPr>
                <w:rFonts w:cs="Calibri"/>
                <w:color w:val="292929"/>
                <w:sz w:val="14"/>
                <w:szCs w:val="14"/>
              </w:rPr>
              <w:t>836</w:t>
            </w:r>
          </w:p>
        </w:tc>
        <w:tc>
          <w:tcPr>
            <w:tcW w:w="985" w:type="dxa"/>
            <w:tcBorders>
              <w:top w:val="single" w:sz="2" w:space="0" w:color="auto"/>
              <w:left w:val="single" w:sz="18" w:space="0" w:color="FFFFFF" w:themeColor="background2"/>
              <w:bottom w:val="single" w:sz="2" w:space="0" w:color="auto"/>
            </w:tcBorders>
          </w:tcPr>
          <w:p w14:paraId="7B168BAD" w14:textId="5A330CD8" w:rsidR="00904764" w:rsidRPr="00241765" w:rsidRDefault="00904764"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13,3</w:t>
            </w:r>
            <w:r w:rsidR="002164B4">
              <w:rPr>
                <w:rFonts w:cs="Calibri"/>
                <w:color w:val="292929"/>
                <w:sz w:val="14"/>
                <w:szCs w:val="14"/>
              </w:rPr>
              <w:t>45</w:t>
            </w:r>
          </w:p>
        </w:tc>
      </w:tr>
      <w:tr w:rsidR="00904764" w:rsidRPr="00241765" w14:paraId="6B45C628" w14:textId="77777777" w:rsidTr="00B15944">
        <w:trPr>
          <w:trHeight w:val="57"/>
        </w:trPr>
        <w:tc>
          <w:tcPr>
            <w:tcW w:w="3483" w:type="dxa"/>
          </w:tcPr>
          <w:p w14:paraId="3B6B7AA6" w14:textId="77777777" w:rsidR="00904764" w:rsidRPr="00241765" w:rsidRDefault="00904764" w:rsidP="00B15944">
            <w:pPr>
              <w:suppressAutoHyphens/>
              <w:autoSpaceDE w:val="0"/>
              <w:autoSpaceDN w:val="0"/>
              <w:adjustRightInd w:val="0"/>
              <w:spacing w:before="20" w:after="20"/>
              <w:textAlignment w:val="center"/>
              <w:rPr>
                <w:rFonts w:asciiTheme="majorHAnsi" w:hAnsiTheme="majorHAnsi"/>
                <w:color w:val="292929"/>
                <w:sz w:val="4"/>
                <w:szCs w:val="4"/>
              </w:rPr>
            </w:pPr>
          </w:p>
        </w:tc>
        <w:tc>
          <w:tcPr>
            <w:tcW w:w="985" w:type="dxa"/>
            <w:tcBorders>
              <w:right w:val="single" w:sz="18" w:space="0" w:color="FFFFFF" w:themeColor="background2"/>
            </w:tcBorders>
          </w:tcPr>
          <w:p w14:paraId="254D0447" w14:textId="77777777" w:rsidR="00904764" w:rsidRPr="00241765" w:rsidRDefault="00904764" w:rsidP="00B15944">
            <w:pPr>
              <w:autoSpaceDE w:val="0"/>
              <w:autoSpaceDN w:val="0"/>
              <w:adjustRightInd w:val="0"/>
              <w:spacing w:before="20" w:after="20"/>
              <w:jc w:val="right"/>
              <w:rPr>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16A9E6B2" w14:textId="77777777" w:rsidR="00904764" w:rsidRPr="00241765" w:rsidRDefault="00904764" w:rsidP="00B15944">
            <w:pPr>
              <w:suppressAutoHyphens/>
              <w:autoSpaceDE w:val="0"/>
              <w:autoSpaceDN w:val="0"/>
              <w:adjustRightInd w:val="0"/>
              <w:spacing w:before="20" w:after="20"/>
              <w:jc w:val="right"/>
              <w:textAlignment w:val="center"/>
              <w:rPr>
                <w:rFonts w:asciiTheme="majorHAnsi" w:hAnsiTheme="majorHAnsi"/>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0F03F869" w14:textId="77777777" w:rsidR="00904764" w:rsidRPr="00241765" w:rsidRDefault="00904764" w:rsidP="00B15944">
            <w:pPr>
              <w:suppressAutoHyphens/>
              <w:autoSpaceDE w:val="0"/>
              <w:autoSpaceDN w:val="0"/>
              <w:adjustRightInd w:val="0"/>
              <w:spacing w:before="20" w:after="20"/>
              <w:jc w:val="right"/>
              <w:textAlignment w:val="center"/>
              <w:rPr>
                <w:color w:val="292929"/>
                <w:sz w:val="4"/>
                <w:szCs w:val="4"/>
              </w:rPr>
            </w:pPr>
          </w:p>
        </w:tc>
        <w:tc>
          <w:tcPr>
            <w:tcW w:w="985" w:type="dxa"/>
            <w:tcBorders>
              <w:top w:val="single" w:sz="2" w:space="0" w:color="auto"/>
              <w:left w:val="single" w:sz="18" w:space="0" w:color="FFFFFF" w:themeColor="background2"/>
            </w:tcBorders>
          </w:tcPr>
          <w:p w14:paraId="265D7B09" w14:textId="77777777" w:rsidR="00904764" w:rsidRPr="00241765" w:rsidRDefault="00904764" w:rsidP="00B15944">
            <w:pPr>
              <w:suppressAutoHyphens/>
              <w:autoSpaceDE w:val="0"/>
              <w:autoSpaceDN w:val="0"/>
              <w:adjustRightInd w:val="0"/>
              <w:spacing w:before="20" w:after="20"/>
              <w:jc w:val="right"/>
              <w:textAlignment w:val="center"/>
              <w:rPr>
                <w:color w:val="292929"/>
                <w:sz w:val="4"/>
                <w:szCs w:val="4"/>
              </w:rPr>
            </w:pPr>
          </w:p>
        </w:tc>
      </w:tr>
      <w:tr w:rsidR="00904764" w:rsidRPr="00241765" w14:paraId="39ED77B7" w14:textId="77777777" w:rsidTr="00B15944">
        <w:trPr>
          <w:trHeight w:val="222"/>
        </w:trPr>
        <w:tc>
          <w:tcPr>
            <w:tcW w:w="7423" w:type="dxa"/>
            <w:gridSpan w:val="5"/>
          </w:tcPr>
          <w:p w14:paraId="6ECFEE14" w14:textId="77777777" w:rsidR="00904764" w:rsidRPr="00241765" w:rsidRDefault="00904764" w:rsidP="00B15944">
            <w:pPr>
              <w:suppressAutoHyphens/>
              <w:autoSpaceDE w:val="0"/>
              <w:autoSpaceDN w:val="0"/>
              <w:adjustRightInd w:val="0"/>
              <w:spacing w:before="20" w:after="20"/>
              <w:textAlignment w:val="center"/>
              <w:rPr>
                <w:rFonts w:cs="Futura PT Book"/>
                <w:color w:val="292929"/>
                <w:sz w:val="14"/>
                <w:szCs w:val="14"/>
                <w:lang w:val="en-US"/>
              </w:rPr>
            </w:pPr>
            <w:r w:rsidRPr="00241765">
              <w:rPr>
                <w:rFonts w:cs="Futura PT Book"/>
                <w:color w:val="292929"/>
                <w:sz w:val="14"/>
                <w:szCs w:val="14"/>
                <w:lang w:val="en-US"/>
              </w:rPr>
              <w:t>The above statement should be read in conjunction with the accompanying notes.</w:t>
            </w:r>
          </w:p>
        </w:tc>
      </w:tr>
    </w:tbl>
    <w:p w14:paraId="66168A75" w14:textId="77777777" w:rsidR="00904764" w:rsidRPr="00241765" w:rsidRDefault="00904764" w:rsidP="00904764">
      <w:pPr>
        <w:pStyle w:val="H4"/>
        <w:spacing w:before="120" w:after="120"/>
        <w:rPr>
          <w:color w:val="292929"/>
          <w:sz w:val="18"/>
        </w:rPr>
      </w:pPr>
      <w:r w:rsidRPr="00241765">
        <w:rPr>
          <w:color w:val="292929"/>
          <w:sz w:val="18"/>
        </w:rPr>
        <w:t>Budget Variances Commentary</w:t>
      </w:r>
    </w:p>
    <w:p w14:paraId="09CAA8B0" w14:textId="77777777" w:rsidR="00904764" w:rsidRPr="00241765" w:rsidRDefault="00904764" w:rsidP="00904764">
      <w:pPr>
        <w:pStyle w:val="Body-Financial"/>
        <w:rPr>
          <w:b/>
          <w:bCs/>
          <w:color w:val="292929"/>
        </w:rPr>
      </w:pPr>
      <w:r w:rsidRPr="00241765">
        <w:rPr>
          <w:b/>
          <w:bCs/>
          <w:color w:val="292929"/>
        </w:rPr>
        <w:t xml:space="preserve">Statement of Financial Position </w:t>
      </w:r>
    </w:p>
    <w:p w14:paraId="4B047927" w14:textId="1491FA60" w:rsidR="0079765E" w:rsidRPr="0079765E" w:rsidRDefault="0079765E" w:rsidP="0079765E">
      <w:pPr>
        <w:pStyle w:val="Body"/>
        <w:rPr>
          <w:color w:val="292929"/>
          <w:sz w:val="14"/>
          <w:szCs w:val="14"/>
        </w:rPr>
      </w:pPr>
      <w:r w:rsidRPr="0079765E">
        <w:rPr>
          <w:color w:val="292929"/>
          <w:sz w:val="14"/>
          <w:szCs w:val="14"/>
        </w:rPr>
        <w:t>Total assets of $31.750m were $11.278m higher than budget primarily due to the increase in property accommodation (</w:t>
      </w:r>
      <w:r w:rsidR="00756EAF">
        <w:rPr>
          <w:color w:val="292929"/>
          <w:sz w:val="14"/>
          <w:szCs w:val="14"/>
        </w:rPr>
        <w:t>i.e</w:t>
      </w:r>
      <w:r>
        <w:rPr>
          <w:color w:val="292929"/>
          <w:sz w:val="14"/>
          <w:szCs w:val="14"/>
        </w:rPr>
        <w:t>,</w:t>
      </w:r>
      <w:r w:rsidRPr="0079765E">
        <w:rPr>
          <w:color w:val="292929"/>
          <w:sz w:val="14"/>
          <w:szCs w:val="14"/>
        </w:rPr>
        <w:t xml:space="preserve"> right-of-use assets) of $7.806m and leasehold improvements of $1.075m. </w:t>
      </w:r>
    </w:p>
    <w:p w14:paraId="3380395D" w14:textId="232FAA0F" w:rsidR="0079765E" w:rsidRPr="0079765E" w:rsidRDefault="0079765E" w:rsidP="0079765E">
      <w:pPr>
        <w:pStyle w:val="Body"/>
        <w:rPr>
          <w:color w:val="292929"/>
          <w:sz w:val="14"/>
          <w:szCs w:val="14"/>
        </w:rPr>
      </w:pPr>
      <w:r w:rsidRPr="0079765E">
        <w:rPr>
          <w:color w:val="292929"/>
          <w:sz w:val="14"/>
          <w:szCs w:val="14"/>
        </w:rPr>
        <w:t xml:space="preserve">Total liabilities of $15.390m were $8.263m higher than budget primarily due to higher lease liabilities of $7.494m, increased supplier payables of $0.646m for expenses accrued and increased other payables of $0.223m primarily driven by leave entitlements. </w:t>
      </w:r>
    </w:p>
    <w:p w14:paraId="5A9AB345" w14:textId="592571E3" w:rsidR="00745E1A" w:rsidRPr="002164B4" w:rsidRDefault="0079765E" w:rsidP="0079765E">
      <w:pPr>
        <w:pStyle w:val="Body"/>
        <w:rPr>
          <w:color w:val="292929"/>
          <w:sz w:val="14"/>
          <w:szCs w:val="14"/>
          <w:lang w:val="en-PH"/>
        </w:rPr>
      </w:pPr>
      <w:r w:rsidRPr="0079765E">
        <w:rPr>
          <w:color w:val="292929"/>
          <w:sz w:val="14"/>
          <w:szCs w:val="14"/>
        </w:rPr>
        <w:t>Total equity of $16.360m was $3.015m higher than the budget amount of $13.345m primarily due to the prior and current period surplus.</w:t>
      </w:r>
    </w:p>
    <w:p w14:paraId="15C6B1F2" w14:textId="7BFFA61C" w:rsidR="0029672B" w:rsidRDefault="0029672B" w:rsidP="008664C1">
      <w:pPr>
        <w:pStyle w:val="Body"/>
        <w:rPr>
          <w:color w:val="292929"/>
        </w:rPr>
      </w:pPr>
    </w:p>
    <w:p w14:paraId="2E3D62F3" w14:textId="77777777" w:rsidR="00904764" w:rsidRDefault="00904764" w:rsidP="008664C1">
      <w:pPr>
        <w:pStyle w:val="Body"/>
        <w:rPr>
          <w:color w:val="292929"/>
        </w:rPr>
        <w:sectPr w:rsidR="00904764" w:rsidSect="00441579">
          <w:footerReference w:type="default" r:id="rId185"/>
          <w:pgSz w:w="9979" w:h="14175"/>
          <w:pgMar w:top="1134" w:right="1134" w:bottom="1134" w:left="1134" w:header="709" w:footer="709" w:gutter="0"/>
          <w:cols w:space="708"/>
          <w:docGrid w:linePitch="360"/>
        </w:sectPr>
      </w:pPr>
    </w:p>
    <w:p w14:paraId="283069AF" w14:textId="77777777" w:rsidR="006A7C15" w:rsidRDefault="006A7C15" w:rsidP="006A7C15">
      <w:pPr>
        <w:pStyle w:val="H3Financials"/>
        <w:spacing w:before="0" w:after="120"/>
      </w:pPr>
      <w:bookmarkStart w:id="108" w:name="_Toc83220559"/>
      <w:bookmarkStart w:id="109" w:name="_Toc112133279"/>
      <w:bookmarkStart w:id="110" w:name="_Toc114824703"/>
      <w:r w:rsidRPr="00974E28">
        <w:t xml:space="preserve">Statement of </w:t>
      </w:r>
      <w:r>
        <w:t>changes in equity</w:t>
      </w:r>
      <w:bookmarkEnd w:id="108"/>
      <w:bookmarkEnd w:id="109"/>
      <w:bookmarkEnd w:id="110"/>
      <w:r>
        <w:t xml:space="preserve"> </w:t>
      </w:r>
    </w:p>
    <w:p w14:paraId="64531AAA" w14:textId="20CB507F" w:rsidR="006A7C15" w:rsidRPr="00F73A32" w:rsidRDefault="006A7C15" w:rsidP="006A7C15">
      <w:pPr>
        <w:pStyle w:val="Body"/>
        <w:rPr>
          <w:i/>
          <w:iCs/>
        </w:rPr>
      </w:pPr>
      <w:r w:rsidRPr="00F71E0B">
        <w:rPr>
          <w:i/>
          <w:iCs/>
        </w:rPr>
        <w:t>for the period ended 30 June 202</w:t>
      </w:r>
      <w:r w:rsidR="0094044A">
        <w:rPr>
          <w:i/>
          <w:iCs/>
        </w:rPr>
        <w:t>2</w:t>
      </w:r>
    </w:p>
    <w:tbl>
      <w:tblPr>
        <w:tblStyle w:val="IHPA"/>
        <w:tblW w:w="7423" w:type="dxa"/>
        <w:tblLayout w:type="fixed"/>
        <w:tblLook w:val="0020" w:firstRow="1" w:lastRow="0" w:firstColumn="0" w:lastColumn="0" w:noHBand="0" w:noVBand="0"/>
        <w:tblCaption w:val="Statement of changes in equity"/>
        <w:tblDescription w:val="Statement of changes in equity"/>
      </w:tblPr>
      <w:tblGrid>
        <w:gridCol w:w="3483"/>
        <w:gridCol w:w="985"/>
        <w:gridCol w:w="985"/>
        <w:gridCol w:w="985"/>
        <w:gridCol w:w="985"/>
      </w:tblGrid>
      <w:tr w:rsidR="006A7C15" w:rsidRPr="00807DBD" w14:paraId="7DADAD59" w14:textId="77777777" w:rsidTr="00B15944">
        <w:trPr>
          <w:trHeight w:val="340"/>
        </w:trPr>
        <w:tc>
          <w:tcPr>
            <w:tcW w:w="3483" w:type="dxa"/>
          </w:tcPr>
          <w:p w14:paraId="6332DF85" w14:textId="77777777" w:rsidR="006A7C15" w:rsidRPr="00807DBD" w:rsidRDefault="006A7C15" w:rsidP="00B15944">
            <w:pPr>
              <w:autoSpaceDE w:val="0"/>
              <w:autoSpaceDN w:val="0"/>
              <w:adjustRightInd w:val="0"/>
              <w:spacing w:before="20" w:after="20"/>
              <w:rPr>
                <w:rFonts w:ascii="Futura PT Book" w:hAnsi="Futura PT Book"/>
                <w:color w:val="292929"/>
                <w:sz w:val="24"/>
                <w:szCs w:val="24"/>
              </w:rPr>
            </w:pPr>
          </w:p>
        </w:tc>
        <w:tc>
          <w:tcPr>
            <w:tcW w:w="985" w:type="dxa"/>
            <w:tcBorders>
              <w:bottom w:val="single" w:sz="12" w:space="0" w:color="auto"/>
              <w:right w:val="single" w:sz="18" w:space="0" w:color="FFFFFF" w:themeColor="background2"/>
            </w:tcBorders>
            <w:vAlign w:val="bottom"/>
          </w:tcPr>
          <w:p w14:paraId="31B5E382" w14:textId="77777777" w:rsidR="006A7C15" w:rsidRPr="00807DBD" w:rsidRDefault="006A7C1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29E5C52D" w14:textId="6803C23C" w:rsidR="006A7C15" w:rsidRPr="00807DBD" w:rsidRDefault="006A7C1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202</w:t>
            </w:r>
            <w:r w:rsidR="00D1091F">
              <w:rPr>
                <w:rFonts w:asciiTheme="majorHAnsi" w:hAnsiTheme="majorHAnsi" w:cs="Futura PT Heavy"/>
                <w:color w:val="292929"/>
                <w:sz w:val="16"/>
                <w:szCs w:val="16"/>
                <w:lang w:val="en-US"/>
              </w:rPr>
              <w:t>2</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6ECA05BE" w14:textId="60C99943" w:rsidR="006A7C15" w:rsidRPr="00807DBD" w:rsidRDefault="006A7C1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w:t>
            </w:r>
            <w:r>
              <w:rPr>
                <w:rFonts w:asciiTheme="majorHAnsi" w:hAnsiTheme="majorHAnsi" w:cs="Futura PT Heavy"/>
                <w:color w:val="292929"/>
                <w:sz w:val="16"/>
                <w:szCs w:val="16"/>
                <w:lang w:val="en-US"/>
              </w:rPr>
              <w:t>2</w:t>
            </w:r>
            <w:r w:rsidR="00D1091F">
              <w:rPr>
                <w:rFonts w:asciiTheme="majorHAnsi" w:hAnsiTheme="majorHAnsi" w:cs="Futura PT Heavy"/>
                <w:color w:val="292929"/>
                <w:sz w:val="16"/>
                <w:szCs w:val="16"/>
                <w:lang w:val="en-US"/>
              </w:rPr>
              <w:t>1</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tcBorders>
            <w:vAlign w:val="bottom"/>
          </w:tcPr>
          <w:p w14:paraId="574B4548" w14:textId="77777777" w:rsidR="006A7C15" w:rsidRPr="00807DBD" w:rsidRDefault="006A7C1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6A7C15" w:rsidRPr="00807DBD" w14:paraId="470F5565" w14:textId="77777777" w:rsidTr="00B15944">
        <w:trPr>
          <w:trHeight w:val="170"/>
        </w:trPr>
        <w:tc>
          <w:tcPr>
            <w:tcW w:w="3483" w:type="dxa"/>
          </w:tcPr>
          <w:p w14:paraId="0AE03981"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CONTRIBUTED EQUITY</w:t>
            </w:r>
          </w:p>
        </w:tc>
        <w:tc>
          <w:tcPr>
            <w:tcW w:w="985" w:type="dxa"/>
            <w:tcBorders>
              <w:top w:val="single" w:sz="12" w:space="0" w:color="auto"/>
              <w:right w:val="single" w:sz="18" w:space="0" w:color="FFFFFF" w:themeColor="background2"/>
            </w:tcBorders>
          </w:tcPr>
          <w:p w14:paraId="570ABB3D"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51BE07E6"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0241DC3F"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tcBorders>
          </w:tcPr>
          <w:p w14:paraId="33AB209F" w14:textId="77777777" w:rsidR="006A7C15" w:rsidRPr="00807DBD" w:rsidRDefault="006A7C15" w:rsidP="00B15944">
            <w:pPr>
              <w:autoSpaceDE w:val="0"/>
              <w:autoSpaceDN w:val="0"/>
              <w:adjustRightInd w:val="0"/>
              <w:spacing w:before="20" w:after="20"/>
              <w:jc w:val="right"/>
              <w:rPr>
                <w:color w:val="292929"/>
                <w:sz w:val="14"/>
                <w:szCs w:val="14"/>
              </w:rPr>
            </w:pPr>
          </w:p>
        </w:tc>
      </w:tr>
      <w:tr w:rsidR="006A7C15" w:rsidRPr="00807DBD" w14:paraId="6776C85D" w14:textId="77777777" w:rsidTr="00B15944">
        <w:trPr>
          <w:trHeight w:val="170"/>
        </w:trPr>
        <w:tc>
          <w:tcPr>
            <w:tcW w:w="3483" w:type="dxa"/>
          </w:tcPr>
          <w:p w14:paraId="324BE82C"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Borders>
              <w:right w:val="single" w:sz="18" w:space="0" w:color="FFFFFF" w:themeColor="background2"/>
            </w:tcBorders>
          </w:tcPr>
          <w:p w14:paraId="2516A9B7" w14:textId="7777777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7179A120" w14:textId="02C51DB3"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62274C0C" w14:textId="0F56B8DB"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tcBorders>
          </w:tcPr>
          <w:p w14:paraId="189D5947" w14:textId="1E326B9A"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79A064E7" w14:textId="77777777" w:rsidTr="00B15944">
        <w:trPr>
          <w:trHeight w:val="170"/>
        </w:trPr>
        <w:tc>
          <w:tcPr>
            <w:tcW w:w="3483" w:type="dxa"/>
          </w:tcPr>
          <w:p w14:paraId="52F1943D" w14:textId="77777777" w:rsidR="006A7C15" w:rsidRPr="00807DBD" w:rsidRDefault="006A7C15"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Borders>
              <w:right w:val="single" w:sz="18" w:space="0" w:color="FFFFFF" w:themeColor="background2"/>
            </w:tcBorders>
          </w:tcPr>
          <w:p w14:paraId="18D0DD0D" w14:textId="7777777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bottom w:val="single" w:sz="2" w:space="0" w:color="auto"/>
              <w:right w:val="single" w:sz="18" w:space="0" w:color="FFFFFF" w:themeColor="background2"/>
            </w:tcBorders>
          </w:tcPr>
          <w:p w14:paraId="1FBCFCFD" w14:textId="110187D8"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400</w:t>
            </w:r>
          </w:p>
        </w:tc>
        <w:tc>
          <w:tcPr>
            <w:tcW w:w="985" w:type="dxa"/>
            <w:tcBorders>
              <w:left w:val="single" w:sz="18" w:space="0" w:color="FFFFFF" w:themeColor="background2"/>
              <w:bottom w:val="single" w:sz="2" w:space="0" w:color="auto"/>
              <w:right w:val="single" w:sz="18" w:space="0" w:color="FFFFFF" w:themeColor="background2"/>
            </w:tcBorders>
          </w:tcPr>
          <w:p w14:paraId="30423168" w14:textId="0CFE6F18"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400</w:t>
            </w:r>
          </w:p>
        </w:tc>
        <w:tc>
          <w:tcPr>
            <w:tcW w:w="985" w:type="dxa"/>
            <w:tcBorders>
              <w:left w:val="single" w:sz="18" w:space="0" w:color="FFFFFF" w:themeColor="background2"/>
              <w:bottom w:val="single" w:sz="2" w:space="0" w:color="auto"/>
            </w:tcBorders>
          </w:tcPr>
          <w:p w14:paraId="766E1ECC" w14:textId="36741410"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400</w:t>
            </w:r>
          </w:p>
        </w:tc>
      </w:tr>
      <w:tr w:rsidR="006A7C15" w:rsidRPr="00807DBD" w14:paraId="3072376D" w14:textId="77777777" w:rsidTr="00B15944">
        <w:trPr>
          <w:trHeight w:val="170"/>
        </w:trPr>
        <w:tc>
          <w:tcPr>
            <w:tcW w:w="3483" w:type="dxa"/>
          </w:tcPr>
          <w:p w14:paraId="194BE83C"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Closing balance as at 30 June</w:t>
            </w:r>
          </w:p>
        </w:tc>
        <w:tc>
          <w:tcPr>
            <w:tcW w:w="985" w:type="dxa"/>
            <w:tcBorders>
              <w:right w:val="single" w:sz="18" w:space="0" w:color="FFFFFF" w:themeColor="background2"/>
            </w:tcBorders>
          </w:tcPr>
          <w:p w14:paraId="1018F215"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80BD085" w14:textId="77777777" w:rsidR="006A7C15" w:rsidRPr="00807DBD" w:rsidRDefault="006A7C15" w:rsidP="00B15944">
            <w:pPr>
              <w:autoSpaceDE w:val="0"/>
              <w:autoSpaceDN w:val="0"/>
              <w:adjustRightInd w:val="0"/>
              <w:spacing w:before="20" w:after="20"/>
              <w:jc w:val="right"/>
              <w:rPr>
                <w:rFonts w:asciiTheme="majorHAnsi" w:hAnsiTheme="majorHAnsi"/>
                <w:color w:val="292929"/>
                <w:sz w:val="14"/>
                <w:szCs w:val="14"/>
              </w:rPr>
            </w:pPr>
            <w:r w:rsidRPr="00807DBD">
              <w:rPr>
                <w:rFonts w:asciiTheme="majorHAnsi" w:hAnsiTheme="majorHAnsi"/>
                <w:color w:val="292929"/>
                <w:sz w:val="14"/>
                <w:szCs w:val="14"/>
              </w:rPr>
              <w:t>400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84B3D54" w14:textId="77777777" w:rsidR="006A7C15" w:rsidRPr="00807DBD" w:rsidRDefault="006A7C15" w:rsidP="00B15944">
            <w:pPr>
              <w:autoSpaceDE w:val="0"/>
              <w:autoSpaceDN w:val="0"/>
              <w:adjustRightInd w:val="0"/>
              <w:spacing w:before="20" w:after="20"/>
              <w:jc w:val="right"/>
              <w:rPr>
                <w:color w:val="292929"/>
                <w:sz w:val="14"/>
                <w:szCs w:val="14"/>
              </w:rPr>
            </w:pPr>
            <w:r w:rsidRPr="00807DBD">
              <w:rPr>
                <w:color w:val="292929"/>
                <w:sz w:val="14"/>
                <w:szCs w:val="14"/>
              </w:rPr>
              <w:t>400</w:t>
            </w:r>
          </w:p>
        </w:tc>
        <w:tc>
          <w:tcPr>
            <w:tcW w:w="985" w:type="dxa"/>
            <w:tcBorders>
              <w:top w:val="single" w:sz="2" w:space="0" w:color="auto"/>
              <w:left w:val="single" w:sz="18" w:space="0" w:color="FFFFFF" w:themeColor="background2"/>
              <w:bottom w:val="single" w:sz="2" w:space="0" w:color="auto"/>
            </w:tcBorders>
          </w:tcPr>
          <w:p w14:paraId="297CB681" w14:textId="77777777" w:rsidR="006A7C15" w:rsidRPr="00807DBD" w:rsidRDefault="006A7C15" w:rsidP="00B15944">
            <w:pPr>
              <w:autoSpaceDE w:val="0"/>
              <w:autoSpaceDN w:val="0"/>
              <w:adjustRightInd w:val="0"/>
              <w:spacing w:before="20" w:after="20"/>
              <w:jc w:val="right"/>
              <w:rPr>
                <w:color w:val="292929"/>
                <w:sz w:val="14"/>
                <w:szCs w:val="14"/>
              </w:rPr>
            </w:pPr>
            <w:r w:rsidRPr="00807DBD">
              <w:rPr>
                <w:color w:val="292929"/>
                <w:sz w:val="14"/>
                <w:szCs w:val="14"/>
              </w:rPr>
              <w:t>400</w:t>
            </w:r>
          </w:p>
        </w:tc>
      </w:tr>
      <w:tr w:rsidR="006A7C15" w:rsidRPr="00807DBD" w14:paraId="03CD99F6" w14:textId="77777777" w:rsidTr="00B15944">
        <w:trPr>
          <w:trHeight w:val="170"/>
        </w:trPr>
        <w:tc>
          <w:tcPr>
            <w:tcW w:w="3483" w:type="dxa"/>
          </w:tcPr>
          <w:p w14:paraId="28C50BCB" w14:textId="77777777" w:rsidR="006A7C15" w:rsidRPr="00807DBD" w:rsidRDefault="006A7C15" w:rsidP="00B15944">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right w:val="single" w:sz="18" w:space="0" w:color="FFFFFF" w:themeColor="background2"/>
            </w:tcBorders>
          </w:tcPr>
          <w:p w14:paraId="2A623141"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14086188" w14:textId="77777777" w:rsidR="006A7C15" w:rsidRPr="00807DBD" w:rsidRDefault="006A7C15" w:rsidP="00B15944">
            <w:pPr>
              <w:autoSpaceDE w:val="0"/>
              <w:autoSpaceDN w:val="0"/>
              <w:adjustRightInd w:val="0"/>
              <w:spacing w:before="20" w:after="20"/>
              <w:jc w:val="right"/>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20926CDC"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tcBorders>
          </w:tcPr>
          <w:p w14:paraId="2C66EE38" w14:textId="77777777" w:rsidR="006A7C15" w:rsidRPr="00807DBD" w:rsidRDefault="006A7C15" w:rsidP="00B15944">
            <w:pPr>
              <w:autoSpaceDE w:val="0"/>
              <w:autoSpaceDN w:val="0"/>
              <w:adjustRightInd w:val="0"/>
              <w:spacing w:before="20" w:after="20"/>
              <w:jc w:val="right"/>
              <w:rPr>
                <w:color w:val="292929"/>
                <w:sz w:val="14"/>
                <w:szCs w:val="14"/>
              </w:rPr>
            </w:pPr>
          </w:p>
        </w:tc>
      </w:tr>
      <w:tr w:rsidR="006A7C15" w:rsidRPr="00807DBD" w14:paraId="1B89CED2" w14:textId="77777777" w:rsidTr="00B15944">
        <w:trPr>
          <w:trHeight w:val="170"/>
        </w:trPr>
        <w:tc>
          <w:tcPr>
            <w:tcW w:w="3483" w:type="dxa"/>
          </w:tcPr>
          <w:p w14:paraId="21C635F6"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RETAINED EARNINGS</w:t>
            </w:r>
          </w:p>
        </w:tc>
        <w:tc>
          <w:tcPr>
            <w:tcW w:w="985" w:type="dxa"/>
            <w:tcBorders>
              <w:right w:val="single" w:sz="18" w:space="0" w:color="FFFFFF" w:themeColor="background2"/>
            </w:tcBorders>
          </w:tcPr>
          <w:p w14:paraId="4C10F249" w14:textId="7777777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412BC525" w14:textId="714E6B70"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4736E220" w14:textId="7777777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tcBorders>
          </w:tcPr>
          <w:p w14:paraId="1F8DBC9E" w14:textId="2673E9A5"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54D2F017" w14:textId="77777777" w:rsidTr="00B15944">
        <w:trPr>
          <w:trHeight w:val="170"/>
        </w:trPr>
        <w:tc>
          <w:tcPr>
            <w:tcW w:w="3483" w:type="dxa"/>
          </w:tcPr>
          <w:p w14:paraId="10D00477"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Borders>
              <w:right w:val="single" w:sz="18" w:space="0" w:color="FFFFFF" w:themeColor="background2"/>
            </w:tcBorders>
          </w:tcPr>
          <w:p w14:paraId="17480939"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419687D4" w14:textId="58488620"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46E5ABBA" w14:textId="1E616A08"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tcBorders>
          </w:tcPr>
          <w:p w14:paraId="73F9E4FF" w14:textId="22DD7F93"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4FCD55EA" w14:textId="77777777" w:rsidTr="00B15944">
        <w:trPr>
          <w:trHeight w:val="170"/>
        </w:trPr>
        <w:tc>
          <w:tcPr>
            <w:tcW w:w="3483" w:type="dxa"/>
          </w:tcPr>
          <w:p w14:paraId="3B517A19" w14:textId="77777777" w:rsidR="006A7C15" w:rsidRPr="00807DBD" w:rsidRDefault="006A7C15"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Borders>
              <w:right w:val="single" w:sz="18" w:space="0" w:color="FFFFFF" w:themeColor="background2"/>
            </w:tcBorders>
          </w:tcPr>
          <w:p w14:paraId="3FC5DF75"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251A6532" w14:textId="2248A757"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1</w:t>
            </w:r>
            <w:r w:rsidR="00D1091F">
              <w:rPr>
                <w:rFonts w:asciiTheme="majorHAnsi" w:hAnsiTheme="majorHAnsi"/>
                <w:color w:val="292929"/>
                <w:sz w:val="14"/>
                <w:szCs w:val="14"/>
              </w:rPr>
              <w:t>5</w:t>
            </w:r>
            <w:r w:rsidRPr="00807DBD">
              <w:rPr>
                <w:rFonts w:asciiTheme="majorHAnsi" w:hAnsiTheme="majorHAnsi"/>
                <w:color w:val="292929"/>
                <w:sz w:val="14"/>
                <w:szCs w:val="14"/>
              </w:rPr>
              <w:t>,</w:t>
            </w:r>
            <w:r w:rsidR="00D1091F">
              <w:rPr>
                <w:rFonts w:asciiTheme="majorHAnsi" w:hAnsiTheme="majorHAnsi"/>
                <w:color w:val="292929"/>
                <w:sz w:val="14"/>
                <w:szCs w:val="14"/>
              </w:rPr>
              <w:t>436</w:t>
            </w:r>
          </w:p>
        </w:tc>
        <w:tc>
          <w:tcPr>
            <w:tcW w:w="985" w:type="dxa"/>
            <w:tcBorders>
              <w:left w:val="single" w:sz="18" w:space="0" w:color="FFFFFF" w:themeColor="background2"/>
              <w:right w:val="single" w:sz="18" w:space="0" w:color="FFFFFF" w:themeColor="background2"/>
            </w:tcBorders>
          </w:tcPr>
          <w:p w14:paraId="00A8F2E7" w14:textId="00036C61"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w:t>
            </w:r>
            <w:r w:rsidR="00D1091F">
              <w:rPr>
                <w:color w:val="292929"/>
                <w:sz w:val="14"/>
                <w:szCs w:val="14"/>
              </w:rPr>
              <w:t>3</w:t>
            </w:r>
            <w:r w:rsidRPr="00807DBD">
              <w:rPr>
                <w:color w:val="292929"/>
                <w:sz w:val="14"/>
                <w:szCs w:val="14"/>
              </w:rPr>
              <w:t>,</w:t>
            </w:r>
            <w:r w:rsidR="00D1091F">
              <w:rPr>
                <w:color w:val="292929"/>
                <w:sz w:val="14"/>
                <w:szCs w:val="14"/>
              </w:rPr>
              <w:t>094</w:t>
            </w:r>
          </w:p>
        </w:tc>
        <w:tc>
          <w:tcPr>
            <w:tcW w:w="985" w:type="dxa"/>
            <w:tcBorders>
              <w:left w:val="single" w:sz="18" w:space="0" w:color="FFFFFF" w:themeColor="background2"/>
            </w:tcBorders>
          </w:tcPr>
          <w:p w14:paraId="6C7B432F" w14:textId="4509BCA9"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w:t>
            </w:r>
            <w:r w:rsidR="00D1091F">
              <w:rPr>
                <w:color w:val="292929"/>
                <w:sz w:val="14"/>
                <w:szCs w:val="14"/>
              </w:rPr>
              <w:t>2,999</w:t>
            </w:r>
          </w:p>
        </w:tc>
      </w:tr>
      <w:tr w:rsidR="006A7C15" w:rsidRPr="00807DBD" w14:paraId="23E7DA1E" w14:textId="77777777" w:rsidTr="00B15944">
        <w:trPr>
          <w:trHeight w:val="170"/>
        </w:trPr>
        <w:tc>
          <w:tcPr>
            <w:tcW w:w="3483" w:type="dxa"/>
          </w:tcPr>
          <w:p w14:paraId="566D96EE" w14:textId="77777777" w:rsidR="006A7C15" w:rsidRPr="00807DBD" w:rsidRDefault="006A7C15" w:rsidP="00B15944">
            <w:pPr>
              <w:suppressAutoHyphens/>
              <w:autoSpaceDE w:val="0"/>
              <w:autoSpaceDN w:val="0"/>
              <w:adjustRightInd w:val="0"/>
              <w:spacing w:before="20" w:after="20"/>
              <w:textAlignment w:val="center"/>
              <w:rPr>
                <w:color w:val="292929"/>
                <w:sz w:val="14"/>
                <w:szCs w:val="14"/>
              </w:rPr>
            </w:pPr>
          </w:p>
        </w:tc>
        <w:tc>
          <w:tcPr>
            <w:tcW w:w="985" w:type="dxa"/>
            <w:tcBorders>
              <w:right w:val="single" w:sz="18" w:space="0" w:color="FFFFFF" w:themeColor="background2"/>
            </w:tcBorders>
          </w:tcPr>
          <w:p w14:paraId="4544109C"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5F3E1CF1" w14:textId="77777777"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6CE93572" w14:textId="77777777"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49B445D5" w14:textId="7777777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7A459811" w14:textId="77777777" w:rsidTr="00B15944">
        <w:trPr>
          <w:trHeight w:val="170"/>
        </w:trPr>
        <w:tc>
          <w:tcPr>
            <w:tcW w:w="3483" w:type="dxa"/>
          </w:tcPr>
          <w:p w14:paraId="10A76D4B"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Comprehensive income</w:t>
            </w:r>
          </w:p>
        </w:tc>
        <w:tc>
          <w:tcPr>
            <w:tcW w:w="985" w:type="dxa"/>
            <w:tcBorders>
              <w:right w:val="single" w:sz="18" w:space="0" w:color="FFFFFF" w:themeColor="background2"/>
            </w:tcBorders>
          </w:tcPr>
          <w:p w14:paraId="02189929"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04B8753E" w14:textId="687CA484"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3376799C" w14:textId="1A2D6F81"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632414FA" w14:textId="47D71E1B"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1ED9D3F9" w14:textId="77777777" w:rsidTr="00B15944">
        <w:trPr>
          <w:trHeight w:val="170"/>
        </w:trPr>
        <w:tc>
          <w:tcPr>
            <w:tcW w:w="3483" w:type="dxa"/>
          </w:tcPr>
          <w:p w14:paraId="5AE7B338" w14:textId="77777777" w:rsidR="006A7C15" w:rsidRPr="00807DBD" w:rsidRDefault="006A7C15" w:rsidP="00B15944">
            <w:pPr>
              <w:suppressAutoHyphens/>
              <w:autoSpaceDE w:val="0"/>
              <w:autoSpaceDN w:val="0"/>
              <w:adjustRightInd w:val="0"/>
              <w:spacing w:before="20" w:after="20"/>
              <w:textAlignment w:val="center"/>
              <w:rPr>
                <w:color w:val="292929"/>
                <w:sz w:val="14"/>
                <w:szCs w:val="14"/>
              </w:rPr>
            </w:pPr>
            <w:r w:rsidRPr="000B6A9B">
              <w:rPr>
                <w:color w:val="292929"/>
                <w:sz w:val="14"/>
                <w:szCs w:val="14"/>
              </w:rPr>
              <w:t>Surplus / (deficit) for the period</w:t>
            </w:r>
          </w:p>
        </w:tc>
        <w:tc>
          <w:tcPr>
            <w:tcW w:w="985" w:type="dxa"/>
            <w:tcBorders>
              <w:right w:val="single" w:sz="18" w:space="0" w:color="FFFFFF" w:themeColor="background2"/>
            </w:tcBorders>
          </w:tcPr>
          <w:p w14:paraId="05D34CAE"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163160D1" w14:textId="32D1C484" w:rsidR="006A7C15" w:rsidRPr="00807DBD" w:rsidRDefault="00C2709B"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524</w:t>
            </w:r>
          </w:p>
        </w:tc>
        <w:tc>
          <w:tcPr>
            <w:tcW w:w="985" w:type="dxa"/>
            <w:tcBorders>
              <w:left w:val="single" w:sz="18" w:space="0" w:color="FFFFFF" w:themeColor="background2"/>
              <w:bottom w:val="single" w:sz="2" w:space="0" w:color="auto"/>
              <w:right w:val="single" w:sz="18" w:space="0" w:color="FFFFFF" w:themeColor="background2"/>
            </w:tcBorders>
          </w:tcPr>
          <w:p w14:paraId="7F5BEED7" w14:textId="37EEF3F4" w:rsidR="006A7C15" w:rsidRPr="00807DBD" w:rsidRDefault="00C2709B"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2,342</w:t>
            </w:r>
          </w:p>
        </w:tc>
        <w:tc>
          <w:tcPr>
            <w:tcW w:w="985" w:type="dxa"/>
            <w:tcBorders>
              <w:left w:val="single" w:sz="18" w:space="0" w:color="FFFFFF" w:themeColor="background2"/>
              <w:bottom w:val="single" w:sz="2" w:space="0" w:color="auto"/>
            </w:tcBorders>
          </w:tcPr>
          <w:p w14:paraId="04E6A1CC" w14:textId="0AB7D62A"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w:t>
            </w:r>
            <w:r w:rsidR="00C2709B">
              <w:rPr>
                <w:rFonts w:cs="Futura PT Book"/>
                <w:color w:val="292929"/>
                <w:sz w:val="14"/>
                <w:szCs w:val="14"/>
                <w:lang w:val="en-US"/>
              </w:rPr>
              <w:t>54</w:t>
            </w:r>
            <w:r>
              <w:rPr>
                <w:rFonts w:cs="Futura PT Book"/>
                <w:color w:val="292929"/>
                <w:sz w:val="14"/>
                <w:szCs w:val="14"/>
                <w:lang w:val="en-US"/>
              </w:rPr>
              <w:t>)</w:t>
            </w:r>
          </w:p>
        </w:tc>
      </w:tr>
      <w:tr w:rsidR="006A7C15" w:rsidRPr="00807DBD" w14:paraId="47EFEC99" w14:textId="77777777" w:rsidTr="00B15944">
        <w:trPr>
          <w:trHeight w:val="170"/>
        </w:trPr>
        <w:tc>
          <w:tcPr>
            <w:tcW w:w="3483" w:type="dxa"/>
          </w:tcPr>
          <w:p w14:paraId="25A5A82A"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Borders>
              <w:right w:val="single" w:sz="18" w:space="0" w:color="FFFFFF" w:themeColor="background2"/>
            </w:tcBorders>
          </w:tcPr>
          <w:p w14:paraId="5F310948"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73DE792" w14:textId="2ECC0C0B"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1</w:t>
            </w:r>
            <w:r>
              <w:rPr>
                <w:rFonts w:asciiTheme="majorHAnsi" w:hAnsiTheme="majorHAnsi"/>
                <w:color w:val="292929"/>
                <w:sz w:val="14"/>
                <w:szCs w:val="14"/>
              </w:rPr>
              <w:t>5</w:t>
            </w:r>
            <w:r w:rsidRPr="00807DBD">
              <w:rPr>
                <w:rFonts w:asciiTheme="majorHAnsi" w:hAnsiTheme="majorHAnsi"/>
                <w:color w:val="292929"/>
                <w:sz w:val="14"/>
                <w:szCs w:val="14"/>
              </w:rPr>
              <w:t>,</w:t>
            </w:r>
            <w:r w:rsidR="00C2709B">
              <w:rPr>
                <w:rFonts w:asciiTheme="majorHAnsi" w:hAnsiTheme="majorHAnsi"/>
                <w:color w:val="292929"/>
                <w:sz w:val="14"/>
                <w:szCs w:val="14"/>
              </w:rPr>
              <w:t>960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CE9B2C5" w14:textId="5259523C"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sidR="00C2709B">
              <w:rPr>
                <w:color w:val="292929"/>
                <w:sz w:val="14"/>
                <w:szCs w:val="14"/>
              </w:rPr>
              <w:t>5</w:t>
            </w:r>
            <w:r w:rsidRPr="00807DBD">
              <w:rPr>
                <w:color w:val="292929"/>
                <w:sz w:val="14"/>
                <w:szCs w:val="14"/>
              </w:rPr>
              <w:t>,</w:t>
            </w:r>
            <w:r w:rsidR="00C2709B">
              <w:rPr>
                <w:color w:val="292929"/>
                <w:sz w:val="14"/>
                <w:szCs w:val="14"/>
              </w:rPr>
              <w:t>436</w:t>
            </w:r>
          </w:p>
        </w:tc>
        <w:tc>
          <w:tcPr>
            <w:tcW w:w="985" w:type="dxa"/>
            <w:tcBorders>
              <w:top w:val="single" w:sz="2" w:space="0" w:color="auto"/>
              <w:left w:val="single" w:sz="18" w:space="0" w:color="FFFFFF" w:themeColor="background2"/>
              <w:bottom w:val="single" w:sz="2" w:space="0" w:color="auto"/>
            </w:tcBorders>
          </w:tcPr>
          <w:p w14:paraId="4C7BE43E" w14:textId="5F6B67A5"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12,</w:t>
            </w:r>
            <w:r>
              <w:rPr>
                <w:color w:val="292929"/>
                <w:sz w:val="14"/>
                <w:szCs w:val="14"/>
              </w:rPr>
              <w:t>9</w:t>
            </w:r>
            <w:r w:rsidR="00C2709B">
              <w:rPr>
                <w:color w:val="292929"/>
                <w:sz w:val="14"/>
                <w:szCs w:val="14"/>
              </w:rPr>
              <w:t>45</w:t>
            </w:r>
          </w:p>
        </w:tc>
      </w:tr>
      <w:tr w:rsidR="006A7C15" w:rsidRPr="00807DBD" w14:paraId="42EB6AF8" w14:textId="77777777" w:rsidTr="00B15944">
        <w:trPr>
          <w:trHeight w:val="170"/>
        </w:trPr>
        <w:tc>
          <w:tcPr>
            <w:tcW w:w="3483" w:type="dxa"/>
          </w:tcPr>
          <w:p w14:paraId="5A548DC3" w14:textId="77777777" w:rsidR="006A7C15" w:rsidRPr="00807DBD" w:rsidRDefault="006A7C15" w:rsidP="00B15944">
            <w:pPr>
              <w:suppressAutoHyphens/>
              <w:autoSpaceDE w:val="0"/>
              <w:autoSpaceDN w:val="0"/>
              <w:adjustRightInd w:val="0"/>
              <w:spacing w:before="20" w:after="20"/>
              <w:textAlignment w:val="center"/>
              <w:rPr>
                <w:color w:val="292929"/>
                <w:sz w:val="14"/>
                <w:szCs w:val="14"/>
              </w:rPr>
            </w:pPr>
          </w:p>
        </w:tc>
        <w:tc>
          <w:tcPr>
            <w:tcW w:w="985" w:type="dxa"/>
            <w:tcBorders>
              <w:right w:val="single" w:sz="18" w:space="0" w:color="FFFFFF" w:themeColor="background2"/>
            </w:tcBorders>
          </w:tcPr>
          <w:p w14:paraId="78CF460E"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42BF8D95" w14:textId="77777777"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49A768C4" w14:textId="77777777"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c>
          <w:tcPr>
            <w:tcW w:w="985" w:type="dxa"/>
            <w:tcBorders>
              <w:top w:val="single" w:sz="2" w:space="0" w:color="auto"/>
              <w:left w:val="single" w:sz="18" w:space="0" w:color="FFFFFF" w:themeColor="background2"/>
            </w:tcBorders>
          </w:tcPr>
          <w:p w14:paraId="366B06AA" w14:textId="7777777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1C21518B" w14:textId="77777777" w:rsidTr="00B15944">
        <w:trPr>
          <w:trHeight w:val="170"/>
        </w:trPr>
        <w:tc>
          <w:tcPr>
            <w:tcW w:w="3483" w:type="dxa"/>
          </w:tcPr>
          <w:p w14:paraId="5C73834F"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TOTAL EQUITY</w:t>
            </w:r>
          </w:p>
        </w:tc>
        <w:tc>
          <w:tcPr>
            <w:tcW w:w="985" w:type="dxa"/>
            <w:tcBorders>
              <w:right w:val="single" w:sz="18" w:space="0" w:color="FFFFFF" w:themeColor="background2"/>
            </w:tcBorders>
          </w:tcPr>
          <w:p w14:paraId="56815805"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3B1AAE5B" w14:textId="77777777"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099F9A2D" w14:textId="77777777"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4AEA5DE7" w14:textId="7777777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5EA21DF0" w14:textId="77777777" w:rsidTr="00B15944">
        <w:trPr>
          <w:trHeight w:val="170"/>
        </w:trPr>
        <w:tc>
          <w:tcPr>
            <w:tcW w:w="3483" w:type="dxa"/>
          </w:tcPr>
          <w:p w14:paraId="4542072E"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Opening balance</w:t>
            </w:r>
          </w:p>
        </w:tc>
        <w:tc>
          <w:tcPr>
            <w:tcW w:w="985" w:type="dxa"/>
            <w:tcBorders>
              <w:right w:val="single" w:sz="18" w:space="0" w:color="FFFFFF" w:themeColor="background2"/>
            </w:tcBorders>
          </w:tcPr>
          <w:p w14:paraId="111A46B5"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38173CCF" w14:textId="3B3BED97"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6E84ADBC" w14:textId="17F8B4C7"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7309EBA5" w14:textId="051695A6"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37E4D9BA" w14:textId="77777777" w:rsidTr="00B15944">
        <w:trPr>
          <w:trHeight w:val="170"/>
        </w:trPr>
        <w:tc>
          <w:tcPr>
            <w:tcW w:w="3483" w:type="dxa"/>
          </w:tcPr>
          <w:p w14:paraId="0C6369EA" w14:textId="77777777" w:rsidR="006A7C15" w:rsidRPr="00807DBD" w:rsidRDefault="006A7C15" w:rsidP="00B15944">
            <w:pPr>
              <w:suppressAutoHyphens/>
              <w:autoSpaceDE w:val="0"/>
              <w:autoSpaceDN w:val="0"/>
              <w:adjustRightInd w:val="0"/>
              <w:spacing w:before="20" w:after="20"/>
              <w:textAlignment w:val="center"/>
              <w:rPr>
                <w:color w:val="292929"/>
                <w:sz w:val="14"/>
                <w:szCs w:val="14"/>
              </w:rPr>
            </w:pPr>
            <w:r w:rsidRPr="00807DBD">
              <w:rPr>
                <w:color w:val="292929"/>
                <w:sz w:val="14"/>
                <w:szCs w:val="14"/>
              </w:rPr>
              <w:t>Balance carried forward from previous period</w:t>
            </w:r>
          </w:p>
        </w:tc>
        <w:tc>
          <w:tcPr>
            <w:tcW w:w="985" w:type="dxa"/>
            <w:tcBorders>
              <w:right w:val="single" w:sz="18" w:space="0" w:color="FFFFFF" w:themeColor="background2"/>
            </w:tcBorders>
          </w:tcPr>
          <w:p w14:paraId="5CE2F4CC"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09D61832" w14:textId="7CEFBE51"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1</w:t>
            </w:r>
            <w:r w:rsidR="00C2709B">
              <w:rPr>
                <w:rFonts w:asciiTheme="majorHAnsi" w:hAnsiTheme="majorHAnsi"/>
                <w:color w:val="292929"/>
                <w:sz w:val="14"/>
                <w:szCs w:val="14"/>
              </w:rPr>
              <w:t>5</w:t>
            </w:r>
            <w:r w:rsidRPr="00807DBD">
              <w:rPr>
                <w:rFonts w:asciiTheme="majorHAnsi" w:hAnsiTheme="majorHAnsi"/>
                <w:color w:val="292929"/>
                <w:sz w:val="14"/>
                <w:szCs w:val="14"/>
              </w:rPr>
              <w:t>,</w:t>
            </w:r>
            <w:r w:rsidR="00C2709B">
              <w:rPr>
                <w:rFonts w:asciiTheme="majorHAnsi" w:hAnsiTheme="majorHAnsi"/>
                <w:color w:val="292929"/>
                <w:sz w:val="14"/>
                <w:szCs w:val="14"/>
              </w:rPr>
              <w:t>836</w:t>
            </w:r>
          </w:p>
        </w:tc>
        <w:tc>
          <w:tcPr>
            <w:tcW w:w="985" w:type="dxa"/>
            <w:tcBorders>
              <w:left w:val="single" w:sz="18" w:space="0" w:color="FFFFFF" w:themeColor="background2"/>
              <w:right w:val="single" w:sz="18" w:space="0" w:color="FFFFFF" w:themeColor="background2"/>
            </w:tcBorders>
          </w:tcPr>
          <w:p w14:paraId="756AE0B8" w14:textId="14DECFB2"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sidR="00C2709B">
              <w:rPr>
                <w:color w:val="292929"/>
                <w:sz w:val="14"/>
                <w:szCs w:val="14"/>
              </w:rPr>
              <w:t>3</w:t>
            </w:r>
            <w:r w:rsidRPr="00807DBD">
              <w:rPr>
                <w:color w:val="292929"/>
                <w:sz w:val="14"/>
                <w:szCs w:val="14"/>
              </w:rPr>
              <w:t>,</w:t>
            </w:r>
            <w:r w:rsidR="00C2709B">
              <w:rPr>
                <w:color w:val="292929"/>
                <w:sz w:val="14"/>
                <w:szCs w:val="14"/>
              </w:rPr>
              <w:t>494</w:t>
            </w:r>
          </w:p>
        </w:tc>
        <w:tc>
          <w:tcPr>
            <w:tcW w:w="985" w:type="dxa"/>
            <w:tcBorders>
              <w:left w:val="single" w:sz="18" w:space="0" w:color="FFFFFF" w:themeColor="background2"/>
            </w:tcBorders>
          </w:tcPr>
          <w:p w14:paraId="203BF9A4" w14:textId="25C34B87"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w:t>
            </w:r>
            <w:r>
              <w:rPr>
                <w:color w:val="292929"/>
                <w:sz w:val="14"/>
                <w:szCs w:val="14"/>
              </w:rPr>
              <w:t>3</w:t>
            </w:r>
            <w:r w:rsidRPr="00807DBD">
              <w:rPr>
                <w:color w:val="292929"/>
                <w:sz w:val="14"/>
                <w:szCs w:val="14"/>
              </w:rPr>
              <w:t>,</w:t>
            </w:r>
            <w:r w:rsidR="00C2709B">
              <w:rPr>
                <w:color w:val="292929"/>
                <w:sz w:val="14"/>
                <w:szCs w:val="14"/>
              </w:rPr>
              <w:t>399</w:t>
            </w:r>
          </w:p>
        </w:tc>
      </w:tr>
      <w:tr w:rsidR="006A7C15" w:rsidRPr="00807DBD" w14:paraId="395402C7" w14:textId="77777777" w:rsidTr="00B15944">
        <w:trPr>
          <w:trHeight w:val="170"/>
        </w:trPr>
        <w:tc>
          <w:tcPr>
            <w:tcW w:w="3483" w:type="dxa"/>
          </w:tcPr>
          <w:p w14:paraId="6181838B" w14:textId="77777777" w:rsidR="006A7C15" w:rsidRPr="00807DBD" w:rsidRDefault="006A7C15" w:rsidP="00B15944">
            <w:pPr>
              <w:suppressAutoHyphens/>
              <w:autoSpaceDE w:val="0"/>
              <w:autoSpaceDN w:val="0"/>
              <w:adjustRightInd w:val="0"/>
              <w:spacing w:before="20" w:after="20"/>
              <w:textAlignment w:val="center"/>
              <w:rPr>
                <w:color w:val="292929"/>
                <w:sz w:val="14"/>
                <w:szCs w:val="14"/>
              </w:rPr>
            </w:pPr>
          </w:p>
        </w:tc>
        <w:tc>
          <w:tcPr>
            <w:tcW w:w="985" w:type="dxa"/>
            <w:tcBorders>
              <w:right w:val="single" w:sz="18" w:space="0" w:color="FFFFFF" w:themeColor="background2"/>
            </w:tcBorders>
          </w:tcPr>
          <w:p w14:paraId="40A05692"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6225E82B" w14:textId="77777777"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63489E3F" w14:textId="77777777"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73EBD4EA" w14:textId="77777777"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r>
      <w:tr w:rsidR="006A7C15" w:rsidRPr="00807DBD" w14:paraId="25CE572C" w14:textId="77777777" w:rsidTr="00B15944">
        <w:trPr>
          <w:trHeight w:val="170"/>
        </w:trPr>
        <w:tc>
          <w:tcPr>
            <w:tcW w:w="3483" w:type="dxa"/>
          </w:tcPr>
          <w:p w14:paraId="66FB6A2D"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Equity movements during the period</w:t>
            </w:r>
          </w:p>
        </w:tc>
        <w:tc>
          <w:tcPr>
            <w:tcW w:w="985" w:type="dxa"/>
            <w:tcBorders>
              <w:right w:val="single" w:sz="18" w:space="0" w:color="FFFFFF" w:themeColor="background2"/>
            </w:tcBorders>
          </w:tcPr>
          <w:p w14:paraId="5625310A"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6BD72DAA" w14:textId="6220B31E"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38FFB537" w14:textId="24C985DA"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44D7CC88" w14:textId="5035389C" w:rsidR="006A7C15" w:rsidRPr="00807DBD" w:rsidRDefault="006A7C15"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6A7C15" w:rsidRPr="00807DBD" w14:paraId="5FB83CE9" w14:textId="77777777" w:rsidTr="00B15944">
        <w:trPr>
          <w:trHeight w:val="170"/>
        </w:trPr>
        <w:tc>
          <w:tcPr>
            <w:tcW w:w="3483" w:type="dxa"/>
          </w:tcPr>
          <w:p w14:paraId="0C3CF986" w14:textId="77777777" w:rsidR="006A7C15" w:rsidRPr="00807DBD" w:rsidRDefault="006A7C15" w:rsidP="00B15944">
            <w:pPr>
              <w:suppressAutoHyphens/>
              <w:autoSpaceDE w:val="0"/>
              <w:autoSpaceDN w:val="0"/>
              <w:adjustRightInd w:val="0"/>
              <w:spacing w:before="20" w:after="20"/>
              <w:textAlignment w:val="center"/>
              <w:rPr>
                <w:color w:val="292929"/>
                <w:sz w:val="14"/>
                <w:szCs w:val="14"/>
              </w:rPr>
            </w:pPr>
            <w:r w:rsidRPr="00807DBD">
              <w:rPr>
                <w:color w:val="292929"/>
                <w:sz w:val="14"/>
                <w:szCs w:val="14"/>
              </w:rPr>
              <w:t>Surplus for the period</w:t>
            </w:r>
          </w:p>
        </w:tc>
        <w:tc>
          <w:tcPr>
            <w:tcW w:w="985" w:type="dxa"/>
            <w:tcBorders>
              <w:right w:val="single" w:sz="18" w:space="0" w:color="FFFFFF" w:themeColor="background2"/>
            </w:tcBorders>
          </w:tcPr>
          <w:p w14:paraId="1A3D4F24"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3D11DA2A" w14:textId="5BA5CA9D" w:rsidR="006A7C15" w:rsidRPr="00807DBD" w:rsidRDefault="00C2709B"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524</w:t>
            </w:r>
          </w:p>
        </w:tc>
        <w:tc>
          <w:tcPr>
            <w:tcW w:w="985" w:type="dxa"/>
            <w:tcBorders>
              <w:left w:val="single" w:sz="18" w:space="0" w:color="FFFFFF" w:themeColor="background2"/>
              <w:bottom w:val="single" w:sz="2" w:space="0" w:color="auto"/>
              <w:right w:val="single" w:sz="18" w:space="0" w:color="FFFFFF" w:themeColor="background2"/>
            </w:tcBorders>
          </w:tcPr>
          <w:p w14:paraId="70EB5F09" w14:textId="22125CDA" w:rsidR="006A7C15" w:rsidRPr="00807DBD" w:rsidRDefault="00C2709B"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2,342</w:t>
            </w:r>
          </w:p>
        </w:tc>
        <w:tc>
          <w:tcPr>
            <w:tcW w:w="985" w:type="dxa"/>
            <w:tcBorders>
              <w:left w:val="single" w:sz="18" w:space="0" w:color="FFFFFF" w:themeColor="background2"/>
              <w:bottom w:val="single" w:sz="2" w:space="0" w:color="auto"/>
            </w:tcBorders>
          </w:tcPr>
          <w:p w14:paraId="10A9DE0C" w14:textId="37675FCD"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r w:rsidR="00C2709B">
              <w:rPr>
                <w:color w:val="292929"/>
                <w:sz w:val="14"/>
                <w:szCs w:val="14"/>
              </w:rPr>
              <w:t>54</w:t>
            </w:r>
            <w:r>
              <w:rPr>
                <w:color w:val="292929"/>
                <w:sz w:val="14"/>
                <w:szCs w:val="14"/>
              </w:rPr>
              <w:t>)</w:t>
            </w:r>
          </w:p>
        </w:tc>
      </w:tr>
      <w:tr w:rsidR="006A7C15" w:rsidRPr="00807DBD" w14:paraId="68B1C9B7" w14:textId="77777777" w:rsidTr="00B15944">
        <w:trPr>
          <w:trHeight w:val="170"/>
        </w:trPr>
        <w:tc>
          <w:tcPr>
            <w:tcW w:w="3483" w:type="dxa"/>
          </w:tcPr>
          <w:p w14:paraId="3A05AC95" w14:textId="77777777" w:rsidR="006A7C15" w:rsidRPr="00807DBD" w:rsidRDefault="006A7C15"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Borders>
              <w:right w:val="single" w:sz="18" w:space="0" w:color="FFFFFF" w:themeColor="background2"/>
            </w:tcBorders>
          </w:tcPr>
          <w:p w14:paraId="06BAA63A" w14:textId="77777777" w:rsidR="006A7C15" w:rsidRPr="00807DBD" w:rsidRDefault="006A7C15" w:rsidP="00B15944">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4187A73B" w14:textId="39DF42FB" w:rsidR="006A7C15" w:rsidRPr="00807DBD" w:rsidRDefault="006A7C1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1</w:t>
            </w:r>
            <w:r w:rsidR="00C2709B">
              <w:rPr>
                <w:rFonts w:asciiTheme="majorHAnsi" w:hAnsiTheme="majorHAnsi"/>
                <w:color w:val="292929"/>
                <w:sz w:val="14"/>
                <w:szCs w:val="14"/>
              </w:rPr>
              <w:t>6</w:t>
            </w:r>
            <w:r w:rsidRPr="00807DBD">
              <w:rPr>
                <w:rFonts w:asciiTheme="majorHAnsi" w:hAnsiTheme="majorHAnsi"/>
                <w:color w:val="292929"/>
                <w:sz w:val="14"/>
                <w:szCs w:val="14"/>
              </w:rPr>
              <w:t>,</w:t>
            </w:r>
            <w:r w:rsidR="00C2709B">
              <w:rPr>
                <w:rFonts w:asciiTheme="majorHAnsi" w:hAnsiTheme="majorHAnsi"/>
                <w:color w:val="292929"/>
                <w:sz w:val="14"/>
                <w:szCs w:val="14"/>
              </w:rPr>
              <w:t>360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C276A10" w14:textId="36AFDC4C"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1</w:t>
            </w:r>
            <w:r w:rsidR="00C2709B">
              <w:rPr>
                <w:color w:val="292929"/>
                <w:sz w:val="14"/>
                <w:szCs w:val="14"/>
              </w:rPr>
              <w:t>5,836</w:t>
            </w:r>
          </w:p>
        </w:tc>
        <w:tc>
          <w:tcPr>
            <w:tcW w:w="985" w:type="dxa"/>
            <w:tcBorders>
              <w:top w:val="single" w:sz="2" w:space="0" w:color="auto"/>
              <w:left w:val="single" w:sz="18" w:space="0" w:color="FFFFFF" w:themeColor="background2"/>
              <w:bottom w:val="single" w:sz="2" w:space="0" w:color="auto"/>
            </w:tcBorders>
          </w:tcPr>
          <w:p w14:paraId="5F1CA34E" w14:textId="0EE0829F" w:rsidR="006A7C15" w:rsidRPr="00807DBD" w:rsidRDefault="006A7C15"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Pr>
                <w:color w:val="292929"/>
                <w:sz w:val="14"/>
                <w:szCs w:val="14"/>
              </w:rPr>
              <w:t>3</w:t>
            </w:r>
            <w:r w:rsidRPr="00807DBD">
              <w:rPr>
                <w:color w:val="292929"/>
                <w:sz w:val="14"/>
                <w:szCs w:val="14"/>
              </w:rPr>
              <w:t>,</w:t>
            </w:r>
            <w:r>
              <w:rPr>
                <w:color w:val="292929"/>
                <w:sz w:val="14"/>
                <w:szCs w:val="14"/>
              </w:rPr>
              <w:t>3</w:t>
            </w:r>
            <w:r w:rsidR="00C2709B">
              <w:rPr>
                <w:color w:val="292929"/>
                <w:sz w:val="14"/>
                <w:szCs w:val="14"/>
              </w:rPr>
              <w:t>45</w:t>
            </w:r>
          </w:p>
        </w:tc>
      </w:tr>
      <w:tr w:rsidR="006A7C15" w:rsidRPr="004E22C5" w14:paraId="59C2073F" w14:textId="77777777" w:rsidTr="00B15944">
        <w:trPr>
          <w:trHeight w:val="57"/>
        </w:trPr>
        <w:tc>
          <w:tcPr>
            <w:tcW w:w="3483" w:type="dxa"/>
          </w:tcPr>
          <w:p w14:paraId="07945E48" w14:textId="77777777" w:rsidR="006A7C15" w:rsidRPr="004E22C5" w:rsidRDefault="006A7C15" w:rsidP="00B15944">
            <w:pPr>
              <w:suppressAutoHyphens/>
              <w:autoSpaceDE w:val="0"/>
              <w:autoSpaceDN w:val="0"/>
              <w:adjustRightInd w:val="0"/>
              <w:spacing w:before="20" w:after="20"/>
              <w:textAlignment w:val="center"/>
              <w:rPr>
                <w:rFonts w:asciiTheme="majorHAnsi" w:hAnsiTheme="majorHAnsi"/>
                <w:color w:val="292929"/>
                <w:sz w:val="4"/>
                <w:szCs w:val="4"/>
              </w:rPr>
            </w:pPr>
          </w:p>
        </w:tc>
        <w:tc>
          <w:tcPr>
            <w:tcW w:w="985" w:type="dxa"/>
            <w:tcBorders>
              <w:right w:val="single" w:sz="18" w:space="0" w:color="FFFFFF" w:themeColor="background2"/>
            </w:tcBorders>
          </w:tcPr>
          <w:p w14:paraId="61F199BD" w14:textId="77777777" w:rsidR="006A7C15" w:rsidRPr="004E22C5" w:rsidRDefault="006A7C15" w:rsidP="00B15944">
            <w:pPr>
              <w:autoSpaceDE w:val="0"/>
              <w:autoSpaceDN w:val="0"/>
              <w:adjustRightInd w:val="0"/>
              <w:spacing w:before="20" w:after="20"/>
              <w:jc w:val="right"/>
              <w:rPr>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0CA3E099" w14:textId="77777777" w:rsidR="006A7C15" w:rsidRPr="004E22C5" w:rsidRDefault="006A7C15" w:rsidP="00B15944">
            <w:pPr>
              <w:suppressAutoHyphens/>
              <w:autoSpaceDE w:val="0"/>
              <w:autoSpaceDN w:val="0"/>
              <w:adjustRightInd w:val="0"/>
              <w:spacing w:before="20" w:after="20"/>
              <w:jc w:val="right"/>
              <w:textAlignment w:val="center"/>
              <w:rPr>
                <w:rFonts w:asciiTheme="majorHAnsi" w:hAnsiTheme="majorHAnsi"/>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05EC0781" w14:textId="77777777" w:rsidR="006A7C15" w:rsidRPr="004E22C5" w:rsidRDefault="006A7C15" w:rsidP="00B15944">
            <w:pPr>
              <w:suppressAutoHyphens/>
              <w:autoSpaceDE w:val="0"/>
              <w:autoSpaceDN w:val="0"/>
              <w:adjustRightInd w:val="0"/>
              <w:spacing w:before="20" w:after="20"/>
              <w:jc w:val="right"/>
              <w:textAlignment w:val="center"/>
              <w:rPr>
                <w:color w:val="292929"/>
                <w:sz w:val="4"/>
                <w:szCs w:val="4"/>
              </w:rPr>
            </w:pPr>
          </w:p>
        </w:tc>
        <w:tc>
          <w:tcPr>
            <w:tcW w:w="985" w:type="dxa"/>
            <w:tcBorders>
              <w:top w:val="single" w:sz="2" w:space="0" w:color="auto"/>
              <w:left w:val="single" w:sz="18" w:space="0" w:color="FFFFFF" w:themeColor="background2"/>
            </w:tcBorders>
          </w:tcPr>
          <w:p w14:paraId="4AE8A300" w14:textId="77777777" w:rsidR="006A7C15" w:rsidRPr="004E22C5" w:rsidRDefault="006A7C15" w:rsidP="00B15944">
            <w:pPr>
              <w:suppressAutoHyphens/>
              <w:autoSpaceDE w:val="0"/>
              <w:autoSpaceDN w:val="0"/>
              <w:adjustRightInd w:val="0"/>
              <w:spacing w:before="20" w:after="20"/>
              <w:jc w:val="right"/>
              <w:textAlignment w:val="center"/>
              <w:rPr>
                <w:color w:val="292929"/>
                <w:sz w:val="4"/>
                <w:szCs w:val="4"/>
              </w:rPr>
            </w:pPr>
          </w:p>
        </w:tc>
      </w:tr>
      <w:tr w:rsidR="006A7C15" w:rsidRPr="00807DBD" w14:paraId="35D68EAE" w14:textId="77777777" w:rsidTr="00B15944">
        <w:trPr>
          <w:trHeight w:val="454"/>
        </w:trPr>
        <w:tc>
          <w:tcPr>
            <w:tcW w:w="7423" w:type="dxa"/>
            <w:gridSpan w:val="5"/>
          </w:tcPr>
          <w:p w14:paraId="039CEA56" w14:textId="77777777" w:rsidR="006A7C15" w:rsidRPr="00807DBD" w:rsidRDefault="006A7C15"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032C6DD9" w14:textId="77777777" w:rsidR="006A7C15" w:rsidRPr="00AF083D" w:rsidRDefault="006A7C15" w:rsidP="006A7C15">
      <w:pPr>
        <w:pStyle w:val="H4"/>
        <w:spacing w:before="120" w:after="120"/>
        <w:rPr>
          <w:sz w:val="18"/>
        </w:rPr>
      </w:pPr>
      <w:r w:rsidRPr="00AF083D">
        <w:rPr>
          <w:sz w:val="18"/>
        </w:rPr>
        <w:t>Budget Variances Commentary</w:t>
      </w:r>
    </w:p>
    <w:p w14:paraId="5A7EDFFE" w14:textId="77777777" w:rsidR="006A7C15" w:rsidRPr="000B6A9B" w:rsidRDefault="006A7C15" w:rsidP="006A7C15">
      <w:pPr>
        <w:pStyle w:val="Body-Financial"/>
        <w:rPr>
          <w:b/>
          <w:bCs/>
        </w:rPr>
      </w:pPr>
      <w:r w:rsidRPr="000B6A9B">
        <w:rPr>
          <w:b/>
          <w:bCs/>
        </w:rPr>
        <w:t xml:space="preserve">Statement of Changes in Equity </w:t>
      </w:r>
    </w:p>
    <w:p w14:paraId="7D1374E4" w14:textId="6A1CE51C" w:rsidR="00C2709B" w:rsidRPr="00C2709B" w:rsidRDefault="0079765E" w:rsidP="00C2709B">
      <w:pPr>
        <w:pStyle w:val="Body"/>
        <w:rPr>
          <w:sz w:val="14"/>
          <w:szCs w:val="14"/>
          <w:lang w:val="en-PH"/>
        </w:rPr>
      </w:pPr>
      <w:r w:rsidRPr="0079765E">
        <w:rPr>
          <w:sz w:val="14"/>
          <w:szCs w:val="14"/>
        </w:rPr>
        <w:t>Total equity of $16.360m was $3.015m higher than the budget amount of $13.345m primarily due to the prior and current period surplus.</w:t>
      </w:r>
    </w:p>
    <w:p w14:paraId="1F9FAD7A" w14:textId="77777777" w:rsidR="00904764" w:rsidRDefault="00904764" w:rsidP="008664C1">
      <w:pPr>
        <w:pStyle w:val="Body"/>
        <w:rPr>
          <w:color w:val="292929"/>
        </w:rPr>
      </w:pPr>
    </w:p>
    <w:p w14:paraId="0409BF40" w14:textId="04FAABDB" w:rsidR="00904764" w:rsidRDefault="00904764" w:rsidP="008664C1">
      <w:pPr>
        <w:pStyle w:val="Body"/>
        <w:rPr>
          <w:color w:val="292929"/>
        </w:rPr>
        <w:sectPr w:rsidR="00904764" w:rsidSect="00441579">
          <w:footerReference w:type="default" r:id="rId186"/>
          <w:pgSz w:w="9979" w:h="14175"/>
          <w:pgMar w:top="1134" w:right="1134" w:bottom="1134" w:left="1134" w:header="709" w:footer="709" w:gutter="0"/>
          <w:cols w:space="708"/>
          <w:docGrid w:linePitch="360"/>
        </w:sectPr>
      </w:pPr>
    </w:p>
    <w:p w14:paraId="5F1C05FE" w14:textId="77777777" w:rsidR="005F53E9" w:rsidRDefault="005F53E9" w:rsidP="005F53E9">
      <w:pPr>
        <w:pStyle w:val="H3Financials"/>
      </w:pPr>
      <w:bookmarkStart w:id="111" w:name="_Toc83220560"/>
      <w:bookmarkStart w:id="112" w:name="_Toc112133280"/>
      <w:bookmarkStart w:id="113" w:name="_Toc114824704"/>
      <w:r>
        <w:t>Cash flow statement</w:t>
      </w:r>
      <w:bookmarkEnd w:id="111"/>
      <w:bookmarkEnd w:id="112"/>
      <w:bookmarkEnd w:id="113"/>
      <w:r>
        <w:t xml:space="preserve"> </w:t>
      </w:r>
    </w:p>
    <w:p w14:paraId="511EBF28" w14:textId="00BF6D80" w:rsidR="005F53E9" w:rsidRPr="00F73A32" w:rsidRDefault="005F53E9" w:rsidP="005F53E9">
      <w:pPr>
        <w:pStyle w:val="Body"/>
        <w:rPr>
          <w:i/>
          <w:iCs/>
        </w:rPr>
      </w:pPr>
      <w:r w:rsidRPr="00F71E0B">
        <w:rPr>
          <w:i/>
          <w:iCs/>
        </w:rPr>
        <w:t>for the period ended 30 June 202</w:t>
      </w:r>
      <w:r>
        <w:rPr>
          <w:i/>
          <w:iCs/>
        </w:rPr>
        <w:t>2</w:t>
      </w:r>
    </w:p>
    <w:tbl>
      <w:tblPr>
        <w:tblStyle w:val="IHPA"/>
        <w:tblW w:w="7423" w:type="dxa"/>
        <w:tblLayout w:type="fixed"/>
        <w:tblCellMar>
          <w:left w:w="57" w:type="dxa"/>
          <w:right w:w="57" w:type="dxa"/>
        </w:tblCellMar>
        <w:tblLook w:val="0020" w:firstRow="1" w:lastRow="0" w:firstColumn="0" w:lastColumn="0" w:noHBand="0" w:noVBand="0"/>
        <w:tblCaption w:val="Cash flow statement"/>
        <w:tblDescription w:val="Cash flow statement"/>
      </w:tblPr>
      <w:tblGrid>
        <w:gridCol w:w="4253"/>
        <w:gridCol w:w="623"/>
        <w:gridCol w:w="794"/>
        <w:gridCol w:w="794"/>
        <w:gridCol w:w="850"/>
        <w:gridCol w:w="109"/>
      </w:tblGrid>
      <w:tr w:rsidR="005F53E9" w:rsidRPr="00807DBD" w14:paraId="584C666B" w14:textId="77777777" w:rsidTr="00B15944">
        <w:trPr>
          <w:gridAfter w:val="1"/>
          <w:wAfter w:w="109" w:type="dxa"/>
          <w:trHeight w:val="340"/>
        </w:trPr>
        <w:tc>
          <w:tcPr>
            <w:tcW w:w="4253" w:type="dxa"/>
          </w:tcPr>
          <w:p w14:paraId="2398523A" w14:textId="77777777" w:rsidR="005F53E9" w:rsidRPr="00807DBD" w:rsidRDefault="005F53E9" w:rsidP="00B15944">
            <w:pPr>
              <w:autoSpaceDE w:val="0"/>
              <w:autoSpaceDN w:val="0"/>
              <w:adjustRightInd w:val="0"/>
              <w:spacing w:before="20" w:after="20"/>
              <w:rPr>
                <w:rFonts w:ascii="Futura PT Book" w:hAnsi="Futura PT Book"/>
                <w:color w:val="292929"/>
                <w:sz w:val="24"/>
                <w:szCs w:val="24"/>
              </w:rPr>
            </w:pPr>
          </w:p>
        </w:tc>
        <w:tc>
          <w:tcPr>
            <w:tcW w:w="623" w:type="dxa"/>
            <w:tcBorders>
              <w:bottom w:val="single" w:sz="12" w:space="0" w:color="auto"/>
              <w:right w:val="single" w:sz="18" w:space="0" w:color="FFFFFF" w:themeColor="background2"/>
            </w:tcBorders>
            <w:vAlign w:val="bottom"/>
          </w:tcPr>
          <w:p w14:paraId="259735BE" w14:textId="77777777" w:rsidR="005F53E9" w:rsidRPr="00807DBD" w:rsidRDefault="005F53E9"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794" w:type="dxa"/>
            <w:tcBorders>
              <w:left w:val="single" w:sz="18" w:space="0" w:color="FFFFFF" w:themeColor="background2"/>
              <w:bottom w:val="single" w:sz="12" w:space="0" w:color="auto"/>
              <w:right w:val="single" w:sz="18" w:space="0" w:color="FFFFFF" w:themeColor="background2"/>
            </w:tcBorders>
            <w:vAlign w:val="bottom"/>
          </w:tcPr>
          <w:p w14:paraId="34F5761E" w14:textId="6F03AE34" w:rsidR="005F53E9" w:rsidRPr="00807DBD" w:rsidRDefault="005F53E9"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2</w:t>
            </w:r>
            <w:r w:rsidRPr="00807DBD">
              <w:rPr>
                <w:rFonts w:asciiTheme="majorHAnsi" w:hAnsiTheme="majorHAnsi" w:cs="Futura PT Heavy"/>
                <w:color w:val="292929"/>
                <w:sz w:val="16"/>
                <w:szCs w:val="16"/>
                <w:lang w:val="en-US"/>
              </w:rPr>
              <w:br/>
              <w:t>$’000</w:t>
            </w:r>
          </w:p>
        </w:tc>
        <w:tc>
          <w:tcPr>
            <w:tcW w:w="794" w:type="dxa"/>
            <w:tcBorders>
              <w:left w:val="single" w:sz="18" w:space="0" w:color="FFFFFF" w:themeColor="background2"/>
              <w:bottom w:val="single" w:sz="12" w:space="0" w:color="auto"/>
              <w:right w:val="single" w:sz="18" w:space="0" w:color="FFFFFF" w:themeColor="background2"/>
            </w:tcBorders>
            <w:vAlign w:val="bottom"/>
          </w:tcPr>
          <w:p w14:paraId="47C12A4D" w14:textId="3B928209" w:rsidR="005F53E9" w:rsidRPr="00807DBD" w:rsidRDefault="005F53E9"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w:t>
            </w:r>
            <w:r>
              <w:rPr>
                <w:rFonts w:asciiTheme="majorHAnsi" w:hAnsiTheme="majorHAnsi" w:cs="Futura PT Heavy"/>
                <w:color w:val="292929"/>
                <w:sz w:val="16"/>
                <w:szCs w:val="16"/>
                <w:lang w:val="en-US"/>
              </w:rPr>
              <w:t>21</w:t>
            </w:r>
            <w:r w:rsidRPr="00807DBD">
              <w:rPr>
                <w:rFonts w:asciiTheme="majorHAnsi" w:hAnsiTheme="majorHAnsi" w:cs="Futura PT Heavy"/>
                <w:color w:val="292929"/>
                <w:sz w:val="16"/>
                <w:szCs w:val="16"/>
                <w:lang w:val="en-US"/>
              </w:rPr>
              <w:br/>
              <w:t>$’000</w:t>
            </w:r>
          </w:p>
        </w:tc>
        <w:tc>
          <w:tcPr>
            <w:tcW w:w="850" w:type="dxa"/>
            <w:tcBorders>
              <w:left w:val="single" w:sz="18" w:space="0" w:color="FFFFFF" w:themeColor="background2"/>
              <w:bottom w:val="single" w:sz="12" w:space="0" w:color="auto"/>
            </w:tcBorders>
            <w:vAlign w:val="bottom"/>
          </w:tcPr>
          <w:p w14:paraId="588097CD" w14:textId="77777777" w:rsidR="005F53E9" w:rsidRPr="00807DBD" w:rsidRDefault="005F53E9"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5F53E9" w:rsidRPr="00807DBD" w14:paraId="333886B8" w14:textId="77777777" w:rsidTr="00B15944">
        <w:trPr>
          <w:gridAfter w:val="1"/>
          <w:wAfter w:w="109" w:type="dxa"/>
          <w:trHeight w:val="170"/>
        </w:trPr>
        <w:tc>
          <w:tcPr>
            <w:tcW w:w="4253" w:type="dxa"/>
          </w:tcPr>
          <w:p w14:paraId="0601F3A3"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OPERATING ACTIVITIES</w:t>
            </w:r>
          </w:p>
        </w:tc>
        <w:tc>
          <w:tcPr>
            <w:tcW w:w="623" w:type="dxa"/>
            <w:tcBorders>
              <w:top w:val="single" w:sz="12" w:space="0" w:color="auto"/>
              <w:right w:val="single" w:sz="18" w:space="0" w:color="FFFFFF" w:themeColor="background2"/>
            </w:tcBorders>
          </w:tcPr>
          <w:p w14:paraId="13EC62C0"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12" w:space="0" w:color="auto"/>
              <w:left w:val="single" w:sz="18" w:space="0" w:color="FFFFFF" w:themeColor="background2"/>
              <w:right w:val="single" w:sz="18" w:space="0" w:color="FFFFFF" w:themeColor="background2"/>
            </w:tcBorders>
          </w:tcPr>
          <w:p w14:paraId="6E950B81" w14:textId="77777777" w:rsidR="005F53E9" w:rsidRPr="00807DBD" w:rsidRDefault="005F53E9" w:rsidP="00B15944">
            <w:pPr>
              <w:autoSpaceDE w:val="0"/>
              <w:autoSpaceDN w:val="0"/>
              <w:adjustRightInd w:val="0"/>
              <w:spacing w:before="20" w:after="20"/>
              <w:jc w:val="right"/>
              <w:rPr>
                <w:rFonts w:asciiTheme="majorHAnsi" w:hAnsiTheme="majorHAnsi"/>
                <w:color w:val="292929"/>
                <w:sz w:val="14"/>
                <w:szCs w:val="14"/>
              </w:rPr>
            </w:pPr>
          </w:p>
        </w:tc>
        <w:tc>
          <w:tcPr>
            <w:tcW w:w="794" w:type="dxa"/>
            <w:tcBorders>
              <w:top w:val="single" w:sz="12" w:space="0" w:color="auto"/>
              <w:left w:val="single" w:sz="18" w:space="0" w:color="FFFFFF" w:themeColor="background2"/>
              <w:right w:val="single" w:sz="18" w:space="0" w:color="FFFFFF" w:themeColor="background2"/>
            </w:tcBorders>
          </w:tcPr>
          <w:p w14:paraId="66E75710" w14:textId="77777777" w:rsidR="005F53E9" w:rsidRPr="00807DBD" w:rsidRDefault="005F53E9" w:rsidP="00B15944">
            <w:pPr>
              <w:autoSpaceDE w:val="0"/>
              <w:autoSpaceDN w:val="0"/>
              <w:adjustRightInd w:val="0"/>
              <w:spacing w:before="20" w:after="20"/>
              <w:jc w:val="right"/>
              <w:rPr>
                <w:color w:val="292929"/>
                <w:sz w:val="14"/>
                <w:szCs w:val="14"/>
              </w:rPr>
            </w:pPr>
          </w:p>
        </w:tc>
        <w:tc>
          <w:tcPr>
            <w:tcW w:w="850" w:type="dxa"/>
            <w:tcBorders>
              <w:top w:val="single" w:sz="12" w:space="0" w:color="auto"/>
              <w:left w:val="single" w:sz="18" w:space="0" w:color="FFFFFF" w:themeColor="background2"/>
            </w:tcBorders>
          </w:tcPr>
          <w:p w14:paraId="5403DCC0" w14:textId="77777777" w:rsidR="005F53E9" w:rsidRPr="00807DBD" w:rsidRDefault="005F53E9" w:rsidP="00B15944">
            <w:pPr>
              <w:autoSpaceDE w:val="0"/>
              <w:autoSpaceDN w:val="0"/>
              <w:adjustRightInd w:val="0"/>
              <w:spacing w:before="20" w:after="20"/>
              <w:jc w:val="right"/>
              <w:rPr>
                <w:color w:val="292929"/>
                <w:sz w:val="14"/>
                <w:szCs w:val="14"/>
              </w:rPr>
            </w:pPr>
          </w:p>
        </w:tc>
      </w:tr>
      <w:tr w:rsidR="005F53E9" w:rsidRPr="00807DBD" w14:paraId="36F18FF4" w14:textId="77777777" w:rsidTr="00B15944">
        <w:trPr>
          <w:gridAfter w:val="1"/>
          <w:wAfter w:w="109" w:type="dxa"/>
          <w:trHeight w:val="170"/>
        </w:trPr>
        <w:tc>
          <w:tcPr>
            <w:tcW w:w="4253" w:type="dxa"/>
          </w:tcPr>
          <w:p w14:paraId="1A9519F0"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received</w:t>
            </w:r>
          </w:p>
        </w:tc>
        <w:tc>
          <w:tcPr>
            <w:tcW w:w="623" w:type="dxa"/>
            <w:tcBorders>
              <w:right w:val="single" w:sz="18" w:space="0" w:color="FFFFFF" w:themeColor="background2"/>
            </w:tcBorders>
          </w:tcPr>
          <w:p w14:paraId="6510BE8A"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4E6A905E"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794" w:type="dxa"/>
            <w:tcBorders>
              <w:left w:val="single" w:sz="18" w:space="0" w:color="FFFFFF" w:themeColor="background2"/>
              <w:right w:val="single" w:sz="18" w:space="0" w:color="FFFFFF" w:themeColor="background2"/>
            </w:tcBorders>
          </w:tcPr>
          <w:p w14:paraId="693156FD"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850" w:type="dxa"/>
            <w:tcBorders>
              <w:left w:val="single" w:sz="18" w:space="0" w:color="FFFFFF" w:themeColor="background2"/>
            </w:tcBorders>
          </w:tcPr>
          <w:p w14:paraId="24E316E2" w14:textId="0815003E"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5F53E9" w:rsidRPr="00807DBD" w14:paraId="323FF8A4" w14:textId="77777777" w:rsidTr="00B15944">
        <w:trPr>
          <w:gridAfter w:val="1"/>
          <w:wAfter w:w="109" w:type="dxa"/>
          <w:trHeight w:val="170"/>
        </w:trPr>
        <w:tc>
          <w:tcPr>
            <w:tcW w:w="4253" w:type="dxa"/>
          </w:tcPr>
          <w:p w14:paraId="6C2C51CA" w14:textId="77777777" w:rsidR="005F53E9" w:rsidRPr="00807DBD" w:rsidRDefault="005F53E9"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 xml:space="preserve">Receipts from </w:t>
            </w:r>
            <w:r>
              <w:rPr>
                <w:color w:val="292929"/>
                <w:sz w:val="14"/>
                <w:szCs w:val="14"/>
              </w:rPr>
              <w:t>g</w:t>
            </w:r>
            <w:r w:rsidRPr="00807DBD">
              <w:rPr>
                <w:color w:val="292929"/>
                <w:sz w:val="14"/>
                <w:szCs w:val="14"/>
              </w:rPr>
              <w:t xml:space="preserve">overnment </w:t>
            </w:r>
          </w:p>
        </w:tc>
        <w:tc>
          <w:tcPr>
            <w:tcW w:w="623" w:type="dxa"/>
            <w:tcBorders>
              <w:right w:val="single" w:sz="18" w:space="0" w:color="FFFFFF" w:themeColor="background2"/>
            </w:tcBorders>
          </w:tcPr>
          <w:p w14:paraId="7B4A9D87"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788A3AA7" w14:textId="69F52A4A" w:rsidR="005F53E9" w:rsidRPr="00CB3C3D" w:rsidRDefault="005F53E9"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CB3C3D">
              <w:rPr>
                <w:rFonts w:asciiTheme="majorHAnsi" w:hAnsiTheme="majorHAnsi" w:cs="Calibri"/>
                <w:sz w:val="14"/>
                <w:szCs w:val="14"/>
              </w:rPr>
              <w:t>1</w:t>
            </w:r>
            <w:r w:rsidR="00676F07">
              <w:rPr>
                <w:rFonts w:asciiTheme="majorHAnsi" w:hAnsiTheme="majorHAnsi" w:cs="Calibri"/>
                <w:sz w:val="14"/>
                <w:szCs w:val="14"/>
              </w:rPr>
              <w:t>8</w:t>
            </w:r>
            <w:r w:rsidRPr="00CB3C3D">
              <w:rPr>
                <w:rFonts w:asciiTheme="majorHAnsi" w:hAnsiTheme="majorHAnsi" w:cs="Calibri"/>
                <w:sz w:val="14"/>
                <w:szCs w:val="14"/>
              </w:rPr>
              <w:t>,</w:t>
            </w:r>
            <w:r w:rsidR="00676F07">
              <w:rPr>
                <w:rFonts w:asciiTheme="majorHAnsi" w:hAnsiTheme="majorHAnsi" w:cs="Calibri"/>
                <w:sz w:val="14"/>
                <w:szCs w:val="14"/>
              </w:rPr>
              <w:t>359</w:t>
            </w:r>
          </w:p>
        </w:tc>
        <w:tc>
          <w:tcPr>
            <w:tcW w:w="794" w:type="dxa"/>
            <w:tcBorders>
              <w:left w:val="single" w:sz="18" w:space="0" w:color="FFFFFF" w:themeColor="background2"/>
              <w:right w:val="single" w:sz="18" w:space="0" w:color="FFFFFF" w:themeColor="background2"/>
            </w:tcBorders>
          </w:tcPr>
          <w:p w14:paraId="69F9072F" w14:textId="7DB9A9CA" w:rsidR="005F53E9" w:rsidRPr="00CB3C3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1</w:t>
            </w:r>
            <w:r w:rsidR="00676F07">
              <w:rPr>
                <w:rFonts w:cs="Calibri"/>
                <w:sz w:val="14"/>
                <w:szCs w:val="14"/>
              </w:rPr>
              <w:t>3</w:t>
            </w:r>
            <w:r w:rsidRPr="00CB3C3D">
              <w:rPr>
                <w:rFonts w:cs="Calibri"/>
                <w:sz w:val="14"/>
                <w:szCs w:val="14"/>
              </w:rPr>
              <w:t>,7</w:t>
            </w:r>
            <w:r w:rsidR="00676F07">
              <w:rPr>
                <w:rFonts w:cs="Calibri"/>
                <w:sz w:val="14"/>
                <w:szCs w:val="14"/>
              </w:rPr>
              <w:t>44</w:t>
            </w:r>
            <w:r w:rsidRPr="00CB3C3D">
              <w:rPr>
                <w:rFonts w:cs="Calibri"/>
                <w:sz w:val="14"/>
                <w:szCs w:val="14"/>
              </w:rPr>
              <w:t xml:space="preserve"> </w:t>
            </w:r>
          </w:p>
        </w:tc>
        <w:tc>
          <w:tcPr>
            <w:tcW w:w="850" w:type="dxa"/>
            <w:tcBorders>
              <w:left w:val="single" w:sz="18" w:space="0" w:color="FFFFFF" w:themeColor="background2"/>
            </w:tcBorders>
          </w:tcPr>
          <w:p w14:paraId="11959348" w14:textId="603FBBD0" w:rsidR="005F53E9" w:rsidRPr="00CB3C3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1</w:t>
            </w:r>
            <w:r w:rsidR="00676F07">
              <w:rPr>
                <w:rFonts w:cs="Calibri"/>
                <w:sz w:val="14"/>
                <w:szCs w:val="14"/>
              </w:rPr>
              <w:t>9</w:t>
            </w:r>
            <w:r w:rsidRPr="00CB3C3D">
              <w:rPr>
                <w:rFonts w:cs="Calibri"/>
                <w:sz w:val="14"/>
                <w:szCs w:val="14"/>
              </w:rPr>
              <w:t>,</w:t>
            </w:r>
            <w:r w:rsidR="00676F07">
              <w:rPr>
                <w:rFonts w:cs="Calibri"/>
                <w:sz w:val="14"/>
                <w:szCs w:val="14"/>
              </w:rPr>
              <w:t>249</w:t>
            </w:r>
          </w:p>
        </w:tc>
      </w:tr>
      <w:tr w:rsidR="005F53E9" w:rsidRPr="00807DBD" w14:paraId="3CA2654E" w14:textId="77777777" w:rsidTr="00B15944">
        <w:trPr>
          <w:gridAfter w:val="1"/>
          <w:wAfter w:w="109" w:type="dxa"/>
          <w:trHeight w:val="170"/>
        </w:trPr>
        <w:tc>
          <w:tcPr>
            <w:tcW w:w="4253" w:type="dxa"/>
          </w:tcPr>
          <w:p w14:paraId="5B3269FE" w14:textId="77777777" w:rsidR="005F53E9" w:rsidRPr="00807DBD" w:rsidRDefault="005F53E9"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Sale of goods and rendering of services</w:t>
            </w:r>
          </w:p>
        </w:tc>
        <w:tc>
          <w:tcPr>
            <w:tcW w:w="623" w:type="dxa"/>
            <w:tcBorders>
              <w:right w:val="single" w:sz="18" w:space="0" w:color="FFFFFF" w:themeColor="background2"/>
            </w:tcBorders>
          </w:tcPr>
          <w:p w14:paraId="38191AE1"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3628E8E7" w14:textId="168FB055" w:rsidR="005F53E9" w:rsidRPr="00CB3C3D" w:rsidRDefault="00676F07"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sz w:val="14"/>
                <w:szCs w:val="14"/>
              </w:rPr>
              <w:t>954</w:t>
            </w:r>
          </w:p>
        </w:tc>
        <w:tc>
          <w:tcPr>
            <w:tcW w:w="794" w:type="dxa"/>
            <w:tcBorders>
              <w:left w:val="single" w:sz="18" w:space="0" w:color="FFFFFF" w:themeColor="background2"/>
              <w:right w:val="single" w:sz="18" w:space="0" w:color="FFFFFF" w:themeColor="background2"/>
            </w:tcBorders>
          </w:tcPr>
          <w:p w14:paraId="5A7BC47A" w14:textId="28C69AA2" w:rsidR="005F53E9" w:rsidRPr="00CB3C3D" w:rsidRDefault="00676F07" w:rsidP="00B15944">
            <w:pPr>
              <w:autoSpaceDE w:val="0"/>
              <w:autoSpaceDN w:val="0"/>
              <w:adjustRightInd w:val="0"/>
              <w:spacing w:before="20" w:after="20"/>
              <w:jc w:val="right"/>
              <w:rPr>
                <w:color w:val="292929"/>
                <w:sz w:val="14"/>
                <w:szCs w:val="14"/>
              </w:rPr>
            </w:pPr>
            <w:r>
              <w:rPr>
                <w:rFonts w:cs="Calibri"/>
                <w:sz w:val="14"/>
                <w:szCs w:val="14"/>
              </w:rPr>
              <w:t>215</w:t>
            </w:r>
            <w:r w:rsidR="005F53E9" w:rsidRPr="00CB3C3D">
              <w:rPr>
                <w:rFonts w:cs="Calibri"/>
                <w:sz w:val="14"/>
                <w:szCs w:val="14"/>
              </w:rPr>
              <w:t xml:space="preserve"> </w:t>
            </w:r>
          </w:p>
        </w:tc>
        <w:tc>
          <w:tcPr>
            <w:tcW w:w="850" w:type="dxa"/>
            <w:tcBorders>
              <w:left w:val="single" w:sz="18" w:space="0" w:color="FFFFFF" w:themeColor="background2"/>
            </w:tcBorders>
          </w:tcPr>
          <w:p w14:paraId="592D5F00" w14:textId="2A5D818D" w:rsidR="005F53E9" w:rsidRPr="00CB3C3D" w:rsidRDefault="00676F07" w:rsidP="00B15944">
            <w:pPr>
              <w:autoSpaceDE w:val="0"/>
              <w:autoSpaceDN w:val="0"/>
              <w:adjustRightInd w:val="0"/>
              <w:spacing w:before="20" w:after="20"/>
              <w:jc w:val="right"/>
              <w:rPr>
                <w:color w:val="292929"/>
                <w:sz w:val="14"/>
                <w:szCs w:val="14"/>
              </w:rPr>
            </w:pPr>
            <w:r>
              <w:rPr>
                <w:rFonts w:cs="Calibri"/>
                <w:sz w:val="14"/>
                <w:szCs w:val="14"/>
              </w:rPr>
              <w:t>1,075</w:t>
            </w:r>
          </w:p>
        </w:tc>
      </w:tr>
      <w:tr w:rsidR="003E76D8" w:rsidRPr="00807DBD" w14:paraId="5541E475" w14:textId="77777777" w:rsidTr="00B15944">
        <w:trPr>
          <w:gridAfter w:val="1"/>
          <w:wAfter w:w="109" w:type="dxa"/>
          <w:trHeight w:val="170"/>
        </w:trPr>
        <w:tc>
          <w:tcPr>
            <w:tcW w:w="4253" w:type="dxa"/>
          </w:tcPr>
          <w:p w14:paraId="3D15472A" w14:textId="77777777" w:rsidR="003E76D8" w:rsidRPr="00807DBD" w:rsidRDefault="003E76D8" w:rsidP="003E76D8">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Interest</w:t>
            </w:r>
          </w:p>
        </w:tc>
        <w:tc>
          <w:tcPr>
            <w:tcW w:w="623" w:type="dxa"/>
            <w:tcBorders>
              <w:right w:val="single" w:sz="18" w:space="0" w:color="FFFFFF" w:themeColor="background2"/>
            </w:tcBorders>
          </w:tcPr>
          <w:p w14:paraId="7457EA53" w14:textId="77777777" w:rsidR="003E76D8" w:rsidRPr="00807DBD" w:rsidRDefault="003E76D8" w:rsidP="003E76D8">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6BC56AB6" w14:textId="0D2F206A" w:rsidR="003E76D8" w:rsidRPr="00CB3C3D" w:rsidRDefault="003E76D8" w:rsidP="003E76D8">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sz w:val="14"/>
                <w:szCs w:val="14"/>
              </w:rPr>
              <w:t>-</w:t>
            </w:r>
          </w:p>
        </w:tc>
        <w:tc>
          <w:tcPr>
            <w:tcW w:w="794" w:type="dxa"/>
            <w:tcBorders>
              <w:left w:val="single" w:sz="18" w:space="0" w:color="FFFFFF" w:themeColor="background2"/>
              <w:right w:val="single" w:sz="18" w:space="0" w:color="FFFFFF" w:themeColor="background2"/>
            </w:tcBorders>
          </w:tcPr>
          <w:p w14:paraId="0F9BAC00" w14:textId="38894841" w:rsidR="003E76D8" w:rsidRPr="00CB3C3D" w:rsidRDefault="003E76D8" w:rsidP="003E76D8">
            <w:pPr>
              <w:autoSpaceDE w:val="0"/>
              <w:autoSpaceDN w:val="0"/>
              <w:adjustRightInd w:val="0"/>
              <w:spacing w:before="20" w:after="20"/>
              <w:jc w:val="right"/>
              <w:rPr>
                <w:color w:val="292929"/>
                <w:sz w:val="14"/>
                <w:szCs w:val="14"/>
              </w:rPr>
            </w:pPr>
            <w:r>
              <w:rPr>
                <w:rFonts w:cs="Calibri"/>
                <w:sz w:val="14"/>
                <w:szCs w:val="14"/>
              </w:rPr>
              <w:t>5</w:t>
            </w:r>
            <w:r w:rsidRPr="00CB3C3D">
              <w:rPr>
                <w:rFonts w:cs="Calibri"/>
                <w:sz w:val="14"/>
                <w:szCs w:val="14"/>
              </w:rPr>
              <w:t xml:space="preserve"> </w:t>
            </w:r>
          </w:p>
        </w:tc>
        <w:tc>
          <w:tcPr>
            <w:tcW w:w="850" w:type="dxa"/>
            <w:tcBorders>
              <w:left w:val="single" w:sz="18" w:space="0" w:color="FFFFFF" w:themeColor="background2"/>
            </w:tcBorders>
          </w:tcPr>
          <w:p w14:paraId="6222346B" w14:textId="3F27FF6C" w:rsidR="003E76D8" w:rsidRPr="00CB3C3D" w:rsidRDefault="003E76D8" w:rsidP="003E76D8">
            <w:pPr>
              <w:autoSpaceDE w:val="0"/>
              <w:autoSpaceDN w:val="0"/>
              <w:adjustRightInd w:val="0"/>
              <w:spacing w:before="20" w:after="20"/>
              <w:jc w:val="right"/>
              <w:rPr>
                <w:color w:val="292929"/>
                <w:sz w:val="14"/>
                <w:szCs w:val="14"/>
              </w:rPr>
            </w:pPr>
            <w:r>
              <w:rPr>
                <w:rFonts w:cs="Calibri"/>
                <w:sz w:val="14"/>
                <w:szCs w:val="14"/>
              </w:rPr>
              <w:t>5</w:t>
            </w:r>
          </w:p>
        </w:tc>
      </w:tr>
      <w:tr w:rsidR="003E76D8" w:rsidRPr="00807DBD" w14:paraId="146F4D57" w14:textId="77777777" w:rsidTr="00B15944">
        <w:trPr>
          <w:gridAfter w:val="1"/>
          <w:wAfter w:w="109" w:type="dxa"/>
          <w:trHeight w:val="170"/>
        </w:trPr>
        <w:tc>
          <w:tcPr>
            <w:tcW w:w="4253" w:type="dxa"/>
          </w:tcPr>
          <w:p w14:paraId="5BE63272" w14:textId="77777777" w:rsidR="003E76D8" w:rsidRPr="00807DBD" w:rsidRDefault="003E76D8" w:rsidP="003E76D8">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Net GST received</w:t>
            </w:r>
          </w:p>
        </w:tc>
        <w:tc>
          <w:tcPr>
            <w:tcW w:w="623" w:type="dxa"/>
            <w:tcBorders>
              <w:right w:val="single" w:sz="18" w:space="0" w:color="FFFFFF" w:themeColor="background2"/>
            </w:tcBorders>
          </w:tcPr>
          <w:p w14:paraId="292A265E" w14:textId="77777777" w:rsidR="003E76D8" w:rsidRPr="00807DBD" w:rsidRDefault="003E76D8" w:rsidP="003E76D8">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bottom w:val="single" w:sz="2" w:space="0" w:color="auto"/>
              <w:right w:val="single" w:sz="18" w:space="0" w:color="FFFFFF" w:themeColor="background2"/>
            </w:tcBorders>
          </w:tcPr>
          <w:p w14:paraId="510EADA7" w14:textId="20FE3933" w:rsidR="003E76D8" w:rsidRPr="00CB3C3D" w:rsidRDefault="003E76D8" w:rsidP="003E76D8">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sz w:val="14"/>
                <w:szCs w:val="14"/>
              </w:rPr>
              <w:t>1,689</w:t>
            </w:r>
          </w:p>
        </w:tc>
        <w:tc>
          <w:tcPr>
            <w:tcW w:w="794" w:type="dxa"/>
            <w:tcBorders>
              <w:left w:val="single" w:sz="18" w:space="0" w:color="FFFFFF" w:themeColor="background2"/>
              <w:bottom w:val="single" w:sz="2" w:space="0" w:color="auto"/>
              <w:right w:val="single" w:sz="18" w:space="0" w:color="FFFFFF" w:themeColor="background2"/>
            </w:tcBorders>
          </w:tcPr>
          <w:p w14:paraId="3B28C0C7" w14:textId="17D71284" w:rsidR="003E76D8" w:rsidRPr="00CB3C3D" w:rsidRDefault="003E76D8" w:rsidP="003E76D8">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sz w:val="14"/>
                <w:szCs w:val="14"/>
              </w:rPr>
              <w:t>1,021</w:t>
            </w:r>
            <w:r w:rsidRPr="00CB3C3D">
              <w:rPr>
                <w:rFonts w:cs="Calibri"/>
                <w:sz w:val="14"/>
                <w:szCs w:val="14"/>
              </w:rPr>
              <w:t xml:space="preserve"> </w:t>
            </w:r>
          </w:p>
        </w:tc>
        <w:tc>
          <w:tcPr>
            <w:tcW w:w="850" w:type="dxa"/>
            <w:tcBorders>
              <w:left w:val="single" w:sz="18" w:space="0" w:color="FFFFFF" w:themeColor="background2"/>
              <w:bottom w:val="single" w:sz="2" w:space="0" w:color="auto"/>
            </w:tcBorders>
          </w:tcPr>
          <w:p w14:paraId="2578555B" w14:textId="718E4600" w:rsidR="003E76D8" w:rsidRPr="00CB3C3D" w:rsidRDefault="003E76D8" w:rsidP="003E76D8">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sz w:val="14"/>
                <w:szCs w:val="14"/>
              </w:rPr>
              <w:t>1,533</w:t>
            </w:r>
          </w:p>
        </w:tc>
      </w:tr>
      <w:tr w:rsidR="003E76D8" w:rsidRPr="00807DBD" w14:paraId="64D89B76" w14:textId="77777777" w:rsidTr="00B15944">
        <w:trPr>
          <w:gridAfter w:val="1"/>
          <w:wAfter w:w="109" w:type="dxa"/>
          <w:trHeight w:val="170"/>
        </w:trPr>
        <w:tc>
          <w:tcPr>
            <w:tcW w:w="4253" w:type="dxa"/>
          </w:tcPr>
          <w:p w14:paraId="0CF6CED0" w14:textId="77777777" w:rsidR="003E76D8" w:rsidRPr="00807DBD" w:rsidRDefault="003E76D8" w:rsidP="003E76D8">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cash received</w:t>
            </w:r>
          </w:p>
        </w:tc>
        <w:tc>
          <w:tcPr>
            <w:tcW w:w="623" w:type="dxa"/>
            <w:tcBorders>
              <w:right w:val="single" w:sz="18" w:space="0" w:color="FFFFFF" w:themeColor="background2"/>
            </w:tcBorders>
          </w:tcPr>
          <w:p w14:paraId="7368AA9F" w14:textId="77777777" w:rsidR="003E76D8" w:rsidRPr="00807DBD" w:rsidRDefault="003E76D8" w:rsidP="003E76D8">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11668449" w14:textId="13E968DA" w:rsidR="003E76D8" w:rsidRPr="00CB3C3D" w:rsidRDefault="003E76D8" w:rsidP="003E76D8">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sz w:val="14"/>
                <w:szCs w:val="14"/>
              </w:rPr>
              <w:t>21,022</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24ED9500" w14:textId="46B0F757" w:rsidR="003E76D8" w:rsidRPr="00CB3C3D" w:rsidRDefault="003E76D8" w:rsidP="003E76D8">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sz w:val="14"/>
                <w:szCs w:val="14"/>
              </w:rPr>
              <w:t>14,985</w:t>
            </w:r>
            <w:r w:rsidRPr="00CB3C3D">
              <w:rPr>
                <w:rFonts w:cs="Calibri"/>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4979E87B" w14:textId="3C19C65D" w:rsidR="003E76D8" w:rsidRPr="00CB3C3D" w:rsidRDefault="003E76D8" w:rsidP="003E76D8">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sz w:val="14"/>
                <w:szCs w:val="14"/>
              </w:rPr>
              <w:t>21,862</w:t>
            </w:r>
          </w:p>
        </w:tc>
      </w:tr>
      <w:tr w:rsidR="005F53E9" w:rsidRPr="00807DBD" w14:paraId="09D99BE3" w14:textId="77777777" w:rsidTr="00B15944">
        <w:trPr>
          <w:gridAfter w:val="1"/>
          <w:wAfter w:w="109" w:type="dxa"/>
          <w:trHeight w:val="170"/>
        </w:trPr>
        <w:tc>
          <w:tcPr>
            <w:tcW w:w="4253" w:type="dxa"/>
          </w:tcPr>
          <w:p w14:paraId="64D0E378" w14:textId="77777777" w:rsidR="005F53E9" w:rsidRPr="00807DBD" w:rsidRDefault="005F53E9" w:rsidP="00B15944">
            <w:pPr>
              <w:suppressAutoHyphens/>
              <w:autoSpaceDE w:val="0"/>
              <w:autoSpaceDN w:val="0"/>
              <w:adjustRightInd w:val="0"/>
              <w:spacing w:before="20" w:after="20"/>
              <w:textAlignment w:val="center"/>
              <w:rPr>
                <w:rFonts w:cs="Futura PT Book"/>
                <w:color w:val="292929"/>
                <w:sz w:val="14"/>
                <w:szCs w:val="14"/>
                <w:lang w:val="en-US"/>
              </w:rPr>
            </w:pPr>
          </w:p>
        </w:tc>
        <w:tc>
          <w:tcPr>
            <w:tcW w:w="623" w:type="dxa"/>
            <w:tcBorders>
              <w:right w:val="single" w:sz="18" w:space="0" w:color="FFFFFF" w:themeColor="background2"/>
            </w:tcBorders>
          </w:tcPr>
          <w:p w14:paraId="3CB3581F"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47487BD2"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794" w:type="dxa"/>
            <w:tcBorders>
              <w:top w:val="single" w:sz="2" w:space="0" w:color="auto"/>
              <w:left w:val="single" w:sz="18" w:space="0" w:color="FFFFFF" w:themeColor="background2"/>
              <w:right w:val="single" w:sz="18" w:space="0" w:color="FFFFFF" w:themeColor="background2"/>
            </w:tcBorders>
          </w:tcPr>
          <w:p w14:paraId="42C309F8"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850" w:type="dxa"/>
            <w:tcBorders>
              <w:top w:val="single" w:sz="2" w:space="0" w:color="auto"/>
              <w:left w:val="single" w:sz="18" w:space="0" w:color="FFFFFF" w:themeColor="background2"/>
            </w:tcBorders>
          </w:tcPr>
          <w:p w14:paraId="4F625166"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5F53E9" w:rsidRPr="00807DBD" w14:paraId="037FF86B" w14:textId="77777777" w:rsidTr="00B15944">
        <w:trPr>
          <w:gridAfter w:val="1"/>
          <w:wAfter w:w="109" w:type="dxa"/>
          <w:trHeight w:val="170"/>
        </w:trPr>
        <w:tc>
          <w:tcPr>
            <w:tcW w:w="4253" w:type="dxa"/>
          </w:tcPr>
          <w:p w14:paraId="7C3E012B"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used</w:t>
            </w:r>
          </w:p>
        </w:tc>
        <w:tc>
          <w:tcPr>
            <w:tcW w:w="623" w:type="dxa"/>
            <w:tcBorders>
              <w:right w:val="single" w:sz="18" w:space="0" w:color="FFFFFF" w:themeColor="background2"/>
            </w:tcBorders>
          </w:tcPr>
          <w:p w14:paraId="71BFC72E"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65491397"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left w:val="single" w:sz="18" w:space="0" w:color="FFFFFF" w:themeColor="background2"/>
              <w:right w:val="single" w:sz="18" w:space="0" w:color="FFFFFF" w:themeColor="background2"/>
            </w:tcBorders>
          </w:tcPr>
          <w:p w14:paraId="3F8166A4" w14:textId="77777777"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850" w:type="dxa"/>
            <w:tcBorders>
              <w:left w:val="single" w:sz="18" w:space="0" w:color="FFFFFF" w:themeColor="background2"/>
            </w:tcBorders>
          </w:tcPr>
          <w:p w14:paraId="624B72CC" w14:textId="77777777"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r>
      <w:tr w:rsidR="005F53E9" w:rsidRPr="00807DBD" w14:paraId="55AF83E5" w14:textId="77777777" w:rsidTr="00B15944">
        <w:trPr>
          <w:gridAfter w:val="1"/>
          <w:wAfter w:w="109" w:type="dxa"/>
          <w:trHeight w:val="170"/>
        </w:trPr>
        <w:tc>
          <w:tcPr>
            <w:tcW w:w="4253" w:type="dxa"/>
          </w:tcPr>
          <w:p w14:paraId="5F69E175" w14:textId="77777777" w:rsidR="005F53E9" w:rsidRPr="00807DBD" w:rsidRDefault="005F53E9"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Employees</w:t>
            </w:r>
          </w:p>
        </w:tc>
        <w:tc>
          <w:tcPr>
            <w:tcW w:w="623" w:type="dxa"/>
            <w:tcBorders>
              <w:right w:val="single" w:sz="18" w:space="0" w:color="FFFFFF" w:themeColor="background2"/>
            </w:tcBorders>
          </w:tcPr>
          <w:p w14:paraId="7BFB355E"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6F3B5E9E" w14:textId="2350ACEE" w:rsidR="005F53E9" w:rsidRPr="00CB3C3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CB3C3D">
              <w:rPr>
                <w:rFonts w:asciiTheme="majorHAnsi" w:hAnsiTheme="majorHAnsi" w:cs="Calibri"/>
                <w:sz w:val="14"/>
                <w:szCs w:val="14"/>
              </w:rPr>
              <w:t>(</w:t>
            </w:r>
            <w:r>
              <w:rPr>
                <w:rFonts w:asciiTheme="majorHAnsi" w:hAnsiTheme="majorHAnsi" w:cs="Calibri"/>
                <w:sz w:val="14"/>
                <w:szCs w:val="14"/>
              </w:rPr>
              <w:t>8</w:t>
            </w:r>
            <w:r w:rsidR="003B1307">
              <w:rPr>
                <w:rFonts w:asciiTheme="majorHAnsi" w:hAnsiTheme="majorHAnsi" w:cs="Calibri"/>
                <w:sz w:val="14"/>
                <w:szCs w:val="14"/>
              </w:rPr>
              <w:t>3</w:t>
            </w:r>
            <w:r>
              <w:rPr>
                <w:rFonts w:asciiTheme="majorHAnsi" w:hAnsiTheme="majorHAnsi" w:cs="Calibri"/>
                <w:sz w:val="14"/>
                <w:szCs w:val="14"/>
              </w:rPr>
              <w:t>3</w:t>
            </w:r>
            <w:r w:rsidRPr="00CB3C3D">
              <w:rPr>
                <w:rFonts w:asciiTheme="majorHAnsi" w:hAnsiTheme="majorHAnsi" w:cs="Calibri"/>
                <w:sz w:val="14"/>
                <w:szCs w:val="14"/>
              </w:rPr>
              <w:t>)</w:t>
            </w:r>
          </w:p>
        </w:tc>
        <w:tc>
          <w:tcPr>
            <w:tcW w:w="794" w:type="dxa"/>
            <w:tcBorders>
              <w:left w:val="single" w:sz="18" w:space="0" w:color="FFFFFF" w:themeColor="background2"/>
              <w:right w:val="single" w:sz="18" w:space="0" w:color="FFFFFF" w:themeColor="background2"/>
            </w:tcBorders>
          </w:tcPr>
          <w:p w14:paraId="53A9BCD2" w14:textId="61589B5C" w:rsidR="005F53E9" w:rsidRPr="00CB3C3D" w:rsidRDefault="005F53E9" w:rsidP="00B15944">
            <w:pPr>
              <w:suppressAutoHyphens/>
              <w:autoSpaceDE w:val="0"/>
              <w:autoSpaceDN w:val="0"/>
              <w:adjustRightInd w:val="0"/>
              <w:spacing w:before="20" w:after="20"/>
              <w:jc w:val="right"/>
              <w:textAlignment w:val="center"/>
              <w:rPr>
                <w:color w:val="292929"/>
                <w:sz w:val="14"/>
                <w:szCs w:val="14"/>
              </w:rPr>
            </w:pPr>
            <w:r w:rsidRPr="00CB3C3D">
              <w:rPr>
                <w:rFonts w:cs="Calibri"/>
                <w:sz w:val="14"/>
                <w:szCs w:val="14"/>
              </w:rPr>
              <w:t>(8</w:t>
            </w:r>
            <w:r w:rsidR="003B1307">
              <w:rPr>
                <w:rFonts w:cs="Calibri"/>
                <w:sz w:val="14"/>
                <w:szCs w:val="14"/>
              </w:rPr>
              <w:t>23</w:t>
            </w:r>
            <w:r w:rsidRPr="00CB3C3D">
              <w:rPr>
                <w:rFonts w:cs="Calibri"/>
                <w:sz w:val="14"/>
                <w:szCs w:val="14"/>
              </w:rPr>
              <w:t>)</w:t>
            </w:r>
          </w:p>
        </w:tc>
        <w:tc>
          <w:tcPr>
            <w:tcW w:w="850" w:type="dxa"/>
            <w:tcBorders>
              <w:left w:val="single" w:sz="18" w:space="0" w:color="FFFFFF" w:themeColor="background2"/>
            </w:tcBorders>
          </w:tcPr>
          <w:p w14:paraId="31BDB402" w14:textId="7C05C297" w:rsidR="005F53E9" w:rsidRPr="00CB3C3D" w:rsidRDefault="005F53E9" w:rsidP="00B15944">
            <w:pPr>
              <w:suppressAutoHyphens/>
              <w:autoSpaceDE w:val="0"/>
              <w:autoSpaceDN w:val="0"/>
              <w:adjustRightInd w:val="0"/>
              <w:spacing w:before="20" w:after="20"/>
              <w:jc w:val="right"/>
              <w:textAlignment w:val="center"/>
              <w:rPr>
                <w:color w:val="292929"/>
                <w:sz w:val="14"/>
                <w:szCs w:val="14"/>
              </w:rPr>
            </w:pPr>
            <w:r w:rsidRPr="00CB3C3D">
              <w:rPr>
                <w:rFonts w:cs="Calibri"/>
                <w:sz w:val="14"/>
                <w:szCs w:val="14"/>
              </w:rPr>
              <w:t>(8</w:t>
            </w:r>
            <w:r w:rsidR="003B1307">
              <w:rPr>
                <w:rFonts w:cs="Calibri"/>
                <w:sz w:val="14"/>
                <w:szCs w:val="14"/>
              </w:rPr>
              <w:t>60</w:t>
            </w:r>
            <w:r w:rsidRPr="00CB3C3D">
              <w:rPr>
                <w:rFonts w:cs="Calibri"/>
                <w:sz w:val="14"/>
                <w:szCs w:val="14"/>
              </w:rPr>
              <w:t>)</w:t>
            </w:r>
          </w:p>
        </w:tc>
      </w:tr>
      <w:tr w:rsidR="005F53E9" w:rsidRPr="00807DBD" w14:paraId="69ABA9A9" w14:textId="77777777" w:rsidTr="00B15944">
        <w:trPr>
          <w:gridAfter w:val="1"/>
          <w:wAfter w:w="109" w:type="dxa"/>
          <w:trHeight w:val="170"/>
        </w:trPr>
        <w:tc>
          <w:tcPr>
            <w:tcW w:w="4253" w:type="dxa"/>
          </w:tcPr>
          <w:p w14:paraId="4963D9DB" w14:textId="77777777" w:rsidR="005F53E9" w:rsidRPr="00807DBD" w:rsidRDefault="005F53E9" w:rsidP="00B15944">
            <w:pPr>
              <w:autoSpaceDE w:val="0"/>
              <w:autoSpaceDN w:val="0"/>
              <w:adjustRightInd w:val="0"/>
              <w:spacing w:before="20" w:after="20"/>
              <w:rPr>
                <w:color w:val="292929"/>
                <w:sz w:val="14"/>
                <w:szCs w:val="14"/>
              </w:rPr>
            </w:pPr>
            <w:r w:rsidRPr="00807DBD">
              <w:rPr>
                <w:color w:val="292929"/>
                <w:sz w:val="14"/>
                <w:szCs w:val="14"/>
              </w:rPr>
              <w:t>Suppliers</w:t>
            </w:r>
          </w:p>
        </w:tc>
        <w:tc>
          <w:tcPr>
            <w:tcW w:w="623" w:type="dxa"/>
            <w:tcBorders>
              <w:right w:val="single" w:sz="18" w:space="0" w:color="FFFFFF" w:themeColor="background2"/>
            </w:tcBorders>
          </w:tcPr>
          <w:p w14:paraId="16A99575"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02D75664" w14:textId="007B9E72" w:rsidR="005F53E9" w:rsidRPr="00CB3C3D" w:rsidRDefault="005F53E9" w:rsidP="00B15944">
            <w:pPr>
              <w:autoSpaceDE w:val="0"/>
              <w:autoSpaceDN w:val="0"/>
              <w:adjustRightInd w:val="0"/>
              <w:spacing w:before="20" w:after="20"/>
              <w:jc w:val="right"/>
              <w:rPr>
                <w:rFonts w:asciiTheme="majorHAnsi" w:hAnsiTheme="majorHAnsi"/>
                <w:color w:val="292929"/>
                <w:sz w:val="14"/>
                <w:szCs w:val="14"/>
              </w:rPr>
            </w:pPr>
            <w:r w:rsidRPr="00CB3C3D">
              <w:rPr>
                <w:rFonts w:asciiTheme="majorHAnsi" w:hAnsiTheme="majorHAnsi" w:cs="Calibri"/>
                <w:sz w:val="14"/>
                <w:szCs w:val="14"/>
              </w:rPr>
              <w:t>(1</w:t>
            </w:r>
            <w:r w:rsidR="003B1307">
              <w:rPr>
                <w:rFonts w:asciiTheme="majorHAnsi" w:hAnsiTheme="majorHAnsi" w:cs="Calibri"/>
                <w:sz w:val="14"/>
                <w:szCs w:val="14"/>
              </w:rPr>
              <w:t>7</w:t>
            </w:r>
            <w:r w:rsidRPr="00CB3C3D">
              <w:rPr>
                <w:rFonts w:asciiTheme="majorHAnsi" w:hAnsiTheme="majorHAnsi" w:cs="Calibri"/>
                <w:sz w:val="14"/>
                <w:szCs w:val="14"/>
              </w:rPr>
              <w:t>,</w:t>
            </w:r>
            <w:r w:rsidR="003B1307">
              <w:rPr>
                <w:rFonts w:asciiTheme="majorHAnsi" w:hAnsiTheme="majorHAnsi" w:cs="Calibri"/>
                <w:sz w:val="14"/>
                <w:szCs w:val="14"/>
              </w:rPr>
              <w:t>01</w:t>
            </w:r>
            <w:r>
              <w:rPr>
                <w:rFonts w:asciiTheme="majorHAnsi" w:hAnsiTheme="majorHAnsi" w:cs="Calibri"/>
                <w:sz w:val="14"/>
                <w:szCs w:val="14"/>
              </w:rPr>
              <w:t>4</w:t>
            </w:r>
            <w:r w:rsidRPr="00CB3C3D">
              <w:rPr>
                <w:rFonts w:asciiTheme="majorHAnsi" w:hAnsiTheme="majorHAnsi" w:cs="Calibri"/>
                <w:sz w:val="14"/>
                <w:szCs w:val="14"/>
              </w:rPr>
              <w:t>)</w:t>
            </w:r>
          </w:p>
        </w:tc>
        <w:tc>
          <w:tcPr>
            <w:tcW w:w="794" w:type="dxa"/>
            <w:tcBorders>
              <w:left w:val="single" w:sz="18" w:space="0" w:color="FFFFFF" w:themeColor="background2"/>
              <w:right w:val="single" w:sz="18" w:space="0" w:color="FFFFFF" w:themeColor="background2"/>
            </w:tcBorders>
          </w:tcPr>
          <w:p w14:paraId="1A19E63D" w14:textId="25E0D5D4" w:rsidR="005F53E9" w:rsidRPr="00CB3C3D" w:rsidRDefault="005F53E9" w:rsidP="00B15944">
            <w:pPr>
              <w:autoSpaceDE w:val="0"/>
              <w:autoSpaceDN w:val="0"/>
              <w:adjustRightInd w:val="0"/>
              <w:spacing w:before="20" w:after="20"/>
              <w:jc w:val="right"/>
              <w:rPr>
                <w:color w:val="292929"/>
                <w:sz w:val="14"/>
                <w:szCs w:val="14"/>
              </w:rPr>
            </w:pPr>
            <w:r w:rsidRPr="00CB3C3D">
              <w:rPr>
                <w:rFonts w:cs="Calibri"/>
                <w:sz w:val="14"/>
                <w:szCs w:val="14"/>
              </w:rPr>
              <w:t>(1</w:t>
            </w:r>
            <w:r w:rsidR="003B1307">
              <w:rPr>
                <w:rFonts w:cs="Calibri"/>
                <w:sz w:val="14"/>
                <w:szCs w:val="14"/>
              </w:rPr>
              <w:t>1</w:t>
            </w:r>
            <w:r w:rsidRPr="00CB3C3D">
              <w:rPr>
                <w:rFonts w:cs="Calibri"/>
                <w:sz w:val="14"/>
                <w:szCs w:val="14"/>
              </w:rPr>
              <w:t>,</w:t>
            </w:r>
            <w:r w:rsidR="003B1307">
              <w:rPr>
                <w:rFonts w:cs="Calibri"/>
                <w:sz w:val="14"/>
                <w:szCs w:val="14"/>
              </w:rPr>
              <w:t>284</w:t>
            </w:r>
            <w:r w:rsidRPr="00CB3C3D">
              <w:rPr>
                <w:rFonts w:cs="Calibri"/>
                <w:sz w:val="14"/>
                <w:szCs w:val="14"/>
              </w:rPr>
              <w:t>)</w:t>
            </w:r>
          </w:p>
        </w:tc>
        <w:tc>
          <w:tcPr>
            <w:tcW w:w="850" w:type="dxa"/>
            <w:tcBorders>
              <w:left w:val="single" w:sz="18" w:space="0" w:color="FFFFFF" w:themeColor="background2"/>
            </w:tcBorders>
          </w:tcPr>
          <w:p w14:paraId="6EA27692" w14:textId="2D636470" w:rsidR="005F53E9" w:rsidRPr="00CB3C3D" w:rsidRDefault="005F53E9" w:rsidP="00B15944">
            <w:pPr>
              <w:autoSpaceDE w:val="0"/>
              <w:autoSpaceDN w:val="0"/>
              <w:adjustRightInd w:val="0"/>
              <w:spacing w:before="20" w:after="20"/>
              <w:jc w:val="right"/>
              <w:rPr>
                <w:color w:val="292929"/>
                <w:sz w:val="14"/>
                <w:szCs w:val="14"/>
              </w:rPr>
            </w:pPr>
            <w:r w:rsidRPr="00CB3C3D">
              <w:rPr>
                <w:rFonts w:cs="Calibri"/>
                <w:sz w:val="14"/>
                <w:szCs w:val="14"/>
              </w:rPr>
              <w:t>(</w:t>
            </w:r>
            <w:r w:rsidR="003B1307">
              <w:rPr>
                <w:rFonts w:cs="Calibri"/>
                <w:sz w:val="14"/>
                <w:szCs w:val="14"/>
              </w:rPr>
              <w:t>20,120</w:t>
            </w:r>
            <w:r w:rsidRPr="00CB3C3D">
              <w:rPr>
                <w:rFonts w:cs="Calibri"/>
                <w:sz w:val="14"/>
                <w:szCs w:val="14"/>
              </w:rPr>
              <w:t>)</w:t>
            </w:r>
          </w:p>
        </w:tc>
      </w:tr>
      <w:tr w:rsidR="005F53E9" w:rsidRPr="00807DBD" w14:paraId="121E3606" w14:textId="77777777" w:rsidTr="00B15944">
        <w:trPr>
          <w:gridAfter w:val="1"/>
          <w:wAfter w:w="109" w:type="dxa"/>
          <w:trHeight w:val="170"/>
        </w:trPr>
        <w:tc>
          <w:tcPr>
            <w:tcW w:w="4253" w:type="dxa"/>
          </w:tcPr>
          <w:p w14:paraId="7998A483" w14:textId="77777777" w:rsidR="005F53E9" w:rsidRPr="00807DBD" w:rsidRDefault="005F53E9"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Interest payments on lease liabilities</w:t>
            </w:r>
          </w:p>
        </w:tc>
        <w:tc>
          <w:tcPr>
            <w:tcW w:w="623" w:type="dxa"/>
            <w:tcBorders>
              <w:right w:val="single" w:sz="18" w:space="0" w:color="FFFFFF" w:themeColor="background2"/>
            </w:tcBorders>
          </w:tcPr>
          <w:p w14:paraId="6FEC39E9"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54769774" w14:textId="64A29250" w:rsidR="005F53E9" w:rsidRPr="00CB3C3D" w:rsidRDefault="005F53E9" w:rsidP="00B15944">
            <w:pPr>
              <w:autoSpaceDE w:val="0"/>
              <w:autoSpaceDN w:val="0"/>
              <w:adjustRightInd w:val="0"/>
              <w:spacing w:before="20" w:after="20"/>
              <w:jc w:val="right"/>
              <w:rPr>
                <w:rFonts w:asciiTheme="majorHAnsi" w:hAnsiTheme="majorHAnsi"/>
                <w:color w:val="292929"/>
                <w:sz w:val="14"/>
                <w:szCs w:val="14"/>
              </w:rPr>
            </w:pPr>
            <w:r w:rsidRPr="00CB3C3D">
              <w:rPr>
                <w:rFonts w:asciiTheme="majorHAnsi" w:hAnsiTheme="majorHAnsi" w:cs="Calibri"/>
                <w:sz w:val="14"/>
                <w:szCs w:val="14"/>
              </w:rPr>
              <w:t>(6</w:t>
            </w:r>
            <w:r w:rsidR="003B1307">
              <w:rPr>
                <w:rFonts w:asciiTheme="majorHAnsi" w:hAnsiTheme="majorHAnsi" w:cs="Calibri"/>
                <w:sz w:val="14"/>
                <w:szCs w:val="14"/>
              </w:rPr>
              <w:t>1</w:t>
            </w:r>
            <w:r w:rsidRPr="00CB3C3D">
              <w:rPr>
                <w:rFonts w:asciiTheme="majorHAnsi" w:hAnsiTheme="majorHAnsi" w:cs="Calibri"/>
                <w:sz w:val="14"/>
                <w:szCs w:val="14"/>
              </w:rPr>
              <w:t>)</w:t>
            </w:r>
          </w:p>
        </w:tc>
        <w:tc>
          <w:tcPr>
            <w:tcW w:w="794" w:type="dxa"/>
            <w:tcBorders>
              <w:left w:val="single" w:sz="18" w:space="0" w:color="FFFFFF" w:themeColor="background2"/>
              <w:bottom w:val="single" w:sz="2" w:space="0" w:color="auto"/>
              <w:right w:val="single" w:sz="18" w:space="0" w:color="FFFFFF" w:themeColor="background2"/>
            </w:tcBorders>
          </w:tcPr>
          <w:p w14:paraId="649D2810" w14:textId="0D1D4C39" w:rsidR="005F53E9" w:rsidRPr="00CB3C3D" w:rsidRDefault="005F53E9" w:rsidP="00B15944">
            <w:pPr>
              <w:autoSpaceDE w:val="0"/>
              <w:autoSpaceDN w:val="0"/>
              <w:adjustRightInd w:val="0"/>
              <w:spacing w:before="20" w:after="20"/>
              <w:jc w:val="right"/>
              <w:rPr>
                <w:color w:val="292929"/>
                <w:sz w:val="14"/>
                <w:szCs w:val="14"/>
              </w:rPr>
            </w:pPr>
            <w:r w:rsidRPr="00CB3C3D">
              <w:rPr>
                <w:rFonts w:cs="Calibri"/>
                <w:sz w:val="14"/>
                <w:szCs w:val="14"/>
              </w:rPr>
              <w:t>(</w:t>
            </w:r>
            <w:r w:rsidR="003B1307">
              <w:rPr>
                <w:rFonts w:cs="Calibri"/>
                <w:sz w:val="14"/>
                <w:szCs w:val="14"/>
              </w:rPr>
              <w:t>63</w:t>
            </w:r>
            <w:r w:rsidRPr="00CB3C3D">
              <w:rPr>
                <w:rFonts w:cs="Calibri"/>
                <w:sz w:val="14"/>
                <w:szCs w:val="14"/>
              </w:rPr>
              <w:t>)</w:t>
            </w:r>
          </w:p>
        </w:tc>
        <w:tc>
          <w:tcPr>
            <w:tcW w:w="850" w:type="dxa"/>
            <w:tcBorders>
              <w:left w:val="single" w:sz="18" w:space="0" w:color="FFFFFF" w:themeColor="background2"/>
              <w:bottom w:val="single" w:sz="2" w:space="0" w:color="auto"/>
            </w:tcBorders>
          </w:tcPr>
          <w:p w14:paraId="7C16CF5E" w14:textId="387581C2" w:rsidR="005F53E9" w:rsidRPr="00CB3C3D" w:rsidRDefault="005F53E9" w:rsidP="00B15944">
            <w:pPr>
              <w:autoSpaceDE w:val="0"/>
              <w:autoSpaceDN w:val="0"/>
              <w:adjustRightInd w:val="0"/>
              <w:spacing w:before="20" w:after="20"/>
              <w:jc w:val="right"/>
              <w:rPr>
                <w:color w:val="292929"/>
                <w:sz w:val="14"/>
                <w:szCs w:val="14"/>
              </w:rPr>
            </w:pPr>
            <w:r w:rsidRPr="00CB3C3D">
              <w:rPr>
                <w:rFonts w:cs="Calibri"/>
                <w:sz w:val="14"/>
                <w:szCs w:val="14"/>
              </w:rPr>
              <w:t>(6</w:t>
            </w:r>
            <w:r w:rsidR="003B1307">
              <w:rPr>
                <w:rFonts w:cs="Calibri"/>
                <w:sz w:val="14"/>
                <w:szCs w:val="14"/>
              </w:rPr>
              <w:t>0</w:t>
            </w:r>
            <w:r w:rsidRPr="00CB3C3D">
              <w:rPr>
                <w:rFonts w:cs="Calibri"/>
                <w:sz w:val="14"/>
                <w:szCs w:val="14"/>
              </w:rPr>
              <w:t>)</w:t>
            </w:r>
          </w:p>
        </w:tc>
      </w:tr>
      <w:tr w:rsidR="005F53E9" w:rsidRPr="00807DBD" w14:paraId="1D9FED18" w14:textId="77777777" w:rsidTr="00B15944">
        <w:trPr>
          <w:gridAfter w:val="1"/>
          <w:wAfter w:w="109" w:type="dxa"/>
          <w:trHeight w:val="170"/>
        </w:trPr>
        <w:tc>
          <w:tcPr>
            <w:tcW w:w="4253" w:type="dxa"/>
          </w:tcPr>
          <w:p w14:paraId="2C0B34CF"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cash used</w:t>
            </w:r>
          </w:p>
        </w:tc>
        <w:tc>
          <w:tcPr>
            <w:tcW w:w="623" w:type="dxa"/>
            <w:tcBorders>
              <w:right w:val="single" w:sz="18" w:space="0" w:color="FFFFFF" w:themeColor="background2"/>
            </w:tcBorders>
          </w:tcPr>
          <w:p w14:paraId="44F5BE9E"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229E8FF0" w14:textId="2AD93AFD" w:rsidR="005F53E9" w:rsidRPr="00CB3C3D" w:rsidRDefault="005F53E9"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CB3C3D">
              <w:rPr>
                <w:rFonts w:asciiTheme="majorHAnsi" w:hAnsiTheme="majorHAnsi" w:cs="Calibri"/>
                <w:sz w:val="14"/>
                <w:szCs w:val="14"/>
              </w:rPr>
              <w:t>(1</w:t>
            </w:r>
            <w:r w:rsidR="003B1307">
              <w:rPr>
                <w:rFonts w:asciiTheme="majorHAnsi" w:hAnsiTheme="majorHAnsi" w:cs="Calibri"/>
                <w:sz w:val="14"/>
                <w:szCs w:val="14"/>
              </w:rPr>
              <w:t>7</w:t>
            </w:r>
            <w:r w:rsidRPr="00CB3C3D">
              <w:rPr>
                <w:rFonts w:asciiTheme="majorHAnsi" w:hAnsiTheme="majorHAnsi" w:cs="Calibri"/>
                <w:sz w:val="14"/>
                <w:szCs w:val="14"/>
              </w:rPr>
              <w:t>,</w:t>
            </w:r>
            <w:r w:rsidR="003B1307">
              <w:rPr>
                <w:rFonts w:asciiTheme="majorHAnsi" w:hAnsiTheme="majorHAnsi" w:cs="Calibri"/>
                <w:sz w:val="14"/>
                <w:szCs w:val="14"/>
              </w:rPr>
              <w:t>908</w:t>
            </w:r>
            <w:r w:rsidRPr="00CB3C3D">
              <w:rPr>
                <w:rFonts w:asciiTheme="majorHAnsi" w:hAnsiTheme="majorHAnsi" w:cs="Calibri"/>
                <w:sz w:val="14"/>
                <w:szCs w:val="14"/>
              </w:rPr>
              <w:t>)</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3804AA2D" w14:textId="2ADDBE55" w:rsidR="005F53E9" w:rsidRPr="00CB3C3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(1</w:t>
            </w:r>
            <w:r w:rsidR="003B1307">
              <w:rPr>
                <w:rFonts w:cs="Calibri"/>
                <w:sz w:val="14"/>
                <w:szCs w:val="14"/>
              </w:rPr>
              <w:t>2</w:t>
            </w:r>
            <w:r w:rsidRPr="00CB3C3D">
              <w:rPr>
                <w:rFonts w:cs="Calibri"/>
                <w:sz w:val="14"/>
                <w:szCs w:val="14"/>
              </w:rPr>
              <w:t>,</w:t>
            </w:r>
            <w:r w:rsidR="003B1307">
              <w:rPr>
                <w:rFonts w:cs="Calibri"/>
                <w:sz w:val="14"/>
                <w:szCs w:val="14"/>
              </w:rPr>
              <w:t>170</w:t>
            </w:r>
            <w:r w:rsidRPr="00CB3C3D">
              <w:rPr>
                <w:rFonts w:cs="Calibri"/>
                <w:sz w:val="14"/>
                <w:szCs w:val="14"/>
              </w:rPr>
              <w:t>)</w:t>
            </w:r>
          </w:p>
        </w:tc>
        <w:tc>
          <w:tcPr>
            <w:tcW w:w="850" w:type="dxa"/>
            <w:tcBorders>
              <w:top w:val="single" w:sz="2" w:space="0" w:color="auto"/>
              <w:left w:val="single" w:sz="18" w:space="0" w:color="FFFFFF" w:themeColor="background2"/>
              <w:bottom w:val="single" w:sz="2" w:space="0" w:color="auto"/>
            </w:tcBorders>
          </w:tcPr>
          <w:p w14:paraId="26015ED6" w14:textId="454BAFB4" w:rsidR="005F53E9" w:rsidRPr="00CB3C3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w:t>
            </w:r>
            <w:r w:rsidR="003B1307">
              <w:rPr>
                <w:rFonts w:cs="Calibri"/>
                <w:sz w:val="14"/>
                <w:szCs w:val="14"/>
              </w:rPr>
              <w:t>21</w:t>
            </w:r>
            <w:r w:rsidRPr="00CB3C3D">
              <w:rPr>
                <w:rFonts w:cs="Calibri"/>
                <w:sz w:val="14"/>
                <w:szCs w:val="14"/>
              </w:rPr>
              <w:t>,</w:t>
            </w:r>
            <w:r w:rsidR="003B1307">
              <w:rPr>
                <w:rFonts w:cs="Calibri"/>
                <w:sz w:val="14"/>
                <w:szCs w:val="14"/>
              </w:rPr>
              <w:t>04</w:t>
            </w:r>
            <w:r w:rsidRPr="00CB3C3D">
              <w:rPr>
                <w:rFonts w:cs="Calibri"/>
                <w:sz w:val="14"/>
                <w:szCs w:val="14"/>
              </w:rPr>
              <w:t>0)</w:t>
            </w:r>
          </w:p>
        </w:tc>
      </w:tr>
      <w:tr w:rsidR="005F53E9" w:rsidRPr="00807DBD" w14:paraId="58AD4493" w14:textId="77777777" w:rsidTr="00B15944">
        <w:trPr>
          <w:gridAfter w:val="1"/>
          <w:wAfter w:w="109" w:type="dxa"/>
          <w:trHeight w:val="170"/>
        </w:trPr>
        <w:tc>
          <w:tcPr>
            <w:tcW w:w="4253" w:type="dxa"/>
          </w:tcPr>
          <w:p w14:paraId="1B5771C9" w14:textId="02EDA87E" w:rsidR="005F53E9" w:rsidRPr="00807DBD" w:rsidRDefault="005F53E9"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Net cash from </w:t>
            </w:r>
            <w:r w:rsidR="003B1307" w:rsidRPr="00807DBD">
              <w:rPr>
                <w:rFonts w:asciiTheme="majorHAnsi" w:hAnsiTheme="majorHAnsi"/>
                <w:color w:val="292929"/>
                <w:sz w:val="14"/>
                <w:szCs w:val="14"/>
              </w:rPr>
              <w:t>/ (</w:t>
            </w:r>
            <w:r w:rsidRPr="00807DBD">
              <w:rPr>
                <w:rFonts w:asciiTheme="majorHAnsi" w:hAnsiTheme="majorHAnsi"/>
                <w:color w:val="292929"/>
                <w:sz w:val="14"/>
                <w:szCs w:val="14"/>
              </w:rPr>
              <w:t>used by) operating activities</w:t>
            </w:r>
          </w:p>
        </w:tc>
        <w:tc>
          <w:tcPr>
            <w:tcW w:w="623" w:type="dxa"/>
            <w:tcBorders>
              <w:right w:val="single" w:sz="18" w:space="0" w:color="FFFFFF" w:themeColor="background2"/>
            </w:tcBorders>
          </w:tcPr>
          <w:p w14:paraId="04B4EB1D"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2BAC68C4" w14:textId="43F174D2" w:rsidR="005F53E9" w:rsidRPr="00CB3C3D" w:rsidRDefault="003B1307"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sz w:val="14"/>
                <w:szCs w:val="14"/>
              </w:rPr>
              <w:t>3</w:t>
            </w:r>
            <w:r w:rsidR="005F53E9" w:rsidRPr="00CB3C3D">
              <w:rPr>
                <w:rFonts w:asciiTheme="majorHAnsi" w:hAnsiTheme="majorHAnsi" w:cs="Calibri"/>
                <w:sz w:val="14"/>
                <w:szCs w:val="14"/>
              </w:rPr>
              <w:t>,</w:t>
            </w:r>
            <w:r>
              <w:rPr>
                <w:rFonts w:asciiTheme="majorHAnsi" w:hAnsiTheme="majorHAnsi" w:cs="Calibri"/>
                <w:sz w:val="14"/>
                <w:szCs w:val="14"/>
              </w:rPr>
              <w:t>094</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103BE7A5" w14:textId="2F1EB02E" w:rsidR="005F53E9" w:rsidRPr="00CB3C3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2,</w:t>
            </w:r>
            <w:r w:rsidR="003B1307">
              <w:rPr>
                <w:rFonts w:cs="Calibri"/>
                <w:sz w:val="14"/>
                <w:szCs w:val="14"/>
              </w:rPr>
              <w:t>815</w:t>
            </w:r>
            <w:r w:rsidRPr="00CB3C3D">
              <w:rPr>
                <w:rFonts w:cs="Calibri"/>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65326082" w14:textId="21DB9209" w:rsidR="005F53E9" w:rsidRPr="00CB3C3D" w:rsidRDefault="003B1307"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sz w:val="14"/>
                <w:szCs w:val="14"/>
              </w:rPr>
              <w:t>822</w:t>
            </w:r>
            <w:r w:rsidR="005F53E9" w:rsidRPr="00CB3C3D">
              <w:rPr>
                <w:rFonts w:cs="Calibri"/>
                <w:sz w:val="14"/>
                <w:szCs w:val="14"/>
              </w:rPr>
              <w:t xml:space="preserve"> </w:t>
            </w:r>
          </w:p>
        </w:tc>
      </w:tr>
      <w:tr w:rsidR="005F53E9" w:rsidRPr="00807DBD" w14:paraId="21BDD0C5" w14:textId="77777777" w:rsidTr="00B15944">
        <w:trPr>
          <w:gridAfter w:val="1"/>
          <w:wAfter w:w="109" w:type="dxa"/>
          <w:trHeight w:val="170"/>
        </w:trPr>
        <w:tc>
          <w:tcPr>
            <w:tcW w:w="4253" w:type="dxa"/>
          </w:tcPr>
          <w:p w14:paraId="0A2CA415" w14:textId="77777777" w:rsidR="005F53E9" w:rsidRPr="00807DBD" w:rsidRDefault="005F53E9" w:rsidP="00B15944">
            <w:pPr>
              <w:autoSpaceDE w:val="0"/>
              <w:autoSpaceDN w:val="0"/>
              <w:adjustRightInd w:val="0"/>
              <w:spacing w:before="20" w:after="20"/>
              <w:rPr>
                <w:color w:val="292929"/>
                <w:sz w:val="14"/>
                <w:szCs w:val="14"/>
              </w:rPr>
            </w:pPr>
          </w:p>
        </w:tc>
        <w:tc>
          <w:tcPr>
            <w:tcW w:w="623" w:type="dxa"/>
            <w:tcBorders>
              <w:right w:val="single" w:sz="18" w:space="0" w:color="FFFFFF" w:themeColor="background2"/>
            </w:tcBorders>
          </w:tcPr>
          <w:p w14:paraId="6D9F6396"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16BC66E8" w14:textId="77777777" w:rsidR="005F53E9" w:rsidRPr="00807DBD" w:rsidRDefault="005F53E9" w:rsidP="00B15944">
            <w:pPr>
              <w:autoSpaceDE w:val="0"/>
              <w:autoSpaceDN w:val="0"/>
              <w:adjustRightInd w:val="0"/>
              <w:spacing w:before="20" w:after="20"/>
              <w:jc w:val="right"/>
              <w:rPr>
                <w:rFonts w:asciiTheme="majorHAnsi" w:hAnsiTheme="majorHAnsi"/>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54C49E08" w14:textId="77777777" w:rsidR="005F53E9" w:rsidRPr="00807DBD" w:rsidRDefault="005F53E9" w:rsidP="00B15944">
            <w:pPr>
              <w:autoSpaceDE w:val="0"/>
              <w:autoSpaceDN w:val="0"/>
              <w:adjustRightInd w:val="0"/>
              <w:spacing w:before="20" w:after="20"/>
              <w:jc w:val="right"/>
              <w:rPr>
                <w:color w:val="292929"/>
                <w:sz w:val="14"/>
                <w:szCs w:val="14"/>
              </w:rPr>
            </w:pPr>
          </w:p>
        </w:tc>
        <w:tc>
          <w:tcPr>
            <w:tcW w:w="850" w:type="dxa"/>
            <w:tcBorders>
              <w:top w:val="single" w:sz="2" w:space="0" w:color="auto"/>
              <w:left w:val="single" w:sz="18" w:space="0" w:color="FFFFFF" w:themeColor="background2"/>
            </w:tcBorders>
          </w:tcPr>
          <w:p w14:paraId="15EF8B40" w14:textId="77777777" w:rsidR="005F53E9" w:rsidRPr="00807DBD" w:rsidRDefault="005F53E9" w:rsidP="00B15944">
            <w:pPr>
              <w:autoSpaceDE w:val="0"/>
              <w:autoSpaceDN w:val="0"/>
              <w:adjustRightInd w:val="0"/>
              <w:spacing w:before="20" w:after="20"/>
              <w:jc w:val="right"/>
              <w:rPr>
                <w:color w:val="292929"/>
                <w:sz w:val="14"/>
                <w:szCs w:val="14"/>
              </w:rPr>
            </w:pPr>
          </w:p>
        </w:tc>
      </w:tr>
      <w:tr w:rsidR="005F53E9" w:rsidRPr="00807DBD" w14:paraId="628649DF" w14:textId="77777777" w:rsidTr="00B15944">
        <w:trPr>
          <w:gridAfter w:val="1"/>
          <w:wAfter w:w="109" w:type="dxa"/>
          <w:trHeight w:val="170"/>
        </w:trPr>
        <w:tc>
          <w:tcPr>
            <w:tcW w:w="4253" w:type="dxa"/>
          </w:tcPr>
          <w:p w14:paraId="09FEEA17"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INVESTING ACTIVITIES</w:t>
            </w:r>
          </w:p>
        </w:tc>
        <w:tc>
          <w:tcPr>
            <w:tcW w:w="623" w:type="dxa"/>
            <w:tcBorders>
              <w:right w:val="single" w:sz="18" w:space="0" w:color="FFFFFF" w:themeColor="background2"/>
            </w:tcBorders>
          </w:tcPr>
          <w:p w14:paraId="136723A3"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76CEEF4A"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7BBEEA3B"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850" w:type="dxa"/>
            <w:tcBorders>
              <w:left w:val="single" w:sz="18" w:space="0" w:color="FFFFFF" w:themeColor="background2"/>
            </w:tcBorders>
          </w:tcPr>
          <w:p w14:paraId="662CDF7A"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5F53E9" w:rsidRPr="00807DBD" w14:paraId="5925A4CE" w14:textId="77777777" w:rsidTr="00B15944">
        <w:trPr>
          <w:gridAfter w:val="1"/>
          <w:wAfter w:w="109" w:type="dxa"/>
          <w:trHeight w:val="170"/>
        </w:trPr>
        <w:tc>
          <w:tcPr>
            <w:tcW w:w="4253" w:type="dxa"/>
          </w:tcPr>
          <w:p w14:paraId="54CCE832"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used</w:t>
            </w:r>
          </w:p>
        </w:tc>
        <w:tc>
          <w:tcPr>
            <w:tcW w:w="623" w:type="dxa"/>
            <w:tcBorders>
              <w:right w:val="single" w:sz="18" w:space="0" w:color="FFFFFF" w:themeColor="background2"/>
            </w:tcBorders>
          </w:tcPr>
          <w:p w14:paraId="53F4AD7D"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6CB080C1"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4A485EFA"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850" w:type="dxa"/>
            <w:tcBorders>
              <w:left w:val="single" w:sz="18" w:space="0" w:color="FFFFFF" w:themeColor="background2"/>
            </w:tcBorders>
          </w:tcPr>
          <w:p w14:paraId="55708831"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5F53E9" w:rsidRPr="00807DBD" w14:paraId="27DECB3E" w14:textId="77777777" w:rsidTr="00B15944">
        <w:trPr>
          <w:gridAfter w:val="1"/>
          <w:wAfter w:w="109" w:type="dxa"/>
          <w:trHeight w:val="170"/>
        </w:trPr>
        <w:tc>
          <w:tcPr>
            <w:tcW w:w="4253" w:type="dxa"/>
          </w:tcPr>
          <w:p w14:paraId="0A8F0968" w14:textId="77777777" w:rsidR="005F53E9" w:rsidRPr="00807DBD" w:rsidRDefault="005F53E9" w:rsidP="00B15944">
            <w:pPr>
              <w:suppressAutoHyphens/>
              <w:autoSpaceDE w:val="0"/>
              <w:autoSpaceDN w:val="0"/>
              <w:adjustRightInd w:val="0"/>
              <w:spacing w:before="20" w:after="20"/>
              <w:textAlignment w:val="center"/>
              <w:rPr>
                <w:color w:val="292929"/>
                <w:sz w:val="14"/>
                <w:szCs w:val="14"/>
              </w:rPr>
            </w:pPr>
            <w:r w:rsidRPr="00807DBD">
              <w:rPr>
                <w:color w:val="292929"/>
                <w:sz w:val="14"/>
                <w:szCs w:val="14"/>
              </w:rPr>
              <w:t>Purchase of leasehold improvements</w:t>
            </w:r>
          </w:p>
        </w:tc>
        <w:tc>
          <w:tcPr>
            <w:tcW w:w="623" w:type="dxa"/>
            <w:tcBorders>
              <w:right w:val="single" w:sz="18" w:space="0" w:color="FFFFFF" w:themeColor="background2"/>
            </w:tcBorders>
          </w:tcPr>
          <w:p w14:paraId="2C688471"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40ADBC97" w14:textId="4B211452" w:rsidR="005F53E9" w:rsidRPr="005E6AA1" w:rsidRDefault="003B1307"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(2,481)</w:t>
            </w:r>
          </w:p>
        </w:tc>
        <w:tc>
          <w:tcPr>
            <w:tcW w:w="794" w:type="dxa"/>
            <w:tcBorders>
              <w:left w:val="single" w:sz="18" w:space="0" w:color="FFFFFF" w:themeColor="background2"/>
              <w:bottom w:val="single" w:sz="2" w:space="0" w:color="auto"/>
              <w:right w:val="single" w:sz="18" w:space="0" w:color="FFFFFF" w:themeColor="background2"/>
            </w:tcBorders>
          </w:tcPr>
          <w:p w14:paraId="6428C904" w14:textId="03EA7504" w:rsidR="005F53E9" w:rsidRPr="005E6AA1" w:rsidRDefault="003B1307"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c>
          <w:tcPr>
            <w:tcW w:w="850" w:type="dxa"/>
            <w:tcBorders>
              <w:left w:val="single" w:sz="18" w:space="0" w:color="FFFFFF" w:themeColor="background2"/>
              <w:bottom w:val="single" w:sz="2" w:space="0" w:color="auto"/>
            </w:tcBorders>
          </w:tcPr>
          <w:p w14:paraId="0BB48855" w14:textId="6303046D" w:rsidR="005F53E9" w:rsidRPr="005E6AA1"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5E6AA1">
              <w:rPr>
                <w:color w:val="292929"/>
                <w:sz w:val="14"/>
                <w:szCs w:val="14"/>
              </w:rPr>
              <w:t>(</w:t>
            </w:r>
            <w:r w:rsidR="003B1307">
              <w:rPr>
                <w:color w:val="292929"/>
                <w:sz w:val="14"/>
                <w:szCs w:val="14"/>
              </w:rPr>
              <w:t>3</w:t>
            </w:r>
            <w:r w:rsidRPr="005E6AA1">
              <w:rPr>
                <w:color w:val="292929"/>
                <w:sz w:val="14"/>
                <w:szCs w:val="14"/>
              </w:rPr>
              <w:t>0)</w:t>
            </w:r>
          </w:p>
        </w:tc>
      </w:tr>
      <w:tr w:rsidR="005F53E9" w:rsidRPr="00807DBD" w14:paraId="56BE27FE" w14:textId="77777777" w:rsidTr="00B15944">
        <w:trPr>
          <w:gridAfter w:val="1"/>
          <w:wAfter w:w="109" w:type="dxa"/>
          <w:trHeight w:val="170"/>
        </w:trPr>
        <w:tc>
          <w:tcPr>
            <w:tcW w:w="4253" w:type="dxa"/>
          </w:tcPr>
          <w:p w14:paraId="2927E35D"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Total cash used</w:t>
            </w:r>
          </w:p>
        </w:tc>
        <w:tc>
          <w:tcPr>
            <w:tcW w:w="623" w:type="dxa"/>
            <w:tcBorders>
              <w:right w:val="single" w:sz="18" w:space="0" w:color="FFFFFF" w:themeColor="background2"/>
            </w:tcBorders>
          </w:tcPr>
          <w:p w14:paraId="7A4A3874"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0C64B9E6" w14:textId="37E6E9B5" w:rsidR="005F53E9" w:rsidRPr="005E6AA1" w:rsidRDefault="003B1307"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(2,481)</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0F3C547F" w14:textId="6008C684" w:rsidR="005F53E9" w:rsidRPr="005E6AA1" w:rsidRDefault="003B1307"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c>
          <w:tcPr>
            <w:tcW w:w="850" w:type="dxa"/>
            <w:tcBorders>
              <w:top w:val="single" w:sz="2" w:space="0" w:color="auto"/>
              <w:left w:val="single" w:sz="18" w:space="0" w:color="FFFFFF" w:themeColor="background2"/>
              <w:bottom w:val="single" w:sz="2" w:space="0" w:color="auto"/>
            </w:tcBorders>
          </w:tcPr>
          <w:p w14:paraId="1882387F" w14:textId="6D947ACA" w:rsidR="005F53E9" w:rsidRPr="005E6AA1"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5E6AA1">
              <w:rPr>
                <w:color w:val="292929"/>
                <w:sz w:val="14"/>
                <w:szCs w:val="14"/>
              </w:rPr>
              <w:t>(</w:t>
            </w:r>
            <w:r w:rsidR="003B1307">
              <w:rPr>
                <w:color w:val="292929"/>
                <w:sz w:val="14"/>
                <w:szCs w:val="14"/>
              </w:rPr>
              <w:t>35</w:t>
            </w:r>
            <w:r w:rsidRPr="005E6AA1">
              <w:rPr>
                <w:color w:val="292929"/>
                <w:sz w:val="14"/>
                <w:szCs w:val="14"/>
              </w:rPr>
              <w:t>)</w:t>
            </w:r>
          </w:p>
        </w:tc>
      </w:tr>
      <w:tr w:rsidR="005F53E9" w:rsidRPr="00807DBD" w14:paraId="26EFACBE" w14:textId="77777777" w:rsidTr="00B15944">
        <w:trPr>
          <w:gridAfter w:val="1"/>
          <w:wAfter w:w="109" w:type="dxa"/>
          <w:trHeight w:val="170"/>
        </w:trPr>
        <w:tc>
          <w:tcPr>
            <w:tcW w:w="4253" w:type="dxa"/>
          </w:tcPr>
          <w:p w14:paraId="58111C87"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Net cash from /(used by) investing activities</w:t>
            </w:r>
          </w:p>
        </w:tc>
        <w:tc>
          <w:tcPr>
            <w:tcW w:w="623" w:type="dxa"/>
            <w:tcBorders>
              <w:right w:val="single" w:sz="18" w:space="0" w:color="FFFFFF" w:themeColor="background2"/>
            </w:tcBorders>
          </w:tcPr>
          <w:p w14:paraId="23805E68"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0EB27CD3" w14:textId="4E954A54" w:rsidR="005F53E9" w:rsidRPr="005E6AA1" w:rsidRDefault="003B1307"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(2,481)</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706B513D" w14:textId="5A3605B6" w:rsidR="005F53E9" w:rsidRPr="005E6AA1" w:rsidRDefault="003B1307"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c>
          <w:tcPr>
            <w:tcW w:w="850" w:type="dxa"/>
            <w:tcBorders>
              <w:top w:val="single" w:sz="2" w:space="0" w:color="auto"/>
              <w:left w:val="single" w:sz="18" w:space="0" w:color="FFFFFF" w:themeColor="background2"/>
              <w:bottom w:val="single" w:sz="2" w:space="0" w:color="auto"/>
            </w:tcBorders>
          </w:tcPr>
          <w:p w14:paraId="60187FE7" w14:textId="2F8B3141" w:rsidR="005F53E9" w:rsidRPr="005E6AA1"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5E6AA1">
              <w:rPr>
                <w:color w:val="292929"/>
                <w:sz w:val="14"/>
                <w:szCs w:val="14"/>
              </w:rPr>
              <w:t>(</w:t>
            </w:r>
            <w:r w:rsidR="003B1307">
              <w:rPr>
                <w:color w:val="292929"/>
                <w:sz w:val="14"/>
                <w:szCs w:val="14"/>
              </w:rPr>
              <w:t>35</w:t>
            </w:r>
            <w:r w:rsidRPr="005E6AA1">
              <w:rPr>
                <w:color w:val="292929"/>
                <w:sz w:val="14"/>
                <w:szCs w:val="14"/>
              </w:rPr>
              <w:t>)</w:t>
            </w:r>
          </w:p>
        </w:tc>
      </w:tr>
      <w:tr w:rsidR="005F53E9" w:rsidRPr="00807DBD" w14:paraId="0934EA6A" w14:textId="77777777" w:rsidTr="00B15944">
        <w:trPr>
          <w:gridAfter w:val="1"/>
          <w:wAfter w:w="109" w:type="dxa"/>
          <w:trHeight w:val="170"/>
        </w:trPr>
        <w:tc>
          <w:tcPr>
            <w:tcW w:w="4253" w:type="dxa"/>
          </w:tcPr>
          <w:p w14:paraId="53C2B71C" w14:textId="77777777" w:rsidR="005F53E9" w:rsidRPr="00807DBD" w:rsidRDefault="005F53E9" w:rsidP="00B15944">
            <w:pPr>
              <w:suppressAutoHyphens/>
              <w:autoSpaceDE w:val="0"/>
              <w:autoSpaceDN w:val="0"/>
              <w:adjustRightInd w:val="0"/>
              <w:spacing w:before="20" w:after="20"/>
              <w:textAlignment w:val="center"/>
              <w:rPr>
                <w:color w:val="292929"/>
                <w:sz w:val="14"/>
                <w:szCs w:val="14"/>
              </w:rPr>
            </w:pPr>
          </w:p>
        </w:tc>
        <w:tc>
          <w:tcPr>
            <w:tcW w:w="623" w:type="dxa"/>
            <w:tcBorders>
              <w:right w:val="single" w:sz="18" w:space="0" w:color="FFFFFF" w:themeColor="background2"/>
            </w:tcBorders>
          </w:tcPr>
          <w:p w14:paraId="6FF78EF3"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0734020F"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794" w:type="dxa"/>
            <w:tcBorders>
              <w:top w:val="single" w:sz="2" w:space="0" w:color="auto"/>
              <w:left w:val="single" w:sz="18" w:space="0" w:color="FFFFFF" w:themeColor="background2"/>
              <w:right w:val="single" w:sz="18" w:space="0" w:color="FFFFFF" w:themeColor="background2"/>
            </w:tcBorders>
          </w:tcPr>
          <w:p w14:paraId="713F9DA3" w14:textId="77777777"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850" w:type="dxa"/>
            <w:tcBorders>
              <w:top w:val="single" w:sz="2" w:space="0" w:color="auto"/>
              <w:left w:val="single" w:sz="18" w:space="0" w:color="FFFFFF" w:themeColor="background2"/>
            </w:tcBorders>
          </w:tcPr>
          <w:p w14:paraId="308F6C27"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F53E9" w:rsidRPr="00807DBD" w14:paraId="3E85DF07" w14:textId="77777777" w:rsidTr="00B15944">
        <w:trPr>
          <w:gridAfter w:val="1"/>
          <w:wAfter w:w="109" w:type="dxa"/>
          <w:trHeight w:val="170"/>
        </w:trPr>
        <w:tc>
          <w:tcPr>
            <w:tcW w:w="4253" w:type="dxa"/>
          </w:tcPr>
          <w:p w14:paraId="4E119A9B"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FINANCING ACTIVITIES</w:t>
            </w:r>
          </w:p>
        </w:tc>
        <w:tc>
          <w:tcPr>
            <w:tcW w:w="623" w:type="dxa"/>
            <w:tcBorders>
              <w:right w:val="single" w:sz="18" w:space="0" w:color="FFFFFF" w:themeColor="background2"/>
            </w:tcBorders>
          </w:tcPr>
          <w:p w14:paraId="14650BB2"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037E67E9"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left w:val="single" w:sz="18" w:space="0" w:color="FFFFFF" w:themeColor="background2"/>
              <w:right w:val="single" w:sz="18" w:space="0" w:color="FFFFFF" w:themeColor="background2"/>
            </w:tcBorders>
          </w:tcPr>
          <w:p w14:paraId="23650A9F" w14:textId="77777777"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p>
        </w:tc>
        <w:tc>
          <w:tcPr>
            <w:tcW w:w="850" w:type="dxa"/>
            <w:tcBorders>
              <w:left w:val="single" w:sz="18" w:space="0" w:color="FFFFFF" w:themeColor="background2"/>
            </w:tcBorders>
          </w:tcPr>
          <w:p w14:paraId="76553958"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5F53E9" w:rsidRPr="00807DBD" w14:paraId="0CBC9F87" w14:textId="77777777" w:rsidTr="00B15944">
        <w:trPr>
          <w:gridAfter w:val="1"/>
          <w:wAfter w:w="109" w:type="dxa"/>
          <w:trHeight w:val="170"/>
        </w:trPr>
        <w:tc>
          <w:tcPr>
            <w:tcW w:w="4253" w:type="dxa"/>
          </w:tcPr>
          <w:p w14:paraId="30C9E556"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Cash used</w:t>
            </w:r>
          </w:p>
        </w:tc>
        <w:tc>
          <w:tcPr>
            <w:tcW w:w="623" w:type="dxa"/>
            <w:tcBorders>
              <w:right w:val="single" w:sz="18" w:space="0" w:color="FFFFFF" w:themeColor="background2"/>
            </w:tcBorders>
          </w:tcPr>
          <w:p w14:paraId="4C6FED42"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7CEDCEB8"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left w:val="single" w:sz="18" w:space="0" w:color="FFFFFF" w:themeColor="background2"/>
              <w:right w:val="single" w:sz="18" w:space="0" w:color="FFFFFF" w:themeColor="background2"/>
            </w:tcBorders>
          </w:tcPr>
          <w:p w14:paraId="4A206F91" w14:textId="77777777" w:rsidR="005F53E9" w:rsidRPr="00807DBD" w:rsidRDefault="005F53E9" w:rsidP="00B15944">
            <w:pPr>
              <w:suppressAutoHyphens/>
              <w:autoSpaceDE w:val="0"/>
              <w:autoSpaceDN w:val="0"/>
              <w:adjustRightInd w:val="0"/>
              <w:spacing w:before="20" w:after="20"/>
              <w:jc w:val="center"/>
              <w:textAlignment w:val="center"/>
              <w:rPr>
                <w:color w:val="292929"/>
                <w:sz w:val="14"/>
                <w:szCs w:val="14"/>
              </w:rPr>
            </w:pPr>
            <w:r w:rsidRPr="00807DBD">
              <w:rPr>
                <w:color w:val="292929"/>
                <w:sz w:val="14"/>
                <w:szCs w:val="14"/>
              </w:rPr>
              <w:t xml:space="preserve"> </w:t>
            </w:r>
          </w:p>
        </w:tc>
        <w:tc>
          <w:tcPr>
            <w:tcW w:w="850" w:type="dxa"/>
            <w:tcBorders>
              <w:left w:val="single" w:sz="18" w:space="0" w:color="FFFFFF" w:themeColor="background2"/>
            </w:tcBorders>
          </w:tcPr>
          <w:p w14:paraId="5964D7EE" w14:textId="77777777"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5F53E9" w:rsidRPr="00807DBD" w14:paraId="3BEC673B" w14:textId="77777777" w:rsidTr="00B15944">
        <w:trPr>
          <w:gridAfter w:val="1"/>
          <w:wAfter w:w="109" w:type="dxa"/>
          <w:trHeight w:val="170"/>
        </w:trPr>
        <w:tc>
          <w:tcPr>
            <w:tcW w:w="4253" w:type="dxa"/>
          </w:tcPr>
          <w:p w14:paraId="3B40BE42" w14:textId="77777777" w:rsidR="005F53E9" w:rsidRPr="00807DBD" w:rsidRDefault="005F53E9" w:rsidP="00B15944">
            <w:pPr>
              <w:suppressAutoHyphens/>
              <w:autoSpaceDE w:val="0"/>
              <w:autoSpaceDN w:val="0"/>
              <w:adjustRightInd w:val="0"/>
              <w:spacing w:before="20" w:after="20"/>
              <w:textAlignment w:val="center"/>
              <w:rPr>
                <w:color w:val="292929"/>
                <w:sz w:val="14"/>
                <w:szCs w:val="14"/>
              </w:rPr>
            </w:pPr>
            <w:r w:rsidRPr="00807DBD">
              <w:rPr>
                <w:color w:val="292929"/>
                <w:sz w:val="14"/>
                <w:szCs w:val="14"/>
              </w:rPr>
              <w:t>Principal payments of lease liabilities</w:t>
            </w:r>
          </w:p>
        </w:tc>
        <w:tc>
          <w:tcPr>
            <w:tcW w:w="623" w:type="dxa"/>
            <w:tcBorders>
              <w:right w:val="single" w:sz="18" w:space="0" w:color="FFFFFF" w:themeColor="background2"/>
            </w:tcBorders>
          </w:tcPr>
          <w:p w14:paraId="3DCFB701"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64AC70B6" w14:textId="302A6A00"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r w:rsidR="003B1307">
              <w:rPr>
                <w:rFonts w:asciiTheme="majorHAnsi" w:hAnsiTheme="majorHAnsi"/>
                <w:color w:val="292929"/>
                <w:sz w:val="14"/>
                <w:szCs w:val="14"/>
              </w:rPr>
              <w:t>785</w:t>
            </w:r>
            <w:r>
              <w:rPr>
                <w:rFonts w:asciiTheme="majorHAnsi" w:hAnsiTheme="majorHAnsi"/>
                <w:color w:val="292929"/>
                <w:sz w:val="14"/>
                <w:szCs w:val="14"/>
              </w:rPr>
              <w:t>)</w:t>
            </w:r>
            <w:r w:rsidRPr="00807DBD">
              <w:rPr>
                <w:rFonts w:asciiTheme="majorHAnsi" w:hAnsiTheme="majorHAnsi"/>
                <w:color w:val="292929"/>
                <w:sz w:val="14"/>
                <w:szCs w:val="14"/>
              </w:rPr>
              <w:t xml:space="preserve"> </w:t>
            </w:r>
          </w:p>
        </w:tc>
        <w:tc>
          <w:tcPr>
            <w:tcW w:w="794" w:type="dxa"/>
            <w:tcBorders>
              <w:left w:val="single" w:sz="18" w:space="0" w:color="FFFFFF" w:themeColor="background2"/>
              <w:bottom w:val="single" w:sz="2" w:space="0" w:color="auto"/>
              <w:right w:val="single" w:sz="18" w:space="0" w:color="FFFFFF" w:themeColor="background2"/>
            </w:tcBorders>
          </w:tcPr>
          <w:p w14:paraId="466CDDAB" w14:textId="333CB48B"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(6</w:t>
            </w:r>
            <w:r w:rsidR="003B1307">
              <w:rPr>
                <w:color w:val="292929"/>
                <w:sz w:val="14"/>
                <w:szCs w:val="14"/>
              </w:rPr>
              <w:t>83</w:t>
            </w:r>
            <w:r>
              <w:rPr>
                <w:color w:val="292929"/>
                <w:sz w:val="14"/>
                <w:szCs w:val="14"/>
              </w:rPr>
              <w:t>)</w:t>
            </w:r>
          </w:p>
        </w:tc>
        <w:tc>
          <w:tcPr>
            <w:tcW w:w="850" w:type="dxa"/>
            <w:tcBorders>
              <w:left w:val="single" w:sz="18" w:space="0" w:color="FFFFFF" w:themeColor="background2"/>
              <w:bottom w:val="single" w:sz="2" w:space="0" w:color="auto"/>
            </w:tcBorders>
          </w:tcPr>
          <w:p w14:paraId="5980C402" w14:textId="693BD36D"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w:t>
            </w:r>
            <w:r w:rsidR="003B1307">
              <w:rPr>
                <w:rFonts w:cs="Futura PT Book"/>
                <w:color w:val="292929"/>
                <w:sz w:val="14"/>
                <w:szCs w:val="14"/>
                <w:lang w:val="en-US"/>
              </w:rPr>
              <w:t>718</w:t>
            </w:r>
            <w:r>
              <w:rPr>
                <w:rFonts w:cs="Futura PT Book"/>
                <w:color w:val="292929"/>
                <w:sz w:val="14"/>
                <w:szCs w:val="14"/>
                <w:lang w:val="en-US"/>
              </w:rPr>
              <w:t>)</w:t>
            </w:r>
          </w:p>
        </w:tc>
      </w:tr>
      <w:tr w:rsidR="005F53E9" w:rsidRPr="00807DBD" w14:paraId="701E2AE9" w14:textId="77777777" w:rsidTr="00B15944">
        <w:trPr>
          <w:gridAfter w:val="1"/>
          <w:wAfter w:w="109" w:type="dxa"/>
          <w:trHeight w:val="170"/>
        </w:trPr>
        <w:tc>
          <w:tcPr>
            <w:tcW w:w="4253" w:type="dxa"/>
          </w:tcPr>
          <w:p w14:paraId="7741087D"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Total cash used</w:t>
            </w:r>
          </w:p>
        </w:tc>
        <w:tc>
          <w:tcPr>
            <w:tcW w:w="623" w:type="dxa"/>
            <w:tcBorders>
              <w:right w:val="single" w:sz="18" w:space="0" w:color="FFFFFF" w:themeColor="background2"/>
            </w:tcBorders>
          </w:tcPr>
          <w:p w14:paraId="14EF9D3F"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47703AD9" w14:textId="0DC09E4E"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r w:rsidR="003B1307">
              <w:rPr>
                <w:rFonts w:asciiTheme="majorHAnsi" w:hAnsiTheme="majorHAnsi"/>
                <w:color w:val="292929"/>
                <w:sz w:val="14"/>
                <w:szCs w:val="14"/>
              </w:rPr>
              <w:t>785</w:t>
            </w:r>
            <w:r>
              <w:rPr>
                <w:rFonts w:asciiTheme="majorHAnsi" w:hAnsiTheme="majorHAnsi"/>
                <w:color w:val="292929"/>
                <w:sz w:val="14"/>
                <w:szCs w:val="14"/>
              </w:rPr>
              <w:t>)</w:t>
            </w:r>
            <w:r w:rsidRPr="00807DBD">
              <w:rPr>
                <w:rFonts w:asciiTheme="majorHAnsi" w:hAnsiTheme="majorHAnsi"/>
                <w:color w:val="292929"/>
                <w:sz w:val="14"/>
                <w:szCs w:val="14"/>
              </w:rPr>
              <w:t xml:space="preserve"> </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378E832E" w14:textId="51611272"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(6</w:t>
            </w:r>
            <w:r w:rsidR="003B1307">
              <w:rPr>
                <w:color w:val="292929"/>
                <w:sz w:val="14"/>
                <w:szCs w:val="14"/>
              </w:rPr>
              <w:t>83</w:t>
            </w:r>
            <w:r>
              <w:rPr>
                <w:color w:val="292929"/>
                <w:sz w:val="14"/>
                <w:szCs w:val="14"/>
              </w:rPr>
              <w:t>)</w:t>
            </w:r>
          </w:p>
        </w:tc>
        <w:tc>
          <w:tcPr>
            <w:tcW w:w="850" w:type="dxa"/>
            <w:tcBorders>
              <w:top w:val="single" w:sz="2" w:space="0" w:color="auto"/>
              <w:left w:val="single" w:sz="18" w:space="0" w:color="FFFFFF" w:themeColor="background2"/>
              <w:bottom w:val="single" w:sz="2" w:space="0" w:color="auto"/>
            </w:tcBorders>
          </w:tcPr>
          <w:p w14:paraId="714B4836" w14:textId="5C6362EC"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w:t>
            </w:r>
            <w:r w:rsidR="003B1307">
              <w:rPr>
                <w:rFonts w:cs="Futura PT Book"/>
                <w:color w:val="292929"/>
                <w:sz w:val="14"/>
                <w:szCs w:val="14"/>
                <w:lang w:val="en-US"/>
              </w:rPr>
              <w:t>718</w:t>
            </w:r>
            <w:r>
              <w:rPr>
                <w:rFonts w:cs="Futura PT Book"/>
                <w:color w:val="292929"/>
                <w:sz w:val="14"/>
                <w:szCs w:val="14"/>
                <w:lang w:val="en-US"/>
              </w:rPr>
              <w:t>)</w:t>
            </w:r>
          </w:p>
        </w:tc>
      </w:tr>
      <w:tr w:rsidR="005F53E9" w:rsidRPr="00807DBD" w14:paraId="15BF6709" w14:textId="77777777" w:rsidTr="00B15944">
        <w:trPr>
          <w:gridAfter w:val="1"/>
          <w:wAfter w:w="109" w:type="dxa"/>
          <w:trHeight w:val="170"/>
        </w:trPr>
        <w:tc>
          <w:tcPr>
            <w:tcW w:w="4253" w:type="dxa"/>
          </w:tcPr>
          <w:p w14:paraId="5061310B" w14:textId="0B1A371F"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Net cash from</w:t>
            </w:r>
            <w:r w:rsidR="003B1307">
              <w:rPr>
                <w:rFonts w:asciiTheme="majorHAnsi" w:hAnsiTheme="majorHAnsi"/>
                <w:color w:val="292929"/>
                <w:sz w:val="14"/>
                <w:szCs w:val="14"/>
              </w:rPr>
              <w:t xml:space="preserve"> </w:t>
            </w:r>
            <w:r w:rsidR="003B1307" w:rsidRPr="00807DBD">
              <w:rPr>
                <w:rFonts w:asciiTheme="majorHAnsi" w:hAnsiTheme="majorHAnsi"/>
                <w:color w:val="292929"/>
                <w:sz w:val="14"/>
                <w:szCs w:val="14"/>
              </w:rPr>
              <w:t>/ (</w:t>
            </w:r>
            <w:r w:rsidRPr="00807DBD">
              <w:rPr>
                <w:rFonts w:asciiTheme="majorHAnsi" w:hAnsiTheme="majorHAnsi"/>
                <w:color w:val="292929"/>
                <w:sz w:val="14"/>
                <w:szCs w:val="14"/>
              </w:rPr>
              <w:t>used by) financing activities</w:t>
            </w:r>
          </w:p>
        </w:tc>
        <w:tc>
          <w:tcPr>
            <w:tcW w:w="623" w:type="dxa"/>
            <w:tcBorders>
              <w:right w:val="single" w:sz="18" w:space="0" w:color="FFFFFF" w:themeColor="background2"/>
            </w:tcBorders>
          </w:tcPr>
          <w:p w14:paraId="3BA34B56"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028E0201" w14:textId="6A84E491"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w:t>
            </w:r>
            <w:r w:rsidR="003B1307">
              <w:rPr>
                <w:rFonts w:asciiTheme="majorHAnsi" w:hAnsiTheme="majorHAnsi"/>
                <w:color w:val="292929"/>
                <w:sz w:val="14"/>
                <w:szCs w:val="14"/>
              </w:rPr>
              <w:t>785</w:t>
            </w:r>
            <w:r w:rsidRPr="00807DBD">
              <w:rPr>
                <w:rFonts w:asciiTheme="majorHAnsi" w:hAnsiTheme="majorHAnsi"/>
                <w:color w:val="292929"/>
                <w:sz w:val="14"/>
                <w:szCs w:val="14"/>
              </w:rPr>
              <w:t>)</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1CEF9916" w14:textId="7D5C6D78"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(6</w:t>
            </w:r>
            <w:r w:rsidR="003B1307">
              <w:rPr>
                <w:color w:val="292929"/>
                <w:sz w:val="14"/>
                <w:szCs w:val="14"/>
              </w:rPr>
              <w:t>83</w:t>
            </w:r>
            <w:r>
              <w:rPr>
                <w:color w:val="292929"/>
                <w:sz w:val="14"/>
                <w:szCs w:val="14"/>
              </w:rPr>
              <w:t>)</w:t>
            </w:r>
            <w:r w:rsidRPr="00807DBD">
              <w:rPr>
                <w:color w:val="292929"/>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2ED0A7BA" w14:textId="5774929F" w:rsidR="005F53E9" w:rsidRPr="00807DBD" w:rsidRDefault="005F53E9"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r>
              <w:rPr>
                <w:color w:val="292929"/>
                <w:sz w:val="14"/>
                <w:szCs w:val="14"/>
              </w:rPr>
              <w:t>(</w:t>
            </w:r>
            <w:r w:rsidR="003B1307">
              <w:rPr>
                <w:color w:val="292929"/>
                <w:sz w:val="14"/>
                <w:szCs w:val="14"/>
              </w:rPr>
              <w:t>718</w:t>
            </w:r>
            <w:r>
              <w:rPr>
                <w:color w:val="292929"/>
                <w:sz w:val="14"/>
                <w:szCs w:val="14"/>
              </w:rPr>
              <w:t>)</w:t>
            </w:r>
          </w:p>
        </w:tc>
      </w:tr>
      <w:tr w:rsidR="005F53E9" w:rsidRPr="00807DBD" w14:paraId="77822BA5" w14:textId="77777777" w:rsidTr="00B15944">
        <w:trPr>
          <w:gridAfter w:val="1"/>
          <w:wAfter w:w="109" w:type="dxa"/>
          <w:trHeight w:val="170"/>
        </w:trPr>
        <w:tc>
          <w:tcPr>
            <w:tcW w:w="4253" w:type="dxa"/>
          </w:tcPr>
          <w:p w14:paraId="6AE07D4A" w14:textId="77777777" w:rsidR="005F53E9" w:rsidRPr="00807DBD" w:rsidRDefault="005F53E9" w:rsidP="00B15944">
            <w:pPr>
              <w:suppressAutoHyphens/>
              <w:autoSpaceDE w:val="0"/>
              <w:autoSpaceDN w:val="0"/>
              <w:adjustRightInd w:val="0"/>
              <w:spacing w:before="20" w:after="20"/>
              <w:textAlignment w:val="center"/>
              <w:rPr>
                <w:color w:val="292929"/>
                <w:sz w:val="14"/>
                <w:szCs w:val="14"/>
              </w:rPr>
            </w:pPr>
          </w:p>
        </w:tc>
        <w:tc>
          <w:tcPr>
            <w:tcW w:w="623" w:type="dxa"/>
            <w:tcBorders>
              <w:right w:val="single" w:sz="18" w:space="0" w:color="FFFFFF" w:themeColor="background2"/>
            </w:tcBorders>
          </w:tcPr>
          <w:p w14:paraId="4133627D"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6B5630BF" w14:textId="77777777" w:rsidR="005F53E9" w:rsidRPr="00807DBD"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6498F955" w14:textId="77777777"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p>
        </w:tc>
        <w:tc>
          <w:tcPr>
            <w:tcW w:w="850" w:type="dxa"/>
            <w:tcBorders>
              <w:top w:val="single" w:sz="2" w:space="0" w:color="auto"/>
              <w:left w:val="single" w:sz="18" w:space="0" w:color="FFFFFF" w:themeColor="background2"/>
            </w:tcBorders>
          </w:tcPr>
          <w:p w14:paraId="5BA22C16" w14:textId="77777777"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p>
        </w:tc>
      </w:tr>
      <w:tr w:rsidR="005F53E9" w:rsidRPr="00807DBD" w14:paraId="64ED91CC" w14:textId="77777777" w:rsidTr="00B15944">
        <w:trPr>
          <w:gridAfter w:val="1"/>
          <w:wAfter w:w="109" w:type="dxa"/>
          <w:trHeight w:val="170"/>
        </w:trPr>
        <w:tc>
          <w:tcPr>
            <w:tcW w:w="4253" w:type="dxa"/>
          </w:tcPr>
          <w:p w14:paraId="57D1491C" w14:textId="672328C5"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Net increase</w:t>
            </w:r>
            <w:r w:rsidR="003B1307">
              <w:rPr>
                <w:rFonts w:asciiTheme="majorHAnsi" w:hAnsiTheme="majorHAnsi"/>
                <w:color w:val="292929"/>
                <w:sz w:val="14"/>
                <w:szCs w:val="14"/>
              </w:rPr>
              <w:t xml:space="preserve"> / (decrease)</w:t>
            </w:r>
            <w:r w:rsidRPr="00807DBD">
              <w:rPr>
                <w:rFonts w:asciiTheme="majorHAnsi" w:hAnsiTheme="majorHAnsi"/>
                <w:color w:val="292929"/>
                <w:sz w:val="14"/>
                <w:szCs w:val="14"/>
              </w:rPr>
              <w:t xml:space="preserve"> in cash held</w:t>
            </w:r>
          </w:p>
        </w:tc>
        <w:tc>
          <w:tcPr>
            <w:tcW w:w="623" w:type="dxa"/>
            <w:tcBorders>
              <w:right w:val="single" w:sz="18" w:space="0" w:color="FFFFFF" w:themeColor="background2"/>
            </w:tcBorders>
          </w:tcPr>
          <w:p w14:paraId="12EE8DDE"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64C53731" w14:textId="52059BAD" w:rsidR="005F53E9" w:rsidRPr="005E6AA1" w:rsidRDefault="003B1307"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(172)</w:t>
            </w:r>
          </w:p>
        </w:tc>
        <w:tc>
          <w:tcPr>
            <w:tcW w:w="794" w:type="dxa"/>
            <w:tcBorders>
              <w:left w:val="single" w:sz="18" w:space="0" w:color="FFFFFF" w:themeColor="background2"/>
              <w:bottom w:val="single" w:sz="2" w:space="0" w:color="auto"/>
              <w:right w:val="single" w:sz="18" w:space="0" w:color="FFFFFF" w:themeColor="background2"/>
            </w:tcBorders>
          </w:tcPr>
          <w:p w14:paraId="7CE33FD1" w14:textId="19FAF11C" w:rsidR="005F53E9" w:rsidRPr="00807DBD" w:rsidRDefault="003B1307"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2,132</w:t>
            </w:r>
            <w:r w:rsidR="005F53E9" w:rsidRPr="00807DBD">
              <w:rPr>
                <w:color w:val="292929"/>
                <w:sz w:val="14"/>
                <w:szCs w:val="14"/>
              </w:rPr>
              <w:t xml:space="preserve"> </w:t>
            </w:r>
          </w:p>
        </w:tc>
        <w:tc>
          <w:tcPr>
            <w:tcW w:w="850" w:type="dxa"/>
            <w:tcBorders>
              <w:left w:val="single" w:sz="18" w:space="0" w:color="FFFFFF" w:themeColor="background2"/>
              <w:bottom w:val="single" w:sz="2" w:space="0" w:color="auto"/>
            </w:tcBorders>
          </w:tcPr>
          <w:p w14:paraId="35144025" w14:textId="09F1D143" w:rsidR="005F53E9" w:rsidRPr="00807DBD" w:rsidRDefault="003B1307"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69</w:t>
            </w:r>
          </w:p>
        </w:tc>
      </w:tr>
      <w:tr w:rsidR="005F53E9" w:rsidRPr="00807DBD" w14:paraId="5AA78444" w14:textId="77777777" w:rsidTr="00B15944">
        <w:trPr>
          <w:gridAfter w:val="1"/>
          <w:wAfter w:w="109" w:type="dxa"/>
          <w:trHeight w:val="170"/>
        </w:trPr>
        <w:tc>
          <w:tcPr>
            <w:tcW w:w="4253" w:type="dxa"/>
          </w:tcPr>
          <w:p w14:paraId="08FF2E75" w14:textId="77777777" w:rsidR="005F53E9" w:rsidRPr="00807DBD" w:rsidRDefault="005F53E9" w:rsidP="00B15944">
            <w:pPr>
              <w:suppressAutoHyphens/>
              <w:autoSpaceDE w:val="0"/>
              <w:autoSpaceDN w:val="0"/>
              <w:adjustRightInd w:val="0"/>
              <w:spacing w:before="20" w:after="20"/>
              <w:textAlignment w:val="center"/>
              <w:rPr>
                <w:color w:val="292929"/>
                <w:sz w:val="14"/>
                <w:szCs w:val="14"/>
              </w:rPr>
            </w:pPr>
            <w:r w:rsidRPr="00807DBD">
              <w:rPr>
                <w:color w:val="292929"/>
                <w:sz w:val="14"/>
                <w:szCs w:val="14"/>
              </w:rPr>
              <w:t>Cash and cash equivalents at the beginning of the reporting period</w:t>
            </w:r>
          </w:p>
        </w:tc>
        <w:tc>
          <w:tcPr>
            <w:tcW w:w="623" w:type="dxa"/>
            <w:tcBorders>
              <w:right w:val="single" w:sz="18" w:space="0" w:color="FFFFFF" w:themeColor="background2"/>
            </w:tcBorders>
          </w:tcPr>
          <w:p w14:paraId="40A5EED5" w14:textId="77777777" w:rsidR="005F53E9" w:rsidRPr="00807DBD" w:rsidRDefault="005F53E9" w:rsidP="00B15944">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38C8414A" w14:textId="4090B37A" w:rsidR="005F53E9" w:rsidRPr="005E6AA1" w:rsidRDefault="003B1307"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16,251</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757D7A8A" w14:textId="62E75C13"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sidR="003B1307">
              <w:rPr>
                <w:color w:val="292929"/>
                <w:sz w:val="14"/>
                <w:szCs w:val="14"/>
              </w:rPr>
              <w:t>4,119</w:t>
            </w:r>
            <w:r w:rsidRPr="00807DBD">
              <w:rPr>
                <w:color w:val="292929"/>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69D2E4FC" w14:textId="7C745A21"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sidR="003B1307">
              <w:rPr>
                <w:color w:val="292929"/>
                <w:sz w:val="14"/>
                <w:szCs w:val="14"/>
              </w:rPr>
              <w:t>3,407</w:t>
            </w:r>
            <w:r w:rsidRPr="00807DBD">
              <w:rPr>
                <w:color w:val="292929"/>
                <w:sz w:val="14"/>
                <w:szCs w:val="14"/>
              </w:rPr>
              <w:t xml:space="preserve"> </w:t>
            </w:r>
          </w:p>
        </w:tc>
      </w:tr>
      <w:tr w:rsidR="005F53E9" w:rsidRPr="00807DBD" w14:paraId="0729B1D7" w14:textId="77777777" w:rsidTr="00B15944">
        <w:trPr>
          <w:gridAfter w:val="1"/>
          <w:wAfter w:w="109" w:type="dxa"/>
          <w:trHeight w:val="170"/>
        </w:trPr>
        <w:tc>
          <w:tcPr>
            <w:tcW w:w="4253" w:type="dxa"/>
          </w:tcPr>
          <w:p w14:paraId="678A140B" w14:textId="77777777" w:rsidR="005F53E9" w:rsidRPr="00807DBD" w:rsidRDefault="005F53E9" w:rsidP="00B15944">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Cash and cash equivalents at the end of the reporting period</w:t>
            </w:r>
          </w:p>
        </w:tc>
        <w:tc>
          <w:tcPr>
            <w:tcW w:w="623" w:type="dxa"/>
            <w:tcBorders>
              <w:right w:val="single" w:sz="18" w:space="0" w:color="FFFFFF" w:themeColor="background2"/>
            </w:tcBorders>
          </w:tcPr>
          <w:p w14:paraId="372FE70D" w14:textId="77777777" w:rsidR="005F53E9" w:rsidRPr="00807DBD" w:rsidRDefault="005F53E9" w:rsidP="00B15944">
            <w:pPr>
              <w:autoSpaceDE w:val="0"/>
              <w:autoSpaceDN w:val="0"/>
              <w:adjustRightInd w:val="0"/>
              <w:spacing w:before="20" w:after="20"/>
              <w:jc w:val="right"/>
              <w:rPr>
                <w:color w:val="292929"/>
                <w:sz w:val="14"/>
                <w:szCs w:val="14"/>
              </w:rPr>
            </w:pPr>
            <w:r w:rsidRPr="00807DBD">
              <w:rPr>
                <w:color w:val="292929"/>
                <w:sz w:val="14"/>
                <w:szCs w:val="14"/>
              </w:rPr>
              <w:t>2.1A</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43BFBDA2" w14:textId="61929644" w:rsidR="005F53E9" w:rsidRPr="005E6AA1" w:rsidRDefault="005F53E9"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16,</w:t>
            </w:r>
            <w:r w:rsidR="003B1307">
              <w:rPr>
                <w:rFonts w:asciiTheme="majorHAnsi" w:hAnsiTheme="majorHAnsi"/>
                <w:color w:val="292929"/>
                <w:sz w:val="14"/>
                <w:szCs w:val="14"/>
              </w:rPr>
              <w:t>079</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2DDAB683" w14:textId="48ED1829"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sidR="003B1307">
              <w:rPr>
                <w:color w:val="292929"/>
                <w:sz w:val="14"/>
                <w:szCs w:val="14"/>
              </w:rPr>
              <w:t>6,251</w:t>
            </w:r>
            <w:r w:rsidRPr="00807DBD">
              <w:rPr>
                <w:color w:val="292929"/>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3A987E15" w14:textId="4CCA6780" w:rsidR="005F53E9" w:rsidRPr="00807DBD" w:rsidRDefault="005F53E9" w:rsidP="00B15944">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sidR="003B1307">
              <w:rPr>
                <w:color w:val="292929"/>
                <w:sz w:val="14"/>
                <w:szCs w:val="14"/>
              </w:rPr>
              <w:t>3</w:t>
            </w:r>
            <w:r w:rsidRPr="00807DBD">
              <w:rPr>
                <w:color w:val="292929"/>
                <w:sz w:val="14"/>
                <w:szCs w:val="14"/>
              </w:rPr>
              <w:t>,</w:t>
            </w:r>
            <w:r w:rsidR="003B1307">
              <w:rPr>
                <w:color w:val="292929"/>
                <w:sz w:val="14"/>
                <w:szCs w:val="14"/>
              </w:rPr>
              <w:t>476</w:t>
            </w:r>
            <w:r w:rsidRPr="00807DBD">
              <w:rPr>
                <w:color w:val="292929"/>
                <w:sz w:val="14"/>
                <w:szCs w:val="14"/>
              </w:rPr>
              <w:t xml:space="preserve"> </w:t>
            </w:r>
          </w:p>
        </w:tc>
      </w:tr>
      <w:tr w:rsidR="005F53E9" w:rsidRPr="00744A0F" w14:paraId="0F742880" w14:textId="77777777" w:rsidTr="00B15944">
        <w:trPr>
          <w:gridAfter w:val="1"/>
          <w:wAfter w:w="109" w:type="dxa"/>
          <w:trHeight w:val="57"/>
        </w:trPr>
        <w:tc>
          <w:tcPr>
            <w:tcW w:w="4253" w:type="dxa"/>
          </w:tcPr>
          <w:p w14:paraId="65984026" w14:textId="77777777" w:rsidR="005F53E9" w:rsidRPr="00744A0F" w:rsidRDefault="005F53E9" w:rsidP="00B15944">
            <w:pPr>
              <w:suppressAutoHyphens/>
              <w:autoSpaceDE w:val="0"/>
              <w:autoSpaceDN w:val="0"/>
              <w:adjustRightInd w:val="0"/>
              <w:spacing w:before="20" w:after="20"/>
              <w:textAlignment w:val="center"/>
              <w:rPr>
                <w:rFonts w:asciiTheme="majorHAnsi" w:hAnsiTheme="majorHAnsi"/>
                <w:color w:val="292929"/>
                <w:sz w:val="4"/>
                <w:szCs w:val="4"/>
              </w:rPr>
            </w:pPr>
          </w:p>
        </w:tc>
        <w:tc>
          <w:tcPr>
            <w:tcW w:w="623" w:type="dxa"/>
            <w:tcBorders>
              <w:right w:val="single" w:sz="18" w:space="0" w:color="FFFFFF" w:themeColor="background2"/>
            </w:tcBorders>
          </w:tcPr>
          <w:p w14:paraId="1CE1D0BE" w14:textId="77777777" w:rsidR="005F53E9" w:rsidRPr="00744A0F" w:rsidRDefault="005F53E9" w:rsidP="00B15944">
            <w:pPr>
              <w:autoSpaceDE w:val="0"/>
              <w:autoSpaceDN w:val="0"/>
              <w:adjustRightInd w:val="0"/>
              <w:spacing w:before="20" w:after="20"/>
              <w:jc w:val="right"/>
              <w:rPr>
                <w:color w:val="292929"/>
                <w:sz w:val="4"/>
                <w:szCs w:val="4"/>
              </w:rPr>
            </w:pPr>
          </w:p>
        </w:tc>
        <w:tc>
          <w:tcPr>
            <w:tcW w:w="794" w:type="dxa"/>
            <w:tcBorders>
              <w:top w:val="single" w:sz="2" w:space="0" w:color="auto"/>
              <w:left w:val="single" w:sz="18" w:space="0" w:color="FFFFFF" w:themeColor="background2"/>
              <w:right w:val="single" w:sz="18" w:space="0" w:color="FFFFFF" w:themeColor="background2"/>
            </w:tcBorders>
          </w:tcPr>
          <w:p w14:paraId="1E11C1D2" w14:textId="77777777" w:rsidR="005F53E9" w:rsidRPr="00744A0F" w:rsidRDefault="005F53E9" w:rsidP="00B15944">
            <w:pPr>
              <w:suppressAutoHyphens/>
              <w:autoSpaceDE w:val="0"/>
              <w:autoSpaceDN w:val="0"/>
              <w:adjustRightInd w:val="0"/>
              <w:spacing w:before="20" w:after="20"/>
              <w:jc w:val="right"/>
              <w:textAlignment w:val="center"/>
              <w:rPr>
                <w:rFonts w:asciiTheme="majorHAnsi" w:hAnsiTheme="majorHAnsi"/>
                <w:color w:val="292929"/>
                <w:sz w:val="4"/>
                <w:szCs w:val="4"/>
              </w:rPr>
            </w:pPr>
          </w:p>
        </w:tc>
        <w:tc>
          <w:tcPr>
            <w:tcW w:w="794" w:type="dxa"/>
            <w:tcBorders>
              <w:top w:val="single" w:sz="2" w:space="0" w:color="auto"/>
              <w:left w:val="single" w:sz="18" w:space="0" w:color="FFFFFF" w:themeColor="background2"/>
              <w:right w:val="single" w:sz="18" w:space="0" w:color="FFFFFF" w:themeColor="background2"/>
            </w:tcBorders>
          </w:tcPr>
          <w:p w14:paraId="2A4562FE" w14:textId="77777777" w:rsidR="005F53E9" w:rsidRPr="00744A0F" w:rsidRDefault="005F53E9" w:rsidP="00B15944">
            <w:pPr>
              <w:suppressAutoHyphens/>
              <w:autoSpaceDE w:val="0"/>
              <w:autoSpaceDN w:val="0"/>
              <w:adjustRightInd w:val="0"/>
              <w:spacing w:before="20" w:after="20"/>
              <w:jc w:val="right"/>
              <w:textAlignment w:val="center"/>
              <w:rPr>
                <w:color w:val="292929"/>
                <w:sz w:val="4"/>
                <w:szCs w:val="4"/>
              </w:rPr>
            </w:pPr>
          </w:p>
        </w:tc>
        <w:tc>
          <w:tcPr>
            <w:tcW w:w="850" w:type="dxa"/>
            <w:tcBorders>
              <w:top w:val="single" w:sz="2" w:space="0" w:color="auto"/>
              <w:left w:val="single" w:sz="18" w:space="0" w:color="FFFFFF" w:themeColor="background2"/>
            </w:tcBorders>
          </w:tcPr>
          <w:p w14:paraId="42F36B9C" w14:textId="77777777" w:rsidR="005F53E9" w:rsidRPr="00744A0F" w:rsidRDefault="005F53E9" w:rsidP="00B15944">
            <w:pPr>
              <w:suppressAutoHyphens/>
              <w:autoSpaceDE w:val="0"/>
              <w:autoSpaceDN w:val="0"/>
              <w:adjustRightInd w:val="0"/>
              <w:spacing w:before="20" w:after="20"/>
              <w:jc w:val="right"/>
              <w:textAlignment w:val="center"/>
              <w:rPr>
                <w:color w:val="292929"/>
                <w:sz w:val="4"/>
                <w:szCs w:val="4"/>
              </w:rPr>
            </w:pPr>
          </w:p>
        </w:tc>
      </w:tr>
      <w:tr w:rsidR="005F53E9" w:rsidRPr="00807DBD" w14:paraId="6D9205DC" w14:textId="77777777" w:rsidTr="00B15944">
        <w:trPr>
          <w:trHeight w:val="300"/>
        </w:trPr>
        <w:tc>
          <w:tcPr>
            <w:tcW w:w="7423" w:type="dxa"/>
            <w:gridSpan w:val="6"/>
          </w:tcPr>
          <w:p w14:paraId="76426E65" w14:textId="77777777" w:rsidR="005F53E9" w:rsidRPr="00807DBD" w:rsidRDefault="005F53E9" w:rsidP="00B15944">
            <w:pPr>
              <w:suppressAutoHyphens/>
              <w:autoSpaceDE w:val="0"/>
              <w:autoSpaceDN w:val="0"/>
              <w:adjustRightInd w:val="0"/>
              <w:spacing w:before="20" w:after="20"/>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15F7BBCA" w14:textId="77777777" w:rsidR="005F53E9" w:rsidRPr="00DD1691" w:rsidRDefault="005F53E9" w:rsidP="005F53E9">
      <w:pPr>
        <w:pStyle w:val="H4"/>
        <w:rPr>
          <w:sz w:val="18"/>
        </w:rPr>
      </w:pPr>
      <w:r w:rsidRPr="00DD1691">
        <w:rPr>
          <w:sz w:val="18"/>
        </w:rPr>
        <w:t>Budget Variances Commentary</w:t>
      </w:r>
    </w:p>
    <w:p w14:paraId="5BEBF964" w14:textId="77777777" w:rsidR="005F53E9" w:rsidRPr="00CB3C3D" w:rsidRDefault="005F53E9" w:rsidP="005F53E9">
      <w:pPr>
        <w:pStyle w:val="Body-Financial"/>
        <w:rPr>
          <w:b/>
          <w:bCs/>
        </w:rPr>
      </w:pPr>
      <w:r w:rsidRPr="00CB3C3D">
        <w:rPr>
          <w:b/>
          <w:bCs/>
        </w:rPr>
        <w:t>Statement of Changes in Cash Flow</w:t>
      </w:r>
    </w:p>
    <w:p w14:paraId="1994858C" w14:textId="04B52A66" w:rsidR="00DF22E5" w:rsidRDefault="0079765E" w:rsidP="008664C1">
      <w:pPr>
        <w:pStyle w:val="Body"/>
        <w:rPr>
          <w:color w:val="292929"/>
        </w:rPr>
      </w:pPr>
      <w:r w:rsidRPr="0079765E">
        <w:rPr>
          <w:sz w:val="14"/>
          <w:szCs w:val="14"/>
        </w:rPr>
        <w:t xml:space="preserve">The closing cash balance of $16.079m was $2.603m higher than the budget due to opening balance difference of $2.844m. </w:t>
      </w:r>
    </w:p>
    <w:p w14:paraId="14F48BF2" w14:textId="77777777" w:rsidR="00C2709B" w:rsidRDefault="00C2709B" w:rsidP="008664C1">
      <w:pPr>
        <w:pStyle w:val="Body"/>
        <w:rPr>
          <w:color w:val="292929"/>
        </w:rPr>
        <w:sectPr w:rsidR="00C2709B" w:rsidSect="00441579">
          <w:footerReference w:type="default" r:id="rId187"/>
          <w:pgSz w:w="9979" w:h="14175"/>
          <w:pgMar w:top="1134" w:right="1134" w:bottom="1134" w:left="1134" w:header="709" w:footer="709" w:gutter="0"/>
          <w:cols w:space="708"/>
          <w:docGrid w:linePitch="360"/>
        </w:sectPr>
      </w:pPr>
    </w:p>
    <w:p w14:paraId="34D74B9D" w14:textId="1BD38E95" w:rsidR="00895608" w:rsidRDefault="00895608" w:rsidP="00BB77E0">
      <w:pPr>
        <w:pStyle w:val="H2Financials"/>
        <w:spacing w:after="240"/>
      </w:pPr>
      <w:bookmarkStart w:id="114" w:name="_Toc76744239"/>
      <w:bookmarkStart w:id="115" w:name="_Toc83220561"/>
      <w:bookmarkStart w:id="116" w:name="_Toc112133281"/>
      <w:bookmarkStart w:id="117" w:name="_Toc114824705"/>
      <w:r>
        <w:t>Overview</w:t>
      </w:r>
      <w:bookmarkEnd w:id="114"/>
      <w:bookmarkEnd w:id="115"/>
      <w:bookmarkEnd w:id="116"/>
      <w:bookmarkEnd w:id="117"/>
    </w:p>
    <w:p w14:paraId="5DBEBE54" w14:textId="77777777" w:rsidR="00895608" w:rsidRDefault="00895608" w:rsidP="00895608">
      <w:pPr>
        <w:pStyle w:val="Body"/>
        <w:sectPr w:rsidR="00895608" w:rsidSect="00441579">
          <w:footerReference w:type="default" r:id="rId188"/>
          <w:pgSz w:w="9979" w:h="14175"/>
          <w:pgMar w:top="1134" w:right="1134" w:bottom="1134" w:left="1134" w:header="709" w:footer="709" w:gutter="0"/>
          <w:cols w:space="708"/>
          <w:docGrid w:linePitch="360"/>
        </w:sectPr>
      </w:pPr>
    </w:p>
    <w:p w14:paraId="552A88D4" w14:textId="77777777" w:rsidR="00076350" w:rsidRPr="0015771D" w:rsidRDefault="00076350" w:rsidP="00BD37D6">
      <w:pPr>
        <w:pStyle w:val="H3"/>
        <w:spacing w:before="120"/>
        <w:rPr>
          <w:color w:val="292929"/>
        </w:rPr>
      </w:pPr>
      <w:bookmarkStart w:id="118" w:name="_Toc48575876"/>
      <w:bookmarkStart w:id="119" w:name="_Toc48576197"/>
      <w:bookmarkStart w:id="120" w:name="_Toc48828399"/>
      <w:r w:rsidRPr="0015771D">
        <w:rPr>
          <w:color w:val="292929"/>
        </w:rPr>
        <w:t>Objectives of the Independent Hospital Pricing Authority</w:t>
      </w:r>
      <w:bookmarkEnd w:id="118"/>
      <w:bookmarkEnd w:id="119"/>
      <w:bookmarkEnd w:id="120"/>
    </w:p>
    <w:p w14:paraId="5BD01B89" w14:textId="77777777" w:rsidR="00076350" w:rsidRDefault="00076350" w:rsidP="00076350">
      <w:pPr>
        <w:pStyle w:val="Body"/>
      </w:pPr>
      <w:r w:rsidRPr="006A05CA">
        <w:t xml:space="preserve">The Independent Hospital Pricing Authority (IHPA) is a corporate Commonwealth entity under the </w:t>
      </w:r>
      <w:r w:rsidRPr="006A05CA">
        <w:rPr>
          <w:i/>
          <w:iCs/>
        </w:rPr>
        <w:t>Public Governance, Performance and Accountability Act 2013</w:t>
      </w:r>
      <w:r w:rsidRPr="006A05CA">
        <w:t xml:space="preserve"> (PGPA Act).</w:t>
      </w:r>
    </w:p>
    <w:p w14:paraId="59BD2D89" w14:textId="77777777" w:rsidR="00076350" w:rsidRDefault="00076350" w:rsidP="00076350">
      <w:pPr>
        <w:pStyle w:val="Body"/>
      </w:pPr>
      <w:r w:rsidRPr="00243F7B">
        <w:t xml:space="preserve">IHPA's role and functions are set out in the </w:t>
      </w:r>
      <w:r w:rsidRPr="00477B01">
        <w:rPr>
          <w:i/>
          <w:iCs/>
        </w:rPr>
        <w:t>National Health Reform Act 2011</w:t>
      </w:r>
      <w:r w:rsidRPr="00243F7B">
        <w:t>.</w:t>
      </w:r>
    </w:p>
    <w:p w14:paraId="4988C7A5" w14:textId="77777777" w:rsidR="00076350" w:rsidRDefault="00076350" w:rsidP="00076350">
      <w:pPr>
        <w:pStyle w:val="Body"/>
      </w:pPr>
      <w:r>
        <w:t>IHPA’s functions include to:</w:t>
      </w:r>
    </w:p>
    <w:p w14:paraId="1F5FEDD8" w14:textId="77777777" w:rsidR="00076350" w:rsidRDefault="00076350" w:rsidP="00076350">
      <w:pPr>
        <w:pStyle w:val="Bullets"/>
      </w:pPr>
      <w:r w:rsidRPr="00741536">
        <w:t xml:space="preserve">determine the </w:t>
      </w:r>
      <w:r>
        <w:t>n</w:t>
      </w:r>
      <w:r w:rsidRPr="00741536">
        <w:t xml:space="preserve">ational </w:t>
      </w:r>
      <w:r>
        <w:t>ef</w:t>
      </w:r>
      <w:r w:rsidRPr="00741536">
        <w:t xml:space="preserve">ficient </w:t>
      </w:r>
      <w:r>
        <w:t>p</w:t>
      </w:r>
      <w:r w:rsidRPr="00741536">
        <w:t>rice and</w:t>
      </w:r>
      <w:r>
        <w:t> n</w:t>
      </w:r>
      <w:r w:rsidRPr="00741536">
        <w:t xml:space="preserve">ational </w:t>
      </w:r>
      <w:r>
        <w:t>e</w:t>
      </w:r>
      <w:r w:rsidRPr="00741536">
        <w:t xml:space="preserve">fficient </w:t>
      </w:r>
      <w:r>
        <w:t>c</w:t>
      </w:r>
      <w:r w:rsidRPr="00741536">
        <w:t>ost for public hospital</w:t>
      </w:r>
      <w:r>
        <w:t> </w:t>
      </w:r>
      <w:r w:rsidRPr="00741536">
        <w:t>services</w:t>
      </w:r>
    </w:p>
    <w:p w14:paraId="3E343656" w14:textId="77777777" w:rsidR="00076350" w:rsidRDefault="00076350" w:rsidP="00076350">
      <w:pPr>
        <w:pStyle w:val="Bullets"/>
      </w:pPr>
      <w:r w:rsidRPr="00741536">
        <w:t>develop national classifications for activity</w:t>
      </w:r>
      <w:r>
        <w:t> </w:t>
      </w:r>
      <w:r w:rsidRPr="00741536">
        <w:t>based funding</w:t>
      </w:r>
    </w:p>
    <w:p w14:paraId="741543ED" w14:textId="77777777" w:rsidR="00076350" w:rsidRDefault="00076350" w:rsidP="00076350">
      <w:pPr>
        <w:pStyle w:val="Bulletslast"/>
      </w:pPr>
      <w:r w:rsidRPr="00741536">
        <w:t>resolve disputes on cost-shifting and cross</w:t>
      </w:r>
      <w:r>
        <w:noBreakHyphen/>
      </w:r>
      <w:r w:rsidRPr="00741536">
        <w:t>border issues.</w:t>
      </w:r>
    </w:p>
    <w:p w14:paraId="6EDBCE43" w14:textId="77777777" w:rsidR="00076350" w:rsidRDefault="00076350" w:rsidP="00076350">
      <w:pPr>
        <w:pStyle w:val="Body"/>
      </w:pPr>
      <w:r w:rsidRPr="00741536">
        <w:t xml:space="preserve">IHPA is structured to meet the following outcome: promote improved efficiency in, and access to, public hospital services primarily through setting the </w:t>
      </w:r>
      <w:r>
        <w:t>n</w:t>
      </w:r>
      <w:r w:rsidRPr="00741536">
        <w:t xml:space="preserve">ational </w:t>
      </w:r>
      <w:r>
        <w:t>e</w:t>
      </w:r>
      <w:r w:rsidRPr="00741536">
        <w:t xml:space="preserve">fficient </w:t>
      </w:r>
      <w:r>
        <w:t>p</w:t>
      </w:r>
      <w:r w:rsidRPr="00741536">
        <w:t>rice and levels of block funding for hospital activities.</w:t>
      </w:r>
    </w:p>
    <w:p w14:paraId="73E93887" w14:textId="3B28A697" w:rsidR="00076350" w:rsidRDefault="00076350" w:rsidP="00895608">
      <w:pPr>
        <w:pStyle w:val="Body"/>
      </w:pPr>
      <w:r w:rsidRPr="00741536">
        <w:t xml:space="preserve">The continued existence of the entity in its present form, and with its present programs, is dependent on government policy and on continuing funding by </w:t>
      </w:r>
      <w:r>
        <w:t>p</w:t>
      </w:r>
      <w:r w:rsidRPr="00741536">
        <w:t>arliament for the entity's administration and</w:t>
      </w:r>
      <w:r>
        <w:t> </w:t>
      </w:r>
      <w:r w:rsidRPr="00741536">
        <w:t>programs.</w:t>
      </w:r>
    </w:p>
    <w:p w14:paraId="0AC1A4CA" w14:textId="77777777" w:rsidR="00A439F1" w:rsidRPr="00856C96" w:rsidRDefault="00A439F1" w:rsidP="00856C96">
      <w:pPr>
        <w:pStyle w:val="H3"/>
        <w:rPr>
          <w:color w:val="292929"/>
        </w:rPr>
      </w:pPr>
      <w:r w:rsidRPr="0015771D">
        <w:rPr>
          <w:color w:val="292929"/>
        </w:rPr>
        <w:t>The basis of preparation</w:t>
      </w:r>
    </w:p>
    <w:p w14:paraId="41DB8152" w14:textId="77777777" w:rsidR="00A439F1" w:rsidRDefault="00A439F1" w:rsidP="00A439F1">
      <w:pPr>
        <w:pStyle w:val="Body"/>
      </w:pPr>
      <w:r w:rsidRPr="006A05CA">
        <w:t>The financial statements are general purpose financial statements and are required by section 42 of the PGPA Act.</w:t>
      </w:r>
    </w:p>
    <w:p w14:paraId="6A2A9454" w14:textId="7513276D" w:rsidR="00DD2B4E" w:rsidRDefault="00895608" w:rsidP="00856C96">
      <w:pPr>
        <w:pStyle w:val="Body"/>
        <w:ind w:right="-185"/>
      </w:pPr>
      <w:r>
        <w:br w:type="column"/>
      </w:r>
      <w:bookmarkStart w:id="121" w:name="_Toc48575879"/>
      <w:bookmarkStart w:id="122" w:name="_Toc48576200"/>
      <w:bookmarkStart w:id="123" w:name="_Toc48828402"/>
      <w:r w:rsidR="00DD2B4E" w:rsidRPr="006A05CA">
        <w:t>The financial statements have been prepared in accordance with the:</w:t>
      </w:r>
    </w:p>
    <w:p w14:paraId="7E89546C" w14:textId="77777777" w:rsidR="00DD2B4E" w:rsidRDefault="00DD2B4E">
      <w:pPr>
        <w:pStyle w:val="AlphabetListL2"/>
        <w:numPr>
          <w:ilvl w:val="0"/>
          <w:numId w:val="14"/>
        </w:numPr>
      </w:pPr>
      <w:r w:rsidRPr="006A05CA">
        <w:t>Public Governance, Performance and Accountability (Financial Reporting) Rule 2015 (FRR)</w:t>
      </w:r>
    </w:p>
    <w:p w14:paraId="7578A160" w14:textId="75690B1F" w:rsidR="00DD2B4E" w:rsidRDefault="00DD2B4E" w:rsidP="00FE1E88">
      <w:pPr>
        <w:pStyle w:val="AlphabetListL2"/>
        <w:numPr>
          <w:ilvl w:val="0"/>
          <w:numId w:val="14"/>
        </w:numPr>
      </w:pPr>
      <w:r w:rsidRPr="006A05CA">
        <w:t xml:space="preserve">Australian Accounting Standards and Interpretations </w:t>
      </w:r>
      <w:r>
        <w:t>—</w:t>
      </w:r>
      <w:r w:rsidRPr="006A05CA">
        <w:t xml:space="preserve"> </w:t>
      </w:r>
      <w:r w:rsidR="00FE1E88" w:rsidRPr="00FE1E88">
        <w:t>including simplified disclosures for Tier 2 Entities under AASB 1060 issued by the Australian Accounting Standards Board (AASB) that apply for the reporting period.</w:t>
      </w:r>
    </w:p>
    <w:p w14:paraId="2FD3E0AE" w14:textId="77777777" w:rsidR="00DD2B4E" w:rsidRDefault="00DD2B4E" w:rsidP="00DD2B4E">
      <w:pPr>
        <w:pStyle w:val="Body"/>
        <w:ind w:right="-185"/>
      </w:pPr>
      <w:r w:rsidRPr="00741536">
        <w:t>The financial statements have been prepared on</w:t>
      </w:r>
      <w:r>
        <w:t> </w:t>
      </w:r>
      <w:r w:rsidRPr="00741536">
        <w:t>an</w:t>
      </w:r>
      <w:r>
        <w:t> </w:t>
      </w:r>
      <w:r w:rsidRPr="00741536">
        <w:t>accrual basis and in accordance with the historical cost convention, except for certain assets and liabilities at fair value. Except where stated, no</w:t>
      </w:r>
      <w:r>
        <w:t> </w:t>
      </w:r>
      <w:r w:rsidRPr="00741536">
        <w:t>allowance is made for the effect of changing prices on the results or the financial position. The</w:t>
      </w:r>
      <w:r>
        <w:t> </w:t>
      </w:r>
      <w:r w:rsidRPr="00741536">
        <w:t>financial statements are presented in Australian dollars and values are rounded to the nearest thousand dollars, unless otherwise specified.</w:t>
      </w:r>
    </w:p>
    <w:p w14:paraId="6E5F2FFA" w14:textId="77777777" w:rsidR="00DD2B4E" w:rsidRPr="0015771D" w:rsidRDefault="00DD2B4E" w:rsidP="00DD2B4E">
      <w:pPr>
        <w:pStyle w:val="H3"/>
        <w:rPr>
          <w:color w:val="292929"/>
        </w:rPr>
      </w:pPr>
      <w:bookmarkStart w:id="124" w:name="_Toc48575878"/>
      <w:bookmarkStart w:id="125" w:name="_Toc48576199"/>
      <w:bookmarkStart w:id="126" w:name="_Toc48828401"/>
      <w:r w:rsidRPr="0015771D">
        <w:rPr>
          <w:color w:val="292929"/>
        </w:rPr>
        <w:t>Significant changes affecting IHPA during 202</w:t>
      </w:r>
      <w:r>
        <w:rPr>
          <w:color w:val="292929"/>
        </w:rPr>
        <w:t>1</w:t>
      </w:r>
      <w:r w:rsidRPr="0015771D">
        <w:rPr>
          <w:color w:val="292929"/>
        </w:rPr>
        <w:t>–2</w:t>
      </w:r>
      <w:bookmarkEnd w:id="124"/>
      <w:bookmarkEnd w:id="125"/>
      <w:bookmarkEnd w:id="126"/>
      <w:r>
        <w:rPr>
          <w:color w:val="292929"/>
        </w:rPr>
        <w:t>2</w:t>
      </w:r>
    </w:p>
    <w:p w14:paraId="54C06F92" w14:textId="77777777" w:rsidR="00DD2B4E" w:rsidRDefault="00DD2B4E" w:rsidP="00DD2B4E">
      <w:pPr>
        <w:pStyle w:val="Body"/>
      </w:pPr>
      <w:r w:rsidRPr="004843D3">
        <w:t>No significant changes affecting IHPA have occurred in this reporting period.</w:t>
      </w:r>
    </w:p>
    <w:p w14:paraId="758527A7" w14:textId="77777777" w:rsidR="00DD2B4E" w:rsidRPr="0015771D" w:rsidRDefault="00DD2B4E" w:rsidP="00DD2B4E">
      <w:pPr>
        <w:pStyle w:val="H3"/>
        <w:rPr>
          <w:color w:val="292929"/>
        </w:rPr>
      </w:pPr>
      <w:r w:rsidRPr="0015771D">
        <w:rPr>
          <w:color w:val="292929"/>
        </w:rPr>
        <w:t>COVID-19 pandemic impacts</w:t>
      </w:r>
    </w:p>
    <w:p w14:paraId="2D3BA416" w14:textId="7D11E3D7" w:rsidR="00A439F1" w:rsidRDefault="00DD2B4E" w:rsidP="00DD2B4E">
      <w:pPr>
        <w:pStyle w:val="Body"/>
        <w:ind w:right="-43"/>
      </w:pPr>
      <w:r w:rsidRPr="00741536">
        <w:t>Due to state and territory hospital resources being reassigned to manage the COVID-19 pandemic, some forecast expenditure relating to the non</w:t>
      </w:r>
      <w:r>
        <w:noBreakHyphen/>
      </w:r>
      <w:r w:rsidRPr="00741536">
        <w:t>admitted costing study has been deferred until</w:t>
      </w:r>
      <w:r>
        <w:t> </w:t>
      </w:r>
      <w:r w:rsidRPr="00741536">
        <w:t xml:space="preserve">such time resources become available. </w:t>
      </w:r>
    </w:p>
    <w:p w14:paraId="104F15ED" w14:textId="050BB56C" w:rsidR="00DD2B4E" w:rsidRDefault="00DD2B4E" w:rsidP="00DD2B4E">
      <w:pPr>
        <w:pStyle w:val="Body"/>
        <w:ind w:right="-43"/>
      </w:pPr>
      <w:r w:rsidRPr="00741536">
        <w:t>There</w:t>
      </w:r>
      <w:r>
        <w:t> </w:t>
      </w:r>
      <w:r w:rsidRPr="00741536">
        <w:t>were no other financial impacts from the</w:t>
      </w:r>
      <w:r>
        <w:t> </w:t>
      </w:r>
      <w:r w:rsidRPr="00741536">
        <w:t>pandemic.</w:t>
      </w:r>
    </w:p>
    <w:p w14:paraId="10645827" w14:textId="4434FB77" w:rsidR="00A439F1" w:rsidRDefault="00A439F1" w:rsidP="00DD2B4E">
      <w:pPr>
        <w:pStyle w:val="Body"/>
        <w:ind w:right="-43"/>
      </w:pPr>
    </w:p>
    <w:p w14:paraId="3F9FCD96" w14:textId="77777777" w:rsidR="00A439F1" w:rsidRDefault="00A439F1" w:rsidP="00DD2B4E">
      <w:pPr>
        <w:pStyle w:val="Body"/>
        <w:ind w:right="-43"/>
      </w:pPr>
    </w:p>
    <w:bookmarkEnd w:id="121"/>
    <w:bookmarkEnd w:id="122"/>
    <w:bookmarkEnd w:id="123"/>
    <w:p w14:paraId="1F3A245B" w14:textId="77777777" w:rsidR="00BC55C8" w:rsidRPr="0015771D" w:rsidRDefault="00BC55C8" w:rsidP="00BC55C8">
      <w:pPr>
        <w:pStyle w:val="H3"/>
        <w:rPr>
          <w:color w:val="292929"/>
        </w:rPr>
      </w:pPr>
      <w:r w:rsidRPr="0015771D">
        <w:rPr>
          <w:color w:val="292929"/>
        </w:rPr>
        <w:t>New Accounting Standards</w:t>
      </w:r>
    </w:p>
    <w:p w14:paraId="1491704F" w14:textId="49516582" w:rsidR="00BC55C8" w:rsidRDefault="00BC55C8" w:rsidP="00BC55C8">
      <w:pPr>
        <w:pStyle w:val="Body"/>
      </w:pPr>
      <w:r w:rsidRPr="00741536">
        <w:t>IHPA has adopted all new, revised and amending standards and interpretations that were issued by</w:t>
      </w:r>
      <w:r w:rsidR="00D12A9C">
        <w:t> </w:t>
      </w:r>
      <w:r w:rsidRPr="00741536">
        <w:t>the Australian Accounting Standards Board (AASB) prior to the sign-off date and which are applicable to the current reporting period.</w:t>
      </w:r>
      <w:r w:rsidRPr="00B828B2">
        <w:t xml:space="preserve"> </w:t>
      </w:r>
    </w:p>
    <w:p w14:paraId="1B477402" w14:textId="1F95DFEC" w:rsidR="00BC55C8" w:rsidRDefault="00BC55C8" w:rsidP="00D511D2">
      <w:pPr>
        <w:pStyle w:val="Body"/>
      </w:pPr>
      <w:r w:rsidRPr="00741536">
        <w:t>The following new, revised and amending standards and interpretations were issued by the</w:t>
      </w:r>
      <w:r>
        <w:t> </w:t>
      </w:r>
      <w:r w:rsidRPr="00741536">
        <w:t>AASB prior to the signing of the statement by</w:t>
      </w:r>
      <w:r>
        <w:t> </w:t>
      </w:r>
      <w:r w:rsidRPr="00741536">
        <w:t>the</w:t>
      </w:r>
      <w:r>
        <w:t> </w:t>
      </w:r>
      <w:r w:rsidRPr="00741536">
        <w:t>Chief Executive Officer and Chief Financial</w:t>
      </w:r>
      <w:r>
        <w:t> </w:t>
      </w:r>
      <w:r w:rsidRPr="00741536">
        <w:t>Officer</w:t>
      </w:r>
      <w:r w:rsidRPr="00B828B2">
        <w:t>:</w:t>
      </w:r>
    </w:p>
    <w:tbl>
      <w:tblPr>
        <w:tblStyle w:val="IHPA"/>
        <w:tblW w:w="3552" w:type="dxa"/>
        <w:tblLayout w:type="fixed"/>
        <w:tblLook w:val="0020" w:firstRow="1" w:lastRow="0" w:firstColumn="0" w:lastColumn="0" w:noHBand="0" w:noVBand="0"/>
        <w:tblCaption w:val="Revised and amending standards table"/>
        <w:tblDescription w:val="Revised and amending standards table"/>
      </w:tblPr>
      <w:tblGrid>
        <w:gridCol w:w="1851"/>
        <w:gridCol w:w="1701"/>
      </w:tblGrid>
      <w:tr w:rsidR="00C6751B" w:rsidRPr="000E09C5" w14:paraId="2FA90C49" w14:textId="77777777" w:rsidTr="00B15944">
        <w:trPr>
          <w:trHeight w:val="20"/>
        </w:trPr>
        <w:tc>
          <w:tcPr>
            <w:tcW w:w="1851" w:type="dxa"/>
            <w:tcBorders>
              <w:bottom w:val="single" w:sz="12" w:space="0" w:color="auto"/>
              <w:right w:val="single" w:sz="18" w:space="0" w:color="FFFFFF" w:themeColor="background2"/>
            </w:tcBorders>
            <w:vAlign w:val="bottom"/>
          </w:tcPr>
          <w:p w14:paraId="1A567F5C" w14:textId="77777777" w:rsidR="00C6751B" w:rsidRPr="000E09C5" w:rsidRDefault="00C6751B" w:rsidP="00B15944">
            <w:pPr>
              <w:pStyle w:val="Body"/>
              <w:spacing w:before="120" w:after="40"/>
              <w:rPr>
                <w:rFonts w:asciiTheme="majorHAnsi" w:hAnsiTheme="majorHAnsi" w:cs="Futura PT Book"/>
                <w:color w:val="292929"/>
                <w:sz w:val="16"/>
                <w:szCs w:val="16"/>
                <w:lang w:val="en-US"/>
              </w:rPr>
            </w:pPr>
            <w:r>
              <w:br w:type="column"/>
            </w:r>
            <w:r>
              <w:br w:type="column"/>
            </w:r>
            <w:r>
              <w:br w:type="column"/>
            </w:r>
            <w:r w:rsidRPr="000E09C5">
              <w:rPr>
                <w:rFonts w:asciiTheme="majorHAnsi" w:hAnsiTheme="majorHAnsi"/>
                <w:color w:val="292929"/>
                <w:sz w:val="16"/>
                <w:szCs w:val="16"/>
                <w:lang w:val="en-US"/>
              </w:rPr>
              <w:t>New standard</w:t>
            </w:r>
          </w:p>
        </w:tc>
        <w:tc>
          <w:tcPr>
            <w:tcW w:w="1701" w:type="dxa"/>
            <w:tcBorders>
              <w:left w:val="single" w:sz="18" w:space="0" w:color="FFFFFF" w:themeColor="background2"/>
              <w:bottom w:val="single" w:sz="12" w:space="0" w:color="auto"/>
            </w:tcBorders>
            <w:vAlign w:val="bottom"/>
          </w:tcPr>
          <w:p w14:paraId="0360B269" w14:textId="77777777" w:rsidR="00C6751B" w:rsidRPr="000E09C5" w:rsidRDefault="00C6751B" w:rsidP="00B15944">
            <w:pPr>
              <w:pStyle w:val="Body"/>
              <w:spacing w:before="120" w:after="40"/>
              <w:rPr>
                <w:rFonts w:asciiTheme="majorHAnsi" w:hAnsiTheme="majorHAnsi" w:cs="Futura PT Book"/>
                <w:color w:val="292929"/>
                <w:sz w:val="16"/>
                <w:szCs w:val="16"/>
                <w:lang w:val="en-US"/>
              </w:rPr>
            </w:pPr>
            <w:r w:rsidRPr="000E09C5">
              <w:rPr>
                <w:rFonts w:asciiTheme="majorHAnsi" w:hAnsiTheme="majorHAnsi"/>
                <w:color w:val="292929"/>
                <w:sz w:val="16"/>
                <w:szCs w:val="16"/>
                <w:lang w:val="en-US"/>
              </w:rPr>
              <w:t>Expected impact</w:t>
            </w:r>
          </w:p>
        </w:tc>
      </w:tr>
      <w:tr w:rsidR="00BC55C8" w:rsidRPr="00FD57EB" w14:paraId="277C2F9E" w14:textId="77777777" w:rsidTr="00B15944">
        <w:trPr>
          <w:trHeight w:val="20"/>
        </w:trPr>
        <w:tc>
          <w:tcPr>
            <w:tcW w:w="1851" w:type="dxa"/>
            <w:tcBorders>
              <w:top w:val="single" w:sz="12" w:space="0" w:color="auto"/>
              <w:bottom w:val="single" w:sz="2" w:space="0" w:color="D9D9D9" w:themeColor="background2" w:themeShade="D9"/>
              <w:right w:val="single" w:sz="18" w:space="0" w:color="FFFFFF" w:themeColor="background2"/>
            </w:tcBorders>
          </w:tcPr>
          <w:p w14:paraId="03491175" w14:textId="04277989" w:rsidR="00BC55C8" w:rsidRPr="00FD57EB" w:rsidRDefault="00BC55C8" w:rsidP="00BC55C8">
            <w:pPr>
              <w:pStyle w:val="Body"/>
              <w:spacing w:before="120" w:after="120"/>
              <w:rPr>
                <w:rFonts w:ascii="Futura PT Book" w:hAnsi="Futura PT Book" w:cs="Futura PT Book"/>
                <w:color w:val="000000"/>
                <w:sz w:val="16"/>
                <w:szCs w:val="16"/>
                <w:lang w:val="en-US"/>
              </w:rPr>
            </w:pPr>
            <w:r w:rsidRPr="00C6751B">
              <w:rPr>
                <w:sz w:val="16"/>
                <w:szCs w:val="16"/>
              </w:rPr>
              <w:t>AASB 1060 General Purpose Financial Statements – Simplified Disclosures for For-Profit and Not-for-Profit Tier</w:t>
            </w:r>
            <w:r>
              <w:rPr>
                <w:sz w:val="16"/>
                <w:szCs w:val="16"/>
              </w:rPr>
              <w:t> </w:t>
            </w:r>
            <w:r w:rsidRPr="00C6751B">
              <w:rPr>
                <w:sz w:val="16"/>
                <w:szCs w:val="16"/>
              </w:rPr>
              <w:t>2</w:t>
            </w:r>
            <w:r>
              <w:rPr>
                <w:sz w:val="16"/>
                <w:szCs w:val="16"/>
              </w:rPr>
              <w:t> </w:t>
            </w:r>
            <w:r w:rsidRPr="00C6751B">
              <w:rPr>
                <w:sz w:val="16"/>
                <w:szCs w:val="16"/>
              </w:rPr>
              <w:t>Entities</w:t>
            </w:r>
          </w:p>
        </w:tc>
        <w:tc>
          <w:tcPr>
            <w:tcW w:w="1701" w:type="dxa"/>
            <w:tcBorders>
              <w:top w:val="single" w:sz="12" w:space="0" w:color="auto"/>
              <w:left w:val="single" w:sz="18" w:space="0" w:color="FFFFFF" w:themeColor="background2"/>
              <w:bottom w:val="single" w:sz="2" w:space="0" w:color="D9D9D9" w:themeColor="background2" w:themeShade="D9"/>
            </w:tcBorders>
          </w:tcPr>
          <w:p w14:paraId="252F6D2D" w14:textId="1393EEAF" w:rsidR="00BC55C8" w:rsidRPr="00FD57EB" w:rsidRDefault="00BC55C8" w:rsidP="00BC55C8">
            <w:pPr>
              <w:pStyle w:val="Body"/>
              <w:spacing w:before="120" w:after="120"/>
              <w:rPr>
                <w:rFonts w:ascii="Futura PT Book" w:hAnsi="Futura PT Book" w:cs="Futura PT Book"/>
                <w:color w:val="000000"/>
                <w:sz w:val="16"/>
                <w:szCs w:val="16"/>
                <w:lang w:val="en-US"/>
              </w:rPr>
            </w:pPr>
            <w:r w:rsidRPr="00FD57EB">
              <w:rPr>
                <w:sz w:val="16"/>
                <w:szCs w:val="16"/>
              </w:rPr>
              <w:t>No impact</w:t>
            </w:r>
          </w:p>
        </w:tc>
      </w:tr>
    </w:tbl>
    <w:p w14:paraId="4720BDE5" w14:textId="707341EF" w:rsidR="00895608" w:rsidRDefault="00895608" w:rsidP="00895608">
      <w:pPr>
        <w:pStyle w:val="Body"/>
      </w:pPr>
    </w:p>
    <w:p w14:paraId="65E3CAE9" w14:textId="567E418E" w:rsidR="00BC55C8" w:rsidRDefault="00BC55C8" w:rsidP="00BC55C8">
      <w:pPr>
        <w:pStyle w:val="Body"/>
      </w:pPr>
      <w:r w:rsidRPr="00B828B2">
        <w:t>All other new, revised and amending standards or interpretations that have been issued by the AASB prior to sign-off date that are applicable to future reporting period(s) are not expected to have a future material financial impact on IHPA's financial</w:t>
      </w:r>
      <w:r>
        <w:t> </w:t>
      </w:r>
      <w:r w:rsidRPr="00B828B2">
        <w:t>statements.</w:t>
      </w:r>
    </w:p>
    <w:p w14:paraId="28D44740" w14:textId="77777777" w:rsidR="00CB1951" w:rsidRPr="00856C96" w:rsidRDefault="00CB1951" w:rsidP="00CB1951">
      <w:pPr>
        <w:pStyle w:val="H3"/>
        <w:rPr>
          <w:color w:val="292929"/>
        </w:rPr>
      </w:pPr>
      <w:r w:rsidRPr="0015771D">
        <w:rPr>
          <w:color w:val="292929"/>
        </w:rPr>
        <w:t>Significant accounting judgements and estimates</w:t>
      </w:r>
    </w:p>
    <w:p w14:paraId="6CA94951" w14:textId="244E9F31" w:rsidR="00CB1951" w:rsidRPr="00C6751B" w:rsidRDefault="00CB1951" w:rsidP="00CB1951">
      <w:pPr>
        <w:rPr>
          <w:color w:val="1C1C1C"/>
          <w:sz w:val="18"/>
          <w:szCs w:val="18"/>
        </w:rPr>
      </w:pPr>
      <w:r w:rsidRPr="00C6751B">
        <w:rPr>
          <w:color w:val="1C1C1C"/>
          <w:sz w:val="18"/>
          <w:szCs w:val="18"/>
        </w:rPr>
        <w:t>Except where specifically identified and disclosed, IHPA has determined that no accounting assumptions and estimates have a significant risk</w:t>
      </w:r>
      <w:r>
        <w:rPr>
          <w:color w:val="1C1C1C"/>
          <w:sz w:val="18"/>
          <w:szCs w:val="18"/>
        </w:rPr>
        <w:t> </w:t>
      </w:r>
      <w:r w:rsidRPr="00C6751B">
        <w:rPr>
          <w:color w:val="1C1C1C"/>
          <w:sz w:val="18"/>
          <w:szCs w:val="18"/>
        </w:rPr>
        <w:t>of causing a material adjustment to carrying amounts of assets and liabilities within the next accounting period.</w:t>
      </w:r>
    </w:p>
    <w:p w14:paraId="6E2E7D8E" w14:textId="407BF02C" w:rsidR="00BC55C8" w:rsidRPr="0015771D" w:rsidRDefault="00C6751B" w:rsidP="00BC55C8">
      <w:pPr>
        <w:pStyle w:val="H3"/>
        <w:rPr>
          <w:color w:val="292929"/>
        </w:rPr>
      </w:pPr>
      <w:r>
        <w:br w:type="column"/>
      </w:r>
      <w:bookmarkStart w:id="127" w:name="_Toc48575883"/>
      <w:bookmarkStart w:id="128" w:name="_Toc48576204"/>
      <w:bookmarkStart w:id="129" w:name="_Toc48828406"/>
      <w:r w:rsidR="00BC55C8" w:rsidRPr="0015771D">
        <w:rPr>
          <w:color w:val="292929"/>
        </w:rPr>
        <w:t>Comparative figures</w:t>
      </w:r>
      <w:bookmarkEnd w:id="127"/>
      <w:bookmarkEnd w:id="128"/>
      <w:bookmarkEnd w:id="129"/>
    </w:p>
    <w:p w14:paraId="08939B36" w14:textId="77777777" w:rsidR="00BC55C8" w:rsidRDefault="00BC55C8" w:rsidP="00BC55C8">
      <w:pPr>
        <w:pStyle w:val="Body"/>
      </w:pPr>
      <w:r w:rsidRPr="00B828B2">
        <w:t>Comparative figures have been adjusted, where</w:t>
      </w:r>
      <w:r>
        <w:t> </w:t>
      </w:r>
      <w:r w:rsidRPr="00B828B2">
        <w:t>required, to conform to changes in presentation of the financial statements.</w:t>
      </w:r>
    </w:p>
    <w:p w14:paraId="21B62C61" w14:textId="17350F0F" w:rsidR="00BC55C8" w:rsidRPr="0015771D" w:rsidRDefault="00BC55C8" w:rsidP="00BC55C8">
      <w:pPr>
        <w:pStyle w:val="H3"/>
        <w:rPr>
          <w:color w:val="292929"/>
        </w:rPr>
      </w:pPr>
      <w:bookmarkStart w:id="130" w:name="_Toc48575884"/>
      <w:bookmarkStart w:id="131" w:name="_Toc48576205"/>
      <w:bookmarkStart w:id="132" w:name="_Toc48828407"/>
      <w:r w:rsidRPr="0015771D">
        <w:rPr>
          <w:color w:val="292929"/>
        </w:rPr>
        <w:t>Taxation</w:t>
      </w:r>
      <w:bookmarkEnd w:id="130"/>
      <w:bookmarkEnd w:id="131"/>
      <w:bookmarkEnd w:id="132"/>
    </w:p>
    <w:p w14:paraId="64D13CD5" w14:textId="1594E568" w:rsidR="00BC55C8" w:rsidRDefault="00BC55C8" w:rsidP="00BC55C8">
      <w:pPr>
        <w:pStyle w:val="Body"/>
      </w:pPr>
      <w:r w:rsidRPr="006B3FA3">
        <w:t>IHPA is exempt from all forms of taxation, except</w:t>
      </w:r>
      <w:r>
        <w:t> </w:t>
      </w:r>
      <w:r w:rsidRPr="006B3FA3">
        <w:t xml:space="preserve">Fringe Benefits Tax (FBT) and the Goods and Services Tax (GST). </w:t>
      </w:r>
      <w:r w:rsidR="00CB1951" w:rsidRPr="00CB1951">
        <w:t>Revenues and expenses are recognised net of GST, except where the amount of GST incurred is not recoverable from the Australian Taxation Office.</w:t>
      </w:r>
    </w:p>
    <w:p w14:paraId="4A17AF0A" w14:textId="77777777" w:rsidR="00BC55C8" w:rsidRPr="0015771D" w:rsidRDefault="00BC55C8" w:rsidP="00BC55C8">
      <w:pPr>
        <w:pStyle w:val="H3"/>
        <w:rPr>
          <w:color w:val="292929"/>
        </w:rPr>
      </w:pPr>
      <w:bookmarkStart w:id="133" w:name="_Toc48575885"/>
      <w:bookmarkStart w:id="134" w:name="_Toc48576206"/>
      <w:bookmarkStart w:id="135" w:name="_Toc48828408"/>
      <w:r w:rsidRPr="0015771D">
        <w:rPr>
          <w:color w:val="292929"/>
        </w:rPr>
        <w:t>Events after the reporting period</w:t>
      </w:r>
      <w:bookmarkEnd w:id="133"/>
      <w:bookmarkEnd w:id="134"/>
      <w:bookmarkEnd w:id="135"/>
    </w:p>
    <w:p w14:paraId="65A9BF62" w14:textId="77777777" w:rsidR="00CB1951" w:rsidRPr="002A1DF0" w:rsidRDefault="00CB1951" w:rsidP="00CB1951">
      <w:pPr>
        <w:pStyle w:val="Body"/>
      </w:pPr>
      <w:r w:rsidRPr="002A1DF0">
        <w:t xml:space="preserve">The </w:t>
      </w:r>
      <w:r w:rsidRPr="00807339">
        <w:rPr>
          <w:i/>
          <w:iCs/>
        </w:rPr>
        <w:t>Aged Care and Other Legislation Amendment (Royal Commission Response) Act 2022</w:t>
      </w:r>
      <w:r w:rsidRPr="002A1DF0">
        <w:t xml:space="preserve"> (Cwlth) includes amendments that expanded the remit of the existing IHPA and renamed it to become the Independent H</w:t>
      </w:r>
      <w:r>
        <w:t>ealth</w:t>
      </w:r>
      <w:r w:rsidRPr="002A1DF0">
        <w:t xml:space="preserve"> and Aged Care Pricing Authority (IHACPA). </w:t>
      </w:r>
    </w:p>
    <w:p w14:paraId="3C1FEE77" w14:textId="77777777" w:rsidR="00CB1951" w:rsidRDefault="00CB1951" w:rsidP="00CB1951">
      <w:pPr>
        <w:pStyle w:val="Body"/>
      </w:pPr>
      <w:r w:rsidRPr="002A1DF0">
        <w:t xml:space="preserve">Commencing 12 August 2022, Schedule 8 amended the </w:t>
      </w:r>
      <w:r w:rsidRPr="00807339">
        <w:rPr>
          <w:i/>
          <w:iCs/>
        </w:rPr>
        <w:t>National Health Reform Act 2011</w:t>
      </w:r>
      <w:r w:rsidRPr="002A1DF0">
        <w:t xml:space="preserve">, the </w:t>
      </w:r>
      <w:r w:rsidRPr="00807339">
        <w:rPr>
          <w:i/>
          <w:iCs/>
        </w:rPr>
        <w:t>Aged Care Act 1997</w:t>
      </w:r>
      <w:r w:rsidRPr="002A1DF0">
        <w:t xml:space="preserve"> and the </w:t>
      </w:r>
      <w:r w:rsidRPr="00807339">
        <w:rPr>
          <w:i/>
          <w:iCs/>
        </w:rPr>
        <w:t xml:space="preserve">Quality and Safety Commission Act 2018 </w:t>
      </w:r>
      <w:r w:rsidRPr="002A1DF0">
        <w:t>to expand the functions of a renamed IHACPA to include the:</w:t>
      </w:r>
    </w:p>
    <w:p w14:paraId="300C193B" w14:textId="77777777" w:rsidR="00CB1951" w:rsidRDefault="00CB1951" w:rsidP="00CB1951">
      <w:pPr>
        <w:pStyle w:val="Bullets"/>
      </w:pPr>
      <w:r w:rsidRPr="002A1DF0">
        <w:t>provision of advice on healthcare pricing and costing matters</w:t>
      </w:r>
    </w:p>
    <w:p w14:paraId="5B30C9A5" w14:textId="77777777" w:rsidR="00CB1951" w:rsidRDefault="00CB1951" w:rsidP="00CB1951">
      <w:pPr>
        <w:pStyle w:val="Bullets"/>
      </w:pPr>
      <w:r w:rsidRPr="002A1DF0">
        <w:t>provision of advice on aged care pricing and costing matters</w:t>
      </w:r>
    </w:p>
    <w:p w14:paraId="79B49747" w14:textId="77777777" w:rsidR="00CB1951" w:rsidRPr="002A1DF0" w:rsidRDefault="00CB1951" w:rsidP="00CB1951">
      <w:pPr>
        <w:pStyle w:val="Bullets"/>
      </w:pPr>
      <w:r w:rsidRPr="002A1DF0">
        <w:t xml:space="preserve">performance of certain functions conferred by the </w:t>
      </w:r>
      <w:r w:rsidRPr="00807339">
        <w:rPr>
          <w:i/>
          <w:iCs/>
        </w:rPr>
        <w:t>Aged Care Act</w:t>
      </w:r>
      <w:r w:rsidRPr="002A1DF0">
        <w:t>.</w:t>
      </w:r>
    </w:p>
    <w:p w14:paraId="58C3ABFC" w14:textId="3B398262" w:rsidR="00CB1951" w:rsidRDefault="00CB1951" w:rsidP="00BC55C8">
      <w:pPr>
        <w:pStyle w:val="Body"/>
      </w:pPr>
      <w:r w:rsidRPr="002A1DF0">
        <w:t>IHACPA will provide advice to inform Commonwealth Government decisions on the costing and pricing of aged care services from 1 July 2023.</w:t>
      </w:r>
    </w:p>
    <w:p w14:paraId="5048D3DC" w14:textId="0C318FD7" w:rsidR="00C2709B" w:rsidRDefault="00BC55C8" w:rsidP="00856C96">
      <w:pPr>
        <w:pStyle w:val="Body"/>
        <w:rPr>
          <w:color w:val="292929"/>
        </w:rPr>
      </w:pPr>
      <w:r w:rsidRPr="00B828B2">
        <w:t>No events have occurred since the reporting date</w:t>
      </w:r>
      <w:r>
        <w:t> </w:t>
      </w:r>
      <w:r w:rsidRPr="00B828B2">
        <w:t>which have had a material impact on the financial</w:t>
      </w:r>
      <w:r>
        <w:t> </w:t>
      </w:r>
      <w:r w:rsidRPr="00B828B2">
        <w:t>statements.</w:t>
      </w:r>
    </w:p>
    <w:p w14:paraId="4A2BDD95" w14:textId="77777777" w:rsidR="00C2709B" w:rsidRDefault="00C2709B" w:rsidP="008664C1">
      <w:pPr>
        <w:pStyle w:val="Body"/>
        <w:rPr>
          <w:color w:val="292929"/>
        </w:rPr>
        <w:sectPr w:rsidR="00C2709B" w:rsidSect="00895608">
          <w:footerReference w:type="default" r:id="rId189"/>
          <w:type w:val="continuous"/>
          <w:pgSz w:w="9979" w:h="14175"/>
          <w:pgMar w:top="1134" w:right="1134" w:bottom="1134" w:left="1134" w:header="709" w:footer="709" w:gutter="0"/>
          <w:cols w:num="2" w:space="708"/>
          <w:docGrid w:linePitch="360"/>
        </w:sectPr>
      </w:pPr>
    </w:p>
    <w:p w14:paraId="342109EF" w14:textId="62253080" w:rsidR="00471517" w:rsidRPr="00B61E00" w:rsidRDefault="00471517" w:rsidP="00471517">
      <w:pPr>
        <w:pStyle w:val="H2Financials"/>
      </w:pPr>
      <w:bookmarkStart w:id="136" w:name="_Toc83220562"/>
      <w:bookmarkStart w:id="137" w:name="_Toc112133282"/>
      <w:bookmarkStart w:id="138" w:name="_Toc114824706"/>
      <w:r w:rsidRPr="00B61E00">
        <w:t>Notes to the financial statements</w:t>
      </w:r>
      <w:bookmarkEnd w:id="136"/>
      <w:bookmarkEnd w:id="137"/>
      <w:bookmarkEnd w:id="138"/>
    </w:p>
    <w:p w14:paraId="7286DFC7" w14:textId="77777777" w:rsidR="00471517" w:rsidRPr="00B61E00" w:rsidRDefault="00471517" w:rsidP="00471517">
      <w:pPr>
        <w:pStyle w:val="H3Financials"/>
        <w:rPr>
          <w:color w:val="292929"/>
        </w:rPr>
      </w:pPr>
      <w:bookmarkStart w:id="139" w:name="_Toc83220563"/>
      <w:bookmarkStart w:id="140" w:name="_Toc112133283"/>
      <w:bookmarkStart w:id="141" w:name="_Toc114824707"/>
      <w:r w:rsidRPr="00D12A9C">
        <w:rPr>
          <w:color w:val="292929"/>
        </w:rPr>
        <w:t>Financial performance</w:t>
      </w:r>
      <w:bookmarkEnd w:id="139"/>
      <w:bookmarkEnd w:id="140"/>
      <w:bookmarkEnd w:id="141"/>
    </w:p>
    <w:p w14:paraId="3B43B9D9" w14:textId="7D09509B" w:rsidR="00471517" w:rsidRPr="00B61E00" w:rsidRDefault="00471517" w:rsidP="00471517">
      <w:pPr>
        <w:pStyle w:val="Body"/>
        <w:rPr>
          <w:color w:val="292929"/>
        </w:rPr>
      </w:pPr>
      <w:r w:rsidRPr="00B61E00">
        <w:rPr>
          <w:color w:val="292929"/>
        </w:rPr>
        <w:t>This section analyses the financial performance of IHPA for the year ended 30 June 202</w:t>
      </w:r>
      <w:r w:rsidR="00BC55C8">
        <w:rPr>
          <w:color w:val="292929"/>
        </w:rPr>
        <w:t>2</w:t>
      </w:r>
      <w:r w:rsidRPr="00B61E00">
        <w:rPr>
          <w:color w:val="292929"/>
        </w:rPr>
        <w:t>.</w:t>
      </w:r>
    </w:p>
    <w:p w14:paraId="303D8AAE" w14:textId="77777777" w:rsidR="00471517" w:rsidRPr="00B61E00" w:rsidRDefault="00471517" w:rsidP="00471517">
      <w:pPr>
        <w:pStyle w:val="H4Financials"/>
        <w:rPr>
          <w:color w:val="292929"/>
        </w:rPr>
      </w:pPr>
      <w:bookmarkStart w:id="142" w:name="_Toc83220564"/>
      <w:bookmarkStart w:id="143" w:name="_Toc114824708"/>
      <w:r w:rsidRPr="006B4D85">
        <w:rPr>
          <w:color w:val="292929"/>
        </w:rPr>
        <w:t>Note 1.1 Expenses</w:t>
      </w:r>
      <w:bookmarkEnd w:id="142"/>
      <w:bookmarkEnd w:id="143"/>
    </w:p>
    <w:tbl>
      <w:tblPr>
        <w:tblStyle w:val="IHPA"/>
        <w:tblW w:w="7096" w:type="dxa"/>
        <w:tblLayout w:type="fixed"/>
        <w:tblLook w:val="0020" w:firstRow="1" w:lastRow="0" w:firstColumn="0" w:lastColumn="0" w:noHBand="0" w:noVBand="0"/>
        <w:tblCaption w:val="Note 1.1A"/>
        <w:tblDescription w:val="Employee Benefits"/>
      </w:tblPr>
      <w:tblGrid>
        <w:gridCol w:w="5111"/>
        <w:gridCol w:w="992"/>
        <w:gridCol w:w="993"/>
      </w:tblGrid>
      <w:tr w:rsidR="00D12A9C" w:rsidRPr="00B61E00" w14:paraId="4D8652F1" w14:textId="77777777" w:rsidTr="00B15944">
        <w:trPr>
          <w:trHeight w:val="340"/>
        </w:trPr>
        <w:tc>
          <w:tcPr>
            <w:tcW w:w="5111" w:type="dxa"/>
          </w:tcPr>
          <w:p w14:paraId="133985AB" w14:textId="77777777" w:rsidR="00D12A9C" w:rsidRPr="00B61E00" w:rsidRDefault="00D12A9C" w:rsidP="00B15944">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20C9A6B2" w14:textId="77777777" w:rsidR="00D12A9C" w:rsidRPr="00B61E00" w:rsidRDefault="00D12A9C"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2</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730CCFA1" w14:textId="77777777" w:rsidR="00D12A9C" w:rsidRPr="00B61E00" w:rsidRDefault="00D12A9C"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B61E00">
              <w:rPr>
                <w:rFonts w:asciiTheme="majorHAnsi" w:hAnsiTheme="majorHAnsi" w:cs="Futura PT Heavy"/>
                <w:color w:val="292929"/>
                <w:sz w:val="16"/>
                <w:szCs w:val="16"/>
                <w:lang w:val="en-US"/>
              </w:rPr>
              <w:br/>
              <w:t>$’000</w:t>
            </w:r>
          </w:p>
        </w:tc>
      </w:tr>
      <w:tr w:rsidR="00D12A9C" w:rsidRPr="00B61E00" w14:paraId="1E4EBFCB" w14:textId="77777777" w:rsidTr="00B15944">
        <w:trPr>
          <w:trHeight w:val="170"/>
        </w:trPr>
        <w:tc>
          <w:tcPr>
            <w:tcW w:w="5111" w:type="dxa"/>
          </w:tcPr>
          <w:p w14:paraId="3528C057" w14:textId="77777777" w:rsidR="00D12A9C" w:rsidRPr="00B61E00" w:rsidRDefault="00D12A9C"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bookmarkStart w:id="144" w:name="_Hlk48559090"/>
            <w:r w:rsidRPr="00B61E00">
              <w:rPr>
                <w:rFonts w:asciiTheme="majorHAnsi" w:hAnsiTheme="majorHAnsi"/>
                <w:color w:val="292929"/>
                <w:sz w:val="14"/>
                <w:szCs w:val="14"/>
              </w:rPr>
              <w:t>Note 1.1A: Employee Benefits</w:t>
            </w:r>
          </w:p>
        </w:tc>
        <w:tc>
          <w:tcPr>
            <w:tcW w:w="992" w:type="dxa"/>
            <w:tcBorders>
              <w:top w:val="single" w:sz="12" w:space="0" w:color="auto"/>
              <w:right w:val="single" w:sz="18" w:space="0" w:color="FFFFFF" w:themeColor="background2"/>
            </w:tcBorders>
          </w:tcPr>
          <w:p w14:paraId="7767ACCF" w14:textId="77777777" w:rsidR="00D12A9C" w:rsidRPr="00B61E00" w:rsidRDefault="00D12A9C"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5F5D6DEB" w14:textId="77777777" w:rsidR="00D12A9C" w:rsidRPr="00B61E00" w:rsidRDefault="00D12A9C" w:rsidP="00B15944">
            <w:pPr>
              <w:autoSpaceDE w:val="0"/>
              <w:autoSpaceDN w:val="0"/>
              <w:adjustRightInd w:val="0"/>
              <w:spacing w:before="20" w:after="20"/>
              <w:jc w:val="right"/>
              <w:rPr>
                <w:color w:val="292929"/>
                <w:sz w:val="14"/>
                <w:szCs w:val="14"/>
              </w:rPr>
            </w:pPr>
          </w:p>
        </w:tc>
      </w:tr>
      <w:bookmarkEnd w:id="144"/>
      <w:tr w:rsidR="00D12A9C" w:rsidRPr="00B61E00" w14:paraId="6BBB490D" w14:textId="77777777" w:rsidTr="00B15944">
        <w:trPr>
          <w:trHeight w:val="170"/>
        </w:trPr>
        <w:tc>
          <w:tcPr>
            <w:tcW w:w="5111" w:type="dxa"/>
          </w:tcPr>
          <w:p w14:paraId="4E20860B" w14:textId="77777777" w:rsidR="00D12A9C" w:rsidRPr="00B61E00" w:rsidRDefault="00D12A9C"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Wages and salaries</w:t>
            </w:r>
          </w:p>
        </w:tc>
        <w:tc>
          <w:tcPr>
            <w:tcW w:w="992" w:type="dxa"/>
            <w:tcBorders>
              <w:right w:val="single" w:sz="18" w:space="0" w:color="FFFFFF" w:themeColor="background2"/>
            </w:tcBorders>
          </w:tcPr>
          <w:p w14:paraId="50C32FC8" w14:textId="77777777" w:rsidR="00D12A9C" w:rsidRPr="00B61E00" w:rsidRDefault="00D12A9C"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528</w:t>
            </w:r>
          </w:p>
        </w:tc>
        <w:tc>
          <w:tcPr>
            <w:tcW w:w="993" w:type="dxa"/>
            <w:tcBorders>
              <w:left w:val="single" w:sz="18" w:space="0" w:color="FFFFFF" w:themeColor="background2"/>
            </w:tcBorders>
          </w:tcPr>
          <w:p w14:paraId="6B0CF90D" w14:textId="77777777" w:rsidR="00D12A9C" w:rsidRPr="00B61E00" w:rsidRDefault="00D12A9C"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B61E00">
              <w:rPr>
                <w:color w:val="292929"/>
                <w:sz w:val="14"/>
                <w:szCs w:val="14"/>
              </w:rPr>
              <w:t>52</w:t>
            </w:r>
            <w:r>
              <w:rPr>
                <w:color w:val="292929"/>
                <w:sz w:val="14"/>
                <w:szCs w:val="14"/>
              </w:rPr>
              <w:t>4</w:t>
            </w:r>
            <w:r w:rsidRPr="00B61E00">
              <w:rPr>
                <w:color w:val="292929"/>
                <w:sz w:val="14"/>
                <w:szCs w:val="14"/>
              </w:rPr>
              <w:t xml:space="preserve"> </w:t>
            </w:r>
          </w:p>
        </w:tc>
      </w:tr>
      <w:tr w:rsidR="00D12A9C" w:rsidRPr="00B61E00" w14:paraId="6DFCA067" w14:textId="77777777" w:rsidTr="00B15944">
        <w:trPr>
          <w:trHeight w:val="170"/>
        </w:trPr>
        <w:tc>
          <w:tcPr>
            <w:tcW w:w="5111" w:type="dxa"/>
          </w:tcPr>
          <w:p w14:paraId="0AEE7621" w14:textId="182FC5D9" w:rsidR="00D12A9C" w:rsidRPr="00B61E00" w:rsidRDefault="00D12A9C"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Superannuation</w:t>
            </w:r>
            <w:r>
              <w:rPr>
                <w:color w:val="292929"/>
                <w:sz w:val="14"/>
                <w:szCs w:val="14"/>
              </w:rPr>
              <w:t xml:space="preserve"> </w:t>
            </w:r>
            <w:r>
              <w:rPr>
                <w:color w:val="292929"/>
                <w:sz w:val="14"/>
                <w:szCs w:val="14"/>
              </w:rPr>
              <w:softHyphen/>
              <w:t>—</w:t>
            </w:r>
            <w:r>
              <w:rPr>
                <w:color w:val="292929"/>
                <w:sz w:val="14"/>
                <w:szCs w:val="14"/>
              </w:rPr>
              <w:softHyphen/>
              <w:t xml:space="preserve"> Defined contribution plans</w:t>
            </w:r>
          </w:p>
        </w:tc>
        <w:tc>
          <w:tcPr>
            <w:tcW w:w="992" w:type="dxa"/>
            <w:tcBorders>
              <w:right w:val="single" w:sz="18" w:space="0" w:color="FFFFFF" w:themeColor="background2"/>
            </w:tcBorders>
          </w:tcPr>
          <w:p w14:paraId="793693F2" w14:textId="77777777" w:rsidR="00D12A9C" w:rsidRPr="00B61E00" w:rsidRDefault="00D12A9C"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63</w:t>
            </w:r>
          </w:p>
        </w:tc>
        <w:tc>
          <w:tcPr>
            <w:tcW w:w="993" w:type="dxa"/>
            <w:tcBorders>
              <w:left w:val="single" w:sz="18" w:space="0" w:color="FFFFFF" w:themeColor="background2"/>
            </w:tcBorders>
          </w:tcPr>
          <w:p w14:paraId="3DD6A173" w14:textId="77777777" w:rsidR="00D12A9C" w:rsidRPr="00B61E00" w:rsidRDefault="00D12A9C"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56</w:t>
            </w:r>
          </w:p>
        </w:tc>
      </w:tr>
      <w:tr w:rsidR="00D12A9C" w:rsidRPr="00B61E00" w14:paraId="1D6D335E" w14:textId="77777777" w:rsidTr="00B15944">
        <w:trPr>
          <w:trHeight w:val="170"/>
        </w:trPr>
        <w:tc>
          <w:tcPr>
            <w:tcW w:w="5111" w:type="dxa"/>
          </w:tcPr>
          <w:p w14:paraId="0FA27147" w14:textId="77777777" w:rsidR="00D12A9C" w:rsidRPr="00B61E00" w:rsidRDefault="00D12A9C"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Leave and other entitlements</w:t>
            </w:r>
          </w:p>
        </w:tc>
        <w:tc>
          <w:tcPr>
            <w:tcW w:w="992" w:type="dxa"/>
            <w:tcBorders>
              <w:right w:val="single" w:sz="18" w:space="0" w:color="FFFFFF" w:themeColor="background2"/>
            </w:tcBorders>
          </w:tcPr>
          <w:p w14:paraId="65E06CF5" w14:textId="77777777" w:rsidR="00D12A9C" w:rsidRPr="00B61E00" w:rsidRDefault="00D12A9C"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353</w:t>
            </w:r>
          </w:p>
        </w:tc>
        <w:tc>
          <w:tcPr>
            <w:tcW w:w="993" w:type="dxa"/>
            <w:tcBorders>
              <w:left w:val="single" w:sz="18" w:space="0" w:color="FFFFFF" w:themeColor="background2"/>
            </w:tcBorders>
          </w:tcPr>
          <w:p w14:paraId="6DC0EDBC" w14:textId="77777777" w:rsidR="00D12A9C" w:rsidRPr="00B61E00" w:rsidRDefault="00D12A9C" w:rsidP="00B15944">
            <w:pPr>
              <w:autoSpaceDE w:val="0"/>
              <w:autoSpaceDN w:val="0"/>
              <w:adjustRightInd w:val="0"/>
              <w:spacing w:before="20" w:after="20"/>
              <w:jc w:val="right"/>
              <w:rPr>
                <w:color w:val="292929"/>
                <w:sz w:val="14"/>
                <w:szCs w:val="14"/>
              </w:rPr>
            </w:pPr>
            <w:r w:rsidRPr="00B61E00">
              <w:rPr>
                <w:color w:val="292929"/>
                <w:sz w:val="14"/>
                <w:szCs w:val="14"/>
              </w:rPr>
              <w:t>2</w:t>
            </w:r>
            <w:r>
              <w:rPr>
                <w:color w:val="292929"/>
                <w:sz w:val="14"/>
                <w:szCs w:val="14"/>
              </w:rPr>
              <w:t>56</w:t>
            </w:r>
            <w:r w:rsidRPr="00B61E00">
              <w:rPr>
                <w:color w:val="292929"/>
                <w:sz w:val="14"/>
                <w:szCs w:val="14"/>
              </w:rPr>
              <w:t xml:space="preserve"> </w:t>
            </w:r>
          </w:p>
        </w:tc>
      </w:tr>
      <w:tr w:rsidR="00D12A9C" w:rsidRPr="00B61E00" w14:paraId="4CC15091" w14:textId="77777777" w:rsidTr="00B15944">
        <w:trPr>
          <w:trHeight w:val="170"/>
        </w:trPr>
        <w:tc>
          <w:tcPr>
            <w:tcW w:w="5111" w:type="dxa"/>
          </w:tcPr>
          <w:p w14:paraId="0158708C" w14:textId="77777777" w:rsidR="00D12A9C" w:rsidRPr="00B61E00" w:rsidRDefault="00D12A9C"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Wages and salaries for staff provided by Department of Health</w:t>
            </w:r>
          </w:p>
        </w:tc>
        <w:tc>
          <w:tcPr>
            <w:tcW w:w="992" w:type="dxa"/>
            <w:tcBorders>
              <w:bottom w:val="single" w:sz="2" w:space="0" w:color="auto"/>
              <w:right w:val="single" w:sz="18" w:space="0" w:color="FFFFFF" w:themeColor="background2"/>
            </w:tcBorders>
          </w:tcPr>
          <w:p w14:paraId="38E264B4" w14:textId="77777777" w:rsidR="00D12A9C" w:rsidRPr="00B61E00" w:rsidRDefault="00D12A9C"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7,920</w:t>
            </w:r>
          </w:p>
        </w:tc>
        <w:tc>
          <w:tcPr>
            <w:tcW w:w="993" w:type="dxa"/>
            <w:tcBorders>
              <w:left w:val="single" w:sz="18" w:space="0" w:color="FFFFFF" w:themeColor="background2"/>
              <w:bottom w:val="single" w:sz="2" w:space="0" w:color="auto"/>
            </w:tcBorders>
          </w:tcPr>
          <w:p w14:paraId="603E2FEC" w14:textId="77777777" w:rsidR="00D12A9C" w:rsidRPr="00B61E00" w:rsidRDefault="00D12A9C"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6</w:t>
            </w:r>
            <w:r w:rsidRPr="00B61E00">
              <w:rPr>
                <w:color w:val="292929"/>
                <w:sz w:val="14"/>
                <w:szCs w:val="14"/>
              </w:rPr>
              <w:t>,</w:t>
            </w:r>
            <w:r>
              <w:rPr>
                <w:color w:val="292929"/>
                <w:sz w:val="14"/>
                <w:szCs w:val="14"/>
              </w:rPr>
              <w:t>928</w:t>
            </w:r>
          </w:p>
        </w:tc>
      </w:tr>
      <w:tr w:rsidR="00D12A9C" w:rsidRPr="00B61E00" w14:paraId="0546A33C" w14:textId="77777777" w:rsidTr="00B15944">
        <w:trPr>
          <w:trHeight w:val="170"/>
        </w:trPr>
        <w:tc>
          <w:tcPr>
            <w:tcW w:w="5111" w:type="dxa"/>
          </w:tcPr>
          <w:p w14:paraId="2F3CB0BB" w14:textId="77777777" w:rsidR="00D12A9C" w:rsidRPr="00B61E00" w:rsidRDefault="00D12A9C"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Total employee benefits</w:t>
            </w:r>
          </w:p>
        </w:tc>
        <w:tc>
          <w:tcPr>
            <w:tcW w:w="992" w:type="dxa"/>
            <w:tcBorders>
              <w:top w:val="single" w:sz="2" w:space="0" w:color="auto"/>
              <w:bottom w:val="single" w:sz="2" w:space="0" w:color="auto"/>
              <w:right w:val="single" w:sz="18" w:space="0" w:color="FFFFFF" w:themeColor="background2"/>
            </w:tcBorders>
          </w:tcPr>
          <w:p w14:paraId="4654B88B" w14:textId="77777777" w:rsidR="00D12A9C" w:rsidRPr="00B61E00" w:rsidRDefault="00D12A9C"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8,864</w:t>
            </w:r>
          </w:p>
        </w:tc>
        <w:tc>
          <w:tcPr>
            <w:tcW w:w="993" w:type="dxa"/>
            <w:tcBorders>
              <w:top w:val="single" w:sz="2" w:space="0" w:color="auto"/>
              <w:left w:val="single" w:sz="18" w:space="0" w:color="FFFFFF" w:themeColor="background2"/>
              <w:bottom w:val="single" w:sz="2" w:space="0" w:color="auto"/>
            </w:tcBorders>
          </w:tcPr>
          <w:p w14:paraId="3B3898B1" w14:textId="77777777" w:rsidR="00D12A9C" w:rsidRPr="00B61E00" w:rsidRDefault="00D12A9C"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B61E00">
              <w:rPr>
                <w:color w:val="292929"/>
                <w:sz w:val="14"/>
                <w:szCs w:val="14"/>
              </w:rPr>
              <w:t>7,</w:t>
            </w:r>
            <w:r>
              <w:rPr>
                <w:color w:val="292929"/>
                <w:sz w:val="14"/>
                <w:szCs w:val="14"/>
              </w:rPr>
              <w:t>764</w:t>
            </w:r>
            <w:r w:rsidRPr="00B61E00">
              <w:rPr>
                <w:color w:val="292929"/>
                <w:sz w:val="14"/>
                <w:szCs w:val="14"/>
              </w:rPr>
              <w:t xml:space="preserve"> </w:t>
            </w:r>
          </w:p>
        </w:tc>
      </w:tr>
      <w:tr w:rsidR="00D12A9C" w:rsidRPr="00B61E00" w14:paraId="21A999B4" w14:textId="77777777" w:rsidTr="00B15944">
        <w:trPr>
          <w:trHeight w:val="57"/>
        </w:trPr>
        <w:tc>
          <w:tcPr>
            <w:tcW w:w="5111" w:type="dxa"/>
          </w:tcPr>
          <w:p w14:paraId="01F0DB9D" w14:textId="77777777" w:rsidR="00D12A9C" w:rsidRPr="00B61E00" w:rsidRDefault="00D12A9C" w:rsidP="00B15944">
            <w:pPr>
              <w:suppressAutoHyphens/>
              <w:autoSpaceDE w:val="0"/>
              <w:autoSpaceDN w:val="0"/>
              <w:adjustRightInd w:val="0"/>
              <w:spacing w:before="20" w:after="20"/>
              <w:textAlignment w:val="center"/>
              <w:rPr>
                <w:rFonts w:asciiTheme="majorHAnsi" w:hAnsiTheme="majorHAnsi"/>
                <w:color w:val="292929"/>
                <w:sz w:val="4"/>
                <w:szCs w:val="4"/>
              </w:rPr>
            </w:pPr>
          </w:p>
        </w:tc>
        <w:tc>
          <w:tcPr>
            <w:tcW w:w="992" w:type="dxa"/>
            <w:tcBorders>
              <w:top w:val="single" w:sz="2" w:space="0" w:color="auto"/>
              <w:right w:val="single" w:sz="18" w:space="0" w:color="FFFFFF" w:themeColor="background2"/>
            </w:tcBorders>
          </w:tcPr>
          <w:p w14:paraId="1025CCF6" w14:textId="77777777" w:rsidR="00D12A9C" w:rsidRPr="00B61E00" w:rsidRDefault="00D12A9C" w:rsidP="00B15944">
            <w:pPr>
              <w:autoSpaceDE w:val="0"/>
              <w:autoSpaceDN w:val="0"/>
              <w:adjustRightInd w:val="0"/>
              <w:spacing w:before="20" w:after="20"/>
              <w:jc w:val="right"/>
              <w:rPr>
                <w:rFonts w:asciiTheme="majorHAnsi" w:hAnsiTheme="majorHAnsi"/>
                <w:color w:val="292929"/>
                <w:sz w:val="4"/>
                <w:szCs w:val="4"/>
              </w:rPr>
            </w:pPr>
          </w:p>
        </w:tc>
        <w:tc>
          <w:tcPr>
            <w:tcW w:w="993" w:type="dxa"/>
            <w:tcBorders>
              <w:top w:val="single" w:sz="2" w:space="0" w:color="auto"/>
              <w:left w:val="single" w:sz="18" w:space="0" w:color="FFFFFF" w:themeColor="background2"/>
            </w:tcBorders>
          </w:tcPr>
          <w:p w14:paraId="1534B251" w14:textId="77777777" w:rsidR="00D12A9C" w:rsidRPr="00B61E00" w:rsidRDefault="00D12A9C" w:rsidP="00B15944">
            <w:pPr>
              <w:suppressAutoHyphens/>
              <w:autoSpaceDE w:val="0"/>
              <w:autoSpaceDN w:val="0"/>
              <w:adjustRightInd w:val="0"/>
              <w:spacing w:before="20" w:after="20"/>
              <w:jc w:val="right"/>
              <w:textAlignment w:val="center"/>
              <w:rPr>
                <w:color w:val="292929"/>
                <w:sz w:val="4"/>
                <w:szCs w:val="4"/>
              </w:rPr>
            </w:pPr>
          </w:p>
        </w:tc>
      </w:tr>
    </w:tbl>
    <w:p w14:paraId="775D5CE7" w14:textId="77777777" w:rsidR="00D12A9C" w:rsidRPr="00B61E00" w:rsidRDefault="00D12A9C" w:rsidP="00471517">
      <w:pPr>
        <w:pStyle w:val="Body"/>
        <w:rPr>
          <w:color w:val="292929"/>
        </w:rPr>
      </w:pPr>
    </w:p>
    <w:tbl>
      <w:tblPr>
        <w:tblStyle w:val="TableGrid1"/>
        <w:tblW w:w="4993" w:type="pct"/>
        <w:tblCellMar>
          <w:top w:w="57" w:type="dxa"/>
          <w:bottom w:w="57" w:type="dxa"/>
        </w:tblCellMar>
        <w:tblLook w:val="04A0" w:firstRow="1" w:lastRow="0" w:firstColumn="1" w:lastColumn="0" w:noHBand="0" w:noVBand="1"/>
        <w:tblCaption w:val="Note 1.1A"/>
        <w:tblDescription w:val="Accounting policy"/>
      </w:tblPr>
      <w:tblGrid>
        <w:gridCol w:w="7690"/>
      </w:tblGrid>
      <w:tr w:rsidR="00471517" w:rsidRPr="00B61E00" w14:paraId="7CCA99C1" w14:textId="77777777" w:rsidTr="00B15944">
        <w:trPr>
          <w:trHeight w:val="907"/>
          <w:tblHeader/>
        </w:trPr>
        <w:tc>
          <w:tcPr>
            <w:tcW w:w="5000" w:type="pct"/>
          </w:tcPr>
          <w:p w14:paraId="43219B96" w14:textId="77777777" w:rsidR="00471517" w:rsidRPr="00B61E00" w:rsidRDefault="00471517" w:rsidP="00B15944">
            <w:pPr>
              <w:pStyle w:val="Body"/>
              <w:spacing w:after="120" w:line="288" w:lineRule="auto"/>
              <w:rPr>
                <w:rFonts w:asciiTheme="majorHAnsi" w:hAnsiTheme="majorHAnsi"/>
                <w:color w:val="292929"/>
              </w:rPr>
            </w:pPr>
            <w:bookmarkStart w:id="145" w:name="_Hlk48554702"/>
            <w:r w:rsidRPr="00B61E00">
              <w:rPr>
                <w:rFonts w:asciiTheme="majorHAnsi" w:hAnsiTheme="majorHAnsi"/>
                <w:color w:val="292929"/>
              </w:rPr>
              <w:t>Accounting Policy</w:t>
            </w:r>
          </w:p>
          <w:p w14:paraId="7B5A99BD" w14:textId="77777777" w:rsidR="00471517" w:rsidRPr="00B61E00" w:rsidRDefault="00471517" w:rsidP="00B15944">
            <w:pPr>
              <w:pStyle w:val="Body"/>
              <w:spacing w:after="120" w:line="288" w:lineRule="auto"/>
              <w:rPr>
                <w:b/>
                <w:bCs/>
                <w:color w:val="292929"/>
              </w:rPr>
            </w:pPr>
            <w:r w:rsidRPr="00B61E00">
              <w:rPr>
                <w:b/>
                <w:bCs/>
                <w:color w:val="292929"/>
              </w:rPr>
              <w:t>Employee benefits</w:t>
            </w:r>
          </w:p>
          <w:p w14:paraId="5DC8D61A" w14:textId="77777777" w:rsidR="00471517" w:rsidRPr="00B61E00" w:rsidRDefault="00471517" w:rsidP="00B15944">
            <w:pPr>
              <w:pStyle w:val="Body"/>
              <w:spacing w:line="288" w:lineRule="auto"/>
              <w:rPr>
                <w:color w:val="292929"/>
              </w:rPr>
            </w:pPr>
            <w:r w:rsidRPr="00B61E00">
              <w:rPr>
                <w:color w:val="292929"/>
              </w:rPr>
              <w:t>Accounting policies for employee benefits is contained in the People and Relationships section.</w:t>
            </w:r>
          </w:p>
        </w:tc>
      </w:tr>
      <w:bookmarkEnd w:id="145"/>
    </w:tbl>
    <w:p w14:paraId="75D638FC" w14:textId="0FE06AFC" w:rsidR="00C2709B" w:rsidRDefault="00C2709B" w:rsidP="008664C1">
      <w:pPr>
        <w:pStyle w:val="Body"/>
        <w:rPr>
          <w:color w:val="292929"/>
        </w:rPr>
      </w:pPr>
    </w:p>
    <w:p w14:paraId="5CEC9C20" w14:textId="77777777" w:rsidR="00C2709B" w:rsidRDefault="00C2709B" w:rsidP="008664C1">
      <w:pPr>
        <w:pStyle w:val="Body"/>
        <w:rPr>
          <w:color w:val="292929"/>
        </w:rPr>
        <w:sectPr w:rsidR="00C2709B" w:rsidSect="00441579">
          <w:footerReference w:type="default" r:id="rId190"/>
          <w:pgSz w:w="9979" w:h="14175"/>
          <w:pgMar w:top="1134" w:right="1134" w:bottom="1134" w:left="1134" w:header="709" w:footer="709" w:gutter="0"/>
          <w:cols w:space="708"/>
          <w:docGrid w:linePitch="360"/>
        </w:sectPr>
      </w:pPr>
    </w:p>
    <w:tbl>
      <w:tblPr>
        <w:tblStyle w:val="IHPA"/>
        <w:tblW w:w="7096" w:type="dxa"/>
        <w:tblLayout w:type="fixed"/>
        <w:tblLook w:val="0020" w:firstRow="1" w:lastRow="0" w:firstColumn="0" w:lastColumn="0" w:noHBand="0" w:noVBand="0"/>
        <w:tblCaption w:val="Note 1.1B"/>
        <w:tblDescription w:val="Suppliers"/>
      </w:tblPr>
      <w:tblGrid>
        <w:gridCol w:w="5111"/>
        <w:gridCol w:w="992"/>
        <w:gridCol w:w="993"/>
      </w:tblGrid>
      <w:tr w:rsidR="00C640A5" w:rsidRPr="00B61E00" w14:paraId="6CBD8377" w14:textId="77777777" w:rsidTr="00B15944">
        <w:trPr>
          <w:trHeight w:val="340"/>
        </w:trPr>
        <w:tc>
          <w:tcPr>
            <w:tcW w:w="5111" w:type="dxa"/>
          </w:tcPr>
          <w:p w14:paraId="30DB82DE" w14:textId="77777777" w:rsidR="00C640A5" w:rsidRPr="00B61E00" w:rsidRDefault="00C640A5" w:rsidP="00B15944">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70383AD0" w14:textId="77AB7751" w:rsidR="00C640A5" w:rsidRPr="00B61E00" w:rsidRDefault="00C640A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2</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3835384C" w14:textId="027B891B" w:rsidR="00C640A5" w:rsidRPr="00B61E00" w:rsidRDefault="00C640A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B61E00">
              <w:rPr>
                <w:rFonts w:asciiTheme="majorHAnsi" w:hAnsiTheme="majorHAnsi" w:cs="Futura PT Heavy"/>
                <w:color w:val="292929"/>
                <w:sz w:val="16"/>
                <w:szCs w:val="16"/>
                <w:lang w:val="en-US"/>
              </w:rPr>
              <w:br/>
              <w:t>$’000</w:t>
            </w:r>
          </w:p>
        </w:tc>
      </w:tr>
      <w:tr w:rsidR="00C640A5" w:rsidRPr="00B61E00" w14:paraId="03DF81D0" w14:textId="77777777" w:rsidTr="00B15944">
        <w:trPr>
          <w:trHeight w:val="170"/>
        </w:trPr>
        <w:tc>
          <w:tcPr>
            <w:tcW w:w="5111" w:type="dxa"/>
          </w:tcPr>
          <w:p w14:paraId="3D694D7D"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Note 1.1B: Suppliers</w:t>
            </w:r>
          </w:p>
        </w:tc>
        <w:tc>
          <w:tcPr>
            <w:tcW w:w="992" w:type="dxa"/>
            <w:tcBorders>
              <w:top w:val="single" w:sz="12" w:space="0" w:color="auto"/>
              <w:right w:val="single" w:sz="18" w:space="0" w:color="FFFFFF" w:themeColor="background2"/>
            </w:tcBorders>
          </w:tcPr>
          <w:p w14:paraId="0BCE8590" w14:textId="77777777"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0CE68DED" w14:textId="77777777" w:rsidR="00C640A5" w:rsidRPr="00B61E00" w:rsidRDefault="00C640A5" w:rsidP="00B15944">
            <w:pPr>
              <w:autoSpaceDE w:val="0"/>
              <w:autoSpaceDN w:val="0"/>
              <w:adjustRightInd w:val="0"/>
              <w:spacing w:before="20" w:after="20"/>
              <w:jc w:val="right"/>
              <w:rPr>
                <w:color w:val="292929"/>
                <w:sz w:val="14"/>
                <w:szCs w:val="14"/>
              </w:rPr>
            </w:pPr>
          </w:p>
        </w:tc>
      </w:tr>
      <w:tr w:rsidR="00C640A5" w:rsidRPr="00B61E00" w14:paraId="486BDA94" w14:textId="77777777" w:rsidTr="00B15944">
        <w:trPr>
          <w:trHeight w:val="170"/>
        </w:trPr>
        <w:tc>
          <w:tcPr>
            <w:tcW w:w="5111" w:type="dxa"/>
          </w:tcPr>
          <w:p w14:paraId="3083AB55"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Goods and services supplied or rendered</w:t>
            </w:r>
          </w:p>
        </w:tc>
        <w:tc>
          <w:tcPr>
            <w:tcW w:w="992" w:type="dxa"/>
            <w:tcBorders>
              <w:right w:val="single" w:sz="18" w:space="0" w:color="FFFFFF" w:themeColor="background2"/>
            </w:tcBorders>
          </w:tcPr>
          <w:p w14:paraId="46509A25" w14:textId="77777777"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left w:val="single" w:sz="18" w:space="0" w:color="FFFFFF" w:themeColor="background2"/>
            </w:tcBorders>
          </w:tcPr>
          <w:p w14:paraId="1D36551C" w14:textId="77777777" w:rsidR="00C640A5" w:rsidRPr="00B61E00" w:rsidRDefault="00C640A5" w:rsidP="00B15944">
            <w:pPr>
              <w:autoSpaceDE w:val="0"/>
              <w:autoSpaceDN w:val="0"/>
              <w:adjustRightInd w:val="0"/>
              <w:spacing w:before="20" w:after="20"/>
              <w:jc w:val="right"/>
              <w:rPr>
                <w:color w:val="292929"/>
                <w:sz w:val="14"/>
                <w:szCs w:val="14"/>
              </w:rPr>
            </w:pPr>
          </w:p>
        </w:tc>
      </w:tr>
      <w:tr w:rsidR="00C640A5" w:rsidRPr="00B61E00" w14:paraId="3820EE3F" w14:textId="77777777" w:rsidTr="00B15944">
        <w:trPr>
          <w:trHeight w:val="170"/>
        </w:trPr>
        <w:tc>
          <w:tcPr>
            <w:tcW w:w="5111" w:type="dxa"/>
          </w:tcPr>
          <w:p w14:paraId="6CAD3D93" w14:textId="77777777" w:rsidR="00C640A5" w:rsidRPr="00B61E00" w:rsidRDefault="00C640A5"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Consultants</w:t>
            </w:r>
          </w:p>
        </w:tc>
        <w:tc>
          <w:tcPr>
            <w:tcW w:w="992" w:type="dxa"/>
            <w:tcBorders>
              <w:right w:val="single" w:sz="18" w:space="0" w:color="FFFFFF" w:themeColor="background2"/>
            </w:tcBorders>
          </w:tcPr>
          <w:p w14:paraId="4D201A20" w14:textId="390226F9" w:rsidR="00C640A5" w:rsidRPr="00B61E00" w:rsidRDefault="006B79DF"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3,842</w:t>
            </w:r>
          </w:p>
        </w:tc>
        <w:tc>
          <w:tcPr>
            <w:tcW w:w="993" w:type="dxa"/>
            <w:tcBorders>
              <w:left w:val="single" w:sz="18" w:space="0" w:color="FFFFFF" w:themeColor="background2"/>
            </w:tcBorders>
          </w:tcPr>
          <w:p w14:paraId="639722DA" w14:textId="65362068" w:rsidR="00C640A5" w:rsidRPr="00B61E00" w:rsidRDefault="006B79DF"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2,793</w:t>
            </w:r>
          </w:p>
        </w:tc>
      </w:tr>
      <w:tr w:rsidR="00C640A5" w:rsidRPr="00B61E00" w14:paraId="2C11CBF4" w14:textId="77777777" w:rsidTr="00B15944">
        <w:trPr>
          <w:trHeight w:val="170"/>
        </w:trPr>
        <w:tc>
          <w:tcPr>
            <w:tcW w:w="5111" w:type="dxa"/>
          </w:tcPr>
          <w:p w14:paraId="6260B3B0" w14:textId="77777777" w:rsidR="00C640A5" w:rsidRPr="00B61E00" w:rsidRDefault="00C640A5"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Contractors</w:t>
            </w:r>
          </w:p>
        </w:tc>
        <w:tc>
          <w:tcPr>
            <w:tcW w:w="992" w:type="dxa"/>
            <w:tcBorders>
              <w:right w:val="single" w:sz="18" w:space="0" w:color="FFFFFF" w:themeColor="background2"/>
            </w:tcBorders>
          </w:tcPr>
          <w:p w14:paraId="32DA47BF" w14:textId="0B372655" w:rsidR="00C640A5" w:rsidRPr="00B61E00" w:rsidRDefault="006B79DF"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5,986</w:t>
            </w:r>
          </w:p>
        </w:tc>
        <w:tc>
          <w:tcPr>
            <w:tcW w:w="993" w:type="dxa"/>
            <w:tcBorders>
              <w:left w:val="single" w:sz="18" w:space="0" w:color="FFFFFF" w:themeColor="background2"/>
            </w:tcBorders>
          </w:tcPr>
          <w:p w14:paraId="7AFF37EF" w14:textId="64E85E08" w:rsidR="00C640A5" w:rsidRPr="00B61E00" w:rsidRDefault="006B79DF"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1,999</w:t>
            </w:r>
          </w:p>
        </w:tc>
      </w:tr>
      <w:tr w:rsidR="00C640A5" w:rsidRPr="00B61E00" w14:paraId="704A7A73" w14:textId="77777777" w:rsidTr="00B15944">
        <w:trPr>
          <w:trHeight w:val="170"/>
        </w:trPr>
        <w:tc>
          <w:tcPr>
            <w:tcW w:w="5111" w:type="dxa"/>
          </w:tcPr>
          <w:p w14:paraId="41CA1A7F" w14:textId="77777777" w:rsidR="00C640A5" w:rsidRPr="00B61E00" w:rsidRDefault="00C640A5"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IT services</w:t>
            </w:r>
          </w:p>
        </w:tc>
        <w:tc>
          <w:tcPr>
            <w:tcW w:w="992" w:type="dxa"/>
            <w:tcBorders>
              <w:right w:val="single" w:sz="18" w:space="0" w:color="FFFFFF" w:themeColor="background2"/>
            </w:tcBorders>
          </w:tcPr>
          <w:p w14:paraId="01673F3A" w14:textId="28E3AEAD" w:rsidR="00C640A5" w:rsidRPr="00B61E00" w:rsidRDefault="006B79DF"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5,081</w:t>
            </w:r>
          </w:p>
        </w:tc>
        <w:tc>
          <w:tcPr>
            <w:tcW w:w="993" w:type="dxa"/>
            <w:tcBorders>
              <w:left w:val="single" w:sz="18" w:space="0" w:color="FFFFFF" w:themeColor="background2"/>
            </w:tcBorders>
          </w:tcPr>
          <w:p w14:paraId="70F13350" w14:textId="17114B4E" w:rsidR="00C640A5" w:rsidRPr="00B61E00" w:rsidRDefault="00C640A5" w:rsidP="00B15944">
            <w:pPr>
              <w:autoSpaceDE w:val="0"/>
              <w:autoSpaceDN w:val="0"/>
              <w:adjustRightInd w:val="0"/>
              <w:spacing w:before="20" w:after="20"/>
              <w:jc w:val="right"/>
              <w:rPr>
                <w:color w:val="292929"/>
                <w:sz w:val="14"/>
                <w:szCs w:val="14"/>
              </w:rPr>
            </w:pPr>
            <w:r w:rsidRPr="00B61E00">
              <w:rPr>
                <w:rFonts w:cs="Calibri"/>
                <w:color w:val="292929"/>
                <w:sz w:val="14"/>
                <w:szCs w:val="14"/>
              </w:rPr>
              <w:t>3,</w:t>
            </w:r>
            <w:r w:rsidR="006B79DF">
              <w:rPr>
                <w:rFonts w:cs="Calibri"/>
                <w:color w:val="292929"/>
                <w:sz w:val="14"/>
                <w:szCs w:val="14"/>
              </w:rPr>
              <w:t>908</w:t>
            </w:r>
          </w:p>
        </w:tc>
      </w:tr>
      <w:tr w:rsidR="00C640A5" w:rsidRPr="00B61E00" w14:paraId="58C4F9DC" w14:textId="77777777" w:rsidTr="00B15944">
        <w:trPr>
          <w:trHeight w:val="170"/>
        </w:trPr>
        <w:tc>
          <w:tcPr>
            <w:tcW w:w="5111" w:type="dxa"/>
          </w:tcPr>
          <w:p w14:paraId="744872DA" w14:textId="77777777" w:rsidR="00C640A5" w:rsidRPr="00B61E00" w:rsidRDefault="00C640A5"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Travel</w:t>
            </w:r>
          </w:p>
        </w:tc>
        <w:tc>
          <w:tcPr>
            <w:tcW w:w="992" w:type="dxa"/>
            <w:tcBorders>
              <w:right w:val="single" w:sz="18" w:space="0" w:color="FFFFFF" w:themeColor="background2"/>
            </w:tcBorders>
          </w:tcPr>
          <w:p w14:paraId="1A6B16C0" w14:textId="3AA5819E" w:rsidR="00C640A5" w:rsidRPr="00B61E00" w:rsidRDefault="006B79DF"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100</w:t>
            </w:r>
          </w:p>
        </w:tc>
        <w:tc>
          <w:tcPr>
            <w:tcW w:w="993" w:type="dxa"/>
            <w:tcBorders>
              <w:left w:val="single" w:sz="18" w:space="0" w:color="FFFFFF" w:themeColor="background2"/>
            </w:tcBorders>
          </w:tcPr>
          <w:p w14:paraId="1954797A" w14:textId="0FA18CE0" w:rsidR="00C640A5" w:rsidRPr="00B61E00" w:rsidRDefault="006B79DF" w:rsidP="00B15944">
            <w:pPr>
              <w:autoSpaceDE w:val="0"/>
              <w:autoSpaceDN w:val="0"/>
              <w:adjustRightInd w:val="0"/>
              <w:spacing w:before="20" w:after="20"/>
              <w:jc w:val="right"/>
              <w:rPr>
                <w:color w:val="292929"/>
                <w:sz w:val="14"/>
                <w:szCs w:val="14"/>
              </w:rPr>
            </w:pPr>
            <w:r>
              <w:rPr>
                <w:rFonts w:cs="Calibri"/>
                <w:color w:val="292929"/>
                <w:sz w:val="14"/>
                <w:szCs w:val="14"/>
              </w:rPr>
              <w:t>53</w:t>
            </w:r>
          </w:p>
        </w:tc>
      </w:tr>
      <w:tr w:rsidR="00C640A5" w:rsidRPr="00B61E00" w14:paraId="1784C4E5" w14:textId="77777777" w:rsidTr="00B15944">
        <w:trPr>
          <w:trHeight w:val="170"/>
        </w:trPr>
        <w:tc>
          <w:tcPr>
            <w:tcW w:w="5111" w:type="dxa"/>
          </w:tcPr>
          <w:p w14:paraId="17B26423" w14:textId="77777777" w:rsidR="00C640A5" w:rsidRPr="00B61E00" w:rsidRDefault="00C640A5"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Training</w:t>
            </w:r>
          </w:p>
        </w:tc>
        <w:tc>
          <w:tcPr>
            <w:tcW w:w="992" w:type="dxa"/>
            <w:tcBorders>
              <w:right w:val="single" w:sz="18" w:space="0" w:color="FFFFFF" w:themeColor="background2"/>
            </w:tcBorders>
          </w:tcPr>
          <w:p w14:paraId="31B845D1" w14:textId="641BB164" w:rsidR="00C640A5" w:rsidRPr="00B61E00" w:rsidRDefault="006B79DF"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89</w:t>
            </w:r>
          </w:p>
        </w:tc>
        <w:tc>
          <w:tcPr>
            <w:tcW w:w="993" w:type="dxa"/>
            <w:tcBorders>
              <w:left w:val="single" w:sz="18" w:space="0" w:color="FFFFFF" w:themeColor="background2"/>
            </w:tcBorders>
          </w:tcPr>
          <w:p w14:paraId="055B3820" w14:textId="2143DA5A" w:rsidR="00C640A5" w:rsidRPr="00B61E00" w:rsidRDefault="00C640A5"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B61E00">
              <w:rPr>
                <w:rFonts w:cs="Calibri"/>
                <w:color w:val="292929"/>
                <w:sz w:val="14"/>
                <w:szCs w:val="14"/>
              </w:rPr>
              <w:t>1</w:t>
            </w:r>
            <w:r w:rsidR="006B79DF">
              <w:rPr>
                <w:rFonts w:cs="Calibri"/>
                <w:color w:val="292929"/>
                <w:sz w:val="14"/>
                <w:szCs w:val="14"/>
              </w:rPr>
              <w:t>32</w:t>
            </w:r>
          </w:p>
        </w:tc>
      </w:tr>
      <w:tr w:rsidR="00C640A5" w:rsidRPr="00B61E00" w14:paraId="5BE6F242" w14:textId="77777777" w:rsidTr="00B15944">
        <w:trPr>
          <w:trHeight w:val="170"/>
        </w:trPr>
        <w:tc>
          <w:tcPr>
            <w:tcW w:w="5111" w:type="dxa"/>
          </w:tcPr>
          <w:p w14:paraId="5B82518B" w14:textId="77777777" w:rsidR="00C640A5" w:rsidRPr="00B61E00" w:rsidRDefault="00C640A5"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Publishing materials</w:t>
            </w:r>
          </w:p>
        </w:tc>
        <w:tc>
          <w:tcPr>
            <w:tcW w:w="992" w:type="dxa"/>
            <w:tcBorders>
              <w:right w:val="single" w:sz="18" w:space="0" w:color="FFFFFF" w:themeColor="background2"/>
            </w:tcBorders>
          </w:tcPr>
          <w:p w14:paraId="317F1EDC" w14:textId="25C282B0" w:rsidR="00C640A5" w:rsidRPr="00B61E00" w:rsidRDefault="006B79DF"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464</w:t>
            </w:r>
          </w:p>
        </w:tc>
        <w:tc>
          <w:tcPr>
            <w:tcW w:w="993" w:type="dxa"/>
            <w:tcBorders>
              <w:left w:val="single" w:sz="18" w:space="0" w:color="FFFFFF" w:themeColor="background2"/>
            </w:tcBorders>
          </w:tcPr>
          <w:p w14:paraId="74CF9DD5" w14:textId="2E1899F0" w:rsidR="00C640A5" w:rsidRPr="00B61E00" w:rsidRDefault="00C640A5" w:rsidP="00B15944">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2</w:t>
            </w:r>
            <w:r w:rsidR="006B79DF">
              <w:rPr>
                <w:rFonts w:cs="Calibri"/>
                <w:color w:val="292929"/>
                <w:sz w:val="14"/>
                <w:szCs w:val="14"/>
              </w:rPr>
              <w:t>02</w:t>
            </w:r>
          </w:p>
        </w:tc>
      </w:tr>
      <w:tr w:rsidR="00C640A5" w:rsidRPr="00B61E00" w14:paraId="1BEFDAE8" w14:textId="77777777" w:rsidTr="00B15944">
        <w:trPr>
          <w:trHeight w:val="170"/>
        </w:trPr>
        <w:tc>
          <w:tcPr>
            <w:tcW w:w="5111" w:type="dxa"/>
          </w:tcPr>
          <w:p w14:paraId="45E8ADCF" w14:textId="77777777" w:rsidR="00C640A5" w:rsidRPr="00B61E00" w:rsidRDefault="00C640A5" w:rsidP="00B15944">
            <w:pPr>
              <w:suppressAutoHyphens/>
              <w:autoSpaceDE w:val="0"/>
              <w:autoSpaceDN w:val="0"/>
              <w:adjustRightInd w:val="0"/>
              <w:spacing w:before="20" w:after="20"/>
              <w:textAlignment w:val="center"/>
              <w:rPr>
                <w:color w:val="292929"/>
                <w:sz w:val="14"/>
                <w:szCs w:val="14"/>
              </w:rPr>
            </w:pPr>
            <w:r w:rsidRPr="00B61E00">
              <w:rPr>
                <w:color w:val="292929"/>
                <w:sz w:val="14"/>
                <w:szCs w:val="14"/>
              </w:rPr>
              <w:t>Legal and audit expenses</w:t>
            </w:r>
          </w:p>
        </w:tc>
        <w:tc>
          <w:tcPr>
            <w:tcW w:w="992" w:type="dxa"/>
            <w:tcBorders>
              <w:right w:val="single" w:sz="18" w:space="0" w:color="FFFFFF" w:themeColor="background2"/>
            </w:tcBorders>
          </w:tcPr>
          <w:p w14:paraId="0A60C441" w14:textId="6C642371" w:rsidR="00C640A5" w:rsidRPr="00B61E00" w:rsidRDefault="006B79DF"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279</w:t>
            </w:r>
          </w:p>
        </w:tc>
        <w:tc>
          <w:tcPr>
            <w:tcW w:w="993" w:type="dxa"/>
            <w:tcBorders>
              <w:left w:val="single" w:sz="18" w:space="0" w:color="FFFFFF" w:themeColor="background2"/>
            </w:tcBorders>
          </w:tcPr>
          <w:p w14:paraId="3D55B43A" w14:textId="59F60F1E" w:rsidR="00C640A5" w:rsidRPr="00B61E00" w:rsidRDefault="00C640A5" w:rsidP="00B15944">
            <w:pPr>
              <w:suppressAutoHyphens/>
              <w:autoSpaceDE w:val="0"/>
              <w:autoSpaceDN w:val="0"/>
              <w:adjustRightInd w:val="0"/>
              <w:spacing w:before="20" w:after="20"/>
              <w:jc w:val="right"/>
              <w:textAlignment w:val="center"/>
              <w:rPr>
                <w:color w:val="292929"/>
                <w:sz w:val="14"/>
                <w:szCs w:val="14"/>
              </w:rPr>
            </w:pPr>
            <w:r w:rsidRPr="00B61E00">
              <w:rPr>
                <w:rFonts w:cs="Calibri"/>
                <w:color w:val="292929"/>
                <w:sz w:val="14"/>
                <w:szCs w:val="14"/>
              </w:rPr>
              <w:t>179</w:t>
            </w:r>
          </w:p>
        </w:tc>
      </w:tr>
      <w:tr w:rsidR="00C640A5" w:rsidRPr="00B61E00" w14:paraId="38357A66" w14:textId="77777777" w:rsidTr="00B15944">
        <w:trPr>
          <w:trHeight w:val="170"/>
        </w:trPr>
        <w:tc>
          <w:tcPr>
            <w:tcW w:w="5111" w:type="dxa"/>
          </w:tcPr>
          <w:p w14:paraId="5BADB4D8" w14:textId="77777777" w:rsidR="00C640A5" w:rsidRPr="00B61E00" w:rsidRDefault="00C640A5" w:rsidP="00B15944">
            <w:pPr>
              <w:suppressAutoHyphens/>
              <w:autoSpaceDE w:val="0"/>
              <w:autoSpaceDN w:val="0"/>
              <w:adjustRightInd w:val="0"/>
              <w:spacing w:before="20" w:after="20"/>
              <w:textAlignment w:val="center"/>
              <w:rPr>
                <w:color w:val="292929"/>
                <w:sz w:val="14"/>
                <w:szCs w:val="14"/>
              </w:rPr>
            </w:pPr>
            <w:r w:rsidRPr="00B61E00">
              <w:rPr>
                <w:color w:val="292929"/>
                <w:sz w:val="14"/>
                <w:szCs w:val="14"/>
              </w:rPr>
              <w:t>Conferences and seminars</w:t>
            </w:r>
          </w:p>
        </w:tc>
        <w:tc>
          <w:tcPr>
            <w:tcW w:w="992" w:type="dxa"/>
            <w:tcBorders>
              <w:right w:val="single" w:sz="18" w:space="0" w:color="FFFFFF" w:themeColor="background2"/>
            </w:tcBorders>
          </w:tcPr>
          <w:p w14:paraId="31FFB602" w14:textId="64DAA2F4" w:rsidR="00C640A5" w:rsidRPr="00B61E00" w:rsidRDefault="006B79DF"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234</w:t>
            </w:r>
          </w:p>
        </w:tc>
        <w:tc>
          <w:tcPr>
            <w:tcW w:w="993" w:type="dxa"/>
            <w:tcBorders>
              <w:left w:val="single" w:sz="18" w:space="0" w:color="FFFFFF" w:themeColor="background2"/>
            </w:tcBorders>
          </w:tcPr>
          <w:p w14:paraId="39F64803" w14:textId="4B5B2674" w:rsidR="00C640A5" w:rsidRPr="00B61E00" w:rsidRDefault="006B79DF" w:rsidP="00B15944">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132</w:t>
            </w:r>
          </w:p>
        </w:tc>
      </w:tr>
      <w:tr w:rsidR="00C640A5" w:rsidRPr="00B61E00" w14:paraId="4EA7B0AE" w14:textId="77777777" w:rsidTr="00B15944">
        <w:trPr>
          <w:trHeight w:val="170"/>
        </w:trPr>
        <w:tc>
          <w:tcPr>
            <w:tcW w:w="5111" w:type="dxa"/>
          </w:tcPr>
          <w:p w14:paraId="76A576B0" w14:textId="77777777" w:rsidR="00C640A5" w:rsidRPr="00B61E00" w:rsidRDefault="00C640A5" w:rsidP="00B15944">
            <w:pPr>
              <w:suppressAutoHyphens/>
              <w:autoSpaceDE w:val="0"/>
              <w:autoSpaceDN w:val="0"/>
              <w:adjustRightInd w:val="0"/>
              <w:spacing w:before="20" w:after="20"/>
              <w:textAlignment w:val="center"/>
              <w:rPr>
                <w:color w:val="292929"/>
                <w:sz w:val="14"/>
                <w:szCs w:val="14"/>
              </w:rPr>
            </w:pPr>
            <w:r w:rsidRPr="00B61E00">
              <w:rPr>
                <w:color w:val="292929"/>
                <w:sz w:val="14"/>
                <w:szCs w:val="14"/>
              </w:rPr>
              <w:t>Other</w:t>
            </w:r>
          </w:p>
        </w:tc>
        <w:tc>
          <w:tcPr>
            <w:tcW w:w="992" w:type="dxa"/>
            <w:tcBorders>
              <w:bottom w:val="single" w:sz="2" w:space="0" w:color="auto"/>
              <w:right w:val="single" w:sz="18" w:space="0" w:color="FFFFFF" w:themeColor="background2"/>
            </w:tcBorders>
          </w:tcPr>
          <w:p w14:paraId="44C743C2" w14:textId="6E06BFE1" w:rsidR="00C640A5" w:rsidRPr="00B61E00" w:rsidRDefault="006B79DF"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618</w:t>
            </w:r>
          </w:p>
        </w:tc>
        <w:tc>
          <w:tcPr>
            <w:tcW w:w="993" w:type="dxa"/>
            <w:tcBorders>
              <w:left w:val="single" w:sz="18" w:space="0" w:color="FFFFFF" w:themeColor="background2"/>
              <w:bottom w:val="single" w:sz="2" w:space="0" w:color="auto"/>
            </w:tcBorders>
          </w:tcPr>
          <w:p w14:paraId="2B7F5334" w14:textId="031B2235" w:rsidR="00C640A5" w:rsidRPr="00B61E00" w:rsidRDefault="006B79DF" w:rsidP="00B15944">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400</w:t>
            </w:r>
          </w:p>
        </w:tc>
      </w:tr>
      <w:tr w:rsidR="00C640A5" w:rsidRPr="00B61E00" w14:paraId="5E5A2B28" w14:textId="77777777" w:rsidTr="00B15944">
        <w:trPr>
          <w:trHeight w:val="170"/>
        </w:trPr>
        <w:tc>
          <w:tcPr>
            <w:tcW w:w="5111" w:type="dxa"/>
          </w:tcPr>
          <w:p w14:paraId="1231E54C"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goods and services supplied or rendered</w:t>
            </w:r>
          </w:p>
        </w:tc>
        <w:tc>
          <w:tcPr>
            <w:tcW w:w="992" w:type="dxa"/>
            <w:tcBorders>
              <w:top w:val="single" w:sz="2" w:space="0" w:color="auto"/>
              <w:bottom w:val="single" w:sz="2" w:space="0" w:color="auto"/>
              <w:right w:val="single" w:sz="18" w:space="0" w:color="FFFFFF" w:themeColor="background2"/>
            </w:tcBorders>
          </w:tcPr>
          <w:p w14:paraId="1F363F2C" w14:textId="389C814D" w:rsidR="00C640A5" w:rsidRPr="00B61E00" w:rsidRDefault="006B79DF"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16,693</w:t>
            </w:r>
          </w:p>
        </w:tc>
        <w:tc>
          <w:tcPr>
            <w:tcW w:w="993" w:type="dxa"/>
            <w:tcBorders>
              <w:top w:val="single" w:sz="2" w:space="0" w:color="auto"/>
              <w:left w:val="single" w:sz="18" w:space="0" w:color="FFFFFF" w:themeColor="background2"/>
              <w:bottom w:val="single" w:sz="2" w:space="0" w:color="auto"/>
            </w:tcBorders>
          </w:tcPr>
          <w:p w14:paraId="7F22350D" w14:textId="5B4150C5" w:rsidR="00C640A5" w:rsidRPr="00B61E00" w:rsidRDefault="006B79DF" w:rsidP="00B15944">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9</w:t>
            </w:r>
            <w:r w:rsidR="00C640A5" w:rsidRPr="00B61E00">
              <w:rPr>
                <w:rFonts w:cs="Calibri"/>
                <w:color w:val="292929"/>
                <w:sz w:val="14"/>
                <w:szCs w:val="14"/>
              </w:rPr>
              <w:t>,</w:t>
            </w:r>
            <w:r>
              <w:rPr>
                <w:rFonts w:cs="Calibri"/>
                <w:color w:val="292929"/>
                <w:sz w:val="14"/>
                <w:szCs w:val="14"/>
              </w:rPr>
              <w:t>798</w:t>
            </w:r>
          </w:p>
        </w:tc>
      </w:tr>
      <w:tr w:rsidR="00C640A5" w:rsidRPr="00B61E00" w14:paraId="1E13407F" w14:textId="77777777" w:rsidTr="00B15944">
        <w:trPr>
          <w:trHeight w:val="170"/>
        </w:trPr>
        <w:tc>
          <w:tcPr>
            <w:tcW w:w="5111" w:type="dxa"/>
          </w:tcPr>
          <w:p w14:paraId="44368C0D"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7BA7A57C" w14:textId="77777777"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69849349" w14:textId="77777777" w:rsidR="00C640A5" w:rsidRPr="00B61E00" w:rsidRDefault="00C640A5" w:rsidP="00B15944">
            <w:pPr>
              <w:suppressAutoHyphens/>
              <w:autoSpaceDE w:val="0"/>
              <w:autoSpaceDN w:val="0"/>
              <w:adjustRightInd w:val="0"/>
              <w:spacing w:before="20" w:after="20"/>
              <w:jc w:val="right"/>
              <w:textAlignment w:val="center"/>
              <w:rPr>
                <w:color w:val="292929"/>
                <w:sz w:val="14"/>
                <w:szCs w:val="14"/>
              </w:rPr>
            </w:pPr>
          </w:p>
        </w:tc>
      </w:tr>
      <w:tr w:rsidR="00C640A5" w:rsidRPr="00B61E00" w14:paraId="1B458F59" w14:textId="77777777" w:rsidTr="00B15944">
        <w:trPr>
          <w:trHeight w:val="170"/>
        </w:trPr>
        <w:tc>
          <w:tcPr>
            <w:tcW w:w="5111" w:type="dxa"/>
          </w:tcPr>
          <w:p w14:paraId="639E0DF8"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color w:val="292929"/>
                <w:sz w:val="14"/>
                <w:szCs w:val="14"/>
              </w:rPr>
              <w:t>Goods supplied</w:t>
            </w:r>
          </w:p>
        </w:tc>
        <w:tc>
          <w:tcPr>
            <w:tcW w:w="992" w:type="dxa"/>
            <w:tcBorders>
              <w:right w:val="single" w:sz="18" w:space="0" w:color="FFFFFF" w:themeColor="background2"/>
            </w:tcBorders>
          </w:tcPr>
          <w:p w14:paraId="418AC806" w14:textId="1CCF8129" w:rsidR="00C640A5" w:rsidRPr="00B61E00" w:rsidRDefault="003943D4"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649</w:t>
            </w:r>
          </w:p>
        </w:tc>
        <w:tc>
          <w:tcPr>
            <w:tcW w:w="993" w:type="dxa"/>
            <w:tcBorders>
              <w:left w:val="single" w:sz="18" w:space="0" w:color="FFFFFF" w:themeColor="background2"/>
            </w:tcBorders>
          </w:tcPr>
          <w:p w14:paraId="04285B5C" w14:textId="74B8B801" w:rsidR="00C640A5" w:rsidRPr="00B61E00" w:rsidRDefault="003943D4"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277</w:t>
            </w:r>
          </w:p>
        </w:tc>
      </w:tr>
      <w:tr w:rsidR="00C640A5" w:rsidRPr="00B61E00" w14:paraId="100BC273" w14:textId="77777777" w:rsidTr="00B15944">
        <w:trPr>
          <w:trHeight w:val="170"/>
        </w:trPr>
        <w:tc>
          <w:tcPr>
            <w:tcW w:w="5111" w:type="dxa"/>
          </w:tcPr>
          <w:p w14:paraId="56990247"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color w:val="292929"/>
                <w:sz w:val="14"/>
                <w:szCs w:val="14"/>
              </w:rPr>
              <w:t xml:space="preserve">Services rendered </w:t>
            </w:r>
          </w:p>
        </w:tc>
        <w:tc>
          <w:tcPr>
            <w:tcW w:w="992" w:type="dxa"/>
            <w:tcBorders>
              <w:bottom w:val="single" w:sz="2" w:space="0" w:color="auto"/>
              <w:right w:val="single" w:sz="18" w:space="0" w:color="FFFFFF" w:themeColor="background2"/>
            </w:tcBorders>
          </w:tcPr>
          <w:p w14:paraId="46F9396E" w14:textId="669FBE18" w:rsidR="00C640A5" w:rsidRPr="00B61E00" w:rsidRDefault="003943D4"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16</w:t>
            </w:r>
            <w:r w:rsidR="00C640A5" w:rsidRPr="00B61E00">
              <w:rPr>
                <w:rFonts w:asciiTheme="majorHAnsi" w:hAnsiTheme="majorHAnsi"/>
                <w:color w:val="292929"/>
                <w:sz w:val="14"/>
                <w:szCs w:val="14"/>
              </w:rPr>
              <w:t>,</w:t>
            </w:r>
            <w:r>
              <w:rPr>
                <w:rFonts w:asciiTheme="majorHAnsi" w:hAnsiTheme="majorHAnsi"/>
                <w:color w:val="292929"/>
                <w:sz w:val="14"/>
                <w:szCs w:val="14"/>
              </w:rPr>
              <w:t>044</w:t>
            </w:r>
          </w:p>
        </w:tc>
        <w:tc>
          <w:tcPr>
            <w:tcW w:w="993" w:type="dxa"/>
            <w:tcBorders>
              <w:left w:val="single" w:sz="18" w:space="0" w:color="FFFFFF" w:themeColor="background2"/>
              <w:bottom w:val="single" w:sz="2" w:space="0" w:color="auto"/>
            </w:tcBorders>
          </w:tcPr>
          <w:p w14:paraId="621D106B" w14:textId="01E36647" w:rsidR="00C640A5" w:rsidRPr="00B61E00" w:rsidRDefault="003943D4"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9,521</w:t>
            </w:r>
          </w:p>
        </w:tc>
      </w:tr>
      <w:tr w:rsidR="00C640A5" w:rsidRPr="00B61E00" w14:paraId="20791AED" w14:textId="77777777" w:rsidTr="00B15944">
        <w:trPr>
          <w:trHeight w:val="170"/>
        </w:trPr>
        <w:tc>
          <w:tcPr>
            <w:tcW w:w="5111" w:type="dxa"/>
          </w:tcPr>
          <w:p w14:paraId="2E2F66A2"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goods and services supplied or rendered</w:t>
            </w:r>
          </w:p>
        </w:tc>
        <w:tc>
          <w:tcPr>
            <w:tcW w:w="992" w:type="dxa"/>
            <w:tcBorders>
              <w:top w:val="single" w:sz="2" w:space="0" w:color="auto"/>
              <w:bottom w:val="single" w:sz="2" w:space="0" w:color="auto"/>
              <w:right w:val="single" w:sz="18" w:space="0" w:color="FFFFFF" w:themeColor="background2"/>
            </w:tcBorders>
          </w:tcPr>
          <w:p w14:paraId="6B8118CF" w14:textId="77E5B187" w:rsidR="00C640A5" w:rsidRPr="00B61E00" w:rsidRDefault="003943D4"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16,693</w:t>
            </w:r>
          </w:p>
        </w:tc>
        <w:tc>
          <w:tcPr>
            <w:tcW w:w="993" w:type="dxa"/>
            <w:tcBorders>
              <w:top w:val="single" w:sz="2" w:space="0" w:color="auto"/>
              <w:left w:val="single" w:sz="18" w:space="0" w:color="FFFFFF" w:themeColor="background2"/>
              <w:bottom w:val="single" w:sz="2" w:space="0" w:color="auto"/>
            </w:tcBorders>
          </w:tcPr>
          <w:p w14:paraId="52A1B3BC" w14:textId="6D121230" w:rsidR="00C640A5" w:rsidRPr="00B61E00" w:rsidRDefault="003943D4"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9,798</w:t>
            </w:r>
          </w:p>
        </w:tc>
      </w:tr>
      <w:tr w:rsidR="00C640A5" w:rsidRPr="00B61E00" w14:paraId="18EBE92C" w14:textId="77777777" w:rsidTr="00B15944">
        <w:trPr>
          <w:trHeight w:val="170"/>
        </w:trPr>
        <w:tc>
          <w:tcPr>
            <w:tcW w:w="5111" w:type="dxa"/>
          </w:tcPr>
          <w:p w14:paraId="610AB197"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724BD03C" w14:textId="77777777"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61807A97" w14:textId="77777777" w:rsidR="00C640A5" w:rsidRPr="00B61E00" w:rsidRDefault="00C640A5" w:rsidP="00B15944">
            <w:pPr>
              <w:suppressAutoHyphens/>
              <w:autoSpaceDE w:val="0"/>
              <w:autoSpaceDN w:val="0"/>
              <w:adjustRightInd w:val="0"/>
              <w:spacing w:before="20" w:after="20"/>
              <w:jc w:val="right"/>
              <w:textAlignment w:val="center"/>
              <w:rPr>
                <w:color w:val="292929"/>
                <w:sz w:val="14"/>
                <w:szCs w:val="14"/>
              </w:rPr>
            </w:pPr>
          </w:p>
        </w:tc>
      </w:tr>
      <w:tr w:rsidR="00C640A5" w:rsidRPr="00B61E00" w14:paraId="4E31BA3C" w14:textId="77777777" w:rsidTr="00B15944">
        <w:trPr>
          <w:trHeight w:val="170"/>
        </w:trPr>
        <w:tc>
          <w:tcPr>
            <w:tcW w:w="5111" w:type="dxa"/>
          </w:tcPr>
          <w:p w14:paraId="2D5CE932"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Other suppliers</w:t>
            </w:r>
          </w:p>
        </w:tc>
        <w:tc>
          <w:tcPr>
            <w:tcW w:w="992" w:type="dxa"/>
            <w:tcBorders>
              <w:right w:val="single" w:sz="18" w:space="0" w:color="FFFFFF" w:themeColor="background2"/>
            </w:tcBorders>
          </w:tcPr>
          <w:p w14:paraId="606ADD15" w14:textId="77777777"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left w:val="single" w:sz="18" w:space="0" w:color="FFFFFF" w:themeColor="background2"/>
            </w:tcBorders>
          </w:tcPr>
          <w:p w14:paraId="7EB05820" w14:textId="77777777" w:rsidR="00C640A5" w:rsidRPr="00B61E00" w:rsidRDefault="00C640A5" w:rsidP="00B15944">
            <w:pPr>
              <w:suppressAutoHyphens/>
              <w:autoSpaceDE w:val="0"/>
              <w:autoSpaceDN w:val="0"/>
              <w:adjustRightInd w:val="0"/>
              <w:spacing w:before="20" w:after="20"/>
              <w:jc w:val="right"/>
              <w:textAlignment w:val="center"/>
              <w:rPr>
                <w:color w:val="292929"/>
                <w:sz w:val="14"/>
                <w:szCs w:val="14"/>
              </w:rPr>
            </w:pPr>
          </w:p>
        </w:tc>
      </w:tr>
      <w:tr w:rsidR="00C640A5" w:rsidRPr="00B61E00" w14:paraId="74201BBF" w14:textId="77777777" w:rsidTr="00B15944">
        <w:trPr>
          <w:trHeight w:val="170"/>
        </w:trPr>
        <w:tc>
          <w:tcPr>
            <w:tcW w:w="5111" w:type="dxa"/>
          </w:tcPr>
          <w:p w14:paraId="64C27E50"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color w:val="292929"/>
                <w:sz w:val="14"/>
                <w:szCs w:val="14"/>
              </w:rPr>
              <w:t>Workers’ compensation expenses</w:t>
            </w:r>
          </w:p>
        </w:tc>
        <w:tc>
          <w:tcPr>
            <w:tcW w:w="992" w:type="dxa"/>
            <w:tcBorders>
              <w:bottom w:val="single" w:sz="2" w:space="0" w:color="auto"/>
              <w:right w:val="single" w:sz="18" w:space="0" w:color="FFFFFF" w:themeColor="background2"/>
            </w:tcBorders>
          </w:tcPr>
          <w:p w14:paraId="1474C032" w14:textId="3FAC2C6D"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2</w:t>
            </w:r>
          </w:p>
        </w:tc>
        <w:tc>
          <w:tcPr>
            <w:tcW w:w="993" w:type="dxa"/>
            <w:tcBorders>
              <w:left w:val="single" w:sz="18" w:space="0" w:color="FFFFFF" w:themeColor="background2"/>
              <w:bottom w:val="single" w:sz="2" w:space="0" w:color="auto"/>
            </w:tcBorders>
          </w:tcPr>
          <w:p w14:paraId="5DFDFEAD" w14:textId="60D63E27" w:rsidR="00C640A5" w:rsidRPr="00B61E00" w:rsidRDefault="00C640A5" w:rsidP="00B15944">
            <w:pPr>
              <w:tabs>
                <w:tab w:val="center" w:pos="383"/>
                <w:tab w:val="right" w:pos="767"/>
              </w:tabs>
              <w:suppressAutoHyphens/>
              <w:autoSpaceDE w:val="0"/>
              <w:autoSpaceDN w:val="0"/>
              <w:adjustRightInd w:val="0"/>
              <w:spacing w:before="20" w:after="20"/>
              <w:textAlignment w:val="center"/>
              <w:rPr>
                <w:color w:val="292929"/>
                <w:sz w:val="14"/>
                <w:szCs w:val="14"/>
              </w:rPr>
            </w:pPr>
            <w:r w:rsidRPr="00B61E00">
              <w:rPr>
                <w:color w:val="292929"/>
                <w:sz w:val="14"/>
                <w:szCs w:val="14"/>
              </w:rPr>
              <w:tab/>
            </w:r>
            <w:r w:rsidRPr="00B61E00">
              <w:rPr>
                <w:color w:val="292929"/>
                <w:sz w:val="14"/>
                <w:szCs w:val="14"/>
              </w:rPr>
              <w:tab/>
            </w:r>
            <w:r w:rsidR="005A4591">
              <w:rPr>
                <w:color w:val="292929"/>
                <w:sz w:val="14"/>
                <w:szCs w:val="14"/>
              </w:rPr>
              <w:t>2</w:t>
            </w:r>
          </w:p>
        </w:tc>
      </w:tr>
      <w:tr w:rsidR="00C640A5" w:rsidRPr="00B61E00" w14:paraId="6428FD71" w14:textId="77777777" w:rsidTr="00B15944">
        <w:trPr>
          <w:trHeight w:val="170"/>
        </w:trPr>
        <w:tc>
          <w:tcPr>
            <w:tcW w:w="5111" w:type="dxa"/>
          </w:tcPr>
          <w:p w14:paraId="0ED5539E"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other suppliers</w:t>
            </w:r>
          </w:p>
        </w:tc>
        <w:tc>
          <w:tcPr>
            <w:tcW w:w="992" w:type="dxa"/>
            <w:tcBorders>
              <w:top w:val="single" w:sz="2" w:space="0" w:color="auto"/>
              <w:bottom w:val="single" w:sz="2" w:space="0" w:color="auto"/>
              <w:right w:val="single" w:sz="18" w:space="0" w:color="FFFFFF" w:themeColor="background2"/>
            </w:tcBorders>
          </w:tcPr>
          <w:p w14:paraId="28F59729" w14:textId="4B312751"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2</w:t>
            </w:r>
          </w:p>
        </w:tc>
        <w:tc>
          <w:tcPr>
            <w:tcW w:w="993" w:type="dxa"/>
            <w:tcBorders>
              <w:top w:val="single" w:sz="2" w:space="0" w:color="auto"/>
              <w:left w:val="single" w:sz="18" w:space="0" w:color="FFFFFF" w:themeColor="background2"/>
              <w:bottom w:val="single" w:sz="2" w:space="0" w:color="auto"/>
            </w:tcBorders>
          </w:tcPr>
          <w:p w14:paraId="70B4D3A9" w14:textId="161B39E2" w:rsidR="00C640A5" w:rsidRPr="00B61E00" w:rsidRDefault="005A4591"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2</w:t>
            </w:r>
          </w:p>
        </w:tc>
      </w:tr>
      <w:tr w:rsidR="00C640A5" w:rsidRPr="00B61E00" w14:paraId="5968BCD5" w14:textId="77777777" w:rsidTr="00B15944">
        <w:trPr>
          <w:trHeight w:val="170"/>
        </w:trPr>
        <w:tc>
          <w:tcPr>
            <w:tcW w:w="5111" w:type="dxa"/>
          </w:tcPr>
          <w:p w14:paraId="138FCC6B"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suppliers</w:t>
            </w:r>
          </w:p>
        </w:tc>
        <w:tc>
          <w:tcPr>
            <w:tcW w:w="992" w:type="dxa"/>
            <w:tcBorders>
              <w:top w:val="single" w:sz="2" w:space="0" w:color="auto"/>
              <w:bottom w:val="single" w:sz="2" w:space="0" w:color="auto"/>
              <w:right w:val="single" w:sz="18" w:space="0" w:color="FFFFFF" w:themeColor="background2"/>
            </w:tcBorders>
          </w:tcPr>
          <w:p w14:paraId="0EA1DBB9" w14:textId="7DCB90E9" w:rsidR="00C640A5" w:rsidRPr="00B61E00" w:rsidRDefault="006E3241"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16</w:t>
            </w:r>
            <w:r w:rsidR="00C640A5" w:rsidRPr="00B61E00">
              <w:rPr>
                <w:rFonts w:asciiTheme="majorHAnsi" w:hAnsiTheme="majorHAnsi"/>
                <w:color w:val="292929"/>
                <w:sz w:val="14"/>
                <w:szCs w:val="14"/>
              </w:rPr>
              <w:t>,</w:t>
            </w:r>
            <w:r>
              <w:rPr>
                <w:rFonts w:asciiTheme="majorHAnsi" w:hAnsiTheme="majorHAnsi"/>
                <w:color w:val="292929"/>
                <w:sz w:val="14"/>
                <w:szCs w:val="14"/>
              </w:rPr>
              <w:t>695</w:t>
            </w:r>
          </w:p>
        </w:tc>
        <w:tc>
          <w:tcPr>
            <w:tcW w:w="993" w:type="dxa"/>
            <w:tcBorders>
              <w:top w:val="single" w:sz="2" w:space="0" w:color="auto"/>
              <w:left w:val="single" w:sz="18" w:space="0" w:color="FFFFFF" w:themeColor="background2"/>
              <w:bottom w:val="single" w:sz="2" w:space="0" w:color="auto"/>
            </w:tcBorders>
          </w:tcPr>
          <w:p w14:paraId="7276FA2E" w14:textId="4E124227" w:rsidR="00C640A5" w:rsidRPr="00B61E00" w:rsidRDefault="006E3241" w:rsidP="00B15944">
            <w:pPr>
              <w:suppressAutoHyphens/>
              <w:autoSpaceDE w:val="0"/>
              <w:autoSpaceDN w:val="0"/>
              <w:adjustRightInd w:val="0"/>
              <w:spacing w:before="20" w:after="20"/>
              <w:jc w:val="right"/>
              <w:textAlignment w:val="center"/>
              <w:rPr>
                <w:color w:val="292929"/>
                <w:sz w:val="14"/>
                <w:szCs w:val="14"/>
              </w:rPr>
            </w:pPr>
            <w:r>
              <w:rPr>
                <w:color w:val="292929"/>
                <w:sz w:val="14"/>
                <w:szCs w:val="14"/>
              </w:rPr>
              <w:t>9</w:t>
            </w:r>
            <w:r w:rsidR="00C640A5" w:rsidRPr="00B61E00">
              <w:rPr>
                <w:color w:val="292929"/>
                <w:sz w:val="14"/>
                <w:szCs w:val="14"/>
              </w:rPr>
              <w:t>,</w:t>
            </w:r>
            <w:r>
              <w:rPr>
                <w:color w:val="292929"/>
                <w:sz w:val="14"/>
                <w:szCs w:val="14"/>
              </w:rPr>
              <w:t>800</w:t>
            </w:r>
          </w:p>
        </w:tc>
      </w:tr>
      <w:tr w:rsidR="00C640A5" w:rsidRPr="00B61E00" w14:paraId="14E4E04C" w14:textId="77777777" w:rsidTr="00B15944">
        <w:trPr>
          <w:trHeight w:val="170"/>
        </w:trPr>
        <w:tc>
          <w:tcPr>
            <w:tcW w:w="5111" w:type="dxa"/>
          </w:tcPr>
          <w:p w14:paraId="2221169D"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6A6D59B4" w14:textId="77777777"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001731F9" w14:textId="77777777" w:rsidR="00C640A5" w:rsidRPr="00B61E00" w:rsidRDefault="00C640A5" w:rsidP="00B15944">
            <w:pPr>
              <w:suppressAutoHyphens/>
              <w:autoSpaceDE w:val="0"/>
              <w:autoSpaceDN w:val="0"/>
              <w:adjustRightInd w:val="0"/>
              <w:spacing w:before="20" w:after="20"/>
              <w:jc w:val="right"/>
              <w:textAlignment w:val="center"/>
              <w:rPr>
                <w:color w:val="292929"/>
                <w:sz w:val="14"/>
                <w:szCs w:val="14"/>
              </w:rPr>
            </w:pPr>
          </w:p>
        </w:tc>
      </w:tr>
    </w:tbl>
    <w:p w14:paraId="2B7D77FD" w14:textId="77777777" w:rsidR="00C640A5" w:rsidRPr="00B61E00" w:rsidRDefault="00C640A5" w:rsidP="00C640A5">
      <w:pPr>
        <w:pStyle w:val="Body"/>
        <w:rPr>
          <w:color w:val="292929"/>
        </w:rPr>
      </w:pPr>
    </w:p>
    <w:tbl>
      <w:tblPr>
        <w:tblStyle w:val="IHPA"/>
        <w:tblW w:w="7096" w:type="dxa"/>
        <w:tblLayout w:type="fixed"/>
        <w:tblLook w:val="0020" w:firstRow="1" w:lastRow="0" w:firstColumn="0" w:lastColumn="0" w:noHBand="0" w:noVBand="0"/>
      </w:tblPr>
      <w:tblGrid>
        <w:gridCol w:w="5111"/>
        <w:gridCol w:w="992"/>
        <w:gridCol w:w="993"/>
      </w:tblGrid>
      <w:tr w:rsidR="00C640A5" w:rsidRPr="00B61E00" w14:paraId="4778F891" w14:textId="77777777" w:rsidTr="00B15944">
        <w:trPr>
          <w:trHeight w:val="340"/>
        </w:trPr>
        <w:tc>
          <w:tcPr>
            <w:tcW w:w="5111" w:type="dxa"/>
          </w:tcPr>
          <w:p w14:paraId="0770E4C6" w14:textId="77777777" w:rsidR="00C640A5" w:rsidRPr="00B61E00" w:rsidRDefault="00C640A5" w:rsidP="00B15944">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11052240" w14:textId="4B03D22F" w:rsidR="00C640A5" w:rsidRPr="00B61E00" w:rsidRDefault="00C640A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2</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0CFFAC12" w14:textId="4CC7079C" w:rsidR="00C640A5" w:rsidRPr="00B61E00" w:rsidRDefault="00C640A5"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B61E00">
              <w:rPr>
                <w:rFonts w:asciiTheme="majorHAnsi" w:hAnsiTheme="majorHAnsi" w:cs="Futura PT Heavy"/>
                <w:color w:val="292929"/>
                <w:sz w:val="16"/>
                <w:szCs w:val="16"/>
                <w:lang w:val="en-US"/>
              </w:rPr>
              <w:br/>
              <w:t>$’000</w:t>
            </w:r>
          </w:p>
        </w:tc>
      </w:tr>
      <w:tr w:rsidR="00C640A5" w:rsidRPr="00B61E00" w14:paraId="0A91AA09" w14:textId="77777777" w:rsidTr="00B15944">
        <w:trPr>
          <w:trHeight w:val="170"/>
        </w:trPr>
        <w:tc>
          <w:tcPr>
            <w:tcW w:w="5111" w:type="dxa"/>
          </w:tcPr>
          <w:p w14:paraId="06E4BE34" w14:textId="77777777" w:rsidR="00C640A5" w:rsidRPr="00B61E00" w:rsidRDefault="00C640A5" w:rsidP="00B15944">
            <w:pPr>
              <w:suppressAutoHyphens/>
              <w:autoSpaceDE w:val="0"/>
              <w:autoSpaceDN w:val="0"/>
              <w:adjustRightInd w:val="0"/>
              <w:spacing w:before="20" w:after="20"/>
              <w:textAlignment w:val="center"/>
              <w:rPr>
                <w:color w:val="292929"/>
                <w:sz w:val="14"/>
                <w:szCs w:val="14"/>
              </w:rPr>
            </w:pPr>
            <w:r w:rsidRPr="00B61E00">
              <w:rPr>
                <w:rFonts w:asciiTheme="majorHAnsi" w:hAnsiTheme="majorHAnsi"/>
                <w:color w:val="292929"/>
                <w:sz w:val="14"/>
                <w:szCs w:val="14"/>
              </w:rPr>
              <w:t>Note 1.1C: Finance Costs</w:t>
            </w:r>
          </w:p>
        </w:tc>
        <w:tc>
          <w:tcPr>
            <w:tcW w:w="992" w:type="dxa"/>
            <w:tcBorders>
              <w:top w:val="single" w:sz="12" w:space="0" w:color="auto"/>
              <w:right w:val="single" w:sz="18" w:space="0" w:color="FFFFFF" w:themeColor="background2"/>
            </w:tcBorders>
          </w:tcPr>
          <w:p w14:paraId="1061771B" w14:textId="77777777"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062312B7" w14:textId="77777777" w:rsidR="00C640A5" w:rsidRPr="00B61E00" w:rsidRDefault="00C640A5" w:rsidP="00B15944">
            <w:pPr>
              <w:autoSpaceDE w:val="0"/>
              <w:autoSpaceDN w:val="0"/>
              <w:adjustRightInd w:val="0"/>
              <w:spacing w:before="20" w:after="20"/>
              <w:jc w:val="right"/>
              <w:rPr>
                <w:color w:val="292929"/>
                <w:sz w:val="14"/>
                <w:szCs w:val="14"/>
              </w:rPr>
            </w:pPr>
          </w:p>
        </w:tc>
      </w:tr>
      <w:tr w:rsidR="00C640A5" w:rsidRPr="00B61E00" w14:paraId="14627A17" w14:textId="77777777" w:rsidTr="00B15944">
        <w:trPr>
          <w:trHeight w:val="170"/>
        </w:trPr>
        <w:tc>
          <w:tcPr>
            <w:tcW w:w="5111" w:type="dxa"/>
          </w:tcPr>
          <w:p w14:paraId="1134CD8D" w14:textId="77777777" w:rsidR="00C640A5" w:rsidRPr="00B61E00" w:rsidRDefault="00C640A5" w:rsidP="00B15944">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Interest on lease liabilities (office space lease)</w:t>
            </w:r>
          </w:p>
        </w:tc>
        <w:tc>
          <w:tcPr>
            <w:tcW w:w="992" w:type="dxa"/>
            <w:tcBorders>
              <w:bottom w:val="single" w:sz="2" w:space="0" w:color="auto"/>
              <w:right w:val="single" w:sz="18" w:space="0" w:color="FFFFFF" w:themeColor="background2"/>
            </w:tcBorders>
          </w:tcPr>
          <w:p w14:paraId="31BE4921" w14:textId="2AC3473F" w:rsidR="00C640A5" w:rsidRPr="00B61E00" w:rsidRDefault="00C640A5" w:rsidP="00B15944">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6</w:t>
            </w:r>
            <w:r w:rsidR="0010025B">
              <w:rPr>
                <w:rFonts w:asciiTheme="majorHAnsi" w:hAnsiTheme="majorHAnsi"/>
                <w:color w:val="292929"/>
                <w:sz w:val="14"/>
                <w:szCs w:val="14"/>
              </w:rPr>
              <w:t>1</w:t>
            </w:r>
          </w:p>
        </w:tc>
        <w:tc>
          <w:tcPr>
            <w:tcW w:w="993" w:type="dxa"/>
            <w:tcBorders>
              <w:left w:val="single" w:sz="18" w:space="0" w:color="FFFFFF" w:themeColor="background2"/>
              <w:bottom w:val="single" w:sz="2" w:space="0" w:color="auto"/>
            </w:tcBorders>
          </w:tcPr>
          <w:p w14:paraId="6C084596" w14:textId="2646428E" w:rsidR="00C640A5" w:rsidRPr="00B61E00" w:rsidRDefault="0010025B" w:rsidP="00B15944">
            <w:pPr>
              <w:autoSpaceDE w:val="0"/>
              <w:autoSpaceDN w:val="0"/>
              <w:adjustRightInd w:val="0"/>
              <w:spacing w:before="20" w:after="20"/>
              <w:jc w:val="right"/>
              <w:rPr>
                <w:color w:val="292929"/>
                <w:sz w:val="14"/>
                <w:szCs w:val="14"/>
              </w:rPr>
            </w:pPr>
            <w:r>
              <w:rPr>
                <w:color w:val="292929"/>
                <w:sz w:val="14"/>
                <w:szCs w:val="14"/>
              </w:rPr>
              <w:t>63</w:t>
            </w:r>
          </w:p>
        </w:tc>
      </w:tr>
      <w:tr w:rsidR="00C640A5" w:rsidRPr="00B61E00" w14:paraId="5497454E" w14:textId="77777777" w:rsidTr="00B15944">
        <w:trPr>
          <w:trHeight w:val="170"/>
        </w:trPr>
        <w:tc>
          <w:tcPr>
            <w:tcW w:w="5111" w:type="dxa"/>
          </w:tcPr>
          <w:p w14:paraId="20F27BBB"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Total finance costs</w:t>
            </w:r>
          </w:p>
        </w:tc>
        <w:tc>
          <w:tcPr>
            <w:tcW w:w="992" w:type="dxa"/>
            <w:tcBorders>
              <w:top w:val="single" w:sz="2" w:space="0" w:color="auto"/>
              <w:bottom w:val="single" w:sz="2" w:space="0" w:color="auto"/>
              <w:right w:val="single" w:sz="18" w:space="0" w:color="FFFFFF" w:themeColor="background2"/>
            </w:tcBorders>
          </w:tcPr>
          <w:p w14:paraId="11817154" w14:textId="0BC3EDD4" w:rsidR="00C640A5" w:rsidRPr="00B61E00" w:rsidRDefault="00C640A5"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6</w:t>
            </w:r>
            <w:r w:rsidR="0010025B">
              <w:rPr>
                <w:rFonts w:asciiTheme="majorHAnsi" w:hAnsiTheme="majorHAnsi"/>
                <w:color w:val="292929"/>
                <w:sz w:val="14"/>
                <w:szCs w:val="14"/>
              </w:rPr>
              <w:t>1</w:t>
            </w:r>
          </w:p>
        </w:tc>
        <w:tc>
          <w:tcPr>
            <w:tcW w:w="993" w:type="dxa"/>
            <w:tcBorders>
              <w:top w:val="single" w:sz="2" w:space="0" w:color="auto"/>
              <w:left w:val="single" w:sz="18" w:space="0" w:color="FFFFFF" w:themeColor="background2"/>
              <w:bottom w:val="single" w:sz="2" w:space="0" w:color="auto"/>
            </w:tcBorders>
          </w:tcPr>
          <w:p w14:paraId="2DE5666E" w14:textId="52D68BF4" w:rsidR="00C640A5" w:rsidRPr="00B61E00" w:rsidRDefault="0010025B"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63</w:t>
            </w:r>
          </w:p>
        </w:tc>
      </w:tr>
      <w:tr w:rsidR="00C640A5" w:rsidRPr="00B61E00" w14:paraId="277DDCE2" w14:textId="77777777" w:rsidTr="00B15944">
        <w:trPr>
          <w:trHeight w:val="170"/>
        </w:trPr>
        <w:tc>
          <w:tcPr>
            <w:tcW w:w="5111" w:type="dxa"/>
          </w:tcPr>
          <w:p w14:paraId="4A4A95C8" w14:textId="77777777" w:rsidR="00C640A5" w:rsidRPr="00B61E00" w:rsidRDefault="00C640A5" w:rsidP="00B15944">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2A60E855" w14:textId="77777777" w:rsidR="00C640A5" w:rsidRPr="00B61E00" w:rsidRDefault="00C640A5" w:rsidP="00B15944">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62BDD414" w14:textId="77777777" w:rsidR="00C640A5" w:rsidRPr="00B61E00" w:rsidRDefault="00C640A5" w:rsidP="00B15944">
            <w:pPr>
              <w:suppressAutoHyphens/>
              <w:autoSpaceDE w:val="0"/>
              <w:autoSpaceDN w:val="0"/>
              <w:adjustRightInd w:val="0"/>
              <w:spacing w:before="20" w:after="20"/>
              <w:jc w:val="right"/>
              <w:textAlignment w:val="center"/>
              <w:rPr>
                <w:color w:val="292929"/>
                <w:sz w:val="14"/>
                <w:szCs w:val="14"/>
              </w:rPr>
            </w:pPr>
          </w:p>
        </w:tc>
      </w:tr>
      <w:tr w:rsidR="00C640A5" w:rsidRPr="00B61E00" w14:paraId="7735D866" w14:textId="77777777" w:rsidTr="00B15944">
        <w:trPr>
          <w:trHeight w:val="170"/>
        </w:trPr>
        <w:tc>
          <w:tcPr>
            <w:tcW w:w="7096" w:type="dxa"/>
            <w:gridSpan w:val="3"/>
          </w:tcPr>
          <w:p w14:paraId="228F86DF" w14:textId="77777777" w:rsidR="00C640A5" w:rsidRPr="00B61E00" w:rsidRDefault="00C640A5" w:rsidP="00B15944">
            <w:pPr>
              <w:suppressAutoHyphens/>
              <w:autoSpaceDE w:val="0"/>
              <w:autoSpaceDN w:val="0"/>
              <w:adjustRightInd w:val="0"/>
              <w:spacing w:before="20" w:after="20"/>
              <w:textAlignment w:val="center"/>
              <w:rPr>
                <w:color w:val="292929"/>
                <w:sz w:val="14"/>
                <w:szCs w:val="14"/>
              </w:rPr>
            </w:pPr>
            <w:r w:rsidRPr="00B61E00">
              <w:rPr>
                <w:color w:val="292929"/>
                <w:sz w:val="14"/>
                <w:szCs w:val="14"/>
              </w:rPr>
              <w:t>The above lease disclosures should be read in conjunction with the accompanying notes 2.4A.</w:t>
            </w:r>
          </w:p>
        </w:tc>
      </w:tr>
    </w:tbl>
    <w:p w14:paraId="2F74EE76" w14:textId="692440BE" w:rsidR="00C2709B" w:rsidRDefault="00C2709B" w:rsidP="008664C1">
      <w:pPr>
        <w:pStyle w:val="Body"/>
        <w:rPr>
          <w:color w:val="292929"/>
        </w:rPr>
      </w:pPr>
    </w:p>
    <w:p w14:paraId="2ED4B2C9" w14:textId="77777777" w:rsidR="00C640A5" w:rsidRDefault="00C640A5" w:rsidP="008664C1">
      <w:pPr>
        <w:pStyle w:val="Body"/>
        <w:rPr>
          <w:color w:val="292929"/>
        </w:rPr>
      </w:pPr>
    </w:p>
    <w:p w14:paraId="48EA4998" w14:textId="77777777" w:rsidR="00C2709B" w:rsidRDefault="00C2709B" w:rsidP="008664C1">
      <w:pPr>
        <w:pStyle w:val="Body"/>
        <w:rPr>
          <w:color w:val="292929"/>
        </w:rPr>
        <w:sectPr w:rsidR="00C2709B" w:rsidSect="00441579">
          <w:footerReference w:type="default" r:id="rId191"/>
          <w:pgSz w:w="9979" w:h="14175"/>
          <w:pgMar w:top="1134" w:right="1134" w:bottom="1134" w:left="1134" w:header="709" w:footer="709" w:gutter="0"/>
          <w:cols w:space="708"/>
          <w:docGrid w:linePitch="360"/>
        </w:sectPr>
      </w:pPr>
    </w:p>
    <w:p w14:paraId="765ACE2A" w14:textId="77777777" w:rsidR="0010025B" w:rsidRPr="00B61E00" w:rsidRDefault="0010025B" w:rsidP="0010025B">
      <w:pPr>
        <w:pStyle w:val="H4Financials"/>
        <w:rPr>
          <w:color w:val="292929"/>
        </w:rPr>
      </w:pPr>
      <w:bookmarkStart w:id="146" w:name="_Toc83220565"/>
      <w:bookmarkStart w:id="147" w:name="_Toc114824709"/>
      <w:r w:rsidRPr="00B61E00">
        <w:rPr>
          <w:color w:val="292929"/>
        </w:rPr>
        <w:t>Note 1.2 Own-source revenue and gains</w:t>
      </w:r>
      <w:bookmarkEnd w:id="146"/>
      <w:bookmarkEnd w:id="147"/>
    </w:p>
    <w:tbl>
      <w:tblPr>
        <w:tblStyle w:val="IHPA"/>
        <w:tblW w:w="7096" w:type="dxa"/>
        <w:tblLayout w:type="fixed"/>
        <w:tblLook w:val="0020" w:firstRow="1" w:lastRow="0" w:firstColumn="0" w:lastColumn="0" w:noHBand="0" w:noVBand="0"/>
        <w:tblCaption w:val="Note 1.2A"/>
        <w:tblDescription w:val="Revenue from contracts with customers"/>
      </w:tblPr>
      <w:tblGrid>
        <w:gridCol w:w="5111"/>
        <w:gridCol w:w="992"/>
        <w:gridCol w:w="993"/>
      </w:tblGrid>
      <w:tr w:rsidR="0010025B" w:rsidRPr="00B61E00" w14:paraId="513601D0" w14:textId="77777777" w:rsidTr="00B15944">
        <w:trPr>
          <w:trHeight w:val="340"/>
        </w:trPr>
        <w:tc>
          <w:tcPr>
            <w:tcW w:w="5111" w:type="dxa"/>
          </w:tcPr>
          <w:p w14:paraId="14A42343" w14:textId="77777777" w:rsidR="0010025B" w:rsidRPr="00B61E00" w:rsidRDefault="0010025B" w:rsidP="00B15944">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77E97A82" w14:textId="55B43AD5" w:rsidR="0010025B" w:rsidRPr="00B61E00" w:rsidRDefault="0010025B"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2</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530DBDC5" w14:textId="3EB69358" w:rsidR="0010025B" w:rsidRPr="00B61E00" w:rsidRDefault="0010025B"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w:t>
            </w:r>
            <w:r>
              <w:rPr>
                <w:rFonts w:asciiTheme="majorHAnsi" w:hAnsiTheme="majorHAnsi" w:cs="Futura PT Heavy"/>
                <w:color w:val="292929"/>
                <w:sz w:val="16"/>
                <w:szCs w:val="16"/>
                <w:lang w:val="en-US"/>
              </w:rPr>
              <w:t>21</w:t>
            </w:r>
            <w:r w:rsidRPr="00B61E00">
              <w:rPr>
                <w:rFonts w:asciiTheme="majorHAnsi" w:hAnsiTheme="majorHAnsi" w:cs="Futura PT Heavy"/>
                <w:color w:val="292929"/>
                <w:sz w:val="16"/>
                <w:szCs w:val="16"/>
                <w:lang w:val="en-US"/>
              </w:rPr>
              <w:br/>
              <w:t>$’000</w:t>
            </w:r>
          </w:p>
        </w:tc>
      </w:tr>
      <w:tr w:rsidR="0010025B" w:rsidRPr="00B61E00" w14:paraId="6488FB21" w14:textId="77777777" w:rsidTr="00B15944">
        <w:trPr>
          <w:trHeight w:val="170"/>
        </w:trPr>
        <w:tc>
          <w:tcPr>
            <w:tcW w:w="5111" w:type="dxa"/>
          </w:tcPr>
          <w:p w14:paraId="1FF05AD6" w14:textId="77777777" w:rsidR="0010025B" w:rsidRPr="00B61E00" w:rsidRDefault="0010025B"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OWN-SOURCE REVENUE</w:t>
            </w:r>
          </w:p>
        </w:tc>
        <w:tc>
          <w:tcPr>
            <w:tcW w:w="992" w:type="dxa"/>
            <w:tcBorders>
              <w:top w:val="single" w:sz="12" w:space="0" w:color="auto"/>
              <w:right w:val="single" w:sz="18" w:space="0" w:color="FFFFFF" w:themeColor="background2"/>
            </w:tcBorders>
          </w:tcPr>
          <w:p w14:paraId="62D98826" w14:textId="77777777" w:rsidR="0010025B" w:rsidRPr="00B61E00" w:rsidRDefault="0010025B" w:rsidP="00B15944">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4E4913CA" w14:textId="77777777" w:rsidR="0010025B" w:rsidRPr="00B61E00" w:rsidRDefault="0010025B" w:rsidP="00B15944">
            <w:pPr>
              <w:autoSpaceDE w:val="0"/>
              <w:autoSpaceDN w:val="0"/>
              <w:adjustRightInd w:val="0"/>
              <w:spacing w:before="20" w:after="20"/>
              <w:jc w:val="right"/>
              <w:rPr>
                <w:color w:val="292929"/>
                <w:sz w:val="14"/>
                <w:szCs w:val="14"/>
              </w:rPr>
            </w:pPr>
          </w:p>
        </w:tc>
      </w:tr>
      <w:tr w:rsidR="0010025B" w:rsidRPr="00B61E00" w14:paraId="3C59AF91" w14:textId="77777777" w:rsidTr="00B15944">
        <w:trPr>
          <w:trHeight w:val="170"/>
        </w:trPr>
        <w:tc>
          <w:tcPr>
            <w:tcW w:w="5111" w:type="dxa"/>
          </w:tcPr>
          <w:p w14:paraId="76171D84" w14:textId="77777777" w:rsidR="0010025B" w:rsidRPr="00B61E00" w:rsidRDefault="0010025B" w:rsidP="00B15944">
            <w:pPr>
              <w:suppressAutoHyphens/>
              <w:autoSpaceDE w:val="0"/>
              <w:autoSpaceDN w:val="0"/>
              <w:adjustRightInd w:val="0"/>
              <w:spacing w:before="20" w:after="20"/>
              <w:textAlignment w:val="center"/>
              <w:rPr>
                <w:rFonts w:cs="Futura PT Book"/>
                <w:color w:val="292929"/>
                <w:sz w:val="14"/>
                <w:szCs w:val="14"/>
                <w:lang w:val="en-US"/>
              </w:rPr>
            </w:pPr>
          </w:p>
        </w:tc>
        <w:tc>
          <w:tcPr>
            <w:tcW w:w="992" w:type="dxa"/>
            <w:tcBorders>
              <w:right w:val="single" w:sz="18" w:space="0" w:color="FFFFFF" w:themeColor="background2"/>
            </w:tcBorders>
          </w:tcPr>
          <w:p w14:paraId="6FD44CCF" w14:textId="77777777" w:rsidR="0010025B" w:rsidRPr="00B61E00" w:rsidRDefault="0010025B"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93" w:type="dxa"/>
            <w:tcBorders>
              <w:left w:val="single" w:sz="18" w:space="0" w:color="FFFFFF" w:themeColor="background2"/>
            </w:tcBorders>
          </w:tcPr>
          <w:p w14:paraId="3E9384C8" w14:textId="77777777" w:rsidR="0010025B" w:rsidRPr="00B61E00" w:rsidRDefault="0010025B"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10025B" w:rsidRPr="00B61E00" w14:paraId="0F9B0679" w14:textId="77777777" w:rsidTr="00B15944">
        <w:trPr>
          <w:trHeight w:val="170"/>
        </w:trPr>
        <w:tc>
          <w:tcPr>
            <w:tcW w:w="5111" w:type="dxa"/>
          </w:tcPr>
          <w:p w14:paraId="57B12F62" w14:textId="77777777" w:rsidR="0010025B" w:rsidRPr="00B61E00" w:rsidRDefault="0010025B"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 xml:space="preserve">Note 1.2A: </w:t>
            </w:r>
            <w:r w:rsidRPr="00845BA4">
              <w:rPr>
                <w:rFonts w:asciiTheme="majorHAnsi" w:hAnsiTheme="majorHAnsi"/>
                <w:color w:val="292929"/>
                <w:sz w:val="14"/>
                <w:szCs w:val="14"/>
              </w:rPr>
              <w:t>Revenue from contracts with customers</w:t>
            </w:r>
          </w:p>
        </w:tc>
        <w:tc>
          <w:tcPr>
            <w:tcW w:w="992" w:type="dxa"/>
            <w:tcBorders>
              <w:right w:val="single" w:sz="18" w:space="0" w:color="FFFFFF" w:themeColor="background2"/>
            </w:tcBorders>
          </w:tcPr>
          <w:p w14:paraId="4373970C" w14:textId="77777777" w:rsidR="0010025B" w:rsidRPr="00B61E00" w:rsidRDefault="0010025B"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93" w:type="dxa"/>
            <w:tcBorders>
              <w:left w:val="single" w:sz="18" w:space="0" w:color="FFFFFF" w:themeColor="background2"/>
            </w:tcBorders>
          </w:tcPr>
          <w:p w14:paraId="44767609" w14:textId="77777777" w:rsidR="0010025B" w:rsidRPr="00B61E00" w:rsidRDefault="0010025B" w:rsidP="00B15944">
            <w:pPr>
              <w:suppressAutoHyphens/>
              <w:autoSpaceDE w:val="0"/>
              <w:autoSpaceDN w:val="0"/>
              <w:adjustRightInd w:val="0"/>
              <w:spacing w:before="20" w:after="20"/>
              <w:jc w:val="right"/>
              <w:textAlignment w:val="center"/>
              <w:rPr>
                <w:rFonts w:cs="Futura PT Book"/>
                <w:color w:val="292929"/>
                <w:sz w:val="14"/>
                <w:szCs w:val="14"/>
                <w:lang w:val="en-US"/>
              </w:rPr>
            </w:pPr>
          </w:p>
        </w:tc>
      </w:tr>
      <w:tr w:rsidR="0010025B" w:rsidRPr="00B61E00" w14:paraId="6834AFBD" w14:textId="77777777" w:rsidTr="00B15944">
        <w:trPr>
          <w:trHeight w:val="170"/>
        </w:trPr>
        <w:tc>
          <w:tcPr>
            <w:tcW w:w="5111" w:type="dxa"/>
          </w:tcPr>
          <w:p w14:paraId="44CA3F36" w14:textId="53C0E6DB" w:rsidR="0010025B" w:rsidRPr="00B61E00" w:rsidRDefault="0010025B" w:rsidP="00B15944">
            <w:pPr>
              <w:suppressAutoHyphens/>
              <w:autoSpaceDE w:val="0"/>
              <w:autoSpaceDN w:val="0"/>
              <w:adjustRightInd w:val="0"/>
              <w:spacing w:before="20" w:after="20"/>
              <w:textAlignment w:val="center"/>
              <w:rPr>
                <w:rFonts w:cs="Futura PT Book"/>
                <w:color w:val="292929"/>
                <w:sz w:val="14"/>
                <w:szCs w:val="14"/>
                <w:lang w:val="en-US"/>
              </w:rPr>
            </w:pPr>
            <w:r>
              <w:rPr>
                <w:color w:val="292929"/>
                <w:sz w:val="14"/>
                <w:szCs w:val="14"/>
              </w:rPr>
              <w:t>Sale of goods</w:t>
            </w:r>
          </w:p>
        </w:tc>
        <w:tc>
          <w:tcPr>
            <w:tcW w:w="992" w:type="dxa"/>
            <w:tcBorders>
              <w:bottom w:val="single" w:sz="2" w:space="0" w:color="auto"/>
              <w:right w:val="single" w:sz="18" w:space="0" w:color="FFFFFF" w:themeColor="background2"/>
            </w:tcBorders>
          </w:tcPr>
          <w:p w14:paraId="1DE7DE0D" w14:textId="159E82DA" w:rsidR="0010025B" w:rsidRPr="00B61E00" w:rsidRDefault="0010025B" w:rsidP="00B15944">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1,034</w:t>
            </w:r>
          </w:p>
        </w:tc>
        <w:tc>
          <w:tcPr>
            <w:tcW w:w="993" w:type="dxa"/>
            <w:tcBorders>
              <w:left w:val="single" w:sz="18" w:space="0" w:color="FFFFFF" w:themeColor="background2"/>
              <w:bottom w:val="single" w:sz="2" w:space="0" w:color="auto"/>
            </w:tcBorders>
          </w:tcPr>
          <w:p w14:paraId="633E4D9F" w14:textId="0CC89FCA" w:rsidR="0010025B" w:rsidRPr="00B61E00" w:rsidRDefault="0010025B" w:rsidP="00B15944">
            <w:pPr>
              <w:autoSpaceDE w:val="0"/>
              <w:autoSpaceDN w:val="0"/>
              <w:adjustRightInd w:val="0"/>
              <w:spacing w:before="20" w:after="20"/>
              <w:jc w:val="right"/>
              <w:rPr>
                <w:color w:val="292929"/>
                <w:sz w:val="14"/>
                <w:szCs w:val="14"/>
              </w:rPr>
            </w:pPr>
            <w:r>
              <w:rPr>
                <w:color w:val="292929"/>
                <w:sz w:val="14"/>
                <w:szCs w:val="14"/>
              </w:rPr>
              <w:t>217</w:t>
            </w:r>
          </w:p>
        </w:tc>
      </w:tr>
      <w:tr w:rsidR="0010025B" w:rsidRPr="00B61E00" w14:paraId="1B3EEB72" w14:textId="77777777" w:rsidTr="00B15944">
        <w:trPr>
          <w:trHeight w:val="170"/>
        </w:trPr>
        <w:tc>
          <w:tcPr>
            <w:tcW w:w="5111" w:type="dxa"/>
          </w:tcPr>
          <w:p w14:paraId="4846E3D7" w14:textId="77777777" w:rsidR="0010025B" w:rsidRPr="00B61E00" w:rsidRDefault="0010025B" w:rsidP="00B15944">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124B6F">
              <w:rPr>
                <w:rFonts w:asciiTheme="majorHAnsi" w:hAnsiTheme="majorHAnsi"/>
                <w:color w:val="292929"/>
                <w:sz w:val="14"/>
                <w:szCs w:val="14"/>
              </w:rPr>
              <w:t>Total revenue from contracts with customers</w:t>
            </w:r>
          </w:p>
        </w:tc>
        <w:tc>
          <w:tcPr>
            <w:tcW w:w="992" w:type="dxa"/>
            <w:tcBorders>
              <w:top w:val="single" w:sz="2" w:space="0" w:color="auto"/>
              <w:bottom w:val="single" w:sz="2" w:space="0" w:color="auto"/>
              <w:right w:val="single" w:sz="18" w:space="0" w:color="FFFFFF" w:themeColor="background2"/>
            </w:tcBorders>
          </w:tcPr>
          <w:p w14:paraId="629F8472" w14:textId="7C7B11B3" w:rsidR="0010025B" w:rsidRPr="00B61E00" w:rsidRDefault="0010025B"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1,034</w:t>
            </w:r>
          </w:p>
        </w:tc>
        <w:tc>
          <w:tcPr>
            <w:tcW w:w="993" w:type="dxa"/>
            <w:tcBorders>
              <w:top w:val="single" w:sz="2" w:space="0" w:color="auto"/>
              <w:left w:val="single" w:sz="18" w:space="0" w:color="FFFFFF" w:themeColor="background2"/>
              <w:bottom w:val="single" w:sz="2" w:space="0" w:color="auto"/>
            </w:tcBorders>
          </w:tcPr>
          <w:p w14:paraId="1CA90559" w14:textId="0DBAC13E" w:rsidR="0010025B" w:rsidRPr="00B61E00" w:rsidRDefault="0010025B"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217</w:t>
            </w:r>
          </w:p>
        </w:tc>
      </w:tr>
      <w:tr w:rsidR="0010025B" w:rsidRPr="00B61E00" w14:paraId="1188FE9D" w14:textId="77777777" w:rsidTr="00B15944">
        <w:trPr>
          <w:trHeight w:val="57"/>
        </w:trPr>
        <w:tc>
          <w:tcPr>
            <w:tcW w:w="5111" w:type="dxa"/>
          </w:tcPr>
          <w:p w14:paraId="57DB2C29" w14:textId="77777777" w:rsidR="0010025B" w:rsidRPr="00B61E00" w:rsidRDefault="0010025B" w:rsidP="00B15944">
            <w:pPr>
              <w:suppressAutoHyphens/>
              <w:autoSpaceDE w:val="0"/>
              <w:autoSpaceDN w:val="0"/>
              <w:adjustRightInd w:val="0"/>
              <w:spacing w:before="20" w:after="20"/>
              <w:textAlignment w:val="center"/>
              <w:rPr>
                <w:rFonts w:asciiTheme="majorHAnsi" w:hAnsiTheme="majorHAnsi"/>
                <w:color w:val="292929"/>
                <w:sz w:val="4"/>
                <w:szCs w:val="4"/>
              </w:rPr>
            </w:pPr>
          </w:p>
        </w:tc>
        <w:tc>
          <w:tcPr>
            <w:tcW w:w="992" w:type="dxa"/>
            <w:tcBorders>
              <w:top w:val="single" w:sz="2" w:space="0" w:color="auto"/>
              <w:right w:val="single" w:sz="18" w:space="0" w:color="FFFFFF" w:themeColor="background2"/>
            </w:tcBorders>
          </w:tcPr>
          <w:p w14:paraId="0E3A0022" w14:textId="77777777" w:rsidR="0010025B" w:rsidRPr="00B61E00" w:rsidRDefault="0010025B" w:rsidP="00B15944">
            <w:pPr>
              <w:suppressAutoHyphens/>
              <w:autoSpaceDE w:val="0"/>
              <w:autoSpaceDN w:val="0"/>
              <w:adjustRightInd w:val="0"/>
              <w:spacing w:before="20" w:after="20"/>
              <w:jc w:val="right"/>
              <w:textAlignment w:val="center"/>
              <w:rPr>
                <w:rFonts w:asciiTheme="majorHAnsi" w:hAnsiTheme="majorHAnsi" w:cs="Futura PT Book"/>
                <w:color w:val="292929"/>
                <w:sz w:val="4"/>
                <w:szCs w:val="4"/>
                <w:lang w:val="en-US"/>
              </w:rPr>
            </w:pPr>
          </w:p>
        </w:tc>
        <w:tc>
          <w:tcPr>
            <w:tcW w:w="993" w:type="dxa"/>
            <w:tcBorders>
              <w:top w:val="single" w:sz="2" w:space="0" w:color="auto"/>
              <w:left w:val="single" w:sz="18" w:space="0" w:color="FFFFFF" w:themeColor="background2"/>
            </w:tcBorders>
          </w:tcPr>
          <w:p w14:paraId="6223C6A8" w14:textId="77777777" w:rsidR="0010025B" w:rsidRPr="00B61E00" w:rsidRDefault="0010025B" w:rsidP="00B15944">
            <w:pPr>
              <w:suppressAutoHyphens/>
              <w:autoSpaceDE w:val="0"/>
              <w:autoSpaceDN w:val="0"/>
              <w:adjustRightInd w:val="0"/>
              <w:spacing w:before="20" w:after="20"/>
              <w:jc w:val="right"/>
              <w:textAlignment w:val="center"/>
              <w:rPr>
                <w:color w:val="292929"/>
                <w:sz w:val="4"/>
                <w:szCs w:val="4"/>
              </w:rPr>
            </w:pPr>
          </w:p>
        </w:tc>
      </w:tr>
    </w:tbl>
    <w:p w14:paraId="4F9C8FDF" w14:textId="77777777" w:rsidR="0010025B" w:rsidRPr="00B61E00" w:rsidRDefault="0010025B" w:rsidP="0010025B">
      <w:pPr>
        <w:pStyle w:val="Body"/>
        <w:rPr>
          <w:color w:val="292929"/>
        </w:rPr>
      </w:pPr>
    </w:p>
    <w:tbl>
      <w:tblPr>
        <w:tblStyle w:val="TableGrid1"/>
        <w:tblW w:w="4993" w:type="pct"/>
        <w:tblCellMar>
          <w:top w:w="57" w:type="dxa"/>
          <w:bottom w:w="57" w:type="dxa"/>
        </w:tblCellMar>
        <w:tblLook w:val="04A0" w:firstRow="1" w:lastRow="0" w:firstColumn="1" w:lastColumn="0" w:noHBand="0" w:noVBand="1"/>
        <w:tblCaption w:val="Note 1.2A"/>
        <w:tblDescription w:val="Accounting policy"/>
      </w:tblPr>
      <w:tblGrid>
        <w:gridCol w:w="7690"/>
      </w:tblGrid>
      <w:tr w:rsidR="0010025B" w:rsidRPr="00B61E00" w14:paraId="5232E4C7" w14:textId="77777777" w:rsidTr="00B15944">
        <w:trPr>
          <w:tblHeader/>
        </w:trPr>
        <w:tc>
          <w:tcPr>
            <w:tcW w:w="5000" w:type="pct"/>
          </w:tcPr>
          <w:p w14:paraId="444838C0" w14:textId="77777777" w:rsidR="0010025B" w:rsidRPr="00B61E00" w:rsidRDefault="0010025B" w:rsidP="00B15944">
            <w:pPr>
              <w:pStyle w:val="Body"/>
              <w:spacing w:after="120" w:line="288" w:lineRule="auto"/>
              <w:rPr>
                <w:rFonts w:asciiTheme="majorHAnsi" w:hAnsiTheme="majorHAnsi"/>
                <w:color w:val="292929"/>
              </w:rPr>
            </w:pPr>
            <w:r w:rsidRPr="00B61E00">
              <w:rPr>
                <w:rFonts w:asciiTheme="majorHAnsi" w:hAnsiTheme="majorHAnsi"/>
                <w:color w:val="292929"/>
              </w:rPr>
              <w:t>Accounting Policy</w:t>
            </w:r>
          </w:p>
          <w:p w14:paraId="21B5F651" w14:textId="77777777" w:rsidR="0010025B" w:rsidRPr="00B61E00" w:rsidRDefault="0010025B" w:rsidP="00B15944">
            <w:pPr>
              <w:pStyle w:val="Body"/>
              <w:spacing w:after="120" w:line="288" w:lineRule="auto"/>
              <w:rPr>
                <w:b/>
                <w:bCs/>
                <w:color w:val="292929"/>
              </w:rPr>
            </w:pPr>
            <w:r w:rsidRPr="00845BA4">
              <w:rPr>
                <w:b/>
                <w:bCs/>
                <w:color w:val="292929"/>
              </w:rPr>
              <w:t>Revenue from contracts with customers</w:t>
            </w:r>
          </w:p>
          <w:p w14:paraId="4BC5466F" w14:textId="77777777" w:rsidR="00745E1A" w:rsidRPr="0010025B" w:rsidRDefault="00745E1A" w:rsidP="00745E1A">
            <w:pPr>
              <w:pStyle w:val="Body"/>
              <w:spacing w:after="80" w:line="288" w:lineRule="auto"/>
              <w:rPr>
                <w:color w:val="292929"/>
                <w:lang w:val="en-PH"/>
              </w:rPr>
            </w:pPr>
            <w:r w:rsidRPr="0010025B">
              <w:rPr>
                <w:color w:val="292929"/>
              </w:rPr>
              <w:t>Revenue from the sale of goods is recognised when control has been transferred to the buyer.</w:t>
            </w:r>
          </w:p>
          <w:p w14:paraId="6A2BE36B" w14:textId="71D37ED0" w:rsidR="00745E1A" w:rsidRPr="0010025B" w:rsidRDefault="00745E1A" w:rsidP="00745E1A">
            <w:pPr>
              <w:pStyle w:val="Body"/>
              <w:spacing w:after="80" w:line="288" w:lineRule="auto"/>
              <w:rPr>
                <w:color w:val="292929"/>
                <w:lang w:val="en-PH"/>
              </w:rPr>
            </w:pPr>
            <w:r w:rsidRPr="0010025B">
              <w:rPr>
                <w:color w:val="292929"/>
              </w:rPr>
              <w:t>In relation to AASB 15, IHPA has considered each revenue stream to identify the existence of an enforceable contract that requires the completion of sufficiently specific performance obligations in exchange for relevant consideration. Revenue is recognised either over time or at a point in time as performance obligations are completed and IHPA has an enforceable right to payment for the performance</w:t>
            </w:r>
            <w:r w:rsidR="00D12A9C">
              <w:rPr>
                <w:color w:val="292929"/>
              </w:rPr>
              <w:t> </w:t>
            </w:r>
            <w:r w:rsidRPr="0010025B">
              <w:rPr>
                <w:color w:val="292929"/>
              </w:rPr>
              <w:t>completed to date.</w:t>
            </w:r>
          </w:p>
          <w:p w14:paraId="158CB61B" w14:textId="09C36AF5" w:rsidR="0010025B" w:rsidRPr="0010025B" w:rsidRDefault="00745E1A" w:rsidP="00745E1A">
            <w:pPr>
              <w:pStyle w:val="Body"/>
              <w:spacing w:after="80" w:line="288" w:lineRule="auto"/>
              <w:rPr>
                <w:color w:val="292929"/>
                <w:lang w:val="en-PH"/>
              </w:rPr>
            </w:pPr>
            <w:r w:rsidRPr="0010025B">
              <w:rPr>
                <w:color w:val="292929"/>
              </w:rPr>
              <w:t>Receivables for goods and services, which have 30</w:t>
            </w:r>
            <w:r>
              <w:rPr>
                <w:color w:val="292929"/>
              </w:rPr>
              <w:t>-</w:t>
            </w:r>
            <w:r w:rsidRPr="0010025B">
              <w:rPr>
                <w:color w:val="292929"/>
              </w:rPr>
              <w:t>day terms, are recognised at the nominal amounts due</w:t>
            </w:r>
            <w:r w:rsidR="00D12A9C">
              <w:rPr>
                <w:color w:val="292929"/>
              </w:rPr>
              <w:t> </w:t>
            </w:r>
            <w:r w:rsidRPr="0010025B">
              <w:rPr>
                <w:color w:val="292929"/>
              </w:rPr>
              <w:t>less any impairment allowance account. Collectability of debts is reviewed at the end of the reporting period. Allowances are made when collectability of the debt is no longer probable.</w:t>
            </w:r>
          </w:p>
        </w:tc>
      </w:tr>
    </w:tbl>
    <w:p w14:paraId="1B480DC1" w14:textId="1FDFEA20" w:rsidR="00C2709B" w:rsidRDefault="00C2709B" w:rsidP="008664C1">
      <w:pPr>
        <w:pStyle w:val="Body"/>
        <w:rPr>
          <w:color w:val="292929"/>
        </w:rPr>
      </w:pPr>
    </w:p>
    <w:p w14:paraId="6C25848C" w14:textId="77777777" w:rsidR="0010025B" w:rsidRDefault="0010025B" w:rsidP="008664C1">
      <w:pPr>
        <w:pStyle w:val="Body"/>
        <w:rPr>
          <w:color w:val="292929"/>
        </w:rPr>
      </w:pPr>
    </w:p>
    <w:p w14:paraId="0D73C832" w14:textId="77777777" w:rsidR="00C2709B" w:rsidRDefault="00C2709B" w:rsidP="008664C1">
      <w:pPr>
        <w:pStyle w:val="Body"/>
        <w:rPr>
          <w:color w:val="292929"/>
        </w:rPr>
        <w:sectPr w:rsidR="00C2709B" w:rsidSect="00441579">
          <w:footerReference w:type="default" r:id="rId192"/>
          <w:pgSz w:w="9979" w:h="14175"/>
          <w:pgMar w:top="1134" w:right="1134" w:bottom="1134" w:left="1134" w:header="709" w:footer="709" w:gutter="0"/>
          <w:cols w:space="708"/>
          <w:docGrid w:linePitch="360"/>
        </w:sectPr>
      </w:pPr>
    </w:p>
    <w:tbl>
      <w:tblPr>
        <w:tblStyle w:val="IHPA"/>
        <w:tblW w:w="7096" w:type="dxa"/>
        <w:tblLayout w:type="fixed"/>
        <w:tblLook w:val="0020" w:firstRow="1" w:lastRow="0" w:firstColumn="0" w:lastColumn="0" w:noHBand="0" w:noVBand="0"/>
        <w:tblCaption w:val="Note 1.2B"/>
        <w:tblDescription w:val="Resources received free of charge"/>
      </w:tblPr>
      <w:tblGrid>
        <w:gridCol w:w="5111"/>
        <w:gridCol w:w="992"/>
        <w:gridCol w:w="993"/>
      </w:tblGrid>
      <w:tr w:rsidR="0010025B" w:rsidRPr="00EA60FF" w14:paraId="7B006BC3" w14:textId="77777777" w:rsidTr="00B15944">
        <w:trPr>
          <w:trHeight w:val="340"/>
        </w:trPr>
        <w:tc>
          <w:tcPr>
            <w:tcW w:w="5111" w:type="dxa"/>
          </w:tcPr>
          <w:p w14:paraId="18821384" w14:textId="77777777" w:rsidR="0010025B" w:rsidRPr="00EA60FF" w:rsidRDefault="0010025B" w:rsidP="00B15944">
            <w:pPr>
              <w:autoSpaceDE w:val="0"/>
              <w:autoSpaceDN w:val="0"/>
              <w:adjustRightInd w:val="0"/>
              <w:spacing w:before="20" w:after="20"/>
              <w:rPr>
                <w:rFonts w:ascii="Futura PT Book" w:hAnsi="Futura PT Book"/>
                <w:color w:val="1C1C1C"/>
                <w:sz w:val="24"/>
                <w:szCs w:val="24"/>
              </w:rPr>
            </w:pPr>
            <w:bookmarkStart w:id="148" w:name="_Hlk48559302"/>
          </w:p>
        </w:tc>
        <w:tc>
          <w:tcPr>
            <w:tcW w:w="992" w:type="dxa"/>
            <w:tcBorders>
              <w:bottom w:val="single" w:sz="12" w:space="0" w:color="auto"/>
              <w:right w:val="single" w:sz="18" w:space="0" w:color="FFFFFF" w:themeColor="background2"/>
            </w:tcBorders>
          </w:tcPr>
          <w:p w14:paraId="513373E3" w14:textId="3CE0C0EB" w:rsidR="0010025B" w:rsidRPr="00EA60FF" w:rsidRDefault="0010025B"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A60FF">
              <w:rPr>
                <w:rFonts w:asciiTheme="majorHAnsi" w:hAnsiTheme="majorHAnsi" w:cs="Futura PT Heavy"/>
                <w:color w:val="1C1C1C"/>
                <w:sz w:val="16"/>
                <w:szCs w:val="16"/>
                <w:lang w:val="en-US"/>
              </w:rPr>
              <w:t>202</w:t>
            </w:r>
            <w:r w:rsidR="00627994">
              <w:rPr>
                <w:rFonts w:asciiTheme="majorHAnsi" w:hAnsiTheme="majorHAnsi" w:cs="Futura PT Heavy"/>
                <w:color w:val="1C1C1C"/>
                <w:sz w:val="16"/>
                <w:szCs w:val="16"/>
                <w:lang w:val="en-US"/>
              </w:rPr>
              <w:t>2</w:t>
            </w:r>
            <w:r w:rsidRPr="00EA60FF">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3DF1A980" w14:textId="1A4D3F03" w:rsidR="0010025B" w:rsidRPr="00EA60FF" w:rsidRDefault="0010025B"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A60FF">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w:t>
            </w:r>
            <w:r w:rsidR="00627994">
              <w:rPr>
                <w:rFonts w:asciiTheme="majorHAnsi" w:hAnsiTheme="majorHAnsi" w:cs="Futura PT Heavy"/>
                <w:color w:val="1C1C1C"/>
                <w:sz w:val="16"/>
                <w:szCs w:val="16"/>
                <w:lang w:val="en-US"/>
              </w:rPr>
              <w:t>1</w:t>
            </w:r>
            <w:r w:rsidRPr="00EA60FF">
              <w:rPr>
                <w:rFonts w:asciiTheme="majorHAnsi" w:hAnsiTheme="majorHAnsi" w:cs="Futura PT Heavy"/>
                <w:color w:val="1C1C1C"/>
                <w:sz w:val="16"/>
                <w:szCs w:val="16"/>
                <w:lang w:val="en-US"/>
              </w:rPr>
              <w:br/>
              <w:t>$’000</w:t>
            </w:r>
          </w:p>
        </w:tc>
      </w:tr>
      <w:tr w:rsidR="0010025B" w:rsidRPr="00EA60FF" w14:paraId="192052DF" w14:textId="77777777" w:rsidTr="00B15944">
        <w:trPr>
          <w:trHeight w:val="170"/>
        </w:trPr>
        <w:tc>
          <w:tcPr>
            <w:tcW w:w="5111" w:type="dxa"/>
          </w:tcPr>
          <w:p w14:paraId="5A3316FE" w14:textId="77777777" w:rsidR="0010025B" w:rsidRPr="00EA60FF" w:rsidRDefault="0010025B" w:rsidP="00B15944">
            <w:pPr>
              <w:suppressAutoHyphens/>
              <w:autoSpaceDE w:val="0"/>
              <w:autoSpaceDN w:val="0"/>
              <w:adjustRightInd w:val="0"/>
              <w:spacing w:before="20" w:after="20"/>
              <w:textAlignment w:val="center"/>
              <w:rPr>
                <w:rFonts w:asciiTheme="majorHAnsi" w:hAnsiTheme="majorHAnsi"/>
                <w:color w:val="1C1C1C"/>
                <w:sz w:val="14"/>
                <w:szCs w:val="14"/>
              </w:rPr>
            </w:pPr>
            <w:r w:rsidRPr="00EA60FF">
              <w:rPr>
                <w:rFonts w:asciiTheme="majorHAnsi" w:hAnsiTheme="majorHAnsi"/>
                <w:color w:val="1C1C1C"/>
                <w:sz w:val="14"/>
                <w:szCs w:val="14"/>
              </w:rPr>
              <w:t>Note 1.2B: Resources received free of charge</w:t>
            </w:r>
          </w:p>
        </w:tc>
        <w:tc>
          <w:tcPr>
            <w:tcW w:w="992" w:type="dxa"/>
            <w:tcBorders>
              <w:top w:val="single" w:sz="12" w:space="0" w:color="auto"/>
              <w:right w:val="single" w:sz="18" w:space="0" w:color="FFFFFF" w:themeColor="background2"/>
            </w:tcBorders>
          </w:tcPr>
          <w:p w14:paraId="7505F18D" w14:textId="77777777" w:rsidR="0010025B" w:rsidRPr="00EA60FF" w:rsidRDefault="0010025B"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0010A1EB" w14:textId="77777777" w:rsidR="0010025B" w:rsidRPr="00EA60FF" w:rsidRDefault="0010025B" w:rsidP="00B15944">
            <w:pPr>
              <w:autoSpaceDE w:val="0"/>
              <w:autoSpaceDN w:val="0"/>
              <w:adjustRightInd w:val="0"/>
              <w:spacing w:before="20" w:after="20"/>
              <w:jc w:val="right"/>
              <w:rPr>
                <w:color w:val="1C1C1C"/>
                <w:sz w:val="14"/>
                <w:szCs w:val="14"/>
              </w:rPr>
            </w:pPr>
          </w:p>
        </w:tc>
      </w:tr>
      <w:tr w:rsidR="0010025B" w:rsidRPr="00EA60FF" w14:paraId="2EE6B91D" w14:textId="77777777" w:rsidTr="00B15944">
        <w:trPr>
          <w:trHeight w:val="170"/>
        </w:trPr>
        <w:tc>
          <w:tcPr>
            <w:tcW w:w="5111" w:type="dxa"/>
          </w:tcPr>
          <w:p w14:paraId="0817E5B8" w14:textId="77777777" w:rsidR="0010025B" w:rsidRPr="00EA60FF" w:rsidRDefault="0010025B" w:rsidP="00B15944">
            <w:pPr>
              <w:suppressAutoHyphens/>
              <w:autoSpaceDE w:val="0"/>
              <w:autoSpaceDN w:val="0"/>
              <w:adjustRightInd w:val="0"/>
              <w:spacing w:before="20" w:after="20"/>
              <w:textAlignment w:val="center"/>
              <w:rPr>
                <w:rFonts w:cs="Futura PT Book"/>
                <w:color w:val="1C1C1C"/>
                <w:sz w:val="14"/>
                <w:szCs w:val="14"/>
                <w:lang w:val="en-US"/>
              </w:rPr>
            </w:pPr>
            <w:r w:rsidRPr="00EA60FF">
              <w:rPr>
                <w:color w:val="1C1C1C"/>
                <w:sz w:val="14"/>
                <w:szCs w:val="14"/>
              </w:rPr>
              <w:t>Departmental contribution received free of charge</w:t>
            </w:r>
          </w:p>
        </w:tc>
        <w:tc>
          <w:tcPr>
            <w:tcW w:w="992" w:type="dxa"/>
            <w:tcBorders>
              <w:right w:val="single" w:sz="18" w:space="0" w:color="FFFFFF" w:themeColor="background2"/>
            </w:tcBorders>
          </w:tcPr>
          <w:p w14:paraId="17D48787" w14:textId="0CE900D1" w:rsidR="0010025B" w:rsidRPr="0098746F" w:rsidRDefault="00627994"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8</w:t>
            </w:r>
            <w:r w:rsidR="0010025B" w:rsidRPr="0098746F">
              <w:rPr>
                <w:rFonts w:asciiTheme="majorHAnsi" w:hAnsiTheme="majorHAnsi" w:cs="Calibri"/>
                <w:sz w:val="14"/>
                <w:szCs w:val="14"/>
              </w:rPr>
              <w:t>,</w:t>
            </w:r>
            <w:r>
              <w:rPr>
                <w:rFonts w:asciiTheme="majorHAnsi" w:hAnsiTheme="majorHAnsi" w:cs="Calibri"/>
                <w:sz w:val="14"/>
                <w:szCs w:val="14"/>
              </w:rPr>
              <w:t>449</w:t>
            </w:r>
          </w:p>
        </w:tc>
        <w:tc>
          <w:tcPr>
            <w:tcW w:w="993" w:type="dxa"/>
            <w:tcBorders>
              <w:left w:val="single" w:sz="18" w:space="0" w:color="FFFFFF" w:themeColor="background2"/>
            </w:tcBorders>
          </w:tcPr>
          <w:p w14:paraId="4F5FF27E" w14:textId="01BB1B33" w:rsidR="0010025B" w:rsidRPr="0098746F" w:rsidRDefault="0010025B" w:rsidP="00B15944">
            <w:pPr>
              <w:autoSpaceDE w:val="0"/>
              <w:autoSpaceDN w:val="0"/>
              <w:adjustRightInd w:val="0"/>
              <w:spacing w:before="20" w:after="20"/>
              <w:jc w:val="right"/>
              <w:rPr>
                <w:color w:val="1C1C1C"/>
                <w:sz w:val="14"/>
                <w:szCs w:val="14"/>
              </w:rPr>
            </w:pPr>
            <w:r w:rsidRPr="0098746F">
              <w:rPr>
                <w:rFonts w:cs="Calibri"/>
                <w:sz w:val="14"/>
                <w:szCs w:val="14"/>
              </w:rPr>
              <w:t>7,</w:t>
            </w:r>
            <w:r w:rsidR="00627994">
              <w:rPr>
                <w:rFonts w:cs="Calibri"/>
                <w:sz w:val="14"/>
                <w:szCs w:val="14"/>
              </w:rPr>
              <w:t>375</w:t>
            </w:r>
          </w:p>
        </w:tc>
      </w:tr>
      <w:tr w:rsidR="0010025B" w:rsidRPr="00EA60FF" w14:paraId="4D938C9B" w14:textId="77777777" w:rsidTr="00B15944">
        <w:trPr>
          <w:trHeight w:val="170"/>
        </w:trPr>
        <w:tc>
          <w:tcPr>
            <w:tcW w:w="5111" w:type="dxa"/>
          </w:tcPr>
          <w:p w14:paraId="64586008" w14:textId="77777777" w:rsidR="0010025B" w:rsidRPr="00EA60FF" w:rsidRDefault="0010025B" w:rsidP="00B15944">
            <w:pPr>
              <w:suppressAutoHyphens/>
              <w:autoSpaceDE w:val="0"/>
              <w:autoSpaceDN w:val="0"/>
              <w:adjustRightInd w:val="0"/>
              <w:spacing w:before="20" w:after="20"/>
              <w:textAlignment w:val="center"/>
              <w:rPr>
                <w:color w:val="1C1C1C"/>
                <w:sz w:val="14"/>
                <w:szCs w:val="14"/>
              </w:rPr>
            </w:pPr>
            <w:r w:rsidRPr="00EA60FF">
              <w:rPr>
                <w:color w:val="1C1C1C"/>
                <w:sz w:val="14"/>
                <w:szCs w:val="14"/>
              </w:rPr>
              <w:t>Other resources received free of charge</w:t>
            </w:r>
          </w:p>
        </w:tc>
        <w:tc>
          <w:tcPr>
            <w:tcW w:w="992" w:type="dxa"/>
            <w:tcBorders>
              <w:bottom w:val="single" w:sz="2" w:space="0" w:color="auto"/>
              <w:right w:val="single" w:sz="18" w:space="0" w:color="FFFFFF" w:themeColor="background2"/>
            </w:tcBorders>
          </w:tcPr>
          <w:p w14:paraId="2D68EC39" w14:textId="1DE1BB83" w:rsidR="0010025B" w:rsidRPr="0098746F" w:rsidRDefault="0010025B" w:rsidP="00B15944">
            <w:pPr>
              <w:autoSpaceDE w:val="0"/>
              <w:autoSpaceDN w:val="0"/>
              <w:adjustRightInd w:val="0"/>
              <w:spacing w:before="20" w:after="20"/>
              <w:jc w:val="right"/>
              <w:rPr>
                <w:rFonts w:asciiTheme="majorHAnsi" w:hAnsiTheme="majorHAnsi"/>
                <w:color w:val="1C1C1C"/>
                <w:sz w:val="14"/>
                <w:szCs w:val="14"/>
              </w:rPr>
            </w:pPr>
            <w:r w:rsidRPr="0098746F">
              <w:rPr>
                <w:rFonts w:asciiTheme="majorHAnsi" w:hAnsiTheme="majorHAnsi" w:cs="Calibri"/>
                <w:sz w:val="14"/>
                <w:szCs w:val="14"/>
              </w:rPr>
              <w:t>65</w:t>
            </w:r>
          </w:p>
        </w:tc>
        <w:tc>
          <w:tcPr>
            <w:tcW w:w="993" w:type="dxa"/>
            <w:tcBorders>
              <w:left w:val="single" w:sz="18" w:space="0" w:color="FFFFFF" w:themeColor="background2"/>
              <w:bottom w:val="single" w:sz="2" w:space="0" w:color="auto"/>
            </w:tcBorders>
          </w:tcPr>
          <w:p w14:paraId="2D3B0DF7" w14:textId="1B0ABEC3" w:rsidR="0010025B" w:rsidRPr="0098746F" w:rsidRDefault="0010025B" w:rsidP="00B15944">
            <w:pPr>
              <w:autoSpaceDE w:val="0"/>
              <w:autoSpaceDN w:val="0"/>
              <w:adjustRightInd w:val="0"/>
              <w:spacing w:before="20" w:after="20"/>
              <w:jc w:val="right"/>
              <w:rPr>
                <w:color w:val="1C1C1C"/>
                <w:sz w:val="14"/>
                <w:szCs w:val="14"/>
              </w:rPr>
            </w:pPr>
            <w:r w:rsidRPr="0098746F">
              <w:rPr>
                <w:rFonts w:cs="Calibri"/>
                <w:sz w:val="14"/>
                <w:szCs w:val="14"/>
              </w:rPr>
              <w:t>65</w:t>
            </w:r>
          </w:p>
        </w:tc>
      </w:tr>
      <w:tr w:rsidR="0010025B" w:rsidRPr="00EA60FF" w14:paraId="311715D1" w14:textId="77777777" w:rsidTr="00B15944">
        <w:trPr>
          <w:trHeight w:val="170"/>
        </w:trPr>
        <w:tc>
          <w:tcPr>
            <w:tcW w:w="5111" w:type="dxa"/>
          </w:tcPr>
          <w:p w14:paraId="3085E1EA" w14:textId="77777777" w:rsidR="0010025B" w:rsidRPr="00EA60FF" w:rsidRDefault="0010025B"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EA60FF">
              <w:rPr>
                <w:rFonts w:asciiTheme="majorHAnsi" w:hAnsiTheme="majorHAnsi"/>
                <w:color w:val="1C1C1C"/>
                <w:sz w:val="14"/>
                <w:szCs w:val="14"/>
              </w:rPr>
              <w:t>Total other revenue</w:t>
            </w:r>
          </w:p>
        </w:tc>
        <w:tc>
          <w:tcPr>
            <w:tcW w:w="992" w:type="dxa"/>
            <w:tcBorders>
              <w:top w:val="single" w:sz="2" w:space="0" w:color="auto"/>
              <w:bottom w:val="single" w:sz="2" w:space="0" w:color="auto"/>
              <w:right w:val="single" w:sz="18" w:space="0" w:color="FFFFFF" w:themeColor="background2"/>
            </w:tcBorders>
          </w:tcPr>
          <w:p w14:paraId="1B388C0D" w14:textId="417F7862" w:rsidR="0010025B" w:rsidRPr="0098746F" w:rsidRDefault="00627994"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8</w:t>
            </w:r>
            <w:r w:rsidR="0010025B" w:rsidRPr="0098746F">
              <w:rPr>
                <w:rFonts w:asciiTheme="majorHAnsi" w:hAnsiTheme="majorHAnsi" w:cs="Calibri"/>
                <w:sz w:val="14"/>
                <w:szCs w:val="14"/>
              </w:rPr>
              <w:t>,</w:t>
            </w:r>
            <w:r>
              <w:rPr>
                <w:rFonts w:asciiTheme="majorHAnsi" w:hAnsiTheme="majorHAnsi" w:cs="Calibri"/>
                <w:sz w:val="14"/>
                <w:szCs w:val="14"/>
              </w:rPr>
              <w:t>514</w:t>
            </w:r>
          </w:p>
        </w:tc>
        <w:tc>
          <w:tcPr>
            <w:tcW w:w="993" w:type="dxa"/>
            <w:tcBorders>
              <w:top w:val="single" w:sz="2" w:space="0" w:color="auto"/>
              <w:left w:val="single" w:sz="18" w:space="0" w:color="FFFFFF" w:themeColor="background2"/>
              <w:bottom w:val="single" w:sz="2" w:space="0" w:color="auto"/>
            </w:tcBorders>
          </w:tcPr>
          <w:p w14:paraId="6361917B" w14:textId="3D6A762F" w:rsidR="0010025B" w:rsidRPr="0098746F" w:rsidRDefault="0010025B" w:rsidP="00B15944">
            <w:pPr>
              <w:suppressAutoHyphens/>
              <w:autoSpaceDE w:val="0"/>
              <w:autoSpaceDN w:val="0"/>
              <w:adjustRightInd w:val="0"/>
              <w:spacing w:before="20" w:after="20"/>
              <w:jc w:val="right"/>
              <w:textAlignment w:val="center"/>
              <w:rPr>
                <w:rFonts w:cs="Futura PT Book"/>
                <w:color w:val="1C1C1C"/>
                <w:sz w:val="14"/>
                <w:szCs w:val="14"/>
                <w:lang w:val="en-US"/>
              </w:rPr>
            </w:pPr>
            <w:r w:rsidRPr="0098746F">
              <w:rPr>
                <w:rFonts w:cs="Calibri"/>
                <w:sz w:val="14"/>
                <w:szCs w:val="14"/>
              </w:rPr>
              <w:t>7,</w:t>
            </w:r>
            <w:r w:rsidR="00627994">
              <w:rPr>
                <w:rFonts w:cs="Calibri"/>
                <w:sz w:val="14"/>
                <w:szCs w:val="14"/>
              </w:rPr>
              <w:t>440</w:t>
            </w:r>
          </w:p>
        </w:tc>
      </w:tr>
      <w:tr w:rsidR="0010025B" w:rsidRPr="00EA60FF" w14:paraId="1D664323" w14:textId="77777777" w:rsidTr="00B15944">
        <w:trPr>
          <w:trHeight w:val="57"/>
        </w:trPr>
        <w:tc>
          <w:tcPr>
            <w:tcW w:w="5111" w:type="dxa"/>
          </w:tcPr>
          <w:p w14:paraId="5DACCF9C" w14:textId="77777777" w:rsidR="0010025B" w:rsidRPr="00EA60FF" w:rsidRDefault="0010025B"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49A587F6" w14:textId="77777777" w:rsidR="0010025B" w:rsidRPr="00EA60FF" w:rsidRDefault="0010025B" w:rsidP="00B15944">
            <w:pPr>
              <w:suppressAutoHyphens/>
              <w:autoSpaceDE w:val="0"/>
              <w:autoSpaceDN w:val="0"/>
              <w:adjustRightInd w:val="0"/>
              <w:spacing w:before="20" w:after="20"/>
              <w:jc w:val="right"/>
              <w:textAlignment w:val="center"/>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6E5DBE9B" w14:textId="77777777" w:rsidR="0010025B" w:rsidRPr="00EA60FF" w:rsidRDefault="0010025B" w:rsidP="00B15944">
            <w:pPr>
              <w:suppressAutoHyphens/>
              <w:autoSpaceDE w:val="0"/>
              <w:autoSpaceDN w:val="0"/>
              <w:adjustRightInd w:val="0"/>
              <w:spacing w:before="20" w:after="20"/>
              <w:jc w:val="right"/>
              <w:textAlignment w:val="center"/>
              <w:rPr>
                <w:color w:val="1C1C1C"/>
                <w:sz w:val="4"/>
                <w:szCs w:val="4"/>
              </w:rPr>
            </w:pPr>
          </w:p>
        </w:tc>
      </w:tr>
      <w:bookmarkEnd w:id="148"/>
    </w:tbl>
    <w:p w14:paraId="772A4EE2" w14:textId="77777777" w:rsidR="0010025B" w:rsidRDefault="0010025B" w:rsidP="0010025B">
      <w:pPr>
        <w:pStyle w:val="Body"/>
      </w:pPr>
    </w:p>
    <w:tbl>
      <w:tblPr>
        <w:tblStyle w:val="TableGrid1"/>
        <w:tblW w:w="4993" w:type="pct"/>
        <w:tblCellMar>
          <w:top w:w="57" w:type="dxa"/>
          <w:bottom w:w="57" w:type="dxa"/>
        </w:tblCellMar>
        <w:tblLook w:val="04A0" w:firstRow="1" w:lastRow="0" w:firstColumn="1" w:lastColumn="0" w:noHBand="0" w:noVBand="1"/>
        <w:tblCaption w:val="Note 1.2B"/>
        <w:tblDescription w:val="Accounting policy"/>
      </w:tblPr>
      <w:tblGrid>
        <w:gridCol w:w="7690"/>
      </w:tblGrid>
      <w:tr w:rsidR="0010025B" w14:paraId="18398AAE" w14:textId="77777777" w:rsidTr="00B15944">
        <w:trPr>
          <w:tblHeader/>
        </w:trPr>
        <w:tc>
          <w:tcPr>
            <w:tcW w:w="5000" w:type="pct"/>
          </w:tcPr>
          <w:p w14:paraId="2D2124A5" w14:textId="77777777" w:rsidR="0010025B" w:rsidRPr="005300C0" w:rsidRDefault="0010025B" w:rsidP="00B15944">
            <w:pPr>
              <w:pStyle w:val="Body"/>
              <w:spacing w:after="120" w:line="288" w:lineRule="auto"/>
              <w:rPr>
                <w:rFonts w:asciiTheme="majorHAnsi" w:hAnsiTheme="majorHAnsi"/>
              </w:rPr>
            </w:pPr>
            <w:r w:rsidRPr="005300C0">
              <w:rPr>
                <w:rFonts w:asciiTheme="majorHAnsi" w:hAnsiTheme="majorHAnsi"/>
              </w:rPr>
              <w:t>Accounting Policy</w:t>
            </w:r>
          </w:p>
          <w:p w14:paraId="6B87A12F" w14:textId="77777777" w:rsidR="0010025B" w:rsidRPr="00303955" w:rsidRDefault="0010025B" w:rsidP="00B15944">
            <w:pPr>
              <w:pStyle w:val="Body"/>
              <w:spacing w:after="120" w:line="288" w:lineRule="auto"/>
              <w:rPr>
                <w:b/>
                <w:bCs/>
              </w:rPr>
            </w:pPr>
            <w:r w:rsidRPr="00303955">
              <w:rPr>
                <w:b/>
                <w:bCs/>
              </w:rPr>
              <w:t>Re</w:t>
            </w:r>
            <w:r>
              <w:rPr>
                <w:b/>
                <w:bCs/>
              </w:rPr>
              <w:t>sources</w:t>
            </w:r>
            <w:r w:rsidRPr="00303955">
              <w:rPr>
                <w:b/>
                <w:bCs/>
              </w:rPr>
              <w:t xml:space="preserve"> received free of charge </w:t>
            </w:r>
          </w:p>
          <w:p w14:paraId="4D3F80B5" w14:textId="00656536" w:rsidR="0010025B" w:rsidRDefault="007A6E31" w:rsidP="00B15944">
            <w:pPr>
              <w:pStyle w:val="Body"/>
              <w:spacing w:line="288" w:lineRule="auto"/>
            </w:pPr>
            <w:r w:rsidRPr="00627994">
              <w:t>Resources received free of charge are recognised as revenue when, and only when, a fair value can be reliably determined and the services would have been purchased if they had not been donated. Use of those resources is recognised as an expense. Resources received free</w:t>
            </w:r>
            <w:r w:rsidR="00536C01">
              <w:t xml:space="preserve"> </w:t>
            </w:r>
            <w:r w:rsidRPr="00627994">
              <w:t>of</w:t>
            </w:r>
            <w:r w:rsidR="00536C01">
              <w:t xml:space="preserve"> </w:t>
            </w:r>
            <w:r w:rsidRPr="00627994">
              <w:t>charge are recorded as revenue.</w:t>
            </w:r>
          </w:p>
        </w:tc>
      </w:tr>
    </w:tbl>
    <w:p w14:paraId="7289F067" w14:textId="77777777" w:rsidR="0010025B" w:rsidRDefault="0010025B" w:rsidP="0010025B">
      <w:pPr>
        <w:pStyle w:val="Body"/>
      </w:pPr>
    </w:p>
    <w:tbl>
      <w:tblPr>
        <w:tblStyle w:val="IHPA"/>
        <w:tblW w:w="7096" w:type="dxa"/>
        <w:tblLayout w:type="fixed"/>
        <w:tblLook w:val="0020" w:firstRow="1" w:lastRow="0" w:firstColumn="0" w:lastColumn="0" w:noHBand="0" w:noVBand="0"/>
        <w:tblCaption w:val="Note 1.2C"/>
        <w:tblDescription w:val="Revenue from Government"/>
      </w:tblPr>
      <w:tblGrid>
        <w:gridCol w:w="5111"/>
        <w:gridCol w:w="992"/>
        <w:gridCol w:w="993"/>
      </w:tblGrid>
      <w:tr w:rsidR="0010025B" w:rsidRPr="00E351ED" w14:paraId="26872749" w14:textId="77777777" w:rsidTr="00B15944">
        <w:trPr>
          <w:trHeight w:val="340"/>
        </w:trPr>
        <w:tc>
          <w:tcPr>
            <w:tcW w:w="5111" w:type="dxa"/>
          </w:tcPr>
          <w:p w14:paraId="30D88C4A" w14:textId="77777777" w:rsidR="0010025B" w:rsidRPr="00E351ED" w:rsidRDefault="0010025B"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7E8AC9DF" w14:textId="1576E628" w:rsidR="0010025B" w:rsidRPr="00E351ED" w:rsidRDefault="0010025B"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351ED">
              <w:rPr>
                <w:rFonts w:asciiTheme="majorHAnsi" w:hAnsiTheme="majorHAnsi" w:cs="Futura PT Heavy"/>
                <w:color w:val="1C1C1C"/>
                <w:sz w:val="16"/>
                <w:szCs w:val="16"/>
                <w:lang w:val="en-US"/>
              </w:rPr>
              <w:t>202</w:t>
            </w:r>
            <w:r w:rsidR="00627994">
              <w:rPr>
                <w:rFonts w:asciiTheme="majorHAnsi" w:hAnsiTheme="majorHAnsi" w:cs="Futura PT Heavy"/>
                <w:color w:val="1C1C1C"/>
                <w:sz w:val="16"/>
                <w:szCs w:val="16"/>
                <w:lang w:val="en-US"/>
              </w:rPr>
              <w:t>2</w:t>
            </w:r>
            <w:r w:rsidRPr="00E351ED">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2D6F6BCB" w14:textId="740D5727" w:rsidR="0010025B" w:rsidRPr="00E351ED" w:rsidRDefault="0010025B"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351ED">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w:t>
            </w:r>
            <w:r w:rsidR="00627994">
              <w:rPr>
                <w:rFonts w:asciiTheme="majorHAnsi" w:hAnsiTheme="majorHAnsi" w:cs="Futura PT Heavy"/>
                <w:color w:val="1C1C1C"/>
                <w:sz w:val="16"/>
                <w:szCs w:val="16"/>
                <w:lang w:val="en-US"/>
              </w:rPr>
              <w:t>1</w:t>
            </w:r>
            <w:r w:rsidRPr="00E351ED">
              <w:rPr>
                <w:rFonts w:asciiTheme="majorHAnsi" w:hAnsiTheme="majorHAnsi" w:cs="Futura PT Heavy"/>
                <w:color w:val="1C1C1C"/>
                <w:sz w:val="16"/>
                <w:szCs w:val="16"/>
                <w:lang w:val="en-US"/>
              </w:rPr>
              <w:br/>
              <w:t>$’000</w:t>
            </w:r>
          </w:p>
        </w:tc>
      </w:tr>
      <w:tr w:rsidR="0010025B" w:rsidRPr="00E351ED" w14:paraId="50BFD071" w14:textId="77777777" w:rsidTr="00B15944">
        <w:trPr>
          <w:trHeight w:val="170"/>
        </w:trPr>
        <w:tc>
          <w:tcPr>
            <w:tcW w:w="5111" w:type="dxa"/>
          </w:tcPr>
          <w:p w14:paraId="29FADB83" w14:textId="145EB5CA" w:rsidR="0010025B" w:rsidRPr="00E351ED" w:rsidRDefault="0010025B" w:rsidP="00B15944">
            <w:pPr>
              <w:suppressAutoHyphens/>
              <w:autoSpaceDE w:val="0"/>
              <w:autoSpaceDN w:val="0"/>
              <w:adjustRightInd w:val="0"/>
              <w:spacing w:before="20" w:after="20"/>
              <w:textAlignment w:val="center"/>
              <w:rPr>
                <w:rFonts w:asciiTheme="majorHAnsi" w:hAnsiTheme="majorHAnsi"/>
                <w:color w:val="1C1C1C"/>
                <w:sz w:val="14"/>
                <w:szCs w:val="14"/>
              </w:rPr>
            </w:pPr>
            <w:r w:rsidRPr="00E351ED">
              <w:rPr>
                <w:rFonts w:asciiTheme="majorHAnsi" w:hAnsiTheme="majorHAnsi"/>
                <w:color w:val="1C1C1C"/>
                <w:sz w:val="14"/>
                <w:szCs w:val="14"/>
              </w:rPr>
              <w:t xml:space="preserve">Note 1.2C: </w:t>
            </w:r>
            <w:r w:rsidR="00627994">
              <w:rPr>
                <w:rFonts w:asciiTheme="majorHAnsi" w:hAnsiTheme="majorHAnsi"/>
                <w:color w:val="1C1C1C"/>
                <w:sz w:val="14"/>
                <w:szCs w:val="14"/>
              </w:rPr>
              <w:t>Other gains</w:t>
            </w:r>
          </w:p>
        </w:tc>
        <w:tc>
          <w:tcPr>
            <w:tcW w:w="992" w:type="dxa"/>
            <w:tcBorders>
              <w:top w:val="single" w:sz="12" w:space="0" w:color="auto"/>
              <w:right w:val="single" w:sz="18" w:space="0" w:color="FFFFFF" w:themeColor="background2"/>
            </w:tcBorders>
          </w:tcPr>
          <w:p w14:paraId="17C3E8B7" w14:textId="77777777" w:rsidR="0010025B" w:rsidRPr="00E351ED" w:rsidRDefault="0010025B"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51C369D4" w14:textId="77777777" w:rsidR="0010025B" w:rsidRPr="00E351ED" w:rsidRDefault="0010025B" w:rsidP="00B15944">
            <w:pPr>
              <w:autoSpaceDE w:val="0"/>
              <w:autoSpaceDN w:val="0"/>
              <w:adjustRightInd w:val="0"/>
              <w:spacing w:before="20" w:after="20"/>
              <w:jc w:val="right"/>
              <w:rPr>
                <w:color w:val="1C1C1C"/>
                <w:sz w:val="14"/>
                <w:szCs w:val="14"/>
              </w:rPr>
            </w:pPr>
          </w:p>
        </w:tc>
      </w:tr>
      <w:tr w:rsidR="0010025B" w:rsidRPr="00E351ED" w14:paraId="7F1DA77B" w14:textId="77777777" w:rsidTr="00B15944">
        <w:trPr>
          <w:trHeight w:val="170"/>
        </w:trPr>
        <w:tc>
          <w:tcPr>
            <w:tcW w:w="5111" w:type="dxa"/>
          </w:tcPr>
          <w:p w14:paraId="69AC6480" w14:textId="32473B20" w:rsidR="0010025B" w:rsidRPr="00E351ED" w:rsidRDefault="00627994" w:rsidP="00B15944">
            <w:pPr>
              <w:suppressAutoHyphens/>
              <w:autoSpaceDE w:val="0"/>
              <w:autoSpaceDN w:val="0"/>
              <w:adjustRightInd w:val="0"/>
              <w:spacing w:before="20" w:after="20"/>
              <w:textAlignment w:val="center"/>
              <w:rPr>
                <w:rFonts w:cs="Futura PT Book"/>
                <w:color w:val="1C1C1C"/>
                <w:sz w:val="14"/>
                <w:szCs w:val="14"/>
                <w:lang w:val="en-US"/>
              </w:rPr>
            </w:pPr>
            <w:r>
              <w:rPr>
                <w:color w:val="1C1C1C"/>
                <w:sz w:val="14"/>
                <w:szCs w:val="14"/>
              </w:rPr>
              <w:t>Gain on lease modification</w:t>
            </w:r>
          </w:p>
        </w:tc>
        <w:tc>
          <w:tcPr>
            <w:tcW w:w="992" w:type="dxa"/>
            <w:tcBorders>
              <w:bottom w:val="single" w:sz="2" w:space="0" w:color="auto"/>
              <w:right w:val="single" w:sz="18" w:space="0" w:color="FFFFFF" w:themeColor="background2"/>
            </w:tcBorders>
          </w:tcPr>
          <w:p w14:paraId="15988075" w14:textId="07800D88" w:rsidR="0010025B" w:rsidRPr="0098746F" w:rsidRDefault="00627994"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270</w:t>
            </w:r>
          </w:p>
        </w:tc>
        <w:tc>
          <w:tcPr>
            <w:tcW w:w="993" w:type="dxa"/>
            <w:tcBorders>
              <w:left w:val="single" w:sz="18" w:space="0" w:color="FFFFFF" w:themeColor="background2"/>
              <w:bottom w:val="single" w:sz="2" w:space="0" w:color="auto"/>
            </w:tcBorders>
          </w:tcPr>
          <w:p w14:paraId="1684C8F2" w14:textId="6EEACD6A" w:rsidR="0010025B" w:rsidRPr="0098746F" w:rsidRDefault="00627994" w:rsidP="00B15944">
            <w:pPr>
              <w:autoSpaceDE w:val="0"/>
              <w:autoSpaceDN w:val="0"/>
              <w:adjustRightInd w:val="0"/>
              <w:spacing w:before="20" w:after="20"/>
              <w:jc w:val="right"/>
              <w:rPr>
                <w:color w:val="1C1C1C"/>
                <w:sz w:val="14"/>
                <w:szCs w:val="14"/>
              </w:rPr>
            </w:pPr>
            <w:r>
              <w:rPr>
                <w:rFonts w:cs="Calibri"/>
                <w:sz w:val="14"/>
                <w:szCs w:val="14"/>
              </w:rPr>
              <w:t>-</w:t>
            </w:r>
          </w:p>
        </w:tc>
      </w:tr>
      <w:tr w:rsidR="0010025B" w:rsidRPr="00E351ED" w14:paraId="798C5AF8" w14:textId="77777777" w:rsidTr="00B15944">
        <w:trPr>
          <w:trHeight w:val="170"/>
        </w:trPr>
        <w:tc>
          <w:tcPr>
            <w:tcW w:w="5111" w:type="dxa"/>
          </w:tcPr>
          <w:p w14:paraId="2FAF0309" w14:textId="596221FF" w:rsidR="0010025B" w:rsidRPr="00E351ED" w:rsidRDefault="0010025B"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98746F">
              <w:rPr>
                <w:rFonts w:asciiTheme="majorHAnsi" w:hAnsiTheme="majorHAnsi"/>
                <w:color w:val="1C1C1C"/>
                <w:sz w:val="14"/>
                <w:szCs w:val="14"/>
              </w:rPr>
              <w:t xml:space="preserve">Total </w:t>
            </w:r>
            <w:r w:rsidR="00627994">
              <w:rPr>
                <w:rFonts w:asciiTheme="majorHAnsi" w:hAnsiTheme="majorHAnsi"/>
                <w:color w:val="1C1C1C"/>
                <w:sz w:val="14"/>
                <w:szCs w:val="14"/>
              </w:rPr>
              <w:t>other gains</w:t>
            </w:r>
          </w:p>
        </w:tc>
        <w:tc>
          <w:tcPr>
            <w:tcW w:w="992" w:type="dxa"/>
            <w:tcBorders>
              <w:top w:val="single" w:sz="2" w:space="0" w:color="auto"/>
              <w:bottom w:val="single" w:sz="2" w:space="0" w:color="auto"/>
              <w:right w:val="single" w:sz="18" w:space="0" w:color="FFFFFF" w:themeColor="background2"/>
            </w:tcBorders>
          </w:tcPr>
          <w:p w14:paraId="681432BB" w14:textId="456D81A4" w:rsidR="0010025B" w:rsidRPr="0098746F" w:rsidRDefault="00627994"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270</w:t>
            </w:r>
          </w:p>
        </w:tc>
        <w:tc>
          <w:tcPr>
            <w:tcW w:w="993" w:type="dxa"/>
            <w:tcBorders>
              <w:top w:val="single" w:sz="2" w:space="0" w:color="auto"/>
              <w:left w:val="single" w:sz="18" w:space="0" w:color="FFFFFF" w:themeColor="background2"/>
              <w:bottom w:val="single" w:sz="2" w:space="0" w:color="auto"/>
            </w:tcBorders>
          </w:tcPr>
          <w:p w14:paraId="69EB0E31" w14:textId="1F67D824" w:rsidR="0010025B" w:rsidRPr="0098746F" w:rsidRDefault="00627994" w:rsidP="00B15944">
            <w:pPr>
              <w:suppressAutoHyphens/>
              <w:autoSpaceDE w:val="0"/>
              <w:autoSpaceDN w:val="0"/>
              <w:adjustRightInd w:val="0"/>
              <w:spacing w:before="20" w:after="20"/>
              <w:jc w:val="right"/>
              <w:textAlignment w:val="center"/>
              <w:rPr>
                <w:rFonts w:cs="Futura PT Book"/>
                <w:color w:val="1C1C1C"/>
                <w:sz w:val="14"/>
                <w:szCs w:val="14"/>
                <w:lang w:val="en-US"/>
              </w:rPr>
            </w:pPr>
            <w:r>
              <w:rPr>
                <w:rFonts w:cs="Calibri"/>
                <w:sz w:val="14"/>
                <w:szCs w:val="14"/>
              </w:rPr>
              <w:t>-</w:t>
            </w:r>
          </w:p>
        </w:tc>
      </w:tr>
      <w:tr w:rsidR="0010025B" w:rsidRPr="00E351ED" w14:paraId="2146D4CB" w14:textId="77777777" w:rsidTr="00627994">
        <w:trPr>
          <w:trHeight w:val="57"/>
        </w:trPr>
        <w:tc>
          <w:tcPr>
            <w:tcW w:w="5111" w:type="dxa"/>
          </w:tcPr>
          <w:p w14:paraId="188ACEE3" w14:textId="77777777" w:rsidR="0010025B" w:rsidRPr="00E351ED" w:rsidRDefault="0010025B"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202F986F" w14:textId="77777777" w:rsidR="0010025B" w:rsidRPr="00E351ED" w:rsidRDefault="0010025B" w:rsidP="00B15944">
            <w:pPr>
              <w:suppressAutoHyphens/>
              <w:autoSpaceDE w:val="0"/>
              <w:autoSpaceDN w:val="0"/>
              <w:adjustRightInd w:val="0"/>
              <w:spacing w:before="20" w:after="20"/>
              <w:jc w:val="right"/>
              <w:textAlignment w:val="center"/>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5CF7961E" w14:textId="77777777" w:rsidR="0010025B" w:rsidRPr="00E351ED" w:rsidRDefault="0010025B" w:rsidP="00B15944">
            <w:pPr>
              <w:suppressAutoHyphens/>
              <w:autoSpaceDE w:val="0"/>
              <w:autoSpaceDN w:val="0"/>
              <w:adjustRightInd w:val="0"/>
              <w:spacing w:before="20" w:after="20"/>
              <w:jc w:val="right"/>
              <w:textAlignment w:val="center"/>
              <w:rPr>
                <w:color w:val="1C1C1C"/>
                <w:sz w:val="4"/>
                <w:szCs w:val="4"/>
              </w:rPr>
            </w:pPr>
          </w:p>
        </w:tc>
      </w:tr>
      <w:tr w:rsidR="00627994" w:rsidRPr="00E351ED" w14:paraId="76C1FAB6" w14:textId="77777777" w:rsidTr="00627994">
        <w:trPr>
          <w:trHeight w:val="170"/>
        </w:trPr>
        <w:tc>
          <w:tcPr>
            <w:tcW w:w="5111" w:type="dxa"/>
          </w:tcPr>
          <w:p w14:paraId="7EC6FF76" w14:textId="5D379A34" w:rsidR="00627994" w:rsidRPr="00E351ED" w:rsidRDefault="00627994" w:rsidP="00B15944">
            <w:pPr>
              <w:suppressAutoHyphens/>
              <w:autoSpaceDE w:val="0"/>
              <w:autoSpaceDN w:val="0"/>
              <w:adjustRightInd w:val="0"/>
              <w:spacing w:before="20" w:after="20"/>
              <w:textAlignment w:val="center"/>
              <w:rPr>
                <w:rFonts w:asciiTheme="majorHAnsi" w:hAnsiTheme="majorHAnsi"/>
                <w:color w:val="1C1C1C"/>
                <w:sz w:val="14"/>
                <w:szCs w:val="14"/>
              </w:rPr>
            </w:pPr>
            <w:r w:rsidRPr="00E351ED">
              <w:rPr>
                <w:rFonts w:asciiTheme="majorHAnsi" w:hAnsiTheme="majorHAnsi"/>
                <w:color w:val="1C1C1C"/>
                <w:sz w:val="14"/>
                <w:szCs w:val="14"/>
              </w:rPr>
              <w:t>Note 1.2</w:t>
            </w:r>
            <w:r>
              <w:rPr>
                <w:rFonts w:asciiTheme="majorHAnsi" w:hAnsiTheme="majorHAnsi"/>
                <w:color w:val="1C1C1C"/>
                <w:sz w:val="14"/>
                <w:szCs w:val="14"/>
              </w:rPr>
              <w:t>D</w:t>
            </w:r>
            <w:r w:rsidRPr="00E351ED">
              <w:rPr>
                <w:rFonts w:asciiTheme="majorHAnsi" w:hAnsiTheme="majorHAnsi"/>
                <w:color w:val="1C1C1C"/>
                <w:sz w:val="14"/>
                <w:szCs w:val="14"/>
              </w:rPr>
              <w:t xml:space="preserve">: </w:t>
            </w:r>
            <w:r>
              <w:rPr>
                <w:rFonts w:asciiTheme="majorHAnsi" w:hAnsiTheme="majorHAnsi"/>
                <w:color w:val="1C1C1C"/>
                <w:sz w:val="14"/>
                <w:szCs w:val="14"/>
              </w:rPr>
              <w:t xml:space="preserve">Revenue from </w:t>
            </w:r>
            <w:r w:rsidRPr="006B4D85">
              <w:rPr>
                <w:rFonts w:asciiTheme="majorHAnsi" w:hAnsiTheme="majorHAnsi"/>
                <w:color w:val="1C1C1C"/>
                <w:sz w:val="14"/>
                <w:szCs w:val="14"/>
              </w:rPr>
              <w:t>Government</w:t>
            </w:r>
          </w:p>
        </w:tc>
        <w:tc>
          <w:tcPr>
            <w:tcW w:w="992" w:type="dxa"/>
            <w:tcBorders>
              <w:right w:val="single" w:sz="18" w:space="0" w:color="FFFFFF" w:themeColor="background2"/>
            </w:tcBorders>
          </w:tcPr>
          <w:p w14:paraId="334341BC" w14:textId="77777777" w:rsidR="00627994" w:rsidRPr="00E351ED" w:rsidRDefault="00627994"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363DAA7B" w14:textId="77777777" w:rsidR="00627994" w:rsidRPr="00E351ED" w:rsidRDefault="00627994" w:rsidP="00B15944">
            <w:pPr>
              <w:autoSpaceDE w:val="0"/>
              <w:autoSpaceDN w:val="0"/>
              <w:adjustRightInd w:val="0"/>
              <w:spacing w:before="20" w:after="20"/>
              <w:jc w:val="right"/>
              <w:rPr>
                <w:color w:val="1C1C1C"/>
                <w:sz w:val="14"/>
                <w:szCs w:val="14"/>
              </w:rPr>
            </w:pPr>
          </w:p>
        </w:tc>
      </w:tr>
      <w:tr w:rsidR="00627994" w:rsidRPr="006B4D85" w14:paraId="426FB721" w14:textId="77777777" w:rsidTr="00B15944">
        <w:trPr>
          <w:trHeight w:val="170"/>
        </w:trPr>
        <w:tc>
          <w:tcPr>
            <w:tcW w:w="5111" w:type="dxa"/>
          </w:tcPr>
          <w:p w14:paraId="0ABC03A5" w14:textId="77777777" w:rsidR="00627994" w:rsidRPr="006B4D85" w:rsidRDefault="00627994" w:rsidP="00B15944">
            <w:pPr>
              <w:suppressAutoHyphens/>
              <w:autoSpaceDE w:val="0"/>
              <w:autoSpaceDN w:val="0"/>
              <w:adjustRightInd w:val="0"/>
              <w:spacing w:before="20" w:after="20"/>
              <w:textAlignment w:val="center"/>
              <w:rPr>
                <w:rFonts w:cs="Futura PT Book"/>
                <w:color w:val="1C1C1C"/>
                <w:sz w:val="14"/>
                <w:szCs w:val="14"/>
                <w:lang w:val="en-US"/>
              </w:rPr>
            </w:pPr>
            <w:r w:rsidRPr="006B4D85">
              <w:rPr>
                <w:color w:val="1C1C1C"/>
                <w:sz w:val="14"/>
                <w:szCs w:val="14"/>
              </w:rPr>
              <w:t>Amounts from Department of Health</w:t>
            </w:r>
          </w:p>
        </w:tc>
        <w:tc>
          <w:tcPr>
            <w:tcW w:w="992" w:type="dxa"/>
            <w:tcBorders>
              <w:bottom w:val="single" w:sz="2" w:space="0" w:color="auto"/>
              <w:right w:val="single" w:sz="18" w:space="0" w:color="FFFFFF" w:themeColor="background2"/>
            </w:tcBorders>
          </w:tcPr>
          <w:p w14:paraId="69E4773A" w14:textId="7EE9E4EF" w:rsidR="00627994" w:rsidRPr="006B4D85" w:rsidRDefault="00627994" w:rsidP="00B15944">
            <w:pPr>
              <w:autoSpaceDE w:val="0"/>
              <w:autoSpaceDN w:val="0"/>
              <w:adjustRightInd w:val="0"/>
              <w:spacing w:before="20" w:after="20"/>
              <w:jc w:val="right"/>
              <w:rPr>
                <w:rFonts w:asciiTheme="majorHAnsi" w:hAnsiTheme="majorHAnsi"/>
                <w:color w:val="1C1C1C"/>
                <w:sz w:val="14"/>
                <w:szCs w:val="14"/>
              </w:rPr>
            </w:pPr>
            <w:r w:rsidRPr="006B4D85">
              <w:rPr>
                <w:rFonts w:asciiTheme="majorHAnsi" w:hAnsiTheme="majorHAnsi" w:cs="Calibri"/>
                <w:sz w:val="14"/>
                <w:szCs w:val="14"/>
              </w:rPr>
              <w:t>18,359</w:t>
            </w:r>
          </w:p>
        </w:tc>
        <w:tc>
          <w:tcPr>
            <w:tcW w:w="993" w:type="dxa"/>
            <w:tcBorders>
              <w:left w:val="single" w:sz="18" w:space="0" w:color="FFFFFF" w:themeColor="background2"/>
              <w:bottom w:val="single" w:sz="2" w:space="0" w:color="auto"/>
            </w:tcBorders>
          </w:tcPr>
          <w:p w14:paraId="7CBEE54D" w14:textId="1C38D714" w:rsidR="00627994" w:rsidRPr="006B4D85" w:rsidRDefault="00627994" w:rsidP="00B15944">
            <w:pPr>
              <w:autoSpaceDE w:val="0"/>
              <w:autoSpaceDN w:val="0"/>
              <w:adjustRightInd w:val="0"/>
              <w:spacing w:before="20" w:after="20"/>
              <w:jc w:val="right"/>
              <w:rPr>
                <w:color w:val="1C1C1C"/>
                <w:sz w:val="14"/>
                <w:szCs w:val="14"/>
              </w:rPr>
            </w:pPr>
            <w:r w:rsidRPr="006B4D85">
              <w:rPr>
                <w:rFonts w:cs="Calibri"/>
                <w:sz w:val="14"/>
                <w:szCs w:val="14"/>
              </w:rPr>
              <w:t>13,744</w:t>
            </w:r>
          </w:p>
        </w:tc>
      </w:tr>
      <w:tr w:rsidR="00627994" w:rsidRPr="006B4D85" w14:paraId="235A1BB7" w14:textId="77777777" w:rsidTr="00B15944">
        <w:trPr>
          <w:trHeight w:val="170"/>
        </w:trPr>
        <w:tc>
          <w:tcPr>
            <w:tcW w:w="5111" w:type="dxa"/>
          </w:tcPr>
          <w:p w14:paraId="52D14614" w14:textId="77777777" w:rsidR="00627994" w:rsidRPr="006B4D85" w:rsidRDefault="00627994"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6B4D85">
              <w:rPr>
                <w:rFonts w:asciiTheme="majorHAnsi" w:hAnsiTheme="majorHAnsi"/>
                <w:color w:val="1C1C1C"/>
                <w:sz w:val="14"/>
                <w:szCs w:val="14"/>
              </w:rPr>
              <w:t>Total revenue from Government</w:t>
            </w:r>
          </w:p>
        </w:tc>
        <w:tc>
          <w:tcPr>
            <w:tcW w:w="992" w:type="dxa"/>
            <w:tcBorders>
              <w:top w:val="single" w:sz="2" w:space="0" w:color="auto"/>
              <w:bottom w:val="single" w:sz="2" w:space="0" w:color="auto"/>
              <w:right w:val="single" w:sz="18" w:space="0" w:color="FFFFFF" w:themeColor="background2"/>
            </w:tcBorders>
          </w:tcPr>
          <w:p w14:paraId="417A45FB" w14:textId="6F86DCEC" w:rsidR="00627994" w:rsidRPr="006B4D85" w:rsidRDefault="00627994"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6B4D85">
              <w:rPr>
                <w:rFonts w:asciiTheme="majorHAnsi" w:hAnsiTheme="majorHAnsi" w:cs="Calibri"/>
                <w:sz w:val="14"/>
                <w:szCs w:val="14"/>
              </w:rPr>
              <w:t>18,359</w:t>
            </w:r>
          </w:p>
        </w:tc>
        <w:tc>
          <w:tcPr>
            <w:tcW w:w="993" w:type="dxa"/>
            <w:tcBorders>
              <w:top w:val="single" w:sz="2" w:space="0" w:color="auto"/>
              <w:left w:val="single" w:sz="18" w:space="0" w:color="FFFFFF" w:themeColor="background2"/>
              <w:bottom w:val="single" w:sz="2" w:space="0" w:color="auto"/>
            </w:tcBorders>
          </w:tcPr>
          <w:p w14:paraId="0ADB8A6D" w14:textId="4C84CD19" w:rsidR="00627994" w:rsidRPr="006B4D85" w:rsidRDefault="00627994" w:rsidP="00B15944">
            <w:pPr>
              <w:suppressAutoHyphens/>
              <w:autoSpaceDE w:val="0"/>
              <w:autoSpaceDN w:val="0"/>
              <w:adjustRightInd w:val="0"/>
              <w:spacing w:before="20" w:after="20"/>
              <w:jc w:val="right"/>
              <w:textAlignment w:val="center"/>
              <w:rPr>
                <w:rFonts w:cs="Futura PT Book"/>
                <w:color w:val="1C1C1C"/>
                <w:sz w:val="14"/>
                <w:szCs w:val="14"/>
                <w:lang w:val="en-US"/>
              </w:rPr>
            </w:pPr>
            <w:r w:rsidRPr="006B4D85">
              <w:rPr>
                <w:rFonts w:cs="Calibri"/>
                <w:sz w:val="14"/>
                <w:szCs w:val="14"/>
              </w:rPr>
              <w:t>13,744</w:t>
            </w:r>
          </w:p>
        </w:tc>
      </w:tr>
      <w:tr w:rsidR="00627994" w:rsidRPr="006B4D85" w14:paraId="793B9B70" w14:textId="77777777" w:rsidTr="00B15944">
        <w:trPr>
          <w:trHeight w:val="57"/>
        </w:trPr>
        <w:tc>
          <w:tcPr>
            <w:tcW w:w="5111" w:type="dxa"/>
          </w:tcPr>
          <w:p w14:paraId="4B1CA11F" w14:textId="77777777" w:rsidR="00627994" w:rsidRPr="006B4D85" w:rsidRDefault="00627994"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245E108F" w14:textId="77777777" w:rsidR="00627994" w:rsidRPr="006B4D85" w:rsidRDefault="00627994" w:rsidP="00B15944">
            <w:pPr>
              <w:suppressAutoHyphens/>
              <w:autoSpaceDE w:val="0"/>
              <w:autoSpaceDN w:val="0"/>
              <w:adjustRightInd w:val="0"/>
              <w:spacing w:before="20" w:after="20"/>
              <w:jc w:val="right"/>
              <w:textAlignment w:val="center"/>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7ADFFD0" w14:textId="77777777" w:rsidR="00627994" w:rsidRPr="006B4D85" w:rsidRDefault="00627994" w:rsidP="00B15944">
            <w:pPr>
              <w:suppressAutoHyphens/>
              <w:autoSpaceDE w:val="0"/>
              <w:autoSpaceDN w:val="0"/>
              <w:adjustRightInd w:val="0"/>
              <w:spacing w:before="20" w:after="20"/>
              <w:jc w:val="right"/>
              <w:textAlignment w:val="center"/>
              <w:rPr>
                <w:color w:val="1C1C1C"/>
                <w:sz w:val="4"/>
                <w:szCs w:val="4"/>
              </w:rPr>
            </w:pPr>
          </w:p>
        </w:tc>
      </w:tr>
    </w:tbl>
    <w:p w14:paraId="355E25B2" w14:textId="77777777" w:rsidR="0010025B" w:rsidRPr="006B4D85" w:rsidRDefault="0010025B" w:rsidP="0010025B">
      <w:pPr>
        <w:pStyle w:val="Body"/>
      </w:pPr>
    </w:p>
    <w:tbl>
      <w:tblPr>
        <w:tblStyle w:val="TableGrid1"/>
        <w:tblW w:w="4993" w:type="pct"/>
        <w:tblCellMar>
          <w:top w:w="57" w:type="dxa"/>
          <w:bottom w:w="57" w:type="dxa"/>
        </w:tblCellMar>
        <w:tblLook w:val="04A0" w:firstRow="1" w:lastRow="0" w:firstColumn="1" w:lastColumn="0" w:noHBand="0" w:noVBand="1"/>
        <w:tblCaption w:val="Note 1.2C"/>
        <w:tblDescription w:val="Accounting policy"/>
      </w:tblPr>
      <w:tblGrid>
        <w:gridCol w:w="7690"/>
      </w:tblGrid>
      <w:tr w:rsidR="0010025B" w14:paraId="48BC8227" w14:textId="77777777" w:rsidTr="00B15944">
        <w:trPr>
          <w:tblHeader/>
        </w:trPr>
        <w:tc>
          <w:tcPr>
            <w:tcW w:w="5000" w:type="pct"/>
          </w:tcPr>
          <w:p w14:paraId="77D8EF1C" w14:textId="77777777" w:rsidR="0010025B" w:rsidRPr="006B4D85" w:rsidRDefault="0010025B" w:rsidP="00B15944">
            <w:pPr>
              <w:pStyle w:val="Body"/>
              <w:spacing w:after="120" w:line="288" w:lineRule="auto"/>
              <w:rPr>
                <w:rFonts w:asciiTheme="majorHAnsi" w:hAnsiTheme="majorHAnsi"/>
              </w:rPr>
            </w:pPr>
            <w:r w:rsidRPr="006B4D85">
              <w:rPr>
                <w:rFonts w:asciiTheme="majorHAnsi" w:hAnsiTheme="majorHAnsi"/>
              </w:rPr>
              <w:t>Accounting Policy</w:t>
            </w:r>
          </w:p>
          <w:p w14:paraId="5859F005" w14:textId="77777777" w:rsidR="0010025B" w:rsidRPr="006B4D85" w:rsidRDefault="0010025B" w:rsidP="00B15944">
            <w:pPr>
              <w:pStyle w:val="Body"/>
              <w:spacing w:after="120" w:line="288" w:lineRule="auto"/>
              <w:rPr>
                <w:b/>
                <w:bCs/>
              </w:rPr>
            </w:pPr>
            <w:r w:rsidRPr="006B4D85">
              <w:rPr>
                <w:b/>
                <w:bCs/>
              </w:rPr>
              <w:t xml:space="preserve">Revenue from Government </w:t>
            </w:r>
          </w:p>
          <w:p w14:paraId="0D59CA8F" w14:textId="20290704" w:rsidR="0010025B" w:rsidRPr="00627994" w:rsidRDefault="007A6E31" w:rsidP="00B15944">
            <w:pPr>
              <w:pStyle w:val="Body"/>
              <w:spacing w:line="288" w:lineRule="auto"/>
              <w:rPr>
                <w:lang w:val="en-PH"/>
              </w:rPr>
            </w:pPr>
            <w:r w:rsidRPr="006B4D85">
              <w:t>Funding received or receivable from non-corporate Commonwealth entities is recognised as Revenue from Government by IHPA unless the funding is in the nature of an equity injection or a loan.</w:t>
            </w:r>
          </w:p>
        </w:tc>
      </w:tr>
    </w:tbl>
    <w:p w14:paraId="70E9D1AB" w14:textId="7DF84F3A" w:rsidR="00C2709B" w:rsidRDefault="00C2709B" w:rsidP="008664C1">
      <w:pPr>
        <w:pStyle w:val="Body"/>
        <w:rPr>
          <w:color w:val="292929"/>
        </w:rPr>
      </w:pPr>
    </w:p>
    <w:p w14:paraId="3A045DE8" w14:textId="77777777" w:rsidR="0010025B" w:rsidRDefault="0010025B" w:rsidP="008664C1">
      <w:pPr>
        <w:pStyle w:val="Body"/>
        <w:rPr>
          <w:color w:val="292929"/>
        </w:rPr>
      </w:pPr>
    </w:p>
    <w:p w14:paraId="186407F1" w14:textId="77777777" w:rsidR="0010025B" w:rsidRDefault="0010025B" w:rsidP="008664C1">
      <w:pPr>
        <w:pStyle w:val="Body"/>
        <w:rPr>
          <w:color w:val="292929"/>
        </w:rPr>
        <w:sectPr w:rsidR="0010025B" w:rsidSect="00441579">
          <w:footerReference w:type="default" r:id="rId193"/>
          <w:pgSz w:w="9979" w:h="14175"/>
          <w:pgMar w:top="1134" w:right="1134" w:bottom="1134" w:left="1134" w:header="709" w:footer="709" w:gutter="0"/>
          <w:cols w:space="708"/>
          <w:docGrid w:linePitch="360"/>
        </w:sectPr>
      </w:pPr>
    </w:p>
    <w:p w14:paraId="0A21A072" w14:textId="77777777" w:rsidR="004F21B4" w:rsidRDefault="004F21B4" w:rsidP="004F21B4">
      <w:pPr>
        <w:pStyle w:val="H3Financials"/>
      </w:pPr>
      <w:bookmarkStart w:id="149" w:name="_Toc83220566"/>
      <w:bookmarkStart w:id="150" w:name="_Toc112133284"/>
      <w:bookmarkStart w:id="151" w:name="_Toc114824710"/>
      <w:r>
        <w:t>Financial position</w:t>
      </w:r>
      <w:bookmarkEnd w:id="149"/>
      <w:bookmarkEnd w:id="150"/>
      <w:bookmarkEnd w:id="151"/>
    </w:p>
    <w:p w14:paraId="4714EAD6" w14:textId="77777777" w:rsidR="004F21B4" w:rsidRPr="008C05CE" w:rsidRDefault="004F21B4" w:rsidP="004F21B4">
      <w:pPr>
        <w:pStyle w:val="Body"/>
      </w:pPr>
      <w:r w:rsidRPr="008C05CE">
        <w:t>This section analyses the IHPA's assets used to conduct its operations and the operating liabilities incurred as</w:t>
      </w:r>
      <w:r>
        <w:t> </w:t>
      </w:r>
      <w:r w:rsidRPr="008C05CE">
        <w:t>a</w:t>
      </w:r>
      <w:r>
        <w:t> </w:t>
      </w:r>
      <w:r w:rsidRPr="008C05CE">
        <w:t>result. Employee-related information is disclosed in the People and Relationships section.</w:t>
      </w:r>
    </w:p>
    <w:p w14:paraId="08820124" w14:textId="77777777" w:rsidR="004F21B4" w:rsidRDefault="004F21B4" w:rsidP="004F21B4">
      <w:pPr>
        <w:pStyle w:val="H4Financials"/>
      </w:pPr>
      <w:bookmarkStart w:id="152" w:name="_Toc83220567"/>
      <w:bookmarkStart w:id="153" w:name="_Toc114824711"/>
      <w:r>
        <w:t>Note 2.1 Financial assets</w:t>
      </w:r>
      <w:bookmarkEnd w:id="152"/>
      <w:bookmarkEnd w:id="153"/>
    </w:p>
    <w:tbl>
      <w:tblPr>
        <w:tblStyle w:val="IHPA"/>
        <w:tblW w:w="7096" w:type="dxa"/>
        <w:tblLayout w:type="fixed"/>
        <w:tblLook w:val="0020" w:firstRow="1" w:lastRow="0" w:firstColumn="0" w:lastColumn="0" w:noHBand="0" w:noVBand="0"/>
        <w:tblCaption w:val="Note 2.1A"/>
        <w:tblDescription w:val="Cash and cash equivalents"/>
      </w:tblPr>
      <w:tblGrid>
        <w:gridCol w:w="5111"/>
        <w:gridCol w:w="992"/>
        <w:gridCol w:w="993"/>
      </w:tblGrid>
      <w:tr w:rsidR="004F21B4" w:rsidRPr="00F31138" w14:paraId="101F8B65" w14:textId="77777777" w:rsidTr="00B15944">
        <w:trPr>
          <w:trHeight w:val="373"/>
        </w:trPr>
        <w:tc>
          <w:tcPr>
            <w:tcW w:w="5111" w:type="dxa"/>
          </w:tcPr>
          <w:p w14:paraId="7E727D0B" w14:textId="77777777" w:rsidR="004F21B4" w:rsidRPr="00F31138" w:rsidRDefault="004F21B4"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09340D54" w14:textId="2E24D1E1" w:rsidR="004F21B4" w:rsidRPr="00F31138" w:rsidRDefault="004F21B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F31138">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2</w:t>
            </w:r>
            <w:r w:rsidRPr="00F31138">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2CF00C95" w14:textId="391CCFBA" w:rsidR="004F21B4" w:rsidRPr="00F31138" w:rsidRDefault="004F21B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F31138">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21</w:t>
            </w:r>
            <w:r w:rsidRPr="00F31138">
              <w:rPr>
                <w:rFonts w:asciiTheme="majorHAnsi" w:hAnsiTheme="majorHAnsi" w:cs="Futura PT Heavy"/>
                <w:color w:val="1C1C1C"/>
                <w:sz w:val="16"/>
                <w:szCs w:val="16"/>
                <w:lang w:val="en-US"/>
              </w:rPr>
              <w:br/>
              <w:t>$’000</w:t>
            </w:r>
          </w:p>
        </w:tc>
      </w:tr>
      <w:tr w:rsidR="004F21B4" w:rsidRPr="00F31138" w14:paraId="7386B62D" w14:textId="77777777" w:rsidTr="00B15944">
        <w:trPr>
          <w:trHeight w:val="170"/>
        </w:trPr>
        <w:tc>
          <w:tcPr>
            <w:tcW w:w="5111" w:type="dxa"/>
          </w:tcPr>
          <w:p w14:paraId="25335E4F" w14:textId="77777777" w:rsidR="004F21B4" w:rsidRPr="00F31138" w:rsidRDefault="004F21B4"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F31138">
              <w:rPr>
                <w:rFonts w:asciiTheme="majorHAnsi" w:hAnsiTheme="majorHAnsi"/>
                <w:color w:val="1C1C1C"/>
                <w:sz w:val="14"/>
                <w:szCs w:val="14"/>
              </w:rPr>
              <w:t xml:space="preserve">Note 2.1A: Cash and </w:t>
            </w:r>
            <w:r>
              <w:rPr>
                <w:rFonts w:asciiTheme="majorHAnsi" w:hAnsiTheme="majorHAnsi"/>
                <w:color w:val="1C1C1C"/>
                <w:sz w:val="14"/>
                <w:szCs w:val="14"/>
              </w:rPr>
              <w:t>c</w:t>
            </w:r>
            <w:r w:rsidRPr="00F31138">
              <w:rPr>
                <w:rFonts w:asciiTheme="majorHAnsi" w:hAnsiTheme="majorHAnsi"/>
                <w:color w:val="1C1C1C"/>
                <w:sz w:val="14"/>
                <w:szCs w:val="14"/>
              </w:rPr>
              <w:t xml:space="preserve">ash </w:t>
            </w:r>
            <w:r>
              <w:rPr>
                <w:rFonts w:asciiTheme="majorHAnsi" w:hAnsiTheme="majorHAnsi"/>
                <w:color w:val="1C1C1C"/>
                <w:sz w:val="14"/>
                <w:szCs w:val="14"/>
              </w:rPr>
              <w:t>e</w:t>
            </w:r>
            <w:r w:rsidRPr="00F31138">
              <w:rPr>
                <w:rFonts w:asciiTheme="majorHAnsi" w:hAnsiTheme="majorHAnsi"/>
                <w:color w:val="1C1C1C"/>
                <w:sz w:val="14"/>
                <w:szCs w:val="14"/>
              </w:rPr>
              <w:t>quivalents</w:t>
            </w:r>
          </w:p>
        </w:tc>
        <w:tc>
          <w:tcPr>
            <w:tcW w:w="992" w:type="dxa"/>
            <w:tcBorders>
              <w:top w:val="single" w:sz="12" w:space="0" w:color="auto"/>
              <w:right w:val="single" w:sz="18" w:space="0" w:color="FFFFFF" w:themeColor="background2"/>
            </w:tcBorders>
          </w:tcPr>
          <w:p w14:paraId="3EB5D484" w14:textId="77777777" w:rsidR="004F21B4" w:rsidRPr="00F31138" w:rsidRDefault="004F21B4"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60A6A14B" w14:textId="77777777" w:rsidR="004F21B4" w:rsidRPr="00F31138" w:rsidRDefault="004F21B4" w:rsidP="00B15944">
            <w:pPr>
              <w:autoSpaceDE w:val="0"/>
              <w:autoSpaceDN w:val="0"/>
              <w:adjustRightInd w:val="0"/>
              <w:spacing w:before="20" w:after="20"/>
              <w:jc w:val="right"/>
              <w:rPr>
                <w:color w:val="1C1C1C"/>
                <w:sz w:val="14"/>
                <w:szCs w:val="14"/>
              </w:rPr>
            </w:pPr>
          </w:p>
        </w:tc>
      </w:tr>
      <w:tr w:rsidR="004F21B4" w:rsidRPr="00F31138" w14:paraId="6AAD4171" w14:textId="77777777" w:rsidTr="00B15944">
        <w:trPr>
          <w:trHeight w:val="170"/>
        </w:trPr>
        <w:tc>
          <w:tcPr>
            <w:tcW w:w="5111" w:type="dxa"/>
          </w:tcPr>
          <w:p w14:paraId="1207C6D3" w14:textId="77777777" w:rsidR="004F21B4" w:rsidRPr="00F31138" w:rsidRDefault="004F21B4" w:rsidP="00B15944">
            <w:pPr>
              <w:suppressAutoHyphens/>
              <w:autoSpaceDE w:val="0"/>
              <w:autoSpaceDN w:val="0"/>
              <w:adjustRightInd w:val="0"/>
              <w:spacing w:before="20" w:after="20"/>
              <w:textAlignment w:val="center"/>
              <w:rPr>
                <w:rFonts w:cs="Futura PT Book"/>
                <w:color w:val="1C1C1C"/>
                <w:sz w:val="14"/>
                <w:szCs w:val="14"/>
                <w:lang w:val="en-US"/>
              </w:rPr>
            </w:pPr>
            <w:r w:rsidRPr="00F31138">
              <w:rPr>
                <w:color w:val="1C1C1C"/>
                <w:sz w:val="14"/>
                <w:szCs w:val="14"/>
              </w:rPr>
              <w:t>Cash on deposit</w:t>
            </w:r>
          </w:p>
        </w:tc>
        <w:tc>
          <w:tcPr>
            <w:tcW w:w="992" w:type="dxa"/>
            <w:tcBorders>
              <w:bottom w:val="single" w:sz="2" w:space="0" w:color="auto"/>
              <w:right w:val="single" w:sz="18" w:space="0" w:color="FFFFFF" w:themeColor="background2"/>
            </w:tcBorders>
          </w:tcPr>
          <w:p w14:paraId="4F634479" w14:textId="2861D37C" w:rsidR="004F21B4" w:rsidRPr="008C05CE" w:rsidRDefault="004F21B4"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8C05CE">
              <w:rPr>
                <w:rFonts w:asciiTheme="majorHAnsi" w:hAnsiTheme="majorHAnsi" w:cs="Calibri"/>
                <w:sz w:val="14"/>
                <w:szCs w:val="14"/>
              </w:rPr>
              <w:t>16,</w:t>
            </w:r>
            <w:r>
              <w:rPr>
                <w:rFonts w:asciiTheme="majorHAnsi" w:hAnsiTheme="majorHAnsi" w:cs="Calibri"/>
                <w:sz w:val="14"/>
                <w:szCs w:val="14"/>
              </w:rPr>
              <w:t>079</w:t>
            </w:r>
          </w:p>
        </w:tc>
        <w:tc>
          <w:tcPr>
            <w:tcW w:w="993" w:type="dxa"/>
            <w:tcBorders>
              <w:left w:val="single" w:sz="18" w:space="0" w:color="FFFFFF" w:themeColor="background2"/>
              <w:bottom w:val="single" w:sz="2" w:space="0" w:color="auto"/>
            </w:tcBorders>
          </w:tcPr>
          <w:p w14:paraId="2E46BC29" w14:textId="67B9500E" w:rsidR="004F21B4" w:rsidRPr="008C05CE" w:rsidRDefault="004F21B4" w:rsidP="00B15944">
            <w:pPr>
              <w:suppressAutoHyphens/>
              <w:autoSpaceDE w:val="0"/>
              <w:autoSpaceDN w:val="0"/>
              <w:adjustRightInd w:val="0"/>
              <w:spacing w:before="20" w:after="20"/>
              <w:jc w:val="right"/>
              <w:textAlignment w:val="center"/>
              <w:rPr>
                <w:rFonts w:cs="Futura PT Book"/>
                <w:color w:val="1C1C1C"/>
                <w:sz w:val="14"/>
                <w:szCs w:val="14"/>
                <w:lang w:val="en-US"/>
              </w:rPr>
            </w:pPr>
            <w:r w:rsidRPr="008C05CE">
              <w:rPr>
                <w:rFonts w:cs="Calibri"/>
                <w:sz w:val="14"/>
                <w:szCs w:val="14"/>
              </w:rPr>
              <w:t>1</w:t>
            </w:r>
            <w:r>
              <w:rPr>
                <w:rFonts w:cs="Calibri"/>
                <w:sz w:val="14"/>
                <w:szCs w:val="14"/>
              </w:rPr>
              <w:t>6</w:t>
            </w:r>
            <w:r w:rsidRPr="008C05CE">
              <w:rPr>
                <w:rFonts w:cs="Calibri"/>
                <w:sz w:val="14"/>
                <w:szCs w:val="14"/>
              </w:rPr>
              <w:t>,</w:t>
            </w:r>
            <w:r>
              <w:rPr>
                <w:rFonts w:cs="Calibri"/>
                <w:sz w:val="14"/>
                <w:szCs w:val="14"/>
              </w:rPr>
              <w:t>251</w:t>
            </w:r>
          </w:p>
        </w:tc>
      </w:tr>
      <w:tr w:rsidR="004F21B4" w:rsidRPr="00F31138" w14:paraId="1077A46E" w14:textId="77777777" w:rsidTr="00B15944">
        <w:trPr>
          <w:trHeight w:val="170"/>
        </w:trPr>
        <w:tc>
          <w:tcPr>
            <w:tcW w:w="5111" w:type="dxa"/>
          </w:tcPr>
          <w:p w14:paraId="13B47002" w14:textId="77777777" w:rsidR="004F21B4" w:rsidRPr="00F31138" w:rsidRDefault="004F21B4"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F31138">
              <w:rPr>
                <w:rFonts w:asciiTheme="majorHAnsi" w:hAnsiTheme="majorHAnsi"/>
                <w:color w:val="1C1C1C"/>
                <w:sz w:val="14"/>
                <w:szCs w:val="14"/>
              </w:rPr>
              <w:t>Total cash and cash equivalents</w:t>
            </w:r>
          </w:p>
        </w:tc>
        <w:tc>
          <w:tcPr>
            <w:tcW w:w="992" w:type="dxa"/>
            <w:tcBorders>
              <w:top w:val="single" w:sz="2" w:space="0" w:color="auto"/>
              <w:bottom w:val="single" w:sz="2" w:space="0" w:color="auto"/>
              <w:right w:val="single" w:sz="18" w:space="0" w:color="FFFFFF" w:themeColor="background2"/>
            </w:tcBorders>
          </w:tcPr>
          <w:p w14:paraId="0C39BC0B" w14:textId="7D51B73E" w:rsidR="004F21B4" w:rsidRPr="008C05CE" w:rsidRDefault="004F21B4" w:rsidP="00B15944">
            <w:pPr>
              <w:autoSpaceDE w:val="0"/>
              <w:autoSpaceDN w:val="0"/>
              <w:adjustRightInd w:val="0"/>
              <w:spacing w:before="20" w:after="20"/>
              <w:jc w:val="right"/>
              <w:rPr>
                <w:rFonts w:asciiTheme="majorHAnsi" w:hAnsiTheme="majorHAnsi"/>
                <w:color w:val="1C1C1C"/>
                <w:sz w:val="14"/>
                <w:szCs w:val="14"/>
              </w:rPr>
            </w:pPr>
            <w:r w:rsidRPr="008C05CE">
              <w:rPr>
                <w:rFonts w:asciiTheme="majorHAnsi" w:hAnsiTheme="majorHAnsi" w:cs="Calibri"/>
                <w:sz w:val="14"/>
                <w:szCs w:val="14"/>
              </w:rPr>
              <w:t>16,</w:t>
            </w:r>
            <w:r>
              <w:rPr>
                <w:rFonts w:asciiTheme="majorHAnsi" w:hAnsiTheme="majorHAnsi" w:cs="Calibri"/>
                <w:sz w:val="14"/>
                <w:szCs w:val="14"/>
              </w:rPr>
              <w:t>079</w:t>
            </w:r>
          </w:p>
        </w:tc>
        <w:tc>
          <w:tcPr>
            <w:tcW w:w="993" w:type="dxa"/>
            <w:tcBorders>
              <w:top w:val="single" w:sz="2" w:space="0" w:color="auto"/>
              <w:left w:val="single" w:sz="18" w:space="0" w:color="FFFFFF" w:themeColor="background2"/>
              <w:bottom w:val="single" w:sz="2" w:space="0" w:color="auto"/>
            </w:tcBorders>
          </w:tcPr>
          <w:p w14:paraId="1DEFB822" w14:textId="4E1A0C53" w:rsidR="004F21B4" w:rsidRPr="008C05CE" w:rsidRDefault="004F21B4" w:rsidP="00B15944">
            <w:pPr>
              <w:suppressAutoHyphens/>
              <w:autoSpaceDE w:val="0"/>
              <w:autoSpaceDN w:val="0"/>
              <w:adjustRightInd w:val="0"/>
              <w:spacing w:before="20" w:after="20"/>
              <w:jc w:val="right"/>
              <w:textAlignment w:val="center"/>
              <w:rPr>
                <w:rFonts w:cs="Futura PT Book"/>
                <w:color w:val="1C1C1C"/>
                <w:sz w:val="14"/>
                <w:szCs w:val="14"/>
                <w:lang w:val="en-US"/>
              </w:rPr>
            </w:pPr>
            <w:r w:rsidRPr="008C05CE">
              <w:rPr>
                <w:rFonts w:cs="Calibri"/>
                <w:sz w:val="14"/>
                <w:szCs w:val="14"/>
              </w:rPr>
              <w:t>1</w:t>
            </w:r>
            <w:r>
              <w:rPr>
                <w:rFonts w:cs="Calibri"/>
                <w:sz w:val="14"/>
                <w:szCs w:val="14"/>
              </w:rPr>
              <w:t>6</w:t>
            </w:r>
            <w:r w:rsidRPr="008C05CE">
              <w:rPr>
                <w:rFonts w:cs="Calibri"/>
                <w:sz w:val="14"/>
                <w:szCs w:val="14"/>
              </w:rPr>
              <w:t>,</w:t>
            </w:r>
            <w:r>
              <w:rPr>
                <w:rFonts w:cs="Calibri"/>
                <w:sz w:val="14"/>
                <w:szCs w:val="14"/>
              </w:rPr>
              <w:t>251</w:t>
            </w:r>
          </w:p>
        </w:tc>
      </w:tr>
      <w:tr w:rsidR="004F21B4" w:rsidRPr="00F31138" w14:paraId="2E7215BB" w14:textId="77777777" w:rsidTr="00B15944">
        <w:trPr>
          <w:trHeight w:val="57"/>
        </w:trPr>
        <w:tc>
          <w:tcPr>
            <w:tcW w:w="5111" w:type="dxa"/>
          </w:tcPr>
          <w:p w14:paraId="58EBCCA7" w14:textId="77777777" w:rsidR="004F21B4" w:rsidRPr="00F31138" w:rsidRDefault="004F21B4"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69170173" w14:textId="77777777" w:rsidR="004F21B4" w:rsidRPr="00F31138" w:rsidRDefault="004F21B4"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329F905D" w14:textId="77777777" w:rsidR="004F21B4" w:rsidRPr="00F31138" w:rsidRDefault="004F21B4" w:rsidP="00B15944">
            <w:pPr>
              <w:suppressAutoHyphens/>
              <w:autoSpaceDE w:val="0"/>
              <w:autoSpaceDN w:val="0"/>
              <w:adjustRightInd w:val="0"/>
              <w:spacing w:before="20" w:after="20"/>
              <w:jc w:val="right"/>
              <w:textAlignment w:val="center"/>
              <w:rPr>
                <w:color w:val="1C1C1C"/>
                <w:sz w:val="4"/>
                <w:szCs w:val="4"/>
              </w:rPr>
            </w:pPr>
          </w:p>
        </w:tc>
      </w:tr>
    </w:tbl>
    <w:p w14:paraId="69B86785" w14:textId="77777777" w:rsidR="004F21B4" w:rsidRDefault="004F21B4" w:rsidP="004F21B4">
      <w:pPr>
        <w:pStyle w:val="Body"/>
      </w:pPr>
    </w:p>
    <w:tbl>
      <w:tblPr>
        <w:tblStyle w:val="TableGrid1"/>
        <w:tblW w:w="4993" w:type="pct"/>
        <w:tblCellMar>
          <w:top w:w="57" w:type="dxa"/>
          <w:bottom w:w="57" w:type="dxa"/>
        </w:tblCellMar>
        <w:tblLook w:val="04A0" w:firstRow="1" w:lastRow="0" w:firstColumn="1" w:lastColumn="0" w:noHBand="0" w:noVBand="1"/>
        <w:tblCaption w:val="Note 2.1A"/>
        <w:tblDescription w:val="Accounting policy"/>
      </w:tblPr>
      <w:tblGrid>
        <w:gridCol w:w="7690"/>
      </w:tblGrid>
      <w:tr w:rsidR="004F21B4" w14:paraId="1005879C" w14:textId="77777777" w:rsidTr="00B15944">
        <w:trPr>
          <w:tblHeader/>
        </w:trPr>
        <w:tc>
          <w:tcPr>
            <w:tcW w:w="5000" w:type="pct"/>
          </w:tcPr>
          <w:p w14:paraId="6268492F" w14:textId="77777777" w:rsidR="004F21B4" w:rsidRPr="005300C0" w:rsidRDefault="004F21B4" w:rsidP="00B15944">
            <w:pPr>
              <w:pStyle w:val="Body"/>
              <w:spacing w:after="60" w:line="288" w:lineRule="auto"/>
              <w:rPr>
                <w:rFonts w:asciiTheme="majorHAnsi" w:hAnsiTheme="majorHAnsi"/>
              </w:rPr>
            </w:pPr>
            <w:r w:rsidRPr="005300C0">
              <w:rPr>
                <w:rFonts w:asciiTheme="majorHAnsi" w:hAnsiTheme="majorHAnsi"/>
              </w:rPr>
              <w:t>Accounting Policy</w:t>
            </w:r>
          </w:p>
          <w:p w14:paraId="55CC712E" w14:textId="77777777" w:rsidR="004F21B4" w:rsidRPr="00303955" w:rsidRDefault="004F21B4" w:rsidP="00B15944">
            <w:pPr>
              <w:pStyle w:val="Body"/>
              <w:spacing w:after="60" w:line="288" w:lineRule="auto"/>
              <w:rPr>
                <w:b/>
                <w:bCs/>
              </w:rPr>
            </w:pPr>
            <w:r w:rsidRPr="00303955">
              <w:rPr>
                <w:b/>
                <w:bCs/>
              </w:rPr>
              <w:t>Cash and cash equivalents</w:t>
            </w:r>
          </w:p>
          <w:p w14:paraId="0476846A" w14:textId="77777777" w:rsidR="00E5192E" w:rsidRPr="0033705A" w:rsidRDefault="00E5192E" w:rsidP="00E5192E">
            <w:pPr>
              <w:pStyle w:val="Body"/>
              <w:spacing w:after="60" w:line="288" w:lineRule="auto"/>
            </w:pPr>
            <w:r w:rsidRPr="0033705A">
              <w:t>Cash is recognised at its nominal amount. Cash and cash equivalents includes:</w:t>
            </w:r>
          </w:p>
          <w:p w14:paraId="51C29A18" w14:textId="77777777" w:rsidR="00E5192E" w:rsidRPr="0033705A" w:rsidRDefault="00E5192E">
            <w:pPr>
              <w:pStyle w:val="AlphabetListL2"/>
              <w:numPr>
                <w:ilvl w:val="0"/>
                <w:numId w:val="25"/>
              </w:numPr>
            </w:pPr>
            <w:r w:rsidRPr="008C05CE">
              <w:t>cash on hand, and</w:t>
            </w:r>
          </w:p>
          <w:p w14:paraId="39B280D7" w14:textId="319E5E6A" w:rsidR="004F21B4" w:rsidRDefault="00E5192E">
            <w:pPr>
              <w:pStyle w:val="AlphabetListL2"/>
              <w:numPr>
                <w:ilvl w:val="0"/>
                <w:numId w:val="14"/>
              </w:numPr>
            </w:pPr>
            <w:r w:rsidRPr="0033705A">
              <w:t xml:space="preserve">demand deposits in bank accounts with an original maturity of </w:t>
            </w:r>
            <w:r>
              <w:t>three</w:t>
            </w:r>
            <w:r w:rsidRPr="0033705A">
              <w:t xml:space="preserve"> months or less that are readily convertible to known amounts of cash and subject to insignificant risk of changes in value.</w:t>
            </w:r>
          </w:p>
        </w:tc>
      </w:tr>
    </w:tbl>
    <w:p w14:paraId="3F30146F" w14:textId="77777777" w:rsidR="004F21B4" w:rsidRDefault="004F21B4" w:rsidP="004F21B4">
      <w:pPr>
        <w:pStyle w:val="Body"/>
      </w:pPr>
    </w:p>
    <w:tbl>
      <w:tblPr>
        <w:tblStyle w:val="IHPA"/>
        <w:tblW w:w="7096" w:type="dxa"/>
        <w:tblLayout w:type="fixed"/>
        <w:tblLook w:val="0020" w:firstRow="1" w:lastRow="0" w:firstColumn="0" w:lastColumn="0" w:noHBand="0" w:noVBand="0"/>
        <w:tblCaption w:val="Note 2.1B"/>
        <w:tblDescription w:val="Trade and other receivables"/>
      </w:tblPr>
      <w:tblGrid>
        <w:gridCol w:w="5111"/>
        <w:gridCol w:w="992"/>
        <w:gridCol w:w="993"/>
      </w:tblGrid>
      <w:tr w:rsidR="004F21B4" w:rsidRPr="007C2232" w14:paraId="12253DBE" w14:textId="77777777" w:rsidTr="00B15944">
        <w:trPr>
          <w:trHeight w:val="340"/>
        </w:trPr>
        <w:tc>
          <w:tcPr>
            <w:tcW w:w="5111" w:type="dxa"/>
          </w:tcPr>
          <w:p w14:paraId="162010B9" w14:textId="77777777" w:rsidR="004F21B4" w:rsidRPr="007C2232" w:rsidRDefault="004F21B4"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672E3424" w14:textId="4BC93712" w:rsidR="004F21B4" w:rsidRPr="007C2232" w:rsidRDefault="004F21B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7C2232">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2</w:t>
            </w:r>
            <w:r w:rsidRPr="007C2232">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729325FD" w14:textId="57EF3116" w:rsidR="004F21B4" w:rsidRPr="007C2232" w:rsidRDefault="004F21B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7C2232">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21</w:t>
            </w:r>
            <w:r w:rsidRPr="007C2232">
              <w:rPr>
                <w:rFonts w:asciiTheme="majorHAnsi" w:hAnsiTheme="majorHAnsi" w:cs="Futura PT Heavy"/>
                <w:color w:val="1C1C1C"/>
                <w:sz w:val="16"/>
                <w:szCs w:val="16"/>
                <w:lang w:val="en-US"/>
              </w:rPr>
              <w:br/>
              <w:t>$’000</w:t>
            </w:r>
          </w:p>
        </w:tc>
      </w:tr>
      <w:tr w:rsidR="004F21B4" w:rsidRPr="007C2232" w14:paraId="7F9EE3ED" w14:textId="77777777" w:rsidTr="00B15944">
        <w:trPr>
          <w:trHeight w:val="170"/>
        </w:trPr>
        <w:tc>
          <w:tcPr>
            <w:tcW w:w="5111" w:type="dxa"/>
          </w:tcPr>
          <w:p w14:paraId="39BE6BFA"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7C2232">
              <w:rPr>
                <w:rFonts w:asciiTheme="majorHAnsi" w:hAnsiTheme="majorHAnsi"/>
                <w:color w:val="1C1C1C"/>
                <w:sz w:val="14"/>
                <w:szCs w:val="14"/>
              </w:rPr>
              <w:t xml:space="preserve">Note 2.1B: Trade and </w:t>
            </w:r>
            <w:r>
              <w:rPr>
                <w:rFonts w:asciiTheme="majorHAnsi" w:hAnsiTheme="majorHAnsi"/>
                <w:color w:val="1C1C1C"/>
                <w:sz w:val="14"/>
                <w:szCs w:val="14"/>
              </w:rPr>
              <w:t>o</w:t>
            </w:r>
            <w:r w:rsidRPr="007C2232">
              <w:rPr>
                <w:rFonts w:asciiTheme="majorHAnsi" w:hAnsiTheme="majorHAnsi"/>
                <w:color w:val="1C1C1C"/>
                <w:sz w:val="14"/>
                <w:szCs w:val="14"/>
              </w:rPr>
              <w:t xml:space="preserve">ther </w:t>
            </w:r>
            <w:r>
              <w:rPr>
                <w:rFonts w:asciiTheme="majorHAnsi" w:hAnsiTheme="majorHAnsi"/>
                <w:color w:val="1C1C1C"/>
                <w:sz w:val="14"/>
                <w:szCs w:val="14"/>
              </w:rPr>
              <w:t>r</w:t>
            </w:r>
            <w:r w:rsidRPr="007C2232">
              <w:rPr>
                <w:rFonts w:asciiTheme="majorHAnsi" w:hAnsiTheme="majorHAnsi"/>
                <w:color w:val="1C1C1C"/>
                <w:sz w:val="14"/>
                <w:szCs w:val="14"/>
              </w:rPr>
              <w:t>eceivables</w:t>
            </w:r>
          </w:p>
        </w:tc>
        <w:tc>
          <w:tcPr>
            <w:tcW w:w="992" w:type="dxa"/>
            <w:tcBorders>
              <w:top w:val="single" w:sz="12" w:space="0" w:color="auto"/>
              <w:right w:val="single" w:sz="18" w:space="0" w:color="FFFFFF" w:themeColor="background2"/>
            </w:tcBorders>
          </w:tcPr>
          <w:p w14:paraId="59413A5F" w14:textId="77777777" w:rsidR="004F21B4" w:rsidRPr="007C2232" w:rsidRDefault="004F21B4"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36694593" w14:textId="77777777" w:rsidR="004F21B4" w:rsidRPr="007C2232" w:rsidRDefault="004F21B4" w:rsidP="00B15944">
            <w:pPr>
              <w:autoSpaceDE w:val="0"/>
              <w:autoSpaceDN w:val="0"/>
              <w:adjustRightInd w:val="0"/>
              <w:spacing w:before="20" w:after="20"/>
              <w:jc w:val="right"/>
              <w:rPr>
                <w:color w:val="1C1C1C"/>
                <w:sz w:val="14"/>
                <w:szCs w:val="14"/>
              </w:rPr>
            </w:pPr>
          </w:p>
        </w:tc>
      </w:tr>
      <w:tr w:rsidR="004F21B4" w:rsidRPr="007C2232" w14:paraId="7794BFB9" w14:textId="77777777" w:rsidTr="00B15944">
        <w:trPr>
          <w:trHeight w:val="170"/>
        </w:trPr>
        <w:tc>
          <w:tcPr>
            <w:tcW w:w="5111" w:type="dxa"/>
          </w:tcPr>
          <w:p w14:paraId="0D9AFEE6"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7C2232">
              <w:rPr>
                <w:rFonts w:asciiTheme="majorHAnsi" w:hAnsiTheme="majorHAnsi"/>
                <w:color w:val="1C1C1C"/>
                <w:sz w:val="14"/>
                <w:szCs w:val="14"/>
              </w:rPr>
              <w:t>Other receivables</w:t>
            </w:r>
          </w:p>
        </w:tc>
        <w:tc>
          <w:tcPr>
            <w:tcW w:w="992" w:type="dxa"/>
            <w:tcBorders>
              <w:right w:val="single" w:sz="18" w:space="0" w:color="FFFFFF" w:themeColor="background2"/>
            </w:tcBorders>
          </w:tcPr>
          <w:p w14:paraId="0E318484" w14:textId="77777777" w:rsidR="004F21B4" w:rsidRPr="007C2232" w:rsidRDefault="004F21B4"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p>
        </w:tc>
        <w:tc>
          <w:tcPr>
            <w:tcW w:w="993" w:type="dxa"/>
            <w:tcBorders>
              <w:left w:val="single" w:sz="18" w:space="0" w:color="FFFFFF" w:themeColor="background2"/>
            </w:tcBorders>
          </w:tcPr>
          <w:p w14:paraId="1CB56FF5" w14:textId="77777777" w:rsidR="004F21B4" w:rsidRPr="007C2232" w:rsidRDefault="004F21B4" w:rsidP="00B15944">
            <w:pPr>
              <w:suppressAutoHyphens/>
              <w:autoSpaceDE w:val="0"/>
              <w:autoSpaceDN w:val="0"/>
              <w:adjustRightInd w:val="0"/>
              <w:spacing w:before="20" w:after="20"/>
              <w:jc w:val="right"/>
              <w:textAlignment w:val="center"/>
              <w:rPr>
                <w:rFonts w:cs="Futura PT Book"/>
                <w:color w:val="1C1C1C"/>
                <w:sz w:val="14"/>
                <w:szCs w:val="14"/>
                <w:lang w:val="en-US"/>
              </w:rPr>
            </w:pPr>
          </w:p>
        </w:tc>
      </w:tr>
      <w:tr w:rsidR="004F21B4" w:rsidRPr="007C2232" w14:paraId="54B8BA2F" w14:textId="77777777" w:rsidTr="00B15944">
        <w:trPr>
          <w:trHeight w:val="170"/>
        </w:trPr>
        <w:tc>
          <w:tcPr>
            <w:tcW w:w="5111" w:type="dxa"/>
          </w:tcPr>
          <w:p w14:paraId="208C257A" w14:textId="77777777" w:rsidR="004F21B4" w:rsidRPr="007C2232" w:rsidRDefault="004F21B4" w:rsidP="00B15944">
            <w:pPr>
              <w:suppressAutoHyphens/>
              <w:autoSpaceDE w:val="0"/>
              <w:autoSpaceDN w:val="0"/>
              <w:adjustRightInd w:val="0"/>
              <w:spacing w:before="20" w:after="20"/>
              <w:textAlignment w:val="center"/>
              <w:rPr>
                <w:rFonts w:cs="Futura PT Book"/>
                <w:color w:val="1C1C1C"/>
                <w:sz w:val="14"/>
                <w:szCs w:val="14"/>
                <w:lang w:val="en-US"/>
              </w:rPr>
            </w:pPr>
            <w:r w:rsidRPr="007C2232">
              <w:rPr>
                <w:color w:val="1C1C1C"/>
                <w:sz w:val="14"/>
                <w:szCs w:val="14"/>
              </w:rPr>
              <w:t>GST receivable from the Australian Taxation Office</w:t>
            </w:r>
          </w:p>
        </w:tc>
        <w:tc>
          <w:tcPr>
            <w:tcW w:w="992" w:type="dxa"/>
            <w:tcBorders>
              <w:right w:val="single" w:sz="18" w:space="0" w:color="FFFFFF" w:themeColor="background2"/>
            </w:tcBorders>
          </w:tcPr>
          <w:p w14:paraId="3B868A2B" w14:textId="5E546381" w:rsidR="004F21B4" w:rsidRPr="008C05CE" w:rsidRDefault="004F21B4"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382</w:t>
            </w:r>
          </w:p>
        </w:tc>
        <w:tc>
          <w:tcPr>
            <w:tcW w:w="993" w:type="dxa"/>
            <w:tcBorders>
              <w:left w:val="single" w:sz="18" w:space="0" w:color="FFFFFF" w:themeColor="background2"/>
            </w:tcBorders>
          </w:tcPr>
          <w:p w14:paraId="336F6D16" w14:textId="0D43F7C9" w:rsidR="004F21B4" w:rsidRPr="008C05CE" w:rsidRDefault="004F21B4" w:rsidP="00B15944">
            <w:pPr>
              <w:suppressAutoHyphens/>
              <w:autoSpaceDE w:val="0"/>
              <w:autoSpaceDN w:val="0"/>
              <w:adjustRightInd w:val="0"/>
              <w:spacing w:before="20" w:after="20"/>
              <w:jc w:val="right"/>
              <w:textAlignment w:val="center"/>
              <w:rPr>
                <w:rFonts w:cs="Futura PT Book"/>
                <w:color w:val="1C1C1C"/>
                <w:sz w:val="14"/>
                <w:szCs w:val="14"/>
                <w:lang w:val="en-US"/>
              </w:rPr>
            </w:pPr>
            <w:r>
              <w:rPr>
                <w:rFonts w:cs="Calibri"/>
                <w:sz w:val="14"/>
                <w:szCs w:val="14"/>
              </w:rPr>
              <w:t>242</w:t>
            </w:r>
          </w:p>
        </w:tc>
      </w:tr>
      <w:tr w:rsidR="004F21B4" w:rsidRPr="007C2232" w14:paraId="421BA4B7" w14:textId="77777777" w:rsidTr="00B15944">
        <w:trPr>
          <w:trHeight w:val="170"/>
        </w:trPr>
        <w:tc>
          <w:tcPr>
            <w:tcW w:w="5111" w:type="dxa"/>
          </w:tcPr>
          <w:p w14:paraId="4DCB8B12" w14:textId="77777777" w:rsidR="004F21B4" w:rsidRPr="007C2232" w:rsidRDefault="004F21B4" w:rsidP="00B15944">
            <w:pPr>
              <w:suppressAutoHyphens/>
              <w:autoSpaceDE w:val="0"/>
              <w:autoSpaceDN w:val="0"/>
              <w:adjustRightInd w:val="0"/>
              <w:spacing w:before="20" w:after="20"/>
              <w:textAlignment w:val="center"/>
              <w:rPr>
                <w:color w:val="1C1C1C"/>
                <w:sz w:val="14"/>
                <w:szCs w:val="14"/>
              </w:rPr>
            </w:pPr>
            <w:r w:rsidRPr="007C2232">
              <w:rPr>
                <w:color w:val="1C1C1C"/>
                <w:sz w:val="14"/>
                <w:szCs w:val="14"/>
              </w:rPr>
              <w:t>Other amounts receivable</w:t>
            </w:r>
          </w:p>
        </w:tc>
        <w:tc>
          <w:tcPr>
            <w:tcW w:w="992" w:type="dxa"/>
            <w:tcBorders>
              <w:bottom w:val="single" w:sz="2" w:space="0" w:color="auto"/>
              <w:right w:val="single" w:sz="18" w:space="0" w:color="FFFFFF" w:themeColor="background2"/>
            </w:tcBorders>
          </w:tcPr>
          <w:p w14:paraId="14A2FDE5" w14:textId="0FC443FE" w:rsidR="004F21B4" w:rsidRPr="008C05CE" w:rsidRDefault="004F21B4"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147</w:t>
            </w:r>
          </w:p>
        </w:tc>
        <w:tc>
          <w:tcPr>
            <w:tcW w:w="993" w:type="dxa"/>
            <w:tcBorders>
              <w:left w:val="single" w:sz="18" w:space="0" w:color="FFFFFF" w:themeColor="background2"/>
              <w:bottom w:val="single" w:sz="2" w:space="0" w:color="auto"/>
            </w:tcBorders>
          </w:tcPr>
          <w:p w14:paraId="4BF2F130" w14:textId="7153EE2C" w:rsidR="004F21B4" w:rsidRPr="008C05CE" w:rsidRDefault="004F21B4"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31</w:t>
            </w:r>
          </w:p>
        </w:tc>
      </w:tr>
      <w:tr w:rsidR="004F21B4" w:rsidRPr="007C2232" w14:paraId="53CBD8EA" w14:textId="77777777" w:rsidTr="00B15944">
        <w:trPr>
          <w:trHeight w:val="170"/>
        </w:trPr>
        <w:tc>
          <w:tcPr>
            <w:tcW w:w="5111" w:type="dxa"/>
          </w:tcPr>
          <w:p w14:paraId="398AD7FF"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Total other receivables</w:t>
            </w:r>
          </w:p>
        </w:tc>
        <w:tc>
          <w:tcPr>
            <w:tcW w:w="992" w:type="dxa"/>
            <w:tcBorders>
              <w:top w:val="single" w:sz="2" w:space="0" w:color="auto"/>
              <w:bottom w:val="single" w:sz="2" w:space="0" w:color="auto"/>
              <w:right w:val="single" w:sz="18" w:space="0" w:color="FFFFFF" w:themeColor="background2"/>
            </w:tcBorders>
          </w:tcPr>
          <w:p w14:paraId="1E8D3179" w14:textId="7D756FCC" w:rsidR="004F21B4" w:rsidRPr="008C05CE" w:rsidRDefault="004F21B4"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529</w:t>
            </w:r>
          </w:p>
        </w:tc>
        <w:tc>
          <w:tcPr>
            <w:tcW w:w="993" w:type="dxa"/>
            <w:tcBorders>
              <w:top w:val="single" w:sz="2" w:space="0" w:color="auto"/>
              <w:left w:val="single" w:sz="18" w:space="0" w:color="FFFFFF" w:themeColor="background2"/>
              <w:bottom w:val="single" w:sz="2" w:space="0" w:color="auto"/>
            </w:tcBorders>
          </w:tcPr>
          <w:p w14:paraId="29AFAEA6" w14:textId="6DD5F291" w:rsidR="004F21B4" w:rsidRPr="008C05CE" w:rsidRDefault="004F21B4"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273</w:t>
            </w:r>
          </w:p>
        </w:tc>
      </w:tr>
      <w:tr w:rsidR="004F21B4" w:rsidRPr="007C2232" w14:paraId="1FCD7385" w14:textId="77777777" w:rsidTr="00B15944">
        <w:trPr>
          <w:trHeight w:val="170"/>
        </w:trPr>
        <w:tc>
          <w:tcPr>
            <w:tcW w:w="5111" w:type="dxa"/>
          </w:tcPr>
          <w:p w14:paraId="4E4D7534"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Total trade and other receivables (gross)</w:t>
            </w:r>
          </w:p>
        </w:tc>
        <w:tc>
          <w:tcPr>
            <w:tcW w:w="992" w:type="dxa"/>
            <w:tcBorders>
              <w:top w:val="single" w:sz="2" w:space="0" w:color="auto"/>
              <w:bottom w:val="single" w:sz="2" w:space="0" w:color="auto"/>
              <w:right w:val="single" w:sz="18" w:space="0" w:color="FFFFFF" w:themeColor="background2"/>
            </w:tcBorders>
          </w:tcPr>
          <w:p w14:paraId="0C9630D3" w14:textId="56B7917D" w:rsidR="004F21B4" w:rsidRPr="008C05CE" w:rsidRDefault="004F21B4"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529</w:t>
            </w:r>
          </w:p>
        </w:tc>
        <w:tc>
          <w:tcPr>
            <w:tcW w:w="993" w:type="dxa"/>
            <w:tcBorders>
              <w:top w:val="single" w:sz="2" w:space="0" w:color="auto"/>
              <w:left w:val="single" w:sz="18" w:space="0" w:color="FFFFFF" w:themeColor="background2"/>
              <w:bottom w:val="single" w:sz="2" w:space="0" w:color="auto"/>
            </w:tcBorders>
          </w:tcPr>
          <w:p w14:paraId="78DBB576" w14:textId="35DCDF51" w:rsidR="004F21B4" w:rsidRPr="008C05CE" w:rsidRDefault="004F21B4"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273</w:t>
            </w:r>
          </w:p>
        </w:tc>
      </w:tr>
      <w:tr w:rsidR="004F21B4" w:rsidRPr="007C2232" w14:paraId="2E970E92" w14:textId="77777777" w:rsidTr="00B15944">
        <w:trPr>
          <w:trHeight w:val="170"/>
        </w:trPr>
        <w:tc>
          <w:tcPr>
            <w:tcW w:w="5111" w:type="dxa"/>
          </w:tcPr>
          <w:p w14:paraId="27D56E57"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olor w:val="1C1C1C"/>
                <w:sz w:val="14"/>
                <w:szCs w:val="14"/>
              </w:rPr>
            </w:pPr>
          </w:p>
        </w:tc>
        <w:tc>
          <w:tcPr>
            <w:tcW w:w="992" w:type="dxa"/>
            <w:tcBorders>
              <w:top w:val="single" w:sz="2" w:space="0" w:color="auto"/>
              <w:right w:val="single" w:sz="18" w:space="0" w:color="FFFFFF" w:themeColor="background2"/>
            </w:tcBorders>
          </w:tcPr>
          <w:p w14:paraId="41F6BBD9" w14:textId="77777777" w:rsidR="004F21B4" w:rsidRPr="007C2232" w:rsidRDefault="004F21B4"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31914F2C" w14:textId="77777777" w:rsidR="004F21B4" w:rsidRPr="007C2232" w:rsidRDefault="004F21B4" w:rsidP="00B15944">
            <w:pPr>
              <w:suppressAutoHyphens/>
              <w:autoSpaceDE w:val="0"/>
              <w:autoSpaceDN w:val="0"/>
              <w:adjustRightInd w:val="0"/>
              <w:spacing w:before="20" w:after="20"/>
              <w:jc w:val="right"/>
              <w:textAlignment w:val="center"/>
              <w:rPr>
                <w:color w:val="1C1C1C"/>
                <w:sz w:val="14"/>
                <w:szCs w:val="14"/>
              </w:rPr>
            </w:pPr>
          </w:p>
        </w:tc>
      </w:tr>
      <w:tr w:rsidR="004F21B4" w:rsidRPr="007C2232" w14:paraId="14D0675F" w14:textId="77777777" w:rsidTr="00B15944">
        <w:trPr>
          <w:trHeight w:val="170"/>
        </w:trPr>
        <w:tc>
          <w:tcPr>
            <w:tcW w:w="5111" w:type="dxa"/>
          </w:tcPr>
          <w:p w14:paraId="7416CABB"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Less impairment allowance</w:t>
            </w:r>
          </w:p>
        </w:tc>
        <w:tc>
          <w:tcPr>
            <w:tcW w:w="992" w:type="dxa"/>
            <w:tcBorders>
              <w:bottom w:val="single" w:sz="2" w:space="0" w:color="auto"/>
              <w:right w:val="single" w:sz="18" w:space="0" w:color="FFFFFF" w:themeColor="background2"/>
            </w:tcBorders>
          </w:tcPr>
          <w:p w14:paraId="296C6404" w14:textId="77777777" w:rsidR="004F21B4" w:rsidRPr="007C2232" w:rsidRDefault="004F21B4" w:rsidP="00B15944">
            <w:pPr>
              <w:autoSpaceDE w:val="0"/>
              <w:autoSpaceDN w:val="0"/>
              <w:adjustRightInd w:val="0"/>
              <w:spacing w:before="20" w:after="20"/>
              <w:jc w:val="right"/>
              <w:rPr>
                <w:rFonts w:asciiTheme="majorHAnsi" w:hAnsiTheme="majorHAnsi"/>
                <w:color w:val="1C1C1C"/>
                <w:sz w:val="14"/>
                <w:szCs w:val="14"/>
              </w:rPr>
            </w:pPr>
            <w:r w:rsidRPr="007C2232">
              <w:rPr>
                <w:rFonts w:asciiTheme="majorHAnsi" w:hAnsiTheme="majorHAnsi"/>
                <w:color w:val="1C1C1C"/>
                <w:sz w:val="14"/>
                <w:szCs w:val="14"/>
              </w:rPr>
              <w:t>-</w:t>
            </w:r>
          </w:p>
        </w:tc>
        <w:tc>
          <w:tcPr>
            <w:tcW w:w="993" w:type="dxa"/>
            <w:tcBorders>
              <w:left w:val="single" w:sz="18" w:space="0" w:color="FFFFFF" w:themeColor="background2"/>
              <w:bottom w:val="single" w:sz="2" w:space="0" w:color="auto"/>
            </w:tcBorders>
          </w:tcPr>
          <w:p w14:paraId="3E45BF80" w14:textId="77777777" w:rsidR="004F21B4" w:rsidRPr="007C2232" w:rsidRDefault="004F21B4" w:rsidP="00B15944">
            <w:pPr>
              <w:suppressAutoHyphens/>
              <w:autoSpaceDE w:val="0"/>
              <w:autoSpaceDN w:val="0"/>
              <w:adjustRightInd w:val="0"/>
              <w:spacing w:before="20" w:after="20"/>
              <w:jc w:val="right"/>
              <w:textAlignment w:val="center"/>
              <w:rPr>
                <w:color w:val="1C1C1C"/>
                <w:sz w:val="14"/>
                <w:szCs w:val="14"/>
              </w:rPr>
            </w:pPr>
            <w:r w:rsidRPr="007C2232">
              <w:rPr>
                <w:color w:val="1C1C1C"/>
                <w:sz w:val="14"/>
                <w:szCs w:val="14"/>
              </w:rPr>
              <w:t>-</w:t>
            </w:r>
          </w:p>
        </w:tc>
      </w:tr>
      <w:tr w:rsidR="004F21B4" w:rsidRPr="007C2232" w14:paraId="58BF5B2B" w14:textId="77777777" w:rsidTr="00B15944">
        <w:trPr>
          <w:trHeight w:val="170"/>
        </w:trPr>
        <w:tc>
          <w:tcPr>
            <w:tcW w:w="5111" w:type="dxa"/>
          </w:tcPr>
          <w:p w14:paraId="1A1A6122"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Total trade and other receivables (net)</w:t>
            </w:r>
          </w:p>
        </w:tc>
        <w:tc>
          <w:tcPr>
            <w:tcW w:w="992" w:type="dxa"/>
            <w:tcBorders>
              <w:top w:val="single" w:sz="2" w:space="0" w:color="auto"/>
              <w:bottom w:val="single" w:sz="2" w:space="0" w:color="auto"/>
              <w:right w:val="single" w:sz="18" w:space="0" w:color="FFFFFF" w:themeColor="background2"/>
            </w:tcBorders>
          </w:tcPr>
          <w:p w14:paraId="010D22FB" w14:textId="44858482" w:rsidR="004F21B4" w:rsidRPr="008C05CE" w:rsidRDefault="004F21B4"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529</w:t>
            </w:r>
          </w:p>
        </w:tc>
        <w:tc>
          <w:tcPr>
            <w:tcW w:w="993" w:type="dxa"/>
            <w:tcBorders>
              <w:top w:val="single" w:sz="2" w:space="0" w:color="auto"/>
              <w:left w:val="single" w:sz="18" w:space="0" w:color="FFFFFF" w:themeColor="background2"/>
              <w:bottom w:val="single" w:sz="2" w:space="0" w:color="auto"/>
            </w:tcBorders>
          </w:tcPr>
          <w:p w14:paraId="7003B18D" w14:textId="53D41234" w:rsidR="004F21B4" w:rsidRPr="008C05CE" w:rsidRDefault="004F21B4"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273</w:t>
            </w:r>
          </w:p>
        </w:tc>
      </w:tr>
      <w:tr w:rsidR="004F21B4" w:rsidRPr="007C2232" w14:paraId="2A9B5A15" w14:textId="77777777" w:rsidTr="00B15944">
        <w:trPr>
          <w:trHeight w:val="57"/>
        </w:trPr>
        <w:tc>
          <w:tcPr>
            <w:tcW w:w="5111" w:type="dxa"/>
          </w:tcPr>
          <w:p w14:paraId="40196A0C" w14:textId="77777777" w:rsidR="004F21B4" w:rsidRPr="007C2232" w:rsidRDefault="004F21B4"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2A0617A4" w14:textId="77777777" w:rsidR="004F21B4" w:rsidRPr="007C2232" w:rsidRDefault="004F21B4"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6C5BAC8" w14:textId="77777777" w:rsidR="004F21B4" w:rsidRPr="007C2232" w:rsidRDefault="004F21B4" w:rsidP="00B15944">
            <w:pPr>
              <w:suppressAutoHyphens/>
              <w:autoSpaceDE w:val="0"/>
              <w:autoSpaceDN w:val="0"/>
              <w:adjustRightInd w:val="0"/>
              <w:spacing w:before="20" w:after="20"/>
              <w:jc w:val="right"/>
              <w:textAlignment w:val="center"/>
              <w:rPr>
                <w:color w:val="1C1C1C"/>
                <w:sz w:val="4"/>
                <w:szCs w:val="4"/>
              </w:rPr>
            </w:pPr>
          </w:p>
        </w:tc>
      </w:tr>
      <w:tr w:rsidR="004F21B4" w:rsidRPr="00B61E00" w14:paraId="188DB8CA" w14:textId="77777777" w:rsidTr="00B15944">
        <w:trPr>
          <w:trHeight w:val="170"/>
        </w:trPr>
        <w:tc>
          <w:tcPr>
            <w:tcW w:w="7096" w:type="dxa"/>
            <w:gridSpan w:val="3"/>
          </w:tcPr>
          <w:p w14:paraId="24DB9FC9" w14:textId="77777777" w:rsidR="004F21B4" w:rsidRPr="00B61E00" w:rsidRDefault="004F21B4" w:rsidP="00B15944">
            <w:pPr>
              <w:suppressAutoHyphens/>
              <w:autoSpaceDE w:val="0"/>
              <w:autoSpaceDN w:val="0"/>
              <w:adjustRightInd w:val="0"/>
              <w:spacing w:before="20" w:after="20"/>
              <w:textAlignment w:val="center"/>
              <w:rPr>
                <w:color w:val="292929"/>
                <w:sz w:val="14"/>
                <w:szCs w:val="14"/>
              </w:rPr>
            </w:pPr>
            <w:r>
              <w:rPr>
                <w:color w:val="292929"/>
                <w:sz w:val="14"/>
                <w:szCs w:val="14"/>
              </w:rPr>
              <w:t>No amounts receivable are overdue.</w:t>
            </w:r>
          </w:p>
        </w:tc>
      </w:tr>
    </w:tbl>
    <w:p w14:paraId="0FF6DDE6" w14:textId="77777777" w:rsidR="004F21B4" w:rsidRDefault="004F21B4" w:rsidP="004F21B4">
      <w:pPr>
        <w:pStyle w:val="Body"/>
        <w:spacing w:after="120"/>
      </w:pPr>
    </w:p>
    <w:tbl>
      <w:tblPr>
        <w:tblStyle w:val="TableGrid1"/>
        <w:tblW w:w="5000" w:type="pct"/>
        <w:tblCellMar>
          <w:top w:w="57" w:type="dxa"/>
          <w:bottom w:w="57" w:type="dxa"/>
        </w:tblCellMar>
        <w:tblLook w:val="04A0" w:firstRow="1" w:lastRow="0" w:firstColumn="1" w:lastColumn="0" w:noHBand="0" w:noVBand="1"/>
        <w:tblCaption w:val="Note 2.1B"/>
        <w:tblDescription w:val="Accounting policy"/>
      </w:tblPr>
      <w:tblGrid>
        <w:gridCol w:w="7701"/>
      </w:tblGrid>
      <w:tr w:rsidR="004F21B4" w14:paraId="3F06C89B" w14:textId="77777777" w:rsidTr="00B15944">
        <w:trPr>
          <w:tblHeader/>
        </w:trPr>
        <w:tc>
          <w:tcPr>
            <w:tcW w:w="5000" w:type="pct"/>
          </w:tcPr>
          <w:p w14:paraId="0CAB8318" w14:textId="77777777" w:rsidR="004F21B4" w:rsidRPr="005300C0" w:rsidRDefault="004F21B4" w:rsidP="00B15944">
            <w:pPr>
              <w:pStyle w:val="Body"/>
              <w:spacing w:after="60" w:line="288" w:lineRule="auto"/>
              <w:rPr>
                <w:rFonts w:asciiTheme="majorHAnsi" w:hAnsiTheme="majorHAnsi"/>
              </w:rPr>
            </w:pPr>
            <w:r w:rsidRPr="005300C0">
              <w:rPr>
                <w:rFonts w:asciiTheme="majorHAnsi" w:hAnsiTheme="majorHAnsi"/>
              </w:rPr>
              <w:t>Accounting Policy</w:t>
            </w:r>
          </w:p>
          <w:p w14:paraId="4F2F879E" w14:textId="77777777" w:rsidR="00A21680" w:rsidRPr="00303955" w:rsidRDefault="00A21680" w:rsidP="00A21680">
            <w:pPr>
              <w:pStyle w:val="Body"/>
              <w:spacing w:after="60" w:line="288" w:lineRule="auto"/>
              <w:rPr>
                <w:b/>
                <w:bCs/>
              </w:rPr>
            </w:pPr>
            <w:r w:rsidRPr="00303955">
              <w:rPr>
                <w:b/>
                <w:bCs/>
              </w:rPr>
              <w:t>Trade and other receivables</w:t>
            </w:r>
          </w:p>
          <w:p w14:paraId="19A6980B" w14:textId="77777777" w:rsidR="00D85049" w:rsidRPr="00D85049" w:rsidRDefault="00D85049" w:rsidP="00D85049">
            <w:pPr>
              <w:pStyle w:val="Body"/>
              <w:spacing w:after="120"/>
            </w:pPr>
            <w:r w:rsidRPr="00D85049">
              <w:t>IHPA's financial assets are comprised of trade receivables and other receivables that are held for the purpose of collecting the contractual cash flows. All of IHPA's financial assets are measured, and carried, at amortised cost.</w:t>
            </w:r>
          </w:p>
          <w:p w14:paraId="62521DF2" w14:textId="77777777" w:rsidR="00A21680" w:rsidRPr="00303955" w:rsidRDefault="00A21680" w:rsidP="00A21680">
            <w:pPr>
              <w:pStyle w:val="Body"/>
              <w:spacing w:after="60" w:line="288" w:lineRule="auto"/>
              <w:rPr>
                <w:b/>
                <w:bCs/>
              </w:rPr>
            </w:pPr>
            <w:r w:rsidRPr="00303955">
              <w:rPr>
                <w:b/>
                <w:bCs/>
              </w:rPr>
              <w:t>Impairment</w:t>
            </w:r>
          </w:p>
          <w:p w14:paraId="6D465A65" w14:textId="5AAC77C1" w:rsidR="004F21B4" w:rsidRDefault="00D85049" w:rsidP="00A21680">
            <w:pPr>
              <w:pStyle w:val="AlphabetListL2"/>
              <w:numPr>
                <w:ilvl w:val="0"/>
                <w:numId w:val="0"/>
              </w:numPr>
              <w:spacing w:after="60"/>
            </w:pPr>
            <w:r w:rsidRPr="00D85049">
              <w:t>All assets were assessed for impairment as at 30 June 2022. Where indications of impairment exist, the</w:t>
            </w:r>
            <w:r w:rsidR="00D12A9C">
              <w:t> </w:t>
            </w:r>
            <w:r w:rsidRPr="00D85049">
              <w:t>asset's recoverable amount is estimated and an impairment adjustment made if the asset's recoverable amount is less than its carrying amount.</w:t>
            </w:r>
          </w:p>
        </w:tc>
      </w:tr>
    </w:tbl>
    <w:p w14:paraId="5B8FD96C" w14:textId="77777777" w:rsidR="004F21B4" w:rsidRDefault="004F21B4" w:rsidP="008664C1">
      <w:pPr>
        <w:pStyle w:val="Body"/>
        <w:rPr>
          <w:color w:val="292929"/>
        </w:rPr>
      </w:pPr>
    </w:p>
    <w:p w14:paraId="138A2944" w14:textId="77777777" w:rsidR="0010025B" w:rsidRDefault="0010025B" w:rsidP="008664C1">
      <w:pPr>
        <w:pStyle w:val="Body"/>
        <w:rPr>
          <w:color w:val="292929"/>
        </w:rPr>
        <w:sectPr w:rsidR="0010025B" w:rsidSect="00441579">
          <w:footerReference w:type="default" r:id="rId194"/>
          <w:pgSz w:w="9979" w:h="14175"/>
          <w:pgMar w:top="1134" w:right="1134" w:bottom="1134" w:left="1134" w:header="709" w:footer="709" w:gutter="0"/>
          <w:cols w:space="708"/>
          <w:docGrid w:linePitch="360"/>
        </w:sectPr>
      </w:pPr>
    </w:p>
    <w:p w14:paraId="1432B17B" w14:textId="77777777" w:rsidR="004856A4" w:rsidRDefault="004856A4" w:rsidP="004856A4">
      <w:pPr>
        <w:pStyle w:val="H4Financials"/>
        <w:spacing w:before="0" w:after="120"/>
      </w:pPr>
      <w:bookmarkStart w:id="154" w:name="_Toc83220568"/>
      <w:bookmarkStart w:id="155" w:name="_Toc114824712"/>
      <w:r>
        <w:t xml:space="preserve">Note 2.2 </w:t>
      </w:r>
      <w:r w:rsidRPr="003C7007">
        <w:t>Non-</w:t>
      </w:r>
      <w:r>
        <w:t>f</w:t>
      </w:r>
      <w:r w:rsidRPr="003C7007">
        <w:t xml:space="preserve">inancial </w:t>
      </w:r>
      <w:r>
        <w:t>a</w:t>
      </w:r>
      <w:r w:rsidRPr="003C7007">
        <w:t>ssets</w:t>
      </w:r>
      <w:bookmarkEnd w:id="154"/>
      <w:bookmarkEnd w:id="155"/>
    </w:p>
    <w:p w14:paraId="77CF785F" w14:textId="77777777" w:rsidR="004856A4" w:rsidRPr="00FC0B06" w:rsidRDefault="004856A4" w:rsidP="004856A4">
      <w:pPr>
        <w:suppressAutoHyphens/>
        <w:autoSpaceDE w:val="0"/>
        <w:autoSpaceDN w:val="0"/>
        <w:adjustRightInd w:val="0"/>
        <w:spacing w:after="60" w:line="288" w:lineRule="auto"/>
        <w:ind w:right="-370"/>
        <w:textAlignment w:val="center"/>
        <w:rPr>
          <w:rFonts w:asciiTheme="majorHAnsi" w:hAnsiTheme="majorHAnsi"/>
          <w:color w:val="292929"/>
          <w:sz w:val="14"/>
          <w:szCs w:val="14"/>
        </w:rPr>
      </w:pPr>
      <w:r w:rsidRPr="00FC0B06">
        <w:rPr>
          <w:rFonts w:asciiTheme="majorHAnsi" w:hAnsiTheme="majorHAnsi"/>
          <w:color w:val="292929"/>
          <w:sz w:val="14"/>
          <w:szCs w:val="14"/>
        </w:rPr>
        <w:t>Note 2.2</w:t>
      </w:r>
      <w:r>
        <w:rPr>
          <w:rFonts w:asciiTheme="majorHAnsi" w:hAnsiTheme="majorHAnsi"/>
          <w:color w:val="292929"/>
          <w:sz w:val="14"/>
          <w:szCs w:val="14"/>
        </w:rPr>
        <w:t>A</w:t>
      </w:r>
      <w:r w:rsidRPr="00FC0B06">
        <w:rPr>
          <w:rFonts w:asciiTheme="majorHAnsi" w:hAnsiTheme="majorHAnsi"/>
          <w:color w:val="292929"/>
          <w:sz w:val="14"/>
          <w:szCs w:val="14"/>
        </w:rPr>
        <w:t xml:space="preserve">: </w:t>
      </w:r>
      <w:r w:rsidRPr="00014C7E">
        <w:rPr>
          <w:rFonts w:asciiTheme="majorHAnsi" w:hAnsiTheme="majorHAnsi"/>
          <w:color w:val="292929"/>
          <w:sz w:val="14"/>
          <w:szCs w:val="14"/>
        </w:rPr>
        <w:t>Reconciliation of the Opening and Closing Balances of Property, Plant and Equipment, and Intangibles</w:t>
      </w:r>
    </w:p>
    <w:tbl>
      <w:tblPr>
        <w:tblStyle w:val="IHPA"/>
        <w:tblW w:w="7379" w:type="dxa"/>
        <w:tblLayout w:type="fixed"/>
        <w:tblCellMar>
          <w:left w:w="57" w:type="dxa"/>
          <w:right w:w="57" w:type="dxa"/>
        </w:tblCellMar>
        <w:tblLook w:val="0020" w:firstRow="1" w:lastRow="0" w:firstColumn="0" w:lastColumn="0" w:noHBand="0" w:noVBand="0"/>
        <w:tblCaption w:val="Note 2.2A"/>
        <w:tblDescription w:val="Reconciliation of the Opening and Closing Balances of Property, Plant and Equipment, and Intangibles"/>
      </w:tblPr>
      <w:tblGrid>
        <w:gridCol w:w="2151"/>
        <w:gridCol w:w="976"/>
        <w:gridCol w:w="1134"/>
        <w:gridCol w:w="992"/>
        <w:gridCol w:w="1134"/>
        <w:gridCol w:w="992"/>
      </w:tblGrid>
      <w:tr w:rsidR="004856A4" w:rsidRPr="00B81AE0" w14:paraId="2A958179" w14:textId="77777777" w:rsidTr="00B15944">
        <w:trPr>
          <w:trHeight w:val="340"/>
        </w:trPr>
        <w:tc>
          <w:tcPr>
            <w:tcW w:w="2151" w:type="dxa"/>
          </w:tcPr>
          <w:p w14:paraId="6D49D9A8" w14:textId="77777777" w:rsidR="004856A4" w:rsidRPr="00B81AE0" w:rsidRDefault="004856A4" w:rsidP="00B15944">
            <w:pPr>
              <w:autoSpaceDE w:val="0"/>
              <w:autoSpaceDN w:val="0"/>
              <w:adjustRightInd w:val="0"/>
              <w:spacing w:before="20" w:after="20"/>
              <w:rPr>
                <w:rFonts w:ascii="Futura PT Book" w:hAnsi="Futura PT Book"/>
                <w:color w:val="1C1C1C"/>
                <w:sz w:val="24"/>
                <w:szCs w:val="24"/>
              </w:rPr>
            </w:pPr>
          </w:p>
        </w:tc>
        <w:tc>
          <w:tcPr>
            <w:tcW w:w="976" w:type="dxa"/>
            <w:tcBorders>
              <w:bottom w:val="single" w:sz="12" w:space="0" w:color="auto"/>
              <w:right w:val="single" w:sz="18" w:space="0" w:color="FFFFFF" w:themeColor="background2"/>
            </w:tcBorders>
            <w:vAlign w:val="bottom"/>
          </w:tcPr>
          <w:p w14:paraId="452FF9B1"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Buildings</w:t>
            </w:r>
          </w:p>
          <w:p w14:paraId="5C8AD849"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1134" w:type="dxa"/>
            <w:tcBorders>
              <w:left w:val="single" w:sz="18" w:space="0" w:color="FFFFFF" w:themeColor="background2"/>
              <w:bottom w:val="single" w:sz="12" w:space="0" w:color="auto"/>
              <w:right w:val="single" w:sz="18" w:space="0" w:color="FFFFFF" w:themeColor="background2"/>
            </w:tcBorders>
            <w:vAlign w:val="bottom"/>
          </w:tcPr>
          <w:p w14:paraId="55985251"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Leasehold improvement</w:t>
            </w:r>
          </w:p>
          <w:p w14:paraId="4F9AD98C"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992" w:type="dxa"/>
            <w:tcBorders>
              <w:left w:val="single" w:sz="18" w:space="0" w:color="FFFFFF" w:themeColor="background2"/>
              <w:bottom w:val="single" w:sz="12" w:space="0" w:color="auto"/>
              <w:right w:val="single" w:sz="18" w:space="0" w:color="FFFFFF" w:themeColor="background2"/>
            </w:tcBorders>
            <w:vAlign w:val="bottom"/>
          </w:tcPr>
          <w:p w14:paraId="0298ADD3"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Plant and equipment</w:t>
            </w:r>
          </w:p>
          <w:p w14:paraId="36512296"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1134" w:type="dxa"/>
            <w:tcBorders>
              <w:left w:val="single" w:sz="18" w:space="0" w:color="FFFFFF" w:themeColor="background2"/>
              <w:bottom w:val="single" w:sz="12" w:space="0" w:color="auto"/>
              <w:right w:val="single" w:sz="18" w:space="0" w:color="FFFFFF" w:themeColor="background2"/>
            </w:tcBorders>
            <w:vAlign w:val="bottom"/>
          </w:tcPr>
          <w:p w14:paraId="61A8B167"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Computer software</w:t>
            </w:r>
          </w:p>
          <w:p w14:paraId="1FAAB641"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992" w:type="dxa"/>
            <w:tcBorders>
              <w:left w:val="single" w:sz="18" w:space="0" w:color="FFFFFF" w:themeColor="background2"/>
              <w:bottom w:val="single" w:sz="12" w:space="0" w:color="auto"/>
            </w:tcBorders>
            <w:vAlign w:val="bottom"/>
          </w:tcPr>
          <w:p w14:paraId="731E9C6C"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Total</w:t>
            </w:r>
          </w:p>
          <w:p w14:paraId="7863E001" w14:textId="77777777" w:rsidR="004856A4" w:rsidRPr="00B81AE0" w:rsidRDefault="004856A4"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r>
      <w:tr w:rsidR="004856A4" w:rsidRPr="00B81AE0" w14:paraId="0925D330" w14:textId="77777777" w:rsidTr="00B15944">
        <w:trPr>
          <w:trHeight w:val="170"/>
        </w:trPr>
        <w:tc>
          <w:tcPr>
            <w:tcW w:w="2151" w:type="dxa"/>
          </w:tcPr>
          <w:p w14:paraId="4494C337" w14:textId="32CFBED6" w:rsidR="004856A4" w:rsidRPr="00B81AE0" w:rsidRDefault="004856A4" w:rsidP="00B15944">
            <w:pPr>
              <w:suppressAutoHyphens/>
              <w:autoSpaceDE w:val="0"/>
              <w:autoSpaceDN w:val="0"/>
              <w:adjustRightInd w:val="0"/>
              <w:spacing w:before="20" w:after="20" w:line="20" w:lineRule="atLeast"/>
              <w:textAlignment w:val="center"/>
              <w:rPr>
                <w:rFonts w:asciiTheme="majorHAnsi" w:hAnsiTheme="majorHAnsi" w:cs="Futura PT Book"/>
                <w:color w:val="1C1C1C"/>
                <w:sz w:val="14"/>
                <w:szCs w:val="14"/>
                <w:lang w:val="en-US"/>
              </w:rPr>
            </w:pPr>
            <w:r w:rsidRPr="00B81AE0">
              <w:rPr>
                <w:rFonts w:asciiTheme="majorHAnsi" w:hAnsiTheme="majorHAnsi"/>
                <w:color w:val="1C1C1C"/>
                <w:sz w:val="14"/>
                <w:szCs w:val="14"/>
              </w:rPr>
              <w:t>As at 1 July 20</w:t>
            </w:r>
            <w:r>
              <w:rPr>
                <w:rFonts w:asciiTheme="majorHAnsi" w:hAnsiTheme="majorHAnsi"/>
                <w:color w:val="1C1C1C"/>
                <w:sz w:val="14"/>
                <w:szCs w:val="14"/>
              </w:rPr>
              <w:t>21</w:t>
            </w:r>
          </w:p>
        </w:tc>
        <w:tc>
          <w:tcPr>
            <w:tcW w:w="976" w:type="dxa"/>
            <w:tcBorders>
              <w:top w:val="single" w:sz="12" w:space="0" w:color="auto"/>
              <w:right w:val="single" w:sz="18" w:space="0" w:color="FFFFFF" w:themeColor="background2"/>
            </w:tcBorders>
          </w:tcPr>
          <w:p w14:paraId="1A120108"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p>
        </w:tc>
        <w:tc>
          <w:tcPr>
            <w:tcW w:w="1134" w:type="dxa"/>
            <w:tcBorders>
              <w:top w:val="single" w:sz="12" w:space="0" w:color="auto"/>
              <w:left w:val="single" w:sz="18" w:space="0" w:color="FFFFFF" w:themeColor="background2"/>
              <w:right w:val="single" w:sz="18" w:space="0" w:color="FFFFFF" w:themeColor="background2"/>
            </w:tcBorders>
          </w:tcPr>
          <w:p w14:paraId="3FBE4089"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12" w:space="0" w:color="auto"/>
              <w:left w:val="single" w:sz="18" w:space="0" w:color="FFFFFF" w:themeColor="background2"/>
              <w:right w:val="single" w:sz="18" w:space="0" w:color="FFFFFF" w:themeColor="background2"/>
            </w:tcBorders>
          </w:tcPr>
          <w:p w14:paraId="00BE9D31"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1134" w:type="dxa"/>
            <w:tcBorders>
              <w:top w:val="single" w:sz="12" w:space="0" w:color="auto"/>
              <w:left w:val="single" w:sz="18" w:space="0" w:color="FFFFFF" w:themeColor="background2"/>
              <w:right w:val="single" w:sz="18" w:space="0" w:color="FFFFFF" w:themeColor="background2"/>
            </w:tcBorders>
          </w:tcPr>
          <w:p w14:paraId="2BA116FA"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12" w:space="0" w:color="auto"/>
              <w:left w:val="single" w:sz="18" w:space="0" w:color="FFFFFF" w:themeColor="background2"/>
            </w:tcBorders>
          </w:tcPr>
          <w:p w14:paraId="5DFB34CF"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r>
      <w:tr w:rsidR="004856A4" w:rsidRPr="00B81AE0" w14:paraId="02579E67" w14:textId="77777777" w:rsidTr="00B15944">
        <w:trPr>
          <w:trHeight w:val="170"/>
        </w:trPr>
        <w:tc>
          <w:tcPr>
            <w:tcW w:w="2151" w:type="dxa"/>
          </w:tcPr>
          <w:p w14:paraId="0B239C7A" w14:textId="77777777" w:rsidR="004856A4" w:rsidRPr="00B81AE0" w:rsidRDefault="004856A4" w:rsidP="00B15944">
            <w:pPr>
              <w:suppressAutoHyphens/>
              <w:autoSpaceDE w:val="0"/>
              <w:autoSpaceDN w:val="0"/>
              <w:adjustRightInd w:val="0"/>
              <w:spacing w:before="20" w:after="20" w:line="20" w:lineRule="atLeast"/>
              <w:textAlignment w:val="center"/>
              <w:rPr>
                <w:rFonts w:cs="Futura PT Book"/>
                <w:color w:val="1C1C1C"/>
                <w:sz w:val="14"/>
                <w:szCs w:val="14"/>
                <w:lang w:val="en-US"/>
              </w:rPr>
            </w:pPr>
            <w:r w:rsidRPr="00B81AE0">
              <w:rPr>
                <w:color w:val="1C1C1C"/>
                <w:sz w:val="14"/>
                <w:szCs w:val="14"/>
              </w:rPr>
              <w:t>Gross book value</w:t>
            </w:r>
          </w:p>
        </w:tc>
        <w:tc>
          <w:tcPr>
            <w:tcW w:w="976" w:type="dxa"/>
            <w:tcBorders>
              <w:right w:val="single" w:sz="18" w:space="0" w:color="FFFFFF" w:themeColor="background2"/>
            </w:tcBorders>
          </w:tcPr>
          <w:p w14:paraId="7036A519" w14:textId="2B11C8F8" w:rsidR="004856A4" w:rsidRPr="009A2FF3" w:rsidRDefault="00E42BAB" w:rsidP="00B15944">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2,653</w:t>
            </w:r>
          </w:p>
        </w:tc>
        <w:tc>
          <w:tcPr>
            <w:tcW w:w="1134" w:type="dxa"/>
            <w:tcBorders>
              <w:left w:val="single" w:sz="18" w:space="0" w:color="FFFFFF" w:themeColor="background2"/>
              <w:right w:val="single" w:sz="18" w:space="0" w:color="FFFFFF" w:themeColor="background2"/>
            </w:tcBorders>
          </w:tcPr>
          <w:p w14:paraId="7B68936F" w14:textId="6B0B498E" w:rsidR="004856A4" w:rsidRPr="009A2FF3" w:rsidRDefault="004856A4" w:rsidP="00B15944">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1,84</w:t>
            </w:r>
            <w:r w:rsidR="00E42BAB">
              <w:rPr>
                <w:rFonts w:asciiTheme="majorHAnsi" w:hAnsiTheme="majorHAnsi" w:cs="Calibri"/>
                <w:sz w:val="14"/>
                <w:szCs w:val="14"/>
              </w:rPr>
              <w:t>6</w:t>
            </w:r>
          </w:p>
        </w:tc>
        <w:tc>
          <w:tcPr>
            <w:tcW w:w="992" w:type="dxa"/>
            <w:tcBorders>
              <w:left w:val="single" w:sz="18" w:space="0" w:color="FFFFFF" w:themeColor="background2"/>
              <w:right w:val="single" w:sz="18" w:space="0" w:color="FFFFFF" w:themeColor="background2"/>
            </w:tcBorders>
          </w:tcPr>
          <w:p w14:paraId="75ED0421" w14:textId="052B593E" w:rsidR="004856A4" w:rsidRPr="009A2FF3" w:rsidRDefault="00E42BAB" w:rsidP="00B15944">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5</w:t>
            </w:r>
          </w:p>
        </w:tc>
        <w:tc>
          <w:tcPr>
            <w:tcW w:w="1134" w:type="dxa"/>
            <w:tcBorders>
              <w:left w:val="single" w:sz="18" w:space="0" w:color="FFFFFF" w:themeColor="background2"/>
              <w:right w:val="single" w:sz="18" w:space="0" w:color="FFFFFF" w:themeColor="background2"/>
            </w:tcBorders>
          </w:tcPr>
          <w:p w14:paraId="20C45B1A" w14:textId="74DE09D0" w:rsidR="004856A4" w:rsidRPr="009A2FF3" w:rsidRDefault="00E42BAB" w:rsidP="00B15944">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803</w:t>
            </w:r>
          </w:p>
        </w:tc>
        <w:tc>
          <w:tcPr>
            <w:tcW w:w="992" w:type="dxa"/>
            <w:tcBorders>
              <w:left w:val="single" w:sz="18" w:space="0" w:color="FFFFFF" w:themeColor="background2"/>
            </w:tcBorders>
          </w:tcPr>
          <w:p w14:paraId="27E7CAB1" w14:textId="1BC1CCE4" w:rsidR="004856A4" w:rsidRPr="009A2FF3" w:rsidRDefault="00E42BAB" w:rsidP="00B15944">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5</w:t>
            </w:r>
            <w:r w:rsidR="004856A4" w:rsidRPr="009A2FF3">
              <w:rPr>
                <w:rFonts w:asciiTheme="majorHAnsi" w:hAnsiTheme="majorHAnsi" w:cs="Calibri"/>
                <w:sz w:val="14"/>
                <w:szCs w:val="14"/>
              </w:rPr>
              <w:t>,</w:t>
            </w:r>
            <w:r>
              <w:rPr>
                <w:rFonts w:asciiTheme="majorHAnsi" w:hAnsiTheme="majorHAnsi" w:cs="Calibri"/>
                <w:sz w:val="14"/>
                <w:szCs w:val="14"/>
              </w:rPr>
              <w:t>307</w:t>
            </w:r>
          </w:p>
        </w:tc>
      </w:tr>
      <w:tr w:rsidR="004856A4" w:rsidRPr="00B81AE0" w14:paraId="15654828" w14:textId="77777777" w:rsidTr="00B15944">
        <w:trPr>
          <w:trHeight w:val="170"/>
        </w:trPr>
        <w:tc>
          <w:tcPr>
            <w:tcW w:w="2151" w:type="dxa"/>
          </w:tcPr>
          <w:p w14:paraId="76648E6F" w14:textId="77777777" w:rsidR="004856A4" w:rsidRPr="00B81AE0" w:rsidRDefault="004856A4" w:rsidP="00B15944">
            <w:pPr>
              <w:suppressAutoHyphens/>
              <w:autoSpaceDE w:val="0"/>
              <w:autoSpaceDN w:val="0"/>
              <w:adjustRightInd w:val="0"/>
              <w:spacing w:before="20" w:after="20"/>
              <w:textAlignment w:val="center"/>
              <w:rPr>
                <w:rFonts w:cs="Futura PT Book"/>
                <w:color w:val="1C1C1C"/>
                <w:sz w:val="14"/>
                <w:szCs w:val="14"/>
                <w:lang w:val="en-US"/>
              </w:rPr>
            </w:pPr>
            <w:r w:rsidRPr="00B81AE0">
              <w:rPr>
                <w:color w:val="1C1C1C"/>
                <w:sz w:val="14"/>
                <w:szCs w:val="14"/>
              </w:rPr>
              <w:t>Accumulated depreciation, amortisation and impairment</w:t>
            </w:r>
          </w:p>
        </w:tc>
        <w:tc>
          <w:tcPr>
            <w:tcW w:w="976" w:type="dxa"/>
            <w:tcBorders>
              <w:bottom w:val="single" w:sz="2" w:space="0" w:color="auto"/>
              <w:right w:val="single" w:sz="18" w:space="0" w:color="FFFFFF" w:themeColor="background2"/>
            </w:tcBorders>
          </w:tcPr>
          <w:p w14:paraId="0AB9414D" w14:textId="14FCA216"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E42BAB">
              <w:rPr>
                <w:rFonts w:asciiTheme="majorHAnsi" w:hAnsiTheme="majorHAnsi" w:cs="Calibri"/>
                <w:sz w:val="14"/>
                <w:szCs w:val="14"/>
              </w:rPr>
              <w:t>1,529</w:t>
            </w:r>
            <w:r w:rsidRPr="009A2FF3">
              <w:rPr>
                <w:rFonts w:asciiTheme="majorHAnsi" w:hAnsiTheme="majorHAnsi" w:cs="Calibri"/>
                <w:sz w:val="14"/>
                <w:szCs w:val="14"/>
              </w:rPr>
              <w:t>)</w:t>
            </w:r>
          </w:p>
        </w:tc>
        <w:tc>
          <w:tcPr>
            <w:tcW w:w="1134" w:type="dxa"/>
            <w:tcBorders>
              <w:left w:val="single" w:sz="18" w:space="0" w:color="FFFFFF" w:themeColor="background2"/>
              <w:bottom w:val="single" w:sz="2" w:space="0" w:color="auto"/>
              <w:right w:val="single" w:sz="18" w:space="0" w:color="FFFFFF" w:themeColor="background2"/>
            </w:tcBorders>
          </w:tcPr>
          <w:p w14:paraId="000ACCAA" w14:textId="5965228E"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E42BAB">
              <w:rPr>
                <w:rFonts w:asciiTheme="majorHAnsi" w:hAnsiTheme="majorHAnsi" w:cs="Calibri"/>
                <w:sz w:val="14"/>
                <w:szCs w:val="14"/>
              </w:rPr>
              <w:t>739</w:t>
            </w:r>
            <w:r w:rsidRPr="009A2FF3">
              <w:rPr>
                <w:rFonts w:asciiTheme="majorHAnsi" w:hAnsiTheme="majorHAnsi" w:cs="Calibri"/>
                <w:sz w:val="14"/>
                <w:szCs w:val="14"/>
              </w:rPr>
              <w:t>)</w:t>
            </w:r>
          </w:p>
        </w:tc>
        <w:tc>
          <w:tcPr>
            <w:tcW w:w="992" w:type="dxa"/>
            <w:tcBorders>
              <w:left w:val="single" w:sz="18" w:space="0" w:color="FFFFFF" w:themeColor="background2"/>
              <w:bottom w:val="single" w:sz="2" w:space="0" w:color="auto"/>
              <w:right w:val="single" w:sz="18" w:space="0" w:color="FFFFFF" w:themeColor="background2"/>
            </w:tcBorders>
          </w:tcPr>
          <w:p w14:paraId="395A573F"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(4)</w:t>
            </w:r>
          </w:p>
        </w:tc>
        <w:tc>
          <w:tcPr>
            <w:tcW w:w="1134" w:type="dxa"/>
            <w:tcBorders>
              <w:left w:val="single" w:sz="18" w:space="0" w:color="FFFFFF" w:themeColor="background2"/>
              <w:bottom w:val="single" w:sz="2" w:space="0" w:color="auto"/>
              <w:right w:val="single" w:sz="18" w:space="0" w:color="FFFFFF" w:themeColor="background2"/>
            </w:tcBorders>
          </w:tcPr>
          <w:p w14:paraId="59D1DC49" w14:textId="1B8011CD"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E42BAB">
              <w:rPr>
                <w:rFonts w:asciiTheme="majorHAnsi" w:hAnsiTheme="majorHAnsi" w:cs="Calibri"/>
                <w:sz w:val="14"/>
                <w:szCs w:val="14"/>
              </w:rPr>
              <w:t>712</w:t>
            </w:r>
            <w:r w:rsidRPr="009A2FF3">
              <w:rPr>
                <w:rFonts w:asciiTheme="majorHAnsi" w:hAnsiTheme="majorHAnsi" w:cs="Calibri"/>
                <w:sz w:val="14"/>
                <w:szCs w:val="14"/>
              </w:rPr>
              <w:t>)</w:t>
            </w:r>
          </w:p>
        </w:tc>
        <w:tc>
          <w:tcPr>
            <w:tcW w:w="992" w:type="dxa"/>
            <w:tcBorders>
              <w:left w:val="single" w:sz="18" w:space="0" w:color="FFFFFF" w:themeColor="background2"/>
              <w:bottom w:val="single" w:sz="2" w:space="0" w:color="auto"/>
            </w:tcBorders>
          </w:tcPr>
          <w:p w14:paraId="62FCC02C" w14:textId="22AAD79E" w:rsidR="004856A4" w:rsidRPr="009A2FF3" w:rsidRDefault="004856A4" w:rsidP="00B15944">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w:t>
            </w:r>
            <w:r w:rsidR="00E42BAB">
              <w:rPr>
                <w:rFonts w:asciiTheme="majorHAnsi" w:hAnsiTheme="majorHAnsi" w:cs="Calibri"/>
                <w:sz w:val="14"/>
                <w:szCs w:val="14"/>
              </w:rPr>
              <w:t>2</w:t>
            </w:r>
            <w:r w:rsidRPr="009A2FF3">
              <w:rPr>
                <w:rFonts w:asciiTheme="majorHAnsi" w:hAnsiTheme="majorHAnsi" w:cs="Calibri"/>
                <w:sz w:val="14"/>
                <w:szCs w:val="14"/>
              </w:rPr>
              <w:t>,</w:t>
            </w:r>
            <w:r w:rsidR="00E42BAB">
              <w:rPr>
                <w:rFonts w:asciiTheme="majorHAnsi" w:hAnsiTheme="majorHAnsi" w:cs="Calibri"/>
                <w:sz w:val="14"/>
                <w:szCs w:val="14"/>
              </w:rPr>
              <w:t>984</w:t>
            </w:r>
            <w:r w:rsidRPr="009A2FF3">
              <w:rPr>
                <w:rFonts w:asciiTheme="majorHAnsi" w:hAnsiTheme="majorHAnsi" w:cs="Calibri"/>
                <w:sz w:val="14"/>
                <w:szCs w:val="14"/>
              </w:rPr>
              <w:t>)</w:t>
            </w:r>
          </w:p>
        </w:tc>
      </w:tr>
      <w:tr w:rsidR="004856A4" w:rsidRPr="00B81AE0" w14:paraId="099699F4" w14:textId="77777777" w:rsidTr="00B15944">
        <w:trPr>
          <w:trHeight w:val="170"/>
        </w:trPr>
        <w:tc>
          <w:tcPr>
            <w:tcW w:w="2151" w:type="dxa"/>
          </w:tcPr>
          <w:p w14:paraId="698DD6C8" w14:textId="2BE6B0BC" w:rsidR="004856A4" w:rsidRPr="00B81AE0" w:rsidRDefault="004856A4" w:rsidP="00B15944">
            <w:pPr>
              <w:suppressAutoHyphens/>
              <w:autoSpaceDE w:val="0"/>
              <w:autoSpaceDN w:val="0"/>
              <w:adjustRightInd w:val="0"/>
              <w:spacing w:before="20" w:after="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1 July 20</w:t>
            </w:r>
            <w:r>
              <w:rPr>
                <w:rFonts w:asciiTheme="majorHAnsi" w:hAnsiTheme="majorHAnsi"/>
                <w:color w:val="1C1C1C"/>
                <w:sz w:val="14"/>
                <w:szCs w:val="14"/>
              </w:rPr>
              <w:t>21</w:t>
            </w:r>
          </w:p>
        </w:tc>
        <w:tc>
          <w:tcPr>
            <w:tcW w:w="976" w:type="dxa"/>
            <w:tcBorders>
              <w:top w:val="single" w:sz="2" w:space="0" w:color="auto"/>
              <w:bottom w:val="single" w:sz="2" w:space="0" w:color="auto"/>
              <w:right w:val="single" w:sz="18" w:space="0" w:color="FFFFFF" w:themeColor="background2"/>
            </w:tcBorders>
          </w:tcPr>
          <w:p w14:paraId="0175B5F7" w14:textId="7781439A" w:rsidR="004856A4" w:rsidRPr="009A2FF3" w:rsidRDefault="00E42BAB" w:rsidP="00B1594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1,124</w:t>
            </w:r>
            <w:r w:rsidR="004856A4"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1BD26926" w14:textId="01213FE4"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w:t>
            </w:r>
            <w:r w:rsidR="00E42BAB">
              <w:rPr>
                <w:rFonts w:asciiTheme="majorHAnsi" w:hAnsiTheme="majorHAnsi" w:cs="Calibri"/>
                <w:sz w:val="14"/>
                <w:szCs w:val="14"/>
              </w:rPr>
              <w:t>107</w:t>
            </w:r>
            <w:r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tcPr>
          <w:p w14:paraId="721894EB" w14:textId="737E66DB" w:rsidR="004856A4" w:rsidRPr="009A2FF3" w:rsidRDefault="00E42BAB" w:rsidP="00B1594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1</w:t>
            </w:r>
            <w:r w:rsidR="004856A4"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3415F6F7" w14:textId="6945FA41" w:rsidR="004856A4" w:rsidRPr="009A2FF3" w:rsidRDefault="00E42BAB" w:rsidP="00B1594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91</w:t>
            </w:r>
            <w:r w:rsidR="004856A4"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tcBorders>
          </w:tcPr>
          <w:p w14:paraId="49B04011" w14:textId="2687A308" w:rsidR="004856A4" w:rsidRPr="009A2FF3" w:rsidRDefault="00E42BAB" w:rsidP="00B1594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2</w:t>
            </w:r>
            <w:r w:rsidR="004856A4" w:rsidRPr="009A2FF3">
              <w:rPr>
                <w:rFonts w:asciiTheme="majorHAnsi" w:hAnsiTheme="majorHAnsi" w:cs="Calibri"/>
                <w:sz w:val="14"/>
                <w:szCs w:val="14"/>
              </w:rPr>
              <w:t>,</w:t>
            </w:r>
            <w:r>
              <w:rPr>
                <w:rFonts w:asciiTheme="majorHAnsi" w:hAnsiTheme="majorHAnsi" w:cs="Calibri"/>
                <w:sz w:val="14"/>
                <w:szCs w:val="14"/>
              </w:rPr>
              <w:t>323</w:t>
            </w:r>
            <w:r w:rsidR="004856A4" w:rsidRPr="009A2FF3">
              <w:rPr>
                <w:rFonts w:asciiTheme="majorHAnsi" w:hAnsiTheme="majorHAnsi" w:cs="Calibri"/>
                <w:sz w:val="14"/>
                <w:szCs w:val="14"/>
              </w:rPr>
              <w:t xml:space="preserve"> </w:t>
            </w:r>
          </w:p>
        </w:tc>
      </w:tr>
      <w:tr w:rsidR="004856A4" w:rsidRPr="00B81AE0" w14:paraId="11AB471E" w14:textId="77777777" w:rsidTr="00B15944">
        <w:trPr>
          <w:trHeight w:val="170"/>
        </w:trPr>
        <w:tc>
          <w:tcPr>
            <w:tcW w:w="2151" w:type="dxa"/>
          </w:tcPr>
          <w:p w14:paraId="719CEDF2" w14:textId="77777777" w:rsidR="004856A4" w:rsidRPr="00B81AE0" w:rsidRDefault="004856A4" w:rsidP="00B15944">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Additions</w:t>
            </w:r>
          </w:p>
        </w:tc>
        <w:tc>
          <w:tcPr>
            <w:tcW w:w="976" w:type="dxa"/>
            <w:tcBorders>
              <w:top w:val="single" w:sz="2" w:space="0" w:color="auto"/>
              <w:right w:val="single" w:sz="18" w:space="0" w:color="FFFFFF" w:themeColor="background2"/>
            </w:tcBorders>
          </w:tcPr>
          <w:p w14:paraId="2C61419F"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p>
        </w:tc>
        <w:tc>
          <w:tcPr>
            <w:tcW w:w="1134" w:type="dxa"/>
            <w:tcBorders>
              <w:top w:val="single" w:sz="2" w:space="0" w:color="auto"/>
              <w:left w:val="single" w:sz="18" w:space="0" w:color="FFFFFF" w:themeColor="background2"/>
              <w:right w:val="single" w:sz="18" w:space="0" w:color="FFFFFF" w:themeColor="background2"/>
            </w:tcBorders>
          </w:tcPr>
          <w:p w14:paraId="2A1F2909"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2" w:space="0" w:color="auto"/>
              <w:left w:val="single" w:sz="18" w:space="0" w:color="FFFFFF" w:themeColor="background2"/>
              <w:right w:val="single" w:sz="18" w:space="0" w:color="FFFFFF" w:themeColor="background2"/>
            </w:tcBorders>
          </w:tcPr>
          <w:p w14:paraId="0876018F"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1134" w:type="dxa"/>
            <w:tcBorders>
              <w:top w:val="single" w:sz="2" w:space="0" w:color="auto"/>
              <w:left w:val="single" w:sz="18" w:space="0" w:color="FFFFFF" w:themeColor="background2"/>
              <w:right w:val="single" w:sz="18" w:space="0" w:color="FFFFFF" w:themeColor="background2"/>
            </w:tcBorders>
          </w:tcPr>
          <w:p w14:paraId="322682C6"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2" w:space="0" w:color="auto"/>
              <w:left w:val="single" w:sz="18" w:space="0" w:color="FFFFFF" w:themeColor="background2"/>
            </w:tcBorders>
          </w:tcPr>
          <w:p w14:paraId="0A73A5C6" w14:textId="77777777" w:rsidR="004856A4" w:rsidRPr="009A2FF3" w:rsidRDefault="004856A4" w:rsidP="00B1594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 </w:t>
            </w:r>
          </w:p>
        </w:tc>
      </w:tr>
      <w:tr w:rsidR="004856A4" w:rsidRPr="00B81AE0" w14:paraId="31D6F2FE" w14:textId="77777777" w:rsidTr="00B15944">
        <w:trPr>
          <w:trHeight w:val="170"/>
        </w:trPr>
        <w:tc>
          <w:tcPr>
            <w:tcW w:w="2151" w:type="dxa"/>
          </w:tcPr>
          <w:p w14:paraId="72D4077D" w14:textId="5895C483" w:rsidR="004856A4" w:rsidRPr="00B81AE0" w:rsidRDefault="004856A4" w:rsidP="00B15944">
            <w:pPr>
              <w:suppressAutoHyphens/>
              <w:autoSpaceDE w:val="0"/>
              <w:autoSpaceDN w:val="0"/>
              <w:adjustRightInd w:val="0"/>
              <w:spacing w:before="20" w:after="20" w:line="20" w:lineRule="atLeast"/>
              <w:ind w:left="113"/>
              <w:textAlignment w:val="center"/>
              <w:rPr>
                <w:color w:val="1C1C1C"/>
                <w:sz w:val="14"/>
                <w:szCs w:val="14"/>
              </w:rPr>
            </w:pPr>
            <w:r>
              <w:rPr>
                <w:color w:val="1C1C1C"/>
                <w:sz w:val="14"/>
                <w:szCs w:val="14"/>
              </w:rPr>
              <w:t>Right-of-use assets</w:t>
            </w:r>
          </w:p>
        </w:tc>
        <w:tc>
          <w:tcPr>
            <w:tcW w:w="976" w:type="dxa"/>
            <w:tcBorders>
              <w:right w:val="single" w:sz="18" w:space="0" w:color="FFFFFF" w:themeColor="background2"/>
            </w:tcBorders>
          </w:tcPr>
          <w:p w14:paraId="4B302C16" w14:textId="2B78DCE6"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w:t>
            </w:r>
            <w:r w:rsidR="00E42BAB">
              <w:rPr>
                <w:rFonts w:asciiTheme="majorHAnsi" w:hAnsiTheme="majorHAnsi" w:cs="Calibri"/>
                <w:sz w:val="14"/>
                <w:szCs w:val="14"/>
              </w:rPr>
              <w:t>12,801</w:t>
            </w:r>
            <w:r w:rsidRPr="009A2FF3">
              <w:rPr>
                <w:rFonts w:asciiTheme="majorHAnsi" w:hAnsiTheme="majorHAnsi" w:cs="Calibri"/>
                <w:sz w:val="14"/>
                <w:szCs w:val="14"/>
              </w:rPr>
              <w:t xml:space="preserve"> </w:t>
            </w:r>
          </w:p>
        </w:tc>
        <w:tc>
          <w:tcPr>
            <w:tcW w:w="1134" w:type="dxa"/>
            <w:tcBorders>
              <w:left w:val="single" w:sz="18" w:space="0" w:color="FFFFFF" w:themeColor="background2"/>
              <w:right w:val="single" w:sz="18" w:space="0" w:color="FFFFFF" w:themeColor="background2"/>
            </w:tcBorders>
          </w:tcPr>
          <w:p w14:paraId="12183491"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right w:val="single" w:sz="18" w:space="0" w:color="FFFFFF" w:themeColor="background2"/>
            </w:tcBorders>
          </w:tcPr>
          <w:p w14:paraId="45A559B8"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right w:val="single" w:sz="18" w:space="0" w:color="FFFFFF" w:themeColor="background2"/>
            </w:tcBorders>
          </w:tcPr>
          <w:p w14:paraId="736FC6C6" w14:textId="4C4F5D79" w:rsidR="004856A4" w:rsidRPr="009A2FF3" w:rsidRDefault="00E42BAB" w:rsidP="00B1594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w:t>
            </w:r>
          </w:p>
        </w:tc>
        <w:tc>
          <w:tcPr>
            <w:tcW w:w="992" w:type="dxa"/>
            <w:tcBorders>
              <w:left w:val="single" w:sz="18" w:space="0" w:color="FFFFFF" w:themeColor="background2"/>
            </w:tcBorders>
          </w:tcPr>
          <w:p w14:paraId="22299F74" w14:textId="6118F9F5" w:rsidR="004856A4" w:rsidRPr="009A2FF3" w:rsidRDefault="00E42BAB" w:rsidP="00B1594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12,801</w:t>
            </w:r>
          </w:p>
        </w:tc>
      </w:tr>
      <w:tr w:rsidR="004856A4" w:rsidRPr="00B81AE0" w14:paraId="3CE41C28" w14:textId="77777777" w:rsidTr="00B15944">
        <w:trPr>
          <w:trHeight w:val="170"/>
        </w:trPr>
        <w:tc>
          <w:tcPr>
            <w:tcW w:w="2151" w:type="dxa"/>
          </w:tcPr>
          <w:p w14:paraId="074384D4" w14:textId="6BD43E3F" w:rsidR="004856A4" w:rsidRDefault="004856A4" w:rsidP="00E42BAB">
            <w:pPr>
              <w:suppressAutoHyphens/>
              <w:autoSpaceDE w:val="0"/>
              <w:autoSpaceDN w:val="0"/>
              <w:adjustRightInd w:val="0"/>
              <w:spacing w:before="20" w:after="20" w:line="20" w:lineRule="atLeast"/>
              <w:ind w:left="113"/>
              <w:textAlignment w:val="center"/>
              <w:rPr>
                <w:color w:val="1C1C1C"/>
                <w:sz w:val="14"/>
                <w:szCs w:val="14"/>
              </w:rPr>
            </w:pPr>
            <w:r>
              <w:rPr>
                <w:color w:val="1C1C1C"/>
                <w:sz w:val="14"/>
                <w:szCs w:val="14"/>
              </w:rPr>
              <w:t>Purchase</w:t>
            </w:r>
          </w:p>
        </w:tc>
        <w:tc>
          <w:tcPr>
            <w:tcW w:w="976" w:type="dxa"/>
            <w:tcBorders>
              <w:right w:val="single" w:sz="18" w:space="0" w:color="FFFFFF" w:themeColor="background2"/>
            </w:tcBorders>
          </w:tcPr>
          <w:p w14:paraId="444B6DB1" w14:textId="56BF37C6" w:rsidR="004856A4" w:rsidRPr="009A2FF3" w:rsidRDefault="00E42BAB" w:rsidP="00B1594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w:t>
            </w:r>
          </w:p>
        </w:tc>
        <w:tc>
          <w:tcPr>
            <w:tcW w:w="1134" w:type="dxa"/>
            <w:tcBorders>
              <w:left w:val="single" w:sz="18" w:space="0" w:color="FFFFFF" w:themeColor="background2"/>
              <w:right w:val="single" w:sz="18" w:space="0" w:color="FFFFFF" w:themeColor="background2"/>
            </w:tcBorders>
          </w:tcPr>
          <w:p w14:paraId="1CBBED61" w14:textId="48E799A3" w:rsidR="004856A4" w:rsidRPr="009A2FF3" w:rsidRDefault="00E42BAB" w:rsidP="00B1594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2,481</w:t>
            </w:r>
          </w:p>
        </w:tc>
        <w:tc>
          <w:tcPr>
            <w:tcW w:w="992" w:type="dxa"/>
            <w:tcBorders>
              <w:left w:val="single" w:sz="18" w:space="0" w:color="FFFFFF" w:themeColor="background2"/>
              <w:right w:val="single" w:sz="18" w:space="0" w:color="FFFFFF" w:themeColor="background2"/>
            </w:tcBorders>
          </w:tcPr>
          <w:p w14:paraId="708E600D" w14:textId="77FDD9CE" w:rsidR="004856A4" w:rsidRPr="009A2FF3" w:rsidRDefault="00E42BAB" w:rsidP="00B1594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w:t>
            </w:r>
          </w:p>
        </w:tc>
        <w:tc>
          <w:tcPr>
            <w:tcW w:w="1134" w:type="dxa"/>
            <w:tcBorders>
              <w:left w:val="single" w:sz="18" w:space="0" w:color="FFFFFF" w:themeColor="background2"/>
              <w:right w:val="single" w:sz="18" w:space="0" w:color="FFFFFF" w:themeColor="background2"/>
            </w:tcBorders>
          </w:tcPr>
          <w:p w14:paraId="2107CD4F" w14:textId="60999AA3" w:rsidR="004856A4" w:rsidRDefault="00E42BAB" w:rsidP="00B1594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w:t>
            </w:r>
          </w:p>
        </w:tc>
        <w:tc>
          <w:tcPr>
            <w:tcW w:w="992" w:type="dxa"/>
            <w:tcBorders>
              <w:left w:val="single" w:sz="18" w:space="0" w:color="FFFFFF" w:themeColor="background2"/>
            </w:tcBorders>
          </w:tcPr>
          <w:p w14:paraId="435C0978" w14:textId="11CD34C3" w:rsidR="004856A4" w:rsidRDefault="00E42BAB" w:rsidP="00B15944">
            <w:pPr>
              <w:suppressAutoHyphens/>
              <w:autoSpaceDE w:val="0"/>
              <w:autoSpaceDN w:val="0"/>
              <w:adjustRightInd w:val="0"/>
              <w:spacing w:before="20" w:after="20" w:line="20" w:lineRule="atLeast"/>
              <w:jc w:val="right"/>
              <w:textAlignment w:val="center"/>
              <w:rPr>
                <w:rFonts w:asciiTheme="majorHAnsi" w:hAnsiTheme="majorHAnsi" w:cs="Calibri"/>
                <w:sz w:val="14"/>
                <w:szCs w:val="14"/>
              </w:rPr>
            </w:pPr>
            <w:r>
              <w:rPr>
                <w:rFonts w:asciiTheme="majorHAnsi" w:hAnsiTheme="majorHAnsi" w:cs="Calibri"/>
                <w:sz w:val="14"/>
                <w:szCs w:val="14"/>
              </w:rPr>
              <w:t>2,481</w:t>
            </w:r>
          </w:p>
        </w:tc>
      </w:tr>
      <w:tr w:rsidR="004856A4" w:rsidRPr="00B81AE0" w14:paraId="0FF6794D" w14:textId="77777777" w:rsidTr="00B15944">
        <w:trPr>
          <w:trHeight w:val="170"/>
        </w:trPr>
        <w:tc>
          <w:tcPr>
            <w:tcW w:w="2151" w:type="dxa"/>
          </w:tcPr>
          <w:p w14:paraId="1E34C98D" w14:textId="77777777" w:rsidR="004856A4" w:rsidRPr="00B81AE0" w:rsidRDefault="004856A4" w:rsidP="00B15944">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Depreciation and amortisation</w:t>
            </w:r>
          </w:p>
        </w:tc>
        <w:tc>
          <w:tcPr>
            <w:tcW w:w="976" w:type="dxa"/>
            <w:tcBorders>
              <w:right w:val="single" w:sz="18" w:space="0" w:color="FFFFFF" w:themeColor="background2"/>
            </w:tcBorders>
          </w:tcPr>
          <w:p w14:paraId="6A24E071"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right w:val="single" w:sz="18" w:space="0" w:color="FFFFFF" w:themeColor="background2"/>
            </w:tcBorders>
          </w:tcPr>
          <w:p w14:paraId="23C32E10" w14:textId="53BB6E42"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E42BAB">
              <w:rPr>
                <w:rFonts w:asciiTheme="majorHAnsi" w:hAnsiTheme="majorHAnsi" w:cs="Calibri"/>
                <w:sz w:val="14"/>
                <w:szCs w:val="14"/>
              </w:rPr>
              <w:t>467</w:t>
            </w:r>
            <w:r w:rsidRPr="009A2FF3">
              <w:rPr>
                <w:rFonts w:asciiTheme="majorHAnsi" w:hAnsiTheme="majorHAnsi" w:cs="Calibri"/>
                <w:sz w:val="14"/>
                <w:szCs w:val="14"/>
              </w:rPr>
              <w:t>)</w:t>
            </w:r>
          </w:p>
        </w:tc>
        <w:tc>
          <w:tcPr>
            <w:tcW w:w="992" w:type="dxa"/>
            <w:tcBorders>
              <w:left w:val="single" w:sz="18" w:space="0" w:color="FFFFFF" w:themeColor="background2"/>
              <w:right w:val="single" w:sz="18" w:space="0" w:color="FFFFFF" w:themeColor="background2"/>
            </w:tcBorders>
          </w:tcPr>
          <w:p w14:paraId="11CADB94"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w:t>
            </w:r>
          </w:p>
        </w:tc>
        <w:tc>
          <w:tcPr>
            <w:tcW w:w="1134" w:type="dxa"/>
            <w:tcBorders>
              <w:left w:val="single" w:sz="18" w:space="0" w:color="FFFFFF" w:themeColor="background2"/>
              <w:right w:val="single" w:sz="18" w:space="0" w:color="FFFFFF" w:themeColor="background2"/>
            </w:tcBorders>
          </w:tcPr>
          <w:p w14:paraId="2E568659" w14:textId="0CC02DE4"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E42BAB">
              <w:rPr>
                <w:rFonts w:asciiTheme="majorHAnsi" w:hAnsiTheme="majorHAnsi" w:cs="Calibri"/>
                <w:sz w:val="14"/>
                <w:szCs w:val="14"/>
              </w:rPr>
              <w:t>15</w:t>
            </w:r>
            <w:r w:rsidRPr="009A2FF3">
              <w:rPr>
                <w:rFonts w:asciiTheme="majorHAnsi" w:hAnsiTheme="majorHAnsi" w:cs="Calibri"/>
                <w:sz w:val="14"/>
                <w:szCs w:val="14"/>
              </w:rPr>
              <w:t>)</w:t>
            </w:r>
          </w:p>
        </w:tc>
        <w:tc>
          <w:tcPr>
            <w:tcW w:w="992" w:type="dxa"/>
            <w:tcBorders>
              <w:left w:val="single" w:sz="18" w:space="0" w:color="FFFFFF" w:themeColor="background2"/>
            </w:tcBorders>
          </w:tcPr>
          <w:p w14:paraId="486CC60B" w14:textId="1418E8DB" w:rsidR="004856A4" w:rsidRPr="009A2FF3" w:rsidRDefault="004856A4" w:rsidP="00B1594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w:t>
            </w:r>
            <w:r w:rsidR="00E42BAB">
              <w:rPr>
                <w:rFonts w:asciiTheme="majorHAnsi" w:hAnsiTheme="majorHAnsi" w:cs="Calibri"/>
                <w:sz w:val="14"/>
                <w:szCs w:val="14"/>
              </w:rPr>
              <w:t>483</w:t>
            </w:r>
            <w:r w:rsidRPr="009A2FF3">
              <w:rPr>
                <w:rFonts w:asciiTheme="majorHAnsi" w:hAnsiTheme="majorHAnsi" w:cs="Calibri"/>
                <w:sz w:val="14"/>
                <w:szCs w:val="14"/>
              </w:rPr>
              <w:t>)</w:t>
            </w:r>
          </w:p>
        </w:tc>
      </w:tr>
      <w:tr w:rsidR="004856A4" w:rsidRPr="00B81AE0" w14:paraId="4FAF21CE" w14:textId="77777777" w:rsidTr="00B15944">
        <w:trPr>
          <w:trHeight w:val="170"/>
        </w:trPr>
        <w:tc>
          <w:tcPr>
            <w:tcW w:w="2151" w:type="dxa"/>
          </w:tcPr>
          <w:p w14:paraId="7D9848A0" w14:textId="77777777" w:rsidR="004856A4" w:rsidRPr="00B81AE0" w:rsidRDefault="004856A4" w:rsidP="00B15944">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Depreciation on right-of-use assets</w:t>
            </w:r>
          </w:p>
        </w:tc>
        <w:tc>
          <w:tcPr>
            <w:tcW w:w="976" w:type="dxa"/>
            <w:tcBorders>
              <w:right w:val="single" w:sz="18" w:space="0" w:color="FFFFFF" w:themeColor="background2"/>
            </w:tcBorders>
          </w:tcPr>
          <w:p w14:paraId="5627112B" w14:textId="1009E9C9"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4E2AE1">
              <w:rPr>
                <w:rFonts w:asciiTheme="majorHAnsi" w:hAnsiTheme="majorHAnsi" w:cs="Calibri"/>
                <w:sz w:val="14"/>
                <w:szCs w:val="14"/>
              </w:rPr>
              <w:t>818</w:t>
            </w:r>
            <w:r w:rsidRPr="009A2FF3">
              <w:rPr>
                <w:rFonts w:asciiTheme="majorHAnsi" w:hAnsiTheme="majorHAnsi" w:cs="Calibri"/>
                <w:sz w:val="14"/>
                <w:szCs w:val="14"/>
              </w:rPr>
              <w:t>)</w:t>
            </w:r>
          </w:p>
        </w:tc>
        <w:tc>
          <w:tcPr>
            <w:tcW w:w="1134" w:type="dxa"/>
            <w:tcBorders>
              <w:left w:val="single" w:sz="18" w:space="0" w:color="FFFFFF" w:themeColor="background2"/>
              <w:right w:val="single" w:sz="18" w:space="0" w:color="FFFFFF" w:themeColor="background2"/>
            </w:tcBorders>
          </w:tcPr>
          <w:p w14:paraId="33CA7FF4"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right w:val="single" w:sz="18" w:space="0" w:color="FFFFFF" w:themeColor="background2"/>
            </w:tcBorders>
          </w:tcPr>
          <w:p w14:paraId="7A9B8B9A"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right w:val="single" w:sz="18" w:space="0" w:color="FFFFFF" w:themeColor="background2"/>
            </w:tcBorders>
          </w:tcPr>
          <w:p w14:paraId="3C479C97" w14:textId="77777777"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tcBorders>
          </w:tcPr>
          <w:p w14:paraId="224F1A42" w14:textId="5973A64C" w:rsidR="004856A4" w:rsidRPr="009A2FF3" w:rsidRDefault="004856A4" w:rsidP="00B1594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w:t>
            </w:r>
            <w:r w:rsidR="004E2AE1">
              <w:rPr>
                <w:rFonts w:asciiTheme="majorHAnsi" w:hAnsiTheme="majorHAnsi" w:cs="Calibri"/>
                <w:sz w:val="14"/>
                <w:szCs w:val="14"/>
              </w:rPr>
              <w:t>818</w:t>
            </w:r>
            <w:r w:rsidRPr="009A2FF3">
              <w:rPr>
                <w:rFonts w:asciiTheme="majorHAnsi" w:hAnsiTheme="majorHAnsi" w:cs="Calibri"/>
                <w:sz w:val="14"/>
                <w:szCs w:val="14"/>
              </w:rPr>
              <w:t>)</w:t>
            </w:r>
          </w:p>
        </w:tc>
      </w:tr>
      <w:tr w:rsidR="004856A4" w:rsidRPr="00B81AE0" w14:paraId="03699836" w14:textId="77777777" w:rsidTr="00E42BAB">
        <w:trPr>
          <w:trHeight w:val="170"/>
        </w:trPr>
        <w:tc>
          <w:tcPr>
            <w:tcW w:w="2151" w:type="dxa"/>
          </w:tcPr>
          <w:p w14:paraId="0CB0AEC9" w14:textId="43DE6F2F" w:rsidR="004856A4" w:rsidRPr="00B81AE0" w:rsidRDefault="004856A4" w:rsidP="00B15944">
            <w:pPr>
              <w:suppressAutoHyphens/>
              <w:autoSpaceDE w:val="0"/>
              <w:autoSpaceDN w:val="0"/>
              <w:adjustRightInd w:val="0"/>
              <w:spacing w:before="20" w:after="20" w:line="20" w:lineRule="atLeast"/>
              <w:textAlignment w:val="center"/>
              <w:rPr>
                <w:color w:val="1C1C1C"/>
                <w:sz w:val="14"/>
                <w:szCs w:val="14"/>
              </w:rPr>
            </w:pPr>
            <w:r>
              <w:rPr>
                <w:color w:val="1C1C1C"/>
                <w:sz w:val="14"/>
                <w:szCs w:val="14"/>
              </w:rPr>
              <w:t>Disposals</w:t>
            </w:r>
          </w:p>
        </w:tc>
        <w:tc>
          <w:tcPr>
            <w:tcW w:w="976" w:type="dxa"/>
            <w:tcBorders>
              <w:right w:val="single" w:sz="18" w:space="0" w:color="FFFFFF" w:themeColor="background2"/>
            </w:tcBorders>
          </w:tcPr>
          <w:p w14:paraId="712E0B6A" w14:textId="30C27C38"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p>
        </w:tc>
        <w:tc>
          <w:tcPr>
            <w:tcW w:w="1134" w:type="dxa"/>
            <w:tcBorders>
              <w:left w:val="single" w:sz="18" w:space="0" w:color="FFFFFF" w:themeColor="background2"/>
              <w:right w:val="single" w:sz="18" w:space="0" w:color="FFFFFF" w:themeColor="background2"/>
            </w:tcBorders>
          </w:tcPr>
          <w:p w14:paraId="0E78DCC5" w14:textId="57C16166"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w:t>
            </w:r>
          </w:p>
        </w:tc>
        <w:tc>
          <w:tcPr>
            <w:tcW w:w="992" w:type="dxa"/>
            <w:tcBorders>
              <w:left w:val="single" w:sz="18" w:space="0" w:color="FFFFFF" w:themeColor="background2"/>
              <w:right w:val="single" w:sz="18" w:space="0" w:color="FFFFFF" w:themeColor="background2"/>
            </w:tcBorders>
          </w:tcPr>
          <w:p w14:paraId="4DBA1D66" w14:textId="58448579"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w:t>
            </w:r>
          </w:p>
        </w:tc>
        <w:tc>
          <w:tcPr>
            <w:tcW w:w="1134" w:type="dxa"/>
            <w:tcBorders>
              <w:left w:val="single" w:sz="18" w:space="0" w:color="FFFFFF" w:themeColor="background2"/>
              <w:right w:val="single" w:sz="18" w:space="0" w:color="FFFFFF" w:themeColor="background2"/>
            </w:tcBorders>
          </w:tcPr>
          <w:p w14:paraId="7806B5DB" w14:textId="43BD8282" w:rsidR="004856A4" w:rsidRPr="009A2FF3" w:rsidRDefault="004856A4" w:rsidP="00B1594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w:t>
            </w:r>
          </w:p>
        </w:tc>
        <w:tc>
          <w:tcPr>
            <w:tcW w:w="992" w:type="dxa"/>
            <w:tcBorders>
              <w:left w:val="single" w:sz="18" w:space="0" w:color="FFFFFF" w:themeColor="background2"/>
            </w:tcBorders>
          </w:tcPr>
          <w:p w14:paraId="347B90AA" w14:textId="7D632399" w:rsidR="004856A4" w:rsidRPr="009A2FF3" w:rsidRDefault="004856A4" w:rsidP="00B1594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p>
        </w:tc>
      </w:tr>
      <w:tr w:rsidR="004856A4" w:rsidRPr="00B81AE0" w14:paraId="3DF47AB3" w14:textId="77777777" w:rsidTr="00E42BAB">
        <w:trPr>
          <w:trHeight w:val="170"/>
        </w:trPr>
        <w:tc>
          <w:tcPr>
            <w:tcW w:w="2151" w:type="dxa"/>
          </w:tcPr>
          <w:p w14:paraId="18C3CC81" w14:textId="154FCC35" w:rsidR="004856A4" w:rsidRDefault="00E42BAB" w:rsidP="00E42BAB">
            <w:pPr>
              <w:suppressAutoHyphens/>
              <w:autoSpaceDE w:val="0"/>
              <w:autoSpaceDN w:val="0"/>
              <w:adjustRightInd w:val="0"/>
              <w:spacing w:before="20" w:after="20" w:line="20" w:lineRule="atLeast"/>
              <w:ind w:left="113"/>
              <w:textAlignment w:val="center"/>
              <w:rPr>
                <w:color w:val="1C1C1C"/>
                <w:sz w:val="14"/>
                <w:szCs w:val="14"/>
              </w:rPr>
            </w:pPr>
            <w:r>
              <w:rPr>
                <w:color w:val="1C1C1C"/>
                <w:sz w:val="14"/>
                <w:szCs w:val="14"/>
              </w:rPr>
              <w:t>Non-cash consideration</w:t>
            </w:r>
          </w:p>
        </w:tc>
        <w:tc>
          <w:tcPr>
            <w:tcW w:w="976" w:type="dxa"/>
            <w:tcBorders>
              <w:right w:val="single" w:sz="18" w:space="0" w:color="FFFFFF" w:themeColor="background2"/>
            </w:tcBorders>
          </w:tcPr>
          <w:p w14:paraId="2A89229E" w14:textId="50B7AB9B" w:rsidR="004856A4" w:rsidRPr="009A2FF3" w:rsidRDefault="004E2AE1" w:rsidP="004856A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(1,920)</w:t>
            </w:r>
          </w:p>
        </w:tc>
        <w:tc>
          <w:tcPr>
            <w:tcW w:w="1134" w:type="dxa"/>
            <w:tcBorders>
              <w:left w:val="single" w:sz="18" w:space="0" w:color="FFFFFF" w:themeColor="background2"/>
              <w:right w:val="single" w:sz="18" w:space="0" w:color="FFFFFF" w:themeColor="background2"/>
            </w:tcBorders>
          </w:tcPr>
          <w:p w14:paraId="6A01D240" w14:textId="1BCF1EAB" w:rsidR="004856A4" w:rsidRPr="009A2FF3" w:rsidRDefault="004E2AE1" w:rsidP="004856A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(1,846)</w:t>
            </w:r>
          </w:p>
        </w:tc>
        <w:tc>
          <w:tcPr>
            <w:tcW w:w="992" w:type="dxa"/>
            <w:tcBorders>
              <w:left w:val="single" w:sz="18" w:space="0" w:color="FFFFFF" w:themeColor="background2"/>
              <w:right w:val="single" w:sz="18" w:space="0" w:color="FFFFFF" w:themeColor="background2"/>
            </w:tcBorders>
          </w:tcPr>
          <w:p w14:paraId="62EBCCB2" w14:textId="39835122" w:rsidR="004856A4" w:rsidRPr="009A2FF3" w:rsidRDefault="004E2AE1" w:rsidP="004856A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(5)</w:t>
            </w:r>
          </w:p>
        </w:tc>
        <w:tc>
          <w:tcPr>
            <w:tcW w:w="1134" w:type="dxa"/>
            <w:tcBorders>
              <w:left w:val="single" w:sz="18" w:space="0" w:color="FFFFFF" w:themeColor="background2"/>
              <w:right w:val="single" w:sz="18" w:space="0" w:color="FFFFFF" w:themeColor="background2"/>
            </w:tcBorders>
          </w:tcPr>
          <w:p w14:paraId="0B18B4A4" w14:textId="549E1140" w:rsidR="004856A4" w:rsidRPr="009A2FF3" w:rsidRDefault="004E2AE1" w:rsidP="004856A4">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(25)</w:t>
            </w:r>
          </w:p>
        </w:tc>
        <w:tc>
          <w:tcPr>
            <w:tcW w:w="992" w:type="dxa"/>
            <w:tcBorders>
              <w:left w:val="single" w:sz="18" w:space="0" w:color="FFFFFF" w:themeColor="background2"/>
            </w:tcBorders>
          </w:tcPr>
          <w:p w14:paraId="4DD6A13D" w14:textId="7914DFC9" w:rsidR="004856A4" w:rsidRPr="009A2FF3" w:rsidRDefault="004E2AE1" w:rsidP="004856A4">
            <w:pPr>
              <w:suppressAutoHyphens/>
              <w:autoSpaceDE w:val="0"/>
              <w:autoSpaceDN w:val="0"/>
              <w:adjustRightInd w:val="0"/>
              <w:spacing w:before="20" w:after="20" w:line="20" w:lineRule="atLeast"/>
              <w:jc w:val="right"/>
              <w:textAlignment w:val="center"/>
              <w:rPr>
                <w:rFonts w:asciiTheme="majorHAnsi" w:hAnsiTheme="majorHAnsi" w:cs="Calibri"/>
                <w:sz w:val="14"/>
                <w:szCs w:val="14"/>
              </w:rPr>
            </w:pPr>
            <w:r>
              <w:rPr>
                <w:rFonts w:asciiTheme="majorHAnsi" w:hAnsiTheme="majorHAnsi" w:cs="Calibri"/>
                <w:sz w:val="14"/>
                <w:szCs w:val="14"/>
              </w:rPr>
              <w:t>(3,796)</w:t>
            </w:r>
          </w:p>
        </w:tc>
      </w:tr>
      <w:tr w:rsidR="00E42BAB" w:rsidRPr="00B81AE0" w14:paraId="61701ECF" w14:textId="77777777" w:rsidTr="004E2AE1">
        <w:trPr>
          <w:trHeight w:val="170"/>
        </w:trPr>
        <w:tc>
          <w:tcPr>
            <w:tcW w:w="2151" w:type="dxa"/>
          </w:tcPr>
          <w:p w14:paraId="005039C9" w14:textId="2138F3FB" w:rsidR="00E42BAB" w:rsidRDefault="00E42BAB" w:rsidP="00E42BAB">
            <w:pPr>
              <w:suppressAutoHyphens/>
              <w:autoSpaceDE w:val="0"/>
              <w:autoSpaceDN w:val="0"/>
              <w:adjustRightInd w:val="0"/>
              <w:spacing w:before="20" w:after="20" w:line="20" w:lineRule="atLeast"/>
              <w:ind w:left="113"/>
              <w:textAlignment w:val="center"/>
              <w:rPr>
                <w:color w:val="1C1C1C"/>
                <w:sz w:val="14"/>
                <w:szCs w:val="14"/>
              </w:rPr>
            </w:pPr>
            <w:r>
              <w:rPr>
                <w:color w:val="1C1C1C"/>
                <w:sz w:val="14"/>
                <w:szCs w:val="14"/>
              </w:rPr>
              <w:t>Adjustment to right-of-use assets from lease modification</w:t>
            </w:r>
          </w:p>
        </w:tc>
        <w:tc>
          <w:tcPr>
            <w:tcW w:w="976" w:type="dxa"/>
            <w:tcBorders>
              <w:right w:val="single" w:sz="18" w:space="0" w:color="FFFFFF" w:themeColor="background2"/>
            </w:tcBorders>
            <w:vAlign w:val="bottom"/>
          </w:tcPr>
          <w:p w14:paraId="20C58E77" w14:textId="0003C9AB"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(733)</w:t>
            </w:r>
          </w:p>
        </w:tc>
        <w:tc>
          <w:tcPr>
            <w:tcW w:w="1134" w:type="dxa"/>
            <w:tcBorders>
              <w:left w:val="single" w:sz="18" w:space="0" w:color="FFFFFF" w:themeColor="background2"/>
              <w:right w:val="single" w:sz="18" w:space="0" w:color="FFFFFF" w:themeColor="background2"/>
            </w:tcBorders>
            <w:vAlign w:val="bottom"/>
          </w:tcPr>
          <w:p w14:paraId="55F738C8" w14:textId="2C5C4950"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w:t>
            </w:r>
          </w:p>
        </w:tc>
        <w:tc>
          <w:tcPr>
            <w:tcW w:w="992" w:type="dxa"/>
            <w:tcBorders>
              <w:left w:val="single" w:sz="18" w:space="0" w:color="FFFFFF" w:themeColor="background2"/>
              <w:right w:val="single" w:sz="18" w:space="0" w:color="FFFFFF" w:themeColor="background2"/>
            </w:tcBorders>
            <w:vAlign w:val="bottom"/>
          </w:tcPr>
          <w:p w14:paraId="084A38CF" w14:textId="6B7551A3"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w:t>
            </w:r>
          </w:p>
        </w:tc>
        <w:tc>
          <w:tcPr>
            <w:tcW w:w="1134" w:type="dxa"/>
            <w:tcBorders>
              <w:left w:val="single" w:sz="18" w:space="0" w:color="FFFFFF" w:themeColor="background2"/>
              <w:right w:val="single" w:sz="18" w:space="0" w:color="FFFFFF" w:themeColor="background2"/>
            </w:tcBorders>
            <w:vAlign w:val="bottom"/>
          </w:tcPr>
          <w:p w14:paraId="2272231C" w14:textId="0EC9BE23"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w:t>
            </w:r>
          </w:p>
        </w:tc>
        <w:tc>
          <w:tcPr>
            <w:tcW w:w="992" w:type="dxa"/>
            <w:tcBorders>
              <w:left w:val="single" w:sz="18" w:space="0" w:color="FFFFFF" w:themeColor="background2"/>
            </w:tcBorders>
            <w:vAlign w:val="bottom"/>
          </w:tcPr>
          <w:p w14:paraId="0FB9AEB5" w14:textId="076D5480" w:rsidR="00E42BAB" w:rsidRPr="009A2FF3" w:rsidRDefault="004E2AE1" w:rsidP="004E2AE1">
            <w:pPr>
              <w:suppressAutoHyphens/>
              <w:autoSpaceDE w:val="0"/>
              <w:autoSpaceDN w:val="0"/>
              <w:adjustRightInd w:val="0"/>
              <w:spacing w:before="20" w:after="20" w:line="20" w:lineRule="atLeast"/>
              <w:jc w:val="right"/>
              <w:textAlignment w:val="center"/>
              <w:rPr>
                <w:rFonts w:asciiTheme="majorHAnsi" w:hAnsiTheme="majorHAnsi" w:cs="Calibri"/>
                <w:sz w:val="14"/>
                <w:szCs w:val="14"/>
              </w:rPr>
            </w:pPr>
            <w:r>
              <w:rPr>
                <w:rFonts w:asciiTheme="majorHAnsi" w:hAnsiTheme="majorHAnsi" w:cs="Calibri"/>
                <w:sz w:val="14"/>
                <w:szCs w:val="14"/>
              </w:rPr>
              <w:t>(733)</w:t>
            </w:r>
          </w:p>
        </w:tc>
      </w:tr>
      <w:tr w:rsidR="00E42BAB" w:rsidRPr="00B81AE0" w14:paraId="41E4DAFD" w14:textId="77777777" w:rsidTr="004E2AE1">
        <w:trPr>
          <w:trHeight w:val="170"/>
        </w:trPr>
        <w:tc>
          <w:tcPr>
            <w:tcW w:w="2151" w:type="dxa"/>
          </w:tcPr>
          <w:p w14:paraId="2F831327" w14:textId="735732DA" w:rsidR="00E42BAB" w:rsidRDefault="00E42BAB" w:rsidP="00E42BAB">
            <w:pPr>
              <w:suppressAutoHyphens/>
              <w:autoSpaceDE w:val="0"/>
              <w:autoSpaceDN w:val="0"/>
              <w:adjustRightInd w:val="0"/>
              <w:spacing w:before="20" w:after="20" w:line="20" w:lineRule="atLeast"/>
              <w:ind w:left="113"/>
              <w:textAlignment w:val="center"/>
              <w:rPr>
                <w:color w:val="1C1C1C"/>
                <w:sz w:val="14"/>
                <w:szCs w:val="14"/>
              </w:rPr>
            </w:pPr>
            <w:r>
              <w:rPr>
                <w:color w:val="1C1C1C"/>
                <w:sz w:val="14"/>
                <w:szCs w:val="14"/>
              </w:rPr>
              <w:t>Writeback of depreciation and other adjustments</w:t>
            </w:r>
          </w:p>
        </w:tc>
        <w:tc>
          <w:tcPr>
            <w:tcW w:w="976" w:type="dxa"/>
            <w:tcBorders>
              <w:bottom w:val="single" w:sz="2" w:space="0" w:color="auto"/>
              <w:right w:val="single" w:sz="18" w:space="0" w:color="FFFFFF" w:themeColor="background2"/>
            </w:tcBorders>
            <w:vAlign w:val="bottom"/>
          </w:tcPr>
          <w:p w14:paraId="528294CF" w14:textId="658F2F1D"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1,920</w:t>
            </w:r>
          </w:p>
        </w:tc>
        <w:tc>
          <w:tcPr>
            <w:tcW w:w="1134" w:type="dxa"/>
            <w:tcBorders>
              <w:left w:val="single" w:sz="18" w:space="0" w:color="FFFFFF" w:themeColor="background2"/>
              <w:bottom w:val="single" w:sz="2" w:space="0" w:color="auto"/>
              <w:right w:val="single" w:sz="18" w:space="0" w:color="FFFFFF" w:themeColor="background2"/>
            </w:tcBorders>
            <w:vAlign w:val="bottom"/>
          </w:tcPr>
          <w:p w14:paraId="7693BAA3" w14:textId="0192BC30"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1,124</w:t>
            </w:r>
          </w:p>
        </w:tc>
        <w:tc>
          <w:tcPr>
            <w:tcW w:w="992" w:type="dxa"/>
            <w:tcBorders>
              <w:left w:val="single" w:sz="18" w:space="0" w:color="FFFFFF" w:themeColor="background2"/>
              <w:bottom w:val="single" w:sz="2" w:space="0" w:color="auto"/>
              <w:right w:val="single" w:sz="18" w:space="0" w:color="FFFFFF" w:themeColor="background2"/>
            </w:tcBorders>
            <w:vAlign w:val="bottom"/>
          </w:tcPr>
          <w:p w14:paraId="1C6BFF92" w14:textId="754A369B"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5</w:t>
            </w:r>
          </w:p>
        </w:tc>
        <w:tc>
          <w:tcPr>
            <w:tcW w:w="1134" w:type="dxa"/>
            <w:tcBorders>
              <w:left w:val="single" w:sz="18" w:space="0" w:color="FFFFFF" w:themeColor="background2"/>
              <w:bottom w:val="single" w:sz="2" w:space="0" w:color="auto"/>
              <w:right w:val="single" w:sz="18" w:space="0" w:color="FFFFFF" w:themeColor="background2"/>
            </w:tcBorders>
            <w:vAlign w:val="bottom"/>
          </w:tcPr>
          <w:p w14:paraId="76383D5B" w14:textId="00AF31D5" w:rsidR="00E42BAB" w:rsidRPr="009A2FF3" w:rsidRDefault="004E2AE1" w:rsidP="004E2AE1">
            <w:pPr>
              <w:autoSpaceDE w:val="0"/>
              <w:autoSpaceDN w:val="0"/>
              <w:adjustRightInd w:val="0"/>
              <w:spacing w:before="20" w:after="20" w:line="20" w:lineRule="atLeast"/>
              <w:jc w:val="right"/>
              <w:rPr>
                <w:rFonts w:asciiTheme="majorHAnsi" w:hAnsiTheme="majorHAnsi" w:cs="Calibri"/>
                <w:sz w:val="14"/>
                <w:szCs w:val="14"/>
              </w:rPr>
            </w:pPr>
            <w:r>
              <w:rPr>
                <w:rFonts w:asciiTheme="majorHAnsi" w:hAnsiTheme="majorHAnsi" w:cs="Calibri"/>
                <w:sz w:val="14"/>
                <w:szCs w:val="14"/>
              </w:rPr>
              <w:t>10</w:t>
            </w:r>
          </w:p>
        </w:tc>
        <w:tc>
          <w:tcPr>
            <w:tcW w:w="992" w:type="dxa"/>
            <w:tcBorders>
              <w:left w:val="single" w:sz="18" w:space="0" w:color="FFFFFF" w:themeColor="background2"/>
              <w:bottom w:val="single" w:sz="2" w:space="0" w:color="auto"/>
            </w:tcBorders>
            <w:vAlign w:val="bottom"/>
          </w:tcPr>
          <w:p w14:paraId="6696CA89" w14:textId="0B5F45A0" w:rsidR="00E42BAB" w:rsidRPr="009A2FF3" w:rsidRDefault="004E2AE1" w:rsidP="004E2AE1">
            <w:pPr>
              <w:suppressAutoHyphens/>
              <w:autoSpaceDE w:val="0"/>
              <w:autoSpaceDN w:val="0"/>
              <w:adjustRightInd w:val="0"/>
              <w:spacing w:before="20" w:after="20" w:line="20" w:lineRule="atLeast"/>
              <w:jc w:val="right"/>
              <w:textAlignment w:val="center"/>
              <w:rPr>
                <w:rFonts w:asciiTheme="majorHAnsi" w:hAnsiTheme="majorHAnsi" w:cs="Calibri"/>
                <w:sz w:val="14"/>
                <w:szCs w:val="14"/>
              </w:rPr>
            </w:pPr>
            <w:r>
              <w:rPr>
                <w:rFonts w:asciiTheme="majorHAnsi" w:hAnsiTheme="majorHAnsi" w:cs="Calibri"/>
                <w:sz w:val="14"/>
                <w:szCs w:val="14"/>
              </w:rPr>
              <w:t>3,059</w:t>
            </w:r>
          </w:p>
        </w:tc>
      </w:tr>
      <w:tr w:rsidR="004856A4" w:rsidRPr="00B81AE0" w14:paraId="658E8D89" w14:textId="77777777" w:rsidTr="00B15944">
        <w:trPr>
          <w:trHeight w:val="170"/>
        </w:trPr>
        <w:tc>
          <w:tcPr>
            <w:tcW w:w="2151" w:type="dxa"/>
          </w:tcPr>
          <w:p w14:paraId="050109EA" w14:textId="7C2E2190" w:rsidR="004856A4" w:rsidRPr="00B81AE0" w:rsidRDefault="004856A4" w:rsidP="004856A4">
            <w:pPr>
              <w:suppressAutoHyphens/>
              <w:autoSpaceDE w:val="0"/>
              <w:autoSpaceDN w:val="0"/>
              <w:adjustRightInd w:val="0"/>
              <w:spacing w:before="20" w:after="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w:t>
            </w:r>
            <w:r w:rsidR="00E42BAB">
              <w:rPr>
                <w:rFonts w:asciiTheme="majorHAnsi" w:hAnsiTheme="majorHAnsi"/>
                <w:color w:val="1C1C1C"/>
                <w:sz w:val="14"/>
                <w:szCs w:val="14"/>
              </w:rPr>
              <w:t>2</w:t>
            </w:r>
          </w:p>
        </w:tc>
        <w:tc>
          <w:tcPr>
            <w:tcW w:w="976" w:type="dxa"/>
            <w:tcBorders>
              <w:top w:val="single" w:sz="2" w:space="0" w:color="auto"/>
              <w:bottom w:val="single" w:sz="2" w:space="0" w:color="auto"/>
              <w:right w:val="single" w:sz="18" w:space="0" w:color="FFFFFF" w:themeColor="background2"/>
            </w:tcBorders>
          </w:tcPr>
          <w:p w14:paraId="13E615A0" w14:textId="41C8E828"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w:t>
            </w:r>
            <w:r w:rsidR="004E2AE1">
              <w:rPr>
                <w:rFonts w:asciiTheme="majorHAnsi" w:hAnsiTheme="majorHAnsi" w:cs="Calibri"/>
                <w:sz w:val="14"/>
                <w:szCs w:val="14"/>
              </w:rPr>
              <w:t>2</w:t>
            </w:r>
            <w:r w:rsidRPr="009A2FF3">
              <w:rPr>
                <w:rFonts w:asciiTheme="majorHAnsi" w:hAnsiTheme="majorHAnsi" w:cs="Calibri"/>
                <w:sz w:val="14"/>
                <w:szCs w:val="14"/>
              </w:rPr>
              <w:t>,</w:t>
            </w:r>
            <w:r w:rsidR="004E2AE1">
              <w:rPr>
                <w:rFonts w:asciiTheme="majorHAnsi" w:hAnsiTheme="majorHAnsi" w:cs="Calibri"/>
                <w:sz w:val="14"/>
                <w:szCs w:val="14"/>
              </w:rPr>
              <w:t>375</w:t>
            </w:r>
            <w:r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7CD856C4" w14:textId="3E398861" w:rsidR="004856A4" w:rsidRPr="009A2FF3" w:rsidRDefault="004E2AE1"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2</w:t>
            </w:r>
            <w:r w:rsidR="004856A4">
              <w:rPr>
                <w:rFonts w:asciiTheme="majorHAnsi" w:hAnsiTheme="majorHAnsi" w:cs="Calibri"/>
                <w:sz w:val="14"/>
                <w:szCs w:val="14"/>
              </w:rPr>
              <w:t>,</w:t>
            </w:r>
            <w:r>
              <w:rPr>
                <w:rFonts w:asciiTheme="majorHAnsi" w:hAnsiTheme="majorHAnsi" w:cs="Calibri"/>
                <w:sz w:val="14"/>
                <w:szCs w:val="14"/>
              </w:rPr>
              <w:t>398</w:t>
            </w:r>
            <w:r w:rsidR="004856A4"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tcPr>
          <w:p w14:paraId="12858D86" w14:textId="534DF8A8" w:rsidR="004856A4" w:rsidRPr="009A2FF3" w:rsidRDefault="004E2AE1"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w:t>
            </w:r>
            <w:r w:rsidR="004856A4"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28930BF2" w14:textId="07479473" w:rsidR="004856A4" w:rsidRPr="009A2FF3" w:rsidRDefault="004E2AE1"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61</w:t>
            </w:r>
            <w:r w:rsidR="004856A4"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tcBorders>
          </w:tcPr>
          <w:p w14:paraId="2C3E1A95" w14:textId="557B426F" w:rsidR="004856A4" w:rsidRPr="009A2FF3" w:rsidRDefault="004E2AE1" w:rsidP="004856A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14</w:t>
            </w:r>
            <w:r w:rsidR="004856A4" w:rsidRPr="009A2FF3">
              <w:rPr>
                <w:rFonts w:asciiTheme="majorHAnsi" w:hAnsiTheme="majorHAnsi" w:cs="Calibri"/>
                <w:sz w:val="14"/>
                <w:szCs w:val="14"/>
              </w:rPr>
              <w:t>,</w:t>
            </w:r>
            <w:r>
              <w:rPr>
                <w:rFonts w:asciiTheme="majorHAnsi" w:hAnsiTheme="majorHAnsi" w:cs="Calibri"/>
                <w:sz w:val="14"/>
                <w:szCs w:val="14"/>
              </w:rPr>
              <w:t>834</w:t>
            </w:r>
            <w:r w:rsidR="004856A4" w:rsidRPr="009A2FF3">
              <w:rPr>
                <w:rFonts w:asciiTheme="majorHAnsi" w:hAnsiTheme="majorHAnsi" w:cs="Calibri"/>
                <w:sz w:val="14"/>
                <w:szCs w:val="14"/>
              </w:rPr>
              <w:t xml:space="preserve"> </w:t>
            </w:r>
          </w:p>
        </w:tc>
      </w:tr>
      <w:tr w:rsidR="004856A4" w:rsidRPr="00B81AE0" w14:paraId="44F0A9AB" w14:textId="77777777" w:rsidTr="00B15944">
        <w:trPr>
          <w:trHeight w:val="397"/>
        </w:trPr>
        <w:tc>
          <w:tcPr>
            <w:tcW w:w="2151" w:type="dxa"/>
          </w:tcPr>
          <w:p w14:paraId="28D89E95" w14:textId="4396E539" w:rsidR="004856A4" w:rsidRPr="00B81AE0" w:rsidRDefault="004856A4" w:rsidP="004856A4">
            <w:pPr>
              <w:suppressAutoHyphens/>
              <w:autoSpaceDE w:val="0"/>
              <w:autoSpaceDN w:val="0"/>
              <w:adjustRightInd w:val="0"/>
              <w:spacing w:before="120" w:after="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w:t>
            </w:r>
            <w:r w:rsidR="00E42BAB">
              <w:rPr>
                <w:rFonts w:asciiTheme="majorHAnsi" w:hAnsiTheme="majorHAnsi"/>
                <w:color w:val="1C1C1C"/>
                <w:sz w:val="14"/>
                <w:szCs w:val="14"/>
              </w:rPr>
              <w:t>2</w:t>
            </w:r>
            <w:r w:rsidRPr="00B81AE0">
              <w:rPr>
                <w:rFonts w:asciiTheme="majorHAnsi" w:hAnsiTheme="majorHAnsi"/>
                <w:color w:val="1C1C1C"/>
                <w:sz w:val="14"/>
                <w:szCs w:val="14"/>
              </w:rPr>
              <w:t xml:space="preserve"> represented by</w:t>
            </w:r>
          </w:p>
        </w:tc>
        <w:tc>
          <w:tcPr>
            <w:tcW w:w="976" w:type="dxa"/>
            <w:tcBorders>
              <w:top w:val="single" w:sz="2" w:space="0" w:color="auto"/>
              <w:right w:val="single" w:sz="18" w:space="0" w:color="FFFFFF" w:themeColor="background2"/>
            </w:tcBorders>
          </w:tcPr>
          <w:p w14:paraId="19487D7E" w14:textId="77777777" w:rsidR="004856A4" w:rsidRPr="00B81AE0" w:rsidRDefault="004856A4" w:rsidP="004856A4">
            <w:pPr>
              <w:autoSpaceDE w:val="0"/>
              <w:autoSpaceDN w:val="0"/>
              <w:adjustRightInd w:val="0"/>
              <w:spacing w:before="120" w:after="20" w:line="20" w:lineRule="atLeast"/>
              <w:rPr>
                <w:rFonts w:asciiTheme="majorHAnsi" w:hAnsiTheme="majorHAnsi"/>
                <w:color w:val="1C1C1C"/>
                <w:sz w:val="14"/>
                <w:szCs w:val="14"/>
              </w:rPr>
            </w:pPr>
          </w:p>
        </w:tc>
        <w:tc>
          <w:tcPr>
            <w:tcW w:w="1134" w:type="dxa"/>
            <w:tcBorders>
              <w:top w:val="single" w:sz="2" w:space="0" w:color="auto"/>
              <w:left w:val="single" w:sz="18" w:space="0" w:color="FFFFFF" w:themeColor="background2"/>
              <w:right w:val="single" w:sz="18" w:space="0" w:color="FFFFFF" w:themeColor="background2"/>
            </w:tcBorders>
          </w:tcPr>
          <w:p w14:paraId="0D030991" w14:textId="77777777" w:rsidR="004856A4" w:rsidRPr="00B81AE0" w:rsidRDefault="004856A4" w:rsidP="004856A4">
            <w:pPr>
              <w:autoSpaceDE w:val="0"/>
              <w:autoSpaceDN w:val="0"/>
              <w:adjustRightInd w:val="0"/>
              <w:spacing w:before="120" w:after="20" w:line="20" w:lineRule="atLeast"/>
              <w:rPr>
                <w:rFonts w:asciiTheme="majorHAnsi" w:hAnsiTheme="majorHAnsi"/>
                <w:color w:val="1C1C1C"/>
                <w:sz w:val="14"/>
                <w:szCs w:val="14"/>
              </w:rPr>
            </w:pPr>
          </w:p>
        </w:tc>
        <w:tc>
          <w:tcPr>
            <w:tcW w:w="992" w:type="dxa"/>
            <w:tcBorders>
              <w:top w:val="single" w:sz="2" w:space="0" w:color="auto"/>
              <w:left w:val="single" w:sz="18" w:space="0" w:color="FFFFFF" w:themeColor="background2"/>
              <w:right w:val="single" w:sz="18" w:space="0" w:color="FFFFFF" w:themeColor="background2"/>
            </w:tcBorders>
          </w:tcPr>
          <w:p w14:paraId="4892BB65" w14:textId="77777777" w:rsidR="004856A4" w:rsidRPr="00B81AE0" w:rsidRDefault="004856A4" w:rsidP="004856A4">
            <w:pPr>
              <w:autoSpaceDE w:val="0"/>
              <w:autoSpaceDN w:val="0"/>
              <w:adjustRightInd w:val="0"/>
              <w:spacing w:before="120" w:after="20" w:line="20" w:lineRule="atLeast"/>
              <w:rPr>
                <w:rFonts w:asciiTheme="majorHAnsi" w:hAnsiTheme="majorHAnsi"/>
                <w:color w:val="1C1C1C"/>
                <w:sz w:val="14"/>
                <w:szCs w:val="14"/>
              </w:rPr>
            </w:pPr>
          </w:p>
        </w:tc>
        <w:tc>
          <w:tcPr>
            <w:tcW w:w="1134" w:type="dxa"/>
            <w:tcBorders>
              <w:top w:val="single" w:sz="2" w:space="0" w:color="auto"/>
              <w:left w:val="single" w:sz="18" w:space="0" w:color="FFFFFF" w:themeColor="background2"/>
              <w:right w:val="single" w:sz="18" w:space="0" w:color="FFFFFF" w:themeColor="background2"/>
            </w:tcBorders>
          </w:tcPr>
          <w:p w14:paraId="402BE29D" w14:textId="77777777" w:rsidR="004856A4" w:rsidRPr="00B81AE0" w:rsidRDefault="004856A4" w:rsidP="004856A4">
            <w:pPr>
              <w:autoSpaceDE w:val="0"/>
              <w:autoSpaceDN w:val="0"/>
              <w:adjustRightInd w:val="0"/>
              <w:spacing w:before="120" w:after="20" w:line="20" w:lineRule="atLeast"/>
              <w:rPr>
                <w:rFonts w:asciiTheme="majorHAnsi" w:hAnsiTheme="majorHAnsi"/>
                <w:color w:val="1C1C1C"/>
                <w:sz w:val="14"/>
                <w:szCs w:val="14"/>
              </w:rPr>
            </w:pPr>
          </w:p>
        </w:tc>
        <w:tc>
          <w:tcPr>
            <w:tcW w:w="992" w:type="dxa"/>
            <w:tcBorders>
              <w:top w:val="single" w:sz="2" w:space="0" w:color="auto"/>
              <w:left w:val="single" w:sz="18" w:space="0" w:color="FFFFFF" w:themeColor="background2"/>
            </w:tcBorders>
          </w:tcPr>
          <w:p w14:paraId="6EA18177" w14:textId="77777777" w:rsidR="004856A4" w:rsidRPr="00B81AE0" w:rsidRDefault="004856A4" w:rsidP="004856A4">
            <w:pPr>
              <w:suppressAutoHyphens/>
              <w:autoSpaceDE w:val="0"/>
              <w:autoSpaceDN w:val="0"/>
              <w:adjustRightInd w:val="0"/>
              <w:spacing w:before="120" w:after="20" w:line="20" w:lineRule="atLeast"/>
              <w:textAlignment w:val="center"/>
              <w:rPr>
                <w:rFonts w:asciiTheme="majorHAnsi" w:hAnsiTheme="majorHAnsi"/>
                <w:color w:val="1C1C1C"/>
                <w:sz w:val="14"/>
                <w:szCs w:val="14"/>
              </w:rPr>
            </w:pPr>
          </w:p>
        </w:tc>
      </w:tr>
      <w:tr w:rsidR="004856A4" w:rsidRPr="00B81AE0" w14:paraId="6F3E89D1" w14:textId="77777777" w:rsidTr="00B15944">
        <w:trPr>
          <w:trHeight w:val="170"/>
        </w:trPr>
        <w:tc>
          <w:tcPr>
            <w:tcW w:w="2151" w:type="dxa"/>
          </w:tcPr>
          <w:p w14:paraId="5FA9CD47" w14:textId="77777777" w:rsidR="004856A4" w:rsidRPr="00B81AE0" w:rsidRDefault="004856A4" w:rsidP="004856A4">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Gross book value</w:t>
            </w:r>
          </w:p>
        </w:tc>
        <w:tc>
          <w:tcPr>
            <w:tcW w:w="976" w:type="dxa"/>
            <w:tcBorders>
              <w:right w:val="single" w:sz="18" w:space="0" w:color="FFFFFF" w:themeColor="background2"/>
            </w:tcBorders>
          </w:tcPr>
          <w:p w14:paraId="1034F390" w14:textId="1C5D2ADF" w:rsidR="004856A4" w:rsidRPr="009A2FF3" w:rsidRDefault="004E2AE1"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1</w:t>
            </w:r>
            <w:r w:rsidR="004856A4" w:rsidRPr="009A2FF3">
              <w:rPr>
                <w:rFonts w:asciiTheme="majorHAnsi" w:hAnsiTheme="majorHAnsi" w:cs="Calibri"/>
                <w:sz w:val="14"/>
                <w:szCs w:val="14"/>
              </w:rPr>
              <w:t>2,</w:t>
            </w:r>
            <w:r>
              <w:rPr>
                <w:rFonts w:asciiTheme="majorHAnsi" w:hAnsiTheme="majorHAnsi" w:cs="Calibri"/>
                <w:sz w:val="14"/>
                <w:szCs w:val="14"/>
              </w:rPr>
              <w:t>801</w:t>
            </w:r>
            <w:r w:rsidR="004856A4" w:rsidRPr="009A2FF3">
              <w:rPr>
                <w:rFonts w:asciiTheme="majorHAnsi" w:hAnsiTheme="majorHAnsi" w:cs="Calibri"/>
                <w:sz w:val="14"/>
                <w:szCs w:val="14"/>
              </w:rPr>
              <w:t xml:space="preserve"> </w:t>
            </w:r>
          </w:p>
        </w:tc>
        <w:tc>
          <w:tcPr>
            <w:tcW w:w="1134" w:type="dxa"/>
            <w:tcBorders>
              <w:left w:val="single" w:sz="18" w:space="0" w:color="FFFFFF" w:themeColor="background2"/>
              <w:right w:val="single" w:sz="18" w:space="0" w:color="FFFFFF" w:themeColor="background2"/>
            </w:tcBorders>
          </w:tcPr>
          <w:p w14:paraId="5A709BD3" w14:textId="2842183F" w:rsidR="004856A4" w:rsidRPr="009A2FF3" w:rsidRDefault="0072118D"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2,480</w:t>
            </w:r>
            <w:r w:rsidR="004856A4" w:rsidRPr="009A2FF3">
              <w:rPr>
                <w:rFonts w:asciiTheme="majorHAnsi" w:hAnsiTheme="majorHAnsi" w:cs="Calibri"/>
                <w:sz w:val="14"/>
                <w:szCs w:val="14"/>
              </w:rPr>
              <w:t xml:space="preserve"> </w:t>
            </w:r>
          </w:p>
        </w:tc>
        <w:tc>
          <w:tcPr>
            <w:tcW w:w="992" w:type="dxa"/>
            <w:tcBorders>
              <w:left w:val="single" w:sz="18" w:space="0" w:color="FFFFFF" w:themeColor="background2"/>
              <w:right w:val="single" w:sz="18" w:space="0" w:color="FFFFFF" w:themeColor="background2"/>
            </w:tcBorders>
          </w:tcPr>
          <w:p w14:paraId="2D16D68E" w14:textId="06AF580C" w:rsidR="004856A4" w:rsidRPr="009A2FF3" w:rsidRDefault="0072118D"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w:t>
            </w:r>
            <w:r w:rsidR="004856A4" w:rsidRPr="009A2FF3">
              <w:rPr>
                <w:rFonts w:asciiTheme="majorHAnsi" w:hAnsiTheme="majorHAnsi" w:cs="Calibri"/>
                <w:sz w:val="14"/>
                <w:szCs w:val="14"/>
              </w:rPr>
              <w:t xml:space="preserve"> </w:t>
            </w:r>
          </w:p>
        </w:tc>
        <w:tc>
          <w:tcPr>
            <w:tcW w:w="1134" w:type="dxa"/>
            <w:tcBorders>
              <w:left w:val="single" w:sz="18" w:space="0" w:color="FFFFFF" w:themeColor="background2"/>
              <w:right w:val="single" w:sz="18" w:space="0" w:color="FFFFFF" w:themeColor="background2"/>
            </w:tcBorders>
          </w:tcPr>
          <w:p w14:paraId="6031C473" w14:textId="3E6DDCCF" w:rsidR="004856A4" w:rsidRPr="009A2FF3" w:rsidRDefault="0072118D"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778</w:t>
            </w:r>
          </w:p>
        </w:tc>
        <w:tc>
          <w:tcPr>
            <w:tcW w:w="992" w:type="dxa"/>
            <w:tcBorders>
              <w:left w:val="single" w:sz="18" w:space="0" w:color="FFFFFF" w:themeColor="background2"/>
            </w:tcBorders>
          </w:tcPr>
          <w:p w14:paraId="704A58D3" w14:textId="45A90544" w:rsidR="004856A4" w:rsidRPr="009A2FF3" w:rsidRDefault="0072118D" w:rsidP="004856A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16</w:t>
            </w:r>
            <w:r w:rsidR="004856A4" w:rsidRPr="009A2FF3">
              <w:rPr>
                <w:rFonts w:asciiTheme="majorHAnsi" w:hAnsiTheme="majorHAnsi" w:cs="Calibri"/>
                <w:sz w:val="14"/>
                <w:szCs w:val="14"/>
              </w:rPr>
              <w:t>,</w:t>
            </w:r>
            <w:r>
              <w:rPr>
                <w:rFonts w:asciiTheme="majorHAnsi" w:hAnsiTheme="majorHAnsi" w:cs="Calibri"/>
                <w:sz w:val="14"/>
                <w:szCs w:val="14"/>
              </w:rPr>
              <w:t>059</w:t>
            </w:r>
            <w:r w:rsidR="004856A4" w:rsidRPr="009A2FF3">
              <w:rPr>
                <w:rFonts w:asciiTheme="majorHAnsi" w:hAnsiTheme="majorHAnsi" w:cs="Calibri"/>
                <w:sz w:val="14"/>
                <w:szCs w:val="14"/>
              </w:rPr>
              <w:t xml:space="preserve"> </w:t>
            </w:r>
          </w:p>
        </w:tc>
      </w:tr>
      <w:tr w:rsidR="004856A4" w:rsidRPr="00B81AE0" w14:paraId="09F39CD1" w14:textId="77777777" w:rsidTr="00B15944">
        <w:trPr>
          <w:trHeight w:val="170"/>
        </w:trPr>
        <w:tc>
          <w:tcPr>
            <w:tcW w:w="2151" w:type="dxa"/>
          </w:tcPr>
          <w:p w14:paraId="4D39F7CF" w14:textId="77777777" w:rsidR="004856A4" w:rsidRPr="00B81AE0" w:rsidRDefault="004856A4" w:rsidP="004856A4">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Accumulated depreciation, amortisation and impairment</w:t>
            </w:r>
          </w:p>
        </w:tc>
        <w:tc>
          <w:tcPr>
            <w:tcW w:w="976" w:type="dxa"/>
            <w:tcBorders>
              <w:bottom w:val="single" w:sz="2" w:space="0" w:color="auto"/>
              <w:right w:val="single" w:sz="18" w:space="0" w:color="FFFFFF" w:themeColor="background2"/>
            </w:tcBorders>
            <w:vAlign w:val="bottom"/>
          </w:tcPr>
          <w:p w14:paraId="43E494CB" w14:textId="4756C549"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4E2AE1">
              <w:rPr>
                <w:rFonts w:asciiTheme="majorHAnsi" w:hAnsiTheme="majorHAnsi" w:cs="Calibri"/>
                <w:sz w:val="14"/>
                <w:szCs w:val="14"/>
              </w:rPr>
              <w:t>427</w:t>
            </w:r>
            <w:r w:rsidRPr="009A2FF3">
              <w:rPr>
                <w:rFonts w:asciiTheme="majorHAnsi" w:hAnsiTheme="majorHAnsi" w:cs="Calibri"/>
                <w:sz w:val="14"/>
                <w:szCs w:val="14"/>
              </w:rPr>
              <w:t>)</w:t>
            </w:r>
          </w:p>
        </w:tc>
        <w:tc>
          <w:tcPr>
            <w:tcW w:w="1134" w:type="dxa"/>
            <w:tcBorders>
              <w:left w:val="single" w:sz="18" w:space="0" w:color="FFFFFF" w:themeColor="background2"/>
              <w:bottom w:val="single" w:sz="2" w:space="0" w:color="auto"/>
              <w:right w:val="single" w:sz="18" w:space="0" w:color="FFFFFF" w:themeColor="background2"/>
            </w:tcBorders>
            <w:vAlign w:val="bottom"/>
          </w:tcPr>
          <w:p w14:paraId="332D0C5C" w14:textId="01352CD9"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sidR="0072118D">
              <w:rPr>
                <w:rFonts w:asciiTheme="majorHAnsi" w:hAnsiTheme="majorHAnsi" w:cs="Calibri"/>
                <w:sz w:val="14"/>
                <w:szCs w:val="14"/>
              </w:rPr>
              <w:t>82</w:t>
            </w:r>
            <w:r w:rsidRPr="009A2FF3">
              <w:rPr>
                <w:rFonts w:asciiTheme="majorHAnsi" w:hAnsiTheme="majorHAnsi" w:cs="Calibri"/>
                <w:sz w:val="14"/>
                <w:szCs w:val="14"/>
              </w:rPr>
              <w:t>)</w:t>
            </w:r>
          </w:p>
        </w:tc>
        <w:tc>
          <w:tcPr>
            <w:tcW w:w="992" w:type="dxa"/>
            <w:tcBorders>
              <w:left w:val="single" w:sz="18" w:space="0" w:color="FFFFFF" w:themeColor="background2"/>
              <w:bottom w:val="single" w:sz="2" w:space="0" w:color="auto"/>
              <w:right w:val="single" w:sz="18" w:space="0" w:color="FFFFFF" w:themeColor="background2"/>
            </w:tcBorders>
            <w:vAlign w:val="bottom"/>
          </w:tcPr>
          <w:p w14:paraId="623FEC61" w14:textId="71699DB3" w:rsidR="004856A4" w:rsidRPr="009A2FF3" w:rsidRDefault="0072118D" w:rsidP="004856A4">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w:t>
            </w:r>
          </w:p>
        </w:tc>
        <w:tc>
          <w:tcPr>
            <w:tcW w:w="1134" w:type="dxa"/>
            <w:tcBorders>
              <w:left w:val="single" w:sz="18" w:space="0" w:color="FFFFFF" w:themeColor="background2"/>
              <w:bottom w:val="single" w:sz="2" w:space="0" w:color="auto"/>
              <w:right w:val="single" w:sz="18" w:space="0" w:color="FFFFFF" w:themeColor="background2"/>
            </w:tcBorders>
            <w:vAlign w:val="bottom"/>
          </w:tcPr>
          <w:p w14:paraId="495C1F9A" w14:textId="4124EC0A"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(7</w:t>
            </w:r>
            <w:r>
              <w:rPr>
                <w:rFonts w:asciiTheme="majorHAnsi" w:hAnsiTheme="majorHAnsi" w:cs="Calibri"/>
                <w:sz w:val="14"/>
                <w:szCs w:val="14"/>
              </w:rPr>
              <w:t>1</w:t>
            </w:r>
            <w:r w:rsidR="0072118D">
              <w:rPr>
                <w:rFonts w:asciiTheme="majorHAnsi" w:hAnsiTheme="majorHAnsi" w:cs="Calibri"/>
                <w:sz w:val="14"/>
                <w:szCs w:val="14"/>
              </w:rPr>
              <w:t>7</w:t>
            </w:r>
            <w:r w:rsidRPr="009A2FF3">
              <w:rPr>
                <w:rFonts w:asciiTheme="majorHAnsi" w:hAnsiTheme="majorHAnsi" w:cs="Calibri"/>
                <w:sz w:val="14"/>
                <w:szCs w:val="14"/>
              </w:rPr>
              <w:t>)</w:t>
            </w:r>
          </w:p>
        </w:tc>
        <w:tc>
          <w:tcPr>
            <w:tcW w:w="992" w:type="dxa"/>
            <w:tcBorders>
              <w:left w:val="single" w:sz="18" w:space="0" w:color="FFFFFF" w:themeColor="background2"/>
              <w:bottom w:val="single" w:sz="2" w:space="0" w:color="auto"/>
            </w:tcBorders>
            <w:vAlign w:val="bottom"/>
          </w:tcPr>
          <w:p w14:paraId="6E353308" w14:textId="5A4E658D" w:rsidR="004856A4" w:rsidRPr="009A2FF3" w:rsidRDefault="004856A4" w:rsidP="004856A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w:t>
            </w:r>
            <w:r w:rsidR="0072118D">
              <w:rPr>
                <w:rFonts w:asciiTheme="majorHAnsi" w:hAnsiTheme="majorHAnsi" w:cs="Calibri"/>
                <w:sz w:val="14"/>
                <w:szCs w:val="14"/>
              </w:rPr>
              <w:t>1,225</w:t>
            </w:r>
            <w:r w:rsidRPr="009A2FF3">
              <w:rPr>
                <w:rFonts w:asciiTheme="majorHAnsi" w:hAnsiTheme="majorHAnsi" w:cs="Calibri"/>
                <w:sz w:val="14"/>
                <w:szCs w:val="14"/>
              </w:rPr>
              <w:t>)</w:t>
            </w:r>
          </w:p>
        </w:tc>
      </w:tr>
      <w:tr w:rsidR="004856A4" w:rsidRPr="00B81AE0" w14:paraId="466BF8C5" w14:textId="77777777" w:rsidTr="004E2AE1">
        <w:trPr>
          <w:trHeight w:val="170"/>
        </w:trPr>
        <w:tc>
          <w:tcPr>
            <w:tcW w:w="2151" w:type="dxa"/>
            <w:vAlign w:val="bottom"/>
          </w:tcPr>
          <w:p w14:paraId="61D3A869" w14:textId="6F89AD37" w:rsidR="004856A4" w:rsidRPr="00B81AE0" w:rsidRDefault="004856A4" w:rsidP="004E2AE1">
            <w:pPr>
              <w:suppressAutoHyphens/>
              <w:autoSpaceDE w:val="0"/>
              <w:autoSpaceDN w:val="0"/>
              <w:adjustRightInd w:val="0"/>
              <w:spacing w:before="20" w:after="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w:t>
            </w:r>
            <w:r w:rsidR="00E42BAB">
              <w:rPr>
                <w:rFonts w:asciiTheme="majorHAnsi" w:hAnsiTheme="majorHAnsi"/>
                <w:color w:val="1C1C1C"/>
                <w:sz w:val="14"/>
                <w:szCs w:val="14"/>
              </w:rPr>
              <w:t>2</w:t>
            </w:r>
            <w:r>
              <w:rPr>
                <w:rFonts w:asciiTheme="majorHAnsi" w:hAnsiTheme="majorHAnsi"/>
                <w:color w:val="1C1C1C"/>
                <w:sz w:val="14"/>
                <w:szCs w:val="14"/>
              </w:rPr>
              <w:t xml:space="preserve"> represented by</w:t>
            </w:r>
          </w:p>
        </w:tc>
        <w:tc>
          <w:tcPr>
            <w:tcW w:w="976" w:type="dxa"/>
            <w:tcBorders>
              <w:top w:val="single" w:sz="2" w:space="0" w:color="auto"/>
              <w:bottom w:val="single" w:sz="2" w:space="0" w:color="auto"/>
              <w:right w:val="single" w:sz="18" w:space="0" w:color="FFFFFF" w:themeColor="background2"/>
            </w:tcBorders>
            <w:vAlign w:val="bottom"/>
          </w:tcPr>
          <w:p w14:paraId="0FF09D9D" w14:textId="07991B85" w:rsidR="004856A4" w:rsidRPr="009A2FF3" w:rsidRDefault="004E2AE1" w:rsidP="004E2AE1">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12</w:t>
            </w:r>
            <w:r w:rsidR="004856A4" w:rsidRPr="009A2FF3">
              <w:rPr>
                <w:rFonts w:asciiTheme="majorHAnsi" w:hAnsiTheme="majorHAnsi" w:cs="Calibri"/>
                <w:sz w:val="14"/>
                <w:szCs w:val="14"/>
              </w:rPr>
              <w:t>,</w:t>
            </w:r>
            <w:r>
              <w:rPr>
                <w:rFonts w:asciiTheme="majorHAnsi" w:hAnsiTheme="majorHAnsi" w:cs="Calibri"/>
                <w:sz w:val="14"/>
                <w:szCs w:val="14"/>
              </w:rPr>
              <w:t>37</w:t>
            </w:r>
            <w:r w:rsidR="0072118D">
              <w:rPr>
                <w:rFonts w:asciiTheme="majorHAnsi" w:hAnsiTheme="majorHAnsi" w:cs="Calibri"/>
                <w:sz w:val="14"/>
                <w:szCs w:val="14"/>
              </w:rPr>
              <w:t>5</w:t>
            </w:r>
            <w:r w:rsidR="004856A4"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1CDB3EDE" w14:textId="18FDC3FD" w:rsidR="004856A4" w:rsidRPr="009A2FF3" w:rsidRDefault="0072118D" w:rsidP="004E2AE1">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2,398</w:t>
            </w:r>
            <w:r w:rsidR="004856A4"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22079248" w14:textId="7701749D" w:rsidR="004856A4" w:rsidRPr="009A2FF3" w:rsidRDefault="0072118D" w:rsidP="004E2AE1">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w:t>
            </w:r>
            <w:r w:rsidR="004856A4"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1783A083" w14:textId="2822DB0A" w:rsidR="004856A4" w:rsidRPr="009A2FF3" w:rsidRDefault="0072118D" w:rsidP="004E2AE1">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61</w:t>
            </w:r>
            <w:r w:rsidR="004856A4"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tcBorders>
            <w:vAlign w:val="bottom"/>
          </w:tcPr>
          <w:p w14:paraId="2FB17897" w14:textId="01AFB39F" w:rsidR="004856A4" w:rsidRPr="009A2FF3" w:rsidRDefault="0072118D" w:rsidP="004E2AE1">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14</w:t>
            </w:r>
            <w:r w:rsidR="004856A4" w:rsidRPr="009A2FF3">
              <w:rPr>
                <w:rFonts w:asciiTheme="majorHAnsi" w:hAnsiTheme="majorHAnsi" w:cs="Calibri"/>
                <w:sz w:val="14"/>
                <w:szCs w:val="14"/>
              </w:rPr>
              <w:t>,</w:t>
            </w:r>
            <w:r>
              <w:rPr>
                <w:rFonts w:asciiTheme="majorHAnsi" w:hAnsiTheme="majorHAnsi" w:cs="Calibri"/>
                <w:sz w:val="14"/>
                <w:szCs w:val="14"/>
              </w:rPr>
              <w:t>834</w:t>
            </w:r>
            <w:r w:rsidR="004856A4" w:rsidRPr="009A2FF3">
              <w:rPr>
                <w:rFonts w:asciiTheme="majorHAnsi" w:hAnsiTheme="majorHAnsi" w:cs="Calibri"/>
                <w:sz w:val="14"/>
                <w:szCs w:val="14"/>
              </w:rPr>
              <w:t xml:space="preserve"> </w:t>
            </w:r>
          </w:p>
        </w:tc>
      </w:tr>
      <w:tr w:rsidR="004856A4" w:rsidRPr="00B81AE0" w14:paraId="50A95681" w14:textId="77777777" w:rsidTr="00B15944">
        <w:trPr>
          <w:trHeight w:val="170"/>
        </w:trPr>
        <w:tc>
          <w:tcPr>
            <w:tcW w:w="2151" w:type="dxa"/>
          </w:tcPr>
          <w:p w14:paraId="37337515" w14:textId="77777777" w:rsidR="004856A4" w:rsidRPr="00E42BAB" w:rsidRDefault="004856A4" w:rsidP="004856A4">
            <w:pPr>
              <w:suppressAutoHyphens/>
              <w:autoSpaceDE w:val="0"/>
              <w:autoSpaceDN w:val="0"/>
              <w:adjustRightInd w:val="0"/>
              <w:spacing w:before="20" w:after="20" w:line="20" w:lineRule="atLeast"/>
              <w:textAlignment w:val="center"/>
              <w:rPr>
                <w:color w:val="1C1C1C"/>
                <w:sz w:val="14"/>
                <w:szCs w:val="14"/>
              </w:rPr>
            </w:pPr>
            <w:r w:rsidRPr="00E42BAB">
              <w:rPr>
                <w:color w:val="1C1C1C"/>
                <w:sz w:val="14"/>
                <w:szCs w:val="14"/>
              </w:rPr>
              <w:t>Carrying amount of right-</w:t>
            </w:r>
            <w:r w:rsidRPr="00E42BAB">
              <w:rPr>
                <w:rFonts w:ascii="Arial" w:hAnsi="Arial" w:cs="Arial" w:hint="cs"/>
                <w:color w:val="1C1C1C"/>
                <w:sz w:val="14"/>
                <w:szCs w:val="14"/>
                <w:rtl/>
              </w:rPr>
              <w:t>‍</w:t>
            </w:r>
            <w:r w:rsidRPr="00E42BAB">
              <w:rPr>
                <w:color w:val="1C1C1C"/>
                <w:sz w:val="14"/>
                <w:szCs w:val="14"/>
              </w:rPr>
              <w:t>of-</w:t>
            </w:r>
            <w:r w:rsidRPr="00E42BAB">
              <w:rPr>
                <w:rFonts w:ascii="Arial" w:hAnsi="Arial" w:cs="Arial" w:hint="cs"/>
                <w:color w:val="1C1C1C"/>
                <w:sz w:val="14"/>
                <w:szCs w:val="14"/>
                <w:rtl/>
              </w:rPr>
              <w:t>‍</w:t>
            </w:r>
            <w:r w:rsidRPr="00E42BAB">
              <w:rPr>
                <w:color w:val="1C1C1C"/>
                <w:sz w:val="14"/>
                <w:szCs w:val="14"/>
              </w:rPr>
              <w:t>use assets</w:t>
            </w:r>
          </w:p>
        </w:tc>
        <w:tc>
          <w:tcPr>
            <w:tcW w:w="976" w:type="dxa"/>
            <w:tcBorders>
              <w:top w:val="single" w:sz="2" w:space="0" w:color="auto"/>
              <w:bottom w:val="single" w:sz="2" w:space="0" w:color="auto"/>
              <w:right w:val="single" w:sz="18" w:space="0" w:color="FFFFFF" w:themeColor="background2"/>
            </w:tcBorders>
            <w:vAlign w:val="bottom"/>
          </w:tcPr>
          <w:p w14:paraId="4C1F8676" w14:textId="54861A44"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w:t>
            </w:r>
            <w:r w:rsidR="0072118D">
              <w:rPr>
                <w:rFonts w:asciiTheme="majorHAnsi" w:hAnsiTheme="majorHAnsi" w:cs="Calibri"/>
                <w:sz w:val="14"/>
                <w:szCs w:val="14"/>
              </w:rPr>
              <w:t>2</w:t>
            </w:r>
            <w:r w:rsidRPr="009A2FF3">
              <w:rPr>
                <w:rFonts w:asciiTheme="majorHAnsi" w:hAnsiTheme="majorHAnsi" w:cs="Calibri"/>
                <w:sz w:val="14"/>
                <w:szCs w:val="14"/>
              </w:rPr>
              <w:t>,</w:t>
            </w:r>
            <w:r w:rsidR="0072118D">
              <w:rPr>
                <w:rFonts w:asciiTheme="majorHAnsi" w:hAnsiTheme="majorHAnsi" w:cs="Calibri"/>
                <w:sz w:val="14"/>
                <w:szCs w:val="14"/>
              </w:rPr>
              <w:t>375</w:t>
            </w:r>
            <w:r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707642EB" w14:textId="77777777"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03F21A5A" w14:textId="77777777"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79E98E3D" w14:textId="77777777" w:rsidR="004856A4" w:rsidRPr="009A2FF3" w:rsidRDefault="004856A4" w:rsidP="004856A4">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top w:val="single" w:sz="2" w:space="0" w:color="auto"/>
              <w:left w:val="single" w:sz="18" w:space="0" w:color="FFFFFF" w:themeColor="background2"/>
              <w:bottom w:val="single" w:sz="2" w:space="0" w:color="auto"/>
            </w:tcBorders>
            <w:vAlign w:val="bottom"/>
          </w:tcPr>
          <w:p w14:paraId="1002A60F" w14:textId="799AF8D2" w:rsidR="004856A4" w:rsidRPr="009A2FF3" w:rsidRDefault="0072118D" w:rsidP="004856A4">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12</w:t>
            </w:r>
            <w:r w:rsidR="004856A4" w:rsidRPr="009A2FF3">
              <w:rPr>
                <w:rFonts w:asciiTheme="majorHAnsi" w:hAnsiTheme="majorHAnsi" w:cs="Calibri"/>
                <w:sz w:val="14"/>
                <w:szCs w:val="14"/>
              </w:rPr>
              <w:t>,</w:t>
            </w:r>
            <w:r>
              <w:rPr>
                <w:rFonts w:asciiTheme="majorHAnsi" w:hAnsiTheme="majorHAnsi" w:cs="Calibri"/>
                <w:sz w:val="14"/>
                <w:szCs w:val="14"/>
              </w:rPr>
              <w:t>375</w:t>
            </w:r>
            <w:r w:rsidR="004856A4" w:rsidRPr="009A2FF3">
              <w:rPr>
                <w:rFonts w:asciiTheme="majorHAnsi" w:hAnsiTheme="majorHAnsi" w:cs="Calibri"/>
                <w:sz w:val="14"/>
                <w:szCs w:val="14"/>
              </w:rPr>
              <w:t xml:space="preserve"> </w:t>
            </w:r>
          </w:p>
        </w:tc>
      </w:tr>
      <w:tr w:rsidR="004856A4" w:rsidRPr="00B81AE0" w14:paraId="7E449797" w14:textId="77777777" w:rsidTr="00B15944">
        <w:trPr>
          <w:trHeight w:val="57"/>
        </w:trPr>
        <w:tc>
          <w:tcPr>
            <w:tcW w:w="2151" w:type="dxa"/>
          </w:tcPr>
          <w:p w14:paraId="0B687087" w14:textId="77777777" w:rsidR="004856A4" w:rsidRPr="00C77501" w:rsidRDefault="004856A4" w:rsidP="004856A4">
            <w:pPr>
              <w:suppressAutoHyphens/>
              <w:autoSpaceDE w:val="0"/>
              <w:autoSpaceDN w:val="0"/>
              <w:adjustRightInd w:val="0"/>
              <w:spacing w:before="20" w:after="20" w:line="20" w:lineRule="atLeast"/>
              <w:textAlignment w:val="center"/>
              <w:rPr>
                <w:color w:val="1C1C1C"/>
                <w:sz w:val="6"/>
                <w:szCs w:val="6"/>
              </w:rPr>
            </w:pPr>
          </w:p>
        </w:tc>
        <w:tc>
          <w:tcPr>
            <w:tcW w:w="976" w:type="dxa"/>
            <w:tcBorders>
              <w:top w:val="single" w:sz="2" w:space="0" w:color="auto"/>
              <w:right w:val="single" w:sz="18" w:space="0" w:color="FFFFFF" w:themeColor="background2"/>
            </w:tcBorders>
          </w:tcPr>
          <w:p w14:paraId="40B1A078" w14:textId="77777777" w:rsidR="004856A4" w:rsidRPr="00C77501" w:rsidRDefault="004856A4" w:rsidP="004856A4">
            <w:pPr>
              <w:autoSpaceDE w:val="0"/>
              <w:autoSpaceDN w:val="0"/>
              <w:adjustRightInd w:val="0"/>
              <w:spacing w:before="20" w:after="20" w:line="20" w:lineRule="atLeast"/>
              <w:jc w:val="right"/>
              <w:rPr>
                <w:rFonts w:asciiTheme="majorHAnsi" w:hAnsiTheme="majorHAnsi" w:cs="Calibri"/>
                <w:sz w:val="6"/>
                <w:szCs w:val="6"/>
              </w:rPr>
            </w:pPr>
          </w:p>
        </w:tc>
        <w:tc>
          <w:tcPr>
            <w:tcW w:w="1134" w:type="dxa"/>
            <w:tcBorders>
              <w:top w:val="single" w:sz="2" w:space="0" w:color="auto"/>
              <w:left w:val="single" w:sz="18" w:space="0" w:color="FFFFFF" w:themeColor="background2"/>
              <w:right w:val="single" w:sz="18" w:space="0" w:color="FFFFFF" w:themeColor="background2"/>
            </w:tcBorders>
          </w:tcPr>
          <w:p w14:paraId="7965E29F" w14:textId="77777777" w:rsidR="004856A4" w:rsidRPr="00C77501" w:rsidRDefault="004856A4" w:rsidP="004856A4">
            <w:pPr>
              <w:autoSpaceDE w:val="0"/>
              <w:autoSpaceDN w:val="0"/>
              <w:adjustRightInd w:val="0"/>
              <w:spacing w:before="20" w:after="20" w:line="20" w:lineRule="atLeast"/>
              <w:jc w:val="right"/>
              <w:rPr>
                <w:rFonts w:asciiTheme="majorHAnsi" w:hAnsiTheme="majorHAnsi" w:cs="Calibri"/>
                <w:sz w:val="6"/>
                <w:szCs w:val="6"/>
              </w:rPr>
            </w:pPr>
          </w:p>
        </w:tc>
        <w:tc>
          <w:tcPr>
            <w:tcW w:w="992" w:type="dxa"/>
            <w:tcBorders>
              <w:top w:val="single" w:sz="2" w:space="0" w:color="auto"/>
              <w:left w:val="single" w:sz="18" w:space="0" w:color="FFFFFF" w:themeColor="background2"/>
              <w:right w:val="single" w:sz="18" w:space="0" w:color="FFFFFF" w:themeColor="background2"/>
            </w:tcBorders>
          </w:tcPr>
          <w:p w14:paraId="54B3F575" w14:textId="77777777" w:rsidR="004856A4" w:rsidRPr="00C77501" w:rsidRDefault="004856A4" w:rsidP="004856A4">
            <w:pPr>
              <w:autoSpaceDE w:val="0"/>
              <w:autoSpaceDN w:val="0"/>
              <w:adjustRightInd w:val="0"/>
              <w:spacing w:before="20" w:after="20" w:line="20" w:lineRule="atLeast"/>
              <w:jc w:val="right"/>
              <w:rPr>
                <w:rFonts w:asciiTheme="majorHAnsi" w:hAnsiTheme="majorHAnsi" w:cs="Calibri"/>
                <w:sz w:val="6"/>
                <w:szCs w:val="6"/>
              </w:rPr>
            </w:pPr>
          </w:p>
        </w:tc>
        <w:tc>
          <w:tcPr>
            <w:tcW w:w="1134" w:type="dxa"/>
            <w:tcBorders>
              <w:top w:val="single" w:sz="2" w:space="0" w:color="auto"/>
              <w:left w:val="single" w:sz="18" w:space="0" w:color="FFFFFF" w:themeColor="background2"/>
              <w:right w:val="single" w:sz="18" w:space="0" w:color="FFFFFF" w:themeColor="background2"/>
            </w:tcBorders>
          </w:tcPr>
          <w:p w14:paraId="16DC618C" w14:textId="77777777" w:rsidR="004856A4" w:rsidRPr="00C77501" w:rsidRDefault="004856A4" w:rsidP="004856A4">
            <w:pPr>
              <w:autoSpaceDE w:val="0"/>
              <w:autoSpaceDN w:val="0"/>
              <w:adjustRightInd w:val="0"/>
              <w:spacing w:before="20" w:after="20" w:line="20" w:lineRule="atLeast"/>
              <w:jc w:val="right"/>
              <w:rPr>
                <w:rFonts w:asciiTheme="majorHAnsi" w:hAnsiTheme="majorHAnsi" w:cs="Calibri"/>
                <w:sz w:val="6"/>
                <w:szCs w:val="6"/>
              </w:rPr>
            </w:pPr>
          </w:p>
        </w:tc>
        <w:tc>
          <w:tcPr>
            <w:tcW w:w="992" w:type="dxa"/>
            <w:tcBorders>
              <w:top w:val="single" w:sz="2" w:space="0" w:color="auto"/>
              <w:left w:val="single" w:sz="18" w:space="0" w:color="FFFFFF" w:themeColor="background2"/>
            </w:tcBorders>
          </w:tcPr>
          <w:p w14:paraId="1F96FBBF" w14:textId="77777777" w:rsidR="004856A4" w:rsidRPr="00C77501" w:rsidRDefault="004856A4" w:rsidP="004856A4">
            <w:pPr>
              <w:suppressAutoHyphens/>
              <w:autoSpaceDE w:val="0"/>
              <w:autoSpaceDN w:val="0"/>
              <w:adjustRightInd w:val="0"/>
              <w:spacing w:before="20" w:after="20" w:line="20" w:lineRule="atLeast"/>
              <w:jc w:val="right"/>
              <w:textAlignment w:val="center"/>
              <w:rPr>
                <w:rFonts w:asciiTheme="majorHAnsi" w:hAnsiTheme="majorHAnsi" w:cs="Calibri"/>
                <w:sz w:val="6"/>
                <w:szCs w:val="6"/>
              </w:rPr>
            </w:pPr>
          </w:p>
        </w:tc>
      </w:tr>
      <w:tr w:rsidR="004856A4" w:rsidRPr="00B81AE0" w14:paraId="7734458B" w14:textId="77777777" w:rsidTr="00B15944">
        <w:trPr>
          <w:trHeight w:val="170"/>
        </w:trPr>
        <w:tc>
          <w:tcPr>
            <w:tcW w:w="7379" w:type="dxa"/>
            <w:gridSpan w:val="6"/>
          </w:tcPr>
          <w:p w14:paraId="28786774" w14:textId="77777777" w:rsidR="004856A4" w:rsidRDefault="004856A4" w:rsidP="004856A4">
            <w:pPr>
              <w:suppressAutoHyphens/>
              <w:autoSpaceDE w:val="0"/>
              <w:autoSpaceDN w:val="0"/>
              <w:adjustRightInd w:val="0"/>
              <w:spacing w:before="20" w:after="120" w:line="288" w:lineRule="auto"/>
              <w:textAlignment w:val="center"/>
              <w:rPr>
                <w:color w:val="1C1C1C"/>
                <w:sz w:val="14"/>
                <w:szCs w:val="14"/>
              </w:rPr>
            </w:pPr>
            <w:r w:rsidRPr="00B81AE0">
              <w:rPr>
                <w:color w:val="1C1C1C"/>
                <w:sz w:val="14"/>
                <w:szCs w:val="14"/>
              </w:rPr>
              <w:t>No indicators of impairment were found for property, plant and equipment or intangibles.</w:t>
            </w:r>
          </w:p>
          <w:p w14:paraId="7DE968A3" w14:textId="77777777" w:rsidR="00D85049" w:rsidRPr="006B4D85" w:rsidRDefault="00D85049" w:rsidP="006B4D85">
            <w:pPr>
              <w:pStyle w:val="Body"/>
              <w:spacing w:after="120" w:line="288" w:lineRule="auto"/>
              <w:rPr>
                <w:b/>
                <w:bCs/>
              </w:rPr>
            </w:pPr>
            <w:r w:rsidRPr="006B4D85">
              <w:rPr>
                <w:b/>
                <w:bCs/>
              </w:rPr>
              <w:t xml:space="preserve">Summary of asset transactions </w:t>
            </w:r>
          </w:p>
          <w:p w14:paraId="2AD63822" w14:textId="21203CD9" w:rsidR="004856A4" w:rsidRPr="00B81AE0" w:rsidRDefault="00D85049" w:rsidP="004856A4">
            <w:pPr>
              <w:suppressAutoHyphens/>
              <w:autoSpaceDE w:val="0"/>
              <w:autoSpaceDN w:val="0"/>
              <w:adjustRightInd w:val="0"/>
              <w:spacing w:before="20" w:after="20"/>
              <w:textAlignment w:val="center"/>
              <w:rPr>
                <w:color w:val="1C1C1C"/>
                <w:sz w:val="14"/>
                <w:szCs w:val="14"/>
              </w:rPr>
            </w:pPr>
            <w:r w:rsidRPr="00D85049">
              <w:rPr>
                <w:color w:val="1C1C1C"/>
                <w:sz w:val="14"/>
                <w:szCs w:val="14"/>
              </w:rPr>
              <w:t xml:space="preserve">During the period, IHPA signed a new lease for larger office space at Level 12 at 1 Oxford Street, Sydney and a Deed of Surrender and Release for the existing Level 6 lease. The Level 6 lease modification (the shortening of the lease term) resulted in the reduction of the right-of-use asset by $0.733m. The Level 12 office lease commenced on 1 March 2022 for a term of </w:t>
            </w:r>
            <w:r w:rsidR="0045512C">
              <w:rPr>
                <w:color w:val="1C1C1C"/>
                <w:sz w:val="14"/>
                <w:szCs w:val="14"/>
              </w:rPr>
              <w:t>5</w:t>
            </w:r>
            <w:r w:rsidRPr="00D85049">
              <w:rPr>
                <w:color w:val="1C1C1C"/>
                <w:sz w:val="14"/>
                <w:szCs w:val="14"/>
              </w:rPr>
              <w:t xml:space="preserve"> years (with a </w:t>
            </w:r>
            <w:r w:rsidR="0045512C">
              <w:rPr>
                <w:color w:val="1C1C1C"/>
                <w:sz w:val="14"/>
                <w:szCs w:val="14"/>
              </w:rPr>
              <w:t>5</w:t>
            </w:r>
            <w:r w:rsidRPr="00D85049">
              <w:rPr>
                <w:color w:val="1C1C1C"/>
                <w:sz w:val="14"/>
                <w:szCs w:val="14"/>
              </w:rPr>
              <w:t>-year extension option), with a right-of-use</w:t>
            </w:r>
            <w:r w:rsidR="006B4D85">
              <w:rPr>
                <w:color w:val="1C1C1C"/>
                <w:sz w:val="14"/>
                <w:szCs w:val="14"/>
              </w:rPr>
              <w:t xml:space="preserve"> </w:t>
            </w:r>
            <w:r w:rsidRPr="00D85049">
              <w:rPr>
                <w:color w:val="1C1C1C"/>
                <w:sz w:val="14"/>
                <w:szCs w:val="14"/>
              </w:rPr>
              <w:t xml:space="preserve">asset of $12.801m and office fit-out costs of $2.481m recognised. Losses from the disposal of assets were $0.738m and comprised of the written down value of </w:t>
            </w:r>
            <w:r w:rsidR="0045512C">
              <w:rPr>
                <w:color w:val="1C1C1C"/>
                <w:sz w:val="14"/>
                <w:szCs w:val="14"/>
              </w:rPr>
              <w:t>L</w:t>
            </w:r>
            <w:r w:rsidRPr="00D85049">
              <w:rPr>
                <w:color w:val="1C1C1C"/>
                <w:sz w:val="14"/>
                <w:szCs w:val="14"/>
              </w:rPr>
              <w:t>evel 6 leasehold improvements assets at the end of the lease of $0.722m and redundant computer software of $0.016m.</w:t>
            </w:r>
          </w:p>
        </w:tc>
      </w:tr>
    </w:tbl>
    <w:p w14:paraId="73170F20" w14:textId="2DFCE330" w:rsidR="0010025B" w:rsidRDefault="0010025B" w:rsidP="008664C1">
      <w:pPr>
        <w:pStyle w:val="Body"/>
        <w:rPr>
          <w:color w:val="292929"/>
        </w:rPr>
      </w:pPr>
    </w:p>
    <w:p w14:paraId="409501E6" w14:textId="77777777" w:rsidR="00271E8D" w:rsidRDefault="00271E8D" w:rsidP="008664C1">
      <w:pPr>
        <w:pStyle w:val="Body"/>
        <w:rPr>
          <w:color w:val="292929"/>
        </w:rPr>
        <w:sectPr w:rsidR="00271E8D" w:rsidSect="00441579">
          <w:footerReference w:type="default" r:id="rId195"/>
          <w:pgSz w:w="9979" w:h="14175"/>
          <w:pgMar w:top="1134" w:right="1134" w:bottom="1134" w:left="1134" w:header="709" w:footer="709" w:gutter="0"/>
          <w:cols w:space="708"/>
          <w:docGrid w:linePitch="360"/>
        </w:sectPr>
      </w:pPr>
    </w:p>
    <w:tbl>
      <w:tblPr>
        <w:tblStyle w:val="TableGrid1"/>
        <w:tblW w:w="5059" w:type="pct"/>
        <w:tblCellMar>
          <w:top w:w="57" w:type="dxa"/>
          <w:bottom w:w="57" w:type="dxa"/>
        </w:tblCellMar>
        <w:tblLook w:val="04A0" w:firstRow="1" w:lastRow="0" w:firstColumn="1" w:lastColumn="0" w:noHBand="0" w:noVBand="1"/>
        <w:tblCaption w:val="Note 2.2A"/>
        <w:tblDescription w:val="Accounting policy"/>
      </w:tblPr>
      <w:tblGrid>
        <w:gridCol w:w="7792"/>
      </w:tblGrid>
      <w:tr w:rsidR="00271E8D" w14:paraId="72AC1397" w14:textId="77777777" w:rsidTr="00271E8D">
        <w:trPr>
          <w:tblHeader/>
        </w:trPr>
        <w:tc>
          <w:tcPr>
            <w:tcW w:w="5000" w:type="pct"/>
          </w:tcPr>
          <w:p w14:paraId="4E6F6FAC" w14:textId="77777777" w:rsidR="00271E8D" w:rsidRPr="005300C0" w:rsidRDefault="00271E8D" w:rsidP="00B15944">
            <w:pPr>
              <w:pStyle w:val="Body"/>
              <w:spacing w:after="120" w:line="288" w:lineRule="auto"/>
              <w:rPr>
                <w:rFonts w:asciiTheme="majorHAnsi" w:hAnsiTheme="majorHAnsi"/>
              </w:rPr>
            </w:pPr>
            <w:r w:rsidRPr="005300C0">
              <w:rPr>
                <w:rFonts w:asciiTheme="majorHAnsi" w:hAnsiTheme="majorHAnsi"/>
              </w:rPr>
              <w:t>Accounting Policy</w:t>
            </w:r>
          </w:p>
          <w:p w14:paraId="241BEE3B" w14:textId="77777777" w:rsidR="00271E8D" w:rsidRPr="00303955" w:rsidRDefault="00271E8D" w:rsidP="00B15944">
            <w:pPr>
              <w:pStyle w:val="Body"/>
              <w:spacing w:after="120"/>
              <w:rPr>
                <w:b/>
                <w:bCs/>
              </w:rPr>
            </w:pPr>
            <w:r w:rsidRPr="00303955">
              <w:rPr>
                <w:b/>
                <w:bCs/>
              </w:rPr>
              <w:t>Property, plant and equipment, and intangibles</w:t>
            </w:r>
          </w:p>
          <w:p w14:paraId="2FF5FDDC" w14:textId="77777777" w:rsidR="00D85049" w:rsidRDefault="00D85049" w:rsidP="00D85049">
            <w:pPr>
              <w:pStyle w:val="Body"/>
              <w:spacing w:after="120"/>
            </w:pPr>
            <w:r>
              <w:t>Assets are recorded at cost on acquisition except as stated below. The cost on acquisition includes the fair value of assets transferred in exchange and liabilities undertaken. Financial assets are initially measured at their fair value plus transaction costs where appropriate.</w:t>
            </w:r>
          </w:p>
          <w:p w14:paraId="2FFC09EE" w14:textId="4A601DC5" w:rsidR="00D85049" w:rsidRDefault="00D85049" w:rsidP="00D85049">
            <w:pPr>
              <w:pStyle w:val="Body"/>
              <w:spacing w:after="120"/>
            </w:pPr>
            <w:r>
              <w:t>Assets acquired at no cost, or for nominal consideration, are initially recognised as assets and income at their</w:t>
            </w:r>
            <w:r w:rsidR="00182C2A">
              <w:t> </w:t>
            </w:r>
            <w:r>
              <w:t>fair value at the date of acquisition, unless acquired as a consequence of restructuring of administrative arrangements. In the latter case, assets are initially recognised as contributions by owners at the amounts at which they were recognised in the transferor’s accounts immediately prior to the restructuring.</w:t>
            </w:r>
          </w:p>
          <w:p w14:paraId="71F5866E" w14:textId="4D04108F" w:rsidR="00271E8D" w:rsidRPr="00303955" w:rsidRDefault="00271E8D" w:rsidP="00D85049">
            <w:pPr>
              <w:pStyle w:val="Body"/>
              <w:spacing w:after="120"/>
              <w:rPr>
                <w:b/>
                <w:bCs/>
              </w:rPr>
            </w:pPr>
            <w:r w:rsidRPr="00303955">
              <w:rPr>
                <w:b/>
                <w:bCs/>
              </w:rPr>
              <w:t>Asset recognition threshold</w:t>
            </w:r>
          </w:p>
          <w:p w14:paraId="5505F5C0" w14:textId="42F740A0" w:rsidR="00D85049" w:rsidRDefault="00D85049" w:rsidP="00B15944">
            <w:pPr>
              <w:pStyle w:val="Body"/>
              <w:spacing w:after="120"/>
            </w:pPr>
            <w:r w:rsidRPr="00D85049">
              <w:t>Purchases of property, plant and equipment are recognised initially at cost in the statement of financial position, except for purchases costing less than $5,000, which are expensed in the year of acquisition (other</w:t>
            </w:r>
            <w:r w:rsidR="00182C2A">
              <w:t> </w:t>
            </w:r>
            <w:r w:rsidRPr="00D85049">
              <w:t>than where they form part of a group of similar items which are significant in total).</w:t>
            </w:r>
          </w:p>
          <w:p w14:paraId="0C2D6749" w14:textId="36644B91" w:rsidR="00271E8D" w:rsidRDefault="00271E8D" w:rsidP="00B15944">
            <w:pPr>
              <w:pStyle w:val="Body"/>
              <w:spacing w:after="120"/>
              <w:rPr>
                <w:b/>
                <w:bCs/>
              </w:rPr>
            </w:pPr>
            <w:r w:rsidRPr="00BD5C17">
              <w:rPr>
                <w:b/>
                <w:bCs/>
              </w:rPr>
              <w:t xml:space="preserve">Lease </w:t>
            </w:r>
            <w:r w:rsidR="006B4D85">
              <w:rPr>
                <w:b/>
                <w:bCs/>
              </w:rPr>
              <w:t>r</w:t>
            </w:r>
            <w:r w:rsidRPr="00BD5C17">
              <w:rPr>
                <w:b/>
                <w:bCs/>
              </w:rPr>
              <w:t>ight</w:t>
            </w:r>
            <w:r w:rsidR="006B4D85">
              <w:rPr>
                <w:b/>
                <w:bCs/>
              </w:rPr>
              <w:t>-</w:t>
            </w:r>
            <w:r w:rsidRPr="00BD5C17">
              <w:rPr>
                <w:b/>
                <w:bCs/>
              </w:rPr>
              <w:t>of</w:t>
            </w:r>
            <w:r w:rsidR="006B4D85">
              <w:rPr>
                <w:b/>
                <w:bCs/>
              </w:rPr>
              <w:t>-u</w:t>
            </w:r>
            <w:r w:rsidRPr="00BD5C17">
              <w:rPr>
                <w:b/>
                <w:bCs/>
              </w:rPr>
              <w:t xml:space="preserve">se (ROU) </w:t>
            </w:r>
            <w:r w:rsidR="006B4D85">
              <w:rPr>
                <w:b/>
                <w:bCs/>
              </w:rPr>
              <w:t>a</w:t>
            </w:r>
            <w:r w:rsidRPr="00BD5C17">
              <w:rPr>
                <w:b/>
                <w:bCs/>
              </w:rPr>
              <w:t>ssets</w:t>
            </w:r>
          </w:p>
          <w:p w14:paraId="0AB6EF8B" w14:textId="4CE86949" w:rsidR="00D85049" w:rsidRDefault="00D85049" w:rsidP="00D85049">
            <w:pPr>
              <w:pStyle w:val="Body"/>
              <w:spacing w:after="120"/>
            </w:pPr>
            <w:r>
              <w:t>Leased ROU assets are capitalised at the commencement date of the lease and comprise of the initial lease liability amount, initial direct costs incurred when entering into the lease less any lease incentives received. These assets are accounted for by Commonwealth lessees as separate asset classes to corresponding assets owned outright, but included in the same column as where the corresponding underlying assets would be presented if they were owned.</w:t>
            </w:r>
            <w:r w:rsidR="00536C01">
              <w:t xml:space="preserve"> </w:t>
            </w:r>
            <w:r>
              <w:t xml:space="preserve">Lease ROU assets continue to be measured at cost after initial recognition. </w:t>
            </w:r>
          </w:p>
          <w:p w14:paraId="56AD8377" w14:textId="01CF59DC" w:rsidR="00271E8D" w:rsidRPr="00303955" w:rsidRDefault="00271E8D" w:rsidP="00D85049">
            <w:pPr>
              <w:pStyle w:val="Body"/>
              <w:spacing w:after="120"/>
              <w:rPr>
                <w:b/>
                <w:bCs/>
              </w:rPr>
            </w:pPr>
            <w:r w:rsidRPr="00303955">
              <w:rPr>
                <w:b/>
                <w:bCs/>
              </w:rPr>
              <w:t>Revaluations</w:t>
            </w:r>
          </w:p>
          <w:p w14:paraId="0DD925F5" w14:textId="3FC5C31C" w:rsidR="00D85049" w:rsidRDefault="00D85049" w:rsidP="00D85049">
            <w:pPr>
              <w:pStyle w:val="Body"/>
              <w:spacing w:after="120"/>
            </w:pPr>
            <w:r>
              <w:t>Following initial recognition at cost, property, plant and equipment (excluding ROU assets) are carried at fair</w:t>
            </w:r>
            <w:r w:rsidR="00182C2A">
              <w:t> </w:t>
            </w:r>
            <w:r>
              <w:t>value less subsequent accumulated depreciation and accumulated impairment losses. Valuations are conducted with sufficient frequency to ensure that the carrying amounts of assets did not differ materially from the assets’ fair values as at the reporting date. The regularity of independent valuations depended upon the volatility of movements in market values for the relevant assets.</w:t>
            </w:r>
          </w:p>
          <w:p w14:paraId="5E91DE07" w14:textId="77777777" w:rsidR="00D85049" w:rsidRDefault="00D85049" w:rsidP="00D85049">
            <w:pPr>
              <w:pStyle w:val="Body"/>
              <w:spacing w:after="120"/>
            </w:pPr>
            <w:r>
              <w:t>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 Revaluation decrements for a class of assets are recognised directly in the surplus/deficit except to the extent that they reversed a previous revaluation increment for that class.</w:t>
            </w:r>
          </w:p>
          <w:p w14:paraId="3D0243E6" w14:textId="77777777" w:rsidR="00D85049" w:rsidRDefault="00D85049" w:rsidP="00D85049">
            <w:pPr>
              <w:pStyle w:val="Body"/>
              <w:spacing w:after="120"/>
            </w:pPr>
            <w:r>
              <w:t>Any accumulated depreciation as at the revaluation date is eliminated against the gross carrying amount of the asset and the asset restated to the revalued amount.</w:t>
            </w:r>
          </w:p>
          <w:p w14:paraId="7A50B2DA" w14:textId="1282BFBC" w:rsidR="00271E8D" w:rsidRPr="00303955" w:rsidRDefault="00271E8D" w:rsidP="00D85049">
            <w:pPr>
              <w:pStyle w:val="Body"/>
              <w:spacing w:after="120"/>
              <w:rPr>
                <w:b/>
                <w:bCs/>
              </w:rPr>
            </w:pPr>
            <w:r w:rsidRPr="00303955">
              <w:rPr>
                <w:b/>
                <w:bCs/>
              </w:rPr>
              <w:t>Depreciation</w:t>
            </w:r>
          </w:p>
          <w:p w14:paraId="63856FA1" w14:textId="77777777" w:rsidR="00D85049" w:rsidRDefault="00D85049" w:rsidP="00B15944">
            <w:pPr>
              <w:pStyle w:val="Body"/>
              <w:spacing w:after="120"/>
            </w:pPr>
            <w:r w:rsidRPr="00D85049">
              <w:t>Depreciable property, plant and equipment assets are written-off to their estimated residual values over their estimated useful lives to the entity using, in all cases, the straight-line method of depreciation. Depreciation rates (useful lives), residual values and methods are reviewed at each reporting date and necessary adjustments are recognised in the current, or current and future reporting periods, as appropriate.</w:t>
            </w:r>
          </w:p>
          <w:p w14:paraId="5E803940" w14:textId="1A3E4FBB" w:rsidR="00693479" w:rsidRDefault="00693479" w:rsidP="00B15944">
            <w:pPr>
              <w:pStyle w:val="Body"/>
              <w:spacing w:after="120"/>
            </w:pPr>
            <w:r w:rsidRPr="00BD5C17">
              <w:t>Depreciation rates applying to each class of depreciable asset are based on the following useful lives:</w:t>
            </w:r>
          </w:p>
          <w:tbl>
            <w:tblPr>
              <w:tblStyle w:val="TableGrid"/>
              <w:tblW w:w="2996" w:type="pct"/>
              <w:shd w:val="clear" w:color="auto" w:fill="FFFFFF" w:themeFill="background2"/>
              <w:tblLook w:val="04A0" w:firstRow="1" w:lastRow="0" w:firstColumn="1" w:lastColumn="0" w:noHBand="0" w:noVBand="1"/>
            </w:tblPr>
            <w:tblGrid>
              <w:gridCol w:w="2053"/>
              <w:gridCol w:w="1244"/>
              <w:gridCol w:w="1243"/>
            </w:tblGrid>
            <w:tr w:rsidR="00271E8D" w14:paraId="1AC946D4" w14:textId="77777777" w:rsidTr="00B15944">
              <w:trPr>
                <w:cnfStyle w:val="100000000000" w:firstRow="1" w:lastRow="0" w:firstColumn="0" w:lastColumn="0" w:oddVBand="0" w:evenVBand="0" w:oddHBand="0" w:evenHBand="0" w:firstRowFirstColumn="0" w:firstRowLastColumn="0" w:lastRowFirstColumn="0" w:lastRowLastColumn="0"/>
                <w:trHeight w:val="113"/>
              </w:trPr>
              <w:tc>
                <w:tcPr>
                  <w:tcW w:w="2261" w:type="pct"/>
                  <w:shd w:val="clear" w:color="auto" w:fill="FFFFFF" w:themeFill="background2"/>
                  <w:vAlign w:val="center"/>
                </w:tcPr>
                <w:p w14:paraId="603D3A99" w14:textId="77777777" w:rsidR="00271E8D" w:rsidRPr="00327CD3" w:rsidRDefault="00271E8D" w:rsidP="00B15944">
                  <w:pPr>
                    <w:pStyle w:val="Body"/>
                    <w:rPr>
                      <w:sz w:val="16"/>
                      <w:szCs w:val="16"/>
                    </w:rPr>
                  </w:pPr>
                </w:p>
              </w:tc>
              <w:tc>
                <w:tcPr>
                  <w:tcW w:w="1370" w:type="pct"/>
                  <w:tcBorders>
                    <w:bottom w:val="single" w:sz="4" w:space="0" w:color="292929"/>
                    <w:right w:val="single" w:sz="18" w:space="0" w:color="FFFFFF" w:themeColor="background2"/>
                  </w:tcBorders>
                  <w:shd w:val="clear" w:color="auto" w:fill="FFFFFF" w:themeFill="background2"/>
                  <w:vAlign w:val="center"/>
                </w:tcPr>
                <w:p w14:paraId="27FDD693" w14:textId="77777777" w:rsidR="00271E8D" w:rsidRPr="00700BE1" w:rsidRDefault="00271E8D" w:rsidP="00B15944">
                  <w:pPr>
                    <w:pStyle w:val="Body"/>
                    <w:rPr>
                      <w:b/>
                      <w:bCs/>
                      <w:sz w:val="16"/>
                      <w:szCs w:val="16"/>
                    </w:rPr>
                  </w:pPr>
                  <w:r w:rsidRPr="00700BE1">
                    <w:rPr>
                      <w:b/>
                      <w:bCs/>
                      <w:sz w:val="16"/>
                      <w:szCs w:val="16"/>
                    </w:rPr>
                    <w:t>202</w:t>
                  </w:r>
                  <w:r>
                    <w:rPr>
                      <w:b/>
                      <w:bCs/>
                      <w:sz w:val="16"/>
                      <w:szCs w:val="16"/>
                    </w:rPr>
                    <w:t>2</w:t>
                  </w:r>
                </w:p>
              </w:tc>
              <w:tc>
                <w:tcPr>
                  <w:tcW w:w="1369" w:type="pct"/>
                  <w:tcBorders>
                    <w:left w:val="single" w:sz="18" w:space="0" w:color="FFFFFF" w:themeColor="background2"/>
                    <w:bottom w:val="single" w:sz="4" w:space="0" w:color="292929"/>
                  </w:tcBorders>
                  <w:shd w:val="clear" w:color="auto" w:fill="FFFFFF" w:themeFill="background2"/>
                  <w:vAlign w:val="center"/>
                </w:tcPr>
                <w:p w14:paraId="501D9AD2" w14:textId="77777777" w:rsidR="00271E8D" w:rsidRPr="00700BE1" w:rsidRDefault="00271E8D" w:rsidP="00B15944">
                  <w:pPr>
                    <w:pStyle w:val="Body"/>
                    <w:rPr>
                      <w:b/>
                      <w:bCs/>
                      <w:sz w:val="16"/>
                      <w:szCs w:val="16"/>
                    </w:rPr>
                  </w:pPr>
                  <w:r w:rsidRPr="00700BE1">
                    <w:rPr>
                      <w:b/>
                      <w:bCs/>
                      <w:sz w:val="16"/>
                      <w:szCs w:val="16"/>
                    </w:rPr>
                    <w:t>20</w:t>
                  </w:r>
                  <w:r>
                    <w:rPr>
                      <w:b/>
                      <w:bCs/>
                      <w:sz w:val="16"/>
                      <w:szCs w:val="16"/>
                    </w:rPr>
                    <w:t>21</w:t>
                  </w:r>
                </w:p>
              </w:tc>
            </w:tr>
            <w:tr w:rsidR="00271E8D" w14:paraId="144C7DED" w14:textId="77777777" w:rsidTr="00B15944">
              <w:trPr>
                <w:cnfStyle w:val="100000000000" w:firstRow="1" w:lastRow="0" w:firstColumn="0" w:lastColumn="0" w:oddVBand="0" w:evenVBand="0" w:oddHBand="0" w:evenHBand="0" w:firstRowFirstColumn="0" w:firstRowLastColumn="0" w:lastRowFirstColumn="0" w:lastRowLastColumn="0"/>
                <w:trHeight w:val="113"/>
              </w:trPr>
              <w:tc>
                <w:tcPr>
                  <w:tcW w:w="2261" w:type="pct"/>
                  <w:shd w:val="clear" w:color="auto" w:fill="FFFFFF" w:themeFill="background2"/>
                  <w:vAlign w:val="center"/>
                </w:tcPr>
                <w:p w14:paraId="36AEF301" w14:textId="77777777" w:rsidR="00271E8D" w:rsidRPr="00327CD3" w:rsidRDefault="00271E8D" w:rsidP="00B15944">
                  <w:pPr>
                    <w:pStyle w:val="Body"/>
                    <w:rPr>
                      <w:sz w:val="16"/>
                      <w:szCs w:val="16"/>
                    </w:rPr>
                  </w:pPr>
                  <w:r>
                    <w:rPr>
                      <w:sz w:val="16"/>
                      <w:szCs w:val="16"/>
                    </w:rPr>
                    <w:t>Leasehold improvements</w:t>
                  </w:r>
                </w:p>
              </w:tc>
              <w:tc>
                <w:tcPr>
                  <w:tcW w:w="1370" w:type="pct"/>
                  <w:tcBorders>
                    <w:top w:val="single" w:sz="4" w:space="0" w:color="292929"/>
                    <w:right w:val="single" w:sz="18" w:space="0" w:color="FFFFFF" w:themeColor="background2"/>
                  </w:tcBorders>
                  <w:shd w:val="clear" w:color="auto" w:fill="FFFFFF" w:themeFill="background2"/>
                  <w:vAlign w:val="center"/>
                </w:tcPr>
                <w:p w14:paraId="70AD4BD8" w14:textId="77777777" w:rsidR="00271E8D" w:rsidRPr="00327CD3" w:rsidRDefault="00271E8D" w:rsidP="00B15944">
                  <w:pPr>
                    <w:pStyle w:val="Body"/>
                    <w:rPr>
                      <w:sz w:val="16"/>
                      <w:szCs w:val="16"/>
                    </w:rPr>
                  </w:pPr>
                  <w:r>
                    <w:rPr>
                      <w:sz w:val="16"/>
                      <w:szCs w:val="16"/>
                    </w:rPr>
                    <w:t>Lease terms</w:t>
                  </w:r>
                </w:p>
              </w:tc>
              <w:tc>
                <w:tcPr>
                  <w:tcW w:w="1369" w:type="pct"/>
                  <w:tcBorders>
                    <w:top w:val="single" w:sz="4" w:space="0" w:color="292929"/>
                    <w:left w:val="single" w:sz="18" w:space="0" w:color="FFFFFF" w:themeColor="background2"/>
                  </w:tcBorders>
                  <w:shd w:val="clear" w:color="auto" w:fill="FFFFFF" w:themeFill="background2"/>
                  <w:vAlign w:val="center"/>
                </w:tcPr>
                <w:p w14:paraId="43439F8B" w14:textId="77777777" w:rsidR="00271E8D" w:rsidRPr="00327CD3" w:rsidRDefault="00271E8D" w:rsidP="00B15944">
                  <w:pPr>
                    <w:pStyle w:val="Body"/>
                    <w:rPr>
                      <w:sz w:val="16"/>
                      <w:szCs w:val="16"/>
                    </w:rPr>
                  </w:pPr>
                  <w:r>
                    <w:rPr>
                      <w:sz w:val="16"/>
                      <w:szCs w:val="16"/>
                    </w:rPr>
                    <w:t>Lease terms</w:t>
                  </w:r>
                </w:p>
              </w:tc>
            </w:tr>
            <w:tr w:rsidR="00271E8D" w14:paraId="33A3C5E7" w14:textId="77777777" w:rsidTr="00B15944">
              <w:trPr>
                <w:cnfStyle w:val="100000000000" w:firstRow="1" w:lastRow="0" w:firstColumn="0" w:lastColumn="0" w:oddVBand="0" w:evenVBand="0" w:oddHBand="0" w:evenHBand="0" w:firstRowFirstColumn="0" w:firstRowLastColumn="0" w:lastRowFirstColumn="0" w:lastRowLastColumn="0"/>
                <w:trHeight w:val="113"/>
              </w:trPr>
              <w:tc>
                <w:tcPr>
                  <w:tcW w:w="2261" w:type="pct"/>
                  <w:shd w:val="clear" w:color="auto" w:fill="FFFFFF" w:themeFill="background2"/>
                  <w:vAlign w:val="center"/>
                </w:tcPr>
                <w:p w14:paraId="5587AC30" w14:textId="77777777" w:rsidR="00271E8D" w:rsidRPr="00327CD3" w:rsidRDefault="00271E8D" w:rsidP="00B15944">
                  <w:pPr>
                    <w:pStyle w:val="Body"/>
                    <w:rPr>
                      <w:sz w:val="16"/>
                      <w:szCs w:val="16"/>
                    </w:rPr>
                  </w:pPr>
                  <w:r>
                    <w:rPr>
                      <w:sz w:val="16"/>
                      <w:szCs w:val="16"/>
                    </w:rPr>
                    <w:t>Plant and equipment</w:t>
                  </w:r>
                </w:p>
              </w:tc>
              <w:tc>
                <w:tcPr>
                  <w:tcW w:w="1370" w:type="pct"/>
                  <w:shd w:val="clear" w:color="auto" w:fill="FFFFFF" w:themeFill="background2"/>
                  <w:vAlign w:val="center"/>
                </w:tcPr>
                <w:p w14:paraId="50E58507" w14:textId="77777777" w:rsidR="00271E8D" w:rsidRPr="00327CD3" w:rsidRDefault="00271E8D" w:rsidP="00B15944">
                  <w:pPr>
                    <w:pStyle w:val="Body"/>
                    <w:rPr>
                      <w:sz w:val="16"/>
                      <w:szCs w:val="16"/>
                    </w:rPr>
                  </w:pPr>
                  <w:r>
                    <w:rPr>
                      <w:sz w:val="16"/>
                      <w:szCs w:val="16"/>
                    </w:rPr>
                    <w:t>3 to 6 years</w:t>
                  </w:r>
                </w:p>
              </w:tc>
              <w:tc>
                <w:tcPr>
                  <w:tcW w:w="1369" w:type="pct"/>
                  <w:shd w:val="clear" w:color="auto" w:fill="FFFFFF" w:themeFill="background2"/>
                  <w:vAlign w:val="center"/>
                </w:tcPr>
                <w:p w14:paraId="102D4459" w14:textId="77777777" w:rsidR="00271E8D" w:rsidRPr="00327CD3" w:rsidRDefault="00271E8D" w:rsidP="00B15944">
                  <w:pPr>
                    <w:pStyle w:val="Body"/>
                    <w:rPr>
                      <w:sz w:val="16"/>
                      <w:szCs w:val="16"/>
                    </w:rPr>
                  </w:pPr>
                  <w:r>
                    <w:rPr>
                      <w:sz w:val="16"/>
                      <w:szCs w:val="16"/>
                    </w:rPr>
                    <w:t>3 to 6 years</w:t>
                  </w:r>
                </w:p>
              </w:tc>
            </w:tr>
          </w:tbl>
          <w:p w14:paraId="2CEBF1E8" w14:textId="77777777" w:rsidR="00271E8D" w:rsidRDefault="00271E8D" w:rsidP="00B15944">
            <w:pPr>
              <w:pStyle w:val="Body"/>
              <w:spacing w:after="120"/>
            </w:pPr>
          </w:p>
        </w:tc>
      </w:tr>
    </w:tbl>
    <w:p w14:paraId="7F9B698B" w14:textId="77777777" w:rsidR="00271E8D" w:rsidRDefault="00271E8D" w:rsidP="008664C1">
      <w:pPr>
        <w:pStyle w:val="Body"/>
        <w:rPr>
          <w:color w:val="292929"/>
        </w:rPr>
      </w:pPr>
    </w:p>
    <w:p w14:paraId="2F76A15C" w14:textId="4E787E8B" w:rsidR="00271E8D" w:rsidRDefault="00271E8D" w:rsidP="008664C1">
      <w:pPr>
        <w:pStyle w:val="Body"/>
        <w:rPr>
          <w:color w:val="292929"/>
        </w:rPr>
        <w:sectPr w:rsidR="00271E8D" w:rsidSect="00271E8D">
          <w:footerReference w:type="default" r:id="rId196"/>
          <w:pgSz w:w="9979" w:h="14175"/>
          <w:pgMar w:top="1022" w:right="1134" w:bottom="1134" w:left="1134" w:header="709" w:footer="709" w:gutter="0"/>
          <w:cols w:space="708"/>
          <w:docGrid w:linePitch="360"/>
        </w:sectPr>
      </w:pPr>
    </w:p>
    <w:tbl>
      <w:tblPr>
        <w:tblStyle w:val="TableGrid1"/>
        <w:tblW w:w="4993" w:type="pct"/>
        <w:tblCellMar>
          <w:top w:w="57" w:type="dxa"/>
          <w:bottom w:w="57" w:type="dxa"/>
        </w:tblCellMar>
        <w:tblLook w:val="04A0" w:firstRow="1" w:lastRow="0" w:firstColumn="1" w:lastColumn="0" w:noHBand="0" w:noVBand="1"/>
        <w:tblCaption w:val="Note 2.2A"/>
        <w:tblDescription w:val="Accounting policy continuation"/>
      </w:tblPr>
      <w:tblGrid>
        <w:gridCol w:w="7690"/>
      </w:tblGrid>
      <w:tr w:rsidR="00271E8D" w14:paraId="6343B9FC" w14:textId="77777777" w:rsidTr="00B15944">
        <w:trPr>
          <w:tblHeader/>
        </w:trPr>
        <w:tc>
          <w:tcPr>
            <w:tcW w:w="5000" w:type="pct"/>
          </w:tcPr>
          <w:p w14:paraId="581D2C5B" w14:textId="77777777" w:rsidR="00271E8D" w:rsidRPr="00303955" w:rsidRDefault="00271E8D" w:rsidP="00B15944">
            <w:pPr>
              <w:pStyle w:val="Body"/>
              <w:spacing w:after="120"/>
              <w:rPr>
                <w:b/>
                <w:bCs/>
              </w:rPr>
            </w:pPr>
            <w:bookmarkStart w:id="156" w:name="_Hlk82518086"/>
            <w:r w:rsidRPr="00303955">
              <w:rPr>
                <w:b/>
                <w:bCs/>
              </w:rPr>
              <w:t>Impairment</w:t>
            </w:r>
          </w:p>
          <w:p w14:paraId="50E86965" w14:textId="77777777" w:rsidR="00D85049" w:rsidRDefault="00D85049" w:rsidP="00D85049">
            <w:pPr>
              <w:pStyle w:val="Body"/>
              <w:spacing w:after="120"/>
            </w:pPr>
            <w:r>
              <w:t xml:space="preserve">All assets were assessed for impairment at 30 June 2022. Where indications of impairment exist, the assets recoverable amount is estimated and an impairment adjustment made if the asset’s recoverable amount is less than its carrying amount. </w:t>
            </w:r>
          </w:p>
          <w:p w14:paraId="7FBFD33C" w14:textId="77777777" w:rsidR="00D85049" w:rsidRDefault="00D85049" w:rsidP="00D85049">
            <w:pPr>
              <w:pStyle w:val="AlphabetListL2"/>
              <w:numPr>
                <w:ilvl w:val="0"/>
                <w:numId w:val="0"/>
              </w:numPr>
              <w:spacing w:after="120"/>
            </w:pPr>
            <w:r>
              <w:t>The recoverable amount of an asset is the higher of its fair value less costs of disposal and its value in use. Value in use is the present value of the future cash flows expected to be derived from the asset. Where the future economic benefit of an asset is not primarily dependent on the asset’s ability to generate future cash flows, and the asset would be replaced if the entity were deprived of the asset, its value in use is taken to be its depreciated replacement cost.</w:t>
            </w:r>
          </w:p>
          <w:p w14:paraId="007EA94F" w14:textId="0D01239C" w:rsidR="00271E8D" w:rsidRPr="00303955" w:rsidRDefault="00271E8D" w:rsidP="00D85049">
            <w:pPr>
              <w:pStyle w:val="AlphabetListL2"/>
              <w:numPr>
                <w:ilvl w:val="0"/>
                <w:numId w:val="0"/>
              </w:numPr>
              <w:spacing w:after="120"/>
              <w:rPr>
                <w:b/>
                <w:bCs/>
              </w:rPr>
            </w:pPr>
            <w:r w:rsidRPr="00303955">
              <w:rPr>
                <w:b/>
                <w:bCs/>
              </w:rPr>
              <w:t>Derecognition</w:t>
            </w:r>
          </w:p>
          <w:p w14:paraId="69211F5A" w14:textId="1869CC75" w:rsidR="00693479" w:rsidRPr="002D1DE8" w:rsidRDefault="00693479" w:rsidP="002D1DE8">
            <w:pPr>
              <w:pStyle w:val="Body"/>
              <w:spacing w:after="115"/>
              <w:rPr>
                <w:lang w:val="en-PH"/>
              </w:rPr>
            </w:pPr>
            <w:r w:rsidRPr="002D1DE8">
              <w:t>An item of property, plant and equipment is derecognised upon disposal or when no further future economic benefits are expected from its use or disposal.</w:t>
            </w:r>
          </w:p>
          <w:p w14:paraId="1501DF67" w14:textId="77777777" w:rsidR="00271E8D" w:rsidRPr="00303955" w:rsidRDefault="00271E8D" w:rsidP="00B15944">
            <w:pPr>
              <w:pStyle w:val="AlphabetListL2"/>
              <w:numPr>
                <w:ilvl w:val="0"/>
                <w:numId w:val="0"/>
              </w:numPr>
              <w:spacing w:after="120"/>
              <w:rPr>
                <w:b/>
                <w:bCs/>
              </w:rPr>
            </w:pPr>
            <w:r w:rsidRPr="00303955">
              <w:rPr>
                <w:b/>
                <w:bCs/>
              </w:rPr>
              <w:t>Intangibles</w:t>
            </w:r>
          </w:p>
          <w:p w14:paraId="25FCDE47" w14:textId="77777777" w:rsidR="00D85049" w:rsidRDefault="00D85049" w:rsidP="00D85049">
            <w:pPr>
              <w:pStyle w:val="Body"/>
              <w:spacing w:after="115"/>
            </w:pPr>
            <w:r>
              <w:t>The entity's intangibles comprise internally developed software for internal use. These assets are carried at cost less accumulated amortisation and accumulated impairment losses.</w:t>
            </w:r>
          </w:p>
          <w:p w14:paraId="642B114E" w14:textId="70E809A1" w:rsidR="00271E8D" w:rsidRPr="002D1DE8" w:rsidRDefault="00D85049" w:rsidP="00D85049">
            <w:pPr>
              <w:pStyle w:val="Body"/>
              <w:spacing w:after="115"/>
              <w:rPr>
                <w:lang w:val="en-PH"/>
              </w:rPr>
            </w:pPr>
            <w:r>
              <w:t>Software is amortised on a straight-line basis over its anticipated useful life. The useful lives of the entity's software are 1 to 6 years (2021: 1 to 6 years). All software assets were assessed for indications of impairment as at 30 June 2022.</w:t>
            </w:r>
          </w:p>
        </w:tc>
      </w:tr>
      <w:bookmarkEnd w:id="156"/>
    </w:tbl>
    <w:p w14:paraId="1A6C1CAE" w14:textId="1035F0F0" w:rsidR="00271E8D" w:rsidRDefault="00271E8D" w:rsidP="008664C1">
      <w:pPr>
        <w:pStyle w:val="Body"/>
        <w:rPr>
          <w:color w:val="292929"/>
        </w:rPr>
      </w:pPr>
    </w:p>
    <w:p w14:paraId="04BDD230" w14:textId="77777777" w:rsidR="0010025B" w:rsidRDefault="0010025B" w:rsidP="008664C1">
      <w:pPr>
        <w:pStyle w:val="Body"/>
        <w:rPr>
          <w:color w:val="292929"/>
        </w:rPr>
        <w:sectPr w:rsidR="0010025B" w:rsidSect="00441579">
          <w:footerReference w:type="default" r:id="rId197"/>
          <w:pgSz w:w="9979" w:h="14175"/>
          <w:pgMar w:top="1134" w:right="1134" w:bottom="1134" w:left="1134" w:header="709" w:footer="709" w:gutter="0"/>
          <w:cols w:space="708"/>
          <w:docGrid w:linePitch="360"/>
        </w:sectPr>
      </w:pPr>
    </w:p>
    <w:p w14:paraId="1C70CEB2" w14:textId="77777777" w:rsidR="00320D8D" w:rsidRDefault="00320D8D" w:rsidP="00320D8D">
      <w:pPr>
        <w:pStyle w:val="H4Financials"/>
      </w:pPr>
      <w:bookmarkStart w:id="157" w:name="_Toc83220569"/>
      <w:bookmarkStart w:id="158" w:name="_Toc114824713"/>
      <w:r>
        <w:t>Note 2.3 Payables</w:t>
      </w:r>
      <w:bookmarkEnd w:id="157"/>
      <w:bookmarkEnd w:id="158"/>
    </w:p>
    <w:tbl>
      <w:tblPr>
        <w:tblStyle w:val="IHPA"/>
        <w:tblW w:w="7096" w:type="dxa"/>
        <w:tblLayout w:type="fixed"/>
        <w:tblLook w:val="0020" w:firstRow="1" w:lastRow="0" w:firstColumn="0" w:lastColumn="0" w:noHBand="0" w:noVBand="0"/>
        <w:tblCaption w:val="Note 2.3"/>
        <w:tblDescription w:val="Payables"/>
      </w:tblPr>
      <w:tblGrid>
        <w:gridCol w:w="5111"/>
        <w:gridCol w:w="992"/>
        <w:gridCol w:w="993"/>
      </w:tblGrid>
      <w:tr w:rsidR="00320D8D" w:rsidRPr="00873FE9" w14:paraId="2807ECD5" w14:textId="77777777" w:rsidTr="00B15944">
        <w:trPr>
          <w:trHeight w:val="340"/>
        </w:trPr>
        <w:tc>
          <w:tcPr>
            <w:tcW w:w="5111" w:type="dxa"/>
          </w:tcPr>
          <w:p w14:paraId="2EB654A3" w14:textId="77777777" w:rsidR="00320D8D" w:rsidRPr="00873FE9" w:rsidRDefault="00320D8D"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23D9C01E" w14:textId="01AE44B2" w:rsidR="00320D8D" w:rsidRPr="00873FE9" w:rsidRDefault="00320D8D"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202</w:t>
            </w:r>
            <w:r w:rsidR="001948C0">
              <w:rPr>
                <w:rFonts w:asciiTheme="majorHAnsi" w:hAnsiTheme="majorHAnsi" w:cs="Futura PT Heavy"/>
                <w:color w:val="1C1C1C"/>
                <w:sz w:val="16"/>
                <w:szCs w:val="16"/>
                <w:lang w:val="en-US"/>
              </w:rPr>
              <w:t>2</w:t>
            </w:r>
            <w:r w:rsidRPr="00873FE9">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73ABFCA3" w14:textId="055A09C2" w:rsidR="00320D8D" w:rsidRPr="00873FE9" w:rsidRDefault="00320D8D"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w:t>
            </w:r>
            <w:r w:rsidR="001948C0">
              <w:rPr>
                <w:rFonts w:asciiTheme="majorHAnsi" w:hAnsiTheme="majorHAnsi" w:cs="Futura PT Heavy"/>
                <w:color w:val="1C1C1C"/>
                <w:sz w:val="16"/>
                <w:szCs w:val="16"/>
                <w:lang w:val="en-US"/>
              </w:rPr>
              <w:t>1</w:t>
            </w:r>
            <w:r w:rsidRPr="00873FE9">
              <w:rPr>
                <w:rFonts w:asciiTheme="majorHAnsi" w:hAnsiTheme="majorHAnsi" w:cs="Futura PT Heavy"/>
                <w:color w:val="1C1C1C"/>
                <w:sz w:val="16"/>
                <w:szCs w:val="16"/>
                <w:lang w:val="en-US"/>
              </w:rPr>
              <w:br/>
              <w:t>$’000</w:t>
            </w:r>
          </w:p>
        </w:tc>
      </w:tr>
      <w:tr w:rsidR="00320D8D" w:rsidRPr="00873FE9" w14:paraId="18CFF658" w14:textId="77777777" w:rsidTr="00B15944">
        <w:trPr>
          <w:trHeight w:val="170"/>
        </w:trPr>
        <w:tc>
          <w:tcPr>
            <w:tcW w:w="5111" w:type="dxa"/>
          </w:tcPr>
          <w:p w14:paraId="53156558" w14:textId="77777777" w:rsidR="00320D8D" w:rsidRPr="00873FE9" w:rsidRDefault="00320D8D"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Note 2.3A: Suppliers</w:t>
            </w:r>
          </w:p>
        </w:tc>
        <w:tc>
          <w:tcPr>
            <w:tcW w:w="992" w:type="dxa"/>
            <w:tcBorders>
              <w:top w:val="single" w:sz="12" w:space="0" w:color="auto"/>
              <w:right w:val="single" w:sz="18" w:space="0" w:color="FFFFFF" w:themeColor="background2"/>
            </w:tcBorders>
          </w:tcPr>
          <w:p w14:paraId="76DDC31F" w14:textId="77777777" w:rsidR="00320D8D" w:rsidRPr="00873FE9"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34937A84" w14:textId="77777777" w:rsidR="00320D8D" w:rsidRPr="00873FE9" w:rsidRDefault="00320D8D" w:rsidP="00B15944">
            <w:pPr>
              <w:autoSpaceDE w:val="0"/>
              <w:autoSpaceDN w:val="0"/>
              <w:adjustRightInd w:val="0"/>
              <w:spacing w:before="20" w:after="20"/>
              <w:jc w:val="right"/>
              <w:rPr>
                <w:color w:val="1C1C1C"/>
                <w:sz w:val="14"/>
                <w:szCs w:val="14"/>
              </w:rPr>
            </w:pPr>
          </w:p>
        </w:tc>
      </w:tr>
      <w:tr w:rsidR="00320D8D" w:rsidRPr="00873FE9" w14:paraId="55707ED8" w14:textId="77777777" w:rsidTr="00B15944">
        <w:trPr>
          <w:trHeight w:val="170"/>
        </w:trPr>
        <w:tc>
          <w:tcPr>
            <w:tcW w:w="5111" w:type="dxa"/>
          </w:tcPr>
          <w:p w14:paraId="7D2A4004" w14:textId="77777777" w:rsidR="00320D8D" w:rsidRPr="00873FE9" w:rsidRDefault="00320D8D" w:rsidP="00B15944">
            <w:pPr>
              <w:suppressAutoHyphens/>
              <w:autoSpaceDE w:val="0"/>
              <w:autoSpaceDN w:val="0"/>
              <w:adjustRightInd w:val="0"/>
              <w:spacing w:before="20" w:after="20"/>
              <w:textAlignment w:val="center"/>
              <w:rPr>
                <w:rFonts w:cs="Futura PT Book"/>
                <w:color w:val="1C1C1C"/>
                <w:sz w:val="14"/>
                <w:szCs w:val="14"/>
                <w:lang w:val="en-US"/>
              </w:rPr>
            </w:pPr>
            <w:r w:rsidRPr="00873FE9">
              <w:rPr>
                <w:color w:val="1C1C1C"/>
                <w:sz w:val="14"/>
                <w:szCs w:val="14"/>
              </w:rPr>
              <w:t>Trade creditors and accruals</w:t>
            </w:r>
          </w:p>
        </w:tc>
        <w:tc>
          <w:tcPr>
            <w:tcW w:w="992" w:type="dxa"/>
            <w:tcBorders>
              <w:bottom w:val="single" w:sz="2" w:space="0" w:color="auto"/>
              <w:right w:val="single" w:sz="18" w:space="0" w:color="FFFFFF" w:themeColor="background2"/>
            </w:tcBorders>
          </w:tcPr>
          <w:p w14:paraId="58E6E68B" w14:textId="6CEABAD1" w:rsidR="00320D8D" w:rsidRPr="00BE3928" w:rsidRDefault="001948C0"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2,623</w:t>
            </w:r>
          </w:p>
        </w:tc>
        <w:tc>
          <w:tcPr>
            <w:tcW w:w="993" w:type="dxa"/>
            <w:tcBorders>
              <w:left w:val="single" w:sz="18" w:space="0" w:color="FFFFFF" w:themeColor="background2"/>
              <w:bottom w:val="single" w:sz="2" w:space="0" w:color="auto"/>
            </w:tcBorders>
          </w:tcPr>
          <w:p w14:paraId="2D273D89" w14:textId="352BD26E" w:rsidR="00320D8D" w:rsidRPr="00BE3928" w:rsidRDefault="001948C0" w:rsidP="00B15944">
            <w:pPr>
              <w:suppressAutoHyphens/>
              <w:autoSpaceDE w:val="0"/>
              <w:autoSpaceDN w:val="0"/>
              <w:adjustRightInd w:val="0"/>
              <w:spacing w:before="20" w:after="20"/>
              <w:jc w:val="right"/>
              <w:textAlignment w:val="center"/>
              <w:rPr>
                <w:rFonts w:cs="Futura PT Book"/>
                <w:color w:val="1C1C1C"/>
                <w:sz w:val="14"/>
                <w:szCs w:val="14"/>
                <w:lang w:val="en-US"/>
              </w:rPr>
            </w:pPr>
            <w:r>
              <w:rPr>
                <w:rFonts w:cs="Calibri"/>
                <w:sz w:val="14"/>
                <w:szCs w:val="14"/>
              </w:rPr>
              <w:t>1,737</w:t>
            </w:r>
          </w:p>
        </w:tc>
      </w:tr>
      <w:tr w:rsidR="00320D8D" w:rsidRPr="00873FE9" w14:paraId="59D62720" w14:textId="77777777" w:rsidTr="00B15944">
        <w:trPr>
          <w:trHeight w:val="170"/>
        </w:trPr>
        <w:tc>
          <w:tcPr>
            <w:tcW w:w="5111" w:type="dxa"/>
          </w:tcPr>
          <w:p w14:paraId="57BF08A6" w14:textId="77777777" w:rsidR="00320D8D" w:rsidRPr="00873FE9" w:rsidRDefault="00320D8D"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Total suppliers</w:t>
            </w:r>
          </w:p>
        </w:tc>
        <w:tc>
          <w:tcPr>
            <w:tcW w:w="992" w:type="dxa"/>
            <w:tcBorders>
              <w:top w:val="single" w:sz="2" w:space="0" w:color="auto"/>
              <w:bottom w:val="single" w:sz="2" w:space="0" w:color="auto"/>
              <w:right w:val="single" w:sz="18" w:space="0" w:color="FFFFFF" w:themeColor="background2"/>
            </w:tcBorders>
          </w:tcPr>
          <w:p w14:paraId="56BB9C86" w14:textId="1E2DDDB0" w:rsidR="00320D8D" w:rsidRPr="00BE3928" w:rsidRDefault="001948C0"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2,623</w:t>
            </w:r>
          </w:p>
        </w:tc>
        <w:tc>
          <w:tcPr>
            <w:tcW w:w="993" w:type="dxa"/>
            <w:tcBorders>
              <w:top w:val="single" w:sz="2" w:space="0" w:color="auto"/>
              <w:left w:val="single" w:sz="18" w:space="0" w:color="FFFFFF" w:themeColor="background2"/>
              <w:bottom w:val="single" w:sz="2" w:space="0" w:color="auto"/>
            </w:tcBorders>
          </w:tcPr>
          <w:p w14:paraId="7670A0CF" w14:textId="6A5760DC" w:rsidR="00320D8D" w:rsidRPr="00BE3928" w:rsidRDefault="001948C0" w:rsidP="00B15944">
            <w:pPr>
              <w:suppressAutoHyphens/>
              <w:autoSpaceDE w:val="0"/>
              <w:autoSpaceDN w:val="0"/>
              <w:adjustRightInd w:val="0"/>
              <w:spacing w:before="20" w:after="20"/>
              <w:jc w:val="right"/>
              <w:textAlignment w:val="center"/>
              <w:rPr>
                <w:rFonts w:cs="Futura PT Book"/>
                <w:color w:val="1C1C1C"/>
                <w:sz w:val="14"/>
                <w:szCs w:val="14"/>
                <w:lang w:val="en-US"/>
              </w:rPr>
            </w:pPr>
            <w:r>
              <w:rPr>
                <w:rFonts w:cs="Calibri"/>
                <w:sz w:val="14"/>
                <w:szCs w:val="14"/>
              </w:rPr>
              <w:t>1,737</w:t>
            </w:r>
          </w:p>
        </w:tc>
      </w:tr>
      <w:tr w:rsidR="00320D8D" w:rsidRPr="00873FE9" w14:paraId="48A142AE" w14:textId="77777777" w:rsidTr="00B15944">
        <w:trPr>
          <w:trHeight w:val="170"/>
        </w:trPr>
        <w:tc>
          <w:tcPr>
            <w:tcW w:w="5111" w:type="dxa"/>
          </w:tcPr>
          <w:p w14:paraId="07A7CF45" w14:textId="77777777" w:rsidR="00320D8D" w:rsidRPr="00873FE9" w:rsidRDefault="00320D8D" w:rsidP="00B15944">
            <w:pPr>
              <w:suppressAutoHyphens/>
              <w:autoSpaceDE w:val="0"/>
              <w:autoSpaceDN w:val="0"/>
              <w:adjustRightInd w:val="0"/>
              <w:spacing w:before="20" w:after="20"/>
              <w:textAlignment w:val="center"/>
              <w:rPr>
                <w:color w:val="1C1C1C"/>
                <w:sz w:val="14"/>
                <w:szCs w:val="14"/>
              </w:rPr>
            </w:pPr>
          </w:p>
        </w:tc>
        <w:tc>
          <w:tcPr>
            <w:tcW w:w="992" w:type="dxa"/>
            <w:tcBorders>
              <w:top w:val="single" w:sz="2" w:space="0" w:color="auto"/>
              <w:right w:val="single" w:sz="18" w:space="0" w:color="FFFFFF" w:themeColor="background2"/>
            </w:tcBorders>
          </w:tcPr>
          <w:p w14:paraId="4BC738F9" w14:textId="77777777" w:rsidR="00320D8D" w:rsidRPr="00873FE9"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34E1770F" w14:textId="77777777" w:rsidR="00320D8D" w:rsidRPr="00873FE9" w:rsidRDefault="00320D8D" w:rsidP="00B15944">
            <w:pPr>
              <w:suppressAutoHyphens/>
              <w:autoSpaceDE w:val="0"/>
              <w:autoSpaceDN w:val="0"/>
              <w:adjustRightInd w:val="0"/>
              <w:spacing w:before="20" w:after="20"/>
              <w:jc w:val="right"/>
              <w:textAlignment w:val="center"/>
              <w:rPr>
                <w:color w:val="1C1C1C"/>
                <w:sz w:val="14"/>
                <w:szCs w:val="14"/>
              </w:rPr>
            </w:pPr>
          </w:p>
        </w:tc>
      </w:tr>
      <w:tr w:rsidR="00320D8D" w:rsidRPr="00873FE9" w14:paraId="5D93F123" w14:textId="77777777" w:rsidTr="00B15944">
        <w:trPr>
          <w:trHeight w:val="170"/>
        </w:trPr>
        <w:tc>
          <w:tcPr>
            <w:tcW w:w="5111" w:type="dxa"/>
          </w:tcPr>
          <w:p w14:paraId="6D87EAF2" w14:textId="77777777" w:rsidR="00320D8D" w:rsidRPr="00873FE9" w:rsidRDefault="00320D8D" w:rsidP="00B15944">
            <w:pPr>
              <w:suppressAutoHyphens/>
              <w:autoSpaceDE w:val="0"/>
              <w:autoSpaceDN w:val="0"/>
              <w:adjustRightInd w:val="0"/>
              <w:spacing w:before="20" w:after="20"/>
              <w:textAlignment w:val="center"/>
              <w:rPr>
                <w:color w:val="1C1C1C"/>
                <w:sz w:val="14"/>
                <w:szCs w:val="14"/>
              </w:rPr>
            </w:pPr>
            <w:r>
              <w:rPr>
                <w:color w:val="1C1C1C"/>
                <w:sz w:val="14"/>
                <w:szCs w:val="14"/>
              </w:rPr>
              <w:t>S</w:t>
            </w:r>
            <w:r w:rsidRPr="00873FE9">
              <w:rPr>
                <w:color w:val="1C1C1C"/>
                <w:sz w:val="14"/>
                <w:szCs w:val="14"/>
              </w:rPr>
              <w:t>ettle</w:t>
            </w:r>
            <w:r>
              <w:rPr>
                <w:color w:val="1C1C1C"/>
                <w:sz w:val="14"/>
                <w:szCs w:val="14"/>
              </w:rPr>
              <w:t>ment terms are 30 days</w:t>
            </w:r>
            <w:r w:rsidRPr="00873FE9">
              <w:rPr>
                <w:color w:val="1C1C1C"/>
                <w:sz w:val="14"/>
                <w:szCs w:val="14"/>
              </w:rPr>
              <w:t>.</w:t>
            </w:r>
          </w:p>
        </w:tc>
        <w:tc>
          <w:tcPr>
            <w:tcW w:w="992" w:type="dxa"/>
            <w:tcBorders>
              <w:right w:val="single" w:sz="18" w:space="0" w:color="FFFFFF" w:themeColor="background2"/>
            </w:tcBorders>
          </w:tcPr>
          <w:p w14:paraId="124D28AC" w14:textId="77777777" w:rsidR="00320D8D" w:rsidRPr="00873FE9"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351E118C" w14:textId="77777777" w:rsidR="00320D8D" w:rsidRPr="00873FE9" w:rsidRDefault="00320D8D" w:rsidP="00B15944">
            <w:pPr>
              <w:suppressAutoHyphens/>
              <w:autoSpaceDE w:val="0"/>
              <w:autoSpaceDN w:val="0"/>
              <w:adjustRightInd w:val="0"/>
              <w:spacing w:before="20" w:after="20"/>
              <w:jc w:val="right"/>
              <w:textAlignment w:val="center"/>
              <w:rPr>
                <w:color w:val="1C1C1C"/>
                <w:sz w:val="14"/>
                <w:szCs w:val="14"/>
              </w:rPr>
            </w:pPr>
          </w:p>
        </w:tc>
      </w:tr>
      <w:tr w:rsidR="00320D8D" w:rsidRPr="00873FE9" w14:paraId="31DECA4A" w14:textId="77777777" w:rsidTr="00B15944">
        <w:trPr>
          <w:trHeight w:val="170"/>
        </w:trPr>
        <w:tc>
          <w:tcPr>
            <w:tcW w:w="5111" w:type="dxa"/>
          </w:tcPr>
          <w:p w14:paraId="0F96BE49" w14:textId="77777777" w:rsidR="00320D8D" w:rsidRPr="00873FE9" w:rsidRDefault="00320D8D" w:rsidP="00B15944">
            <w:pPr>
              <w:suppressAutoHyphens/>
              <w:autoSpaceDE w:val="0"/>
              <w:autoSpaceDN w:val="0"/>
              <w:adjustRightInd w:val="0"/>
              <w:spacing w:before="20" w:after="20"/>
              <w:textAlignment w:val="center"/>
              <w:rPr>
                <w:color w:val="1C1C1C"/>
                <w:sz w:val="14"/>
                <w:szCs w:val="14"/>
              </w:rPr>
            </w:pPr>
          </w:p>
        </w:tc>
        <w:tc>
          <w:tcPr>
            <w:tcW w:w="992" w:type="dxa"/>
            <w:tcBorders>
              <w:right w:val="single" w:sz="18" w:space="0" w:color="FFFFFF" w:themeColor="background2"/>
            </w:tcBorders>
          </w:tcPr>
          <w:p w14:paraId="250E9F95" w14:textId="77777777" w:rsidR="00320D8D" w:rsidRPr="00873FE9"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3D0CDF49" w14:textId="77777777" w:rsidR="00320D8D" w:rsidRPr="00873FE9" w:rsidRDefault="00320D8D" w:rsidP="00B15944">
            <w:pPr>
              <w:suppressAutoHyphens/>
              <w:autoSpaceDE w:val="0"/>
              <w:autoSpaceDN w:val="0"/>
              <w:adjustRightInd w:val="0"/>
              <w:spacing w:before="20" w:after="20"/>
              <w:jc w:val="right"/>
              <w:textAlignment w:val="center"/>
              <w:rPr>
                <w:color w:val="1C1C1C"/>
                <w:sz w:val="14"/>
                <w:szCs w:val="14"/>
              </w:rPr>
            </w:pPr>
          </w:p>
        </w:tc>
      </w:tr>
      <w:tr w:rsidR="00320D8D" w:rsidRPr="00873FE9" w14:paraId="65977CAD" w14:textId="77777777" w:rsidTr="00B15944">
        <w:trPr>
          <w:trHeight w:val="170"/>
        </w:trPr>
        <w:tc>
          <w:tcPr>
            <w:tcW w:w="5111" w:type="dxa"/>
          </w:tcPr>
          <w:p w14:paraId="4B033965" w14:textId="77777777" w:rsidR="00320D8D" w:rsidRPr="00873FE9" w:rsidRDefault="00320D8D" w:rsidP="00B15944">
            <w:pPr>
              <w:suppressAutoHyphens/>
              <w:autoSpaceDE w:val="0"/>
              <w:autoSpaceDN w:val="0"/>
              <w:adjustRightInd w:val="0"/>
              <w:spacing w:before="20" w:after="20"/>
              <w:textAlignment w:val="center"/>
              <w:rPr>
                <w:rFonts w:asciiTheme="majorHAnsi" w:hAnsiTheme="majorHAnsi"/>
                <w:color w:val="1C1C1C"/>
                <w:sz w:val="14"/>
                <w:szCs w:val="14"/>
              </w:rPr>
            </w:pPr>
            <w:r w:rsidRPr="00873FE9">
              <w:rPr>
                <w:rFonts w:asciiTheme="majorHAnsi" w:hAnsiTheme="majorHAnsi"/>
                <w:color w:val="1C1C1C"/>
                <w:sz w:val="14"/>
                <w:szCs w:val="14"/>
              </w:rPr>
              <w:t>Note 2.3B: Other Payables</w:t>
            </w:r>
          </w:p>
        </w:tc>
        <w:tc>
          <w:tcPr>
            <w:tcW w:w="992" w:type="dxa"/>
            <w:tcBorders>
              <w:right w:val="single" w:sz="18" w:space="0" w:color="FFFFFF" w:themeColor="background2"/>
            </w:tcBorders>
          </w:tcPr>
          <w:p w14:paraId="55BDC097" w14:textId="77777777" w:rsidR="00320D8D" w:rsidRPr="00873FE9"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6B924615" w14:textId="77777777" w:rsidR="00320D8D" w:rsidRPr="00873FE9" w:rsidRDefault="00320D8D" w:rsidP="00B15944">
            <w:pPr>
              <w:suppressAutoHyphens/>
              <w:autoSpaceDE w:val="0"/>
              <w:autoSpaceDN w:val="0"/>
              <w:adjustRightInd w:val="0"/>
              <w:spacing w:before="20" w:after="20"/>
              <w:jc w:val="right"/>
              <w:textAlignment w:val="center"/>
              <w:rPr>
                <w:color w:val="1C1C1C"/>
                <w:sz w:val="14"/>
                <w:szCs w:val="14"/>
              </w:rPr>
            </w:pPr>
          </w:p>
        </w:tc>
      </w:tr>
      <w:tr w:rsidR="00320D8D" w:rsidRPr="00873FE9" w14:paraId="71291DB8" w14:textId="77777777" w:rsidTr="00B15944">
        <w:trPr>
          <w:trHeight w:val="170"/>
        </w:trPr>
        <w:tc>
          <w:tcPr>
            <w:tcW w:w="5111" w:type="dxa"/>
          </w:tcPr>
          <w:p w14:paraId="7F96EC29" w14:textId="2A4A2A2D" w:rsidR="00320D8D" w:rsidRPr="00873FE9" w:rsidRDefault="001948C0" w:rsidP="00B15944">
            <w:pPr>
              <w:suppressAutoHyphens/>
              <w:autoSpaceDE w:val="0"/>
              <w:autoSpaceDN w:val="0"/>
              <w:adjustRightInd w:val="0"/>
              <w:spacing w:before="20" w:after="20"/>
              <w:textAlignment w:val="center"/>
              <w:rPr>
                <w:color w:val="1C1C1C"/>
                <w:sz w:val="14"/>
                <w:szCs w:val="14"/>
              </w:rPr>
            </w:pPr>
            <w:r>
              <w:rPr>
                <w:color w:val="1C1C1C"/>
                <w:sz w:val="14"/>
                <w:szCs w:val="14"/>
              </w:rPr>
              <w:t>Salaries and wages</w:t>
            </w:r>
          </w:p>
        </w:tc>
        <w:tc>
          <w:tcPr>
            <w:tcW w:w="992" w:type="dxa"/>
            <w:tcBorders>
              <w:right w:val="single" w:sz="18" w:space="0" w:color="FFFFFF" w:themeColor="background2"/>
            </w:tcBorders>
          </w:tcPr>
          <w:p w14:paraId="5BEECFA3" w14:textId="754EF3F0" w:rsidR="00320D8D" w:rsidRPr="00BE3928" w:rsidRDefault="00320D8D" w:rsidP="00B15944">
            <w:pPr>
              <w:autoSpaceDE w:val="0"/>
              <w:autoSpaceDN w:val="0"/>
              <w:adjustRightInd w:val="0"/>
              <w:spacing w:before="20" w:after="20"/>
              <w:jc w:val="right"/>
              <w:rPr>
                <w:rFonts w:asciiTheme="majorHAnsi" w:hAnsiTheme="majorHAnsi"/>
                <w:color w:val="1C1C1C"/>
                <w:sz w:val="14"/>
                <w:szCs w:val="14"/>
              </w:rPr>
            </w:pPr>
            <w:r w:rsidRPr="00BE3928">
              <w:rPr>
                <w:rFonts w:asciiTheme="majorHAnsi" w:hAnsiTheme="majorHAnsi"/>
                <w:sz w:val="14"/>
                <w:szCs w:val="14"/>
              </w:rPr>
              <w:t xml:space="preserve"> </w:t>
            </w:r>
            <w:r w:rsidR="001948C0">
              <w:rPr>
                <w:rFonts w:asciiTheme="majorHAnsi" w:hAnsiTheme="majorHAnsi"/>
                <w:sz w:val="14"/>
                <w:szCs w:val="14"/>
              </w:rPr>
              <w:t>35</w:t>
            </w:r>
            <w:r w:rsidRPr="00BE3928">
              <w:rPr>
                <w:rFonts w:asciiTheme="majorHAnsi" w:hAnsiTheme="majorHAnsi"/>
                <w:sz w:val="14"/>
                <w:szCs w:val="14"/>
              </w:rPr>
              <w:t xml:space="preserve"> </w:t>
            </w:r>
          </w:p>
        </w:tc>
        <w:tc>
          <w:tcPr>
            <w:tcW w:w="993" w:type="dxa"/>
            <w:tcBorders>
              <w:left w:val="single" w:sz="18" w:space="0" w:color="FFFFFF" w:themeColor="background2"/>
            </w:tcBorders>
          </w:tcPr>
          <w:p w14:paraId="73A08C09" w14:textId="6E3EFEC2" w:rsidR="00320D8D" w:rsidRPr="00BE3928" w:rsidRDefault="001948C0" w:rsidP="00B15944">
            <w:pPr>
              <w:suppressAutoHyphens/>
              <w:autoSpaceDE w:val="0"/>
              <w:autoSpaceDN w:val="0"/>
              <w:adjustRightInd w:val="0"/>
              <w:spacing w:before="20" w:after="20"/>
              <w:jc w:val="right"/>
              <w:textAlignment w:val="center"/>
              <w:rPr>
                <w:color w:val="1C1C1C"/>
                <w:sz w:val="14"/>
                <w:szCs w:val="14"/>
              </w:rPr>
            </w:pPr>
            <w:r>
              <w:rPr>
                <w:sz w:val="14"/>
                <w:szCs w:val="14"/>
              </w:rPr>
              <w:t>18</w:t>
            </w:r>
            <w:r w:rsidR="00320D8D" w:rsidRPr="00BE3928">
              <w:rPr>
                <w:sz w:val="14"/>
                <w:szCs w:val="14"/>
              </w:rPr>
              <w:t xml:space="preserve"> </w:t>
            </w:r>
          </w:p>
        </w:tc>
      </w:tr>
      <w:tr w:rsidR="00320D8D" w:rsidRPr="00873FE9" w14:paraId="1AD0FFCF" w14:textId="77777777" w:rsidTr="00B15944">
        <w:trPr>
          <w:trHeight w:val="170"/>
        </w:trPr>
        <w:tc>
          <w:tcPr>
            <w:tcW w:w="5111" w:type="dxa"/>
          </w:tcPr>
          <w:p w14:paraId="5165FDC6" w14:textId="4590B96A" w:rsidR="00320D8D" w:rsidRPr="00873FE9" w:rsidRDefault="001948C0" w:rsidP="00B15944">
            <w:pPr>
              <w:suppressAutoHyphens/>
              <w:autoSpaceDE w:val="0"/>
              <w:autoSpaceDN w:val="0"/>
              <w:adjustRightInd w:val="0"/>
              <w:spacing w:before="20" w:after="20"/>
              <w:textAlignment w:val="center"/>
              <w:rPr>
                <w:color w:val="1C1C1C"/>
                <w:sz w:val="14"/>
                <w:szCs w:val="14"/>
              </w:rPr>
            </w:pPr>
            <w:r>
              <w:rPr>
                <w:color w:val="1C1C1C"/>
                <w:sz w:val="14"/>
                <w:szCs w:val="14"/>
              </w:rPr>
              <w:t>Leave provisions payable</w:t>
            </w:r>
          </w:p>
        </w:tc>
        <w:tc>
          <w:tcPr>
            <w:tcW w:w="992" w:type="dxa"/>
            <w:tcBorders>
              <w:bottom w:val="single" w:sz="2" w:space="0" w:color="auto"/>
              <w:right w:val="single" w:sz="18" w:space="0" w:color="FFFFFF" w:themeColor="background2"/>
            </w:tcBorders>
          </w:tcPr>
          <w:p w14:paraId="50C57E5A" w14:textId="7670D0AD" w:rsidR="00320D8D" w:rsidRPr="00BE3928" w:rsidRDefault="001948C0"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sz w:val="14"/>
                <w:szCs w:val="14"/>
              </w:rPr>
              <w:t>200</w:t>
            </w:r>
            <w:r w:rsidR="00320D8D" w:rsidRPr="00BE3928">
              <w:rPr>
                <w:rFonts w:asciiTheme="majorHAnsi" w:hAnsiTheme="majorHAnsi"/>
                <w:sz w:val="14"/>
                <w:szCs w:val="14"/>
              </w:rPr>
              <w:t xml:space="preserve"> </w:t>
            </w:r>
          </w:p>
        </w:tc>
        <w:tc>
          <w:tcPr>
            <w:tcW w:w="993" w:type="dxa"/>
            <w:tcBorders>
              <w:left w:val="single" w:sz="18" w:space="0" w:color="FFFFFF" w:themeColor="background2"/>
              <w:bottom w:val="single" w:sz="2" w:space="0" w:color="auto"/>
            </w:tcBorders>
          </w:tcPr>
          <w:p w14:paraId="438D3257" w14:textId="27F7E839" w:rsidR="00320D8D" w:rsidRPr="00BE3928" w:rsidRDefault="001948C0" w:rsidP="00B15944">
            <w:pPr>
              <w:suppressAutoHyphens/>
              <w:autoSpaceDE w:val="0"/>
              <w:autoSpaceDN w:val="0"/>
              <w:adjustRightInd w:val="0"/>
              <w:spacing w:before="20" w:after="20"/>
              <w:jc w:val="right"/>
              <w:textAlignment w:val="center"/>
              <w:rPr>
                <w:color w:val="1C1C1C"/>
                <w:sz w:val="14"/>
                <w:szCs w:val="14"/>
              </w:rPr>
            </w:pPr>
            <w:r>
              <w:rPr>
                <w:sz w:val="14"/>
                <w:szCs w:val="14"/>
              </w:rPr>
              <w:t>-</w:t>
            </w:r>
            <w:r w:rsidR="00320D8D" w:rsidRPr="00BE3928">
              <w:rPr>
                <w:sz w:val="14"/>
                <w:szCs w:val="14"/>
              </w:rPr>
              <w:t xml:space="preserve"> </w:t>
            </w:r>
          </w:p>
        </w:tc>
      </w:tr>
      <w:tr w:rsidR="00320D8D" w:rsidRPr="00873FE9" w14:paraId="0250099D" w14:textId="77777777" w:rsidTr="00B15944">
        <w:trPr>
          <w:trHeight w:val="170"/>
        </w:trPr>
        <w:tc>
          <w:tcPr>
            <w:tcW w:w="5111" w:type="dxa"/>
          </w:tcPr>
          <w:p w14:paraId="5EF2779F" w14:textId="77777777" w:rsidR="00320D8D" w:rsidRPr="00873FE9" w:rsidRDefault="00320D8D" w:rsidP="00B15944">
            <w:pPr>
              <w:suppressAutoHyphens/>
              <w:autoSpaceDE w:val="0"/>
              <w:autoSpaceDN w:val="0"/>
              <w:adjustRightInd w:val="0"/>
              <w:spacing w:before="20" w:after="20"/>
              <w:textAlignment w:val="center"/>
              <w:rPr>
                <w:rFonts w:asciiTheme="majorHAnsi" w:hAnsiTheme="majorHAnsi"/>
                <w:color w:val="1C1C1C"/>
                <w:sz w:val="14"/>
                <w:szCs w:val="14"/>
              </w:rPr>
            </w:pPr>
            <w:r w:rsidRPr="00873FE9">
              <w:rPr>
                <w:rFonts w:asciiTheme="majorHAnsi" w:hAnsiTheme="majorHAnsi"/>
                <w:color w:val="1C1C1C"/>
                <w:sz w:val="14"/>
                <w:szCs w:val="14"/>
              </w:rPr>
              <w:t>Total other payables</w:t>
            </w:r>
          </w:p>
        </w:tc>
        <w:tc>
          <w:tcPr>
            <w:tcW w:w="992" w:type="dxa"/>
            <w:tcBorders>
              <w:top w:val="single" w:sz="2" w:space="0" w:color="auto"/>
              <w:bottom w:val="single" w:sz="2" w:space="0" w:color="auto"/>
              <w:right w:val="single" w:sz="18" w:space="0" w:color="FFFFFF" w:themeColor="background2"/>
            </w:tcBorders>
          </w:tcPr>
          <w:p w14:paraId="16E3FD49" w14:textId="0089FDAC" w:rsidR="00320D8D" w:rsidRPr="00BE3928" w:rsidRDefault="001948C0"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sz w:val="14"/>
                <w:szCs w:val="14"/>
              </w:rPr>
              <w:t>235</w:t>
            </w:r>
            <w:r w:rsidR="00320D8D" w:rsidRPr="00BE3928">
              <w:rPr>
                <w:rFonts w:asciiTheme="majorHAnsi" w:hAnsiTheme="majorHAns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437889EC" w14:textId="3C763239" w:rsidR="00320D8D" w:rsidRPr="00BE3928" w:rsidRDefault="00320D8D" w:rsidP="00B15944">
            <w:pPr>
              <w:suppressAutoHyphens/>
              <w:autoSpaceDE w:val="0"/>
              <w:autoSpaceDN w:val="0"/>
              <w:adjustRightInd w:val="0"/>
              <w:spacing w:before="20" w:after="20"/>
              <w:jc w:val="right"/>
              <w:textAlignment w:val="center"/>
              <w:rPr>
                <w:color w:val="1C1C1C"/>
                <w:sz w:val="14"/>
                <w:szCs w:val="14"/>
              </w:rPr>
            </w:pPr>
            <w:r w:rsidRPr="00BE3928">
              <w:rPr>
                <w:sz w:val="14"/>
                <w:szCs w:val="14"/>
              </w:rPr>
              <w:t>1</w:t>
            </w:r>
            <w:r w:rsidR="001948C0">
              <w:rPr>
                <w:sz w:val="14"/>
                <w:szCs w:val="14"/>
              </w:rPr>
              <w:t>8</w:t>
            </w:r>
            <w:r w:rsidRPr="00BE3928">
              <w:rPr>
                <w:sz w:val="14"/>
                <w:szCs w:val="14"/>
              </w:rPr>
              <w:t xml:space="preserve"> </w:t>
            </w:r>
          </w:p>
        </w:tc>
      </w:tr>
      <w:tr w:rsidR="00320D8D" w:rsidRPr="00873FE9" w14:paraId="5AE58249" w14:textId="77777777" w:rsidTr="00B15944">
        <w:trPr>
          <w:trHeight w:val="57"/>
        </w:trPr>
        <w:tc>
          <w:tcPr>
            <w:tcW w:w="5111" w:type="dxa"/>
          </w:tcPr>
          <w:p w14:paraId="538D8E92" w14:textId="77777777" w:rsidR="00320D8D" w:rsidRPr="00873FE9" w:rsidRDefault="00320D8D"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78A35C44" w14:textId="77777777" w:rsidR="00320D8D" w:rsidRPr="00873FE9" w:rsidRDefault="00320D8D"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2E179CC2" w14:textId="77777777" w:rsidR="00320D8D" w:rsidRPr="00873FE9" w:rsidRDefault="00320D8D" w:rsidP="00B15944">
            <w:pPr>
              <w:suppressAutoHyphens/>
              <w:autoSpaceDE w:val="0"/>
              <w:autoSpaceDN w:val="0"/>
              <w:adjustRightInd w:val="0"/>
              <w:spacing w:before="20" w:after="20"/>
              <w:jc w:val="right"/>
              <w:textAlignment w:val="center"/>
              <w:rPr>
                <w:color w:val="1C1C1C"/>
                <w:sz w:val="4"/>
                <w:szCs w:val="4"/>
              </w:rPr>
            </w:pPr>
          </w:p>
        </w:tc>
      </w:tr>
    </w:tbl>
    <w:p w14:paraId="31C4131F" w14:textId="77777777" w:rsidR="00320D8D" w:rsidRDefault="00320D8D" w:rsidP="00320D8D">
      <w:pPr>
        <w:pStyle w:val="Body"/>
      </w:pPr>
    </w:p>
    <w:p w14:paraId="4A1E559E" w14:textId="77777777" w:rsidR="00320D8D" w:rsidRDefault="00320D8D" w:rsidP="00320D8D">
      <w:pPr>
        <w:pStyle w:val="H4Financials"/>
      </w:pPr>
      <w:bookmarkStart w:id="159" w:name="_Toc83220570"/>
      <w:bookmarkStart w:id="160" w:name="_Toc114824714"/>
      <w:r>
        <w:t>Note 2.4 Interest bearing liabilities</w:t>
      </w:r>
      <w:bookmarkEnd w:id="159"/>
      <w:bookmarkEnd w:id="160"/>
    </w:p>
    <w:tbl>
      <w:tblPr>
        <w:tblStyle w:val="IHPA"/>
        <w:tblW w:w="7096" w:type="dxa"/>
        <w:tblLayout w:type="fixed"/>
        <w:tblLook w:val="0020" w:firstRow="1" w:lastRow="0" w:firstColumn="0" w:lastColumn="0" w:noHBand="0" w:noVBand="0"/>
        <w:tblCaption w:val="Note 2.4"/>
        <w:tblDescription w:val="Interest bearing liabilities"/>
      </w:tblPr>
      <w:tblGrid>
        <w:gridCol w:w="5111"/>
        <w:gridCol w:w="992"/>
        <w:gridCol w:w="993"/>
      </w:tblGrid>
      <w:tr w:rsidR="00320D8D" w:rsidRPr="004E463E" w14:paraId="6C410ABE" w14:textId="77777777" w:rsidTr="00B15944">
        <w:trPr>
          <w:trHeight w:val="340"/>
        </w:trPr>
        <w:tc>
          <w:tcPr>
            <w:tcW w:w="5111" w:type="dxa"/>
          </w:tcPr>
          <w:p w14:paraId="08C76193" w14:textId="77777777" w:rsidR="00320D8D" w:rsidRPr="004E463E" w:rsidRDefault="00320D8D"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63F6E957" w14:textId="6A9E1058" w:rsidR="00320D8D" w:rsidRPr="004E463E" w:rsidRDefault="00320D8D"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4E463E">
              <w:rPr>
                <w:rFonts w:asciiTheme="majorHAnsi" w:hAnsiTheme="majorHAnsi" w:cs="Futura PT Heavy"/>
                <w:color w:val="1C1C1C"/>
                <w:sz w:val="16"/>
                <w:szCs w:val="16"/>
                <w:lang w:val="en-US"/>
              </w:rPr>
              <w:t>202</w:t>
            </w:r>
            <w:r w:rsidR="0006615F">
              <w:rPr>
                <w:rFonts w:asciiTheme="majorHAnsi" w:hAnsiTheme="majorHAnsi" w:cs="Futura PT Heavy"/>
                <w:color w:val="1C1C1C"/>
                <w:sz w:val="16"/>
                <w:szCs w:val="16"/>
                <w:lang w:val="en-US"/>
              </w:rPr>
              <w:t>2</w:t>
            </w:r>
            <w:r w:rsidRPr="004E463E">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12629D81" w14:textId="2B3790F9" w:rsidR="00320D8D" w:rsidRPr="004E463E" w:rsidRDefault="00320D8D"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4E463E">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w:t>
            </w:r>
            <w:r w:rsidR="0006615F">
              <w:rPr>
                <w:rFonts w:asciiTheme="majorHAnsi" w:hAnsiTheme="majorHAnsi" w:cs="Futura PT Heavy"/>
                <w:color w:val="1C1C1C"/>
                <w:sz w:val="16"/>
                <w:szCs w:val="16"/>
                <w:lang w:val="en-US"/>
              </w:rPr>
              <w:t>1</w:t>
            </w:r>
            <w:r w:rsidRPr="004E463E">
              <w:rPr>
                <w:rFonts w:asciiTheme="majorHAnsi" w:hAnsiTheme="majorHAnsi" w:cs="Futura PT Heavy"/>
                <w:color w:val="1C1C1C"/>
                <w:sz w:val="16"/>
                <w:szCs w:val="16"/>
                <w:lang w:val="en-US"/>
              </w:rPr>
              <w:br/>
              <w:t>$’000</w:t>
            </w:r>
          </w:p>
        </w:tc>
      </w:tr>
      <w:tr w:rsidR="00320D8D" w:rsidRPr="004E463E" w14:paraId="43104309" w14:textId="77777777" w:rsidTr="00B15944">
        <w:trPr>
          <w:trHeight w:val="170"/>
        </w:trPr>
        <w:tc>
          <w:tcPr>
            <w:tcW w:w="5111" w:type="dxa"/>
          </w:tcPr>
          <w:p w14:paraId="164613A9" w14:textId="77777777" w:rsidR="00320D8D" w:rsidRPr="004E463E" w:rsidRDefault="00320D8D"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4E463E">
              <w:rPr>
                <w:rFonts w:asciiTheme="majorHAnsi" w:hAnsiTheme="majorHAnsi"/>
                <w:color w:val="1C1C1C"/>
                <w:sz w:val="14"/>
                <w:szCs w:val="14"/>
              </w:rPr>
              <w:t>Note 2.4A: Lease liabilities</w:t>
            </w:r>
          </w:p>
        </w:tc>
        <w:tc>
          <w:tcPr>
            <w:tcW w:w="992" w:type="dxa"/>
            <w:tcBorders>
              <w:top w:val="single" w:sz="12" w:space="0" w:color="auto"/>
              <w:right w:val="single" w:sz="18" w:space="0" w:color="FFFFFF" w:themeColor="background2"/>
            </w:tcBorders>
          </w:tcPr>
          <w:p w14:paraId="196CFEF5" w14:textId="77777777" w:rsidR="00320D8D" w:rsidRPr="004E463E"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057DB833" w14:textId="77777777" w:rsidR="00320D8D" w:rsidRPr="004E463E" w:rsidRDefault="00320D8D" w:rsidP="00B15944">
            <w:pPr>
              <w:autoSpaceDE w:val="0"/>
              <w:autoSpaceDN w:val="0"/>
              <w:adjustRightInd w:val="0"/>
              <w:spacing w:before="20" w:after="20"/>
              <w:jc w:val="right"/>
              <w:rPr>
                <w:color w:val="1C1C1C"/>
                <w:sz w:val="14"/>
                <w:szCs w:val="14"/>
              </w:rPr>
            </w:pPr>
          </w:p>
        </w:tc>
      </w:tr>
      <w:tr w:rsidR="00320D8D" w:rsidRPr="004E463E" w14:paraId="1011963E" w14:textId="77777777" w:rsidTr="00B15944">
        <w:trPr>
          <w:trHeight w:val="170"/>
        </w:trPr>
        <w:tc>
          <w:tcPr>
            <w:tcW w:w="5111" w:type="dxa"/>
          </w:tcPr>
          <w:p w14:paraId="61E8872F" w14:textId="77777777" w:rsidR="00320D8D" w:rsidRPr="004E463E" w:rsidRDefault="00320D8D" w:rsidP="00B15944">
            <w:pPr>
              <w:suppressAutoHyphens/>
              <w:autoSpaceDE w:val="0"/>
              <w:autoSpaceDN w:val="0"/>
              <w:adjustRightInd w:val="0"/>
              <w:spacing w:before="20" w:after="20"/>
              <w:textAlignment w:val="center"/>
              <w:rPr>
                <w:rFonts w:cs="Futura PT Book"/>
                <w:color w:val="1C1C1C"/>
                <w:sz w:val="14"/>
                <w:szCs w:val="14"/>
                <w:lang w:val="en-US"/>
              </w:rPr>
            </w:pPr>
            <w:r w:rsidRPr="004E463E">
              <w:rPr>
                <w:color w:val="1C1C1C"/>
                <w:sz w:val="14"/>
                <w:szCs w:val="14"/>
              </w:rPr>
              <w:t>Lease liability (office space)</w:t>
            </w:r>
          </w:p>
        </w:tc>
        <w:tc>
          <w:tcPr>
            <w:tcW w:w="992" w:type="dxa"/>
            <w:tcBorders>
              <w:bottom w:val="single" w:sz="2" w:space="0" w:color="auto"/>
              <w:right w:val="single" w:sz="18" w:space="0" w:color="FFFFFF" w:themeColor="background2"/>
            </w:tcBorders>
          </w:tcPr>
          <w:p w14:paraId="30970AE4" w14:textId="0CA49D97" w:rsidR="00320D8D" w:rsidRPr="00005752" w:rsidRDefault="00320D8D"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005752">
              <w:rPr>
                <w:rFonts w:asciiTheme="majorHAnsi" w:hAnsiTheme="majorHAnsi"/>
                <w:sz w:val="14"/>
                <w:szCs w:val="14"/>
              </w:rPr>
              <w:t>1</w:t>
            </w:r>
            <w:r w:rsidR="0006615F">
              <w:rPr>
                <w:rFonts w:asciiTheme="majorHAnsi" w:hAnsiTheme="majorHAnsi"/>
                <w:sz w:val="14"/>
                <w:szCs w:val="14"/>
              </w:rPr>
              <w:t>2</w:t>
            </w:r>
            <w:r w:rsidRPr="00005752">
              <w:rPr>
                <w:rFonts w:asciiTheme="majorHAnsi" w:hAnsiTheme="majorHAnsi"/>
                <w:sz w:val="14"/>
                <w:szCs w:val="14"/>
              </w:rPr>
              <w:t>,</w:t>
            </w:r>
            <w:r w:rsidR="0006615F">
              <w:rPr>
                <w:rFonts w:asciiTheme="majorHAnsi" w:hAnsiTheme="majorHAnsi"/>
                <w:sz w:val="14"/>
                <w:szCs w:val="14"/>
              </w:rPr>
              <w:t>532</w:t>
            </w:r>
            <w:r w:rsidRPr="00005752">
              <w:rPr>
                <w:rFonts w:asciiTheme="majorHAnsi" w:hAnsiTheme="majorHAnsi"/>
                <w:sz w:val="14"/>
                <w:szCs w:val="14"/>
              </w:rPr>
              <w:t xml:space="preserve"> </w:t>
            </w:r>
          </w:p>
        </w:tc>
        <w:tc>
          <w:tcPr>
            <w:tcW w:w="993" w:type="dxa"/>
            <w:tcBorders>
              <w:left w:val="single" w:sz="18" w:space="0" w:color="FFFFFF" w:themeColor="background2"/>
              <w:bottom w:val="single" w:sz="2" w:space="0" w:color="auto"/>
            </w:tcBorders>
          </w:tcPr>
          <w:p w14:paraId="2D898720" w14:textId="0F982403" w:rsidR="00320D8D" w:rsidRPr="00005752" w:rsidRDefault="0006615F" w:rsidP="00B15944">
            <w:pPr>
              <w:suppressAutoHyphens/>
              <w:autoSpaceDE w:val="0"/>
              <w:autoSpaceDN w:val="0"/>
              <w:adjustRightInd w:val="0"/>
              <w:spacing w:before="20" w:after="20"/>
              <w:jc w:val="right"/>
              <w:textAlignment w:val="center"/>
              <w:rPr>
                <w:rFonts w:cs="Futura PT Book"/>
                <w:color w:val="1C1C1C"/>
                <w:sz w:val="14"/>
                <w:szCs w:val="14"/>
                <w:lang w:val="en-US"/>
              </w:rPr>
            </w:pPr>
            <w:r>
              <w:rPr>
                <w:sz w:val="14"/>
                <w:szCs w:val="14"/>
              </w:rPr>
              <w:t>1,519</w:t>
            </w:r>
            <w:r w:rsidR="00320D8D" w:rsidRPr="00005752">
              <w:rPr>
                <w:sz w:val="14"/>
                <w:szCs w:val="14"/>
              </w:rPr>
              <w:t xml:space="preserve"> </w:t>
            </w:r>
          </w:p>
        </w:tc>
      </w:tr>
      <w:tr w:rsidR="00320D8D" w:rsidRPr="004E463E" w14:paraId="3F3ECDB4" w14:textId="77777777" w:rsidTr="00B15944">
        <w:trPr>
          <w:trHeight w:val="170"/>
        </w:trPr>
        <w:tc>
          <w:tcPr>
            <w:tcW w:w="5111" w:type="dxa"/>
          </w:tcPr>
          <w:p w14:paraId="0DBD842B" w14:textId="77777777" w:rsidR="00320D8D" w:rsidRPr="004E463E" w:rsidRDefault="00320D8D"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4E463E">
              <w:rPr>
                <w:rFonts w:asciiTheme="majorHAnsi" w:hAnsiTheme="majorHAnsi"/>
                <w:color w:val="1C1C1C"/>
                <w:sz w:val="14"/>
                <w:szCs w:val="14"/>
              </w:rPr>
              <w:t>Total lease liabilities</w:t>
            </w:r>
          </w:p>
        </w:tc>
        <w:tc>
          <w:tcPr>
            <w:tcW w:w="992" w:type="dxa"/>
            <w:tcBorders>
              <w:top w:val="single" w:sz="2" w:space="0" w:color="auto"/>
              <w:bottom w:val="single" w:sz="2" w:space="0" w:color="auto"/>
              <w:right w:val="single" w:sz="18" w:space="0" w:color="FFFFFF" w:themeColor="background2"/>
            </w:tcBorders>
          </w:tcPr>
          <w:p w14:paraId="3A842F93" w14:textId="2E34CD43" w:rsidR="00320D8D" w:rsidRPr="00005752" w:rsidRDefault="00320D8D" w:rsidP="00B15944">
            <w:pPr>
              <w:autoSpaceDE w:val="0"/>
              <w:autoSpaceDN w:val="0"/>
              <w:adjustRightInd w:val="0"/>
              <w:spacing w:before="20" w:after="20"/>
              <w:jc w:val="right"/>
              <w:rPr>
                <w:rFonts w:asciiTheme="majorHAnsi" w:hAnsiTheme="majorHAnsi"/>
                <w:color w:val="1C1C1C"/>
                <w:sz w:val="14"/>
                <w:szCs w:val="14"/>
              </w:rPr>
            </w:pPr>
            <w:r w:rsidRPr="00005752">
              <w:rPr>
                <w:rFonts w:asciiTheme="majorHAnsi" w:hAnsiTheme="majorHAnsi"/>
                <w:sz w:val="14"/>
                <w:szCs w:val="14"/>
              </w:rPr>
              <w:t>1</w:t>
            </w:r>
            <w:r w:rsidR="0006615F">
              <w:rPr>
                <w:rFonts w:asciiTheme="majorHAnsi" w:hAnsiTheme="majorHAnsi"/>
                <w:sz w:val="14"/>
                <w:szCs w:val="14"/>
              </w:rPr>
              <w:t>2</w:t>
            </w:r>
            <w:r w:rsidRPr="00005752">
              <w:rPr>
                <w:rFonts w:asciiTheme="majorHAnsi" w:hAnsiTheme="majorHAnsi"/>
                <w:sz w:val="14"/>
                <w:szCs w:val="14"/>
              </w:rPr>
              <w:t>,</w:t>
            </w:r>
            <w:r w:rsidR="0006615F">
              <w:rPr>
                <w:rFonts w:asciiTheme="majorHAnsi" w:hAnsiTheme="majorHAnsi"/>
                <w:sz w:val="14"/>
                <w:szCs w:val="14"/>
              </w:rPr>
              <w:t>532</w:t>
            </w:r>
            <w:r w:rsidRPr="00005752">
              <w:rPr>
                <w:rFonts w:asciiTheme="majorHAnsi" w:hAnsiTheme="majorHAns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7C21FEF4" w14:textId="309E7D1F" w:rsidR="00320D8D" w:rsidRPr="00005752" w:rsidRDefault="0006615F" w:rsidP="00B15944">
            <w:pPr>
              <w:suppressAutoHyphens/>
              <w:autoSpaceDE w:val="0"/>
              <w:autoSpaceDN w:val="0"/>
              <w:adjustRightInd w:val="0"/>
              <w:spacing w:before="20" w:after="20"/>
              <w:jc w:val="right"/>
              <w:textAlignment w:val="center"/>
              <w:rPr>
                <w:rFonts w:cs="Futura PT Book"/>
                <w:color w:val="1C1C1C"/>
                <w:sz w:val="14"/>
                <w:szCs w:val="14"/>
                <w:lang w:val="en-US"/>
              </w:rPr>
            </w:pPr>
            <w:r>
              <w:rPr>
                <w:sz w:val="14"/>
                <w:szCs w:val="14"/>
              </w:rPr>
              <w:t>1,519</w:t>
            </w:r>
            <w:r w:rsidR="00320D8D" w:rsidRPr="00005752">
              <w:rPr>
                <w:sz w:val="14"/>
                <w:szCs w:val="14"/>
              </w:rPr>
              <w:t xml:space="preserve"> </w:t>
            </w:r>
          </w:p>
        </w:tc>
      </w:tr>
      <w:tr w:rsidR="00320D8D" w:rsidRPr="004E463E" w14:paraId="6CB84A39" w14:textId="77777777" w:rsidTr="00B15944">
        <w:trPr>
          <w:trHeight w:val="170"/>
        </w:trPr>
        <w:tc>
          <w:tcPr>
            <w:tcW w:w="5111" w:type="dxa"/>
          </w:tcPr>
          <w:p w14:paraId="67663DFE" w14:textId="77777777" w:rsidR="00320D8D" w:rsidRPr="004E463E" w:rsidRDefault="00320D8D" w:rsidP="00B15944">
            <w:pPr>
              <w:suppressAutoHyphens/>
              <w:autoSpaceDE w:val="0"/>
              <w:autoSpaceDN w:val="0"/>
              <w:adjustRightInd w:val="0"/>
              <w:spacing w:before="20" w:after="20"/>
              <w:textAlignment w:val="center"/>
              <w:rPr>
                <w:color w:val="1C1C1C"/>
                <w:sz w:val="14"/>
                <w:szCs w:val="14"/>
              </w:rPr>
            </w:pPr>
          </w:p>
        </w:tc>
        <w:tc>
          <w:tcPr>
            <w:tcW w:w="992" w:type="dxa"/>
            <w:tcBorders>
              <w:top w:val="single" w:sz="2" w:space="0" w:color="auto"/>
              <w:right w:val="single" w:sz="18" w:space="0" w:color="FFFFFF" w:themeColor="background2"/>
            </w:tcBorders>
          </w:tcPr>
          <w:p w14:paraId="58651DAD" w14:textId="77777777" w:rsidR="00320D8D" w:rsidRPr="004E463E"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3A305EF9" w14:textId="77777777" w:rsidR="00320D8D" w:rsidRPr="004E463E" w:rsidRDefault="00320D8D" w:rsidP="00B15944">
            <w:pPr>
              <w:suppressAutoHyphens/>
              <w:autoSpaceDE w:val="0"/>
              <w:autoSpaceDN w:val="0"/>
              <w:adjustRightInd w:val="0"/>
              <w:spacing w:before="20" w:after="20"/>
              <w:jc w:val="right"/>
              <w:textAlignment w:val="center"/>
              <w:rPr>
                <w:color w:val="1C1C1C"/>
                <w:sz w:val="14"/>
                <w:szCs w:val="14"/>
              </w:rPr>
            </w:pPr>
          </w:p>
        </w:tc>
      </w:tr>
      <w:tr w:rsidR="00320D8D" w:rsidRPr="004E463E" w14:paraId="4640337A" w14:textId="77777777" w:rsidTr="00B15944">
        <w:trPr>
          <w:trHeight w:val="170"/>
        </w:trPr>
        <w:tc>
          <w:tcPr>
            <w:tcW w:w="7096" w:type="dxa"/>
            <w:gridSpan w:val="3"/>
          </w:tcPr>
          <w:p w14:paraId="75046FC1" w14:textId="742FF6C2" w:rsidR="00320D8D" w:rsidRPr="004E463E" w:rsidRDefault="0006615F" w:rsidP="00B15944">
            <w:pPr>
              <w:suppressAutoHyphens/>
              <w:autoSpaceDE w:val="0"/>
              <w:autoSpaceDN w:val="0"/>
              <w:adjustRightInd w:val="0"/>
              <w:spacing w:before="20" w:after="20"/>
              <w:textAlignment w:val="center"/>
              <w:rPr>
                <w:color w:val="1C1C1C"/>
                <w:sz w:val="14"/>
                <w:szCs w:val="14"/>
              </w:rPr>
            </w:pPr>
            <w:r w:rsidRPr="0006615F">
              <w:rPr>
                <w:color w:val="1C1C1C"/>
                <w:sz w:val="14"/>
                <w:szCs w:val="14"/>
              </w:rPr>
              <w:t>Total cash outflow for leases for the year ended 30 June 2022 was $0.848m (2021: $0.746m)</w:t>
            </w:r>
            <w:r w:rsidR="0045512C">
              <w:rPr>
                <w:color w:val="1C1C1C"/>
                <w:sz w:val="14"/>
                <w:szCs w:val="14"/>
              </w:rPr>
              <w:t>.</w:t>
            </w:r>
          </w:p>
        </w:tc>
      </w:tr>
      <w:tr w:rsidR="00320D8D" w:rsidRPr="004E463E" w14:paraId="6AE8FABA" w14:textId="77777777" w:rsidTr="00B15944">
        <w:trPr>
          <w:trHeight w:val="170"/>
        </w:trPr>
        <w:tc>
          <w:tcPr>
            <w:tcW w:w="5111" w:type="dxa"/>
          </w:tcPr>
          <w:p w14:paraId="2803AC9C" w14:textId="77777777" w:rsidR="00320D8D" w:rsidRPr="004E463E" w:rsidRDefault="00320D8D" w:rsidP="00B15944">
            <w:pPr>
              <w:suppressAutoHyphens/>
              <w:autoSpaceDE w:val="0"/>
              <w:autoSpaceDN w:val="0"/>
              <w:adjustRightInd w:val="0"/>
              <w:spacing w:before="20" w:after="20"/>
              <w:textAlignment w:val="center"/>
              <w:rPr>
                <w:color w:val="1C1C1C"/>
                <w:sz w:val="14"/>
                <w:szCs w:val="14"/>
              </w:rPr>
            </w:pPr>
          </w:p>
        </w:tc>
        <w:tc>
          <w:tcPr>
            <w:tcW w:w="992" w:type="dxa"/>
          </w:tcPr>
          <w:p w14:paraId="3001959E" w14:textId="77777777" w:rsidR="00320D8D" w:rsidRPr="004E463E"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Pr>
          <w:p w14:paraId="47D5AA09" w14:textId="77777777" w:rsidR="00320D8D" w:rsidRPr="004E463E" w:rsidRDefault="00320D8D" w:rsidP="00B15944">
            <w:pPr>
              <w:suppressAutoHyphens/>
              <w:autoSpaceDE w:val="0"/>
              <w:autoSpaceDN w:val="0"/>
              <w:adjustRightInd w:val="0"/>
              <w:spacing w:before="20" w:after="20"/>
              <w:jc w:val="right"/>
              <w:textAlignment w:val="center"/>
              <w:rPr>
                <w:color w:val="1C1C1C"/>
                <w:sz w:val="14"/>
                <w:szCs w:val="14"/>
              </w:rPr>
            </w:pPr>
          </w:p>
        </w:tc>
      </w:tr>
      <w:tr w:rsidR="00320D8D" w:rsidRPr="004E463E" w14:paraId="5408311F" w14:textId="77777777" w:rsidTr="00B15944">
        <w:trPr>
          <w:trHeight w:val="170"/>
        </w:trPr>
        <w:tc>
          <w:tcPr>
            <w:tcW w:w="5111" w:type="dxa"/>
          </w:tcPr>
          <w:p w14:paraId="06E79B26" w14:textId="61BB2096" w:rsidR="00320D8D" w:rsidRPr="004E463E" w:rsidRDefault="00320D8D" w:rsidP="00B15944">
            <w:pPr>
              <w:suppressAutoHyphens/>
              <w:autoSpaceDE w:val="0"/>
              <w:autoSpaceDN w:val="0"/>
              <w:adjustRightInd w:val="0"/>
              <w:spacing w:before="20" w:after="20"/>
              <w:textAlignment w:val="center"/>
              <w:rPr>
                <w:rFonts w:asciiTheme="majorHAnsi" w:hAnsiTheme="majorHAnsi"/>
                <w:color w:val="1C1C1C"/>
                <w:sz w:val="14"/>
                <w:szCs w:val="14"/>
              </w:rPr>
            </w:pPr>
            <w:r w:rsidRPr="00005752">
              <w:rPr>
                <w:rFonts w:asciiTheme="majorHAnsi" w:hAnsiTheme="majorHAnsi"/>
                <w:color w:val="1C1C1C"/>
                <w:sz w:val="14"/>
                <w:szCs w:val="14"/>
              </w:rPr>
              <w:t xml:space="preserve">Maturity analysis </w:t>
            </w:r>
            <w:r w:rsidR="0006615F">
              <w:rPr>
                <w:rFonts w:asciiTheme="majorHAnsi" w:hAnsiTheme="majorHAnsi"/>
                <w:color w:val="1C1C1C"/>
                <w:sz w:val="14"/>
                <w:szCs w:val="14"/>
              </w:rPr>
              <w:softHyphen/>
              <w:t>–</w:t>
            </w:r>
            <w:r w:rsidRPr="00005752">
              <w:rPr>
                <w:rFonts w:asciiTheme="majorHAnsi" w:hAnsiTheme="majorHAnsi"/>
                <w:color w:val="1C1C1C"/>
                <w:sz w:val="14"/>
                <w:szCs w:val="14"/>
              </w:rPr>
              <w:t xml:space="preserve"> contractual undiscounted cash flows</w:t>
            </w:r>
          </w:p>
        </w:tc>
        <w:tc>
          <w:tcPr>
            <w:tcW w:w="992" w:type="dxa"/>
            <w:tcBorders>
              <w:right w:val="single" w:sz="18" w:space="0" w:color="FFFFFF" w:themeColor="background2"/>
            </w:tcBorders>
          </w:tcPr>
          <w:p w14:paraId="7E37B1BB" w14:textId="77777777" w:rsidR="00320D8D" w:rsidRPr="004E463E" w:rsidRDefault="00320D8D"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39AA443A" w14:textId="77777777" w:rsidR="00320D8D" w:rsidRPr="004E463E" w:rsidRDefault="00320D8D" w:rsidP="00B15944">
            <w:pPr>
              <w:suppressAutoHyphens/>
              <w:autoSpaceDE w:val="0"/>
              <w:autoSpaceDN w:val="0"/>
              <w:adjustRightInd w:val="0"/>
              <w:spacing w:before="20" w:after="20"/>
              <w:jc w:val="right"/>
              <w:textAlignment w:val="center"/>
              <w:rPr>
                <w:color w:val="1C1C1C"/>
                <w:sz w:val="14"/>
                <w:szCs w:val="14"/>
              </w:rPr>
            </w:pPr>
          </w:p>
        </w:tc>
      </w:tr>
      <w:tr w:rsidR="00320D8D" w:rsidRPr="004E463E" w14:paraId="72649E06" w14:textId="77777777" w:rsidTr="00B15944">
        <w:trPr>
          <w:trHeight w:val="170"/>
        </w:trPr>
        <w:tc>
          <w:tcPr>
            <w:tcW w:w="5111" w:type="dxa"/>
          </w:tcPr>
          <w:p w14:paraId="59515A1C" w14:textId="77777777" w:rsidR="00320D8D" w:rsidRPr="004E463E" w:rsidRDefault="00320D8D" w:rsidP="00B15944">
            <w:pPr>
              <w:suppressAutoHyphens/>
              <w:autoSpaceDE w:val="0"/>
              <w:autoSpaceDN w:val="0"/>
              <w:adjustRightInd w:val="0"/>
              <w:spacing w:before="20" w:after="20"/>
              <w:textAlignment w:val="center"/>
              <w:rPr>
                <w:color w:val="1C1C1C"/>
                <w:sz w:val="14"/>
                <w:szCs w:val="14"/>
              </w:rPr>
            </w:pPr>
            <w:r>
              <w:rPr>
                <w:color w:val="1C1C1C"/>
                <w:sz w:val="14"/>
                <w:szCs w:val="14"/>
              </w:rPr>
              <w:t>Within 1 year</w:t>
            </w:r>
          </w:p>
        </w:tc>
        <w:tc>
          <w:tcPr>
            <w:tcW w:w="992" w:type="dxa"/>
            <w:tcBorders>
              <w:right w:val="single" w:sz="18" w:space="0" w:color="FFFFFF" w:themeColor="background2"/>
            </w:tcBorders>
          </w:tcPr>
          <w:p w14:paraId="20FADAEF" w14:textId="4B5623B9" w:rsidR="00320D8D" w:rsidRPr="00005752" w:rsidRDefault="0006615F"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834</w:t>
            </w:r>
            <w:r w:rsidR="00320D8D" w:rsidRPr="00005752">
              <w:rPr>
                <w:rFonts w:asciiTheme="majorHAnsi" w:hAnsiTheme="majorHAnsi" w:cs="Calibri"/>
                <w:sz w:val="14"/>
                <w:szCs w:val="14"/>
              </w:rPr>
              <w:t xml:space="preserve"> </w:t>
            </w:r>
          </w:p>
        </w:tc>
        <w:tc>
          <w:tcPr>
            <w:tcW w:w="993" w:type="dxa"/>
            <w:tcBorders>
              <w:left w:val="single" w:sz="18" w:space="0" w:color="FFFFFF" w:themeColor="background2"/>
            </w:tcBorders>
          </w:tcPr>
          <w:p w14:paraId="52ADD8D7" w14:textId="5C94DC6E" w:rsidR="00320D8D" w:rsidRPr="00005752" w:rsidRDefault="0006615F"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777</w:t>
            </w:r>
            <w:r w:rsidR="00320D8D" w:rsidRPr="00005752">
              <w:rPr>
                <w:rFonts w:cs="Calibri"/>
                <w:sz w:val="14"/>
                <w:szCs w:val="14"/>
              </w:rPr>
              <w:t xml:space="preserve"> </w:t>
            </w:r>
          </w:p>
        </w:tc>
      </w:tr>
      <w:tr w:rsidR="00320D8D" w:rsidRPr="004E463E" w14:paraId="2C179617" w14:textId="77777777" w:rsidTr="00B15944">
        <w:trPr>
          <w:trHeight w:val="170"/>
        </w:trPr>
        <w:tc>
          <w:tcPr>
            <w:tcW w:w="5111" w:type="dxa"/>
          </w:tcPr>
          <w:p w14:paraId="190F37EE" w14:textId="77777777" w:rsidR="00320D8D" w:rsidRPr="004E463E" w:rsidRDefault="00320D8D" w:rsidP="00B15944">
            <w:pPr>
              <w:suppressAutoHyphens/>
              <w:autoSpaceDE w:val="0"/>
              <w:autoSpaceDN w:val="0"/>
              <w:adjustRightInd w:val="0"/>
              <w:spacing w:before="20" w:after="20"/>
              <w:textAlignment w:val="center"/>
              <w:rPr>
                <w:color w:val="1C1C1C"/>
                <w:sz w:val="14"/>
                <w:szCs w:val="14"/>
              </w:rPr>
            </w:pPr>
            <w:r>
              <w:rPr>
                <w:color w:val="1C1C1C"/>
                <w:sz w:val="14"/>
                <w:szCs w:val="14"/>
              </w:rPr>
              <w:t>Between 1 to 5 years</w:t>
            </w:r>
          </w:p>
        </w:tc>
        <w:tc>
          <w:tcPr>
            <w:tcW w:w="992" w:type="dxa"/>
            <w:tcBorders>
              <w:right w:val="single" w:sz="18" w:space="0" w:color="FFFFFF" w:themeColor="background2"/>
            </w:tcBorders>
          </w:tcPr>
          <w:p w14:paraId="77E160BA" w14:textId="46E3976F" w:rsidR="00320D8D" w:rsidRPr="00005752" w:rsidRDefault="0006615F"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4,076</w:t>
            </w:r>
            <w:r w:rsidR="00320D8D" w:rsidRPr="00005752">
              <w:rPr>
                <w:rFonts w:asciiTheme="majorHAnsi" w:hAnsiTheme="majorHAnsi" w:cs="Calibri"/>
                <w:sz w:val="14"/>
                <w:szCs w:val="14"/>
              </w:rPr>
              <w:t xml:space="preserve"> </w:t>
            </w:r>
          </w:p>
        </w:tc>
        <w:tc>
          <w:tcPr>
            <w:tcW w:w="993" w:type="dxa"/>
            <w:tcBorders>
              <w:left w:val="single" w:sz="18" w:space="0" w:color="FFFFFF" w:themeColor="background2"/>
            </w:tcBorders>
          </w:tcPr>
          <w:p w14:paraId="1C48B369" w14:textId="4B8FAFD9" w:rsidR="00320D8D" w:rsidRPr="00005752" w:rsidRDefault="0006615F"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742</w:t>
            </w:r>
            <w:r w:rsidR="00320D8D" w:rsidRPr="00005752">
              <w:rPr>
                <w:rFonts w:cs="Calibri"/>
                <w:sz w:val="14"/>
                <w:szCs w:val="14"/>
              </w:rPr>
              <w:t xml:space="preserve"> </w:t>
            </w:r>
          </w:p>
        </w:tc>
      </w:tr>
      <w:tr w:rsidR="00320D8D" w:rsidRPr="004E463E" w14:paraId="7B77767B" w14:textId="77777777" w:rsidTr="00B15944">
        <w:trPr>
          <w:trHeight w:val="170"/>
        </w:trPr>
        <w:tc>
          <w:tcPr>
            <w:tcW w:w="5111" w:type="dxa"/>
          </w:tcPr>
          <w:p w14:paraId="1FE5CD1E" w14:textId="77777777" w:rsidR="00320D8D" w:rsidRPr="004E463E" w:rsidRDefault="00320D8D" w:rsidP="00B15944">
            <w:pPr>
              <w:suppressAutoHyphens/>
              <w:autoSpaceDE w:val="0"/>
              <w:autoSpaceDN w:val="0"/>
              <w:adjustRightInd w:val="0"/>
              <w:spacing w:before="20" w:after="20"/>
              <w:textAlignment w:val="center"/>
              <w:rPr>
                <w:color w:val="1C1C1C"/>
                <w:sz w:val="14"/>
                <w:szCs w:val="14"/>
              </w:rPr>
            </w:pPr>
            <w:r w:rsidRPr="004E463E">
              <w:rPr>
                <w:color w:val="1C1C1C"/>
                <w:sz w:val="14"/>
                <w:szCs w:val="14"/>
              </w:rPr>
              <w:t xml:space="preserve">More than </w:t>
            </w:r>
            <w:r>
              <w:rPr>
                <w:color w:val="1C1C1C"/>
                <w:sz w:val="14"/>
                <w:szCs w:val="14"/>
              </w:rPr>
              <w:t>5 years</w:t>
            </w:r>
          </w:p>
        </w:tc>
        <w:tc>
          <w:tcPr>
            <w:tcW w:w="992" w:type="dxa"/>
            <w:tcBorders>
              <w:bottom w:val="single" w:sz="2" w:space="0" w:color="auto"/>
              <w:right w:val="single" w:sz="18" w:space="0" w:color="FFFFFF" w:themeColor="background2"/>
            </w:tcBorders>
          </w:tcPr>
          <w:p w14:paraId="4DFACCCB" w14:textId="0EE05771" w:rsidR="00320D8D" w:rsidRPr="00005752" w:rsidRDefault="00320D8D" w:rsidP="00B15944">
            <w:pPr>
              <w:autoSpaceDE w:val="0"/>
              <w:autoSpaceDN w:val="0"/>
              <w:adjustRightInd w:val="0"/>
              <w:spacing w:before="20" w:after="20"/>
              <w:jc w:val="right"/>
              <w:rPr>
                <w:rFonts w:asciiTheme="majorHAnsi" w:hAnsiTheme="majorHAnsi"/>
                <w:color w:val="1C1C1C"/>
                <w:sz w:val="14"/>
                <w:szCs w:val="14"/>
              </w:rPr>
            </w:pPr>
            <w:r w:rsidRPr="00005752">
              <w:rPr>
                <w:rFonts w:asciiTheme="majorHAnsi" w:hAnsiTheme="majorHAnsi" w:cs="Calibri"/>
                <w:sz w:val="14"/>
                <w:szCs w:val="14"/>
              </w:rPr>
              <w:t xml:space="preserve"> </w:t>
            </w:r>
            <w:r w:rsidR="0006615F">
              <w:rPr>
                <w:rFonts w:asciiTheme="majorHAnsi" w:hAnsiTheme="majorHAnsi" w:cs="Calibri"/>
                <w:sz w:val="14"/>
                <w:szCs w:val="14"/>
              </w:rPr>
              <w:t>7,622</w:t>
            </w:r>
            <w:r w:rsidRPr="00005752">
              <w:rPr>
                <w:rFonts w:asciiTheme="majorHAnsi" w:hAnsiTheme="majorHAnsi" w:cs="Calibri"/>
                <w:sz w:val="14"/>
                <w:szCs w:val="14"/>
              </w:rPr>
              <w:t xml:space="preserve"> </w:t>
            </w:r>
          </w:p>
        </w:tc>
        <w:tc>
          <w:tcPr>
            <w:tcW w:w="993" w:type="dxa"/>
            <w:tcBorders>
              <w:left w:val="single" w:sz="18" w:space="0" w:color="FFFFFF" w:themeColor="background2"/>
              <w:bottom w:val="single" w:sz="2" w:space="0" w:color="auto"/>
            </w:tcBorders>
          </w:tcPr>
          <w:p w14:paraId="298F59DF" w14:textId="308A9A4B" w:rsidR="00320D8D" w:rsidRPr="00005752" w:rsidRDefault="0006615F"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w:t>
            </w:r>
            <w:r w:rsidR="00320D8D" w:rsidRPr="00005752">
              <w:rPr>
                <w:rFonts w:cs="Calibri"/>
                <w:sz w:val="14"/>
                <w:szCs w:val="14"/>
              </w:rPr>
              <w:t xml:space="preserve"> </w:t>
            </w:r>
          </w:p>
        </w:tc>
      </w:tr>
      <w:tr w:rsidR="00320D8D" w:rsidRPr="004E463E" w14:paraId="481F5D4A" w14:textId="77777777" w:rsidTr="00B15944">
        <w:trPr>
          <w:trHeight w:val="170"/>
        </w:trPr>
        <w:tc>
          <w:tcPr>
            <w:tcW w:w="5111" w:type="dxa"/>
          </w:tcPr>
          <w:p w14:paraId="31094EE9" w14:textId="62DDF441" w:rsidR="00320D8D" w:rsidRPr="004E463E" w:rsidRDefault="00320D8D" w:rsidP="00B15944">
            <w:pPr>
              <w:suppressAutoHyphens/>
              <w:autoSpaceDE w:val="0"/>
              <w:autoSpaceDN w:val="0"/>
              <w:adjustRightInd w:val="0"/>
              <w:spacing w:before="20" w:after="20"/>
              <w:textAlignment w:val="center"/>
              <w:rPr>
                <w:rFonts w:asciiTheme="majorHAnsi" w:hAnsiTheme="majorHAnsi"/>
                <w:color w:val="1C1C1C"/>
                <w:sz w:val="14"/>
                <w:szCs w:val="14"/>
              </w:rPr>
            </w:pPr>
            <w:r w:rsidRPr="004E463E">
              <w:rPr>
                <w:rFonts w:asciiTheme="majorHAnsi" w:hAnsiTheme="majorHAnsi"/>
                <w:color w:val="1C1C1C"/>
                <w:sz w:val="14"/>
                <w:szCs w:val="14"/>
              </w:rPr>
              <w:t>Total lease</w:t>
            </w:r>
            <w:r w:rsidR="0006615F">
              <w:rPr>
                <w:rFonts w:asciiTheme="majorHAnsi" w:hAnsiTheme="majorHAnsi"/>
                <w:color w:val="1C1C1C"/>
                <w:sz w:val="14"/>
                <w:szCs w:val="14"/>
              </w:rPr>
              <w:t>s</w:t>
            </w:r>
          </w:p>
        </w:tc>
        <w:tc>
          <w:tcPr>
            <w:tcW w:w="992" w:type="dxa"/>
            <w:tcBorders>
              <w:top w:val="single" w:sz="2" w:space="0" w:color="auto"/>
              <w:bottom w:val="single" w:sz="2" w:space="0" w:color="auto"/>
              <w:right w:val="single" w:sz="18" w:space="0" w:color="FFFFFF" w:themeColor="background2"/>
            </w:tcBorders>
          </w:tcPr>
          <w:p w14:paraId="4D250ECB" w14:textId="0A4A192B" w:rsidR="00320D8D" w:rsidRPr="00005752" w:rsidRDefault="0006615F"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12,532</w:t>
            </w:r>
            <w:r w:rsidR="00320D8D" w:rsidRPr="00005752">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21B56CE5" w14:textId="300F91CC" w:rsidR="00320D8D" w:rsidRPr="00005752" w:rsidRDefault="0006615F" w:rsidP="00B15944">
            <w:pPr>
              <w:suppressAutoHyphens/>
              <w:autoSpaceDE w:val="0"/>
              <w:autoSpaceDN w:val="0"/>
              <w:adjustRightInd w:val="0"/>
              <w:spacing w:before="20" w:after="20"/>
              <w:jc w:val="right"/>
              <w:textAlignment w:val="center"/>
              <w:rPr>
                <w:color w:val="1C1C1C"/>
                <w:sz w:val="14"/>
                <w:szCs w:val="14"/>
              </w:rPr>
            </w:pPr>
            <w:r>
              <w:rPr>
                <w:rFonts w:cs="Calibri"/>
                <w:sz w:val="14"/>
                <w:szCs w:val="14"/>
              </w:rPr>
              <w:t>1,519</w:t>
            </w:r>
            <w:r w:rsidR="00320D8D" w:rsidRPr="00005752">
              <w:rPr>
                <w:rFonts w:cs="Calibri"/>
                <w:sz w:val="14"/>
                <w:szCs w:val="14"/>
              </w:rPr>
              <w:t xml:space="preserve"> </w:t>
            </w:r>
          </w:p>
        </w:tc>
      </w:tr>
      <w:tr w:rsidR="00320D8D" w:rsidRPr="004E463E" w14:paraId="6BC12621" w14:textId="77777777" w:rsidTr="00B15944">
        <w:trPr>
          <w:trHeight w:val="57"/>
        </w:trPr>
        <w:tc>
          <w:tcPr>
            <w:tcW w:w="5111" w:type="dxa"/>
          </w:tcPr>
          <w:p w14:paraId="764AC063" w14:textId="77777777" w:rsidR="00320D8D" w:rsidRPr="004E463E" w:rsidRDefault="00320D8D"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2CC3945F" w14:textId="77777777" w:rsidR="00320D8D" w:rsidRPr="004E463E" w:rsidRDefault="00320D8D"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661FC478" w14:textId="77777777" w:rsidR="00320D8D" w:rsidRPr="004E463E" w:rsidRDefault="00320D8D" w:rsidP="00B15944">
            <w:pPr>
              <w:suppressAutoHyphens/>
              <w:autoSpaceDE w:val="0"/>
              <w:autoSpaceDN w:val="0"/>
              <w:adjustRightInd w:val="0"/>
              <w:spacing w:before="20" w:after="20"/>
              <w:jc w:val="right"/>
              <w:textAlignment w:val="center"/>
              <w:rPr>
                <w:color w:val="1C1C1C"/>
                <w:sz w:val="4"/>
                <w:szCs w:val="4"/>
              </w:rPr>
            </w:pPr>
          </w:p>
        </w:tc>
      </w:tr>
    </w:tbl>
    <w:p w14:paraId="6BE0A776" w14:textId="77777777" w:rsidR="00320D8D" w:rsidRDefault="00320D8D" w:rsidP="00320D8D">
      <w:pPr>
        <w:pStyle w:val="Body"/>
      </w:pPr>
    </w:p>
    <w:tbl>
      <w:tblPr>
        <w:tblStyle w:val="TableGrid1"/>
        <w:tblW w:w="4993" w:type="pct"/>
        <w:tblCellMar>
          <w:top w:w="57" w:type="dxa"/>
          <w:bottom w:w="57" w:type="dxa"/>
        </w:tblCellMar>
        <w:tblLook w:val="04A0" w:firstRow="1" w:lastRow="0" w:firstColumn="1" w:lastColumn="0" w:noHBand="0" w:noVBand="1"/>
        <w:tblCaption w:val="Note 2.4A"/>
        <w:tblDescription w:val="On the 1 June 2018, IHPA in its capacity as lessee entered into a 5 year lease (with 5 year extension option) for office space. On 1 June 2021, IHPA reassessed the end of the lease term from 31 May 2028 to 31 May 2023 and as a result reduced the lease liability and the right-of-use asset by $4.231m in accordance with AASB 16 Leases.&#10;IHPA is reasonably certain that the extension option will not be exercised due to a larger office space requirements to accommodate increased staff levels as a result of government decisions announced in the 2021–22 budget.&#10;"/>
      </w:tblPr>
      <w:tblGrid>
        <w:gridCol w:w="7690"/>
      </w:tblGrid>
      <w:tr w:rsidR="00320D8D" w14:paraId="6A042B67" w14:textId="77777777" w:rsidTr="00B15944">
        <w:trPr>
          <w:tblHeader/>
        </w:trPr>
        <w:tc>
          <w:tcPr>
            <w:tcW w:w="5000" w:type="pct"/>
          </w:tcPr>
          <w:p w14:paraId="29FD0060" w14:textId="667C695D" w:rsidR="00320D8D" w:rsidRPr="0006615F" w:rsidRDefault="00D85049" w:rsidP="0006615F">
            <w:pPr>
              <w:pStyle w:val="Body"/>
              <w:rPr>
                <w:lang w:val="en-PH"/>
              </w:rPr>
            </w:pPr>
            <w:r w:rsidRPr="00D85049">
              <w:t>During the period, IHPA signed a new lease for larger office space at Level 12 at 1 Oxford Street, Sydney</w:t>
            </w:r>
            <w:r w:rsidR="00182C2A">
              <w:t> </w:t>
            </w:r>
            <w:r w:rsidRPr="00D85049">
              <w:t xml:space="preserve">and a Deed of Surrender and Release for the existing Level 6 lease. The Level 12 office lease commenced on 1 March 2022 for a term of </w:t>
            </w:r>
            <w:r>
              <w:t>five</w:t>
            </w:r>
            <w:r w:rsidRPr="00D85049">
              <w:t xml:space="preserve"> years (with a </w:t>
            </w:r>
            <w:r>
              <w:t>five</w:t>
            </w:r>
            <w:r w:rsidRPr="00D85049">
              <w:t>-year extension option), with a right</w:t>
            </w:r>
            <w:r w:rsidR="00182C2A">
              <w:noBreakHyphen/>
            </w:r>
            <w:r w:rsidRPr="00D85049">
              <w:t>of</w:t>
            </w:r>
            <w:r w:rsidR="00182C2A">
              <w:noBreakHyphen/>
            </w:r>
            <w:r w:rsidRPr="00D85049">
              <w:t>use-asset and lease liability recognised of $12.801m.</w:t>
            </w:r>
          </w:p>
        </w:tc>
      </w:tr>
    </w:tbl>
    <w:p w14:paraId="36DEC08F" w14:textId="4865E235" w:rsidR="00524032" w:rsidRDefault="00524032" w:rsidP="008664C1">
      <w:pPr>
        <w:pStyle w:val="Body"/>
        <w:rPr>
          <w:color w:val="292929"/>
        </w:rPr>
      </w:pPr>
    </w:p>
    <w:p w14:paraId="07A3DC1B" w14:textId="77777777" w:rsidR="00171E89" w:rsidRDefault="00171E89" w:rsidP="008664C1">
      <w:pPr>
        <w:pStyle w:val="Body"/>
        <w:rPr>
          <w:color w:val="292929"/>
        </w:rPr>
      </w:pPr>
    </w:p>
    <w:p w14:paraId="7CCF95F4" w14:textId="77777777" w:rsidR="0010025B" w:rsidRDefault="0010025B" w:rsidP="008664C1">
      <w:pPr>
        <w:pStyle w:val="Body"/>
        <w:rPr>
          <w:color w:val="292929"/>
        </w:rPr>
        <w:sectPr w:rsidR="0010025B" w:rsidSect="00441579">
          <w:footerReference w:type="default" r:id="rId198"/>
          <w:pgSz w:w="9979" w:h="14175"/>
          <w:pgMar w:top="1134" w:right="1134" w:bottom="1134" w:left="1134" w:header="709" w:footer="709" w:gutter="0"/>
          <w:cols w:space="708"/>
          <w:docGrid w:linePitch="360"/>
        </w:sectPr>
      </w:pPr>
    </w:p>
    <w:p w14:paraId="7B125468" w14:textId="77777777" w:rsidR="00120D67" w:rsidRDefault="00120D67" w:rsidP="00120D67">
      <w:pPr>
        <w:pStyle w:val="H3Financials"/>
        <w:spacing w:before="0"/>
      </w:pPr>
      <w:bookmarkStart w:id="161" w:name="_Toc83220571"/>
      <w:bookmarkStart w:id="162" w:name="_Toc112133285"/>
      <w:bookmarkStart w:id="163" w:name="_Toc114824715"/>
      <w:r>
        <w:t>People and Relationships</w:t>
      </w:r>
      <w:bookmarkEnd w:id="161"/>
      <w:bookmarkEnd w:id="162"/>
      <w:bookmarkEnd w:id="163"/>
    </w:p>
    <w:p w14:paraId="093D1C63" w14:textId="77777777" w:rsidR="00120D67" w:rsidRPr="00F673BF" w:rsidRDefault="00120D67" w:rsidP="00120D67">
      <w:pPr>
        <w:rPr>
          <w:color w:val="1C1C1C"/>
          <w:sz w:val="18"/>
          <w:szCs w:val="18"/>
        </w:rPr>
      </w:pPr>
      <w:r w:rsidRPr="00F673BF">
        <w:rPr>
          <w:color w:val="1C1C1C"/>
          <w:sz w:val="18"/>
          <w:szCs w:val="18"/>
        </w:rPr>
        <w:t>This section describes a range of employment and post-employment benefits provided to our people and our relationships with other key people.</w:t>
      </w:r>
    </w:p>
    <w:p w14:paraId="0876A629" w14:textId="77777777" w:rsidR="00120D67" w:rsidRDefault="00120D67" w:rsidP="00120D67">
      <w:pPr>
        <w:pStyle w:val="H4Financials"/>
        <w:spacing w:after="0"/>
      </w:pPr>
      <w:bookmarkStart w:id="164" w:name="_Toc83220572"/>
      <w:bookmarkStart w:id="165" w:name="_Toc114824716"/>
      <w:r>
        <w:t>Note 3.1 Employee provisions</w:t>
      </w:r>
      <w:bookmarkEnd w:id="164"/>
      <w:bookmarkEnd w:id="165"/>
    </w:p>
    <w:tbl>
      <w:tblPr>
        <w:tblStyle w:val="IHPA"/>
        <w:tblW w:w="7096" w:type="dxa"/>
        <w:tblLayout w:type="fixed"/>
        <w:tblLook w:val="0020" w:firstRow="1" w:lastRow="0" w:firstColumn="0" w:lastColumn="0" w:noHBand="0" w:noVBand="0"/>
        <w:tblCaption w:val="Note 3.1"/>
        <w:tblDescription w:val="Employee provisions"/>
      </w:tblPr>
      <w:tblGrid>
        <w:gridCol w:w="5111"/>
        <w:gridCol w:w="992"/>
        <w:gridCol w:w="993"/>
      </w:tblGrid>
      <w:tr w:rsidR="00120D67" w:rsidRPr="008D0A40" w14:paraId="02B347AE" w14:textId="77777777" w:rsidTr="00B15944">
        <w:trPr>
          <w:trHeight w:val="340"/>
        </w:trPr>
        <w:tc>
          <w:tcPr>
            <w:tcW w:w="5111" w:type="dxa"/>
          </w:tcPr>
          <w:p w14:paraId="4AD11C1B" w14:textId="77777777" w:rsidR="00120D67" w:rsidRPr="008D0A40" w:rsidRDefault="00120D67"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53300DE6" w14:textId="317A820D" w:rsidR="00120D67" w:rsidRPr="008D0A40" w:rsidRDefault="00120D67"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D0A40">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2</w:t>
            </w:r>
            <w:r w:rsidRPr="008D0A40">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75922571" w14:textId="6A173DF1" w:rsidR="00120D67" w:rsidRPr="008D0A40" w:rsidRDefault="00120D67"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D0A40">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21</w:t>
            </w:r>
            <w:r w:rsidRPr="008D0A40">
              <w:rPr>
                <w:rFonts w:asciiTheme="majorHAnsi" w:hAnsiTheme="majorHAnsi" w:cs="Futura PT Heavy"/>
                <w:color w:val="1C1C1C"/>
                <w:sz w:val="16"/>
                <w:szCs w:val="16"/>
                <w:lang w:val="en-US"/>
              </w:rPr>
              <w:br/>
              <w:t>$’000</w:t>
            </w:r>
          </w:p>
        </w:tc>
      </w:tr>
      <w:tr w:rsidR="00120D67" w:rsidRPr="008D0A40" w14:paraId="49CAE23C" w14:textId="77777777" w:rsidTr="00B15944">
        <w:trPr>
          <w:trHeight w:val="170"/>
        </w:trPr>
        <w:tc>
          <w:tcPr>
            <w:tcW w:w="5111" w:type="dxa"/>
          </w:tcPr>
          <w:p w14:paraId="32D199C8" w14:textId="77777777" w:rsidR="00120D67" w:rsidRPr="008D0A40" w:rsidRDefault="00120D67"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Note 3.1A: Employee provisions</w:t>
            </w:r>
          </w:p>
        </w:tc>
        <w:tc>
          <w:tcPr>
            <w:tcW w:w="992" w:type="dxa"/>
            <w:tcBorders>
              <w:top w:val="single" w:sz="12" w:space="0" w:color="auto"/>
              <w:right w:val="single" w:sz="18" w:space="0" w:color="FFFFFF" w:themeColor="background2"/>
            </w:tcBorders>
          </w:tcPr>
          <w:p w14:paraId="2E0550A5" w14:textId="77777777" w:rsidR="00120D67" w:rsidRPr="008D0A40" w:rsidRDefault="00120D67"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1CF3A342" w14:textId="77777777" w:rsidR="00120D67" w:rsidRPr="008D0A40" w:rsidRDefault="00120D67" w:rsidP="00B15944">
            <w:pPr>
              <w:autoSpaceDE w:val="0"/>
              <w:autoSpaceDN w:val="0"/>
              <w:adjustRightInd w:val="0"/>
              <w:spacing w:before="20" w:after="20"/>
              <w:jc w:val="right"/>
              <w:rPr>
                <w:color w:val="1C1C1C"/>
                <w:sz w:val="14"/>
                <w:szCs w:val="14"/>
              </w:rPr>
            </w:pPr>
          </w:p>
        </w:tc>
      </w:tr>
      <w:tr w:rsidR="00120D67" w:rsidRPr="008D0A40" w14:paraId="3655A0D1" w14:textId="77777777" w:rsidTr="00B15944">
        <w:trPr>
          <w:trHeight w:val="170"/>
        </w:trPr>
        <w:tc>
          <w:tcPr>
            <w:tcW w:w="5111" w:type="dxa"/>
          </w:tcPr>
          <w:p w14:paraId="0755E7AD" w14:textId="77777777" w:rsidR="00120D67" w:rsidRPr="008D0A40" w:rsidRDefault="00120D67" w:rsidP="00B15944">
            <w:pPr>
              <w:suppressAutoHyphens/>
              <w:autoSpaceDE w:val="0"/>
              <w:autoSpaceDN w:val="0"/>
              <w:adjustRightInd w:val="0"/>
              <w:spacing w:before="20" w:after="20"/>
              <w:textAlignment w:val="center"/>
              <w:rPr>
                <w:rFonts w:cs="Futura PT Book"/>
                <w:color w:val="1C1C1C"/>
                <w:sz w:val="14"/>
                <w:szCs w:val="14"/>
                <w:lang w:val="en-US"/>
              </w:rPr>
            </w:pPr>
            <w:r w:rsidRPr="008D0A40">
              <w:rPr>
                <w:color w:val="1C1C1C"/>
                <w:sz w:val="14"/>
                <w:szCs w:val="14"/>
              </w:rPr>
              <w:t>Leave</w:t>
            </w:r>
          </w:p>
        </w:tc>
        <w:tc>
          <w:tcPr>
            <w:tcW w:w="992" w:type="dxa"/>
            <w:tcBorders>
              <w:bottom w:val="single" w:sz="2" w:space="0" w:color="auto"/>
              <w:right w:val="single" w:sz="18" w:space="0" w:color="FFFFFF" w:themeColor="background2"/>
            </w:tcBorders>
          </w:tcPr>
          <w:p w14:paraId="05A57D17" w14:textId="3955BCCD" w:rsidR="00120D67" w:rsidRPr="00F673BF" w:rsidRDefault="00120D67"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Pr>
                <w:rFonts w:asciiTheme="majorHAnsi" w:hAnsiTheme="majorHAnsi"/>
                <w:sz w:val="14"/>
                <w:szCs w:val="14"/>
              </w:rPr>
              <w:t>-</w:t>
            </w:r>
            <w:r w:rsidRPr="00F673BF">
              <w:rPr>
                <w:rFonts w:asciiTheme="majorHAnsi" w:hAnsiTheme="majorHAnsi"/>
                <w:sz w:val="14"/>
                <w:szCs w:val="14"/>
              </w:rPr>
              <w:t xml:space="preserve"> </w:t>
            </w:r>
          </w:p>
        </w:tc>
        <w:tc>
          <w:tcPr>
            <w:tcW w:w="993" w:type="dxa"/>
            <w:tcBorders>
              <w:left w:val="single" w:sz="18" w:space="0" w:color="FFFFFF" w:themeColor="background2"/>
              <w:bottom w:val="single" w:sz="2" w:space="0" w:color="auto"/>
            </w:tcBorders>
          </w:tcPr>
          <w:p w14:paraId="38BC9966" w14:textId="154C2424" w:rsidR="00120D67" w:rsidRPr="00F673BF" w:rsidRDefault="00120D67" w:rsidP="00B15944">
            <w:pPr>
              <w:suppressAutoHyphens/>
              <w:autoSpaceDE w:val="0"/>
              <w:autoSpaceDN w:val="0"/>
              <w:adjustRightInd w:val="0"/>
              <w:spacing w:before="20" w:after="20"/>
              <w:jc w:val="right"/>
              <w:textAlignment w:val="center"/>
              <w:rPr>
                <w:rFonts w:cs="Futura PT Book"/>
                <w:color w:val="1C1C1C"/>
                <w:sz w:val="14"/>
                <w:szCs w:val="14"/>
                <w:lang w:val="en-US"/>
              </w:rPr>
            </w:pPr>
            <w:r w:rsidRPr="00F673BF">
              <w:rPr>
                <w:sz w:val="14"/>
                <w:szCs w:val="14"/>
              </w:rPr>
              <w:t>10</w:t>
            </w:r>
            <w:r>
              <w:rPr>
                <w:sz w:val="14"/>
                <w:szCs w:val="14"/>
              </w:rPr>
              <w:t>6</w:t>
            </w:r>
            <w:r w:rsidRPr="00F673BF">
              <w:rPr>
                <w:sz w:val="14"/>
                <w:szCs w:val="14"/>
              </w:rPr>
              <w:t xml:space="preserve"> </w:t>
            </w:r>
          </w:p>
        </w:tc>
      </w:tr>
      <w:tr w:rsidR="00120D67" w:rsidRPr="008D0A40" w14:paraId="66E97601" w14:textId="77777777" w:rsidTr="00B15944">
        <w:trPr>
          <w:trHeight w:val="170"/>
        </w:trPr>
        <w:tc>
          <w:tcPr>
            <w:tcW w:w="5111" w:type="dxa"/>
          </w:tcPr>
          <w:p w14:paraId="0E0745B3" w14:textId="77777777" w:rsidR="00120D67" w:rsidRPr="008D0A40" w:rsidRDefault="00120D67"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Total employee provisions</w:t>
            </w:r>
          </w:p>
        </w:tc>
        <w:tc>
          <w:tcPr>
            <w:tcW w:w="992" w:type="dxa"/>
            <w:tcBorders>
              <w:top w:val="single" w:sz="2" w:space="0" w:color="auto"/>
              <w:bottom w:val="single" w:sz="2" w:space="0" w:color="auto"/>
              <w:right w:val="single" w:sz="18" w:space="0" w:color="FFFFFF" w:themeColor="background2"/>
            </w:tcBorders>
          </w:tcPr>
          <w:p w14:paraId="48099A5A" w14:textId="03FDA886" w:rsidR="00120D67" w:rsidRPr="00F673BF" w:rsidRDefault="00120D67"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Pr>
                <w:rFonts w:asciiTheme="majorHAnsi" w:hAnsiTheme="majorHAnsi"/>
                <w:sz w:val="14"/>
                <w:szCs w:val="14"/>
              </w:rPr>
              <w:t>-</w:t>
            </w:r>
            <w:r w:rsidRPr="00F673BF">
              <w:rPr>
                <w:rFonts w:asciiTheme="majorHAnsi" w:hAnsiTheme="majorHAns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33733C9F" w14:textId="6F868861" w:rsidR="00120D67" w:rsidRPr="00F673BF" w:rsidRDefault="00120D67" w:rsidP="00B15944">
            <w:pPr>
              <w:suppressAutoHyphens/>
              <w:autoSpaceDE w:val="0"/>
              <w:autoSpaceDN w:val="0"/>
              <w:adjustRightInd w:val="0"/>
              <w:spacing w:before="20" w:after="20"/>
              <w:jc w:val="right"/>
              <w:textAlignment w:val="center"/>
              <w:rPr>
                <w:rFonts w:cs="Futura PT Book"/>
                <w:color w:val="1C1C1C"/>
                <w:sz w:val="14"/>
                <w:szCs w:val="14"/>
                <w:lang w:val="en-US"/>
              </w:rPr>
            </w:pPr>
            <w:r w:rsidRPr="00F673BF">
              <w:rPr>
                <w:sz w:val="14"/>
                <w:szCs w:val="14"/>
              </w:rPr>
              <w:t>10</w:t>
            </w:r>
            <w:r>
              <w:rPr>
                <w:sz w:val="14"/>
                <w:szCs w:val="14"/>
              </w:rPr>
              <w:t>6</w:t>
            </w:r>
            <w:r w:rsidRPr="00F673BF">
              <w:rPr>
                <w:sz w:val="14"/>
                <w:szCs w:val="14"/>
              </w:rPr>
              <w:t xml:space="preserve"> </w:t>
            </w:r>
          </w:p>
        </w:tc>
      </w:tr>
      <w:tr w:rsidR="00120D67" w:rsidRPr="008D0A40" w14:paraId="46F529B6" w14:textId="77777777" w:rsidTr="00B15944">
        <w:trPr>
          <w:trHeight w:val="57"/>
        </w:trPr>
        <w:tc>
          <w:tcPr>
            <w:tcW w:w="5111" w:type="dxa"/>
          </w:tcPr>
          <w:p w14:paraId="2560E0D4" w14:textId="77777777" w:rsidR="00120D67" w:rsidRPr="008D0A40" w:rsidRDefault="00120D67"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109DDE0A" w14:textId="77777777" w:rsidR="00120D67" w:rsidRPr="008D0A40" w:rsidRDefault="00120D67"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135BE1E1" w14:textId="77777777" w:rsidR="00120D67" w:rsidRPr="008D0A40" w:rsidRDefault="00120D67" w:rsidP="00B15944">
            <w:pPr>
              <w:suppressAutoHyphens/>
              <w:autoSpaceDE w:val="0"/>
              <w:autoSpaceDN w:val="0"/>
              <w:adjustRightInd w:val="0"/>
              <w:spacing w:before="20" w:after="20"/>
              <w:jc w:val="right"/>
              <w:textAlignment w:val="center"/>
              <w:rPr>
                <w:color w:val="1C1C1C"/>
                <w:sz w:val="4"/>
                <w:szCs w:val="4"/>
              </w:rPr>
            </w:pPr>
          </w:p>
        </w:tc>
      </w:tr>
    </w:tbl>
    <w:p w14:paraId="464E1511" w14:textId="77777777" w:rsidR="00120D67" w:rsidRDefault="00120D67" w:rsidP="00120D67">
      <w:pPr>
        <w:pStyle w:val="Body"/>
        <w:spacing w:after="0"/>
      </w:pPr>
    </w:p>
    <w:tbl>
      <w:tblPr>
        <w:tblStyle w:val="TableGrid1"/>
        <w:tblW w:w="5000" w:type="pct"/>
        <w:tblCellMar>
          <w:top w:w="57" w:type="dxa"/>
          <w:bottom w:w="57" w:type="dxa"/>
        </w:tblCellMar>
        <w:tblLook w:val="04A0" w:firstRow="1" w:lastRow="0" w:firstColumn="1" w:lastColumn="0" w:noHBand="0" w:noVBand="1"/>
        <w:tblCaption w:val="Note 3.1"/>
        <w:tblDescription w:val="Accounting policy"/>
      </w:tblPr>
      <w:tblGrid>
        <w:gridCol w:w="7701"/>
      </w:tblGrid>
      <w:tr w:rsidR="00120D67" w14:paraId="37D107FE" w14:textId="77777777" w:rsidTr="00B15944">
        <w:trPr>
          <w:tblHeader/>
        </w:trPr>
        <w:tc>
          <w:tcPr>
            <w:tcW w:w="5000" w:type="pct"/>
          </w:tcPr>
          <w:p w14:paraId="3C8B00DF" w14:textId="77777777" w:rsidR="00120D67" w:rsidRPr="005300C0" w:rsidRDefault="00120D67" w:rsidP="00B15944">
            <w:pPr>
              <w:pStyle w:val="Body"/>
              <w:spacing w:after="80"/>
              <w:rPr>
                <w:rFonts w:asciiTheme="majorHAnsi" w:hAnsiTheme="majorHAnsi"/>
              </w:rPr>
            </w:pPr>
            <w:r w:rsidRPr="005300C0">
              <w:rPr>
                <w:rFonts w:asciiTheme="majorHAnsi" w:hAnsiTheme="majorHAnsi"/>
              </w:rPr>
              <w:t>Accounting Policy</w:t>
            </w:r>
          </w:p>
          <w:p w14:paraId="3BAD40BB" w14:textId="77777777" w:rsidR="00120D67" w:rsidRPr="00303955" w:rsidRDefault="00120D67" w:rsidP="00B15944">
            <w:pPr>
              <w:pStyle w:val="Body"/>
              <w:spacing w:after="80"/>
              <w:rPr>
                <w:b/>
                <w:bCs/>
              </w:rPr>
            </w:pPr>
            <w:r w:rsidRPr="00303955">
              <w:rPr>
                <w:b/>
                <w:bCs/>
              </w:rPr>
              <w:t>Employee provisions</w:t>
            </w:r>
          </w:p>
          <w:p w14:paraId="10824A89" w14:textId="77777777" w:rsidR="00D85049" w:rsidRDefault="00D85049" w:rsidP="00D85049">
            <w:pPr>
              <w:pStyle w:val="Body"/>
              <w:spacing w:after="80"/>
            </w:pPr>
            <w:r>
              <w:t xml:space="preserve">Liabilities for short-term employee benefits and termination benefits expected within 12 months of the end of reporting period are measured at their nominal amounts. </w:t>
            </w:r>
          </w:p>
          <w:p w14:paraId="0FCB133E" w14:textId="77777777" w:rsidR="00D85049" w:rsidRDefault="00D85049" w:rsidP="00D85049">
            <w:pPr>
              <w:pStyle w:val="Body"/>
              <w:spacing w:after="80"/>
            </w:pPr>
            <w:r>
              <w:t xml:space="preserve">Other long-term employee benefits are measured as net total of the present value of the defined benefit obligation at the end of the reporting period, minus the fair value at the end of the reporting period of plan assets (if any), out of which the obligations are to be settled directly. </w:t>
            </w:r>
          </w:p>
          <w:p w14:paraId="20A2A8B6" w14:textId="40BC385D" w:rsidR="00120D67" w:rsidRPr="00303955" w:rsidRDefault="00120D67" w:rsidP="00D85049">
            <w:pPr>
              <w:pStyle w:val="Body"/>
              <w:spacing w:after="80"/>
              <w:rPr>
                <w:b/>
                <w:bCs/>
              </w:rPr>
            </w:pPr>
            <w:r w:rsidRPr="00303955">
              <w:rPr>
                <w:b/>
                <w:bCs/>
              </w:rPr>
              <w:t>Leave</w:t>
            </w:r>
          </w:p>
          <w:p w14:paraId="77285CF3" w14:textId="77777777" w:rsidR="00D85049" w:rsidRDefault="00D85049" w:rsidP="00D85049">
            <w:pPr>
              <w:pStyle w:val="Body"/>
              <w:spacing w:after="80"/>
            </w:pPr>
            <w:r>
              <w:t>The liability for employee benefits includes provision for annual leave and long service leave.</w:t>
            </w:r>
          </w:p>
          <w:p w14:paraId="17F44398" w14:textId="1AF6C79A" w:rsidR="00D85049" w:rsidRDefault="00D85049" w:rsidP="00D85049">
            <w:pPr>
              <w:pStyle w:val="Body"/>
              <w:spacing w:after="80"/>
            </w:pPr>
            <w:r>
              <w:t>The leave liabilities are calculated on the basis of employees’ remuneration at the estimated salary rates</w:t>
            </w:r>
            <w:r w:rsidR="00182C2A">
              <w:t> </w:t>
            </w:r>
            <w:r>
              <w:t>that will be applied at the time the leave is taken, including the entity’s employer superannuation contribution rates to the extent that the leave is likely to be taken during service rather than paid out on termination. The estimate of the present value of the liability takes into account attrition rates, and pay increases through promotion and inflation.</w:t>
            </w:r>
          </w:p>
          <w:p w14:paraId="72B51741" w14:textId="5153D3E1" w:rsidR="00120D67" w:rsidRPr="00303955" w:rsidRDefault="00120D67" w:rsidP="00D85049">
            <w:pPr>
              <w:pStyle w:val="Body"/>
              <w:spacing w:after="80"/>
              <w:rPr>
                <w:b/>
                <w:bCs/>
              </w:rPr>
            </w:pPr>
            <w:r w:rsidRPr="00303955">
              <w:rPr>
                <w:b/>
                <w:bCs/>
              </w:rPr>
              <w:t>Superannuation</w:t>
            </w:r>
          </w:p>
          <w:p w14:paraId="0A80A7FE" w14:textId="77777777" w:rsidR="00D85049" w:rsidRDefault="00D85049" w:rsidP="00D85049">
            <w:pPr>
              <w:pStyle w:val="Body"/>
              <w:spacing w:after="80"/>
            </w:pPr>
            <w:r>
              <w:t>The entity's staff are members of the Commonwealth Superannuation Scheme (CSS), the Public Sector Superannuation Scheme (PSS), or the PSS accumulation plan (PSSap), or other superannuation funds held outside the Australian Government. The CSS and PSS are defined benefit schemes for the Australian Government. The PSSap is a defined contribution scheme.</w:t>
            </w:r>
          </w:p>
          <w:p w14:paraId="04B9769F" w14:textId="77777777" w:rsidR="00D85049" w:rsidRDefault="00D85049" w:rsidP="00D85049">
            <w:pPr>
              <w:pStyle w:val="Body"/>
              <w:spacing w:after="80"/>
            </w:pPr>
            <w:r>
              <w:t>The liability for defined benefits is recognised in the financial statements of the Australian Government and is settled by the Australian Government in due course. This liability is reported in the Department of Finance’s administered schedules and notes.</w:t>
            </w:r>
          </w:p>
          <w:p w14:paraId="5A085FD7" w14:textId="77777777" w:rsidR="00D85049" w:rsidRDefault="00D85049" w:rsidP="00D85049">
            <w:pPr>
              <w:pStyle w:val="Body"/>
              <w:spacing w:after="80"/>
            </w:pPr>
            <w:r>
              <w:t>The entity makes employer contributions to the employees' defined benefit superannuation scheme at rates determined by an actuary to be sufficient to meet the current cost to the Australian Government. The entity accounts for the contributions as if they were contributions to defined contribution plans.</w:t>
            </w:r>
          </w:p>
          <w:p w14:paraId="1755209E" w14:textId="0E51B026" w:rsidR="00120D67" w:rsidRPr="006E17C0" w:rsidRDefault="00D85049" w:rsidP="00D85049">
            <w:pPr>
              <w:pStyle w:val="Body"/>
              <w:spacing w:after="80"/>
              <w:rPr>
                <w:lang w:val="en-PH"/>
              </w:rPr>
            </w:pPr>
            <w:r>
              <w:t>The liability for superannuation recognised as at 30 June represents outstanding contributions.</w:t>
            </w:r>
          </w:p>
        </w:tc>
      </w:tr>
    </w:tbl>
    <w:p w14:paraId="6FC36F62" w14:textId="77777777" w:rsidR="0006615F" w:rsidRDefault="0006615F" w:rsidP="008664C1">
      <w:pPr>
        <w:pStyle w:val="Body"/>
        <w:rPr>
          <w:color w:val="292929"/>
        </w:rPr>
      </w:pPr>
    </w:p>
    <w:p w14:paraId="23452955" w14:textId="4EECDC12" w:rsidR="00271E8D" w:rsidRDefault="00271E8D" w:rsidP="008664C1">
      <w:pPr>
        <w:pStyle w:val="Body"/>
        <w:rPr>
          <w:color w:val="292929"/>
        </w:rPr>
        <w:sectPr w:rsidR="00271E8D" w:rsidSect="00441579">
          <w:footerReference w:type="default" r:id="rId199"/>
          <w:pgSz w:w="9979" w:h="14175"/>
          <w:pgMar w:top="1134" w:right="1134" w:bottom="1134" w:left="1134" w:header="709" w:footer="709" w:gutter="0"/>
          <w:cols w:space="708"/>
          <w:docGrid w:linePitch="360"/>
        </w:sectPr>
      </w:pPr>
    </w:p>
    <w:p w14:paraId="5CAA68F2" w14:textId="77777777" w:rsidR="006E17C0" w:rsidRDefault="006E17C0" w:rsidP="006E17C0">
      <w:pPr>
        <w:pStyle w:val="H4Financials"/>
      </w:pPr>
      <w:bookmarkStart w:id="166" w:name="_Toc83220573"/>
      <w:bookmarkStart w:id="167" w:name="_Toc114824717"/>
      <w:r>
        <w:t xml:space="preserve">Note 3.2 </w:t>
      </w:r>
      <w:r w:rsidRPr="003A322E">
        <w:t>Key management personnel remuneration</w:t>
      </w:r>
      <w:bookmarkEnd w:id="166"/>
      <w:bookmarkEnd w:id="167"/>
    </w:p>
    <w:p w14:paraId="16FB41CF" w14:textId="389837EF" w:rsidR="006E17C0" w:rsidRDefault="006E17C0" w:rsidP="006E17C0">
      <w:pPr>
        <w:pStyle w:val="Body"/>
      </w:pPr>
      <w:r w:rsidRPr="006E17C0">
        <w:t>Key management personnel are those persons having authority and responsibility for planning, directing</w:t>
      </w:r>
      <w:r>
        <w:t> </w:t>
      </w:r>
      <w:r w:rsidRPr="006E17C0">
        <w:t>and</w:t>
      </w:r>
      <w:r>
        <w:t> </w:t>
      </w:r>
      <w:r w:rsidRPr="006E17C0">
        <w:t>controlling the activities of the entity, directly or indirectly, including any Pricing Authority member. The entity</w:t>
      </w:r>
      <w:r>
        <w:t> </w:t>
      </w:r>
      <w:r w:rsidRPr="006E17C0">
        <w:t>has determined the key management personnel to be the Chief Executive Officer and the</w:t>
      </w:r>
      <w:r>
        <w:t> </w:t>
      </w:r>
      <w:r w:rsidRPr="006E17C0">
        <w:t>Pricing Authority</w:t>
      </w:r>
      <w:r>
        <w:t> </w:t>
      </w:r>
      <w:r w:rsidRPr="006E17C0">
        <w:t>members.</w:t>
      </w:r>
    </w:p>
    <w:p w14:paraId="70641D74" w14:textId="6244BD14" w:rsidR="006E17C0" w:rsidRPr="003A322E" w:rsidRDefault="006E17C0" w:rsidP="006E17C0">
      <w:pPr>
        <w:pStyle w:val="Body"/>
        <w:rPr>
          <w:rFonts w:asciiTheme="majorHAnsi" w:hAnsiTheme="majorHAnsi"/>
        </w:rPr>
      </w:pPr>
      <w:r w:rsidRPr="003A322E">
        <w:rPr>
          <w:rFonts w:asciiTheme="majorHAnsi" w:hAnsiTheme="majorHAnsi"/>
        </w:rPr>
        <w:t>Key management personnel remuneration is reported in the table below</w:t>
      </w:r>
    </w:p>
    <w:tbl>
      <w:tblPr>
        <w:tblStyle w:val="IHPA"/>
        <w:tblW w:w="7096" w:type="dxa"/>
        <w:tblLayout w:type="fixed"/>
        <w:tblLook w:val="0020" w:firstRow="1" w:lastRow="0" w:firstColumn="0" w:lastColumn="0" w:noHBand="0" w:noVBand="0"/>
        <w:tblCaption w:val="Note 3.2"/>
        <w:tblDescription w:val="Key management personnel remuneration"/>
      </w:tblPr>
      <w:tblGrid>
        <w:gridCol w:w="5111"/>
        <w:gridCol w:w="992"/>
        <w:gridCol w:w="993"/>
      </w:tblGrid>
      <w:tr w:rsidR="006E17C0" w:rsidRPr="001C147F" w14:paraId="32CDD409" w14:textId="77777777" w:rsidTr="00B15944">
        <w:trPr>
          <w:trHeight w:val="340"/>
        </w:trPr>
        <w:tc>
          <w:tcPr>
            <w:tcW w:w="5111" w:type="dxa"/>
          </w:tcPr>
          <w:p w14:paraId="4BCADBC2" w14:textId="77777777" w:rsidR="006E17C0" w:rsidRPr="001C147F" w:rsidRDefault="006E17C0"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405D7B9E" w14:textId="0A4BA92E" w:rsidR="006E17C0" w:rsidRPr="001C147F" w:rsidRDefault="006E17C0"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1C147F">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2</w:t>
            </w:r>
            <w:r w:rsidRPr="001C147F">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5D5C2394" w14:textId="62D4E1C3" w:rsidR="006E17C0" w:rsidRPr="001C147F" w:rsidRDefault="006E17C0"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1C147F">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21</w:t>
            </w:r>
            <w:r w:rsidRPr="001C147F">
              <w:rPr>
                <w:rFonts w:asciiTheme="majorHAnsi" w:hAnsiTheme="majorHAnsi" w:cs="Futura PT Heavy"/>
                <w:color w:val="1C1C1C"/>
                <w:sz w:val="16"/>
                <w:szCs w:val="16"/>
                <w:lang w:val="en-US"/>
              </w:rPr>
              <w:br/>
              <w:t>$’000</w:t>
            </w:r>
          </w:p>
        </w:tc>
      </w:tr>
      <w:tr w:rsidR="006E17C0" w:rsidRPr="001C147F" w14:paraId="728DE3C5" w14:textId="77777777" w:rsidTr="00B15944">
        <w:trPr>
          <w:trHeight w:val="170"/>
        </w:trPr>
        <w:tc>
          <w:tcPr>
            <w:tcW w:w="5111" w:type="dxa"/>
          </w:tcPr>
          <w:p w14:paraId="1D4C2CFF" w14:textId="77777777" w:rsidR="006E17C0" w:rsidRPr="001C147F" w:rsidRDefault="006E17C0"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1C147F">
              <w:rPr>
                <w:color w:val="1C1C1C"/>
                <w:sz w:val="14"/>
                <w:szCs w:val="14"/>
              </w:rPr>
              <w:t>Short-term employee benefits</w:t>
            </w:r>
          </w:p>
        </w:tc>
        <w:tc>
          <w:tcPr>
            <w:tcW w:w="992" w:type="dxa"/>
            <w:tcBorders>
              <w:top w:val="single" w:sz="12" w:space="0" w:color="auto"/>
              <w:right w:val="single" w:sz="18" w:space="0" w:color="FFFFFF" w:themeColor="background2"/>
            </w:tcBorders>
          </w:tcPr>
          <w:p w14:paraId="0E66F04E" w14:textId="43F9A068" w:rsidR="006E17C0" w:rsidRPr="008664C1" w:rsidRDefault="006E17C0" w:rsidP="00B15944">
            <w:pPr>
              <w:autoSpaceDE w:val="0"/>
              <w:autoSpaceDN w:val="0"/>
              <w:adjustRightInd w:val="0"/>
              <w:spacing w:before="20" w:after="20"/>
              <w:jc w:val="right"/>
              <w:rPr>
                <w:rFonts w:asciiTheme="majorHAnsi" w:hAnsiTheme="majorHAnsi"/>
                <w:color w:val="292929"/>
                <w:sz w:val="14"/>
                <w:szCs w:val="14"/>
              </w:rPr>
            </w:pPr>
            <w:r w:rsidRPr="008664C1">
              <w:rPr>
                <w:rFonts w:asciiTheme="majorHAnsi" w:hAnsiTheme="majorHAnsi"/>
                <w:color w:val="292929"/>
                <w:sz w:val="14"/>
                <w:szCs w:val="14"/>
              </w:rPr>
              <w:t>7</w:t>
            </w:r>
            <w:r>
              <w:rPr>
                <w:rFonts w:asciiTheme="majorHAnsi" w:hAnsiTheme="majorHAnsi"/>
                <w:color w:val="292929"/>
                <w:sz w:val="14"/>
                <w:szCs w:val="14"/>
              </w:rPr>
              <w:t>23</w:t>
            </w:r>
          </w:p>
        </w:tc>
        <w:tc>
          <w:tcPr>
            <w:tcW w:w="993" w:type="dxa"/>
            <w:tcBorders>
              <w:top w:val="single" w:sz="12" w:space="0" w:color="auto"/>
              <w:left w:val="single" w:sz="18" w:space="0" w:color="FFFFFF" w:themeColor="background2"/>
            </w:tcBorders>
          </w:tcPr>
          <w:p w14:paraId="1E1DA69F" w14:textId="0A404DA6" w:rsidR="006E17C0" w:rsidRPr="008664C1" w:rsidRDefault="006E17C0" w:rsidP="00B15944">
            <w:pPr>
              <w:autoSpaceDE w:val="0"/>
              <w:autoSpaceDN w:val="0"/>
              <w:adjustRightInd w:val="0"/>
              <w:spacing w:before="20" w:after="20"/>
              <w:jc w:val="right"/>
              <w:rPr>
                <w:color w:val="292929"/>
                <w:sz w:val="14"/>
                <w:szCs w:val="14"/>
              </w:rPr>
            </w:pPr>
            <w:r w:rsidRPr="008664C1">
              <w:rPr>
                <w:color w:val="292929"/>
                <w:sz w:val="14"/>
                <w:szCs w:val="14"/>
              </w:rPr>
              <w:t>7</w:t>
            </w:r>
            <w:r>
              <w:rPr>
                <w:color w:val="292929"/>
                <w:sz w:val="14"/>
                <w:szCs w:val="14"/>
              </w:rPr>
              <w:t>58</w:t>
            </w:r>
            <w:r w:rsidRPr="008664C1">
              <w:rPr>
                <w:color w:val="292929"/>
                <w:sz w:val="14"/>
                <w:szCs w:val="14"/>
              </w:rPr>
              <w:t xml:space="preserve"> </w:t>
            </w:r>
          </w:p>
        </w:tc>
      </w:tr>
      <w:tr w:rsidR="006E17C0" w:rsidRPr="001C147F" w14:paraId="3AEE2616" w14:textId="77777777" w:rsidTr="00B15944">
        <w:trPr>
          <w:trHeight w:val="170"/>
        </w:trPr>
        <w:tc>
          <w:tcPr>
            <w:tcW w:w="5111" w:type="dxa"/>
          </w:tcPr>
          <w:p w14:paraId="4867FDBE" w14:textId="77777777" w:rsidR="006E17C0" w:rsidRPr="001C147F" w:rsidRDefault="006E17C0" w:rsidP="00B15944">
            <w:pPr>
              <w:suppressAutoHyphens/>
              <w:autoSpaceDE w:val="0"/>
              <w:autoSpaceDN w:val="0"/>
              <w:adjustRightInd w:val="0"/>
              <w:spacing w:before="20" w:after="20"/>
              <w:textAlignment w:val="center"/>
              <w:rPr>
                <w:rFonts w:cs="Futura PT Book"/>
                <w:color w:val="1C1C1C"/>
                <w:sz w:val="14"/>
                <w:szCs w:val="14"/>
                <w:lang w:val="en-US"/>
              </w:rPr>
            </w:pPr>
            <w:r w:rsidRPr="001C147F">
              <w:rPr>
                <w:color w:val="1C1C1C"/>
                <w:sz w:val="14"/>
                <w:szCs w:val="14"/>
              </w:rPr>
              <w:t>Post-employment benefits</w:t>
            </w:r>
          </w:p>
        </w:tc>
        <w:tc>
          <w:tcPr>
            <w:tcW w:w="992" w:type="dxa"/>
            <w:tcBorders>
              <w:right w:val="single" w:sz="18" w:space="0" w:color="FFFFFF" w:themeColor="background2"/>
            </w:tcBorders>
          </w:tcPr>
          <w:p w14:paraId="587E418E" w14:textId="352BCE4A" w:rsidR="006E17C0" w:rsidRPr="008664C1" w:rsidRDefault="006E17C0"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664C1">
              <w:rPr>
                <w:rFonts w:asciiTheme="majorHAnsi" w:hAnsiTheme="majorHAnsi"/>
                <w:color w:val="292929"/>
                <w:sz w:val="14"/>
                <w:szCs w:val="14"/>
              </w:rPr>
              <w:t>5</w:t>
            </w:r>
            <w:r>
              <w:rPr>
                <w:rFonts w:asciiTheme="majorHAnsi" w:hAnsiTheme="majorHAnsi"/>
                <w:color w:val="292929"/>
                <w:sz w:val="14"/>
                <w:szCs w:val="14"/>
              </w:rPr>
              <w:t>2</w:t>
            </w:r>
          </w:p>
        </w:tc>
        <w:tc>
          <w:tcPr>
            <w:tcW w:w="993" w:type="dxa"/>
            <w:tcBorders>
              <w:left w:val="single" w:sz="18" w:space="0" w:color="FFFFFF" w:themeColor="background2"/>
            </w:tcBorders>
          </w:tcPr>
          <w:p w14:paraId="7EA5D520" w14:textId="77777777" w:rsidR="006E17C0" w:rsidRPr="008664C1" w:rsidRDefault="006E17C0" w:rsidP="00B15944">
            <w:pPr>
              <w:suppressAutoHyphens/>
              <w:autoSpaceDE w:val="0"/>
              <w:autoSpaceDN w:val="0"/>
              <w:adjustRightInd w:val="0"/>
              <w:spacing w:before="20" w:after="20"/>
              <w:jc w:val="right"/>
              <w:textAlignment w:val="center"/>
              <w:rPr>
                <w:rFonts w:cs="Futura PT Book"/>
                <w:color w:val="292929"/>
                <w:sz w:val="14"/>
                <w:szCs w:val="14"/>
                <w:lang w:val="en-US"/>
              </w:rPr>
            </w:pPr>
            <w:r w:rsidRPr="008664C1">
              <w:rPr>
                <w:color w:val="292929"/>
                <w:sz w:val="14"/>
                <w:szCs w:val="14"/>
              </w:rPr>
              <w:t xml:space="preserve">53 </w:t>
            </w:r>
          </w:p>
        </w:tc>
      </w:tr>
      <w:tr w:rsidR="006E17C0" w:rsidRPr="001C147F" w14:paraId="2410CCC5" w14:textId="77777777" w:rsidTr="00B15944">
        <w:trPr>
          <w:trHeight w:val="170"/>
        </w:trPr>
        <w:tc>
          <w:tcPr>
            <w:tcW w:w="5111" w:type="dxa"/>
          </w:tcPr>
          <w:p w14:paraId="5D37DE66" w14:textId="77777777" w:rsidR="006E17C0" w:rsidRPr="001C147F" w:rsidRDefault="006E17C0"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1C147F">
              <w:rPr>
                <w:color w:val="1C1C1C"/>
                <w:sz w:val="14"/>
                <w:szCs w:val="14"/>
              </w:rPr>
              <w:t>Other long-term benefits</w:t>
            </w:r>
          </w:p>
        </w:tc>
        <w:tc>
          <w:tcPr>
            <w:tcW w:w="992" w:type="dxa"/>
            <w:tcBorders>
              <w:right w:val="single" w:sz="18" w:space="0" w:color="FFFFFF" w:themeColor="background2"/>
            </w:tcBorders>
          </w:tcPr>
          <w:p w14:paraId="435BE90A" w14:textId="6C95CC30" w:rsidR="006E17C0" w:rsidRPr="008664C1" w:rsidRDefault="006E17C0"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664C1">
              <w:rPr>
                <w:rFonts w:asciiTheme="majorHAnsi" w:hAnsiTheme="majorHAnsi"/>
                <w:color w:val="292929"/>
                <w:sz w:val="14"/>
                <w:szCs w:val="14"/>
              </w:rPr>
              <w:t>7</w:t>
            </w:r>
            <w:r>
              <w:rPr>
                <w:rFonts w:asciiTheme="majorHAnsi" w:hAnsiTheme="majorHAnsi"/>
                <w:color w:val="292929"/>
                <w:sz w:val="14"/>
                <w:szCs w:val="14"/>
              </w:rPr>
              <w:t>3</w:t>
            </w:r>
          </w:p>
        </w:tc>
        <w:tc>
          <w:tcPr>
            <w:tcW w:w="993" w:type="dxa"/>
            <w:tcBorders>
              <w:left w:val="single" w:sz="18" w:space="0" w:color="FFFFFF" w:themeColor="background2"/>
            </w:tcBorders>
          </w:tcPr>
          <w:p w14:paraId="3807F362" w14:textId="100DCCE9" w:rsidR="006E17C0" w:rsidRPr="008664C1" w:rsidRDefault="006E17C0" w:rsidP="00B15944">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7</w:t>
            </w:r>
            <w:r w:rsidRPr="008664C1">
              <w:rPr>
                <w:color w:val="292929"/>
                <w:sz w:val="14"/>
                <w:szCs w:val="14"/>
              </w:rPr>
              <w:t xml:space="preserve"> </w:t>
            </w:r>
          </w:p>
        </w:tc>
      </w:tr>
      <w:tr w:rsidR="006E17C0" w:rsidRPr="001C147F" w14:paraId="6FC2B8DE" w14:textId="77777777" w:rsidTr="00B15944">
        <w:trPr>
          <w:trHeight w:val="170"/>
        </w:trPr>
        <w:tc>
          <w:tcPr>
            <w:tcW w:w="5111" w:type="dxa"/>
          </w:tcPr>
          <w:p w14:paraId="338C7710" w14:textId="77777777" w:rsidR="006E17C0" w:rsidRPr="001C147F" w:rsidRDefault="006E17C0" w:rsidP="00B15944">
            <w:pPr>
              <w:suppressAutoHyphens/>
              <w:autoSpaceDE w:val="0"/>
              <w:autoSpaceDN w:val="0"/>
              <w:adjustRightInd w:val="0"/>
              <w:spacing w:before="20" w:after="20"/>
              <w:textAlignment w:val="center"/>
              <w:rPr>
                <w:color w:val="1C1C1C"/>
                <w:sz w:val="14"/>
                <w:szCs w:val="14"/>
              </w:rPr>
            </w:pPr>
            <w:r w:rsidRPr="001C147F">
              <w:rPr>
                <w:color w:val="1C1C1C"/>
                <w:sz w:val="14"/>
                <w:szCs w:val="14"/>
              </w:rPr>
              <w:t>Termination benefits</w:t>
            </w:r>
          </w:p>
        </w:tc>
        <w:tc>
          <w:tcPr>
            <w:tcW w:w="992" w:type="dxa"/>
            <w:tcBorders>
              <w:right w:val="single" w:sz="18" w:space="0" w:color="FFFFFF" w:themeColor="background2"/>
            </w:tcBorders>
          </w:tcPr>
          <w:p w14:paraId="2EC05DF5" w14:textId="77777777" w:rsidR="006E17C0" w:rsidRPr="008664C1" w:rsidRDefault="006E17C0" w:rsidP="00B15944">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664C1">
              <w:rPr>
                <w:rFonts w:asciiTheme="majorHAnsi" w:hAnsiTheme="majorHAnsi"/>
                <w:color w:val="292929"/>
                <w:sz w:val="14"/>
                <w:szCs w:val="14"/>
              </w:rPr>
              <w:t>-</w:t>
            </w:r>
          </w:p>
        </w:tc>
        <w:tc>
          <w:tcPr>
            <w:tcW w:w="993" w:type="dxa"/>
            <w:tcBorders>
              <w:left w:val="single" w:sz="18" w:space="0" w:color="FFFFFF" w:themeColor="background2"/>
            </w:tcBorders>
          </w:tcPr>
          <w:p w14:paraId="24E13BE0" w14:textId="77777777" w:rsidR="006E17C0" w:rsidRPr="008664C1" w:rsidRDefault="006E17C0" w:rsidP="00B15944">
            <w:pPr>
              <w:suppressAutoHyphens/>
              <w:autoSpaceDE w:val="0"/>
              <w:autoSpaceDN w:val="0"/>
              <w:adjustRightInd w:val="0"/>
              <w:spacing w:before="20" w:after="20"/>
              <w:jc w:val="right"/>
              <w:textAlignment w:val="center"/>
              <w:rPr>
                <w:color w:val="292929"/>
                <w:sz w:val="14"/>
                <w:szCs w:val="14"/>
              </w:rPr>
            </w:pPr>
            <w:r w:rsidRPr="008664C1">
              <w:rPr>
                <w:color w:val="292929"/>
                <w:sz w:val="14"/>
                <w:szCs w:val="14"/>
              </w:rPr>
              <w:t xml:space="preserve"> - </w:t>
            </w:r>
          </w:p>
        </w:tc>
      </w:tr>
      <w:tr w:rsidR="006E17C0" w:rsidRPr="001C147F" w14:paraId="3744A14A" w14:textId="77777777" w:rsidTr="00B15944">
        <w:trPr>
          <w:trHeight w:val="57"/>
        </w:trPr>
        <w:tc>
          <w:tcPr>
            <w:tcW w:w="5111" w:type="dxa"/>
          </w:tcPr>
          <w:p w14:paraId="1C3B1B34" w14:textId="77777777" w:rsidR="006E17C0" w:rsidRPr="001C147F" w:rsidRDefault="006E17C0"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bottom w:val="single" w:sz="2" w:space="0" w:color="auto"/>
              <w:right w:val="single" w:sz="18" w:space="0" w:color="FFFFFF" w:themeColor="background2"/>
            </w:tcBorders>
          </w:tcPr>
          <w:p w14:paraId="228F6BCA" w14:textId="77777777" w:rsidR="006E17C0" w:rsidRPr="008664C1" w:rsidRDefault="006E17C0" w:rsidP="00B15944">
            <w:pPr>
              <w:autoSpaceDE w:val="0"/>
              <w:autoSpaceDN w:val="0"/>
              <w:adjustRightInd w:val="0"/>
              <w:spacing w:before="20" w:after="20"/>
              <w:jc w:val="right"/>
              <w:rPr>
                <w:rFonts w:asciiTheme="majorHAnsi" w:hAnsiTheme="majorHAnsi"/>
                <w:color w:val="292929"/>
                <w:sz w:val="4"/>
                <w:szCs w:val="4"/>
              </w:rPr>
            </w:pPr>
          </w:p>
        </w:tc>
        <w:tc>
          <w:tcPr>
            <w:tcW w:w="993" w:type="dxa"/>
            <w:tcBorders>
              <w:left w:val="single" w:sz="18" w:space="0" w:color="FFFFFF" w:themeColor="background2"/>
              <w:bottom w:val="single" w:sz="2" w:space="0" w:color="auto"/>
            </w:tcBorders>
          </w:tcPr>
          <w:p w14:paraId="7326EC50" w14:textId="77777777" w:rsidR="006E17C0" w:rsidRPr="008664C1" w:rsidRDefault="006E17C0" w:rsidP="00B15944">
            <w:pPr>
              <w:autoSpaceDE w:val="0"/>
              <w:autoSpaceDN w:val="0"/>
              <w:adjustRightInd w:val="0"/>
              <w:spacing w:before="20" w:after="20"/>
              <w:jc w:val="right"/>
              <w:rPr>
                <w:color w:val="292929"/>
                <w:sz w:val="4"/>
                <w:szCs w:val="4"/>
              </w:rPr>
            </w:pPr>
          </w:p>
        </w:tc>
      </w:tr>
      <w:tr w:rsidR="006E17C0" w:rsidRPr="001C147F" w14:paraId="4AB90556" w14:textId="77777777" w:rsidTr="00B15944">
        <w:trPr>
          <w:trHeight w:val="170"/>
        </w:trPr>
        <w:tc>
          <w:tcPr>
            <w:tcW w:w="5111" w:type="dxa"/>
          </w:tcPr>
          <w:p w14:paraId="5EEC60D5" w14:textId="0B1BF6DB" w:rsidR="006E17C0" w:rsidRPr="001C147F" w:rsidRDefault="006E17C0"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1C147F">
              <w:rPr>
                <w:rFonts w:asciiTheme="majorHAnsi" w:hAnsiTheme="majorHAnsi"/>
                <w:color w:val="1C1C1C"/>
                <w:sz w:val="14"/>
                <w:szCs w:val="14"/>
              </w:rPr>
              <w:t>Total key management personnel remuneration expenses</w:t>
            </w:r>
            <w:r w:rsidR="007A5B7D">
              <w:rPr>
                <w:rStyle w:val="FootnotesChar"/>
                <w:vertAlign w:val="superscript"/>
              </w:rPr>
              <w:t>2</w:t>
            </w:r>
          </w:p>
        </w:tc>
        <w:tc>
          <w:tcPr>
            <w:tcW w:w="992" w:type="dxa"/>
            <w:tcBorders>
              <w:top w:val="single" w:sz="2" w:space="0" w:color="auto"/>
              <w:bottom w:val="single" w:sz="2" w:space="0" w:color="auto"/>
              <w:right w:val="single" w:sz="18" w:space="0" w:color="FFFFFF" w:themeColor="background2"/>
            </w:tcBorders>
          </w:tcPr>
          <w:p w14:paraId="2D4BBA20" w14:textId="5F9B63E2" w:rsidR="006E17C0" w:rsidRPr="008664C1" w:rsidRDefault="006E17C0" w:rsidP="00B15944">
            <w:pPr>
              <w:autoSpaceDE w:val="0"/>
              <w:autoSpaceDN w:val="0"/>
              <w:adjustRightInd w:val="0"/>
              <w:spacing w:before="20" w:after="20"/>
              <w:jc w:val="right"/>
              <w:rPr>
                <w:rFonts w:asciiTheme="majorHAnsi" w:hAnsiTheme="majorHAnsi"/>
                <w:color w:val="292929"/>
                <w:sz w:val="14"/>
                <w:szCs w:val="14"/>
              </w:rPr>
            </w:pPr>
            <w:r w:rsidRPr="008664C1">
              <w:rPr>
                <w:rFonts w:asciiTheme="majorHAnsi" w:hAnsiTheme="majorHAnsi"/>
                <w:color w:val="292929"/>
                <w:sz w:val="14"/>
                <w:szCs w:val="14"/>
              </w:rPr>
              <w:t>8</w:t>
            </w:r>
            <w:r>
              <w:rPr>
                <w:rFonts w:asciiTheme="majorHAnsi" w:hAnsiTheme="majorHAnsi"/>
                <w:color w:val="292929"/>
                <w:sz w:val="14"/>
                <w:szCs w:val="14"/>
              </w:rPr>
              <w:t>48</w:t>
            </w:r>
          </w:p>
        </w:tc>
        <w:tc>
          <w:tcPr>
            <w:tcW w:w="993" w:type="dxa"/>
            <w:tcBorders>
              <w:top w:val="single" w:sz="2" w:space="0" w:color="auto"/>
              <w:left w:val="single" w:sz="18" w:space="0" w:color="FFFFFF" w:themeColor="background2"/>
              <w:bottom w:val="single" w:sz="2" w:space="0" w:color="auto"/>
            </w:tcBorders>
          </w:tcPr>
          <w:p w14:paraId="4D3022EF" w14:textId="1E1F36BD" w:rsidR="006E17C0" w:rsidRPr="008664C1" w:rsidRDefault="006E17C0" w:rsidP="00B15944">
            <w:pPr>
              <w:autoSpaceDE w:val="0"/>
              <w:autoSpaceDN w:val="0"/>
              <w:adjustRightInd w:val="0"/>
              <w:spacing w:before="20" w:after="20"/>
              <w:jc w:val="right"/>
              <w:rPr>
                <w:color w:val="292929"/>
                <w:sz w:val="14"/>
                <w:szCs w:val="14"/>
              </w:rPr>
            </w:pPr>
            <w:r w:rsidRPr="008664C1">
              <w:rPr>
                <w:color w:val="292929"/>
                <w:sz w:val="14"/>
                <w:szCs w:val="14"/>
              </w:rPr>
              <w:t>8</w:t>
            </w:r>
            <w:r>
              <w:rPr>
                <w:color w:val="292929"/>
                <w:sz w:val="14"/>
                <w:szCs w:val="14"/>
              </w:rPr>
              <w:t>18</w:t>
            </w:r>
          </w:p>
        </w:tc>
      </w:tr>
      <w:tr w:rsidR="006E17C0" w:rsidRPr="001C147F" w14:paraId="282915CF" w14:textId="77777777" w:rsidTr="00B15944">
        <w:trPr>
          <w:trHeight w:val="57"/>
        </w:trPr>
        <w:tc>
          <w:tcPr>
            <w:tcW w:w="5111" w:type="dxa"/>
          </w:tcPr>
          <w:p w14:paraId="370E9E44" w14:textId="77777777" w:rsidR="006E17C0" w:rsidRPr="001C147F" w:rsidRDefault="006E17C0"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46DA715E" w14:textId="77777777" w:rsidR="006E17C0" w:rsidRPr="001C147F" w:rsidRDefault="006E17C0"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53BF4BF" w14:textId="77777777" w:rsidR="006E17C0" w:rsidRPr="001C147F" w:rsidRDefault="006E17C0" w:rsidP="00B15944">
            <w:pPr>
              <w:autoSpaceDE w:val="0"/>
              <w:autoSpaceDN w:val="0"/>
              <w:adjustRightInd w:val="0"/>
              <w:spacing w:before="20" w:after="20"/>
              <w:jc w:val="right"/>
              <w:rPr>
                <w:color w:val="1C1C1C"/>
                <w:sz w:val="4"/>
                <w:szCs w:val="4"/>
              </w:rPr>
            </w:pPr>
          </w:p>
        </w:tc>
      </w:tr>
    </w:tbl>
    <w:p w14:paraId="4B36788C" w14:textId="68CB7512" w:rsidR="006E17C0" w:rsidRDefault="006E17C0" w:rsidP="006E17C0">
      <w:pPr>
        <w:pStyle w:val="Body"/>
      </w:pPr>
      <w:r>
        <w:br/>
      </w:r>
      <w:r w:rsidRPr="006E17C0">
        <w:t>The total number of key management personnel that are included in the above table is 12 (2021: 9).</w:t>
      </w:r>
    </w:p>
    <w:p w14:paraId="54C2BBF6" w14:textId="77777777" w:rsidR="006E17C0" w:rsidRDefault="006E17C0" w:rsidP="006E17C0">
      <w:pPr>
        <w:pStyle w:val="H4Financials"/>
      </w:pPr>
      <w:bookmarkStart w:id="168" w:name="_Toc83220574"/>
      <w:bookmarkStart w:id="169" w:name="_Toc114824718"/>
      <w:r>
        <w:t xml:space="preserve">Note 3.3 </w:t>
      </w:r>
      <w:r w:rsidRPr="008F25A5">
        <w:t>Related party disclosures</w:t>
      </w:r>
      <w:bookmarkEnd w:id="168"/>
      <w:bookmarkEnd w:id="169"/>
    </w:p>
    <w:p w14:paraId="4DB1B39E" w14:textId="2332787B" w:rsidR="006E17C0" w:rsidRPr="008F25A5" w:rsidRDefault="006E17C0" w:rsidP="006E17C0">
      <w:pPr>
        <w:pStyle w:val="Body"/>
        <w:rPr>
          <w:rFonts w:asciiTheme="majorHAnsi" w:hAnsiTheme="majorHAnsi"/>
        </w:rPr>
      </w:pPr>
      <w:r w:rsidRPr="008F25A5">
        <w:rPr>
          <w:rFonts w:asciiTheme="majorHAnsi" w:hAnsiTheme="majorHAnsi"/>
        </w:rPr>
        <w:t>Related party relationships</w:t>
      </w:r>
    </w:p>
    <w:p w14:paraId="5169C3DE" w14:textId="00967310" w:rsidR="006E17C0" w:rsidRDefault="006E17C0" w:rsidP="006E17C0">
      <w:pPr>
        <w:pStyle w:val="Body"/>
      </w:pPr>
      <w:r w:rsidRPr="006E17C0">
        <w:t>IHPA is an Australian Government controlled entity. Related parties to this entity are the key management personnel (as per Note 3.2) and other Australian Government entities.</w:t>
      </w:r>
    </w:p>
    <w:p w14:paraId="23CC37EB" w14:textId="6075D327" w:rsidR="006E17C0" w:rsidRPr="008F25A5" w:rsidRDefault="006E17C0" w:rsidP="006E17C0">
      <w:pPr>
        <w:pStyle w:val="Body"/>
        <w:rPr>
          <w:rFonts w:asciiTheme="majorHAnsi" w:hAnsiTheme="majorHAnsi"/>
        </w:rPr>
      </w:pPr>
      <w:r w:rsidRPr="008F25A5">
        <w:rPr>
          <w:rFonts w:asciiTheme="majorHAnsi" w:hAnsiTheme="majorHAnsi"/>
        </w:rPr>
        <w:t>Transactions with related parties</w:t>
      </w:r>
    </w:p>
    <w:p w14:paraId="0DC12E63" w14:textId="77777777" w:rsidR="00C01AF5" w:rsidRDefault="00C01AF5" w:rsidP="006E17C0">
      <w:pPr>
        <w:pStyle w:val="Body"/>
      </w:pPr>
      <w:r w:rsidRPr="00C01AF5">
        <w:t>Given the breadth of government activities, related parties may transact with the government sector in the same capacity as ordinary citizens. Such transactions include the payment or refund of taxes, receipt of a Medicare rebate or higher education loans. These transactions have not been separately disclosed in this note.</w:t>
      </w:r>
    </w:p>
    <w:p w14:paraId="67FCB822" w14:textId="45AB8764" w:rsidR="006E17C0" w:rsidRPr="008F25A5" w:rsidRDefault="006E17C0" w:rsidP="006E17C0">
      <w:pPr>
        <w:pStyle w:val="Body"/>
        <w:rPr>
          <w:rFonts w:asciiTheme="majorHAnsi" w:hAnsiTheme="majorHAnsi"/>
        </w:rPr>
      </w:pPr>
      <w:r>
        <w:rPr>
          <w:rFonts w:asciiTheme="majorHAnsi" w:hAnsiTheme="majorHAnsi"/>
        </w:rPr>
        <w:t>The following transactions with related parties occurred during the financial year</w:t>
      </w:r>
    </w:p>
    <w:p w14:paraId="7AEC66FD" w14:textId="5CF9F53B" w:rsidR="006E17C0" w:rsidRDefault="00C01AF5" w:rsidP="008664C1">
      <w:pPr>
        <w:pStyle w:val="Body"/>
      </w:pPr>
      <w:r w:rsidRPr="00C01AF5">
        <w:t xml:space="preserve">Mr Glenn Appleyard and </w:t>
      </w:r>
      <w:r w:rsidR="0088229C">
        <w:t>A/Prof</w:t>
      </w:r>
      <w:r w:rsidRPr="00C01AF5">
        <w:t xml:space="preserve"> Bruce Chater provided advice to IHPA during periods where they were not Pricing Authority members or key management personnel. Mr Glenn Appleyard was paid $19,245 (2021: $6,123) and </w:t>
      </w:r>
      <w:r w:rsidR="0088229C">
        <w:t>A/Prof</w:t>
      </w:r>
      <w:r w:rsidRPr="00C01AF5">
        <w:t xml:space="preserve"> Bruce Chater was paid $13,969 (2021: $5,810). These amounts include superannuation.</w:t>
      </w:r>
    </w:p>
    <w:p w14:paraId="4B4C9AAE" w14:textId="610219D7" w:rsidR="007A5B7D" w:rsidRDefault="007A5B7D" w:rsidP="008664C1">
      <w:pPr>
        <w:pStyle w:val="Body"/>
      </w:pPr>
    </w:p>
    <w:p w14:paraId="28A64824" w14:textId="5A6706E8" w:rsidR="007A5B7D" w:rsidRDefault="007A5B7D" w:rsidP="008664C1">
      <w:pPr>
        <w:pStyle w:val="Body"/>
      </w:pPr>
    </w:p>
    <w:p w14:paraId="3D80E4EC" w14:textId="6999D2C0" w:rsidR="007A5B7D" w:rsidRDefault="007A5B7D" w:rsidP="008664C1">
      <w:pPr>
        <w:pStyle w:val="Body"/>
      </w:pPr>
    </w:p>
    <w:p w14:paraId="4D37005E" w14:textId="3E0E353D" w:rsidR="007A5B7D" w:rsidRDefault="007A5B7D" w:rsidP="008664C1">
      <w:pPr>
        <w:pStyle w:val="Body"/>
      </w:pPr>
    </w:p>
    <w:p w14:paraId="24630221" w14:textId="77777777" w:rsidR="007A5B7D" w:rsidRDefault="007A5B7D" w:rsidP="008664C1">
      <w:pPr>
        <w:pStyle w:val="Body"/>
      </w:pPr>
    </w:p>
    <w:p w14:paraId="268D1B62" w14:textId="77777777" w:rsidR="007A5B7D" w:rsidRDefault="007A5B7D" w:rsidP="007A5B7D">
      <w:pPr>
        <w:rPr>
          <w:color w:val="1C1C1C"/>
          <w:sz w:val="18"/>
          <w:szCs w:val="18"/>
        </w:rPr>
      </w:pPr>
      <w:r>
        <w:rPr>
          <w:color w:val="1C1C1C"/>
          <w:sz w:val="18"/>
          <w:szCs w:val="18"/>
        </w:rPr>
        <w:t>________________</w:t>
      </w:r>
    </w:p>
    <w:p w14:paraId="1C370E24" w14:textId="4AD9EF8C" w:rsidR="0006615F" w:rsidRDefault="007A5B7D" w:rsidP="00856C96">
      <w:pPr>
        <w:rPr>
          <w:color w:val="292929"/>
        </w:rPr>
        <w:sectPr w:rsidR="0006615F" w:rsidSect="00441579">
          <w:footerReference w:type="default" r:id="rId200"/>
          <w:pgSz w:w="9979" w:h="14175"/>
          <w:pgMar w:top="1134" w:right="1134" w:bottom="1134" w:left="1134" w:header="709" w:footer="709" w:gutter="0"/>
          <w:cols w:space="708"/>
          <w:docGrid w:linePitch="360"/>
        </w:sectPr>
      </w:pPr>
      <w:r>
        <w:rPr>
          <w:rStyle w:val="FootnotesChar"/>
          <w:vertAlign w:val="superscript"/>
        </w:rPr>
        <w:t>2</w:t>
      </w:r>
      <w:r w:rsidRPr="001F2983">
        <w:rPr>
          <w:rStyle w:val="FootnotesChar"/>
        </w:rPr>
        <w:t>The above key management personnel remuneration excludes the remuneration and other benefits of the Portfolio Ministers whose remuneration and other benefits are set by the Remuneration Tribunal and are not paid by the entity.</w:t>
      </w:r>
    </w:p>
    <w:p w14:paraId="361FCC83" w14:textId="77777777" w:rsidR="0061264F" w:rsidRDefault="0061264F" w:rsidP="0061264F">
      <w:pPr>
        <w:pStyle w:val="H3Financials"/>
        <w:spacing w:before="0"/>
      </w:pPr>
      <w:bookmarkStart w:id="170" w:name="_Toc83220575"/>
      <w:bookmarkStart w:id="171" w:name="_Toc112133286"/>
      <w:bookmarkStart w:id="172" w:name="_Toc114824719"/>
      <w:r>
        <w:t>Managing uncertainties</w:t>
      </w:r>
      <w:bookmarkEnd w:id="170"/>
      <w:bookmarkEnd w:id="171"/>
      <w:bookmarkEnd w:id="172"/>
    </w:p>
    <w:p w14:paraId="7CF5A01E" w14:textId="77777777" w:rsidR="0061264F" w:rsidRPr="00C577EA" w:rsidRDefault="0061264F" w:rsidP="0061264F">
      <w:pPr>
        <w:rPr>
          <w:color w:val="1C1C1C"/>
          <w:sz w:val="18"/>
          <w:szCs w:val="18"/>
        </w:rPr>
      </w:pPr>
      <w:r w:rsidRPr="009541BF">
        <w:rPr>
          <w:color w:val="1C1C1C"/>
          <w:sz w:val="18"/>
          <w:szCs w:val="18"/>
        </w:rPr>
        <w:t>This section analyses how IHPA manages financial risks within its operating environment.</w:t>
      </w:r>
    </w:p>
    <w:p w14:paraId="760C99A1" w14:textId="77777777" w:rsidR="0061264F" w:rsidRDefault="0061264F" w:rsidP="0061264F">
      <w:pPr>
        <w:pStyle w:val="H4Financials"/>
      </w:pPr>
      <w:bookmarkStart w:id="173" w:name="_Toc83220576"/>
      <w:bookmarkStart w:id="174" w:name="_Toc114824720"/>
      <w:r>
        <w:t xml:space="preserve">Note 4.1 </w:t>
      </w:r>
      <w:r w:rsidRPr="009541BF">
        <w:t>Contingent assets and liabilities</w:t>
      </w:r>
      <w:bookmarkEnd w:id="173"/>
      <w:bookmarkEnd w:id="174"/>
    </w:p>
    <w:p w14:paraId="5C6EA3B5" w14:textId="77777777" w:rsidR="0061264F" w:rsidRPr="009541BF" w:rsidRDefault="0061264F" w:rsidP="0061264F">
      <w:pPr>
        <w:pStyle w:val="Body"/>
        <w:rPr>
          <w:rFonts w:asciiTheme="majorHAnsi" w:hAnsiTheme="majorHAnsi"/>
        </w:rPr>
      </w:pPr>
      <w:r w:rsidRPr="009541BF">
        <w:rPr>
          <w:rFonts w:asciiTheme="majorHAnsi" w:hAnsiTheme="majorHAnsi"/>
        </w:rPr>
        <w:t>Quantifiable contingencies</w:t>
      </w:r>
    </w:p>
    <w:p w14:paraId="1B8B3817" w14:textId="52D16438" w:rsidR="0061264F" w:rsidRDefault="0061264F" w:rsidP="0061264F">
      <w:pPr>
        <w:pStyle w:val="Body"/>
      </w:pPr>
      <w:r>
        <w:t>There were no quantifiable contingent assets or liabilities in this reporting period (2021: nil).</w:t>
      </w:r>
    </w:p>
    <w:p w14:paraId="46F37BF5" w14:textId="77777777" w:rsidR="0061264F" w:rsidRPr="009541BF" w:rsidRDefault="0061264F" w:rsidP="0061264F">
      <w:pPr>
        <w:pStyle w:val="Body"/>
        <w:rPr>
          <w:rFonts w:asciiTheme="majorHAnsi" w:hAnsiTheme="majorHAnsi"/>
        </w:rPr>
      </w:pPr>
      <w:r w:rsidRPr="009541BF">
        <w:rPr>
          <w:rFonts w:asciiTheme="majorHAnsi" w:hAnsiTheme="majorHAnsi"/>
        </w:rPr>
        <w:t>Unquantifiable contingencies</w:t>
      </w:r>
    </w:p>
    <w:p w14:paraId="05E7494A" w14:textId="426C8FE7" w:rsidR="0061264F" w:rsidRDefault="0061264F" w:rsidP="0061264F">
      <w:pPr>
        <w:pStyle w:val="Body"/>
      </w:pPr>
      <w:r>
        <w:t>There were no unquantifiable contingent assets or liabilities in this reporting period (2021: nil)</w:t>
      </w:r>
      <w:r w:rsidR="0045512C">
        <w:t>.</w:t>
      </w:r>
    </w:p>
    <w:p w14:paraId="14F342D9" w14:textId="77777777" w:rsidR="0061264F" w:rsidRPr="009541BF" w:rsidRDefault="0061264F" w:rsidP="0061264F">
      <w:pPr>
        <w:pStyle w:val="Body"/>
        <w:rPr>
          <w:rFonts w:asciiTheme="majorHAnsi" w:hAnsiTheme="majorHAnsi"/>
        </w:rPr>
      </w:pPr>
      <w:r w:rsidRPr="009541BF">
        <w:rPr>
          <w:rFonts w:asciiTheme="majorHAnsi" w:hAnsiTheme="majorHAnsi"/>
        </w:rPr>
        <w:t>Significant remote contingencies</w:t>
      </w:r>
    </w:p>
    <w:p w14:paraId="535843B1" w14:textId="1ACC1368" w:rsidR="0061264F" w:rsidRDefault="0061264F" w:rsidP="0061264F">
      <w:pPr>
        <w:pStyle w:val="Body"/>
      </w:pPr>
      <w:r>
        <w:t>There were no significant remote contingent assets or liabilities in this reporting period (2021: nil).</w:t>
      </w:r>
    </w:p>
    <w:tbl>
      <w:tblPr>
        <w:tblStyle w:val="TableGrid1"/>
        <w:tblW w:w="4993" w:type="pct"/>
        <w:tblCellMar>
          <w:top w:w="57" w:type="dxa"/>
          <w:bottom w:w="57" w:type="dxa"/>
        </w:tblCellMar>
        <w:tblLook w:val="04A0" w:firstRow="1" w:lastRow="0" w:firstColumn="1" w:lastColumn="0" w:noHBand="0" w:noVBand="1"/>
        <w:tblCaption w:val="Note 4.1"/>
        <w:tblDescription w:val="Accounting policy"/>
      </w:tblPr>
      <w:tblGrid>
        <w:gridCol w:w="7690"/>
      </w:tblGrid>
      <w:tr w:rsidR="0061264F" w14:paraId="02B937AD" w14:textId="77777777" w:rsidTr="00B15944">
        <w:trPr>
          <w:tblHeader/>
        </w:trPr>
        <w:tc>
          <w:tcPr>
            <w:tcW w:w="5000" w:type="pct"/>
          </w:tcPr>
          <w:p w14:paraId="7C29B45D" w14:textId="77777777" w:rsidR="0061264F" w:rsidRPr="005300C0" w:rsidRDefault="0061264F" w:rsidP="00B15944">
            <w:pPr>
              <w:pStyle w:val="Body"/>
              <w:spacing w:after="120" w:line="288" w:lineRule="auto"/>
              <w:rPr>
                <w:rFonts w:asciiTheme="majorHAnsi" w:hAnsiTheme="majorHAnsi"/>
              </w:rPr>
            </w:pPr>
            <w:r w:rsidRPr="005300C0">
              <w:rPr>
                <w:rFonts w:asciiTheme="majorHAnsi" w:hAnsiTheme="majorHAnsi"/>
              </w:rPr>
              <w:t>Accounting Policy</w:t>
            </w:r>
          </w:p>
          <w:p w14:paraId="66F95688" w14:textId="77777777" w:rsidR="0061264F" w:rsidRPr="00303955" w:rsidRDefault="0061264F" w:rsidP="00B15944">
            <w:pPr>
              <w:pStyle w:val="Body"/>
              <w:spacing w:after="120" w:line="288" w:lineRule="auto"/>
              <w:rPr>
                <w:b/>
                <w:bCs/>
              </w:rPr>
            </w:pPr>
            <w:r w:rsidRPr="00303955">
              <w:rPr>
                <w:b/>
                <w:bCs/>
              </w:rPr>
              <w:t>Contingent asset and liabilities</w:t>
            </w:r>
          </w:p>
          <w:p w14:paraId="06799E44" w14:textId="2390172A" w:rsidR="0061264F" w:rsidRPr="0061264F" w:rsidRDefault="00C01AF5" w:rsidP="00B15944">
            <w:pPr>
              <w:pStyle w:val="Body"/>
              <w:spacing w:line="288" w:lineRule="auto"/>
              <w:rPr>
                <w:lang w:val="en-PH"/>
              </w:rPr>
            </w:pPr>
            <w:r w:rsidRPr="00C01AF5">
              <w:t>Contingent liabilities and contingent assets are not recognised in the statement of financial position but are reported in the notes. They may arise from uncertainty as to the existence of a liability or asset, or represent an asset or liability in respect of which the amount cannot be reliably measured. Contingent assets are disclosed when settlement is probable but not virtually certain, and contingent liabilities are disclosed when</w:t>
            </w:r>
            <w:r w:rsidR="001C6216">
              <w:t> </w:t>
            </w:r>
            <w:r w:rsidRPr="00C01AF5">
              <w:t>settlement is greater than remote.</w:t>
            </w:r>
          </w:p>
        </w:tc>
      </w:tr>
    </w:tbl>
    <w:p w14:paraId="75724F69" w14:textId="77777777" w:rsidR="0061264F" w:rsidRDefault="0061264F" w:rsidP="008664C1">
      <w:pPr>
        <w:pStyle w:val="Body"/>
        <w:rPr>
          <w:color w:val="292929"/>
        </w:rPr>
      </w:pPr>
    </w:p>
    <w:p w14:paraId="5B339880" w14:textId="77777777" w:rsidR="0006615F" w:rsidRDefault="0006615F" w:rsidP="008664C1">
      <w:pPr>
        <w:pStyle w:val="Body"/>
        <w:rPr>
          <w:color w:val="292929"/>
        </w:rPr>
        <w:sectPr w:rsidR="0006615F" w:rsidSect="00441579">
          <w:footerReference w:type="default" r:id="rId201"/>
          <w:pgSz w:w="9979" w:h="14175"/>
          <w:pgMar w:top="1134" w:right="1134" w:bottom="1134" w:left="1134" w:header="709" w:footer="709" w:gutter="0"/>
          <w:cols w:space="708"/>
          <w:docGrid w:linePitch="360"/>
        </w:sectPr>
      </w:pPr>
    </w:p>
    <w:p w14:paraId="283C4CA2" w14:textId="77777777" w:rsidR="009F1A73" w:rsidRDefault="009F1A73" w:rsidP="009F1A73">
      <w:pPr>
        <w:pStyle w:val="H4Financials"/>
        <w:spacing w:after="0"/>
      </w:pPr>
      <w:bookmarkStart w:id="175" w:name="_Toc83220577"/>
      <w:bookmarkStart w:id="176" w:name="_Toc114824721"/>
      <w:r>
        <w:t>Note 4.2 F</w:t>
      </w:r>
      <w:r w:rsidRPr="002E2C31">
        <w:t>inancial instruments</w:t>
      </w:r>
      <w:bookmarkEnd w:id="175"/>
      <w:bookmarkEnd w:id="176"/>
    </w:p>
    <w:tbl>
      <w:tblPr>
        <w:tblStyle w:val="IHPA"/>
        <w:tblW w:w="7096" w:type="dxa"/>
        <w:tblLayout w:type="fixed"/>
        <w:tblLook w:val="0020" w:firstRow="1" w:lastRow="0" w:firstColumn="0" w:lastColumn="0" w:noHBand="0" w:noVBand="0"/>
        <w:tblCaption w:val="Note 4.2"/>
        <w:tblDescription w:val="Financial instruments"/>
      </w:tblPr>
      <w:tblGrid>
        <w:gridCol w:w="5111"/>
        <w:gridCol w:w="992"/>
        <w:gridCol w:w="993"/>
      </w:tblGrid>
      <w:tr w:rsidR="009F1A73" w:rsidRPr="002C126E" w14:paraId="5D94DDF3" w14:textId="77777777" w:rsidTr="00B15944">
        <w:trPr>
          <w:trHeight w:val="340"/>
        </w:trPr>
        <w:tc>
          <w:tcPr>
            <w:tcW w:w="5111" w:type="dxa"/>
          </w:tcPr>
          <w:p w14:paraId="2C54AEFB" w14:textId="77777777" w:rsidR="009F1A73" w:rsidRPr="002C126E" w:rsidRDefault="009F1A73"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47C99BA4" w14:textId="6B459FFC" w:rsidR="009F1A73" w:rsidRPr="002C126E" w:rsidRDefault="009F1A73"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2C126E">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2</w:t>
            </w:r>
            <w:r w:rsidRPr="002C126E">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1C64AEDC" w14:textId="45E42D92" w:rsidR="009F1A73" w:rsidRPr="002C126E" w:rsidRDefault="009F1A73"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2C126E">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21</w:t>
            </w:r>
            <w:r w:rsidRPr="002C126E">
              <w:rPr>
                <w:rFonts w:asciiTheme="majorHAnsi" w:hAnsiTheme="majorHAnsi" w:cs="Futura PT Heavy"/>
                <w:color w:val="1C1C1C"/>
                <w:sz w:val="16"/>
                <w:szCs w:val="16"/>
                <w:lang w:val="en-US"/>
              </w:rPr>
              <w:br/>
              <w:t>$’000</w:t>
            </w:r>
          </w:p>
        </w:tc>
      </w:tr>
      <w:tr w:rsidR="009F1A73" w:rsidRPr="002C126E" w14:paraId="2C69AA00" w14:textId="77777777" w:rsidTr="00B15944">
        <w:trPr>
          <w:trHeight w:val="170"/>
        </w:trPr>
        <w:tc>
          <w:tcPr>
            <w:tcW w:w="5111" w:type="dxa"/>
          </w:tcPr>
          <w:p w14:paraId="33139DAD"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Note 4.2</w:t>
            </w:r>
            <w:r>
              <w:rPr>
                <w:rFonts w:asciiTheme="majorHAnsi" w:hAnsiTheme="majorHAnsi"/>
                <w:color w:val="1C1C1C"/>
                <w:sz w:val="14"/>
                <w:szCs w:val="14"/>
              </w:rPr>
              <w:t>A</w:t>
            </w:r>
            <w:r w:rsidRPr="002C126E">
              <w:rPr>
                <w:rFonts w:asciiTheme="majorHAnsi" w:hAnsiTheme="majorHAnsi"/>
                <w:color w:val="1C1C1C"/>
                <w:sz w:val="14"/>
                <w:szCs w:val="14"/>
              </w:rPr>
              <w:t>: Financial instruments (assets)</w:t>
            </w:r>
          </w:p>
        </w:tc>
        <w:tc>
          <w:tcPr>
            <w:tcW w:w="992" w:type="dxa"/>
            <w:tcBorders>
              <w:top w:val="single" w:sz="12" w:space="0" w:color="auto"/>
              <w:right w:val="single" w:sz="18" w:space="0" w:color="FFFFFF" w:themeColor="background2"/>
            </w:tcBorders>
          </w:tcPr>
          <w:p w14:paraId="1294CCFE" w14:textId="77777777" w:rsidR="009F1A73" w:rsidRPr="002C126E" w:rsidRDefault="009F1A73"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p>
        </w:tc>
        <w:tc>
          <w:tcPr>
            <w:tcW w:w="993" w:type="dxa"/>
            <w:tcBorders>
              <w:top w:val="single" w:sz="12" w:space="0" w:color="auto"/>
              <w:left w:val="single" w:sz="18" w:space="0" w:color="FFFFFF" w:themeColor="background2"/>
            </w:tcBorders>
          </w:tcPr>
          <w:p w14:paraId="7188E943" w14:textId="77777777" w:rsidR="009F1A73" w:rsidRPr="002C126E" w:rsidRDefault="009F1A73" w:rsidP="00B15944">
            <w:pPr>
              <w:suppressAutoHyphens/>
              <w:autoSpaceDE w:val="0"/>
              <w:autoSpaceDN w:val="0"/>
              <w:adjustRightInd w:val="0"/>
              <w:spacing w:before="20" w:after="20"/>
              <w:jc w:val="right"/>
              <w:textAlignment w:val="center"/>
              <w:rPr>
                <w:color w:val="1C1C1C"/>
                <w:sz w:val="14"/>
                <w:szCs w:val="14"/>
              </w:rPr>
            </w:pPr>
          </w:p>
        </w:tc>
      </w:tr>
      <w:tr w:rsidR="009F1A73" w:rsidRPr="002C126E" w14:paraId="3FEB9B13" w14:textId="77777777" w:rsidTr="00B15944">
        <w:trPr>
          <w:trHeight w:val="170"/>
        </w:trPr>
        <w:tc>
          <w:tcPr>
            <w:tcW w:w="5111" w:type="dxa"/>
          </w:tcPr>
          <w:p w14:paraId="6CAB82D0"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2C126E">
              <w:rPr>
                <w:rFonts w:asciiTheme="majorHAnsi" w:hAnsiTheme="majorHAnsi"/>
                <w:color w:val="1C1C1C"/>
                <w:sz w:val="14"/>
                <w:szCs w:val="14"/>
              </w:rPr>
              <w:t>Financial assets at amortised cost</w:t>
            </w:r>
          </w:p>
        </w:tc>
        <w:tc>
          <w:tcPr>
            <w:tcW w:w="992" w:type="dxa"/>
            <w:tcBorders>
              <w:right w:val="single" w:sz="18" w:space="0" w:color="FFFFFF" w:themeColor="background2"/>
            </w:tcBorders>
          </w:tcPr>
          <w:p w14:paraId="0AC643FA" w14:textId="77777777"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732A7C33" w14:textId="77777777" w:rsidR="009F1A73" w:rsidRPr="002C126E" w:rsidRDefault="009F1A73" w:rsidP="00B15944">
            <w:pPr>
              <w:autoSpaceDE w:val="0"/>
              <w:autoSpaceDN w:val="0"/>
              <w:adjustRightInd w:val="0"/>
              <w:spacing w:before="20" w:after="20"/>
              <w:jc w:val="right"/>
              <w:rPr>
                <w:color w:val="1C1C1C"/>
                <w:sz w:val="14"/>
                <w:szCs w:val="14"/>
              </w:rPr>
            </w:pPr>
          </w:p>
        </w:tc>
      </w:tr>
      <w:tr w:rsidR="009F1A73" w:rsidRPr="002C126E" w14:paraId="2BC05322" w14:textId="77777777" w:rsidTr="00B15944">
        <w:trPr>
          <w:trHeight w:val="170"/>
        </w:trPr>
        <w:tc>
          <w:tcPr>
            <w:tcW w:w="5111" w:type="dxa"/>
          </w:tcPr>
          <w:p w14:paraId="4CA90D21" w14:textId="77777777" w:rsidR="009F1A73" w:rsidRPr="002C126E" w:rsidRDefault="009F1A73" w:rsidP="00B15944">
            <w:pPr>
              <w:suppressAutoHyphens/>
              <w:autoSpaceDE w:val="0"/>
              <w:autoSpaceDN w:val="0"/>
              <w:adjustRightInd w:val="0"/>
              <w:spacing w:before="20" w:after="20"/>
              <w:ind w:left="113"/>
              <w:textAlignment w:val="center"/>
              <w:rPr>
                <w:color w:val="1C1C1C"/>
                <w:sz w:val="14"/>
                <w:szCs w:val="14"/>
              </w:rPr>
            </w:pPr>
            <w:r>
              <w:rPr>
                <w:color w:val="1C1C1C"/>
                <w:sz w:val="14"/>
                <w:szCs w:val="14"/>
              </w:rPr>
              <w:t>Cash and cash equivalents</w:t>
            </w:r>
          </w:p>
        </w:tc>
        <w:tc>
          <w:tcPr>
            <w:tcW w:w="992" w:type="dxa"/>
            <w:tcBorders>
              <w:right w:val="single" w:sz="18" w:space="0" w:color="FFFFFF" w:themeColor="background2"/>
            </w:tcBorders>
          </w:tcPr>
          <w:p w14:paraId="0C69940B" w14:textId="746E3DA5" w:rsidR="009F1A73" w:rsidRDefault="009F1A73"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16,079</w:t>
            </w:r>
          </w:p>
        </w:tc>
        <w:tc>
          <w:tcPr>
            <w:tcW w:w="993" w:type="dxa"/>
            <w:tcBorders>
              <w:left w:val="single" w:sz="18" w:space="0" w:color="FFFFFF" w:themeColor="background2"/>
            </w:tcBorders>
          </w:tcPr>
          <w:p w14:paraId="4961106F" w14:textId="1E703B82" w:rsidR="009F1A73" w:rsidRDefault="009F1A73" w:rsidP="00B15944">
            <w:pPr>
              <w:autoSpaceDE w:val="0"/>
              <w:autoSpaceDN w:val="0"/>
              <w:adjustRightInd w:val="0"/>
              <w:spacing w:before="20" w:after="20"/>
              <w:jc w:val="right"/>
              <w:rPr>
                <w:color w:val="1C1C1C"/>
                <w:sz w:val="14"/>
                <w:szCs w:val="14"/>
              </w:rPr>
            </w:pPr>
            <w:r>
              <w:rPr>
                <w:color w:val="1C1C1C"/>
                <w:sz w:val="14"/>
                <w:szCs w:val="14"/>
              </w:rPr>
              <w:t>16,251</w:t>
            </w:r>
          </w:p>
        </w:tc>
      </w:tr>
      <w:tr w:rsidR="009F1A73" w:rsidRPr="002C126E" w14:paraId="29A5A04E" w14:textId="77777777" w:rsidTr="00B15944">
        <w:trPr>
          <w:trHeight w:val="170"/>
        </w:trPr>
        <w:tc>
          <w:tcPr>
            <w:tcW w:w="5111" w:type="dxa"/>
          </w:tcPr>
          <w:p w14:paraId="0C420CE8" w14:textId="77777777" w:rsidR="009F1A73" w:rsidRPr="002C126E" w:rsidRDefault="009F1A73" w:rsidP="00B15944">
            <w:pPr>
              <w:suppressAutoHyphens/>
              <w:autoSpaceDE w:val="0"/>
              <w:autoSpaceDN w:val="0"/>
              <w:adjustRightInd w:val="0"/>
              <w:spacing w:before="20" w:after="20"/>
              <w:ind w:left="113"/>
              <w:textAlignment w:val="center"/>
              <w:rPr>
                <w:rFonts w:cs="Futura PT Book"/>
                <w:color w:val="1C1C1C"/>
                <w:sz w:val="14"/>
                <w:szCs w:val="14"/>
                <w:lang w:val="en-US"/>
              </w:rPr>
            </w:pPr>
            <w:r w:rsidRPr="002C126E">
              <w:rPr>
                <w:color w:val="1C1C1C"/>
                <w:sz w:val="14"/>
                <w:szCs w:val="14"/>
              </w:rPr>
              <w:t>Trade and other receivables</w:t>
            </w:r>
          </w:p>
        </w:tc>
        <w:tc>
          <w:tcPr>
            <w:tcW w:w="992" w:type="dxa"/>
            <w:tcBorders>
              <w:right w:val="single" w:sz="18" w:space="0" w:color="FFFFFF" w:themeColor="background2"/>
            </w:tcBorders>
          </w:tcPr>
          <w:p w14:paraId="5CF5D3AE" w14:textId="2F588892"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147</w:t>
            </w:r>
          </w:p>
        </w:tc>
        <w:tc>
          <w:tcPr>
            <w:tcW w:w="993" w:type="dxa"/>
            <w:tcBorders>
              <w:left w:val="single" w:sz="18" w:space="0" w:color="FFFFFF" w:themeColor="background2"/>
            </w:tcBorders>
          </w:tcPr>
          <w:p w14:paraId="5DC6AB47" w14:textId="1F8DE74A" w:rsidR="009F1A73" w:rsidRPr="002C126E" w:rsidRDefault="009F1A73" w:rsidP="00B15944">
            <w:pPr>
              <w:autoSpaceDE w:val="0"/>
              <w:autoSpaceDN w:val="0"/>
              <w:adjustRightInd w:val="0"/>
              <w:spacing w:before="20" w:after="20"/>
              <w:jc w:val="right"/>
              <w:rPr>
                <w:color w:val="1C1C1C"/>
                <w:sz w:val="14"/>
                <w:szCs w:val="14"/>
              </w:rPr>
            </w:pPr>
            <w:r>
              <w:rPr>
                <w:color w:val="1C1C1C"/>
                <w:sz w:val="14"/>
                <w:szCs w:val="14"/>
              </w:rPr>
              <w:t>31</w:t>
            </w:r>
          </w:p>
        </w:tc>
      </w:tr>
      <w:tr w:rsidR="009F1A73" w:rsidRPr="002C126E" w14:paraId="1C97961D" w14:textId="77777777" w:rsidTr="00B15944">
        <w:trPr>
          <w:trHeight w:val="170"/>
        </w:trPr>
        <w:tc>
          <w:tcPr>
            <w:tcW w:w="5111" w:type="dxa"/>
          </w:tcPr>
          <w:p w14:paraId="52039E30" w14:textId="77777777" w:rsidR="009F1A73" w:rsidRPr="002C126E" w:rsidRDefault="009F1A73" w:rsidP="00B15944">
            <w:pPr>
              <w:suppressAutoHyphens/>
              <w:autoSpaceDE w:val="0"/>
              <w:autoSpaceDN w:val="0"/>
              <w:adjustRightInd w:val="0"/>
              <w:spacing w:before="20" w:after="20"/>
              <w:ind w:left="113"/>
              <w:textAlignment w:val="center"/>
              <w:rPr>
                <w:rFonts w:cs="Futura PT Book"/>
                <w:color w:val="1C1C1C"/>
                <w:sz w:val="14"/>
                <w:szCs w:val="14"/>
                <w:lang w:val="en-US"/>
              </w:rPr>
            </w:pPr>
            <w:r w:rsidRPr="002C126E">
              <w:rPr>
                <w:color w:val="1C1C1C"/>
                <w:sz w:val="14"/>
                <w:szCs w:val="14"/>
              </w:rPr>
              <w:t>Less: Impairment allowance</w:t>
            </w:r>
          </w:p>
        </w:tc>
        <w:tc>
          <w:tcPr>
            <w:tcW w:w="992" w:type="dxa"/>
            <w:tcBorders>
              <w:bottom w:val="single" w:sz="2" w:space="0" w:color="auto"/>
              <w:right w:val="single" w:sz="18" w:space="0" w:color="FFFFFF" w:themeColor="background2"/>
            </w:tcBorders>
          </w:tcPr>
          <w:p w14:paraId="6FD866B6" w14:textId="77777777" w:rsidR="009F1A73" w:rsidRPr="002C126E" w:rsidRDefault="009F1A73" w:rsidP="00B1594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2C126E">
              <w:rPr>
                <w:rFonts w:asciiTheme="majorHAnsi" w:hAnsiTheme="majorHAnsi" w:cs="Futura PT Book"/>
                <w:color w:val="1C1C1C"/>
                <w:sz w:val="14"/>
                <w:szCs w:val="14"/>
                <w:lang w:val="en-US"/>
              </w:rPr>
              <w:t>-</w:t>
            </w:r>
          </w:p>
        </w:tc>
        <w:tc>
          <w:tcPr>
            <w:tcW w:w="993" w:type="dxa"/>
            <w:tcBorders>
              <w:left w:val="single" w:sz="18" w:space="0" w:color="FFFFFF" w:themeColor="background2"/>
              <w:bottom w:val="single" w:sz="2" w:space="0" w:color="auto"/>
            </w:tcBorders>
          </w:tcPr>
          <w:p w14:paraId="5BE934B3" w14:textId="77777777" w:rsidR="009F1A73" w:rsidRPr="002C126E" w:rsidRDefault="009F1A73" w:rsidP="00B15944">
            <w:pPr>
              <w:suppressAutoHyphens/>
              <w:autoSpaceDE w:val="0"/>
              <w:autoSpaceDN w:val="0"/>
              <w:adjustRightInd w:val="0"/>
              <w:spacing w:before="20" w:after="20"/>
              <w:jc w:val="right"/>
              <w:textAlignment w:val="center"/>
              <w:rPr>
                <w:rFonts w:cs="Futura PT Book"/>
                <w:color w:val="1C1C1C"/>
                <w:sz w:val="14"/>
                <w:szCs w:val="14"/>
                <w:lang w:val="en-US"/>
              </w:rPr>
            </w:pPr>
            <w:r w:rsidRPr="002C126E">
              <w:rPr>
                <w:color w:val="1C1C1C"/>
                <w:sz w:val="14"/>
                <w:szCs w:val="14"/>
              </w:rPr>
              <w:t>-</w:t>
            </w:r>
          </w:p>
        </w:tc>
      </w:tr>
      <w:tr w:rsidR="009F1A73" w:rsidRPr="002C126E" w14:paraId="1E18A9A5" w14:textId="77777777" w:rsidTr="00B15944">
        <w:trPr>
          <w:trHeight w:val="170"/>
        </w:trPr>
        <w:tc>
          <w:tcPr>
            <w:tcW w:w="5111" w:type="dxa"/>
          </w:tcPr>
          <w:p w14:paraId="7E669D44"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2C126E">
              <w:rPr>
                <w:rFonts w:asciiTheme="majorHAnsi" w:hAnsiTheme="majorHAnsi"/>
                <w:color w:val="1C1C1C"/>
                <w:sz w:val="14"/>
                <w:szCs w:val="14"/>
              </w:rPr>
              <w:t xml:space="preserve">Total </w:t>
            </w:r>
            <w:r>
              <w:rPr>
                <w:rFonts w:asciiTheme="majorHAnsi" w:hAnsiTheme="majorHAnsi"/>
                <w:color w:val="1C1C1C"/>
                <w:sz w:val="14"/>
                <w:szCs w:val="14"/>
              </w:rPr>
              <w:t xml:space="preserve">financial </w:t>
            </w:r>
            <w:r w:rsidRPr="002C126E">
              <w:rPr>
                <w:rFonts w:asciiTheme="majorHAnsi" w:hAnsiTheme="majorHAnsi"/>
                <w:color w:val="1C1C1C"/>
                <w:sz w:val="14"/>
                <w:szCs w:val="14"/>
              </w:rPr>
              <w:t>assets at amortised cost</w:t>
            </w:r>
          </w:p>
        </w:tc>
        <w:tc>
          <w:tcPr>
            <w:tcW w:w="992" w:type="dxa"/>
            <w:tcBorders>
              <w:top w:val="single" w:sz="2" w:space="0" w:color="auto"/>
              <w:bottom w:val="single" w:sz="2" w:space="0" w:color="auto"/>
              <w:right w:val="single" w:sz="18" w:space="0" w:color="FFFFFF" w:themeColor="background2"/>
            </w:tcBorders>
          </w:tcPr>
          <w:p w14:paraId="41AC2586" w14:textId="71C7927D"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16,226</w:t>
            </w:r>
          </w:p>
        </w:tc>
        <w:tc>
          <w:tcPr>
            <w:tcW w:w="993" w:type="dxa"/>
            <w:tcBorders>
              <w:top w:val="single" w:sz="2" w:space="0" w:color="auto"/>
              <w:left w:val="single" w:sz="18" w:space="0" w:color="FFFFFF" w:themeColor="background2"/>
              <w:bottom w:val="single" w:sz="2" w:space="0" w:color="auto"/>
            </w:tcBorders>
          </w:tcPr>
          <w:p w14:paraId="04286E35" w14:textId="4E911460" w:rsidR="009F1A73" w:rsidRPr="002C126E" w:rsidRDefault="009F1A73" w:rsidP="00B15944">
            <w:pPr>
              <w:suppressAutoHyphens/>
              <w:autoSpaceDE w:val="0"/>
              <w:autoSpaceDN w:val="0"/>
              <w:adjustRightInd w:val="0"/>
              <w:spacing w:before="20" w:after="20"/>
              <w:jc w:val="right"/>
              <w:textAlignment w:val="center"/>
              <w:rPr>
                <w:rFonts w:cs="Futura PT Book"/>
                <w:color w:val="1C1C1C"/>
                <w:sz w:val="14"/>
                <w:szCs w:val="14"/>
                <w:lang w:val="en-US"/>
              </w:rPr>
            </w:pPr>
            <w:r>
              <w:rPr>
                <w:color w:val="1C1C1C"/>
                <w:sz w:val="14"/>
                <w:szCs w:val="14"/>
              </w:rPr>
              <w:t>16,282</w:t>
            </w:r>
          </w:p>
        </w:tc>
      </w:tr>
      <w:tr w:rsidR="009F1A73" w:rsidRPr="002C126E" w14:paraId="7C9348DE" w14:textId="77777777" w:rsidTr="00B15944">
        <w:trPr>
          <w:trHeight w:val="57"/>
        </w:trPr>
        <w:tc>
          <w:tcPr>
            <w:tcW w:w="5111" w:type="dxa"/>
          </w:tcPr>
          <w:p w14:paraId="3330CFDF"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72A368F0" w14:textId="77777777" w:rsidR="009F1A73" w:rsidRPr="002C126E" w:rsidRDefault="009F1A73"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01FDB19B" w14:textId="77777777" w:rsidR="009F1A73" w:rsidRPr="002C126E" w:rsidRDefault="009F1A73" w:rsidP="00B15944">
            <w:pPr>
              <w:suppressAutoHyphens/>
              <w:autoSpaceDE w:val="0"/>
              <w:autoSpaceDN w:val="0"/>
              <w:adjustRightInd w:val="0"/>
              <w:spacing w:before="20" w:after="20"/>
              <w:jc w:val="right"/>
              <w:textAlignment w:val="center"/>
              <w:rPr>
                <w:color w:val="1C1C1C"/>
                <w:sz w:val="4"/>
                <w:szCs w:val="4"/>
              </w:rPr>
            </w:pPr>
          </w:p>
        </w:tc>
      </w:tr>
      <w:tr w:rsidR="009F1A73" w:rsidRPr="002C126E" w14:paraId="31A3BB7E" w14:textId="77777777" w:rsidTr="00B15944">
        <w:trPr>
          <w:trHeight w:val="170"/>
        </w:trPr>
        <w:tc>
          <w:tcPr>
            <w:tcW w:w="5111" w:type="dxa"/>
          </w:tcPr>
          <w:p w14:paraId="395F6A62" w14:textId="77777777" w:rsidR="009F1A73" w:rsidRPr="002C126E" w:rsidRDefault="009F1A73" w:rsidP="00B15944">
            <w:pPr>
              <w:suppressAutoHyphens/>
              <w:autoSpaceDE w:val="0"/>
              <w:autoSpaceDN w:val="0"/>
              <w:adjustRightInd w:val="0"/>
              <w:spacing w:before="20" w:after="20"/>
              <w:textAlignment w:val="center"/>
              <w:rPr>
                <w:color w:val="1C1C1C"/>
                <w:sz w:val="14"/>
                <w:szCs w:val="14"/>
              </w:rPr>
            </w:pPr>
          </w:p>
        </w:tc>
        <w:tc>
          <w:tcPr>
            <w:tcW w:w="992" w:type="dxa"/>
            <w:tcBorders>
              <w:right w:val="single" w:sz="18" w:space="0" w:color="FFFFFF" w:themeColor="background2"/>
            </w:tcBorders>
          </w:tcPr>
          <w:p w14:paraId="1C80F437" w14:textId="77777777"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1A25A7D1" w14:textId="77777777" w:rsidR="009F1A73" w:rsidRPr="002C126E" w:rsidRDefault="009F1A73" w:rsidP="00B15944">
            <w:pPr>
              <w:suppressAutoHyphens/>
              <w:autoSpaceDE w:val="0"/>
              <w:autoSpaceDN w:val="0"/>
              <w:adjustRightInd w:val="0"/>
              <w:spacing w:before="20" w:after="20"/>
              <w:jc w:val="right"/>
              <w:textAlignment w:val="center"/>
              <w:rPr>
                <w:color w:val="1C1C1C"/>
                <w:sz w:val="14"/>
                <w:szCs w:val="14"/>
              </w:rPr>
            </w:pPr>
          </w:p>
        </w:tc>
      </w:tr>
      <w:tr w:rsidR="009F1A73" w:rsidRPr="002C126E" w14:paraId="40502645" w14:textId="77777777" w:rsidTr="00B15944">
        <w:trPr>
          <w:trHeight w:val="170"/>
        </w:trPr>
        <w:tc>
          <w:tcPr>
            <w:tcW w:w="5111" w:type="dxa"/>
          </w:tcPr>
          <w:p w14:paraId="715C9DF2"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Note 4.2</w:t>
            </w:r>
            <w:r>
              <w:rPr>
                <w:rFonts w:asciiTheme="majorHAnsi" w:hAnsiTheme="majorHAnsi"/>
                <w:color w:val="1C1C1C"/>
                <w:sz w:val="14"/>
                <w:szCs w:val="14"/>
              </w:rPr>
              <w:t>B</w:t>
            </w:r>
            <w:r w:rsidRPr="002C126E">
              <w:rPr>
                <w:rFonts w:asciiTheme="majorHAnsi" w:hAnsiTheme="majorHAnsi"/>
                <w:color w:val="1C1C1C"/>
                <w:sz w:val="14"/>
                <w:szCs w:val="14"/>
              </w:rPr>
              <w:t>: Financial instruments (liabilities)</w:t>
            </w:r>
          </w:p>
        </w:tc>
        <w:tc>
          <w:tcPr>
            <w:tcW w:w="992" w:type="dxa"/>
            <w:tcBorders>
              <w:right w:val="single" w:sz="18" w:space="0" w:color="FFFFFF" w:themeColor="background2"/>
            </w:tcBorders>
          </w:tcPr>
          <w:p w14:paraId="09245091" w14:textId="77777777"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513383B2" w14:textId="77777777" w:rsidR="009F1A73" w:rsidRPr="002C126E" w:rsidRDefault="009F1A73" w:rsidP="00B15944">
            <w:pPr>
              <w:suppressAutoHyphens/>
              <w:autoSpaceDE w:val="0"/>
              <w:autoSpaceDN w:val="0"/>
              <w:adjustRightInd w:val="0"/>
              <w:spacing w:before="20" w:after="20"/>
              <w:jc w:val="right"/>
              <w:textAlignment w:val="center"/>
              <w:rPr>
                <w:color w:val="1C1C1C"/>
                <w:sz w:val="14"/>
                <w:szCs w:val="14"/>
              </w:rPr>
            </w:pPr>
          </w:p>
        </w:tc>
      </w:tr>
      <w:tr w:rsidR="009F1A73" w:rsidRPr="002C126E" w14:paraId="6DBDBA2F" w14:textId="77777777" w:rsidTr="00B15944">
        <w:trPr>
          <w:trHeight w:val="170"/>
        </w:trPr>
        <w:tc>
          <w:tcPr>
            <w:tcW w:w="5111" w:type="dxa"/>
          </w:tcPr>
          <w:p w14:paraId="5DD90067"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Financial liabilities measured at amortised cost</w:t>
            </w:r>
          </w:p>
        </w:tc>
        <w:tc>
          <w:tcPr>
            <w:tcW w:w="992" w:type="dxa"/>
            <w:tcBorders>
              <w:right w:val="single" w:sz="18" w:space="0" w:color="FFFFFF" w:themeColor="background2"/>
            </w:tcBorders>
          </w:tcPr>
          <w:p w14:paraId="68F1595D" w14:textId="77777777"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0DFE3ED9" w14:textId="77777777" w:rsidR="009F1A73" w:rsidRPr="002C126E" w:rsidRDefault="009F1A73" w:rsidP="00B15944">
            <w:pPr>
              <w:suppressAutoHyphens/>
              <w:autoSpaceDE w:val="0"/>
              <w:autoSpaceDN w:val="0"/>
              <w:adjustRightInd w:val="0"/>
              <w:spacing w:before="20" w:after="20"/>
              <w:jc w:val="right"/>
              <w:textAlignment w:val="center"/>
              <w:rPr>
                <w:color w:val="1C1C1C"/>
                <w:sz w:val="14"/>
                <w:szCs w:val="14"/>
              </w:rPr>
            </w:pPr>
          </w:p>
        </w:tc>
      </w:tr>
      <w:tr w:rsidR="009F1A73" w:rsidRPr="002C126E" w14:paraId="6AE69AF0" w14:textId="77777777" w:rsidTr="00B15944">
        <w:trPr>
          <w:trHeight w:val="170"/>
        </w:trPr>
        <w:tc>
          <w:tcPr>
            <w:tcW w:w="5111" w:type="dxa"/>
          </w:tcPr>
          <w:p w14:paraId="229C957C" w14:textId="77777777" w:rsidR="009F1A73" w:rsidRPr="002C126E" w:rsidRDefault="009F1A73" w:rsidP="00B15944">
            <w:pPr>
              <w:suppressAutoHyphens/>
              <w:autoSpaceDE w:val="0"/>
              <w:autoSpaceDN w:val="0"/>
              <w:adjustRightInd w:val="0"/>
              <w:spacing w:before="20" w:after="20"/>
              <w:ind w:left="113"/>
              <w:textAlignment w:val="center"/>
              <w:rPr>
                <w:color w:val="1C1C1C"/>
                <w:sz w:val="14"/>
                <w:szCs w:val="14"/>
              </w:rPr>
            </w:pPr>
            <w:r w:rsidRPr="002C126E">
              <w:rPr>
                <w:color w:val="1C1C1C"/>
                <w:sz w:val="14"/>
                <w:szCs w:val="14"/>
              </w:rPr>
              <w:t>Trade creditors and accruals</w:t>
            </w:r>
          </w:p>
        </w:tc>
        <w:tc>
          <w:tcPr>
            <w:tcW w:w="992" w:type="dxa"/>
            <w:tcBorders>
              <w:bottom w:val="single" w:sz="2" w:space="0" w:color="auto"/>
              <w:right w:val="single" w:sz="18" w:space="0" w:color="FFFFFF" w:themeColor="background2"/>
            </w:tcBorders>
          </w:tcPr>
          <w:p w14:paraId="6C1F8BFD" w14:textId="0D377E17"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2,623</w:t>
            </w:r>
          </w:p>
        </w:tc>
        <w:tc>
          <w:tcPr>
            <w:tcW w:w="993" w:type="dxa"/>
            <w:tcBorders>
              <w:left w:val="single" w:sz="18" w:space="0" w:color="FFFFFF" w:themeColor="background2"/>
              <w:bottom w:val="single" w:sz="2" w:space="0" w:color="auto"/>
            </w:tcBorders>
          </w:tcPr>
          <w:p w14:paraId="114A4FDD" w14:textId="440BCC2B" w:rsidR="009F1A73" w:rsidRPr="002C126E" w:rsidRDefault="009F1A73" w:rsidP="00B15944">
            <w:pPr>
              <w:suppressAutoHyphens/>
              <w:autoSpaceDE w:val="0"/>
              <w:autoSpaceDN w:val="0"/>
              <w:adjustRightInd w:val="0"/>
              <w:spacing w:before="20" w:after="20"/>
              <w:jc w:val="right"/>
              <w:textAlignment w:val="center"/>
              <w:rPr>
                <w:color w:val="1C1C1C"/>
                <w:sz w:val="14"/>
                <w:szCs w:val="14"/>
              </w:rPr>
            </w:pPr>
            <w:r>
              <w:rPr>
                <w:color w:val="1C1C1C"/>
                <w:sz w:val="14"/>
                <w:szCs w:val="14"/>
              </w:rPr>
              <w:t>1,737</w:t>
            </w:r>
          </w:p>
        </w:tc>
      </w:tr>
      <w:tr w:rsidR="009F1A73" w:rsidRPr="002C126E" w14:paraId="6E56FFE6" w14:textId="77777777" w:rsidTr="00B15944">
        <w:trPr>
          <w:trHeight w:val="170"/>
        </w:trPr>
        <w:tc>
          <w:tcPr>
            <w:tcW w:w="5111" w:type="dxa"/>
          </w:tcPr>
          <w:p w14:paraId="2BD2D83C"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Total financial liabilities measured at amortised cost</w:t>
            </w:r>
          </w:p>
        </w:tc>
        <w:tc>
          <w:tcPr>
            <w:tcW w:w="992" w:type="dxa"/>
            <w:tcBorders>
              <w:top w:val="single" w:sz="2" w:space="0" w:color="auto"/>
              <w:bottom w:val="single" w:sz="2" w:space="0" w:color="auto"/>
              <w:right w:val="single" w:sz="18" w:space="0" w:color="FFFFFF" w:themeColor="background2"/>
            </w:tcBorders>
          </w:tcPr>
          <w:p w14:paraId="52BE30C4" w14:textId="3F51351D" w:rsidR="009F1A73" w:rsidRPr="002C126E" w:rsidRDefault="009F1A73" w:rsidP="00B1594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2,623</w:t>
            </w:r>
          </w:p>
        </w:tc>
        <w:tc>
          <w:tcPr>
            <w:tcW w:w="993" w:type="dxa"/>
            <w:tcBorders>
              <w:top w:val="single" w:sz="2" w:space="0" w:color="auto"/>
              <w:left w:val="single" w:sz="18" w:space="0" w:color="FFFFFF" w:themeColor="background2"/>
              <w:bottom w:val="single" w:sz="2" w:space="0" w:color="auto"/>
            </w:tcBorders>
          </w:tcPr>
          <w:p w14:paraId="6561A72B" w14:textId="78A57067" w:rsidR="009F1A73" w:rsidRPr="002C126E" w:rsidRDefault="009F1A73" w:rsidP="00B15944">
            <w:pPr>
              <w:suppressAutoHyphens/>
              <w:autoSpaceDE w:val="0"/>
              <w:autoSpaceDN w:val="0"/>
              <w:adjustRightInd w:val="0"/>
              <w:spacing w:before="20" w:after="20"/>
              <w:jc w:val="right"/>
              <w:textAlignment w:val="center"/>
              <w:rPr>
                <w:color w:val="1C1C1C"/>
                <w:sz w:val="14"/>
                <w:szCs w:val="14"/>
              </w:rPr>
            </w:pPr>
            <w:r>
              <w:rPr>
                <w:color w:val="1C1C1C"/>
                <w:sz w:val="14"/>
                <w:szCs w:val="14"/>
              </w:rPr>
              <w:t>1,737</w:t>
            </w:r>
          </w:p>
        </w:tc>
      </w:tr>
      <w:tr w:rsidR="009F1A73" w:rsidRPr="002C126E" w14:paraId="0F66FF88" w14:textId="77777777" w:rsidTr="00B15944">
        <w:trPr>
          <w:trHeight w:val="57"/>
        </w:trPr>
        <w:tc>
          <w:tcPr>
            <w:tcW w:w="5111" w:type="dxa"/>
          </w:tcPr>
          <w:p w14:paraId="1AA40E3F" w14:textId="77777777" w:rsidR="009F1A73" w:rsidRPr="002C126E" w:rsidRDefault="009F1A73"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22C34BBF" w14:textId="77777777" w:rsidR="009F1A73" w:rsidRPr="002C126E" w:rsidRDefault="009F1A73"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393DB574" w14:textId="77777777" w:rsidR="009F1A73" w:rsidRPr="002C126E" w:rsidRDefault="009F1A73" w:rsidP="00B15944">
            <w:pPr>
              <w:suppressAutoHyphens/>
              <w:autoSpaceDE w:val="0"/>
              <w:autoSpaceDN w:val="0"/>
              <w:adjustRightInd w:val="0"/>
              <w:spacing w:before="20" w:after="20"/>
              <w:jc w:val="right"/>
              <w:textAlignment w:val="center"/>
              <w:rPr>
                <w:color w:val="1C1C1C"/>
                <w:sz w:val="4"/>
                <w:szCs w:val="4"/>
              </w:rPr>
            </w:pPr>
          </w:p>
        </w:tc>
      </w:tr>
    </w:tbl>
    <w:p w14:paraId="7D65B674" w14:textId="77777777" w:rsidR="009F1A73" w:rsidRDefault="009F1A73" w:rsidP="009F1A73">
      <w:pPr>
        <w:pStyle w:val="Body"/>
      </w:pPr>
    </w:p>
    <w:tbl>
      <w:tblPr>
        <w:tblStyle w:val="TableGrid1"/>
        <w:tblW w:w="5000" w:type="pct"/>
        <w:tblCellMar>
          <w:top w:w="57" w:type="dxa"/>
          <w:bottom w:w="57" w:type="dxa"/>
        </w:tblCellMar>
        <w:tblLook w:val="04A0" w:firstRow="1" w:lastRow="0" w:firstColumn="1" w:lastColumn="0" w:noHBand="0" w:noVBand="1"/>
        <w:tblCaption w:val="Note 4.2"/>
        <w:tblDescription w:val="Accounting Policy"/>
      </w:tblPr>
      <w:tblGrid>
        <w:gridCol w:w="7701"/>
      </w:tblGrid>
      <w:tr w:rsidR="009F1A73" w14:paraId="042F86A2" w14:textId="77777777" w:rsidTr="00B15944">
        <w:trPr>
          <w:tblHeader/>
        </w:trPr>
        <w:tc>
          <w:tcPr>
            <w:tcW w:w="5000" w:type="pct"/>
          </w:tcPr>
          <w:p w14:paraId="42158D3B" w14:textId="77777777" w:rsidR="009F1A73" w:rsidRPr="005300C0" w:rsidRDefault="009F1A73" w:rsidP="00B15944">
            <w:pPr>
              <w:pStyle w:val="Body"/>
              <w:spacing w:after="120"/>
              <w:rPr>
                <w:rFonts w:asciiTheme="majorHAnsi" w:hAnsiTheme="majorHAnsi"/>
              </w:rPr>
            </w:pPr>
            <w:r w:rsidRPr="005300C0">
              <w:rPr>
                <w:rFonts w:asciiTheme="majorHAnsi" w:hAnsiTheme="majorHAnsi"/>
              </w:rPr>
              <w:t>Accounting Policy</w:t>
            </w:r>
          </w:p>
          <w:p w14:paraId="4FD7EB79" w14:textId="77777777" w:rsidR="009F1A73" w:rsidRPr="00303955" w:rsidRDefault="009F1A73" w:rsidP="00B15944">
            <w:pPr>
              <w:pStyle w:val="Body"/>
              <w:spacing w:after="80"/>
              <w:rPr>
                <w:b/>
                <w:bCs/>
              </w:rPr>
            </w:pPr>
            <w:r w:rsidRPr="00303955">
              <w:rPr>
                <w:b/>
                <w:bCs/>
              </w:rPr>
              <w:t>Cash and cash equivalents</w:t>
            </w:r>
          </w:p>
          <w:p w14:paraId="29714F09" w14:textId="77777777" w:rsidR="009F1A73" w:rsidRDefault="009F1A73" w:rsidP="00B15944">
            <w:pPr>
              <w:pStyle w:val="Body"/>
              <w:spacing w:after="80"/>
            </w:pPr>
            <w:r>
              <w:t xml:space="preserve">Cash is recognised at its nominal amount. Cash and cash equivalents includes:  </w:t>
            </w:r>
          </w:p>
          <w:p w14:paraId="7AF1CA15" w14:textId="77777777" w:rsidR="009F1A73" w:rsidRDefault="009F1A73">
            <w:pPr>
              <w:pStyle w:val="AlphabetListL2"/>
              <w:numPr>
                <w:ilvl w:val="0"/>
                <w:numId w:val="22"/>
              </w:numPr>
            </w:pPr>
            <w:r>
              <w:t>cash on hand, and</w:t>
            </w:r>
          </w:p>
          <w:p w14:paraId="28E28237" w14:textId="52ACD715" w:rsidR="009F1A73" w:rsidRPr="00152335" w:rsidRDefault="009F1A73">
            <w:pPr>
              <w:pStyle w:val="AlphabetListL2"/>
              <w:numPr>
                <w:ilvl w:val="0"/>
                <w:numId w:val="14"/>
              </w:numPr>
              <w:spacing w:after="120"/>
            </w:pPr>
            <w:r>
              <w:t xml:space="preserve">demand deposits in bank accounts with an original maturity of </w:t>
            </w:r>
            <w:r w:rsidR="0096178A">
              <w:t>three</w:t>
            </w:r>
            <w:r>
              <w:t xml:space="preserve"> months or less that are readily convertible to known amounts of cash and subject to insignificant risk of changes in value.</w:t>
            </w:r>
          </w:p>
          <w:p w14:paraId="14AA31C1" w14:textId="77777777" w:rsidR="009F1A73" w:rsidRPr="00303955" w:rsidRDefault="009F1A73" w:rsidP="00B15944">
            <w:pPr>
              <w:pStyle w:val="Body"/>
              <w:spacing w:after="80"/>
              <w:rPr>
                <w:b/>
                <w:bCs/>
              </w:rPr>
            </w:pPr>
            <w:r w:rsidRPr="00303955">
              <w:rPr>
                <w:b/>
                <w:bCs/>
              </w:rPr>
              <w:t>Classification and measurement</w:t>
            </w:r>
          </w:p>
          <w:p w14:paraId="25AF75AB" w14:textId="77777777" w:rsidR="00A9269D" w:rsidRPr="009F1A73" w:rsidRDefault="00A9269D" w:rsidP="00A9269D">
            <w:pPr>
              <w:pStyle w:val="Body"/>
              <w:spacing w:after="80"/>
              <w:rPr>
                <w:lang w:val="en-PH"/>
              </w:rPr>
            </w:pPr>
            <w:r w:rsidRPr="009F1A73">
              <w:t>The classification and measurement of IHPA's financial assets under AASB 9 is determined by its business model for managing its financial assets and the contractual cash flow characterist</w:t>
            </w:r>
            <w:r>
              <w:t>i</w:t>
            </w:r>
            <w:r w:rsidRPr="009F1A73">
              <w:t>cs of those assets.</w:t>
            </w:r>
          </w:p>
          <w:p w14:paraId="15EBCB8E" w14:textId="77777777" w:rsidR="009F1A73" w:rsidRPr="00303955" w:rsidRDefault="009F1A73" w:rsidP="00B15944">
            <w:pPr>
              <w:pStyle w:val="Body"/>
              <w:spacing w:after="80"/>
              <w:rPr>
                <w:b/>
                <w:bCs/>
              </w:rPr>
            </w:pPr>
            <w:r w:rsidRPr="00303955">
              <w:rPr>
                <w:b/>
                <w:bCs/>
              </w:rPr>
              <w:t>Financial assets</w:t>
            </w:r>
          </w:p>
          <w:p w14:paraId="73B92735" w14:textId="0A70E6EC" w:rsidR="00A9269D" w:rsidRDefault="00A9269D" w:rsidP="00A9269D">
            <w:pPr>
              <w:pStyle w:val="Body"/>
              <w:spacing w:after="80"/>
            </w:pPr>
            <w:r w:rsidRPr="00F40AEF">
              <w:t>IHPA's financial assets are comprised of trade receivables and other receivables that are held for the purpose of collecting the contractual cash flows. All of IHPA's financial assets are measured, and carried, at</w:t>
            </w:r>
            <w:r>
              <w:t> </w:t>
            </w:r>
            <w:r w:rsidRPr="00F40AEF">
              <w:t>amortised cost.</w:t>
            </w:r>
          </w:p>
          <w:p w14:paraId="44A48737" w14:textId="77777777" w:rsidR="009F1A73" w:rsidRPr="00303955" w:rsidRDefault="009F1A73" w:rsidP="00B15944">
            <w:pPr>
              <w:pStyle w:val="Body"/>
              <w:spacing w:after="80"/>
              <w:rPr>
                <w:b/>
                <w:bCs/>
              </w:rPr>
            </w:pPr>
            <w:r w:rsidRPr="00303955">
              <w:rPr>
                <w:b/>
                <w:bCs/>
              </w:rPr>
              <w:t>Financial liabilities</w:t>
            </w:r>
          </w:p>
          <w:p w14:paraId="455B4297" w14:textId="77777777" w:rsidR="00A9269D" w:rsidRPr="00F40AEF" w:rsidRDefault="00A9269D" w:rsidP="00A9269D">
            <w:pPr>
              <w:pStyle w:val="Body"/>
              <w:spacing w:after="80"/>
              <w:rPr>
                <w:lang w:val="en-PH"/>
              </w:rPr>
            </w:pPr>
            <w:r w:rsidRPr="00F40AEF">
              <w:t>IHPA's financial liabilities are measured, and carried, at amortised cost.</w:t>
            </w:r>
            <w:r>
              <w:t xml:space="preserve"> </w:t>
            </w:r>
            <w:r w:rsidRPr="00F40AEF">
              <w:t>Supplier and other payables are recognised to the extent that the goods or services have been received, irrespective of having been invoiced. Lease liabilities are measured using the effective interest method.</w:t>
            </w:r>
          </w:p>
          <w:p w14:paraId="265863A6" w14:textId="77777777" w:rsidR="009F1A73" w:rsidRPr="00303955" w:rsidRDefault="009F1A73" w:rsidP="00B15944">
            <w:pPr>
              <w:pStyle w:val="Body"/>
              <w:spacing w:after="80"/>
              <w:rPr>
                <w:b/>
                <w:bCs/>
              </w:rPr>
            </w:pPr>
            <w:r w:rsidRPr="00303955">
              <w:rPr>
                <w:b/>
                <w:bCs/>
              </w:rPr>
              <w:t>Impairment</w:t>
            </w:r>
          </w:p>
          <w:p w14:paraId="4D1F0D02" w14:textId="268F98E0" w:rsidR="00A9269D" w:rsidRPr="00F40AEF" w:rsidRDefault="00A9269D" w:rsidP="00A9269D">
            <w:pPr>
              <w:pStyle w:val="Body"/>
              <w:spacing w:after="80"/>
              <w:rPr>
                <w:lang w:val="en-PH"/>
              </w:rPr>
            </w:pPr>
            <w:r w:rsidRPr="00F40AEF">
              <w:t>AASB 9 requires IHPA to impair its financial assets by applying the 'expected credit losses' (ECL) model. IHPA has taken advantage of the practical expedient which allows the use of a Provision Matrix to calculate expected credit losses on trade receivables. IHPA has assessed the loss allowance for its financial assets at an amount equal to lifetime expected credit losses.</w:t>
            </w:r>
          </w:p>
          <w:p w14:paraId="46E617E5" w14:textId="3B42D7B3" w:rsidR="009F1A73" w:rsidRPr="00F40AEF" w:rsidRDefault="00A9269D" w:rsidP="00A9269D">
            <w:pPr>
              <w:pStyle w:val="Body"/>
              <w:spacing w:after="80"/>
              <w:rPr>
                <w:lang w:val="en-PH"/>
              </w:rPr>
            </w:pPr>
            <w:r w:rsidRPr="00F40AEF">
              <w:t>Due to the nature of IHPA's receivables, a nil loss allowance has been calculated. There is no impairment of IHPA's financial assets for 2021</w:t>
            </w:r>
            <w:r>
              <w:t>–</w:t>
            </w:r>
            <w:r w:rsidRPr="00F40AEF">
              <w:t>22.</w:t>
            </w:r>
          </w:p>
        </w:tc>
      </w:tr>
    </w:tbl>
    <w:p w14:paraId="62920431" w14:textId="34A101C3" w:rsidR="0006615F" w:rsidRDefault="0006615F" w:rsidP="008664C1">
      <w:pPr>
        <w:pStyle w:val="Body"/>
        <w:rPr>
          <w:color w:val="292929"/>
        </w:rPr>
      </w:pPr>
    </w:p>
    <w:p w14:paraId="1FCD7633" w14:textId="77777777" w:rsidR="009F1A73" w:rsidRDefault="009F1A73" w:rsidP="008664C1">
      <w:pPr>
        <w:pStyle w:val="Body"/>
        <w:rPr>
          <w:color w:val="292929"/>
        </w:rPr>
      </w:pPr>
    </w:p>
    <w:p w14:paraId="04EA5A54" w14:textId="77777777" w:rsidR="0006615F" w:rsidRDefault="0006615F" w:rsidP="008664C1">
      <w:pPr>
        <w:pStyle w:val="Body"/>
        <w:rPr>
          <w:color w:val="292929"/>
        </w:rPr>
        <w:sectPr w:rsidR="0006615F" w:rsidSect="00441579">
          <w:footerReference w:type="default" r:id="rId202"/>
          <w:pgSz w:w="9979" w:h="14175"/>
          <w:pgMar w:top="1134" w:right="1134" w:bottom="1134" w:left="1134" w:header="709" w:footer="709" w:gutter="0"/>
          <w:cols w:space="708"/>
          <w:docGrid w:linePitch="360"/>
        </w:sectPr>
      </w:pPr>
    </w:p>
    <w:p w14:paraId="1ECA3FF1" w14:textId="77777777" w:rsidR="00F40AEF" w:rsidRDefault="00F40AEF" w:rsidP="00F40AEF">
      <w:pPr>
        <w:pStyle w:val="H4Financials"/>
        <w:spacing w:after="120"/>
      </w:pPr>
      <w:bookmarkStart w:id="177" w:name="_Toc83220578"/>
      <w:bookmarkStart w:id="178" w:name="_Toc114824722"/>
      <w:r>
        <w:t>Note 4.3 Fair value measurement</w:t>
      </w:r>
      <w:bookmarkEnd w:id="177"/>
      <w:bookmarkEnd w:id="178"/>
    </w:p>
    <w:tbl>
      <w:tblPr>
        <w:tblStyle w:val="TableGrid1"/>
        <w:tblW w:w="4993" w:type="pct"/>
        <w:tblCellMar>
          <w:top w:w="57" w:type="dxa"/>
          <w:bottom w:w="57" w:type="dxa"/>
        </w:tblCellMar>
        <w:tblLook w:val="04A0" w:firstRow="1" w:lastRow="0" w:firstColumn="1" w:lastColumn="0" w:noHBand="0" w:noVBand="1"/>
        <w:tblCaption w:val="Note 4.3"/>
        <w:tblDescription w:val="Accounting policy"/>
      </w:tblPr>
      <w:tblGrid>
        <w:gridCol w:w="7690"/>
      </w:tblGrid>
      <w:tr w:rsidR="00F40AEF" w14:paraId="6B75AE36" w14:textId="77777777" w:rsidTr="00B15944">
        <w:trPr>
          <w:tblHeader/>
        </w:trPr>
        <w:tc>
          <w:tcPr>
            <w:tcW w:w="5000" w:type="pct"/>
          </w:tcPr>
          <w:p w14:paraId="5003CCFA" w14:textId="77777777" w:rsidR="00F40AEF" w:rsidRPr="009C057B" w:rsidRDefault="00F40AEF" w:rsidP="00B15944">
            <w:pPr>
              <w:pStyle w:val="Body"/>
              <w:spacing w:after="120"/>
              <w:rPr>
                <w:rFonts w:asciiTheme="majorHAnsi" w:hAnsiTheme="majorHAnsi"/>
              </w:rPr>
            </w:pPr>
            <w:r w:rsidRPr="005300C0">
              <w:rPr>
                <w:rFonts w:asciiTheme="majorHAnsi" w:hAnsiTheme="majorHAnsi"/>
              </w:rPr>
              <w:t>Accounting Policy</w:t>
            </w:r>
          </w:p>
          <w:p w14:paraId="4AB0A6F4" w14:textId="77777777" w:rsidR="0010734E" w:rsidRDefault="0010734E" w:rsidP="0010734E">
            <w:pPr>
              <w:pStyle w:val="Body"/>
              <w:spacing w:after="80"/>
            </w:pPr>
            <w:r w:rsidRPr="00F40AEF">
              <w:t xml:space="preserve">As allowed for by AASB 13 </w:t>
            </w:r>
            <w:r w:rsidRPr="00F40AEF">
              <w:rPr>
                <w:i/>
                <w:iCs/>
              </w:rPr>
              <w:t>Fair Value Measurement</w:t>
            </w:r>
            <w:r w:rsidRPr="00F40AEF">
              <w:t>, quantitative information on significant unobservable inputs used in determining fair value is not disclosed.</w:t>
            </w:r>
          </w:p>
          <w:p w14:paraId="7601CA29" w14:textId="2E226318" w:rsidR="0010734E" w:rsidRPr="009C057B" w:rsidRDefault="0010734E" w:rsidP="0010734E">
            <w:pPr>
              <w:pStyle w:val="Body"/>
              <w:spacing w:after="80"/>
            </w:pPr>
            <w:r w:rsidRPr="00F40AEF">
              <w:t xml:space="preserve">Assets held at fair value include leasehold improvements and property, plant and equipment. Assets not held at fair value include computer software and </w:t>
            </w:r>
            <w:r w:rsidR="00844ED3">
              <w:t>r</w:t>
            </w:r>
            <w:r w:rsidRPr="00F40AEF">
              <w:t>ight-of-</w:t>
            </w:r>
            <w:r w:rsidR="00844ED3">
              <w:t>u</w:t>
            </w:r>
            <w:r w:rsidRPr="00F40AEF">
              <w:t xml:space="preserve">se (ROU) assets. </w:t>
            </w:r>
          </w:p>
          <w:p w14:paraId="3DB579D6" w14:textId="7DB1C8B4" w:rsidR="0010734E" w:rsidRPr="00F40AEF" w:rsidRDefault="0010734E" w:rsidP="0010734E">
            <w:pPr>
              <w:pStyle w:val="Body"/>
              <w:spacing w:after="80"/>
              <w:rPr>
                <w:lang w:val="en-PH"/>
              </w:rPr>
            </w:pPr>
            <w:r w:rsidRPr="00F40AEF">
              <w:t>IHPA tests the procedures of the valuation model as an internal management review at least once every 12</w:t>
            </w:r>
            <w:r>
              <w:t> </w:t>
            </w:r>
            <w:r w:rsidRPr="00F40AEF">
              <w:t>months (with a formal revaluation undertaken once every three years). If a particular asset class experiences significant and volatile changes in fair value (</w:t>
            </w:r>
            <w:r>
              <w:t>that is,</w:t>
            </w:r>
            <w:r w:rsidRPr="00F40AEF">
              <w:t xml:space="preserve"> where indicators suggest that the value of</w:t>
            </w:r>
            <w:r>
              <w:t> </w:t>
            </w:r>
            <w:r w:rsidRPr="00F40AEF">
              <w:t>the class has changed materially since the previous reporting period), that class is subject to specific valuation in the reporting period, where practicable, regardless of the timing of the last specific valuation.</w:t>
            </w:r>
          </w:p>
          <w:p w14:paraId="760FD2CB" w14:textId="77777777" w:rsidR="0010734E" w:rsidRPr="009C057B" w:rsidRDefault="0010734E" w:rsidP="0010734E">
            <w:pPr>
              <w:pStyle w:val="Body"/>
              <w:spacing w:after="80"/>
            </w:pPr>
            <w:r w:rsidRPr="009C057B">
              <w:t>The categories of fair value measurement are:</w:t>
            </w:r>
          </w:p>
          <w:p w14:paraId="047C155C" w14:textId="0216A387" w:rsidR="0010734E" w:rsidRDefault="0010734E">
            <w:pPr>
              <w:pStyle w:val="AlphabetListL2"/>
              <w:numPr>
                <w:ilvl w:val="0"/>
                <w:numId w:val="26"/>
              </w:numPr>
            </w:pPr>
            <w:r w:rsidRPr="00F40AEF">
              <w:t xml:space="preserve">Level 1: </w:t>
            </w:r>
            <w:r w:rsidR="00DD5A23">
              <w:t>Q</w:t>
            </w:r>
            <w:r w:rsidRPr="00F40AEF">
              <w:t>uoted prices (unadjusted) in active markets for identical assets that the entity can access at measurement date.</w:t>
            </w:r>
          </w:p>
          <w:p w14:paraId="274C240B" w14:textId="3577AF91" w:rsidR="0010734E" w:rsidRDefault="0010734E">
            <w:pPr>
              <w:pStyle w:val="AlphabetListL2"/>
              <w:numPr>
                <w:ilvl w:val="0"/>
                <w:numId w:val="14"/>
              </w:numPr>
              <w:spacing w:after="120"/>
            </w:pPr>
            <w:r w:rsidRPr="00F40AEF">
              <w:t xml:space="preserve">Level 2: </w:t>
            </w:r>
            <w:r w:rsidR="00DD5A23">
              <w:t>I</w:t>
            </w:r>
            <w:r w:rsidRPr="00F40AEF">
              <w:t>nputs other than quoted prices included within Level 1 that are observable for the asset, either directly or indirectly.</w:t>
            </w:r>
          </w:p>
          <w:p w14:paraId="2F0F87A0" w14:textId="4B97129C" w:rsidR="0010734E" w:rsidRPr="009C057B" w:rsidRDefault="0010734E">
            <w:pPr>
              <w:pStyle w:val="AlphabetListL2"/>
              <w:numPr>
                <w:ilvl w:val="0"/>
                <w:numId w:val="14"/>
              </w:numPr>
              <w:spacing w:after="120"/>
            </w:pPr>
            <w:r w:rsidRPr="009C057B">
              <w:t xml:space="preserve">Level 3: </w:t>
            </w:r>
            <w:r w:rsidR="00DD5A23">
              <w:t>U</w:t>
            </w:r>
            <w:r w:rsidRPr="009C057B">
              <w:t>nobservable inputs.</w:t>
            </w:r>
          </w:p>
          <w:p w14:paraId="001C550A" w14:textId="77777777" w:rsidR="00C01AF5" w:rsidRDefault="00C01AF5" w:rsidP="00C01AF5">
            <w:pPr>
              <w:pStyle w:val="Body"/>
              <w:spacing w:after="80"/>
            </w:pPr>
            <w:r>
              <w:t>IHPA's assets are held at fair value and are measured at category Levels 2 or 3 with no fair values measured at category Level 1.</w:t>
            </w:r>
          </w:p>
          <w:p w14:paraId="59F71169" w14:textId="6BA46B45" w:rsidR="00C01AF5" w:rsidRDefault="00C01AF5" w:rsidP="00C01AF5">
            <w:pPr>
              <w:pStyle w:val="Body"/>
              <w:spacing w:after="80"/>
            </w:pPr>
            <w:r>
              <w:t>Leasehold improvements are measured at category Level 3 and the valuation methodology used is Depreciated Replacement Cost (DRC). Under DRC the estimated cost to replace the asset is calculated, with</w:t>
            </w:r>
            <w:r w:rsidR="009A2768">
              <w:t> </w:t>
            </w:r>
            <w:r>
              <w:t xml:space="preserve">reference to new replacement price per square metre, and then adjusted to take into account its consumed economic benefit (accumulated depreciation). The consumed economic benefit has been determined based on the professional judgement with regard to physical, economic and external obsolescence factors. </w:t>
            </w:r>
          </w:p>
          <w:p w14:paraId="1B962E29" w14:textId="57B46BED" w:rsidR="00F40AEF" w:rsidRDefault="00C01AF5" w:rsidP="00C01AF5">
            <w:pPr>
              <w:pStyle w:val="Body"/>
              <w:spacing w:after="80"/>
            </w:pPr>
            <w:r>
              <w:t>Property, plant and equipment is measured at either category Level 2 or 3. The valuation methodology is either market approach or DRC, based on replacement cost for a new equivalent asset. The significant unobservable inputs used in the fair value measurement of</w:t>
            </w:r>
            <w:r w:rsidR="00DD5A23">
              <w:t xml:space="preserve"> p</w:t>
            </w:r>
            <w:r w:rsidR="00DD5A23" w:rsidRPr="00DD5A23">
              <w:t xml:space="preserve">roperty, plant and equipment </w:t>
            </w:r>
            <w:r>
              <w:t>assets are the market demand and professional judgement.</w:t>
            </w:r>
          </w:p>
        </w:tc>
      </w:tr>
    </w:tbl>
    <w:p w14:paraId="22C9478A" w14:textId="77777777" w:rsidR="00F40AEF" w:rsidRDefault="00F40AEF" w:rsidP="008664C1">
      <w:pPr>
        <w:pStyle w:val="Body"/>
        <w:rPr>
          <w:color w:val="292929"/>
        </w:rPr>
      </w:pPr>
    </w:p>
    <w:p w14:paraId="1693E553" w14:textId="77777777" w:rsidR="0006615F" w:rsidRDefault="0006615F" w:rsidP="008664C1">
      <w:pPr>
        <w:pStyle w:val="Body"/>
        <w:rPr>
          <w:color w:val="292929"/>
        </w:rPr>
        <w:sectPr w:rsidR="0006615F" w:rsidSect="00441579">
          <w:footerReference w:type="default" r:id="rId203"/>
          <w:pgSz w:w="9979" w:h="14175"/>
          <w:pgMar w:top="1134" w:right="1134" w:bottom="1134" w:left="1134" w:header="709" w:footer="709" w:gutter="0"/>
          <w:cols w:space="708"/>
          <w:docGrid w:linePitch="360"/>
        </w:sectPr>
      </w:pPr>
    </w:p>
    <w:p w14:paraId="6611C9CC" w14:textId="5657420A" w:rsidR="0088493F" w:rsidRDefault="0088493F" w:rsidP="0088493F">
      <w:pPr>
        <w:pStyle w:val="H3Financials"/>
        <w:spacing w:before="0"/>
      </w:pPr>
      <w:bookmarkStart w:id="179" w:name="_Toc83220579"/>
      <w:bookmarkStart w:id="180" w:name="_Toc112133287"/>
      <w:bookmarkStart w:id="181" w:name="_Toc114824723"/>
      <w:r>
        <w:t>Other information</w:t>
      </w:r>
      <w:bookmarkEnd w:id="179"/>
      <w:bookmarkEnd w:id="180"/>
      <w:bookmarkEnd w:id="181"/>
    </w:p>
    <w:p w14:paraId="537777D8" w14:textId="77777777" w:rsidR="0088493F" w:rsidRDefault="0088493F" w:rsidP="0088493F">
      <w:pPr>
        <w:pStyle w:val="H4Financials"/>
        <w:spacing w:after="0"/>
      </w:pPr>
      <w:bookmarkStart w:id="182" w:name="_Toc83220580"/>
      <w:bookmarkStart w:id="183" w:name="_Toc114824724"/>
      <w:r>
        <w:t>Note 5.1 Current/non-current distinction for assets and liabilities</w:t>
      </w:r>
      <w:bookmarkEnd w:id="182"/>
      <w:bookmarkEnd w:id="183"/>
    </w:p>
    <w:tbl>
      <w:tblPr>
        <w:tblStyle w:val="IHPA"/>
        <w:tblW w:w="7096" w:type="dxa"/>
        <w:tblLayout w:type="fixed"/>
        <w:tblLook w:val="0020" w:firstRow="1" w:lastRow="0" w:firstColumn="0" w:lastColumn="0" w:noHBand="0" w:noVBand="0"/>
        <w:tblCaption w:val="Note 5.1"/>
        <w:tblDescription w:val="Current/non-current distinction for assets and liabilities"/>
      </w:tblPr>
      <w:tblGrid>
        <w:gridCol w:w="5111"/>
        <w:gridCol w:w="992"/>
        <w:gridCol w:w="993"/>
      </w:tblGrid>
      <w:tr w:rsidR="0088493F" w:rsidRPr="00873FE9" w14:paraId="0E32D6F7" w14:textId="77777777" w:rsidTr="00B15944">
        <w:trPr>
          <w:trHeight w:val="340"/>
        </w:trPr>
        <w:tc>
          <w:tcPr>
            <w:tcW w:w="5111" w:type="dxa"/>
          </w:tcPr>
          <w:p w14:paraId="293D6E70" w14:textId="77777777" w:rsidR="0088493F" w:rsidRPr="00873FE9" w:rsidRDefault="0088493F" w:rsidP="00B1594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34C297C7" w14:textId="40712C3A" w:rsidR="0088493F" w:rsidRPr="00873FE9" w:rsidRDefault="0088493F"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202</w:t>
            </w:r>
            <w:r w:rsidR="0033551D">
              <w:rPr>
                <w:rFonts w:asciiTheme="majorHAnsi" w:hAnsiTheme="majorHAnsi" w:cs="Futura PT Heavy"/>
                <w:color w:val="1C1C1C"/>
                <w:sz w:val="16"/>
                <w:szCs w:val="16"/>
                <w:lang w:val="en-US"/>
              </w:rPr>
              <w:t>2</w:t>
            </w:r>
            <w:r w:rsidRPr="00873FE9">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28458603" w14:textId="1F26E6B3" w:rsidR="0088493F" w:rsidRPr="00873FE9" w:rsidRDefault="0088493F" w:rsidP="00B1594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w:t>
            </w:r>
            <w:r w:rsidR="0033551D">
              <w:rPr>
                <w:rFonts w:asciiTheme="majorHAnsi" w:hAnsiTheme="majorHAnsi" w:cs="Futura PT Heavy"/>
                <w:color w:val="1C1C1C"/>
                <w:sz w:val="16"/>
                <w:szCs w:val="16"/>
                <w:lang w:val="en-US"/>
              </w:rPr>
              <w:t>1</w:t>
            </w:r>
            <w:r w:rsidRPr="00873FE9">
              <w:rPr>
                <w:rFonts w:asciiTheme="majorHAnsi" w:hAnsiTheme="majorHAnsi" w:cs="Futura PT Heavy"/>
                <w:color w:val="1C1C1C"/>
                <w:sz w:val="16"/>
                <w:szCs w:val="16"/>
                <w:lang w:val="en-US"/>
              </w:rPr>
              <w:br/>
              <w:t>$’000</w:t>
            </w:r>
          </w:p>
        </w:tc>
      </w:tr>
      <w:tr w:rsidR="0088493F" w:rsidRPr="00873FE9" w14:paraId="72151BE2" w14:textId="77777777" w:rsidTr="00B15944">
        <w:trPr>
          <w:trHeight w:val="170"/>
        </w:trPr>
        <w:tc>
          <w:tcPr>
            <w:tcW w:w="5111" w:type="dxa"/>
          </w:tcPr>
          <w:p w14:paraId="4F6D8C35" w14:textId="77777777" w:rsidR="0088493F" w:rsidRPr="00873FE9" w:rsidRDefault="0088493F" w:rsidP="00B1594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0613FD">
              <w:rPr>
                <w:rFonts w:asciiTheme="majorHAnsi" w:hAnsiTheme="majorHAnsi"/>
                <w:color w:val="1C1C1C"/>
                <w:sz w:val="14"/>
                <w:szCs w:val="14"/>
              </w:rPr>
              <w:t>Note 5.1A Current/non-current distinction for assets and liabilities</w:t>
            </w:r>
          </w:p>
        </w:tc>
        <w:tc>
          <w:tcPr>
            <w:tcW w:w="992" w:type="dxa"/>
            <w:tcBorders>
              <w:top w:val="single" w:sz="12" w:space="0" w:color="auto"/>
              <w:right w:val="single" w:sz="18" w:space="0" w:color="FFFFFF" w:themeColor="background2"/>
            </w:tcBorders>
          </w:tcPr>
          <w:p w14:paraId="38A8BC39" w14:textId="77777777" w:rsidR="0088493F" w:rsidRPr="00873FE9" w:rsidRDefault="0088493F"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3C49B0EC" w14:textId="77777777" w:rsidR="0088493F" w:rsidRPr="00873FE9" w:rsidRDefault="0088493F" w:rsidP="00B15944">
            <w:pPr>
              <w:autoSpaceDE w:val="0"/>
              <w:autoSpaceDN w:val="0"/>
              <w:adjustRightInd w:val="0"/>
              <w:spacing w:before="20" w:after="20"/>
              <w:jc w:val="right"/>
              <w:rPr>
                <w:color w:val="1C1C1C"/>
                <w:sz w:val="14"/>
                <w:szCs w:val="14"/>
              </w:rPr>
            </w:pPr>
          </w:p>
        </w:tc>
      </w:tr>
      <w:tr w:rsidR="0088493F" w:rsidRPr="00873FE9" w14:paraId="1CEF58EE" w14:textId="77777777" w:rsidTr="00B15944">
        <w:trPr>
          <w:trHeight w:val="170"/>
        </w:trPr>
        <w:tc>
          <w:tcPr>
            <w:tcW w:w="5111" w:type="dxa"/>
          </w:tcPr>
          <w:p w14:paraId="2EDB9840" w14:textId="77777777" w:rsidR="0088493F" w:rsidRPr="000613FD" w:rsidRDefault="0088493F" w:rsidP="00B15944">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Assets expected to be recovered in:</w:t>
            </w:r>
          </w:p>
        </w:tc>
        <w:tc>
          <w:tcPr>
            <w:tcW w:w="992" w:type="dxa"/>
            <w:tcBorders>
              <w:right w:val="single" w:sz="18" w:space="0" w:color="FFFFFF" w:themeColor="background2"/>
            </w:tcBorders>
          </w:tcPr>
          <w:p w14:paraId="396C9F80" w14:textId="77777777" w:rsidR="0088493F" w:rsidRPr="00873FE9" w:rsidRDefault="0088493F"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172FB995" w14:textId="77777777" w:rsidR="0088493F" w:rsidRPr="00873FE9" w:rsidRDefault="0088493F" w:rsidP="00B15944">
            <w:pPr>
              <w:autoSpaceDE w:val="0"/>
              <w:autoSpaceDN w:val="0"/>
              <w:adjustRightInd w:val="0"/>
              <w:spacing w:before="20" w:after="20"/>
              <w:jc w:val="right"/>
              <w:rPr>
                <w:color w:val="1C1C1C"/>
                <w:sz w:val="14"/>
                <w:szCs w:val="14"/>
              </w:rPr>
            </w:pPr>
          </w:p>
        </w:tc>
      </w:tr>
      <w:tr w:rsidR="0088493F" w:rsidRPr="00873FE9" w14:paraId="336527B9" w14:textId="77777777" w:rsidTr="00B15944">
        <w:trPr>
          <w:trHeight w:val="170"/>
        </w:trPr>
        <w:tc>
          <w:tcPr>
            <w:tcW w:w="5111" w:type="dxa"/>
          </w:tcPr>
          <w:p w14:paraId="25336719" w14:textId="77777777" w:rsidR="0088493F" w:rsidRPr="000613FD" w:rsidRDefault="0088493F" w:rsidP="00B15944">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No more than 12 months</w:t>
            </w:r>
          </w:p>
        </w:tc>
        <w:tc>
          <w:tcPr>
            <w:tcW w:w="992" w:type="dxa"/>
            <w:tcBorders>
              <w:right w:val="single" w:sz="18" w:space="0" w:color="FFFFFF" w:themeColor="background2"/>
            </w:tcBorders>
          </w:tcPr>
          <w:p w14:paraId="4006EC3E" w14:textId="77777777" w:rsidR="0088493F" w:rsidRPr="00873FE9" w:rsidRDefault="0088493F" w:rsidP="00B1594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64A1EF45" w14:textId="77777777" w:rsidR="0088493F" w:rsidRPr="00873FE9" w:rsidRDefault="0088493F" w:rsidP="00B15944">
            <w:pPr>
              <w:autoSpaceDE w:val="0"/>
              <w:autoSpaceDN w:val="0"/>
              <w:adjustRightInd w:val="0"/>
              <w:spacing w:before="20" w:after="20"/>
              <w:jc w:val="right"/>
              <w:rPr>
                <w:color w:val="1C1C1C"/>
                <w:sz w:val="14"/>
                <w:szCs w:val="14"/>
              </w:rPr>
            </w:pPr>
          </w:p>
        </w:tc>
      </w:tr>
      <w:tr w:rsidR="00FD02F9" w:rsidRPr="00873FE9" w14:paraId="4BB0F97C" w14:textId="77777777" w:rsidTr="00B15944">
        <w:trPr>
          <w:trHeight w:val="170"/>
        </w:trPr>
        <w:tc>
          <w:tcPr>
            <w:tcW w:w="5111" w:type="dxa"/>
          </w:tcPr>
          <w:p w14:paraId="4AB1AF23" w14:textId="77777777" w:rsidR="00FD02F9" w:rsidRPr="00873FE9" w:rsidRDefault="00FD02F9" w:rsidP="00FD02F9">
            <w:pPr>
              <w:suppressAutoHyphens/>
              <w:autoSpaceDE w:val="0"/>
              <w:autoSpaceDN w:val="0"/>
              <w:adjustRightInd w:val="0"/>
              <w:spacing w:before="20" w:after="20"/>
              <w:ind w:left="113"/>
              <w:textAlignment w:val="center"/>
              <w:rPr>
                <w:rFonts w:cs="Futura PT Book"/>
                <w:color w:val="1C1C1C"/>
                <w:sz w:val="14"/>
                <w:szCs w:val="14"/>
                <w:lang w:val="en-US"/>
              </w:rPr>
            </w:pPr>
            <w:r>
              <w:rPr>
                <w:color w:val="1C1C1C"/>
                <w:sz w:val="14"/>
                <w:szCs w:val="14"/>
              </w:rPr>
              <w:t>Cash and cash equivalents</w:t>
            </w:r>
          </w:p>
        </w:tc>
        <w:tc>
          <w:tcPr>
            <w:tcW w:w="992" w:type="dxa"/>
            <w:tcBorders>
              <w:right w:val="single" w:sz="18" w:space="0" w:color="FFFFFF" w:themeColor="background2"/>
            </w:tcBorders>
          </w:tcPr>
          <w:p w14:paraId="1D989DC5" w14:textId="378B9B6C" w:rsidR="00FD02F9" w:rsidRPr="006517AA" w:rsidRDefault="00FD02F9" w:rsidP="00FD02F9">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6517AA">
              <w:rPr>
                <w:rFonts w:asciiTheme="majorHAnsi" w:hAnsiTheme="majorHAnsi" w:cs="Calibri"/>
                <w:sz w:val="14"/>
                <w:szCs w:val="14"/>
              </w:rPr>
              <w:t>16,</w:t>
            </w:r>
            <w:r>
              <w:rPr>
                <w:rFonts w:asciiTheme="majorHAnsi" w:hAnsiTheme="majorHAnsi" w:cs="Calibri"/>
                <w:sz w:val="14"/>
                <w:szCs w:val="14"/>
              </w:rPr>
              <w:t>079</w:t>
            </w:r>
          </w:p>
        </w:tc>
        <w:tc>
          <w:tcPr>
            <w:tcW w:w="993" w:type="dxa"/>
            <w:tcBorders>
              <w:left w:val="single" w:sz="18" w:space="0" w:color="FFFFFF" w:themeColor="background2"/>
            </w:tcBorders>
          </w:tcPr>
          <w:p w14:paraId="02E9500F" w14:textId="5A832A8E" w:rsidR="00FD02F9" w:rsidRPr="006517AA" w:rsidRDefault="00FD02F9" w:rsidP="00FD02F9">
            <w:pPr>
              <w:suppressAutoHyphens/>
              <w:autoSpaceDE w:val="0"/>
              <w:autoSpaceDN w:val="0"/>
              <w:adjustRightInd w:val="0"/>
              <w:spacing w:before="20" w:after="20"/>
              <w:jc w:val="right"/>
              <w:textAlignment w:val="center"/>
              <w:rPr>
                <w:rFonts w:cs="Futura PT Book"/>
                <w:color w:val="1C1C1C"/>
                <w:sz w:val="14"/>
                <w:szCs w:val="14"/>
                <w:lang w:val="en-US"/>
              </w:rPr>
            </w:pPr>
            <w:r w:rsidRPr="006517AA">
              <w:rPr>
                <w:rFonts w:cs="Calibri"/>
                <w:sz w:val="14"/>
                <w:szCs w:val="14"/>
              </w:rPr>
              <w:t>1</w:t>
            </w:r>
            <w:r>
              <w:rPr>
                <w:rFonts w:cs="Calibri"/>
                <w:sz w:val="14"/>
                <w:szCs w:val="14"/>
              </w:rPr>
              <w:t>6,251</w:t>
            </w:r>
          </w:p>
        </w:tc>
      </w:tr>
      <w:tr w:rsidR="00FD02F9" w:rsidRPr="00873FE9" w14:paraId="39E52B15" w14:textId="77777777" w:rsidTr="00B15944">
        <w:trPr>
          <w:trHeight w:val="170"/>
        </w:trPr>
        <w:tc>
          <w:tcPr>
            <w:tcW w:w="5111" w:type="dxa"/>
          </w:tcPr>
          <w:p w14:paraId="5BAB4817" w14:textId="076B3651"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Trade and other receivables</w:t>
            </w:r>
          </w:p>
        </w:tc>
        <w:tc>
          <w:tcPr>
            <w:tcW w:w="992" w:type="dxa"/>
            <w:tcBorders>
              <w:right w:val="single" w:sz="18" w:space="0" w:color="FFFFFF" w:themeColor="background2"/>
            </w:tcBorders>
          </w:tcPr>
          <w:p w14:paraId="54F98979" w14:textId="15EF6EBC" w:rsidR="00FD02F9" w:rsidRPr="006517AA" w:rsidRDefault="00FD02F9" w:rsidP="00FD02F9">
            <w:pPr>
              <w:suppressAutoHyphens/>
              <w:autoSpaceDE w:val="0"/>
              <w:autoSpaceDN w:val="0"/>
              <w:adjustRightInd w:val="0"/>
              <w:spacing w:before="20" w:after="20"/>
              <w:jc w:val="right"/>
              <w:textAlignment w:val="center"/>
              <w:rPr>
                <w:rFonts w:asciiTheme="majorHAnsi" w:hAnsiTheme="majorHAnsi" w:cs="Calibri"/>
                <w:sz w:val="14"/>
                <w:szCs w:val="14"/>
              </w:rPr>
            </w:pPr>
            <w:r>
              <w:rPr>
                <w:rFonts w:asciiTheme="majorHAnsi" w:hAnsiTheme="majorHAnsi" w:cs="Calibri"/>
                <w:sz w:val="14"/>
                <w:szCs w:val="14"/>
              </w:rPr>
              <w:t>529</w:t>
            </w:r>
          </w:p>
        </w:tc>
        <w:tc>
          <w:tcPr>
            <w:tcW w:w="993" w:type="dxa"/>
            <w:tcBorders>
              <w:left w:val="single" w:sz="18" w:space="0" w:color="FFFFFF" w:themeColor="background2"/>
            </w:tcBorders>
          </w:tcPr>
          <w:p w14:paraId="041BCF1D" w14:textId="5FEF1B48" w:rsidR="00FD02F9" w:rsidRPr="006517AA" w:rsidRDefault="00536C01" w:rsidP="00FD02F9">
            <w:pPr>
              <w:suppressAutoHyphens/>
              <w:autoSpaceDE w:val="0"/>
              <w:autoSpaceDN w:val="0"/>
              <w:adjustRightInd w:val="0"/>
              <w:spacing w:before="20" w:after="20"/>
              <w:jc w:val="right"/>
              <w:textAlignment w:val="center"/>
              <w:rPr>
                <w:rFonts w:cs="Calibri"/>
                <w:sz w:val="14"/>
                <w:szCs w:val="14"/>
              </w:rPr>
            </w:pPr>
            <w:r>
              <w:rPr>
                <w:rFonts w:cs="Calibri"/>
                <w:sz w:val="14"/>
                <w:szCs w:val="14"/>
              </w:rPr>
              <w:t>273</w:t>
            </w:r>
          </w:p>
        </w:tc>
      </w:tr>
      <w:tr w:rsidR="00FD02F9" w:rsidRPr="00873FE9" w14:paraId="2B6C0934" w14:textId="77777777" w:rsidTr="00B15944">
        <w:trPr>
          <w:trHeight w:val="170"/>
        </w:trPr>
        <w:tc>
          <w:tcPr>
            <w:tcW w:w="5111" w:type="dxa"/>
          </w:tcPr>
          <w:p w14:paraId="5F5FE011" w14:textId="38E71ED4" w:rsidR="00FD02F9" w:rsidRPr="00873FE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Prepayments</w:t>
            </w:r>
          </w:p>
        </w:tc>
        <w:tc>
          <w:tcPr>
            <w:tcW w:w="992" w:type="dxa"/>
            <w:tcBorders>
              <w:bottom w:val="single" w:sz="2" w:space="0" w:color="auto"/>
              <w:right w:val="single" w:sz="18" w:space="0" w:color="FFFFFF" w:themeColor="background2"/>
            </w:tcBorders>
          </w:tcPr>
          <w:p w14:paraId="7C23CABB" w14:textId="19CF6FEB" w:rsidR="00FD02F9" w:rsidRPr="006517AA" w:rsidRDefault="00FD02F9" w:rsidP="00FD02F9">
            <w:pPr>
              <w:suppressAutoHyphens/>
              <w:autoSpaceDE w:val="0"/>
              <w:autoSpaceDN w:val="0"/>
              <w:adjustRightInd w:val="0"/>
              <w:spacing w:before="20" w:after="20"/>
              <w:jc w:val="right"/>
              <w:textAlignment w:val="center"/>
              <w:rPr>
                <w:rFonts w:asciiTheme="majorHAnsi" w:hAnsiTheme="majorHAnsi" w:cs="Calibri"/>
                <w:sz w:val="14"/>
                <w:szCs w:val="14"/>
              </w:rPr>
            </w:pPr>
            <w:r>
              <w:rPr>
                <w:rFonts w:asciiTheme="majorHAnsi" w:hAnsiTheme="majorHAnsi" w:cs="Calibri"/>
                <w:sz w:val="14"/>
                <w:szCs w:val="14"/>
              </w:rPr>
              <w:t>292</w:t>
            </w:r>
          </w:p>
        </w:tc>
        <w:tc>
          <w:tcPr>
            <w:tcW w:w="993" w:type="dxa"/>
            <w:tcBorders>
              <w:left w:val="single" w:sz="18" w:space="0" w:color="FFFFFF" w:themeColor="background2"/>
              <w:bottom w:val="single" w:sz="2" w:space="0" w:color="auto"/>
            </w:tcBorders>
          </w:tcPr>
          <w:p w14:paraId="042570FB" w14:textId="72F6935D" w:rsidR="00FD02F9" w:rsidRPr="006517AA" w:rsidRDefault="00536C01" w:rsidP="00FD02F9">
            <w:pPr>
              <w:suppressAutoHyphens/>
              <w:autoSpaceDE w:val="0"/>
              <w:autoSpaceDN w:val="0"/>
              <w:adjustRightInd w:val="0"/>
              <w:spacing w:before="20" w:after="20"/>
              <w:jc w:val="right"/>
              <w:textAlignment w:val="center"/>
              <w:rPr>
                <w:rFonts w:cs="Calibri"/>
                <w:sz w:val="14"/>
                <w:szCs w:val="14"/>
              </w:rPr>
            </w:pPr>
            <w:r>
              <w:rPr>
                <w:rFonts w:cs="Calibri"/>
                <w:sz w:val="14"/>
                <w:szCs w:val="14"/>
              </w:rPr>
              <w:t>368</w:t>
            </w:r>
            <w:r w:rsidR="00FD02F9" w:rsidRPr="006517AA">
              <w:rPr>
                <w:rFonts w:cs="Calibri"/>
                <w:sz w:val="14"/>
                <w:szCs w:val="14"/>
              </w:rPr>
              <w:t xml:space="preserve"> </w:t>
            </w:r>
          </w:p>
        </w:tc>
      </w:tr>
      <w:tr w:rsidR="00FD02F9" w:rsidRPr="00873FE9" w14:paraId="3D04BFBD" w14:textId="77777777" w:rsidTr="00B15944">
        <w:trPr>
          <w:trHeight w:val="170"/>
        </w:trPr>
        <w:tc>
          <w:tcPr>
            <w:tcW w:w="5111" w:type="dxa"/>
          </w:tcPr>
          <w:p w14:paraId="6AA9D652" w14:textId="77777777" w:rsidR="00FD02F9" w:rsidRPr="00873FE9" w:rsidRDefault="00FD02F9" w:rsidP="00FD02F9">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 xml:space="preserve">Total </w:t>
            </w:r>
            <w:r>
              <w:rPr>
                <w:rFonts w:asciiTheme="majorHAnsi" w:hAnsiTheme="majorHAnsi"/>
                <w:color w:val="1C1C1C"/>
                <w:sz w:val="14"/>
                <w:szCs w:val="14"/>
              </w:rPr>
              <w:t>no more than 12 months</w:t>
            </w:r>
          </w:p>
        </w:tc>
        <w:tc>
          <w:tcPr>
            <w:tcW w:w="992" w:type="dxa"/>
            <w:tcBorders>
              <w:top w:val="single" w:sz="2" w:space="0" w:color="auto"/>
              <w:bottom w:val="single" w:sz="2" w:space="0" w:color="auto"/>
              <w:right w:val="single" w:sz="18" w:space="0" w:color="FFFFFF" w:themeColor="background2"/>
            </w:tcBorders>
          </w:tcPr>
          <w:p w14:paraId="108FFE1B" w14:textId="5247DDD2"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r w:rsidRPr="006517AA">
              <w:rPr>
                <w:rFonts w:asciiTheme="majorHAnsi" w:hAnsiTheme="majorHAnsi" w:cs="Calibri"/>
                <w:sz w:val="14"/>
                <w:szCs w:val="14"/>
              </w:rPr>
              <w:t>16,</w:t>
            </w:r>
            <w:r>
              <w:rPr>
                <w:rFonts w:asciiTheme="majorHAnsi" w:hAnsiTheme="majorHAnsi" w:cs="Calibri"/>
                <w:sz w:val="14"/>
                <w:szCs w:val="14"/>
              </w:rPr>
              <w:t>900</w:t>
            </w:r>
          </w:p>
        </w:tc>
        <w:tc>
          <w:tcPr>
            <w:tcW w:w="993" w:type="dxa"/>
            <w:tcBorders>
              <w:top w:val="single" w:sz="2" w:space="0" w:color="auto"/>
              <w:left w:val="single" w:sz="18" w:space="0" w:color="FFFFFF" w:themeColor="background2"/>
              <w:bottom w:val="single" w:sz="2" w:space="0" w:color="auto"/>
            </w:tcBorders>
          </w:tcPr>
          <w:p w14:paraId="7F13FE03" w14:textId="70EC3112" w:rsidR="00FD02F9" w:rsidRPr="006517AA" w:rsidRDefault="00FD02F9" w:rsidP="00FD02F9">
            <w:pPr>
              <w:suppressAutoHyphens/>
              <w:autoSpaceDE w:val="0"/>
              <w:autoSpaceDN w:val="0"/>
              <w:adjustRightInd w:val="0"/>
              <w:spacing w:before="20" w:after="20"/>
              <w:jc w:val="right"/>
              <w:textAlignment w:val="center"/>
              <w:rPr>
                <w:rFonts w:cs="Futura PT Book"/>
                <w:color w:val="1C1C1C"/>
                <w:sz w:val="14"/>
                <w:szCs w:val="14"/>
                <w:lang w:val="en-US"/>
              </w:rPr>
            </w:pPr>
            <w:r w:rsidRPr="006517AA">
              <w:rPr>
                <w:rFonts w:cs="Calibri"/>
                <w:sz w:val="14"/>
                <w:szCs w:val="14"/>
              </w:rPr>
              <w:t>1</w:t>
            </w:r>
            <w:r>
              <w:rPr>
                <w:rFonts w:cs="Calibri"/>
                <w:sz w:val="14"/>
                <w:szCs w:val="14"/>
              </w:rPr>
              <w:t>6,892</w:t>
            </w:r>
            <w:r w:rsidRPr="006517AA">
              <w:rPr>
                <w:rFonts w:cs="Calibri"/>
                <w:sz w:val="14"/>
                <w:szCs w:val="14"/>
              </w:rPr>
              <w:t xml:space="preserve"> </w:t>
            </w:r>
          </w:p>
        </w:tc>
      </w:tr>
      <w:tr w:rsidR="00FD02F9" w:rsidRPr="00873FE9" w14:paraId="6BF16BF0" w14:textId="77777777" w:rsidTr="00B15944">
        <w:trPr>
          <w:trHeight w:val="170"/>
        </w:trPr>
        <w:tc>
          <w:tcPr>
            <w:tcW w:w="5111" w:type="dxa"/>
          </w:tcPr>
          <w:p w14:paraId="7A3C78DE" w14:textId="77777777" w:rsidR="00FD02F9" w:rsidRPr="00F54B44"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sidRPr="00F54B44">
              <w:rPr>
                <w:rFonts w:asciiTheme="majorHAnsi" w:hAnsiTheme="majorHAnsi"/>
                <w:color w:val="1C1C1C"/>
                <w:sz w:val="14"/>
                <w:szCs w:val="14"/>
              </w:rPr>
              <w:t>More than 12 months</w:t>
            </w:r>
          </w:p>
        </w:tc>
        <w:tc>
          <w:tcPr>
            <w:tcW w:w="992" w:type="dxa"/>
            <w:tcBorders>
              <w:top w:val="single" w:sz="2" w:space="0" w:color="auto"/>
              <w:right w:val="single" w:sz="18" w:space="0" w:color="FFFFFF" w:themeColor="background2"/>
            </w:tcBorders>
          </w:tcPr>
          <w:p w14:paraId="7CF5DA3A" w14:textId="77777777"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7EC1CD64" w14:textId="77777777" w:rsidR="00FD02F9" w:rsidRPr="006517AA" w:rsidRDefault="00FD02F9" w:rsidP="00FD02F9">
            <w:pPr>
              <w:suppressAutoHyphens/>
              <w:autoSpaceDE w:val="0"/>
              <w:autoSpaceDN w:val="0"/>
              <w:adjustRightInd w:val="0"/>
              <w:spacing w:before="20" w:after="20"/>
              <w:jc w:val="right"/>
              <w:textAlignment w:val="center"/>
              <w:rPr>
                <w:color w:val="1C1C1C"/>
                <w:sz w:val="14"/>
                <w:szCs w:val="14"/>
              </w:rPr>
            </w:pPr>
          </w:p>
        </w:tc>
      </w:tr>
      <w:tr w:rsidR="00FD02F9" w:rsidRPr="00873FE9" w14:paraId="3CE60597" w14:textId="77777777" w:rsidTr="00B15944">
        <w:trPr>
          <w:trHeight w:val="170"/>
        </w:trPr>
        <w:tc>
          <w:tcPr>
            <w:tcW w:w="5111" w:type="dxa"/>
          </w:tcPr>
          <w:p w14:paraId="27C6C4B5" w14:textId="77777777" w:rsidR="00FD02F9" w:rsidRPr="00873FE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Buildings</w:t>
            </w:r>
          </w:p>
        </w:tc>
        <w:tc>
          <w:tcPr>
            <w:tcW w:w="992" w:type="dxa"/>
            <w:tcBorders>
              <w:right w:val="single" w:sz="18" w:space="0" w:color="FFFFFF" w:themeColor="background2"/>
            </w:tcBorders>
          </w:tcPr>
          <w:p w14:paraId="0F752A99" w14:textId="1D540B7A"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r w:rsidRPr="006517AA">
              <w:rPr>
                <w:rFonts w:asciiTheme="majorHAnsi" w:hAnsiTheme="majorHAnsi" w:cs="Calibri"/>
                <w:sz w:val="14"/>
                <w:szCs w:val="14"/>
              </w:rPr>
              <w:t>1</w:t>
            </w:r>
            <w:r>
              <w:rPr>
                <w:rFonts w:asciiTheme="majorHAnsi" w:hAnsiTheme="majorHAnsi" w:cs="Calibri"/>
                <w:sz w:val="14"/>
                <w:szCs w:val="14"/>
              </w:rPr>
              <w:t>2</w:t>
            </w:r>
            <w:r w:rsidRPr="006517AA">
              <w:rPr>
                <w:rFonts w:asciiTheme="majorHAnsi" w:hAnsiTheme="majorHAnsi" w:cs="Calibri"/>
                <w:sz w:val="14"/>
                <w:szCs w:val="14"/>
              </w:rPr>
              <w:t>,</w:t>
            </w:r>
            <w:r>
              <w:rPr>
                <w:rFonts w:asciiTheme="majorHAnsi" w:hAnsiTheme="majorHAnsi" w:cs="Calibri"/>
                <w:sz w:val="14"/>
                <w:szCs w:val="14"/>
              </w:rPr>
              <w:t>375</w:t>
            </w:r>
          </w:p>
        </w:tc>
        <w:tc>
          <w:tcPr>
            <w:tcW w:w="993" w:type="dxa"/>
            <w:tcBorders>
              <w:left w:val="single" w:sz="18" w:space="0" w:color="FFFFFF" w:themeColor="background2"/>
            </w:tcBorders>
          </w:tcPr>
          <w:p w14:paraId="1CEFF711" w14:textId="585F2204" w:rsidR="00FD02F9" w:rsidRPr="006517AA"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1,124</w:t>
            </w:r>
          </w:p>
        </w:tc>
      </w:tr>
      <w:tr w:rsidR="00FD02F9" w:rsidRPr="00873FE9" w14:paraId="7809F5E8" w14:textId="77777777" w:rsidTr="00B15944">
        <w:trPr>
          <w:trHeight w:val="170"/>
        </w:trPr>
        <w:tc>
          <w:tcPr>
            <w:tcW w:w="5111" w:type="dxa"/>
          </w:tcPr>
          <w:p w14:paraId="5F715775" w14:textId="77777777"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Leasehold improvements</w:t>
            </w:r>
          </w:p>
        </w:tc>
        <w:tc>
          <w:tcPr>
            <w:tcW w:w="992" w:type="dxa"/>
            <w:tcBorders>
              <w:right w:val="single" w:sz="18" w:space="0" w:color="FFFFFF" w:themeColor="background2"/>
            </w:tcBorders>
          </w:tcPr>
          <w:p w14:paraId="1A350909" w14:textId="5950F8AF"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w:t>
            </w:r>
            <w:r w:rsidRPr="006517AA">
              <w:rPr>
                <w:rFonts w:asciiTheme="majorHAnsi" w:hAnsiTheme="majorHAnsi" w:cs="Calibri"/>
                <w:sz w:val="14"/>
                <w:szCs w:val="14"/>
              </w:rPr>
              <w:t>,</w:t>
            </w:r>
            <w:r>
              <w:rPr>
                <w:rFonts w:asciiTheme="majorHAnsi" w:hAnsiTheme="majorHAnsi" w:cs="Calibri"/>
                <w:sz w:val="14"/>
                <w:szCs w:val="14"/>
              </w:rPr>
              <w:t>398</w:t>
            </w:r>
          </w:p>
        </w:tc>
        <w:tc>
          <w:tcPr>
            <w:tcW w:w="993" w:type="dxa"/>
            <w:tcBorders>
              <w:left w:val="single" w:sz="18" w:space="0" w:color="FFFFFF" w:themeColor="background2"/>
            </w:tcBorders>
          </w:tcPr>
          <w:p w14:paraId="7FA85676" w14:textId="6E1D0248" w:rsidR="00FD02F9" w:rsidRPr="006517AA"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1,107</w:t>
            </w:r>
          </w:p>
        </w:tc>
      </w:tr>
      <w:tr w:rsidR="00FD02F9" w:rsidRPr="00873FE9" w14:paraId="79C71806" w14:textId="77777777" w:rsidTr="00B15944">
        <w:trPr>
          <w:trHeight w:val="170"/>
        </w:trPr>
        <w:tc>
          <w:tcPr>
            <w:tcW w:w="5111" w:type="dxa"/>
          </w:tcPr>
          <w:p w14:paraId="312BCE07" w14:textId="77777777"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Computer software</w:t>
            </w:r>
          </w:p>
        </w:tc>
        <w:tc>
          <w:tcPr>
            <w:tcW w:w="992" w:type="dxa"/>
            <w:tcBorders>
              <w:right w:val="single" w:sz="18" w:space="0" w:color="FFFFFF" w:themeColor="background2"/>
            </w:tcBorders>
          </w:tcPr>
          <w:p w14:paraId="788BA90C" w14:textId="33BFFF35"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61</w:t>
            </w:r>
          </w:p>
        </w:tc>
        <w:tc>
          <w:tcPr>
            <w:tcW w:w="993" w:type="dxa"/>
            <w:tcBorders>
              <w:left w:val="single" w:sz="18" w:space="0" w:color="FFFFFF" w:themeColor="background2"/>
            </w:tcBorders>
          </w:tcPr>
          <w:p w14:paraId="20E12EA4" w14:textId="566C0112" w:rsidR="00FD02F9" w:rsidRPr="006517AA"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92</w:t>
            </w:r>
          </w:p>
        </w:tc>
      </w:tr>
      <w:tr w:rsidR="00FD02F9" w:rsidRPr="00873FE9" w14:paraId="38424860" w14:textId="77777777" w:rsidTr="00B15944">
        <w:trPr>
          <w:trHeight w:val="170"/>
        </w:trPr>
        <w:tc>
          <w:tcPr>
            <w:tcW w:w="5111" w:type="dxa"/>
          </w:tcPr>
          <w:p w14:paraId="19EA4079" w14:textId="1341577E"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Plant and equipment</w:t>
            </w:r>
          </w:p>
        </w:tc>
        <w:tc>
          <w:tcPr>
            <w:tcW w:w="992" w:type="dxa"/>
            <w:tcBorders>
              <w:right w:val="single" w:sz="18" w:space="0" w:color="FFFFFF" w:themeColor="background2"/>
            </w:tcBorders>
          </w:tcPr>
          <w:p w14:paraId="4AB81AAD" w14:textId="29A2C1D1" w:rsidR="00FD02F9" w:rsidRDefault="00FD02F9" w:rsidP="00FD02F9">
            <w:pPr>
              <w:autoSpaceDE w:val="0"/>
              <w:autoSpaceDN w:val="0"/>
              <w:adjustRightInd w:val="0"/>
              <w:spacing w:before="20" w:after="20"/>
              <w:jc w:val="right"/>
              <w:rPr>
                <w:rFonts w:asciiTheme="majorHAnsi" w:hAnsiTheme="majorHAnsi" w:cs="Calibri"/>
                <w:sz w:val="14"/>
                <w:szCs w:val="14"/>
              </w:rPr>
            </w:pPr>
            <w:r>
              <w:rPr>
                <w:rFonts w:asciiTheme="majorHAnsi" w:hAnsiTheme="majorHAnsi" w:cs="Calibri"/>
                <w:sz w:val="14"/>
                <w:szCs w:val="14"/>
              </w:rPr>
              <w:t>-</w:t>
            </w:r>
          </w:p>
        </w:tc>
        <w:tc>
          <w:tcPr>
            <w:tcW w:w="993" w:type="dxa"/>
            <w:tcBorders>
              <w:left w:val="single" w:sz="18" w:space="0" w:color="FFFFFF" w:themeColor="background2"/>
            </w:tcBorders>
          </w:tcPr>
          <w:p w14:paraId="13E44BF2" w14:textId="149D2537" w:rsidR="00FD02F9" w:rsidRDefault="00FD02F9" w:rsidP="00FD02F9">
            <w:pPr>
              <w:suppressAutoHyphens/>
              <w:autoSpaceDE w:val="0"/>
              <w:autoSpaceDN w:val="0"/>
              <w:adjustRightInd w:val="0"/>
              <w:spacing w:before="20" w:after="20"/>
              <w:jc w:val="right"/>
              <w:textAlignment w:val="center"/>
              <w:rPr>
                <w:rFonts w:cs="Calibri"/>
                <w:sz w:val="14"/>
                <w:szCs w:val="14"/>
              </w:rPr>
            </w:pPr>
            <w:r>
              <w:rPr>
                <w:rFonts w:cs="Calibri"/>
                <w:sz w:val="14"/>
                <w:szCs w:val="14"/>
              </w:rPr>
              <w:t>1</w:t>
            </w:r>
          </w:p>
        </w:tc>
      </w:tr>
      <w:tr w:rsidR="00FD02F9" w:rsidRPr="00873FE9" w14:paraId="431539C0" w14:textId="77777777" w:rsidTr="00B15944">
        <w:trPr>
          <w:trHeight w:val="170"/>
        </w:trPr>
        <w:tc>
          <w:tcPr>
            <w:tcW w:w="5111" w:type="dxa"/>
          </w:tcPr>
          <w:p w14:paraId="65F1A533" w14:textId="6F8FB8F4"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Prepayments</w:t>
            </w:r>
          </w:p>
        </w:tc>
        <w:tc>
          <w:tcPr>
            <w:tcW w:w="992" w:type="dxa"/>
            <w:tcBorders>
              <w:bottom w:val="single" w:sz="2" w:space="0" w:color="auto"/>
              <w:right w:val="single" w:sz="18" w:space="0" w:color="FFFFFF" w:themeColor="background2"/>
            </w:tcBorders>
          </w:tcPr>
          <w:p w14:paraId="025B7BA9" w14:textId="5C18AFD6"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16</w:t>
            </w:r>
          </w:p>
        </w:tc>
        <w:tc>
          <w:tcPr>
            <w:tcW w:w="993" w:type="dxa"/>
            <w:tcBorders>
              <w:left w:val="single" w:sz="18" w:space="0" w:color="FFFFFF" w:themeColor="background2"/>
              <w:bottom w:val="single" w:sz="2" w:space="0" w:color="auto"/>
            </w:tcBorders>
          </w:tcPr>
          <w:p w14:paraId="0AA3A59D" w14:textId="6BA97184" w:rsidR="00FD02F9" w:rsidRPr="006517AA" w:rsidRDefault="00FD02F9" w:rsidP="00FD02F9">
            <w:pPr>
              <w:suppressAutoHyphens/>
              <w:autoSpaceDE w:val="0"/>
              <w:autoSpaceDN w:val="0"/>
              <w:adjustRightInd w:val="0"/>
              <w:spacing w:before="20" w:after="20"/>
              <w:jc w:val="right"/>
              <w:textAlignment w:val="center"/>
              <w:rPr>
                <w:color w:val="1C1C1C"/>
                <w:sz w:val="14"/>
                <w:szCs w:val="14"/>
              </w:rPr>
            </w:pPr>
            <w:r>
              <w:rPr>
                <w:color w:val="1C1C1C"/>
                <w:sz w:val="14"/>
                <w:szCs w:val="14"/>
              </w:rPr>
              <w:t>-</w:t>
            </w:r>
          </w:p>
        </w:tc>
      </w:tr>
      <w:tr w:rsidR="00FD02F9" w:rsidRPr="00873FE9" w14:paraId="491E9E45" w14:textId="77777777" w:rsidTr="00B15944">
        <w:trPr>
          <w:trHeight w:val="170"/>
        </w:trPr>
        <w:tc>
          <w:tcPr>
            <w:tcW w:w="5111" w:type="dxa"/>
          </w:tcPr>
          <w:p w14:paraId="205550B0" w14:textId="77777777" w:rsidR="00FD02F9" w:rsidRPr="006517AA"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more than 12 months</w:t>
            </w:r>
          </w:p>
        </w:tc>
        <w:tc>
          <w:tcPr>
            <w:tcW w:w="992" w:type="dxa"/>
            <w:tcBorders>
              <w:top w:val="single" w:sz="2" w:space="0" w:color="auto"/>
              <w:bottom w:val="single" w:sz="2" w:space="0" w:color="auto"/>
              <w:right w:val="single" w:sz="18" w:space="0" w:color="FFFFFF" w:themeColor="background2"/>
            </w:tcBorders>
          </w:tcPr>
          <w:p w14:paraId="0405213F" w14:textId="429CA141"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14</w:t>
            </w:r>
            <w:r w:rsidRPr="006517AA">
              <w:rPr>
                <w:rFonts w:asciiTheme="majorHAnsi" w:hAnsiTheme="majorHAnsi" w:cs="Calibri"/>
                <w:sz w:val="14"/>
                <w:szCs w:val="14"/>
              </w:rPr>
              <w:t>,</w:t>
            </w:r>
            <w:r>
              <w:rPr>
                <w:rFonts w:asciiTheme="majorHAnsi" w:hAnsiTheme="majorHAnsi" w:cs="Calibri"/>
                <w:sz w:val="14"/>
                <w:szCs w:val="14"/>
              </w:rPr>
              <w:t>850</w:t>
            </w:r>
          </w:p>
        </w:tc>
        <w:tc>
          <w:tcPr>
            <w:tcW w:w="993" w:type="dxa"/>
            <w:tcBorders>
              <w:top w:val="single" w:sz="2" w:space="0" w:color="auto"/>
              <w:left w:val="single" w:sz="18" w:space="0" w:color="FFFFFF" w:themeColor="background2"/>
              <w:bottom w:val="single" w:sz="2" w:space="0" w:color="auto"/>
            </w:tcBorders>
          </w:tcPr>
          <w:p w14:paraId="53D90EEE" w14:textId="3F175FD6" w:rsidR="00FD02F9" w:rsidRPr="006517AA"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2,324</w:t>
            </w:r>
          </w:p>
        </w:tc>
      </w:tr>
      <w:tr w:rsidR="00FD02F9" w:rsidRPr="00873FE9" w14:paraId="29D1D91F" w14:textId="77777777" w:rsidTr="00B15944">
        <w:trPr>
          <w:trHeight w:val="170"/>
        </w:trPr>
        <w:tc>
          <w:tcPr>
            <w:tcW w:w="5111" w:type="dxa"/>
          </w:tcPr>
          <w:p w14:paraId="36AAA6CB" w14:textId="77777777" w:rsidR="00FD02F9" w:rsidRPr="006517AA"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assets</w:t>
            </w:r>
          </w:p>
        </w:tc>
        <w:tc>
          <w:tcPr>
            <w:tcW w:w="992" w:type="dxa"/>
            <w:tcBorders>
              <w:top w:val="single" w:sz="2" w:space="0" w:color="auto"/>
              <w:bottom w:val="single" w:sz="2" w:space="0" w:color="auto"/>
              <w:right w:val="single" w:sz="18" w:space="0" w:color="FFFFFF" w:themeColor="background2"/>
            </w:tcBorders>
          </w:tcPr>
          <w:p w14:paraId="4BCD7889" w14:textId="598C2F38" w:rsidR="00FD02F9" w:rsidRPr="006517AA"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31</w:t>
            </w:r>
            <w:r w:rsidRPr="006517AA">
              <w:rPr>
                <w:rFonts w:asciiTheme="majorHAnsi" w:hAnsiTheme="majorHAnsi" w:cs="Calibri"/>
                <w:sz w:val="14"/>
                <w:szCs w:val="14"/>
              </w:rPr>
              <w:t>,</w:t>
            </w:r>
            <w:r>
              <w:rPr>
                <w:rFonts w:asciiTheme="majorHAnsi" w:hAnsiTheme="majorHAnsi" w:cs="Calibri"/>
                <w:sz w:val="14"/>
                <w:szCs w:val="14"/>
              </w:rPr>
              <w:t>750</w:t>
            </w:r>
          </w:p>
        </w:tc>
        <w:tc>
          <w:tcPr>
            <w:tcW w:w="993" w:type="dxa"/>
            <w:tcBorders>
              <w:top w:val="single" w:sz="2" w:space="0" w:color="auto"/>
              <w:left w:val="single" w:sz="18" w:space="0" w:color="FFFFFF" w:themeColor="background2"/>
              <w:bottom w:val="single" w:sz="2" w:space="0" w:color="auto"/>
            </w:tcBorders>
          </w:tcPr>
          <w:p w14:paraId="249601DA" w14:textId="4FEA4647" w:rsidR="00FD02F9" w:rsidRPr="006517AA"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19,216</w:t>
            </w:r>
          </w:p>
        </w:tc>
      </w:tr>
      <w:tr w:rsidR="00FD02F9" w:rsidRPr="00873FE9" w14:paraId="3F8119E0" w14:textId="77777777" w:rsidTr="00B15944">
        <w:trPr>
          <w:trHeight w:val="170"/>
        </w:trPr>
        <w:tc>
          <w:tcPr>
            <w:tcW w:w="5111" w:type="dxa"/>
          </w:tcPr>
          <w:p w14:paraId="72833454" w14:textId="77777777" w:rsidR="00FD02F9" w:rsidRPr="00873FE9" w:rsidRDefault="00FD02F9" w:rsidP="00FD02F9">
            <w:pPr>
              <w:suppressAutoHyphens/>
              <w:autoSpaceDE w:val="0"/>
              <w:autoSpaceDN w:val="0"/>
              <w:adjustRightInd w:val="0"/>
              <w:spacing w:before="20" w:after="20"/>
              <w:textAlignment w:val="center"/>
              <w:rPr>
                <w:color w:val="1C1C1C"/>
                <w:sz w:val="14"/>
                <w:szCs w:val="14"/>
              </w:rPr>
            </w:pPr>
          </w:p>
        </w:tc>
        <w:tc>
          <w:tcPr>
            <w:tcW w:w="992" w:type="dxa"/>
            <w:tcBorders>
              <w:top w:val="single" w:sz="2" w:space="0" w:color="auto"/>
              <w:right w:val="single" w:sz="18" w:space="0" w:color="FFFFFF" w:themeColor="background2"/>
            </w:tcBorders>
          </w:tcPr>
          <w:p w14:paraId="2E7B71F4" w14:textId="77777777" w:rsidR="00FD02F9" w:rsidRPr="00873FE9" w:rsidRDefault="00FD02F9" w:rsidP="00FD02F9">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50CF65CC" w14:textId="77777777" w:rsidR="00FD02F9" w:rsidRPr="00873FE9" w:rsidRDefault="00FD02F9" w:rsidP="00FD02F9">
            <w:pPr>
              <w:suppressAutoHyphens/>
              <w:autoSpaceDE w:val="0"/>
              <w:autoSpaceDN w:val="0"/>
              <w:adjustRightInd w:val="0"/>
              <w:spacing w:before="20" w:after="20"/>
              <w:jc w:val="right"/>
              <w:textAlignment w:val="center"/>
              <w:rPr>
                <w:color w:val="1C1C1C"/>
                <w:sz w:val="14"/>
                <w:szCs w:val="14"/>
              </w:rPr>
            </w:pPr>
          </w:p>
        </w:tc>
      </w:tr>
      <w:tr w:rsidR="00FD02F9" w:rsidRPr="00873FE9" w14:paraId="3B8037F5" w14:textId="77777777" w:rsidTr="00B15944">
        <w:trPr>
          <w:trHeight w:val="170"/>
        </w:trPr>
        <w:tc>
          <w:tcPr>
            <w:tcW w:w="5111" w:type="dxa"/>
          </w:tcPr>
          <w:p w14:paraId="56CA8D40" w14:textId="77777777" w:rsidR="00FD02F9" w:rsidRPr="00873FE9"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Liabilities expected to be settled in:</w:t>
            </w:r>
          </w:p>
        </w:tc>
        <w:tc>
          <w:tcPr>
            <w:tcW w:w="992" w:type="dxa"/>
            <w:tcBorders>
              <w:right w:val="single" w:sz="18" w:space="0" w:color="FFFFFF" w:themeColor="background2"/>
            </w:tcBorders>
          </w:tcPr>
          <w:p w14:paraId="3399B927" w14:textId="77777777" w:rsidR="00FD02F9" w:rsidRPr="00873FE9" w:rsidRDefault="00FD02F9" w:rsidP="00FD02F9">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2B60CC09" w14:textId="77777777" w:rsidR="00FD02F9" w:rsidRPr="00873FE9" w:rsidRDefault="00FD02F9" w:rsidP="00FD02F9">
            <w:pPr>
              <w:suppressAutoHyphens/>
              <w:autoSpaceDE w:val="0"/>
              <w:autoSpaceDN w:val="0"/>
              <w:adjustRightInd w:val="0"/>
              <w:spacing w:before="20" w:after="20"/>
              <w:jc w:val="right"/>
              <w:textAlignment w:val="center"/>
              <w:rPr>
                <w:color w:val="1C1C1C"/>
                <w:sz w:val="14"/>
                <w:szCs w:val="14"/>
              </w:rPr>
            </w:pPr>
          </w:p>
        </w:tc>
      </w:tr>
      <w:tr w:rsidR="00FD02F9" w:rsidRPr="00873FE9" w14:paraId="65453389" w14:textId="77777777" w:rsidTr="00B15944">
        <w:trPr>
          <w:trHeight w:val="170"/>
        </w:trPr>
        <w:tc>
          <w:tcPr>
            <w:tcW w:w="5111" w:type="dxa"/>
          </w:tcPr>
          <w:p w14:paraId="40EF7ECE" w14:textId="77777777" w:rsidR="00FD02F9"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No more than 12 months</w:t>
            </w:r>
          </w:p>
        </w:tc>
        <w:tc>
          <w:tcPr>
            <w:tcW w:w="992" w:type="dxa"/>
            <w:tcBorders>
              <w:right w:val="single" w:sz="18" w:space="0" w:color="FFFFFF" w:themeColor="background2"/>
            </w:tcBorders>
          </w:tcPr>
          <w:p w14:paraId="3EE085A5" w14:textId="77777777" w:rsidR="00FD02F9" w:rsidRPr="00873FE9" w:rsidRDefault="00FD02F9" w:rsidP="00FD02F9">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4673D87E" w14:textId="77777777" w:rsidR="00FD02F9" w:rsidRPr="00873FE9" w:rsidRDefault="00FD02F9" w:rsidP="00FD02F9">
            <w:pPr>
              <w:suppressAutoHyphens/>
              <w:autoSpaceDE w:val="0"/>
              <w:autoSpaceDN w:val="0"/>
              <w:adjustRightInd w:val="0"/>
              <w:spacing w:before="20" w:after="20"/>
              <w:jc w:val="right"/>
              <w:textAlignment w:val="center"/>
              <w:rPr>
                <w:color w:val="1C1C1C"/>
                <w:sz w:val="14"/>
                <w:szCs w:val="14"/>
              </w:rPr>
            </w:pPr>
          </w:p>
        </w:tc>
      </w:tr>
      <w:tr w:rsidR="00FD02F9" w:rsidRPr="00873FE9" w14:paraId="1916C582" w14:textId="77777777" w:rsidTr="00B15944">
        <w:trPr>
          <w:trHeight w:val="170"/>
        </w:trPr>
        <w:tc>
          <w:tcPr>
            <w:tcW w:w="5111" w:type="dxa"/>
          </w:tcPr>
          <w:p w14:paraId="2AD6FFD7" w14:textId="77777777" w:rsidR="00FD02F9" w:rsidRPr="00873FE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Suppliers</w:t>
            </w:r>
          </w:p>
        </w:tc>
        <w:tc>
          <w:tcPr>
            <w:tcW w:w="992" w:type="dxa"/>
            <w:tcBorders>
              <w:right w:val="single" w:sz="18" w:space="0" w:color="FFFFFF" w:themeColor="background2"/>
            </w:tcBorders>
          </w:tcPr>
          <w:p w14:paraId="15219241" w14:textId="7A3E8D29" w:rsidR="00FD02F9" w:rsidRPr="00EC6778"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2,623</w:t>
            </w:r>
          </w:p>
        </w:tc>
        <w:tc>
          <w:tcPr>
            <w:tcW w:w="993" w:type="dxa"/>
            <w:tcBorders>
              <w:left w:val="single" w:sz="18" w:space="0" w:color="FFFFFF" w:themeColor="background2"/>
            </w:tcBorders>
          </w:tcPr>
          <w:p w14:paraId="43F49577" w14:textId="5C144BF5" w:rsidR="00FD02F9" w:rsidRPr="00EC6778"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1,737</w:t>
            </w:r>
          </w:p>
        </w:tc>
      </w:tr>
      <w:tr w:rsidR="00FD02F9" w:rsidRPr="00873FE9" w14:paraId="5E54CC5D" w14:textId="77777777" w:rsidTr="00B15944">
        <w:trPr>
          <w:trHeight w:val="170"/>
        </w:trPr>
        <w:tc>
          <w:tcPr>
            <w:tcW w:w="5111" w:type="dxa"/>
          </w:tcPr>
          <w:p w14:paraId="19A3C673" w14:textId="77777777" w:rsidR="00FD02F9" w:rsidRPr="00873FE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Leases</w:t>
            </w:r>
          </w:p>
        </w:tc>
        <w:tc>
          <w:tcPr>
            <w:tcW w:w="992" w:type="dxa"/>
            <w:tcBorders>
              <w:right w:val="single" w:sz="18" w:space="0" w:color="FFFFFF" w:themeColor="background2"/>
            </w:tcBorders>
          </w:tcPr>
          <w:p w14:paraId="3B00E26C" w14:textId="2628A647" w:rsidR="00FD02F9" w:rsidRPr="00EC6778"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834</w:t>
            </w:r>
          </w:p>
        </w:tc>
        <w:tc>
          <w:tcPr>
            <w:tcW w:w="993" w:type="dxa"/>
            <w:tcBorders>
              <w:left w:val="single" w:sz="18" w:space="0" w:color="FFFFFF" w:themeColor="background2"/>
            </w:tcBorders>
          </w:tcPr>
          <w:p w14:paraId="2BFB2F5D" w14:textId="13A2E5BB" w:rsidR="00FD02F9" w:rsidRPr="00EC6778"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777</w:t>
            </w:r>
          </w:p>
        </w:tc>
      </w:tr>
      <w:tr w:rsidR="00FD02F9" w:rsidRPr="00873FE9" w14:paraId="0E0A3E41" w14:textId="77777777" w:rsidTr="00B15944">
        <w:trPr>
          <w:trHeight w:val="170"/>
        </w:trPr>
        <w:tc>
          <w:tcPr>
            <w:tcW w:w="5111" w:type="dxa"/>
          </w:tcPr>
          <w:p w14:paraId="7630F3DC" w14:textId="77777777"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Other payables</w:t>
            </w:r>
          </w:p>
        </w:tc>
        <w:tc>
          <w:tcPr>
            <w:tcW w:w="992" w:type="dxa"/>
            <w:tcBorders>
              <w:right w:val="single" w:sz="18" w:space="0" w:color="FFFFFF" w:themeColor="background2"/>
            </w:tcBorders>
          </w:tcPr>
          <w:p w14:paraId="4F082439" w14:textId="3E5E1DEF" w:rsidR="00FD02F9" w:rsidRPr="00EC6778" w:rsidRDefault="00FD02F9" w:rsidP="00FD02F9">
            <w:pPr>
              <w:autoSpaceDE w:val="0"/>
              <w:autoSpaceDN w:val="0"/>
              <w:adjustRightInd w:val="0"/>
              <w:spacing w:before="20" w:after="20"/>
              <w:jc w:val="right"/>
              <w:rPr>
                <w:rFonts w:asciiTheme="majorHAnsi" w:hAnsiTheme="majorHAnsi"/>
                <w:sz w:val="14"/>
                <w:szCs w:val="14"/>
              </w:rPr>
            </w:pPr>
            <w:r>
              <w:rPr>
                <w:rFonts w:asciiTheme="majorHAnsi" w:hAnsiTheme="majorHAnsi" w:cs="Calibri"/>
                <w:sz w:val="14"/>
                <w:szCs w:val="14"/>
              </w:rPr>
              <w:t>235</w:t>
            </w:r>
          </w:p>
        </w:tc>
        <w:tc>
          <w:tcPr>
            <w:tcW w:w="993" w:type="dxa"/>
            <w:tcBorders>
              <w:left w:val="single" w:sz="18" w:space="0" w:color="FFFFFF" w:themeColor="background2"/>
            </w:tcBorders>
          </w:tcPr>
          <w:p w14:paraId="06628EBB" w14:textId="0E1DC6C4" w:rsidR="00FD02F9" w:rsidRPr="00EC6778" w:rsidRDefault="00FD02F9" w:rsidP="00FD02F9">
            <w:pPr>
              <w:suppressAutoHyphens/>
              <w:autoSpaceDE w:val="0"/>
              <w:autoSpaceDN w:val="0"/>
              <w:adjustRightInd w:val="0"/>
              <w:spacing w:before="20" w:after="20"/>
              <w:jc w:val="right"/>
              <w:textAlignment w:val="center"/>
              <w:rPr>
                <w:sz w:val="14"/>
                <w:szCs w:val="14"/>
              </w:rPr>
            </w:pPr>
            <w:r w:rsidRPr="00EC6778">
              <w:rPr>
                <w:rFonts w:cs="Calibri"/>
                <w:sz w:val="14"/>
                <w:szCs w:val="14"/>
              </w:rPr>
              <w:t>1</w:t>
            </w:r>
            <w:r>
              <w:rPr>
                <w:rFonts w:cs="Calibri"/>
                <w:sz w:val="14"/>
                <w:szCs w:val="14"/>
              </w:rPr>
              <w:t>8</w:t>
            </w:r>
          </w:p>
        </w:tc>
      </w:tr>
      <w:tr w:rsidR="00FD02F9" w:rsidRPr="00873FE9" w14:paraId="4871BAEC" w14:textId="77777777" w:rsidTr="00B15944">
        <w:trPr>
          <w:trHeight w:val="170"/>
        </w:trPr>
        <w:tc>
          <w:tcPr>
            <w:tcW w:w="5111" w:type="dxa"/>
          </w:tcPr>
          <w:p w14:paraId="3A02FE6F" w14:textId="77777777"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Employee provisions</w:t>
            </w:r>
          </w:p>
        </w:tc>
        <w:tc>
          <w:tcPr>
            <w:tcW w:w="992" w:type="dxa"/>
            <w:tcBorders>
              <w:bottom w:val="single" w:sz="2" w:space="0" w:color="auto"/>
              <w:right w:val="single" w:sz="18" w:space="0" w:color="FFFFFF" w:themeColor="background2"/>
            </w:tcBorders>
          </w:tcPr>
          <w:p w14:paraId="1FE7B25B" w14:textId="4ABFC502" w:rsidR="00FD02F9" w:rsidRPr="00EC6778" w:rsidRDefault="00FD02F9" w:rsidP="00FD02F9">
            <w:pPr>
              <w:autoSpaceDE w:val="0"/>
              <w:autoSpaceDN w:val="0"/>
              <w:adjustRightInd w:val="0"/>
              <w:spacing w:before="20" w:after="20"/>
              <w:jc w:val="right"/>
              <w:rPr>
                <w:rFonts w:asciiTheme="majorHAnsi" w:hAnsiTheme="majorHAnsi"/>
                <w:sz w:val="14"/>
                <w:szCs w:val="14"/>
              </w:rPr>
            </w:pPr>
            <w:r>
              <w:rPr>
                <w:rFonts w:asciiTheme="majorHAnsi" w:hAnsiTheme="majorHAnsi" w:cs="Calibri"/>
                <w:sz w:val="14"/>
                <w:szCs w:val="14"/>
              </w:rPr>
              <w:t>-</w:t>
            </w:r>
          </w:p>
        </w:tc>
        <w:tc>
          <w:tcPr>
            <w:tcW w:w="993" w:type="dxa"/>
            <w:tcBorders>
              <w:left w:val="single" w:sz="18" w:space="0" w:color="FFFFFF" w:themeColor="background2"/>
              <w:bottom w:val="single" w:sz="2" w:space="0" w:color="auto"/>
            </w:tcBorders>
          </w:tcPr>
          <w:p w14:paraId="16B21238" w14:textId="055BC5D9" w:rsidR="00FD02F9" w:rsidRPr="00EC6778" w:rsidRDefault="00FD02F9" w:rsidP="00FD02F9">
            <w:pPr>
              <w:suppressAutoHyphens/>
              <w:autoSpaceDE w:val="0"/>
              <w:autoSpaceDN w:val="0"/>
              <w:adjustRightInd w:val="0"/>
              <w:spacing w:before="20" w:after="20"/>
              <w:jc w:val="right"/>
              <w:textAlignment w:val="center"/>
              <w:rPr>
                <w:sz w:val="14"/>
                <w:szCs w:val="14"/>
              </w:rPr>
            </w:pPr>
            <w:r w:rsidRPr="00EC6778">
              <w:rPr>
                <w:rFonts w:cs="Calibri"/>
                <w:sz w:val="14"/>
                <w:szCs w:val="14"/>
              </w:rPr>
              <w:t>1</w:t>
            </w:r>
            <w:r>
              <w:rPr>
                <w:rFonts w:cs="Calibri"/>
                <w:sz w:val="14"/>
                <w:szCs w:val="14"/>
              </w:rPr>
              <w:t>8</w:t>
            </w:r>
          </w:p>
        </w:tc>
      </w:tr>
      <w:tr w:rsidR="00FD02F9" w:rsidRPr="00873FE9" w14:paraId="7CEEBDC1" w14:textId="77777777" w:rsidTr="00B15944">
        <w:trPr>
          <w:trHeight w:val="170"/>
        </w:trPr>
        <w:tc>
          <w:tcPr>
            <w:tcW w:w="5111" w:type="dxa"/>
          </w:tcPr>
          <w:p w14:paraId="4E1CBBA3" w14:textId="77777777" w:rsidR="00FD02F9" w:rsidRPr="00873FE9"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sidRPr="00873FE9">
              <w:rPr>
                <w:rFonts w:asciiTheme="majorHAnsi" w:hAnsiTheme="majorHAnsi"/>
                <w:color w:val="1C1C1C"/>
                <w:sz w:val="14"/>
                <w:szCs w:val="14"/>
              </w:rPr>
              <w:t xml:space="preserve">Total </w:t>
            </w:r>
            <w:r>
              <w:rPr>
                <w:rFonts w:asciiTheme="majorHAnsi" w:hAnsiTheme="majorHAnsi"/>
                <w:color w:val="1C1C1C"/>
                <w:sz w:val="14"/>
                <w:szCs w:val="14"/>
              </w:rPr>
              <w:t>no more than 12 months</w:t>
            </w:r>
          </w:p>
        </w:tc>
        <w:tc>
          <w:tcPr>
            <w:tcW w:w="992" w:type="dxa"/>
            <w:tcBorders>
              <w:top w:val="single" w:sz="2" w:space="0" w:color="auto"/>
              <w:bottom w:val="single" w:sz="2" w:space="0" w:color="auto"/>
              <w:right w:val="single" w:sz="18" w:space="0" w:color="FFFFFF" w:themeColor="background2"/>
            </w:tcBorders>
          </w:tcPr>
          <w:p w14:paraId="3F573621" w14:textId="20C41C0B" w:rsidR="00FD02F9" w:rsidRPr="00EC6778" w:rsidRDefault="00FD02F9" w:rsidP="00FD02F9">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3,692</w:t>
            </w:r>
          </w:p>
        </w:tc>
        <w:tc>
          <w:tcPr>
            <w:tcW w:w="993" w:type="dxa"/>
            <w:tcBorders>
              <w:top w:val="single" w:sz="2" w:space="0" w:color="auto"/>
              <w:left w:val="single" w:sz="18" w:space="0" w:color="FFFFFF" w:themeColor="background2"/>
              <w:bottom w:val="single" w:sz="2" w:space="0" w:color="auto"/>
            </w:tcBorders>
          </w:tcPr>
          <w:p w14:paraId="0FC468A2" w14:textId="22855FAA" w:rsidR="00FD02F9" w:rsidRPr="00EC6778" w:rsidRDefault="00FD02F9" w:rsidP="00FD02F9">
            <w:pPr>
              <w:suppressAutoHyphens/>
              <w:autoSpaceDE w:val="0"/>
              <w:autoSpaceDN w:val="0"/>
              <w:adjustRightInd w:val="0"/>
              <w:spacing w:before="20" w:after="20"/>
              <w:jc w:val="right"/>
              <w:textAlignment w:val="center"/>
              <w:rPr>
                <w:color w:val="1C1C1C"/>
                <w:sz w:val="14"/>
                <w:szCs w:val="14"/>
              </w:rPr>
            </w:pPr>
            <w:r>
              <w:rPr>
                <w:rFonts w:cs="Calibri"/>
                <w:sz w:val="14"/>
                <w:szCs w:val="14"/>
              </w:rPr>
              <w:t>2,550</w:t>
            </w:r>
          </w:p>
        </w:tc>
      </w:tr>
      <w:tr w:rsidR="00FD02F9" w:rsidRPr="00873FE9" w14:paraId="5DE6B987" w14:textId="77777777" w:rsidTr="00B15944">
        <w:trPr>
          <w:trHeight w:val="170"/>
        </w:trPr>
        <w:tc>
          <w:tcPr>
            <w:tcW w:w="5111" w:type="dxa"/>
          </w:tcPr>
          <w:p w14:paraId="6DF28A13" w14:textId="77777777" w:rsidR="00FD02F9" w:rsidRPr="00873FE9"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More than 12 months</w:t>
            </w:r>
          </w:p>
        </w:tc>
        <w:tc>
          <w:tcPr>
            <w:tcW w:w="992" w:type="dxa"/>
            <w:tcBorders>
              <w:top w:val="single" w:sz="2" w:space="0" w:color="auto"/>
              <w:right w:val="single" w:sz="18" w:space="0" w:color="FFFFFF" w:themeColor="background2"/>
            </w:tcBorders>
          </w:tcPr>
          <w:p w14:paraId="0CA7E993" w14:textId="77777777" w:rsidR="00FD02F9" w:rsidRPr="00EC6778" w:rsidRDefault="00FD02F9" w:rsidP="00FD02F9">
            <w:pPr>
              <w:autoSpaceDE w:val="0"/>
              <w:autoSpaceDN w:val="0"/>
              <w:adjustRightInd w:val="0"/>
              <w:spacing w:before="20" w:after="20"/>
              <w:jc w:val="right"/>
              <w:rPr>
                <w:rFonts w:asciiTheme="majorHAnsi" w:hAnsiTheme="majorHAnsi"/>
                <w:sz w:val="14"/>
                <w:szCs w:val="14"/>
              </w:rPr>
            </w:pPr>
          </w:p>
        </w:tc>
        <w:tc>
          <w:tcPr>
            <w:tcW w:w="993" w:type="dxa"/>
            <w:tcBorders>
              <w:top w:val="single" w:sz="2" w:space="0" w:color="auto"/>
              <w:left w:val="single" w:sz="18" w:space="0" w:color="FFFFFF" w:themeColor="background2"/>
            </w:tcBorders>
          </w:tcPr>
          <w:p w14:paraId="20B86AD2" w14:textId="77777777" w:rsidR="00FD02F9" w:rsidRPr="00EC6778" w:rsidRDefault="00FD02F9" w:rsidP="00FD02F9">
            <w:pPr>
              <w:suppressAutoHyphens/>
              <w:autoSpaceDE w:val="0"/>
              <w:autoSpaceDN w:val="0"/>
              <w:adjustRightInd w:val="0"/>
              <w:spacing w:before="20" w:after="20"/>
              <w:jc w:val="right"/>
              <w:textAlignment w:val="center"/>
              <w:rPr>
                <w:sz w:val="14"/>
                <w:szCs w:val="14"/>
              </w:rPr>
            </w:pPr>
          </w:p>
        </w:tc>
      </w:tr>
      <w:tr w:rsidR="00FD02F9" w:rsidRPr="00EC6778" w14:paraId="24BBDC77" w14:textId="77777777" w:rsidTr="00B15944">
        <w:trPr>
          <w:trHeight w:val="170"/>
        </w:trPr>
        <w:tc>
          <w:tcPr>
            <w:tcW w:w="5111" w:type="dxa"/>
          </w:tcPr>
          <w:p w14:paraId="77685591" w14:textId="77777777" w:rsidR="00FD02F9" w:rsidRPr="00EC6778"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Leases</w:t>
            </w:r>
          </w:p>
        </w:tc>
        <w:tc>
          <w:tcPr>
            <w:tcW w:w="992" w:type="dxa"/>
            <w:tcBorders>
              <w:right w:val="single" w:sz="18" w:space="0" w:color="FFFFFF" w:themeColor="background2"/>
            </w:tcBorders>
          </w:tcPr>
          <w:p w14:paraId="78A7A098" w14:textId="7833F8FD" w:rsidR="00FD02F9" w:rsidRPr="00EC6778" w:rsidRDefault="00FD02F9" w:rsidP="00FD02F9">
            <w:pPr>
              <w:autoSpaceDE w:val="0"/>
              <w:autoSpaceDN w:val="0"/>
              <w:adjustRightInd w:val="0"/>
              <w:spacing w:before="20" w:after="20"/>
              <w:ind w:left="113"/>
              <w:jc w:val="right"/>
              <w:rPr>
                <w:rFonts w:asciiTheme="majorHAnsi" w:hAnsiTheme="majorHAnsi"/>
                <w:sz w:val="14"/>
                <w:szCs w:val="14"/>
              </w:rPr>
            </w:pPr>
            <w:r>
              <w:rPr>
                <w:rFonts w:asciiTheme="majorHAnsi" w:hAnsiTheme="majorHAnsi" w:cs="Calibri"/>
                <w:sz w:val="14"/>
                <w:szCs w:val="14"/>
              </w:rPr>
              <w:t>11,698</w:t>
            </w:r>
          </w:p>
        </w:tc>
        <w:tc>
          <w:tcPr>
            <w:tcW w:w="993" w:type="dxa"/>
            <w:tcBorders>
              <w:left w:val="single" w:sz="18" w:space="0" w:color="FFFFFF" w:themeColor="background2"/>
            </w:tcBorders>
          </w:tcPr>
          <w:p w14:paraId="51C8F069" w14:textId="18F217A4" w:rsidR="00FD02F9" w:rsidRPr="00EC6778" w:rsidRDefault="00FD02F9" w:rsidP="00FD02F9">
            <w:pPr>
              <w:suppressAutoHyphens/>
              <w:autoSpaceDE w:val="0"/>
              <w:autoSpaceDN w:val="0"/>
              <w:adjustRightInd w:val="0"/>
              <w:spacing w:before="20" w:after="20"/>
              <w:ind w:left="113"/>
              <w:jc w:val="right"/>
              <w:textAlignment w:val="center"/>
              <w:rPr>
                <w:sz w:val="14"/>
                <w:szCs w:val="14"/>
              </w:rPr>
            </w:pPr>
            <w:r>
              <w:rPr>
                <w:rFonts w:cs="Calibri"/>
                <w:sz w:val="14"/>
                <w:szCs w:val="14"/>
              </w:rPr>
              <w:t>742</w:t>
            </w:r>
          </w:p>
        </w:tc>
      </w:tr>
      <w:tr w:rsidR="00FD02F9" w:rsidRPr="00EC6778" w14:paraId="4C45B821" w14:textId="77777777" w:rsidTr="00B15944">
        <w:trPr>
          <w:trHeight w:val="170"/>
        </w:trPr>
        <w:tc>
          <w:tcPr>
            <w:tcW w:w="5111" w:type="dxa"/>
          </w:tcPr>
          <w:p w14:paraId="56057F6C" w14:textId="77777777" w:rsidR="00FD02F9" w:rsidRDefault="00FD02F9" w:rsidP="00FD02F9">
            <w:pPr>
              <w:suppressAutoHyphens/>
              <w:autoSpaceDE w:val="0"/>
              <w:autoSpaceDN w:val="0"/>
              <w:adjustRightInd w:val="0"/>
              <w:spacing w:before="20" w:after="20"/>
              <w:ind w:left="113"/>
              <w:textAlignment w:val="center"/>
              <w:rPr>
                <w:color w:val="1C1C1C"/>
                <w:sz w:val="14"/>
                <w:szCs w:val="14"/>
              </w:rPr>
            </w:pPr>
            <w:r>
              <w:rPr>
                <w:color w:val="1C1C1C"/>
                <w:sz w:val="14"/>
                <w:szCs w:val="14"/>
              </w:rPr>
              <w:t>Employee provisions</w:t>
            </w:r>
          </w:p>
        </w:tc>
        <w:tc>
          <w:tcPr>
            <w:tcW w:w="992" w:type="dxa"/>
            <w:tcBorders>
              <w:bottom w:val="single" w:sz="2" w:space="0" w:color="auto"/>
              <w:right w:val="single" w:sz="18" w:space="0" w:color="FFFFFF" w:themeColor="background2"/>
            </w:tcBorders>
          </w:tcPr>
          <w:p w14:paraId="2BF622EF" w14:textId="4E499149" w:rsidR="00FD02F9" w:rsidRPr="00EC6778" w:rsidRDefault="00FD02F9" w:rsidP="00FD02F9">
            <w:pPr>
              <w:autoSpaceDE w:val="0"/>
              <w:autoSpaceDN w:val="0"/>
              <w:adjustRightInd w:val="0"/>
              <w:spacing w:before="20" w:after="20"/>
              <w:ind w:left="113"/>
              <w:jc w:val="right"/>
              <w:rPr>
                <w:rFonts w:asciiTheme="majorHAnsi" w:hAnsiTheme="majorHAnsi"/>
                <w:sz w:val="14"/>
                <w:szCs w:val="14"/>
              </w:rPr>
            </w:pPr>
            <w:r>
              <w:rPr>
                <w:rFonts w:asciiTheme="majorHAnsi" w:hAnsiTheme="majorHAnsi" w:cs="Calibri"/>
                <w:sz w:val="14"/>
                <w:szCs w:val="14"/>
              </w:rPr>
              <w:t>-</w:t>
            </w:r>
          </w:p>
        </w:tc>
        <w:tc>
          <w:tcPr>
            <w:tcW w:w="993" w:type="dxa"/>
            <w:tcBorders>
              <w:left w:val="single" w:sz="18" w:space="0" w:color="FFFFFF" w:themeColor="background2"/>
              <w:bottom w:val="single" w:sz="2" w:space="0" w:color="auto"/>
            </w:tcBorders>
          </w:tcPr>
          <w:p w14:paraId="1CA6F65B" w14:textId="79A8CAF6" w:rsidR="00FD02F9" w:rsidRPr="00EC6778" w:rsidRDefault="00FD02F9" w:rsidP="00FD02F9">
            <w:pPr>
              <w:suppressAutoHyphens/>
              <w:autoSpaceDE w:val="0"/>
              <w:autoSpaceDN w:val="0"/>
              <w:adjustRightInd w:val="0"/>
              <w:spacing w:before="20" w:after="20"/>
              <w:ind w:left="113"/>
              <w:jc w:val="right"/>
              <w:textAlignment w:val="center"/>
              <w:rPr>
                <w:sz w:val="14"/>
                <w:szCs w:val="14"/>
              </w:rPr>
            </w:pPr>
            <w:r>
              <w:rPr>
                <w:rFonts w:cs="Calibri"/>
                <w:sz w:val="14"/>
                <w:szCs w:val="14"/>
              </w:rPr>
              <w:t>88</w:t>
            </w:r>
          </w:p>
        </w:tc>
      </w:tr>
      <w:tr w:rsidR="00FD02F9" w:rsidRPr="00EC6778" w14:paraId="5CA83341" w14:textId="77777777" w:rsidTr="00B15944">
        <w:trPr>
          <w:trHeight w:val="170"/>
        </w:trPr>
        <w:tc>
          <w:tcPr>
            <w:tcW w:w="5111" w:type="dxa"/>
          </w:tcPr>
          <w:p w14:paraId="29B5B73C" w14:textId="77777777" w:rsidR="00FD02F9" w:rsidRPr="00EC6778"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more than 12 months</w:t>
            </w:r>
          </w:p>
        </w:tc>
        <w:tc>
          <w:tcPr>
            <w:tcW w:w="992" w:type="dxa"/>
            <w:tcBorders>
              <w:top w:val="single" w:sz="2" w:space="0" w:color="auto"/>
              <w:bottom w:val="single" w:sz="2" w:space="0" w:color="auto"/>
              <w:right w:val="single" w:sz="18" w:space="0" w:color="FFFFFF" w:themeColor="background2"/>
            </w:tcBorders>
          </w:tcPr>
          <w:p w14:paraId="3B434C31" w14:textId="74BB315D" w:rsidR="00FD02F9" w:rsidRPr="00EC6778" w:rsidRDefault="00FD02F9" w:rsidP="00FD02F9">
            <w:pPr>
              <w:autoSpaceDE w:val="0"/>
              <w:autoSpaceDN w:val="0"/>
              <w:adjustRightInd w:val="0"/>
              <w:spacing w:before="20" w:after="20"/>
              <w:ind w:left="113"/>
              <w:jc w:val="right"/>
              <w:rPr>
                <w:rFonts w:asciiTheme="majorHAnsi" w:hAnsiTheme="majorHAnsi"/>
                <w:sz w:val="14"/>
                <w:szCs w:val="14"/>
              </w:rPr>
            </w:pPr>
            <w:r>
              <w:rPr>
                <w:rFonts w:asciiTheme="majorHAnsi" w:hAnsiTheme="majorHAnsi" w:cs="Calibri"/>
                <w:sz w:val="14"/>
                <w:szCs w:val="14"/>
              </w:rPr>
              <w:t>11,698</w:t>
            </w:r>
          </w:p>
        </w:tc>
        <w:tc>
          <w:tcPr>
            <w:tcW w:w="993" w:type="dxa"/>
            <w:tcBorders>
              <w:top w:val="single" w:sz="2" w:space="0" w:color="auto"/>
              <w:left w:val="single" w:sz="18" w:space="0" w:color="FFFFFF" w:themeColor="background2"/>
              <w:bottom w:val="single" w:sz="2" w:space="0" w:color="auto"/>
            </w:tcBorders>
          </w:tcPr>
          <w:p w14:paraId="1FCED403" w14:textId="3C8B4C37" w:rsidR="00FD02F9" w:rsidRPr="00EC6778" w:rsidRDefault="00FD02F9" w:rsidP="00FD02F9">
            <w:pPr>
              <w:suppressAutoHyphens/>
              <w:autoSpaceDE w:val="0"/>
              <w:autoSpaceDN w:val="0"/>
              <w:adjustRightInd w:val="0"/>
              <w:spacing w:before="20" w:after="20"/>
              <w:ind w:left="113"/>
              <w:jc w:val="right"/>
              <w:textAlignment w:val="center"/>
              <w:rPr>
                <w:sz w:val="14"/>
                <w:szCs w:val="14"/>
              </w:rPr>
            </w:pPr>
            <w:r>
              <w:rPr>
                <w:rFonts w:cs="Calibri"/>
                <w:sz w:val="14"/>
                <w:szCs w:val="14"/>
              </w:rPr>
              <w:t>830</w:t>
            </w:r>
          </w:p>
        </w:tc>
      </w:tr>
      <w:tr w:rsidR="00FD02F9" w:rsidRPr="00EC6778" w14:paraId="2240FCE2" w14:textId="77777777" w:rsidTr="00B15944">
        <w:trPr>
          <w:trHeight w:val="170"/>
        </w:trPr>
        <w:tc>
          <w:tcPr>
            <w:tcW w:w="5111" w:type="dxa"/>
          </w:tcPr>
          <w:p w14:paraId="3BC33F59" w14:textId="77777777" w:rsidR="00FD02F9" w:rsidRPr="00EC6778" w:rsidRDefault="00FD02F9" w:rsidP="00FD02F9">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liabilities</w:t>
            </w:r>
          </w:p>
        </w:tc>
        <w:tc>
          <w:tcPr>
            <w:tcW w:w="992" w:type="dxa"/>
            <w:tcBorders>
              <w:top w:val="single" w:sz="2" w:space="0" w:color="auto"/>
              <w:bottom w:val="single" w:sz="2" w:space="0" w:color="auto"/>
              <w:right w:val="single" w:sz="18" w:space="0" w:color="FFFFFF" w:themeColor="background2"/>
            </w:tcBorders>
          </w:tcPr>
          <w:p w14:paraId="4C62010A" w14:textId="59A529CC" w:rsidR="00FD02F9" w:rsidRPr="00EC6778" w:rsidRDefault="00FD02F9" w:rsidP="00FD02F9">
            <w:pPr>
              <w:autoSpaceDE w:val="0"/>
              <w:autoSpaceDN w:val="0"/>
              <w:adjustRightInd w:val="0"/>
              <w:spacing w:before="20" w:after="20"/>
              <w:ind w:left="113"/>
              <w:jc w:val="right"/>
              <w:rPr>
                <w:rFonts w:asciiTheme="majorHAnsi" w:hAnsiTheme="majorHAnsi"/>
                <w:sz w:val="14"/>
                <w:szCs w:val="14"/>
              </w:rPr>
            </w:pPr>
            <w:r>
              <w:rPr>
                <w:rFonts w:asciiTheme="majorHAnsi" w:hAnsiTheme="majorHAnsi" w:cs="Calibri"/>
                <w:sz w:val="14"/>
                <w:szCs w:val="14"/>
              </w:rPr>
              <w:t>15,390</w:t>
            </w:r>
          </w:p>
        </w:tc>
        <w:tc>
          <w:tcPr>
            <w:tcW w:w="993" w:type="dxa"/>
            <w:tcBorders>
              <w:top w:val="single" w:sz="2" w:space="0" w:color="auto"/>
              <w:left w:val="single" w:sz="18" w:space="0" w:color="FFFFFF" w:themeColor="background2"/>
              <w:bottom w:val="single" w:sz="2" w:space="0" w:color="auto"/>
            </w:tcBorders>
          </w:tcPr>
          <w:p w14:paraId="66CEAFF3" w14:textId="28FF2259" w:rsidR="00FD02F9" w:rsidRPr="00EC6778" w:rsidRDefault="00FD02F9" w:rsidP="00FD02F9">
            <w:pPr>
              <w:suppressAutoHyphens/>
              <w:autoSpaceDE w:val="0"/>
              <w:autoSpaceDN w:val="0"/>
              <w:adjustRightInd w:val="0"/>
              <w:spacing w:before="20" w:after="20"/>
              <w:ind w:left="113"/>
              <w:jc w:val="right"/>
              <w:textAlignment w:val="center"/>
              <w:rPr>
                <w:sz w:val="14"/>
                <w:szCs w:val="14"/>
              </w:rPr>
            </w:pPr>
            <w:r>
              <w:rPr>
                <w:rFonts w:cs="Calibri"/>
                <w:sz w:val="14"/>
                <w:szCs w:val="14"/>
              </w:rPr>
              <w:t>3,380</w:t>
            </w:r>
          </w:p>
        </w:tc>
      </w:tr>
      <w:tr w:rsidR="0088493F" w:rsidRPr="00873FE9" w14:paraId="7D390229" w14:textId="77777777" w:rsidTr="00B15944">
        <w:trPr>
          <w:trHeight w:val="57"/>
        </w:trPr>
        <w:tc>
          <w:tcPr>
            <w:tcW w:w="5111" w:type="dxa"/>
          </w:tcPr>
          <w:p w14:paraId="32322A64" w14:textId="77777777" w:rsidR="0088493F" w:rsidRPr="00873FE9" w:rsidRDefault="0088493F" w:rsidP="00B1594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49911253" w14:textId="77777777" w:rsidR="0088493F" w:rsidRPr="00873FE9" w:rsidRDefault="0088493F" w:rsidP="00B1594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5D78C561" w14:textId="77777777" w:rsidR="0088493F" w:rsidRPr="00873FE9" w:rsidRDefault="0088493F" w:rsidP="00B15944">
            <w:pPr>
              <w:suppressAutoHyphens/>
              <w:autoSpaceDE w:val="0"/>
              <w:autoSpaceDN w:val="0"/>
              <w:adjustRightInd w:val="0"/>
              <w:spacing w:before="20" w:after="20"/>
              <w:jc w:val="right"/>
              <w:textAlignment w:val="center"/>
              <w:rPr>
                <w:color w:val="1C1C1C"/>
                <w:sz w:val="4"/>
                <w:szCs w:val="4"/>
              </w:rPr>
            </w:pPr>
          </w:p>
        </w:tc>
      </w:tr>
    </w:tbl>
    <w:p w14:paraId="397D3E86" w14:textId="0B709B86" w:rsidR="0006615F" w:rsidRDefault="0006615F" w:rsidP="008664C1">
      <w:pPr>
        <w:pStyle w:val="Body"/>
        <w:rPr>
          <w:color w:val="292929"/>
        </w:rPr>
      </w:pPr>
    </w:p>
    <w:p w14:paraId="0D7B363E" w14:textId="77777777" w:rsidR="007C084D" w:rsidRDefault="007C084D" w:rsidP="008664C1">
      <w:pPr>
        <w:pStyle w:val="Body"/>
        <w:rPr>
          <w:color w:val="292929"/>
        </w:rPr>
        <w:sectPr w:rsidR="007C084D" w:rsidSect="00441579">
          <w:footerReference w:type="default" r:id="rId204"/>
          <w:pgSz w:w="9979" w:h="14175"/>
          <w:pgMar w:top="1134" w:right="1134" w:bottom="1134" w:left="1134" w:header="709" w:footer="709" w:gutter="0"/>
          <w:cols w:space="708"/>
          <w:docGrid w:linePitch="360"/>
        </w:sectPr>
      </w:pPr>
    </w:p>
    <w:p w14:paraId="7A0B29BC" w14:textId="4ADCA032" w:rsidR="007C084D" w:rsidRDefault="007C084D" w:rsidP="008664C1">
      <w:pPr>
        <w:pStyle w:val="Body"/>
        <w:rPr>
          <w:color w:val="292929"/>
        </w:rPr>
      </w:pPr>
    </w:p>
    <w:p w14:paraId="7462C75C" w14:textId="77777777" w:rsidR="007C084D" w:rsidRDefault="007C084D" w:rsidP="008664C1">
      <w:pPr>
        <w:pStyle w:val="Body"/>
        <w:rPr>
          <w:color w:val="292929"/>
        </w:rPr>
        <w:sectPr w:rsidR="007C084D" w:rsidSect="00441579">
          <w:footerReference w:type="default" r:id="rId205"/>
          <w:pgSz w:w="9979" w:h="14175"/>
          <w:pgMar w:top="1134" w:right="1134" w:bottom="1134" w:left="1134" w:header="709" w:footer="709" w:gutter="0"/>
          <w:cols w:space="708"/>
          <w:docGrid w:linePitch="360"/>
        </w:sectPr>
      </w:pPr>
    </w:p>
    <w:p w14:paraId="0CFA766F" w14:textId="591F369A" w:rsidR="007C084D" w:rsidRDefault="007C084D" w:rsidP="008664C1">
      <w:pPr>
        <w:pStyle w:val="Body"/>
        <w:rPr>
          <w:color w:val="292929"/>
        </w:rPr>
      </w:pPr>
      <w:r>
        <w:rPr>
          <w:noProof/>
          <w:lang w:eastAsia="en-AU"/>
        </w:rPr>
        <w:drawing>
          <wp:anchor distT="0" distB="0" distL="114300" distR="114300" simplePos="0" relativeHeight="252085248" behindDoc="1" locked="0" layoutInCell="1" allowOverlap="1" wp14:anchorId="1D7E8ABD" wp14:editId="3A8EB0E6">
            <wp:simplePos x="0" y="0"/>
            <wp:positionH relativeFrom="column">
              <wp:posOffset>-723900</wp:posOffset>
            </wp:positionH>
            <wp:positionV relativeFrom="paragraph">
              <wp:posOffset>-724535</wp:posOffset>
            </wp:positionV>
            <wp:extent cx="6434367" cy="9040535"/>
            <wp:effectExtent l="0" t="0" r="5080" b="1905"/>
            <wp:wrapNone/>
            <wp:docPr id="121" name="Pictur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a:extLst>
                        <a:ext uri="{C183D7F6-B498-43B3-948B-1728B52AA6E4}">
                          <adec:decorative xmlns:adec="http://schemas.microsoft.com/office/drawing/2017/decorative" val="1"/>
                        </a:ext>
                      </a:extLst>
                    </pic:cNvPr>
                    <pic:cNvPicPr/>
                  </pic:nvPicPr>
                  <pic:blipFill>
                    <a:blip r:embed="rId171"/>
                    <a:stretch>
                      <a:fillRect/>
                    </a:stretch>
                  </pic:blipFill>
                  <pic:spPr>
                    <a:xfrm>
                      <a:off x="0" y="0"/>
                      <a:ext cx="6434367" cy="9040535"/>
                    </a:xfrm>
                    <a:prstGeom prst="rect">
                      <a:avLst/>
                    </a:prstGeom>
                  </pic:spPr>
                </pic:pic>
              </a:graphicData>
            </a:graphic>
            <wp14:sizeRelH relativeFrom="page">
              <wp14:pctWidth>0</wp14:pctWidth>
            </wp14:sizeRelH>
            <wp14:sizeRelV relativeFrom="page">
              <wp14:pctHeight>0</wp14:pctHeight>
            </wp14:sizeRelV>
          </wp:anchor>
        </w:drawing>
      </w:r>
    </w:p>
    <w:p w14:paraId="3B10C5A6" w14:textId="77777777" w:rsidR="007C084D" w:rsidRDefault="007C084D" w:rsidP="008664C1">
      <w:pPr>
        <w:pStyle w:val="Body"/>
        <w:rPr>
          <w:color w:val="292929"/>
        </w:rPr>
      </w:pPr>
    </w:p>
    <w:p w14:paraId="5A3931A7" w14:textId="77777777" w:rsidR="0006615F" w:rsidRDefault="0006615F" w:rsidP="008664C1">
      <w:pPr>
        <w:pStyle w:val="Body"/>
        <w:rPr>
          <w:color w:val="292929"/>
        </w:rPr>
        <w:sectPr w:rsidR="0006615F" w:rsidSect="00441579">
          <w:footerReference w:type="default" r:id="rId206"/>
          <w:pgSz w:w="9979" w:h="14175"/>
          <w:pgMar w:top="1134" w:right="1134" w:bottom="1134" w:left="1134" w:header="709" w:footer="709" w:gutter="0"/>
          <w:cols w:space="708"/>
          <w:docGrid w:linePitch="360"/>
        </w:sectPr>
      </w:pPr>
    </w:p>
    <w:p w14:paraId="5D4BE0DC" w14:textId="015B6406" w:rsidR="00116A30" w:rsidRDefault="00116A30" w:rsidP="00116A30">
      <w:pPr>
        <w:pStyle w:val="H1"/>
        <w:spacing w:before="600"/>
      </w:pPr>
      <w:bookmarkStart w:id="184" w:name="_Toc114824441"/>
      <w:r>
        <w:rPr>
          <w:noProof/>
          <w:lang w:eastAsia="en-AU"/>
        </w:rPr>
        <w:drawing>
          <wp:anchor distT="0" distB="0" distL="114300" distR="114300" simplePos="0" relativeHeight="252018688" behindDoc="1" locked="0" layoutInCell="1" allowOverlap="1" wp14:anchorId="4D0808AE" wp14:editId="0F2537A8">
            <wp:simplePos x="0" y="0"/>
            <wp:positionH relativeFrom="column">
              <wp:posOffset>-718592</wp:posOffset>
            </wp:positionH>
            <wp:positionV relativeFrom="paragraph">
              <wp:posOffset>-900430</wp:posOffset>
            </wp:positionV>
            <wp:extent cx="6439120" cy="9056698"/>
            <wp:effectExtent l="0" t="0" r="0" b="0"/>
            <wp:wrapNone/>
            <wp:docPr id="185"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a:extLst>
                        <a:ext uri="{C183D7F6-B498-43B3-948B-1728B52AA6E4}">
                          <adec:decorative xmlns:adec="http://schemas.microsoft.com/office/drawing/2017/decorative" val="1"/>
                        </a:ext>
                      </a:extLst>
                    </pic:cNvPr>
                    <pic:cNvPicPr>
                      <a:picLocks noChangeAspect="1" noChangeArrowheads="1"/>
                    </pic:cNvPicPr>
                  </pic:nvPicPr>
                  <pic:blipFill>
                    <a:blip r:embed="rId173"/>
                    <a:stretch>
                      <a:fillRect/>
                    </a:stretch>
                  </pic:blipFill>
                  <pic:spPr bwMode="auto">
                    <a:xfrm>
                      <a:off x="0" y="0"/>
                      <a:ext cx="6439120" cy="90566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7FC">
        <w:t>A</w:t>
      </w:r>
      <w:r>
        <w:rPr>
          <w:noProof/>
          <w:lang w:eastAsia="en-AU"/>
        </w:rPr>
        <w:t>ppendices</w:t>
      </w:r>
      <w:bookmarkEnd w:id="184"/>
    </w:p>
    <w:p w14:paraId="42FE3B47" w14:textId="139ED586" w:rsidR="00116A30" w:rsidRPr="000E7CB6" w:rsidRDefault="00116A30" w:rsidP="00116A30">
      <w:pPr>
        <w:spacing w:before="1920" w:after="0"/>
        <w:jc w:val="center"/>
        <w:rPr>
          <w:color w:val="FFFFFF" w:themeColor="background2"/>
          <w:sz w:val="200"/>
          <w:szCs w:val="200"/>
        </w:rPr>
      </w:pPr>
      <w:r w:rsidRPr="000E7CB6">
        <w:rPr>
          <w:noProof/>
          <w:color w:val="FFFFFF" w:themeColor="background2"/>
          <w:sz w:val="200"/>
          <w:szCs w:val="200"/>
          <w:lang w:eastAsia="en-AU"/>
        </w:rPr>
        <w:t>0</w:t>
      </w:r>
      <w:r w:rsidR="002E02BE">
        <w:rPr>
          <w:noProof/>
          <w:color w:val="FFFFFF" w:themeColor="background2"/>
          <w:sz w:val="200"/>
          <w:szCs w:val="200"/>
          <w:lang w:eastAsia="en-AU"/>
        </w:rPr>
        <w:t>7</w:t>
      </w:r>
    </w:p>
    <w:p w14:paraId="775AE6F9" w14:textId="2E34E717" w:rsidR="00E627FC" w:rsidRDefault="00E627FC" w:rsidP="00116A30">
      <w:pPr>
        <w:pStyle w:val="H1"/>
        <w:rPr>
          <w:color w:val="292929"/>
        </w:rPr>
        <w:sectPr w:rsidR="00E627FC" w:rsidSect="009A2FF3">
          <w:headerReference w:type="default" r:id="rId207"/>
          <w:footerReference w:type="default" r:id="rId208"/>
          <w:pgSz w:w="9979" w:h="14175"/>
          <w:pgMar w:top="1418" w:right="1134" w:bottom="1134" w:left="1134" w:header="709" w:footer="709" w:gutter="0"/>
          <w:cols w:space="708"/>
          <w:docGrid w:linePitch="360"/>
        </w:sectPr>
      </w:pPr>
    </w:p>
    <w:p w14:paraId="2C50E304" w14:textId="7EF4C096" w:rsidR="00BB6F6A" w:rsidRPr="007F327F" w:rsidRDefault="00BB6F6A" w:rsidP="00441579">
      <w:pPr>
        <w:pStyle w:val="Heading1"/>
        <w:rPr>
          <w:color w:val="292929"/>
        </w:rPr>
      </w:pPr>
      <w:bookmarkStart w:id="185" w:name="_Toc114824442"/>
      <w:r w:rsidRPr="007F327F">
        <w:rPr>
          <w:color w:val="292929"/>
        </w:rPr>
        <w:t>Appendix A: Figures and </w:t>
      </w:r>
      <w:r w:rsidR="00F71418">
        <w:rPr>
          <w:color w:val="292929"/>
        </w:rPr>
        <w:t>t</w:t>
      </w:r>
      <w:r w:rsidRPr="007F327F">
        <w:rPr>
          <w:color w:val="292929"/>
        </w:rPr>
        <w:t>ables</w:t>
      </w:r>
      <w:bookmarkEnd w:id="185"/>
    </w:p>
    <w:p w14:paraId="294D47DF" w14:textId="3868ABA6" w:rsidR="00140F74" w:rsidRPr="0072317B" w:rsidRDefault="00A07AC3" w:rsidP="0072317B">
      <w:pPr>
        <w:pStyle w:val="TOCBody"/>
        <w:spacing w:after="120"/>
        <w:ind w:left="0"/>
        <w:rPr>
          <w:rFonts w:eastAsiaTheme="minorEastAsia"/>
          <w:b w:val="0"/>
          <w:bCs w:val="0"/>
          <w:sz w:val="24"/>
          <w:szCs w:val="24"/>
          <w:lang w:val="en-PH"/>
        </w:rPr>
      </w:pPr>
      <w:r w:rsidRPr="0072317B">
        <w:rPr>
          <w:b w:val="0"/>
          <w:bCs w:val="0"/>
        </w:rPr>
        <w:fldChar w:fldCharType="begin"/>
      </w:r>
      <w:r w:rsidRPr="0072317B">
        <w:rPr>
          <w:b w:val="0"/>
          <w:bCs w:val="0"/>
        </w:rPr>
        <w:instrText xml:space="preserve"> TOC \h \z \t "Figure Heading,1" </w:instrText>
      </w:r>
      <w:r w:rsidRPr="0072317B">
        <w:rPr>
          <w:b w:val="0"/>
          <w:bCs w:val="0"/>
        </w:rPr>
        <w:fldChar w:fldCharType="separate"/>
      </w:r>
      <w:hyperlink w:anchor="_Toc114824650" w:history="1">
        <w:r w:rsidR="00140F74" w:rsidRPr="0072317B">
          <w:rPr>
            <w:rStyle w:val="Hyperlink"/>
            <w:b w:val="0"/>
            <w:bCs w:val="0"/>
          </w:rPr>
          <w:t>Figure 1: The Pricing Authority and Executive team</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_Toc114824650 \h </w:instrText>
        </w:r>
        <w:r w:rsidR="00140F74" w:rsidRPr="0072317B">
          <w:rPr>
            <w:b w:val="0"/>
            <w:bCs w:val="0"/>
            <w:webHidden/>
          </w:rPr>
        </w:r>
        <w:r w:rsidR="00140F74" w:rsidRPr="0072317B">
          <w:rPr>
            <w:b w:val="0"/>
            <w:bCs w:val="0"/>
            <w:webHidden/>
          </w:rPr>
          <w:fldChar w:fldCharType="separate"/>
        </w:r>
        <w:r w:rsidR="00783BD7">
          <w:rPr>
            <w:b w:val="0"/>
            <w:bCs w:val="0"/>
            <w:webHidden/>
          </w:rPr>
          <w:t>17</w:t>
        </w:r>
        <w:r w:rsidR="00140F74" w:rsidRPr="0072317B">
          <w:rPr>
            <w:b w:val="0"/>
            <w:bCs w:val="0"/>
            <w:webHidden/>
          </w:rPr>
          <w:fldChar w:fldCharType="end"/>
        </w:r>
      </w:hyperlink>
    </w:p>
    <w:p w14:paraId="14CAF99A" w14:textId="35F2DC13" w:rsidR="00140F74" w:rsidRPr="0072317B" w:rsidRDefault="00000000" w:rsidP="0072317B">
      <w:pPr>
        <w:pStyle w:val="TOCBody"/>
        <w:spacing w:after="120"/>
        <w:ind w:left="0"/>
        <w:rPr>
          <w:rFonts w:eastAsiaTheme="minorEastAsia"/>
          <w:b w:val="0"/>
          <w:bCs w:val="0"/>
          <w:sz w:val="24"/>
          <w:szCs w:val="24"/>
          <w:lang w:val="en-PH"/>
        </w:rPr>
      </w:pPr>
      <w:hyperlink w:anchor="_Toc114824651" w:history="1">
        <w:r w:rsidR="00140F74" w:rsidRPr="0072317B">
          <w:rPr>
            <w:rStyle w:val="Hyperlink"/>
            <w:b w:val="0"/>
            <w:bCs w:val="0"/>
          </w:rPr>
          <w:t>Figure 2: IHPA’s organisational structure as at 30 June 2022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_Toc114824651 \h </w:instrText>
        </w:r>
        <w:r w:rsidR="00140F74" w:rsidRPr="0072317B">
          <w:rPr>
            <w:b w:val="0"/>
            <w:bCs w:val="0"/>
            <w:webHidden/>
          </w:rPr>
        </w:r>
        <w:r w:rsidR="00140F74" w:rsidRPr="0072317B">
          <w:rPr>
            <w:b w:val="0"/>
            <w:bCs w:val="0"/>
            <w:webHidden/>
          </w:rPr>
          <w:fldChar w:fldCharType="separate"/>
        </w:r>
        <w:r w:rsidR="00783BD7">
          <w:rPr>
            <w:b w:val="0"/>
            <w:bCs w:val="0"/>
            <w:webHidden/>
          </w:rPr>
          <w:t>19</w:t>
        </w:r>
        <w:r w:rsidR="00140F74" w:rsidRPr="0072317B">
          <w:rPr>
            <w:b w:val="0"/>
            <w:bCs w:val="0"/>
            <w:webHidden/>
          </w:rPr>
          <w:fldChar w:fldCharType="end"/>
        </w:r>
      </w:hyperlink>
    </w:p>
    <w:p w14:paraId="49D63647" w14:textId="0C2241B7" w:rsidR="00140F74" w:rsidRPr="0072317B" w:rsidRDefault="00000000" w:rsidP="0072317B">
      <w:pPr>
        <w:pStyle w:val="TOCBody"/>
        <w:spacing w:after="120"/>
        <w:ind w:left="0"/>
        <w:rPr>
          <w:rFonts w:eastAsiaTheme="minorEastAsia"/>
          <w:b w:val="0"/>
          <w:bCs w:val="0"/>
          <w:sz w:val="24"/>
          <w:szCs w:val="24"/>
          <w:lang w:val="en-PH"/>
        </w:rPr>
      </w:pPr>
      <w:hyperlink w:anchor="_Toc114824652" w:history="1">
        <w:r w:rsidR="00140F74" w:rsidRPr="0072317B">
          <w:rPr>
            <w:rStyle w:val="Hyperlink"/>
            <w:b w:val="0"/>
            <w:bCs w:val="0"/>
          </w:rPr>
          <w:t>Figure 3: IHPA Executive team</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_Toc114824652 \h </w:instrText>
        </w:r>
        <w:r w:rsidR="00140F74" w:rsidRPr="0072317B">
          <w:rPr>
            <w:b w:val="0"/>
            <w:bCs w:val="0"/>
            <w:webHidden/>
          </w:rPr>
        </w:r>
        <w:r w:rsidR="00140F74" w:rsidRPr="0072317B">
          <w:rPr>
            <w:b w:val="0"/>
            <w:bCs w:val="0"/>
            <w:webHidden/>
          </w:rPr>
          <w:fldChar w:fldCharType="separate"/>
        </w:r>
        <w:r w:rsidR="00783BD7">
          <w:rPr>
            <w:b w:val="0"/>
            <w:bCs w:val="0"/>
            <w:webHidden/>
          </w:rPr>
          <w:t>26</w:t>
        </w:r>
        <w:r w:rsidR="00140F74" w:rsidRPr="0072317B">
          <w:rPr>
            <w:b w:val="0"/>
            <w:bCs w:val="0"/>
            <w:webHidden/>
          </w:rPr>
          <w:fldChar w:fldCharType="end"/>
        </w:r>
      </w:hyperlink>
    </w:p>
    <w:p w14:paraId="39ED1783" w14:textId="3B890877" w:rsidR="00140F74" w:rsidRPr="0072317B" w:rsidRDefault="00000000" w:rsidP="0072317B">
      <w:pPr>
        <w:pStyle w:val="TOCBody"/>
        <w:spacing w:after="120"/>
        <w:ind w:left="0"/>
        <w:rPr>
          <w:rFonts w:eastAsiaTheme="minorEastAsia"/>
          <w:b w:val="0"/>
          <w:bCs w:val="0"/>
          <w:sz w:val="24"/>
          <w:szCs w:val="24"/>
          <w:lang w:val="en-PH"/>
        </w:rPr>
      </w:pPr>
      <w:hyperlink w:anchor="_Toc114824653" w:history="1">
        <w:r w:rsidR="00140F74" w:rsidRPr="0072317B">
          <w:rPr>
            <w:rStyle w:val="Hyperlink"/>
            <w:b w:val="0"/>
            <w:bCs w:val="0"/>
          </w:rPr>
          <w:t>Figure 4: Key agency functions</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_Toc114824653 \h </w:instrText>
        </w:r>
        <w:r w:rsidR="00140F74" w:rsidRPr="0072317B">
          <w:rPr>
            <w:b w:val="0"/>
            <w:bCs w:val="0"/>
            <w:webHidden/>
          </w:rPr>
        </w:r>
        <w:r w:rsidR="00140F74" w:rsidRPr="0072317B">
          <w:rPr>
            <w:b w:val="0"/>
            <w:bCs w:val="0"/>
            <w:webHidden/>
          </w:rPr>
          <w:fldChar w:fldCharType="separate"/>
        </w:r>
        <w:r w:rsidR="00783BD7">
          <w:rPr>
            <w:b w:val="0"/>
            <w:bCs w:val="0"/>
            <w:webHidden/>
          </w:rPr>
          <w:t>28</w:t>
        </w:r>
        <w:r w:rsidR="00140F74" w:rsidRPr="0072317B">
          <w:rPr>
            <w:b w:val="0"/>
            <w:bCs w:val="0"/>
            <w:webHidden/>
          </w:rPr>
          <w:fldChar w:fldCharType="end"/>
        </w:r>
      </w:hyperlink>
    </w:p>
    <w:p w14:paraId="57ABCEA3" w14:textId="615E655C" w:rsidR="00140F74" w:rsidRPr="0072317B" w:rsidRDefault="00000000" w:rsidP="0072317B">
      <w:pPr>
        <w:pStyle w:val="TOCBody"/>
        <w:spacing w:after="120"/>
        <w:ind w:left="0"/>
        <w:rPr>
          <w:rFonts w:eastAsiaTheme="minorEastAsia"/>
          <w:b w:val="0"/>
          <w:bCs w:val="0"/>
          <w:sz w:val="24"/>
          <w:szCs w:val="24"/>
          <w:lang w:val="en-PH"/>
        </w:rPr>
      </w:pPr>
      <w:hyperlink w:anchor="_Toc114824654" w:history="1">
        <w:r w:rsidR="00140F74" w:rsidRPr="0072317B">
          <w:rPr>
            <w:rStyle w:val="Hyperlink"/>
            <w:b w:val="0"/>
            <w:bCs w:val="0"/>
          </w:rPr>
          <w:t>Figure 5: Change in cost per national weighted activity unit</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_Toc114824654 \h </w:instrText>
        </w:r>
        <w:r w:rsidR="00140F74" w:rsidRPr="0072317B">
          <w:rPr>
            <w:b w:val="0"/>
            <w:bCs w:val="0"/>
            <w:webHidden/>
          </w:rPr>
        </w:r>
        <w:r w:rsidR="00140F74" w:rsidRPr="0072317B">
          <w:rPr>
            <w:b w:val="0"/>
            <w:bCs w:val="0"/>
            <w:webHidden/>
          </w:rPr>
          <w:fldChar w:fldCharType="separate"/>
        </w:r>
        <w:r w:rsidR="00783BD7">
          <w:rPr>
            <w:b w:val="0"/>
            <w:bCs w:val="0"/>
            <w:webHidden/>
          </w:rPr>
          <w:t>29</w:t>
        </w:r>
        <w:r w:rsidR="00140F74" w:rsidRPr="0072317B">
          <w:rPr>
            <w:b w:val="0"/>
            <w:bCs w:val="0"/>
            <w:webHidden/>
          </w:rPr>
          <w:fldChar w:fldCharType="end"/>
        </w:r>
      </w:hyperlink>
    </w:p>
    <w:p w14:paraId="75231914" w14:textId="6A89D322" w:rsidR="00140F74" w:rsidRPr="0072317B" w:rsidRDefault="00000000" w:rsidP="0072317B">
      <w:pPr>
        <w:pStyle w:val="TOCBody"/>
        <w:spacing w:after="120"/>
        <w:ind w:left="0"/>
        <w:rPr>
          <w:rFonts w:eastAsiaTheme="minorEastAsia"/>
          <w:b w:val="0"/>
          <w:bCs w:val="0"/>
          <w:sz w:val="24"/>
          <w:szCs w:val="24"/>
          <w:lang w:val="en-PH"/>
        </w:rPr>
      </w:pPr>
      <w:hyperlink w:anchor="_Toc114824655" w:history="1">
        <w:r w:rsidR="00140F74" w:rsidRPr="0072317B">
          <w:rPr>
            <w:rStyle w:val="Hyperlink"/>
            <w:b w:val="0"/>
            <w:bCs w:val="0"/>
          </w:rPr>
          <w:t>Figure 6: Relationship between the sources of reporting for the Annual Report 2021–22 Performance Statement</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_Toc114824655 \h </w:instrText>
        </w:r>
        <w:r w:rsidR="00140F74" w:rsidRPr="0072317B">
          <w:rPr>
            <w:b w:val="0"/>
            <w:bCs w:val="0"/>
            <w:webHidden/>
          </w:rPr>
        </w:r>
        <w:r w:rsidR="00140F74" w:rsidRPr="0072317B">
          <w:rPr>
            <w:b w:val="0"/>
            <w:bCs w:val="0"/>
            <w:webHidden/>
          </w:rPr>
          <w:fldChar w:fldCharType="separate"/>
        </w:r>
        <w:r w:rsidR="00783BD7">
          <w:rPr>
            <w:b w:val="0"/>
            <w:bCs w:val="0"/>
            <w:webHidden/>
          </w:rPr>
          <w:t>36</w:t>
        </w:r>
        <w:r w:rsidR="00140F74" w:rsidRPr="0072317B">
          <w:rPr>
            <w:b w:val="0"/>
            <w:bCs w:val="0"/>
            <w:webHidden/>
          </w:rPr>
          <w:fldChar w:fldCharType="end"/>
        </w:r>
      </w:hyperlink>
    </w:p>
    <w:p w14:paraId="5E861A9C" w14:textId="729ECF23" w:rsidR="00140F74" w:rsidRPr="0072317B" w:rsidRDefault="00000000" w:rsidP="0072317B">
      <w:pPr>
        <w:pStyle w:val="TOCBody"/>
        <w:spacing w:after="120"/>
        <w:ind w:left="0"/>
        <w:rPr>
          <w:rFonts w:eastAsiaTheme="minorEastAsia"/>
          <w:b w:val="0"/>
          <w:bCs w:val="0"/>
          <w:sz w:val="24"/>
          <w:szCs w:val="24"/>
          <w:lang w:val="en-PH"/>
        </w:rPr>
      </w:pPr>
      <w:hyperlink w:anchor="_Toc114824656" w:history="1">
        <w:r w:rsidR="00140F74" w:rsidRPr="0072317B">
          <w:rPr>
            <w:rStyle w:val="Hyperlink"/>
            <w:b w:val="0"/>
            <w:bCs w:val="0"/>
          </w:rPr>
          <w:t>Table 1: Summary of Performance for Activity 1 in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_Toc114824656 \h </w:instrText>
        </w:r>
        <w:r w:rsidR="00140F74" w:rsidRPr="0072317B">
          <w:rPr>
            <w:b w:val="0"/>
            <w:bCs w:val="0"/>
            <w:webHidden/>
          </w:rPr>
        </w:r>
        <w:r w:rsidR="00140F74" w:rsidRPr="0072317B">
          <w:rPr>
            <w:b w:val="0"/>
            <w:bCs w:val="0"/>
            <w:webHidden/>
          </w:rPr>
          <w:fldChar w:fldCharType="separate"/>
        </w:r>
        <w:r w:rsidR="00783BD7">
          <w:rPr>
            <w:b w:val="0"/>
            <w:bCs w:val="0"/>
            <w:webHidden/>
          </w:rPr>
          <w:t>37</w:t>
        </w:r>
        <w:r w:rsidR="00140F74" w:rsidRPr="0072317B">
          <w:rPr>
            <w:b w:val="0"/>
            <w:bCs w:val="0"/>
            <w:webHidden/>
          </w:rPr>
          <w:fldChar w:fldCharType="end"/>
        </w:r>
      </w:hyperlink>
    </w:p>
    <w:p w14:paraId="59B7C6BC" w14:textId="52A52BD8" w:rsidR="00140F74" w:rsidRPr="0072317B" w:rsidRDefault="00000000" w:rsidP="0072317B">
      <w:pPr>
        <w:pStyle w:val="TOCBody"/>
        <w:spacing w:after="120"/>
        <w:ind w:left="0"/>
        <w:rPr>
          <w:rFonts w:eastAsiaTheme="minorEastAsia"/>
          <w:b w:val="0"/>
          <w:bCs w:val="0"/>
          <w:sz w:val="24"/>
          <w:szCs w:val="24"/>
          <w:lang w:val="en-PH"/>
        </w:rPr>
      </w:pPr>
      <w:hyperlink w:anchor="_Toc114824657" w:history="1">
        <w:r w:rsidR="00140F74" w:rsidRPr="0072317B">
          <w:rPr>
            <w:rStyle w:val="Hyperlink"/>
            <w:b w:val="0"/>
            <w:bCs w:val="0"/>
          </w:rPr>
          <w:t>Table 2: Summary of Performance for Activity 2 in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_Toc114824657 \h </w:instrText>
        </w:r>
        <w:r w:rsidR="00140F74" w:rsidRPr="0072317B">
          <w:rPr>
            <w:b w:val="0"/>
            <w:bCs w:val="0"/>
            <w:webHidden/>
          </w:rPr>
        </w:r>
        <w:r w:rsidR="00140F74" w:rsidRPr="0072317B">
          <w:rPr>
            <w:b w:val="0"/>
            <w:bCs w:val="0"/>
            <w:webHidden/>
          </w:rPr>
          <w:fldChar w:fldCharType="separate"/>
        </w:r>
        <w:r w:rsidR="00783BD7">
          <w:rPr>
            <w:b w:val="0"/>
            <w:bCs w:val="0"/>
            <w:webHidden/>
          </w:rPr>
          <w:t>42</w:t>
        </w:r>
        <w:r w:rsidR="00140F74" w:rsidRPr="0072317B">
          <w:rPr>
            <w:b w:val="0"/>
            <w:bCs w:val="0"/>
            <w:webHidden/>
          </w:rPr>
          <w:fldChar w:fldCharType="end"/>
        </w:r>
      </w:hyperlink>
    </w:p>
    <w:p w14:paraId="7A5001FF" w14:textId="1B82D505" w:rsidR="00140F74" w:rsidRPr="0072317B" w:rsidRDefault="00000000" w:rsidP="0072317B">
      <w:pPr>
        <w:pStyle w:val="TOCBody"/>
        <w:spacing w:after="120"/>
        <w:ind w:left="0"/>
        <w:rPr>
          <w:rFonts w:eastAsiaTheme="minorEastAsia"/>
          <w:b w:val="0"/>
          <w:bCs w:val="0"/>
          <w:sz w:val="24"/>
          <w:szCs w:val="24"/>
          <w:lang w:val="en-PH"/>
        </w:rPr>
      </w:pPr>
      <w:hyperlink w:anchor="_Toc114824658" w:history="1">
        <w:r w:rsidR="00140F74" w:rsidRPr="0072317B">
          <w:rPr>
            <w:rStyle w:val="Hyperlink"/>
            <w:b w:val="0"/>
            <w:bCs w:val="0"/>
          </w:rPr>
          <w:t>Table 3: Summary of Performance for Activity 3 in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_Toc114824658 \h </w:instrText>
        </w:r>
        <w:r w:rsidR="00140F74" w:rsidRPr="0072317B">
          <w:rPr>
            <w:b w:val="0"/>
            <w:bCs w:val="0"/>
            <w:webHidden/>
          </w:rPr>
        </w:r>
        <w:r w:rsidR="00140F74" w:rsidRPr="0072317B">
          <w:rPr>
            <w:b w:val="0"/>
            <w:bCs w:val="0"/>
            <w:webHidden/>
          </w:rPr>
          <w:fldChar w:fldCharType="separate"/>
        </w:r>
        <w:r w:rsidR="00783BD7">
          <w:rPr>
            <w:b w:val="0"/>
            <w:bCs w:val="0"/>
            <w:webHidden/>
          </w:rPr>
          <w:t>48</w:t>
        </w:r>
        <w:r w:rsidR="00140F74" w:rsidRPr="0072317B">
          <w:rPr>
            <w:b w:val="0"/>
            <w:bCs w:val="0"/>
            <w:webHidden/>
          </w:rPr>
          <w:fldChar w:fldCharType="end"/>
        </w:r>
      </w:hyperlink>
    </w:p>
    <w:p w14:paraId="6A697C76" w14:textId="0A65EEA7" w:rsidR="00140F74" w:rsidRPr="0072317B" w:rsidRDefault="00000000" w:rsidP="0072317B">
      <w:pPr>
        <w:pStyle w:val="TOCBody"/>
        <w:spacing w:after="120"/>
        <w:ind w:left="0"/>
        <w:rPr>
          <w:rFonts w:eastAsiaTheme="minorEastAsia"/>
          <w:b w:val="0"/>
          <w:bCs w:val="0"/>
          <w:sz w:val="24"/>
          <w:szCs w:val="24"/>
          <w:lang w:val="en-PH"/>
        </w:rPr>
      </w:pPr>
      <w:hyperlink w:anchor="_Toc114824659" w:history="1">
        <w:r w:rsidR="00140F74" w:rsidRPr="0072317B">
          <w:rPr>
            <w:rStyle w:val="Hyperlink"/>
            <w:b w:val="0"/>
            <w:bCs w:val="0"/>
          </w:rPr>
          <w:t>Table 4: Summary of Performance for Activity 4 in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_Toc114824659 \h </w:instrText>
        </w:r>
        <w:r w:rsidR="00140F74" w:rsidRPr="0072317B">
          <w:rPr>
            <w:b w:val="0"/>
            <w:bCs w:val="0"/>
            <w:webHidden/>
          </w:rPr>
        </w:r>
        <w:r w:rsidR="00140F74" w:rsidRPr="0072317B">
          <w:rPr>
            <w:b w:val="0"/>
            <w:bCs w:val="0"/>
            <w:webHidden/>
          </w:rPr>
          <w:fldChar w:fldCharType="separate"/>
        </w:r>
        <w:r w:rsidR="00783BD7">
          <w:rPr>
            <w:b w:val="0"/>
            <w:bCs w:val="0"/>
            <w:webHidden/>
          </w:rPr>
          <w:t>51</w:t>
        </w:r>
        <w:r w:rsidR="00140F74" w:rsidRPr="0072317B">
          <w:rPr>
            <w:b w:val="0"/>
            <w:bCs w:val="0"/>
            <w:webHidden/>
          </w:rPr>
          <w:fldChar w:fldCharType="end"/>
        </w:r>
      </w:hyperlink>
    </w:p>
    <w:p w14:paraId="6BD89933" w14:textId="10AD4FC2" w:rsidR="00140F74" w:rsidRPr="0072317B" w:rsidRDefault="00000000" w:rsidP="0072317B">
      <w:pPr>
        <w:pStyle w:val="TOCBody"/>
        <w:spacing w:after="120"/>
        <w:ind w:left="0"/>
        <w:rPr>
          <w:rFonts w:eastAsiaTheme="minorEastAsia"/>
          <w:b w:val="0"/>
          <w:bCs w:val="0"/>
          <w:sz w:val="24"/>
          <w:szCs w:val="24"/>
          <w:lang w:val="en-PH"/>
        </w:rPr>
      </w:pPr>
      <w:hyperlink w:anchor="_Toc114824660" w:history="1">
        <w:r w:rsidR="00140F74" w:rsidRPr="0072317B">
          <w:rPr>
            <w:rStyle w:val="Hyperlink"/>
            <w:b w:val="0"/>
            <w:bCs w:val="0"/>
          </w:rPr>
          <w:t>Table 5: Summary of Performance for Activity 5 in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_Toc114824660 \h </w:instrText>
        </w:r>
        <w:r w:rsidR="00140F74" w:rsidRPr="0072317B">
          <w:rPr>
            <w:b w:val="0"/>
            <w:bCs w:val="0"/>
            <w:webHidden/>
          </w:rPr>
        </w:r>
        <w:r w:rsidR="00140F74" w:rsidRPr="0072317B">
          <w:rPr>
            <w:b w:val="0"/>
            <w:bCs w:val="0"/>
            <w:webHidden/>
          </w:rPr>
          <w:fldChar w:fldCharType="separate"/>
        </w:r>
        <w:r w:rsidR="00783BD7">
          <w:rPr>
            <w:b w:val="0"/>
            <w:bCs w:val="0"/>
            <w:webHidden/>
          </w:rPr>
          <w:t>55</w:t>
        </w:r>
        <w:r w:rsidR="00140F74" w:rsidRPr="0072317B">
          <w:rPr>
            <w:b w:val="0"/>
            <w:bCs w:val="0"/>
            <w:webHidden/>
          </w:rPr>
          <w:fldChar w:fldCharType="end"/>
        </w:r>
      </w:hyperlink>
    </w:p>
    <w:p w14:paraId="6F7A2DAA" w14:textId="2C7A325A" w:rsidR="00140F74" w:rsidRPr="0072317B" w:rsidRDefault="00000000" w:rsidP="0072317B">
      <w:pPr>
        <w:pStyle w:val="TOCBody"/>
        <w:spacing w:after="120"/>
        <w:ind w:left="0"/>
        <w:rPr>
          <w:rFonts w:eastAsiaTheme="minorEastAsia"/>
          <w:b w:val="0"/>
          <w:bCs w:val="0"/>
          <w:sz w:val="24"/>
          <w:szCs w:val="24"/>
          <w:lang w:val="en-PH"/>
        </w:rPr>
      </w:pPr>
      <w:hyperlink w:anchor="_Toc114824661" w:history="1">
        <w:r w:rsidR="00140F74" w:rsidRPr="0072317B">
          <w:rPr>
            <w:rStyle w:val="Hyperlink"/>
            <w:b w:val="0"/>
            <w:bCs w:val="0"/>
          </w:rPr>
          <w:t>Table 6: Summary of Performance for Activity 6 in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_Toc114824661 \h </w:instrText>
        </w:r>
        <w:r w:rsidR="00140F74" w:rsidRPr="0072317B">
          <w:rPr>
            <w:b w:val="0"/>
            <w:bCs w:val="0"/>
            <w:webHidden/>
          </w:rPr>
        </w:r>
        <w:r w:rsidR="00140F74" w:rsidRPr="0072317B">
          <w:rPr>
            <w:b w:val="0"/>
            <w:bCs w:val="0"/>
            <w:webHidden/>
          </w:rPr>
          <w:fldChar w:fldCharType="separate"/>
        </w:r>
        <w:r w:rsidR="00783BD7">
          <w:rPr>
            <w:b w:val="0"/>
            <w:bCs w:val="0"/>
            <w:webHidden/>
          </w:rPr>
          <w:t>56</w:t>
        </w:r>
        <w:r w:rsidR="00140F74" w:rsidRPr="0072317B">
          <w:rPr>
            <w:b w:val="0"/>
            <w:bCs w:val="0"/>
            <w:webHidden/>
          </w:rPr>
          <w:fldChar w:fldCharType="end"/>
        </w:r>
      </w:hyperlink>
    </w:p>
    <w:p w14:paraId="3D36C194" w14:textId="4C240705" w:rsidR="00140F74" w:rsidRPr="0072317B" w:rsidRDefault="00000000" w:rsidP="0072317B">
      <w:pPr>
        <w:pStyle w:val="TOCBody"/>
        <w:spacing w:after="120"/>
        <w:ind w:left="0"/>
        <w:rPr>
          <w:rFonts w:eastAsiaTheme="minorEastAsia"/>
          <w:b w:val="0"/>
          <w:bCs w:val="0"/>
          <w:sz w:val="24"/>
          <w:szCs w:val="24"/>
          <w:lang w:val="en-PH"/>
        </w:rPr>
      </w:pPr>
      <w:hyperlink w:anchor="_Toc114824662" w:history="1">
        <w:r w:rsidR="00140F74" w:rsidRPr="0072317B">
          <w:rPr>
            <w:rStyle w:val="Hyperlink"/>
            <w:b w:val="0"/>
            <w:bCs w:val="0"/>
          </w:rPr>
          <w:t>Table 7: Meetings of the Pricing Authority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_Toc114824662 \h </w:instrText>
        </w:r>
        <w:r w:rsidR="00140F74" w:rsidRPr="0072317B">
          <w:rPr>
            <w:b w:val="0"/>
            <w:bCs w:val="0"/>
            <w:webHidden/>
          </w:rPr>
        </w:r>
        <w:r w:rsidR="00140F74" w:rsidRPr="0072317B">
          <w:rPr>
            <w:b w:val="0"/>
            <w:bCs w:val="0"/>
            <w:webHidden/>
          </w:rPr>
          <w:fldChar w:fldCharType="separate"/>
        </w:r>
        <w:r w:rsidR="00783BD7">
          <w:rPr>
            <w:b w:val="0"/>
            <w:bCs w:val="0"/>
            <w:webHidden/>
          </w:rPr>
          <w:t>66</w:t>
        </w:r>
        <w:r w:rsidR="00140F74" w:rsidRPr="0072317B">
          <w:rPr>
            <w:b w:val="0"/>
            <w:bCs w:val="0"/>
            <w:webHidden/>
          </w:rPr>
          <w:fldChar w:fldCharType="end"/>
        </w:r>
      </w:hyperlink>
    </w:p>
    <w:p w14:paraId="78AD171D" w14:textId="0FCAE0FD" w:rsidR="00140F74" w:rsidRPr="0072317B" w:rsidRDefault="00000000" w:rsidP="0072317B">
      <w:pPr>
        <w:pStyle w:val="TOCBody"/>
        <w:spacing w:after="120"/>
        <w:ind w:left="0"/>
        <w:rPr>
          <w:rFonts w:eastAsiaTheme="minorEastAsia"/>
          <w:b w:val="0"/>
          <w:bCs w:val="0"/>
          <w:sz w:val="24"/>
          <w:szCs w:val="24"/>
          <w:lang w:val="en-PH"/>
        </w:rPr>
      </w:pPr>
      <w:hyperlink w:anchor="_Toc114824663" w:history="1">
        <w:r w:rsidR="00140F74" w:rsidRPr="0072317B">
          <w:rPr>
            <w:rStyle w:val="Hyperlink"/>
            <w:b w:val="0"/>
            <w:bCs w:val="0"/>
          </w:rPr>
          <w:t>Table 8: Details of accountable authority during the reporting period current report period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_Toc114824663 \h </w:instrText>
        </w:r>
        <w:r w:rsidR="00140F74" w:rsidRPr="0072317B">
          <w:rPr>
            <w:b w:val="0"/>
            <w:bCs w:val="0"/>
            <w:webHidden/>
          </w:rPr>
        </w:r>
        <w:r w:rsidR="00140F74" w:rsidRPr="0072317B">
          <w:rPr>
            <w:b w:val="0"/>
            <w:bCs w:val="0"/>
            <w:webHidden/>
          </w:rPr>
          <w:fldChar w:fldCharType="separate"/>
        </w:r>
        <w:r w:rsidR="00783BD7">
          <w:rPr>
            <w:b w:val="0"/>
            <w:bCs w:val="0"/>
            <w:webHidden/>
          </w:rPr>
          <w:t>68</w:t>
        </w:r>
        <w:r w:rsidR="00140F74" w:rsidRPr="0072317B">
          <w:rPr>
            <w:b w:val="0"/>
            <w:bCs w:val="0"/>
            <w:webHidden/>
          </w:rPr>
          <w:fldChar w:fldCharType="end"/>
        </w:r>
      </w:hyperlink>
    </w:p>
    <w:p w14:paraId="235CB743" w14:textId="4F061EA9" w:rsidR="00140F74" w:rsidRPr="0072317B" w:rsidRDefault="00000000" w:rsidP="0072317B">
      <w:pPr>
        <w:pStyle w:val="TOCBody"/>
        <w:spacing w:after="120"/>
        <w:ind w:left="0"/>
        <w:rPr>
          <w:rFonts w:eastAsiaTheme="minorEastAsia"/>
          <w:b w:val="0"/>
          <w:bCs w:val="0"/>
          <w:sz w:val="24"/>
          <w:szCs w:val="24"/>
          <w:lang w:val="en-PH"/>
        </w:rPr>
      </w:pPr>
      <w:hyperlink w:anchor="_Toc114824664" w:history="1">
        <w:r w:rsidR="00140F74" w:rsidRPr="0072317B">
          <w:rPr>
            <w:rStyle w:val="Hyperlink"/>
            <w:b w:val="0"/>
            <w:bCs w:val="0"/>
          </w:rPr>
          <w:t>Figure 7: IHPA’s management, committees and working groups</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_Toc114824664 \h </w:instrText>
        </w:r>
        <w:r w:rsidR="00140F74" w:rsidRPr="0072317B">
          <w:rPr>
            <w:b w:val="0"/>
            <w:bCs w:val="0"/>
            <w:webHidden/>
          </w:rPr>
        </w:r>
        <w:r w:rsidR="00140F74" w:rsidRPr="0072317B">
          <w:rPr>
            <w:b w:val="0"/>
            <w:bCs w:val="0"/>
            <w:webHidden/>
          </w:rPr>
          <w:fldChar w:fldCharType="separate"/>
        </w:r>
        <w:r w:rsidR="00783BD7">
          <w:rPr>
            <w:b w:val="0"/>
            <w:bCs w:val="0"/>
            <w:webHidden/>
          </w:rPr>
          <w:t>70</w:t>
        </w:r>
        <w:r w:rsidR="00140F74" w:rsidRPr="0072317B">
          <w:rPr>
            <w:b w:val="0"/>
            <w:bCs w:val="0"/>
            <w:webHidden/>
          </w:rPr>
          <w:fldChar w:fldCharType="end"/>
        </w:r>
      </w:hyperlink>
    </w:p>
    <w:p w14:paraId="36EF4568" w14:textId="14EBF298" w:rsidR="00140F74" w:rsidRPr="0072317B" w:rsidRDefault="00000000" w:rsidP="0072317B">
      <w:pPr>
        <w:pStyle w:val="TOCBody"/>
        <w:spacing w:after="120"/>
        <w:ind w:left="0"/>
        <w:rPr>
          <w:rFonts w:eastAsiaTheme="minorEastAsia"/>
          <w:b w:val="0"/>
          <w:bCs w:val="0"/>
          <w:sz w:val="24"/>
          <w:szCs w:val="24"/>
          <w:lang w:val="en-PH"/>
        </w:rPr>
      </w:pPr>
      <w:hyperlink w:anchor="_Toc114824665" w:history="1">
        <w:r w:rsidR="00140F74" w:rsidRPr="0072317B">
          <w:rPr>
            <w:rStyle w:val="Hyperlink"/>
            <w:b w:val="0"/>
            <w:bCs w:val="0"/>
          </w:rPr>
          <w:t>Table 9: Membership and meetings of the Clinical Advisory Committee in 2021–</w:t>
        </w:r>
        <w:r w:rsidR="00140F74" w:rsidRPr="0072317B">
          <w:rPr>
            <w:rStyle w:val="Hyperlink"/>
            <w:rFonts w:ascii="Arial" w:hAnsi="Arial" w:cs="Arial"/>
            <w:b w:val="0"/>
            <w:bCs w:val="0"/>
          </w:rPr>
          <w:t>‍</w:t>
        </w:r>
        <w:r w:rsidR="00140F74" w:rsidRPr="0072317B">
          <w:rPr>
            <w:rStyle w:val="Hyperlink"/>
            <w:b w:val="0"/>
            <w:bCs w:val="0"/>
          </w:rPr>
          <w:t>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_Toc114824665 \h </w:instrText>
        </w:r>
        <w:r w:rsidR="00140F74" w:rsidRPr="0072317B">
          <w:rPr>
            <w:b w:val="0"/>
            <w:bCs w:val="0"/>
            <w:webHidden/>
          </w:rPr>
        </w:r>
        <w:r w:rsidR="00140F74" w:rsidRPr="0072317B">
          <w:rPr>
            <w:b w:val="0"/>
            <w:bCs w:val="0"/>
            <w:webHidden/>
          </w:rPr>
          <w:fldChar w:fldCharType="separate"/>
        </w:r>
        <w:r w:rsidR="00783BD7">
          <w:rPr>
            <w:b w:val="0"/>
            <w:bCs w:val="0"/>
            <w:webHidden/>
          </w:rPr>
          <w:t>72</w:t>
        </w:r>
        <w:r w:rsidR="00140F74" w:rsidRPr="0072317B">
          <w:rPr>
            <w:b w:val="0"/>
            <w:bCs w:val="0"/>
            <w:webHidden/>
          </w:rPr>
          <w:fldChar w:fldCharType="end"/>
        </w:r>
      </w:hyperlink>
    </w:p>
    <w:p w14:paraId="144665E0" w14:textId="66B8E1DA" w:rsidR="00140F74" w:rsidRPr="0072317B" w:rsidRDefault="00000000" w:rsidP="0072317B">
      <w:pPr>
        <w:pStyle w:val="TOCBody"/>
        <w:spacing w:after="120"/>
        <w:ind w:left="0"/>
        <w:rPr>
          <w:rFonts w:eastAsiaTheme="minorEastAsia"/>
          <w:b w:val="0"/>
          <w:bCs w:val="0"/>
          <w:sz w:val="24"/>
          <w:szCs w:val="24"/>
          <w:lang w:val="en-PH"/>
        </w:rPr>
      </w:pPr>
      <w:hyperlink w:anchor="_Toc114824666" w:history="1">
        <w:r w:rsidR="00140F74" w:rsidRPr="0072317B">
          <w:rPr>
            <w:rStyle w:val="Hyperlink"/>
            <w:b w:val="0"/>
            <w:bCs w:val="0"/>
          </w:rPr>
          <w:t>Table 10: Details of Audit, Risk and Compliance Committee during the reporting period (2021–22)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_Toc114824666 \h </w:instrText>
        </w:r>
        <w:r w:rsidR="00140F74" w:rsidRPr="0072317B">
          <w:rPr>
            <w:b w:val="0"/>
            <w:bCs w:val="0"/>
            <w:webHidden/>
          </w:rPr>
        </w:r>
        <w:r w:rsidR="00140F74" w:rsidRPr="0072317B">
          <w:rPr>
            <w:b w:val="0"/>
            <w:bCs w:val="0"/>
            <w:webHidden/>
          </w:rPr>
          <w:fldChar w:fldCharType="separate"/>
        </w:r>
        <w:r w:rsidR="00783BD7">
          <w:rPr>
            <w:b w:val="0"/>
            <w:bCs w:val="0"/>
            <w:webHidden/>
          </w:rPr>
          <w:t>74</w:t>
        </w:r>
        <w:r w:rsidR="00140F74" w:rsidRPr="0072317B">
          <w:rPr>
            <w:b w:val="0"/>
            <w:bCs w:val="0"/>
            <w:webHidden/>
          </w:rPr>
          <w:fldChar w:fldCharType="end"/>
        </w:r>
      </w:hyperlink>
    </w:p>
    <w:p w14:paraId="6BBEF39A" w14:textId="45A8AABF" w:rsidR="00140F74" w:rsidRPr="0072317B" w:rsidRDefault="00000000" w:rsidP="0072317B">
      <w:pPr>
        <w:pStyle w:val="TOCBody"/>
        <w:spacing w:after="120"/>
        <w:ind w:left="0"/>
        <w:rPr>
          <w:rFonts w:eastAsiaTheme="minorEastAsia"/>
          <w:b w:val="0"/>
          <w:bCs w:val="0"/>
          <w:sz w:val="24"/>
          <w:szCs w:val="24"/>
          <w:lang w:val="en-PH"/>
        </w:rPr>
      </w:pPr>
      <w:hyperlink w:anchor="_Toc114824667" w:history="1">
        <w:r w:rsidR="00140F74" w:rsidRPr="0072317B">
          <w:rPr>
            <w:rStyle w:val="Hyperlink"/>
            <w:b w:val="0"/>
            <w:bCs w:val="0"/>
          </w:rPr>
          <w:t>Table 11: Ongoing seconded employees 2022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_Toc114824667 \h </w:instrText>
        </w:r>
        <w:r w:rsidR="00140F74" w:rsidRPr="0072317B">
          <w:rPr>
            <w:b w:val="0"/>
            <w:bCs w:val="0"/>
            <w:webHidden/>
          </w:rPr>
        </w:r>
        <w:r w:rsidR="00140F74" w:rsidRPr="0072317B">
          <w:rPr>
            <w:b w:val="0"/>
            <w:bCs w:val="0"/>
            <w:webHidden/>
          </w:rPr>
          <w:fldChar w:fldCharType="separate"/>
        </w:r>
        <w:r w:rsidR="00783BD7">
          <w:rPr>
            <w:b w:val="0"/>
            <w:bCs w:val="0"/>
            <w:webHidden/>
          </w:rPr>
          <w:t>79</w:t>
        </w:r>
        <w:r w:rsidR="00140F74" w:rsidRPr="0072317B">
          <w:rPr>
            <w:b w:val="0"/>
            <w:bCs w:val="0"/>
            <w:webHidden/>
          </w:rPr>
          <w:fldChar w:fldCharType="end"/>
        </w:r>
      </w:hyperlink>
    </w:p>
    <w:p w14:paraId="179441C0" w14:textId="2C068906" w:rsidR="00140F74" w:rsidRPr="0072317B" w:rsidRDefault="00000000" w:rsidP="0072317B">
      <w:pPr>
        <w:pStyle w:val="TOCBody"/>
        <w:spacing w:after="120"/>
        <w:ind w:left="0"/>
        <w:rPr>
          <w:rFonts w:eastAsiaTheme="minorEastAsia"/>
          <w:b w:val="0"/>
          <w:bCs w:val="0"/>
          <w:sz w:val="24"/>
          <w:szCs w:val="24"/>
          <w:lang w:val="en-PH"/>
        </w:rPr>
      </w:pPr>
      <w:hyperlink w:anchor="_Toc114824668" w:history="1">
        <w:r w:rsidR="00140F74" w:rsidRPr="0072317B">
          <w:rPr>
            <w:rStyle w:val="Hyperlink"/>
            <w:b w:val="0"/>
            <w:bCs w:val="0"/>
          </w:rPr>
          <w:t>Table 12: Ongoing seconded employees 2021</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_Toc114824668 \h </w:instrText>
        </w:r>
        <w:r w:rsidR="00140F74" w:rsidRPr="0072317B">
          <w:rPr>
            <w:b w:val="0"/>
            <w:bCs w:val="0"/>
            <w:webHidden/>
          </w:rPr>
        </w:r>
        <w:r w:rsidR="00140F74" w:rsidRPr="0072317B">
          <w:rPr>
            <w:b w:val="0"/>
            <w:bCs w:val="0"/>
            <w:webHidden/>
          </w:rPr>
          <w:fldChar w:fldCharType="separate"/>
        </w:r>
        <w:r w:rsidR="00783BD7">
          <w:rPr>
            <w:b w:val="0"/>
            <w:bCs w:val="0"/>
            <w:webHidden/>
          </w:rPr>
          <w:t>79</w:t>
        </w:r>
        <w:r w:rsidR="00140F74" w:rsidRPr="0072317B">
          <w:rPr>
            <w:b w:val="0"/>
            <w:bCs w:val="0"/>
            <w:webHidden/>
          </w:rPr>
          <w:fldChar w:fldCharType="end"/>
        </w:r>
      </w:hyperlink>
    </w:p>
    <w:p w14:paraId="2DAB1E52" w14:textId="10F60EFB" w:rsidR="00140F74" w:rsidRPr="0072317B" w:rsidRDefault="00000000" w:rsidP="0072317B">
      <w:pPr>
        <w:pStyle w:val="TOCBody"/>
        <w:spacing w:after="120"/>
        <w:ind w:left="0"/>
        <w:rPr>
          <w:rFonts w:eastAsiaTheme="minorEastAsia"/>
          <w:b w:val="0"/>
          <w:bCs w:val="0"/>
          <w:sz w:val="24"/>
          <w:szCs w:val="24"/>
          <w:lang w:val="en-PH"/>
        </w:rPr>
      </w:pPr>
      <w:hyperlink w:anchor="_Toc114824669" w:history="1">
        <w:r w:rsidR="00140F74" w:rsidRPr="0072317B">
          <w:rPr>
            <w:rStyle w:val="Hyperlink"/>
            <w:b w:val="0"/>
            <w:bCs w:val="0"/>
          </w:rPr>
          <w:t>Table 13: Non-ongoing seconded employees 2022</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_Toc114824669 \h </w:instrText>
        </w:r>
        <w:r w:rsidR="00140F74" w:rsidRPr="0072317B">
          <w:rPr>
            <w:b w:val="0"/>
            <w:bCs w:val="0"/>
            <w:webHidden/>
          </w:rPr>
        </w:r>
        <w:r w:rsidR="00140F74" w:rsidRPr="0072317B">
          <w:rPr>
            <w:b w:val="0"/>
            <w:bCs w:val="0"/>
            <w:webHidden/>
          </w:rPr>
          <w:fldChar w:fldCharType="separate"/>
        </w:r>
        <w:r w:rsidR="00783BD7">
          <w:rPr>
            <w:b w:val="0"/>
            <w:bCs w:val="0"/>
            <w:webHidden/>
          </w:rPr>
          <w:t>80</w:t>
        </w:r>
        <w:r w:rsidR="00140F74" w:rsidRPr="0072317B">
          <w:rPr>
            <w:b w:val="0"/>
            <w:bCs w:val="0"/>
            <w:webHidden/>
          </w:rPr>
          <w:fldChar w:fldCharType="end"/>
        </w:r>
      </w:hyperlink>
    </w:p>
    <w:p w14:paraId="18B6F2C7" w14:textId="5F7DF6F2" w:rsidR="00140F74" w:rsidRPr="0072317B" w:rsidRDefault="00000000" w:rsidP="0072317B">
      <w:pPr>
        <w:pStyle w:val="TOCBody"/>
        <w:spacing w:after="120"/>
        <w:ind w:left="0"/>
        <w:rPr>
          <w:rFonts w:eastAsiaTheme="minorEastAsia"/>
          <w:b w:val="0"/>
          <w:bCs w:val="0"/>
          <w:sz w:val="24"/>
          <w:szCs w:val="24"/>
          <w:lang w:val="en-PH"/>
        </w:rPr>
      </w:pPr>
      <w:hyperlink w:anchor="_Toc114824670" w:history="1">
        <w:r w:rsidR="00140F74" w:rsidRPr="0072317B">
          <w:rPr>
            <w:rStyle w:val="Hyperlink"/>
            <w:b w:val="0"/>
            <w:bCs w:val="0"/>
          </w:rPr>
          <w:t>Table 14: Non-ongoing seconded employees 2021</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_Toc114824670 \h </w:instrText>
        </w:r>
        <w:r w:rsidR="00140F74" w:rsidRPr="0072317B">
          <w:rPr>
            <w:b w:val="0"/>
            <w:bCs w:val="0"/>
            <w:webHidden/>
          </w:rPr>
        </w:r>
        <w:r w:rsidR="00140F74" w:rsidRPr="0072317B">
          <w:rPr>
            <w:b w:val="0"/>
            <w:bCs w:val="0"/>
            <w:webHidden/>
          </w:rPr>
          <w:fldChar w:fldCharType="separate"/>
        </w:r>
        <w:r w:rsidR="00783BD7">
          <w:rPr>
            <w:b w:val="0"/>
            <w:bCs w:val="0"/>
            <w:webHidden/>
          </w:rPr>
          <w:t>80</w:t>
        </w:r>
        <w:r w:rsidR="00140F74" w:rsidRPr="0072317B">
          <w:rPr>
            <w:b w:val="0"/>
            <w:bCs w:val="0"/>
            <w:webHidden/>
          </w:rPr>
          <w:fldChar w:fldCharType="end"/>
        </w:r>
      </w:hyperlink>
    </w:p>
    <w:p w14:paraId="3D8C7E9B" w14:textId="4A09DED1" w:rsidR="00140F74" w:rsidRPr="0072317B" w:rsidRDefault="00000000" w:rsidP="0072317B">
      <w:pPr>
        <w:pStyle w:val="TOCBody"/>
        <w:spacing w:after="120"/>
        <w:ind w:left="0"/>
        <w:rPr>
          <w:rFonts w:eastAsiaTheme="minorEastAsia"/>
          <w:b w:val="0"/>
          <w:bCs w:val="0"/>
          <w:sz w:val="24"/>
          <w:szCs w:val="24"/>
          <w:lang w:val="en-PH"/>
        </w:rPr>
      </w:pPr>
      <w:hyperlink w:anchor="_Toc114824671" w:history="1">
        <w:r w:rsidR="00140F74" w:rsidRPr="0072317B">
          <w:rPr>
            <w:rStyle w:val="Hyperlink"/>
            <w:b w:val="0"/>
            <w:bCs w:val="0"/>
          </w:rPr>
          <w:t>Table 15: Information about remuneration for key management personnel</w:t>
        </w:r>
        <w:r w:rsidR="00140F74" w:rsidRPr="0072317B">
          <w:rPr>
            <w:b w:val="0"/>
            <w:bCs w:val="0"/>
            <w:webHidden/>
          </w:rPr>
          <w:tab/>
        </w:r>
        <w:r w:rsidR="00140F74" w:rsidRPr="0072317B">
          <w:rPr>
            <w:b w:val="0"/>
            <w:bCs w:val="0"/>
            <w:webHidden/>
          </w:rPr>
          <w:fldChar w:fldCharType="begin"/>
        </w:r>
        <w:r w:rsidR="00140F74" w:rsidRPr="0072317B">
          <w:rPr>
            <w:b w:val="0"/>
            <w:bCs w:val="0"/>
            <w:webHidden/>
          </w:rPr>
          <w:instrText xml:space="preserve"> PAGEREF _Toc114824671 \h </w:instrText>
        </w:r>
        <w:r w:rsidR="00140F74" w:rsidRPr="0072317B">
          <w:rPr>
            <w:b w:val="0"/>
            <w:bCs w:val="0"/>
            <w:webHidden/>
          </w:rPr>
        </w:r>
        <w:r w:rsidR="00140F74" w:rsidRPr="0072317B">
          <w:rPr>
            <w:b w:val="0"/>
            <w:bCs w:val="0"/>
            <w:webHidden/>
          </w:rPr>
          <w:fldChar w:fldCharType="separate"/>
        </w:r>
        <w:r w:rsidR="00783BD7">
          <w:rPr>
            <w:b w:val="0"/>
            <w:bCs w:val="0"/>
            <w:webHidden/>
          </w:rPr>
          <w:t>81</w:t>
        </w:r>
        <w:r w:rsidR="00140F74" w:rsidRPr="0072317B">
          <w:rPr>
            <w:b w:val="0"/>
            <w:bCs w:val="0"/>
            <w:webHidden/>
          </w:rPr>
          <w:fldChar w:fldCharType="end"/>
        </w:r>
      </w:hyperlink>
    </w:p>
    <w:p w14:paraId="1EECC0F1" w14:textId="02DFFE6F" w:rsidR="00C27D82" w:rsidRDefault="00A07AC3" w:rsidP="0072317B">
      <w:pPr>
        <w:pStyle w:val="TOCBody"/>
        <w:spacing w:after="120"/>
        <w:ind w:left="0"/>
      </w:pPr>
      <w:r w:rsidRPr="0072317B">
        <w:rPr>
          <w:b w:val="0"/>
          <w:bCs w:val="0"/>
        </w:rPr>
        <w:fldChar w:fldCharType="end"/>
      </w:r>
    </w:p>
    <w:p w14:paraId="0EE3A73D" w14:textId="77777777" w:rsidR="00D341C8" w:rsidRDefault="00D341C8" w:rsidP="003601F1">
      <w:pPr>
        <w:pStyle w:val="TOCBody"/>
        <w:sectPr w:rsidR="00D341C8" w:rsidSect="00441579">
          <w:headerReference w:type="even" r:id="rId209"/>
          <w:headerReference w:type="default" r:id="rId210"/>
          <w:footerReference w:type="default" r:id="rId211"/>
          <w:footnotePr>
            <w:pos w:val="beneathText"/>
          </w:footnotePr>
          <w:pgSz w:w="9979" w:h="14175" w:code="13"/>
          <w:pgMar w:top="1134" w:right="1134" w:bottom="1134" w:left="1134" w:header="709" w:footer="709" w:gutter="0"/>
          <w:cols w:space="623"/>
          <w:docGrid w:linePitch="360"/>
        </w:sectPr>
      </w:pPr>
    </w:p>
    <w:p w14:paraId="748209FE" w14:textId="146F35C2" w:rsidR="00D341C8" w:rsidRPr="007F327F" w:rsidRDefault="00D341C8" w:rsidP="00D341C8">
      <w:pPr>
        <w:pStyle w:val="Heading1"/>
        <w:rPr>
          <w:color w:val="292929"/>
        </w:rPr>
      </w:pPr>
      <w:bookmarkStart w:id="186" w:name="_Toc114824443"/>
      <w:r w:rsidRPr="007F327F">
        <w:rPr>
          <w:color w:val="292929"/>
        </w:rPr>
        <w:t xml:space="preserve">Appendix </w:t>
      </w:r>
      <w:r>
        <w:rPr>
          <w:color w:val="292929"/>
        </w:rPr>
        <w:t>B</w:t>
      </w:r>
      <w:r w:rsidRPr="007F327F">
        <w:rPr>
          <w:color w:val="292929"/>
        </w:rPr>
        <w:t xml:space="preserve">: </w:t>
      </w:r>
      <w:r>
        <w:rPr>
          <w:color w:val="292929"/>
        </w:rPr>
        <w:t>Acronyms and abbreviations</w:t>
      </w:r>
      <w:bookmarkEnd w:id="186"/>
    </w:p>
    <w:p w14:paraId="673A6EF5" w14:textId="77777777" w:rsidR="00D341C8" w:rsidRDefault="00D341C8" w:rsidP="00D341C8">
      <w:pPr>
        <w:pStyle w:val="Body"/>
      </w:pPr>
      <w:r w:rsidRPr="00D341C8">
        <w:rPr>
          <w:b/>
          <w:bCs/>
        </w:rPr>
        <w:t>ANAO</w:t>
      </w:r>
      <w:r>
        <w:t xml:space="preserve"> – Australian National Audit Office</w:t>
      </w:r>
    </w:p>
    <w:p w14:paraId="47BFA989" w14:textId="4E823C42" w:rsidR="00D341C8" w:rsidRDefault="00D341C8" w:rsidP="00D341C8">
      <w:pPr>
        <w:pStyle w:val="Body"/>
      </w:pPr>
      <w:r w:rsidRPr="00D341C8">
        <w:rPr>
          <w:b/>
          <w:bCs/>
        </w:rPr>
        <w:t>COAG</w:t>
      </w:r>
      <w:r>
        <w:rPr>
          <w:rStyle w:val="FootnoteReference"/>
          <w:b/>
          <w:bCs/>
        </w:rPr>
        <w:footnoteReference w:id="12"/>
      </w:r>
      <w:r>
        <w:t xml:space="preserve"> – Council of Australian Governments</w:t>
      </w:r>
    </w:p>
    <w:p w14:paraId="1ED7C244" w14:textId="77777777" w:rsidR="00D341C8" w:rsidRDefault="00D341C8" w:rsidP="00D341C8">
      <w:pPr>
        <w:pStyle w:val="Body"/>
      </w:pPr>
      <w:r w:rsidRPr="00D341C8">
        <w:rPr>
          <w:b/>
          <w:bCs/>
        </w:rPr>
        <w:t>IHPA</w:t>
      </w:r>
      <w:r>
        <w:t xml:space="preserve"> – Independent Hospital Pricing Authority</w:t>
      </w:r>
    </w:p>
    <w:p w14:paraId="1950ABB4" w14:textId="77777777" w:rsidR="00D341C8" w:rsidRDefault="00D341C8" w:rsidP="00D341C8">
      <w:pPr>
        <w:pStyle w:val="Body"/>
      </w:pPr>
      <w:r w:rsidRPr="00D341C8">
        <w:rPr>
          <w:b/>
          <w:bCs/>
        </w:rPr>
        <w:t>NHCDC</w:t>
      </w:r>
      <w:r>
        <w:t xml:space="preserve"> – National Hospital Cost Data Collection</w:t>
      </w:r>
    </w:p>
    <w:p w14:paraId="46D7D0E3" w14:textId="77777777" w:rsidR="00D341C8" w:rsidRDefault="00D341C8" w:rsidP="00D341C8">
      <w:pPr>
        <w:pStyle w:val="Body"/>
      </w:pPr>
      <w:r w:rsidRPr="00D341C8">
        <w:rPr>
          <w:b/>
          <w:bCs/>
        </w:rPr>
        <w:t>NWAU</w:t>
      </w:r>
      <w:r>
        <w:t xml:space="preserve"> – National weighted activity unit</w:t>
      </w:r>
    </w:p>
    <w:p w14:paraId="7B51DEF7" w14:textId="60756CA7" w:rsidR="00D341C8" w:rsidRDefault="00D341C8" w:rsidP="00D341C8">
      <w:pPr>
        <w:pStyle w:val="Body"/>
      </w:pPr>
      <w:r w:rsidRPr="00D341C8">
        <w:rPr>
          <w:b/>
          <w:bCs/>
        </w:rPr>
        <w:t>PGPA</w:t>
      </w:r>
      <w:r>
        <w:t xml:space="preserve"> – </w:t>
      </w:r>
      <w:r w:rsidRPr="00CB4335">
        <w:rPr>
          <w:i/>
          <w:iCs/>
        </w:rPr>
        <w:t>Public Governance, Performance and Accountability Act 2013</w:t>
      </w:r>
    </w:p>
    <w:p w14:paraId="1E2E6269" w14:textId="77777777" w:rsidR="00D341C8" w:rsidRDefault="00D341C8" w:rsidP="00D341C8">
      <w:pPr>
        <w:pStyle w:val="Body"/>
      </w:pPr>
    </w:p>
    <w:p w14:paraId="38EA67DC" w14:textId="77777777" w:rsidR="00D341C8" w:rsidRDefault="00D341C8" w:rsidP="003601F1">
      <w:pPr>
        <w:pStyle w:val="TOCBody"/>
        <w:sectPr w:rsidR="00D341C8" w:rsidSect="00441579">
          <w:footerReference w:type="default" r:id="rId212"/>
          <w:footnotePr>
            <w:pos w:val="beneathText"/>
          </w:footnotePr>
          <w:pgSz w:w="9979" w:h="14175" w:code="13"/>
          <w:pgMar w:top="1134" w:right="1134" w:bottom="1134" w:left="1134" w:header="709" w:footer="709" w:gutter="0"/>
          <w:cols w:space="623"/>
          <w:docGrid w:linePitch="360"/>
        </w:sectPr>
      </w:pPr>
    </w:p>
    <w:p w14:paraId="797D353C" w14:textId="31F48E09" w:rsidR="00D341C8" w:rsidRDefault="00D341C8" w:rsidP="00D341C8">
      <w:pPr>
        <w:pStyle w:val="Heading1"/>
        <w:rPr>
          <w:color w:val="292929"/>
        </w:rPr>
      </w:pPr>
      <w:bookmarkStart w:id="187" w:name="_Toc114824444"/>
      <w:r w:rsidRPr="007F327F">
        <w:rPr>
          <w:color w:val="292929"/>
        </w:rPr>
        <w:t xml:space="preserve">Appendix </w:t>
      </w:r>
      <w:r>
        <w:rPr>
          <w:color w:val="292929"/>
        </w:rPr>
        <w:t>C</w:t>
      </w:r>
      <w:r w:rsidRPr="007F327F">
        <w:rPr>
          <w:color w:val="292929"/>
        </w:rPr>
        <w:t xml:space="preserve">: </w:t>
      </w:r>
      <w:r>
        <w:rPr>
          <w:color w:val="292929"/>
        </w:rPr>
        <w:t>Glossary</w:t>
      </w:r>
      <w:bookmarkEnd w:id="187"/>
    </w:p>
    <w:p w14:paraId="39B4E529" w14:textId="6BC82D42" w:rsidR="00D341C8" w:rsidRPr="00D341C8" w:rsidRDefault="00D341C8" w:rsidP="00D341C8">
      <w:pPr>
        <w:pStyle w:val="Heading2"/>
        <w:sectPr w:rsidR="00D341C8" w:rsidRPr="00D341C8" w:rsidSect="00441579">
          <w:footerReference w:type="default" r:id="rId213"/>
          <w:footnotePr>
            <w:pos w:val="beneathText"/>
          </w:footnotePr>
          <w:pgSz w:w="9979" w:h="14175" w:code="13"/>
          <w:pgMar w:top="1134" w:right="1134" w:bottom="1134" w:left="1134" w:header="709" w:footer="709" w:gutter="0"/>
          <w:cols w:space="623"/>
          <w:docGrid w:linePitch="360"/>
        </w:sectPr>
      </w:pPr>
    </w:p>
    <w:p w14:paraId="3BA2A68F" w14:textId="77777777" w:rsidR="00D341C8" w:rsidRDefault="00D341C8" w:rsidP="0092731E">
      <w:pPr>
        <w:pStyle w:val="H4"/>
        <w:spacing w:before="120"/>
      </w:pPr>
      <w:r>
        <w:t>Activity based funding</w:t>
      </w:r>
    </w:p>
    <w:p w14:paraId="69DC83F4" w14:textId="77777777" w:rsidR="00D341C8" w:rsidRDefault="00D341C8" w:rsidP="00D341C8">
      <w:pPr>
        <w:pStyle w:val="Body"/>
      </w:pPr>
      <w:r>
        <w:t>A system for funding public hospital services based on the actual number of services provided to patients and the efficient cost of delivering those services. Activity based funding uses national classifications, cost weights and the national efficient price to determine the amount of funding for each activity or service.</w:t>
      </w:r>
    </w:p>
    <w:p w14:paraId="4BBF16D5" w14:textId="6108132B" w:rsidR="00D341C8" w:rsidRDefault="00D341C8" w:rsidP="00D341C8">
      <w:pPr>
        <w:pStyle w:val="H4"/>
      </w:pPr>
      <w:r>
        <w:t>Australian Refined Diagnosis Related Groups</w:t>
      </w:r>
    </w:p>
    <w:p w14:paraId="21DCDD07" w14:textId="7CDBD87F" w:rsidR="00D341C8" w:rsidRPr="007F327F" w:rsidRDefault="00D341C8" w:rsidP="00D341C8">
      <w:pPr>
        <w:pStyle w:val="Body"/>
      </w:pPr>
      <w:r>
        <w:t>Australian Refined Diagnosis Related Groups are an Australian admitted patient classification system, which provides a clinically meaningful way of relating a hospital’s casemix to the resources required by the hospital. Each Australian Refined Diagnosis Related Group represents a class of patients with similar clinical conditions requiring similar hospital services. The classification categorises acute admitted patient episodes of care into groups with similar conditions and similar usage of hospital resources, using information in the hospital morbidity record such as the diagnoses, procedures and demographic characteristics of the patient.</w:t>
      </w:r>
    </w:p>
    <w:p w14:paraId="335576AF" w14:textId="77777777" w:rsidR="001A7703" w:rsidRDefault="001A7703" w:rsidP="001A7703">
      <w:pPr>
        <w:pStyle w:val="H4"/>
      </w:pPr>
      <w:r>
        <w:br w:type="column"/>
        <w:t>Avoidable hospital readmissions</w:t>
      </w:r>
    </w:p>
    <w:p w14:paraId="70B6E8DE" w14:textId="77777777" w:rsidR="001A7703" w:rsidRDefault="001A7703" w:rsidP="001A7703">
      <w:pPr>
        <w:pStyle w:val="Body"/>
      </w:pPr>
      <w:r>
        <w:t>An avoidable hospital readmission occurs when a patient who has been discharged from hospital (index admission) is admitted again within a certain time interval, and the readmission:</w:t>
      </w:r>
    </w:p>
    <w:p w14:paraId="34108FED" w14:textId="02A15044" w:rsidR="001A7703" w:rsidRDefault="001A7703" w:rsidP="001A7703">
      <w:pPr>
        <w:pStyle w:val="Bullets"/>
      </w:pPr>
      <w:r>
        <w:t>is clinically related to the index admission, and</w:t>
      </w:r>
    </w:p>
    <w:p w14:paraId="7A6E3390" w14:textId="30D1DBF0" w:rsidR="001A7703" w:rsidRDefault="001A7703" w:rsidP="001A7703">
      <w:pPr>
        <w:pStyle w:val="Bulletslast"/>
      </w:pPr>
      <w:r>
        <w:t>has the potential to be avoided through improved clinical management and/or appropriate discharge planning in the index admission.</w:t>
      </w:r>
    </w:p>
    <w:p w14:paraId="44480344" w14:textId="17E1777F" w:rsidR="00F6797D" w:rsidRDefault="00F6797D" w:rsidP="001A7703">
      <w:pPr>
        <w:pStyle w:val="Body"/>
      </w:pPr>
      <w:r>
        <w:t>The</w:t>
      </w:r>
      <w:r w:rsidR="0025786E">
        <w:t xml:space="preserve"> Australian</w:t>
      </w:r>
      <w:r>
        <w:t xml:space="preserve"> Commission on Safety and Quality in Health Care is tasked with developing and maintaining a list of clinical conditions considered to be avoidable hospital readmissions.</w:t>
      </w:r>
    </w:p>
    <w:p w14:paraId="1F712453" w14:textId="77777777" w:rsidR="001A7703" w:rsidRDefault="001A7703" w:rsidP="00655D90">
      <w:pPr>
        <w:pStyle w:val="H4"/>
      </w:pPr>
      <w:r>
        <w:t>Back-casting</w:t>
      </w:r>
    </w:p>
    <w:p w14:paraId="528B409E" w14:textId="5167A5A5" w:rsidR="001A7703" w:rsidRDefault="001A7703" w:rsidP="001A7703">
      <w:pPr>
        <w:pStyle w:val="Body"/>
      </w:pPr>
      <w:r>
        <w:t>The process by which the effect of significant changes to the activity based funding classification systems or costing methodologies are reflected in the pricing model the year prior to implementation, for the calculation of Commonwealth Government funding for each activity based funding service</w:t>
      </w:r>
      <w:r w:rsidR="00F81093">
        <w:t> </w:t>
      </w:r>
      <w:r>
        <w:t>category.</w:t>
      </w:r>
    </w:p>
    <w:p w14:paraId="433ADDA4" w14:textId="77777777" w:rsidR="001A7703" w:rsidRDefault="001A7703" w:rsidP="00655D90">
      <w:pPr>
        <w:pStyle w:val="H4"/>
      </w:pPr>
      <w:r>
        <w:t>Block funding</w:t>
      </w:r>
    </w:p>
    <w:p w14:paraId="4455BA2A" w14:textId="77777777" w:rsidR="001A7703" w:rsidRDefault="001A7703" w:rsidP="001A7703">
      <w:pPr>
        <w:pStyle w:val="Body"/>
      </w:pPr>
      <w:r>
        <w:t>A system of funding public hospital functions and services as a fixed amount based on population and previous funding.</w:t>
      </w:r>
    </w:p>
    <w:p w14:paraId="2AE4AD66" w14:textId="77777777" w:rsidR="00D341C8" w:rsidRDefault="00D341C8" w:rsidP="00D341C8">
      <w:pPr>
        <w:pStyle w:val="Body"/>
      </w:pPr>
    </w:p>
    <w:p w14:paraId="50C70DEE" w14:textId="77777777" w:rsidR="00D341C8" w:rsidRDefault="00D341C8" w:rsidP="003601F1">
      <w:pPr>
        <w:pStyle w:val="TOCBody"/>
        <w:sectPr w:rsidR="00D341C8" w:rsidSect="00D341C8">
          <w:footnotePr>
            <w:pos w:val="beneathText"/>
          </w:footnotePr>
          <w:type w:val="continuous"/>
          <w:pgSz w:w="9979" w:h="14175" w:code="13"/>
          <w:pgMar w:top="1134" w:right="1134" w:bottom="1134" w:left="1134" w:header="709" w:footer="709" w:gutter="0"/>
          <w:cols w:num="2" w:space="623"/>
          <w:docGrid w:linePitch="360"/>
        </w:sectPr>
      </w:pPr>
    </w:p>
    <w:p w14:paraId="64BB1C48" w14:textId="77777777" w:rsidR="000739E9" w:rsidRDefault="000739E9" w:rsidP="00B94F87">
      <w:pPr>
        <w:pStyle w:val="H4"/>
        <w:spacing w:before="0"/>
      </w:pPr>
      <w:r>
        <w:t>Corporate Plan</w:t>
      </w:r>
    </w:p>
    <w:p w14:paraId="23D95C6A" w14:textId="16AF575C" w:rsidR="000739E9" w:rsidRDefault="000739E9" w:rsidP="000739E9">
      <w:pPr>
        <w:pStyle w:val="Body"/>
      </w:pPr>
      <w:r>
        <w:t>The primary strategic planning document of a Commonwealth Government entity. It sets out the objectives, capabilities and intended results over a four‑year period, in accordance with the entity’s stated purposes. The Corporate Plan should provide a clear line of sight with the relevant annual performance statement, Portfolio Budget Statement and Annual Report.</w:t>
      </w:r>
    </w:p>
    <w:p w14:paraId="7FD2ABE5" w14:textId="401FED24" w:rsidR="00F81093" w:rsidRDefault="00F81093" w:rsidP="00F81093">
      <w:pPr>
        <w:pStyle w:val="H4"/>
        <w:spacing w:before="0"/>
      </w:pPr>
      <w:r>
        <w:t xml:space="preserve">Council of Australian Governments </w:t>
      </w:r>
    </w:p>
    <w:p w14:paraId="50196A40" w14:textId="77777777" w:rsidR="00F81093" w:rsidRDefault="00F81093" w:rsidP="00F81093">
      <w:pPr>
        <w:pStyle w:val="Body"/>
      </w:pPr>
      <w:r>
        <w:t>The Council of Australian Governments (COAG) was the peak intergovernmental forum in Australia.</w:t>
      </w:r>
    </w:p>
    <w:p w14:paraId="7A0DEF0A" w14:textId="77777777" w:rsidR="00F81093" w:rsidRDefault="00F81093" w:rsidP="00F81093">
      <w:pPr>
        <w:pStyle w:val="Body"/>
      </w:pPr>
      <w:r>
        <w:t>The members included the Prime Minister, state and territory Premiers and Chief Ministers, and the President of the Australian Local Government Association. The role of COAG was to promote policy reforms that were of national significance, or which needed coordinated action by all Australian governments.</w:t>
      </w:r>
    </w:p>
    <w:p w14:paraId="03985204" w14:textId="02ABAF88" w:rsidR="00F81093" w:rsidRDefault="00F81093" w:rsidP="00F81093">
      <w:pPr>
        <w:pStyle w:val="Body"/>
      </w:pPr>
      <w:r>
        <w:t>COAG has been dissolved as of 29 May 2020. The Health Ministers’ Meeting has been established to consider matters previously brought to the COAG Health Council.</w:t>
      </w:r>
    </w:p>
    <w:p w14:paraId="12F8978D" w14:textId="77777777" w:rsidR="00F81093" w:rsidRDefault="00F81093" w:rsidP="00F81093">
      <w:pPr>
        <w:pStyle w:val="H4"/>
      </w:pPr>
      <w:r>
        <w:t>Health Ministers’ Meeting</w:t>
      </w:r>
    </w:p>
    <w:p w14:paraId="65DAC859" w14:textId="47784E4E" w:rsidR="00F81093" w:rsidRDefault="00F81093" w:rsidP="00F81093">
      <w:pPr>
        <w:pStyle w:val="Body"/>
      </w:pPr>
      <w:r>
        <w:t>Following the dissolution of COAG and its supporting mechanisms, matters previously considered by COAG Health Council will now be considered by health ministers through the</w:t>
      </w:r>
      <w:r w:rsidR="00C51966">
        <w:t> </w:t>
      </w:r>
      <w:r>
        <w:t>Health Ministers' Meeting.</w:t>
      </w:r>
    </w:p>
    <w:p w14:paraId="1544ED27" w14:textId="77777777" w:rsidR="00F81093" w:rsidRDefault="00F81093" w:rsidP="00F81093">
      <w:pPr>
        <w:pStyle w:val="H4"/>
      </w:pPr>
      <w:r>
        <w:t>Hospital acquired complication</w:t>
      </w:r>
    </w:p>
    <w:p w14:paraId="5E9D3A00" w14:textId="28043FEC" w:rsidR="00D341C8" w:rsidRDefault="00F81093" w:rsidP="00F81093">
      <w:pPr>
        <w:pStyle w:val="Body"/>
      </w:pPr>
      <w:r>
        <w:t xml:space="preserve">A complication which occurs during a hospital stay such as falls, infections or pressure injuries. Clinical risk mitigation strategies may reduce (but not necessarily eliminate) the risk of that complication occurring. The </w:t>
      </w:r>
      <w:r w:rsidR="00F6797D" w:rsidRPr="00F6797D">
        <w:t>Australian Commission on Safety and Quality in Health Care</w:t>
      </w:r>
      <w:r w:rsidR="00F6797D">
        <w:t xml:space="preserve"> maintains the </w:t>
      </w:r>
      <w:r>
        <w:t>list of hospital acquired complications.</w:t>
      </w:r>
    </w:p>
    <w:p w14:paraId="0BB555AA" w14:textId="77777777" w:rsidR="00F81093" w:rsidRDefault="00F81093" w:rsidP="00F81093">
      <w:pPr>
        <w:pStyle w:val="H4"/>
      </w:pPr>
      <w:r>
        <w:br w:type="column"/>
        <w:t>National efficient cost</w:t>
      </w:r>
    </w:p>
    <w:p w14:paraId="46A40611" w14:textId="6D4720AB" w:rsidR="00F81093" w:rsidRDefault="00F81093" w:rsidP="00F81093">
      <w:pPr>
        <w:pStyle w:val="Body"/>
      </w:pPr>
      <w:r>
        <w:t>IHPA determines a national efficient cost for services that are not suitable for activity based funding, such as small rural hospitals. The national efficient cost determines the Commonwealth Government contribution to block</w:t>
      </w:r>
      <w:r w:rsidR="00C0043D">
        <w:noBreakHyphen/>
      </w:r>
      <w:r>
        <w:t>funded hospitals.</w:t>
      </w:r>
    </w:p>
    <w:p w14:paraId="1D899391" w14:textId="77777777" w:rsidR="00F81093" w:rsidRDefault="00F81093" w:rsidP="00F81093">
      <w:pPr>
        <w:pStyle w:val="H4"/>
      </w:pPr>
      <w:r>
        <w:t>National efficient price</w:t>
      </w:r>
    </w:p>
    <w:p w14:paraId="41EEEFE7" w14:textId="7451839B" w:rsidR="00F81093" w:rsidRDefault="00F81093" w:rsidP="00F81093">
      <w:pPr>
        <w:pStyle w:val="Body"/>
      </w:pPr>
      <w:r>
        <w:t xml:space="preserve">A base price calculated by IHPA as a benchmark to guide governments about the level of funding that would meet the average cost of providing acute care (admitted, emergency and outpatient) services in public hospitals across Australia. The national efficient price is based on the projected average cost of a </w:t>
      </w:r>
      <w:r w:rsidR="00DD5A23">
        <w:t>n</w:t>
      </w:r>
      <w:r>
        <w:t xml:space="preserve">ational </w:t>
      </w:r>
      <w:r w:rsidR="00DD5A23">
        <w:t>w</w:t>
      </w:r>
      <w:r>
        <w:t xml:space="preserve">eighted </w:t>
      </w:r>
      <w:r w:rsidR="00DD5A23">
        <w:t>a</w:t>
      </w:r>
      <w:r>
        <w:t xml:space="preserve">ctivity </w:t>
      </w:r>
      <w:r w:rsidR="00DD5A23">
        <w:t>u</w:t>
      </w:r>
      <w:r>
        <w:t>nit after the deduction of specified Commonwealth Government funded programs.</w:t>
      </w:r>
    </w:p>
    <w:p w14:paraId="06763CAD" w14:textId="77777777" w:rsidR="00F81093" w:rsidRPr="00F81093" w:rsidRDefault="00F81093" w:rsidP="00F81093">
      <w:pPr>
        <w:pStyle w:val="H4"/>
        <w:rPr>
          <w:i/>
          <w:iCs/>
        </w:rPr>
      </w:pPr>
      <w:r w:rsidRPr="00F81093">
        <w:rPr>
          <w:i/>
          <w:iCs/>
        </w:rPr>
        <w:t>National Health Reform Act 2011</w:t>
      </w:r>
    </w:p>
    <w:p w14:paraId="01025E77" w14:textId="0169EA24" w:rsidR="00F81093" w:rsidRDefault="00F81093" w:rsidP="00F81093">
      <w:pPr>
        <w:pStyle w:val="Body"/>
      </w:pPr>
      <w:r>
        <w:t xml:space="preserve">IHPA was established under the </w:t>
      </w:r>
      <w:r w:rsidRPr="00F81093">
        <w:rPr>
          <w:i/>
          <w:iCs/>
        </w:rPr>
        <w:t>National Health Reform Act 2011</w:t>
      </w:r>
      <w:r>
        <w:t xml:space="preserve">. The </w:t>
      </w:r>
      <w:r w:rsidRPr="00F81093">
        <w:rPr>
          <w:i/>
          <w:iCs/>
        </w:rPr>
        <w:t>National Health Reform Act</w:t>
      </w:r>
      <w:r>
        <w:rPr>
          <w:i/>
          <w:iCs/>
        </w:rPr>
        <w:t> </w:t>
      </w:r>
      <w:r w:rsidRPr="00F81093">
        <w:rPr>
          <w:i/>
          <w:iCs/>
        </w:rPr>
        <w:t>2011</w:t>
      </w:r>
      <w:r>
        <w:t xml:space="preserve"> gave effect to the National Health Reform Agreement signed by the Commonwealth Government and all states and territories in August 2011.</w:t>
      </w:r>
    </w:p>
    <w:p w14:paraId="52EEB5C0" w14:textId="77777777" w:rsidR="00F81093" w:rsidRDefault="00F81093" w:rsidP="00F81093">
      <w:pPr>
        <w:pStyle w:val="H4"/>
      </w:pPr>
      <w:r>
        <w:t>National Health Reform Agreement</w:t>
      </w:r>
    </w:p>
    <w:p w14:paraId="2ABF5B46" w14:textId="5675BD87" w:rsidR="00F81093" w:rsidRDefault="00F81093" w:rsidP="00F81093">
      <w:pPr>
        <w:pStyle w:val="Body"/>
      </w:pPr>
      <w:r>
        <w:t xml:space="preserve">The </w:t>
      </w:r>
      <w:r w:rsidR="00DD5A23" w:rsidRPr="00DD5A23">
        <w:t xml:space="preserve">National Health Reform </w:t>
      </w:r>
      <w:r>
        <w:t>Agreement outlines the funding, governance and performance arrangements for the delivery of public hospital services in Australia.</w:t>
      </w:r>
    </w:p>
    <w:p w14:paraId="280C34BE" w14:textId="04C7E469" w:rsidR="00D341C8" w:rsidRDefault="00F81093" w:rsidP="00F81093">
      <w:pPr>
        <w:pStyle w:val="Body"/>
      </w:pPr>
      <w:r>
        <w:t>The Agreement was entered into by the Australian Government and all states and territories in August 2011.</w:t>
      </w:r>
    </w:p>
    <w:p w14:paraId="25275B0F" w14:textId="6B09962C" w:rsidR="0061086A" w:rsidRDefault="0061086A" w:rsidP="00856C96">
      <w:pPr>
        <w:pStyle w:val="Body"/>
        <w:sectPr w:rsidR="0061086A" w:rsidSect="00F81093">
          <w:footerReference w:type="default" r:id="rId214"/>
          <w:footnotePr>
            <w:pos w:val="beneathText"/>
          </w:footnotePr>
          <w:pgSz w:w="9979" w:h="14175" w:code="13"/>
          <w:pgMar w:top="1134" w:right="1134" w:bottom="1134" w:left="1134" w:header="709" w:footer="709" w:gutter="0"/>
          <w:cols w:num="2" w:space="623"/>
          <w:docGrid w:linePitch="360"/>
        </w:sectPr>
      </w:pPr>
      <w:r>
        <w:t>On 29 May 2020 all Australian governments</w:t>
      </w:r>
      <w:r w:rsidR="00F6797D">
        <w:t xml:space="preserve"> </w:t>
      </w:r>
      <w:r>
        <w:t>signed a new Addendum, which amended the</w:t>
      </w:r>
      <w:r w:rsidR="00F6797D">
        <w:t xml:space="preserve"> </w:t>
      </w:r>
      <w:r>
        <w:t>National Health Reform Agreement for the</w:t>
      </w:r>
      <w:r w:rsidR="00F6797D">
        <w:t xml:space="preserve"> </w:t>
      </w:r>
      <w:r>
        <w:t>period from 1 July 2020 to 30 June 2025</w:t>
      </w:r>
      <w:r w:rsidR="00F6797D">
        <w:t>.</w:t>
      </w:r>
    </w:p>
    <w:p w14:paraId="28B2217C" w14:textId="78CF862F" w:rsidR="00F81093" w:rsidRDefault="00F81093" w:rsidP="00F81093">
      <w:pPr>
        <w:pStyle w:val="H4"/>
        <w:spacing w:before="120"/>
      </w:pPr>
      <w:r>
        <w:t xml:space="preserve">National </w:t>
      </w:r>
      <w:r w:rsidR="00DD5A23">
        <w:t>w</w:t>
      </w:r>
      <w:r>
        <w:t xml:space="preserve">eighted </w:t>
      </w:r>
      <w:r w:rsidR="00DD5A23">
        <w:t>a</w:t>
      </w:r>
      <w:r>
        <w:t xml:space="preserve">ctivity </w:t>
      </w:r>
      <w:r w:rsidR="00DD5A23">
        <w:t>u</w:t>
      </w:r>
      <w:r>
        <w:t xml:space="preserve">nit </w:t>
      </w:r>
    </w:p>
    <w:p w14:paraId="54BB4F56" w14:textId="6A2D36E4" w:rsidR="00F81093" w:rsidRDefault="00F81093" w:rsidP="00F81093">
      <w:pPr>
        <w:pStyle w:val="Body"/>
      </w:pPr>
      <w:r>
        <w:t xml:space="preserve">A </w:t>
      </w:r>
      <w:r w:rsidR="00DD5A23">
        <w:t>n</w:t>
      </w:r>
      <w:r>
        <w:t xml:space="preserve">ational </w:t>
      </w:r>
      <w:r w:rsidR="00DD5A23">
        <w:t>w</w:t>
      </w:r>
      <w:r>
        <w:t xml:space="preserve">eighted </w:t>
      </w:r>
      <w:r w:rsidR="00DD5A23">
        <w:t>a</w:t>
      </w:r>
      <w:r>
        <w:t xml:space="preserve">ctivity </w:t>
      </w:r>
      <w:r w:rsidR="00DD5A23">
        <w:t>u</w:t>
      </w:r>
      <w:r>
        <w:t>nit (NWAU) is a measure of health service activity expressed as a common unit, against which the national efficient price is paid. It provides a way of comparing and valuing each public hospital service (whether it is an admission, emergency department presentation or outpatient episode), by weighting it for its clinical complexity.</w:t>
      </w:r>
    </w:p>
    <w:p w14:paraId="30DF8669" w14:textId="77777777" w:rsidR="00F81093" w:rsidRDefault="00F81093" w:rsidP="00F81093">
      <w:pPr>
        <w:pStyle w:val="Body"/>
      </w:pPr>
      <w:r>
        <w:t>The average hospital service is worth one NWAU. The most intensive and expensive activities are worth multiple NWAUs, and the simplest and least expensive are worth fractions of an NWAU.</w:t>
      </w:r>
    </w:p>
    <w:p w14:paraId="0A3440C4" w14:textId="77777777" w:rsidR="00F81093" w:rsidRDefault="00F81093" w:rsidP="00F81093">
      <w:pPr>
        <w:pStyle w:val="H4"/>
      </w:pPr>
      <w:r>
        <w:t>Protective Security Policy Framework</w:t>
      </w:r>
    </w:p>
    <w:p w14:paraId="11A551C8" w14:textId="77777777" w:rsidR="00F81093" w:rsidRDefault="00F81093" w:rsidP="00F81093">
      <w:pPr>
        <w:pStyle w:val="Body"/>
      </w:pPr>
      <w:r>
        <w:t>The Protective Security Policy Framework provides policy, guidance and better practice advice for governance, personnel, physical and information security. The 36 mandatory requirements assist agency heads to identify their responsibilities to manage security risks to their people, information and assets.</w:t>
      </w:r>
    </w:p>
    <w:p w14:paraId="0E3F3070" w14:textId="77777777" w:rsidR="00F81093" w:rsidRPr="005410FE" w:rsidRDefault="00F81093" w:rsidP="00F81093">
      <w:pPr>
        <w:pStyle w:val="H4"/>
        <w:rPr>
          <w:i/>
          <w:iCs/>
        </w:rPr>
      </w:pPr>
      <w:r w:rsidRPr="005410FE">
        <w:rPr>
          <w:i/>
          <w:iCs/>
        </w:rPr>
        <w:t xml:space="preserve">Public Governance, Performance and Accountability Act 2013 </w:t>
      </w:r>
    </w:p>
    <w:p w14:paraId="45B0A7EF" w14:textId="2931F6CE" w:rsidR="00D341C8" w:rsidRDefault="00F81093" w:rsidP="00F81093">
      <w:pPr>
        <w:pStyle w:val="Body"/>
      </w:pPr>
      <w:r>
        <w:t xml:space="preserve">The </w:t>
      </w:r>
      <w:r w:rsidRPr="00CB4335">
        <w:rPr>
          <w:i/>
          <w:iCs/>
        </w:rPr>
        <w:t>Public Governance, Performance and Accountability Act 2013</w:t>
      </w:r>
      <w:r>
        <w:t xml:space="preserve"> (PGPA Act) establishes a coherent system of governance and accountability for public resources, with an emphasis on planning, performance and reporting. The PGPA Act applies to all Commonwealth entities and Commonwealth companies.</w:t>
      </w:r>
    </w:p>
    <w:p w14:paraId="5827EB00" w14:textId="77777777" w:rsidR="005410FE" w:rsidRDefault="005410FE" w:rsidP="005410FE">
      <w:pPr>
        <w:pStyle w:val="H4"/>
      </w:pPr>
      <w:r>
        <w:br w:type="column"/>
        <w:t>Sentinel event</w:t>
      </w:r>
    </w:p>
    <w:p w14:paraId="0E6F4CD9" w14:textId="39B0AE4C" w:rsidR="005410FE" w:rsidRDefault="005410FE" w:rsidP="005410FE">
      <w:pPr>
        <w:pStyle w:val="Body"/>
      </w:pPr>
      <w:r>
        <w:t>A sentinel event is a subset of adverse events that</w:t>
      </w:r>
      <w:r w:rsidR="00C51966">
        <w:t> </w:t>
      </w:r>
      <w:r>
        <w:t>result in death or serious harm to the patient, such as surgical procedures involving the wrong body part or medication errors leading to death.</w:t>
      </w:r>
    </w:p>
    <w:p w14:paraId="5EE3DF3F" w14:textId="77777777" w:rsidR="005410FE" w:rsidRDefault="005410FE" w:rsidP="005410FE">
      <w:pPr>
        <w:pStyle w:val="H4"/>
      </w:pPr>
      <w:r>
        <w:t>Shadow pricing</w:t>
      </w:r>
    </w:p>
    <w:p w14:paraId="66F8597D" w14:textId="1ABD731F" w:rsidR="005410FE" w:rsidRDefault="005410FE" w:rsidP="005410FE">
      <w:pPr>
        <w:pStyle w:val="Body"/>
      </w:pPr>
      <w:r>
        <w:t>Shadow pricing is the indicative or likely cost of services.</w:t>
      </w:r>
    </w:p>
    <w:p w14:paraId="608DF5F0" w14:textId="68134A47" w:rsidR="005410FE" w:rsidRDefault="005410FE" w:rsidP="005410FE">
      <w:pPr>
        <w:pStyle w:val="Body"/>
      </w:pPr>
      <w:r>
        <w:t>Clause A40 of the National Health Reform Agreement requires IHPA to consider transitional arrangements when developing new activity based funding classification systems or costing methodologies.</w:t>
      </w:r>
    </w:p>
    <w:p w14:paraId="4120D6BF" w14:textId="1C7B3BE7" w:rsidR="005410FE" w:rsidRDefault="005410FE" w:rsidP="005410FE">
      <w:pPr>
        <w:pStyle w:val="Body"/>
      </w:pPr>
      <w:r>
        <w:t>This includes shadowing the pricing of new classifications, costing methodologies or adjustments, when appropriate. Shadow pricing enables states and territories to understand and assess the impact of a new approach on the level and distribution of funding to local hospital networks.</w:t>
      </w:r>
    </w:p>
    <w:p w14:paraId="23DB4012" w14:textId="47C02D29" w:rsidR="005410FE" w:rsidRDefault="005410FE" w:rsidP="005410FE">
      <w:pPr>
        <w:pStyle w:val="H4"/>
      </w:pPr>
      <w:r>
        <w:t>Work Program</w:t>
      </w:r>
    </w:p>
    <w:p w14:paraId="14A0AF4F" w14:textId="639FCB5A" w:rsidR="00D341C8" w:rsidRDefault="005410FE" w:rsidP="005410FE">
      <w:pPr>
        <w:pStyle w:val="Body"/>
      </w:pPr>
      <w:r>
        <w:t>Each year</w:t>
      </w:r>
      <w:r w:rsidR="00DD5A23">
        <w:t>,</w:t>
      </w:r>
      <w:r>
        <w:t xml:space="preserve"> IHPA consults on and publishes a work program for the year ahead. As prescribed in section 225 of the </w:t>
      </w:r>
      <w:r w:rsidRPr="005410FE">
        <w:rPr>
          <w:i/>
          <w:iCs/>
        </w:rPr>
        <w:t>National Health Reform Act</w:t>
      </w:r>
      <w:r>
        <w:rPr>
          <w:i/>
          <w:iCs/>
        </w:rPr>
        <w:t> </w:t>
      </w:r>
      <w:r w:rsidRPr="005410FE">
        <w:rPr>
          <w:i/>
          <w:iCs/>
        </w:rPr>
        <w:t>2011</w:t>
      </w:r>
      <w:r>
        <w:t>, the objectives of the IHPA Work Program</w:t>
      </w:r>
      <w:r w:rsidR="00A61B52">
        <w:t xml:space="preserve"> </w:t>
      </w:r>
      <w:r>
        <w:t xml:space="preserve">set out IHPA’s program of work for the coming year and invite interested persons (including states and territories) to make submissions to the Pricing Authority about the work program up to 30 days after publication. IHPA work programs are available at </w:t>
      </w:r>
      <w:hyperlink r:id="rId215" w:history="1">
        <w:r w:rsidRPr="00C51966">
          <w:rPr>
            <w:rStyle w:val="Hyperlink"/>
          </w:rPr>
          <w:t>ih</w:t>
        </w:r>
        <w:r w:rsidR="00DD5A23" w:rsidRPr="00C51966">
          <w:rPr>
            <w:rStyle w:val="Hyperlink"/>
          </w:rPr>
          <w:t>ac</w:t>
        </w:r>
        <w:r w:rsidRPr="00C51966">
          <w:rPr>
            <w:rStyle w:val="Hyperlink"/>
          </w:rPr>
          <w:t>pa.gov.au/</w:t>
        </w:r>
      </w:hyperlink>
      <w:r w:rsidR="00DD5A23" w:rsidRPr="00C51966">
        <w:rPr>
          <w:rStyle w:val="Hyperlink"/>
        </w:rPr>
        <w:t>work-program</w:t>
      </w:r>
      <w:r w:rsidRPr="00C51966">
        <w:t>.</w:t>
      </w:r>
    </w:p>
    <w:p w14:paraId="2788084E" w14:textId="77777777" w:rsidR="005410FE" w:rsidRDefault="005410FE" w:rsidP="003601F1">
      <w:pPr>
        <w:pStyle w:val="TOCBody"/>
        <w:sectPr w:rsidR="005410FE" w:rsidSect="00F81093">
          <w:footerReference w:type="default" r:id="rId216"/>
          <w:footnotePr>
            <w:pos w:val="beneathText"/>
          </w:footnotePr>
          <w:pgSz w:w="9979" w:h="14175" w:code="13"/>
          <w:pgMar w:top="1134" w:right="1134" w:bottom="1134" w:left="1134" w:header="709" w:footer="709" w:gutter="0"/>
          <w:cols w:num="2" w:space="623"/>
          <w:docGrid w:linePitch="360"/>
        </w:sectPr>
      </w:pPr>
    </w:p>
    <w:p w14:paraId="0BF42771" w14:textId="53AF3230" w:rsidR="001573AB" w:rsidRDefault="001573AB" w:rsidP="00EA1FAB">
      <w:pPr>
        <w:pStyle w:val="Heading1"/>
        <w:spacing w:before="0" w:beforeAutospacing="0" w:after="240"/>
        <w:ind w:right="-227"/>
        <w:rPr>
          <w:color w:val="292929"/>
        </w:rPr>
      </w:pPr>
      <w:bookmarkStart w:id="188" w:name="_Toc114824445"/>
      <w:r w:rsidRPr="007F327F">
        <w:rPr>
          <w:color w:val="292929"/>
        </w:rPr>
        <w:t xml:space="preserve">Appendix </w:t>
      </w:r>
      <w:r>
        <w:rPr>
          <w:color w:val="292929"/>
        </w:rPr>
        <w:t>D</w:t>
      </w:r>
      <w:r w:rsidRPr="007F327F">
        <w:rPr>
          <w:color w:val="292929"/>
        </w:rPr>
        <w:t xml:space="preserve">: </w:t>
      </w:r>
      <w:r>
        <w:rPr>
          <w:color w:val="292929"/>
        </w:rPr>
        <w:t>Compliance index</w:t>
      </w:r>
      <w:bookmarkEnd w:id="188"/>
    </w:p>
    <w:p w14:paraId="3613C4EA" w14:textId="12386894" w:rsidR="00C27D82" w:rsidRDefault="001573AB" w:rsidP="00E71F65">
      <w:pPr>
        <w:pStyle w:val="Body"/>
      </w:pPr>
      <w:r w:rsidRPr="001573AB">
        <w:t xml:space="preserve">The Independent Hospital Pricing Authority, as a corporate Commonwealth entity, has prepared this annual report under section 17BA of the Public Governance, Performance and Accountability Rule 2014, and section 46 of the </w:t>
      </w:r>
      <w:r w:rsidRPr="00E71F65">
        <w:rPr>
          <w:i/>
          <w:iCs/>
        </w:rPr>
        <w:t>Public Governance, Performance and Accountability Act 2013</w:t>
      </w:r>
      <w:r w:rsidR="00DD5A23">
        <w:rPr>
          <w:i/>
          <w:iCs/>
        </w:rPr>
        <w:t xml:space="preserve"> </w:t>
      </w:r>
      <w:r w:rsidR="00DD5A23" w:rsidRPr="00CB4335">
        <w:t>(the Act)</w:t>
      </w:r>
      <w:r w:rsidRPr="001573AB">
        <w:t>.</w:t>
      </w:r>
    </w:p>
    <w:tbl>
      <w:tblPr>
        <w:tblStyle w:val="TableGrid"/>
        <w:tblW w:w="0" w:type="auto"/>
        <w:tblLook w:val="04A0" w:firstRow="1" w:lastRow="0" w:firstColumn="1" w:lastColumn="0" w:noHBand="0" w:noVBand="1"/>
      </w:tblPr>
      <w:tblGrid>
        <w:gridCol w:w="1077"/>
        <w:gridCol w:w="1474"/>
        <w:gridCol w:w="737"/>
        <w:gridCol w:w="3231"/>
        <w:gridCol w:w="1191"/>
      </w:tblGrid>
      <w:tr w:rsidR="004700DA" w:rsidRPr="00E71F65" w14:paraId="27EDE960"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shd w:val="clear" w:color="auto" w:fill="424242"/>
          </w:tcPr>
          <w:p w14:paraId="07EDCC7C" w14:textId="36D828DE" w:rsidR="00E71F65" w:rsidRPr="00E71F65" w:rsidRDefault="00E71F65" w:rsidP="00B128C2">
            <w:pPr>
              <w:pStyle w:val="Body-Financial"/>
              <w:spacing w:before="60" w:after="58"/>
              <w:rPr>
                <w:b/>
                <w:bCs/>
                <w:color w:val="FFFFFF" w:themeColor="background2"/>
                <w:sz w:val="18"/>
                <w:szCs w:val="18"/>
              </w:rPr>
            </w:pPr>
            <w:r>
              <w:rPr>
                <w:b/>
                <w:bCs/>
                <w:color w:val="FFFFFF" w:themeColor="background2"/>
                <w:sz w:val="18"/>
                <w:szCs w:val="18"/>
              </w:rPr>
              <w:t>PGPA Rule Reference</w:t>
            </w:r>
          </w:p>
        </w:tc>
        <w:tc>
          <w:tcPr>
            <w:tcW w:w="1474" w:type="dxa"/>
            <w:shd w:val="clear" w:color="auto" w:fill="424242"/>
          </w:tcPr>
          <w:p w14:paraId="48CA73CF" w14:textId="2034BA9C" w:rsidR="00E71F65" w:rsidRPr="00E71F65" w:rsidRDefault="00E71F65" w:rsidP="00B128C2">
            <w:pPr>
              <w:pStyle w:val="Body-Financial"/>
              <w:spacing w:before="60" w:after="58"/>
              <w:rPr>
                <w:b/>
                <w:bCs/>
                <w:color w:val="FFFFFF" w:themeColor="background2"/>
                <w:sz w:val="18"/>
                <w:szCs w:val="18"/>
              </w:rPr>
            </w:pPr>
            <w:r>
              <w:rPr>
                <w:b/>
                <w:bCs/>
                <w:color w:val="FFFFFF" w:themeColor="background2"/>
                <w:sz w:val="18"/>
                <w:szCs w:val="18"/>
              </w:rPr>
              <w:t>Part of Report</w:t>
            </w:r>
          </w:p>
        </w:tc>
        <w:tc>
          <w:tcPr>
            <w:tcW w:w="737" w:type="dxa"/>
            <w:shd w:val="clear" w:color="auto" w:fill="424242"/>
          </w:tcPr>
          <w:p w14:paraId="19C99FF9" w14:textId="5BA75C97" w:rsidR="00E71F65" w:rsidRPr="00E71F65" w:rsidRDefault="00E71F65" w:rsidP="00B128C2">
            <w:pPr>
              <w:pStyle w:val="Body-Financial"/>
              <w:spacing w:before="60" w:after="58"/>
              <w:rPr>
                <w:b/>
                <w:bCs/>
                <w:color w:val="FFFFFF" w:themeColor="background2"/>
                <w:sz w:val="18"/>
                <w:szCs w:val="18"/>
              </w:rPr>
            </w:pPr>
            <w:r>
              <w:rPr>
                <w:b/>
                <w:bCs/>
                <w:color w:val="FFFFFF" w:themeColor="background2"/>
                <w:sz w:val="18"/>
                <w:szCs w:val="18"/>
              </w:rPr>
              <w:t>Page</w:t>
            </w:r>
          </w:p>
        </w:tc>
        <w:tc>
          <w:tcPr>
            <w:tcW w:w="3231" w:type="dxa"/>
            <w:shd w:val="clear" w:color="auto" w:fill="424242"/>
          </w:tcPr>
          <w:p w14:paraId="670AC9C7" w14:textId="571EA12C" w:rsidR="00E71F65" w:rsidRPr="00E71F65" w:rsidRDefault="00E71F65" w:rsidP="00B128C2">
            <w:pPr>
              <w:pStyle w:val="Body-Financial"/>
              <w:spacing w:before="60" w:after="58"/>
              <w:rPr>
                <w:b/>
                <w:bCs/>
                <w:color w:val="FFFFFF" w:themeColor="background2"/>
                <w:sz w:val="18"/>
                <w:szCs w:val="18"/>
              </w:rPr>
            </w:pPr>
            <w:r>
              <w:rPr>
                <w:b/>
                <w:bCs/>
                <w:color w:val="FFFFFF" w:themeColor="background2"/>
                <w:sz w:val="18"/>
                <w:szCs w:val="18"/>
              </w:rPr>
              <w:t>Description</w:t>
            </w:r>
          </w:p>
        </w:tc>
        <w:tc>
          <w:tcPr>
            <w:tcW w:w="1191" w:type="dxa"/>
            <w:shd w:val="clear" w:color="auto" w:fill="424242"/>
          </w:tcPr>
          <w:p w14:paraId="23EBCB95" w14:textId="352AB89A" w:rsidR="00E71F65" w:rsidRPr="00E71F65" w:rsidRDefault="00E71F65" w:rsidP="00B128C2">
            <w:pPr>
              <w:pStyle w:val="Body-Financial"/>
              <w:spacing w:before="60" w:after="58"/>
              <w:rPr>
                <w:b/>
                <w:bCs/>
                <w:color w:val="FFFFFF" w:themeColor="background2"/>
                <w:sz w:val="18"/>
                <w:szCs w:val="18"/>
              </w:rPr>
            </w:pPr>
            <w:r>
              <w:rPr>
                <w:b/>
                <w:bCs/>
                <w:color w:val="FFFFFF" w:themeColor="background2"/>
                <w:sz w:val="18"/>
                <w:szCs w:val="18"/>
              </w:rPr>
              <w:t>Requirement</w:t>
            </w:r>
          </w:p>
        </w:tc>
      </w:tr>
      <w:tr w:rsidR="006D3FB4" w:rsidRPr="00E71F65" w14:paraId="0ED8F542"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shd w:val="clear" w:color="auto" w:fill="D6D6D6"/>
          </w:tcPr>
          <w:p w14:paraId="6D1EBDF9" w14:textId="1B00EFDD" w:rsidR="006D3FB4" w:rsidRPr="00E71F65" w:rsidRDefault="006D3FB4" w:rsidP="00B128C2">
            <w:pPr>
              <w:pStyle w:val="Body-Financial"/>
              <w:spacing w:before="60" w:after="58"/>
              <w:rPr>
                <w:b/>
                <w:bCs/>
                <w:sz w:val="18"/>
                <w:szCs w:val="18"/>
              </w:rPr>
            </w:pPr>
            <w:r>
              <w:rPr>
                <w:b/>
                <w:bCs/>
                <w:sz w:val="18"/>
                <w:szCs w:val="18"/>
              </w:rPr>
              <w:t>17BE</w:t>
            </w:r>
          </w:p>
        </w:tc>
        <w:tc>
          <w:tcPr>
            <w:tcW w:w="2211" w:type="dxa"/>
            <w:gridSpan w:val="2"/>
            <w:shd w:val="clear" w:color="auto" w:fill="D6D6D6"/>
          </w:tcPr>
          <w:p w14:paraId="510D92C9" w14:textId="31B8BFE2" w:rsidR="006D3FB4" w:rsidRPr="00E71F65" w:rsidRDefault="006D3FB4" w:rsidP="00B128C2">
            <w:pPr>
              <w:pStyle w:val="Body-Financial"/>
              <w:spacing w:before="60" w:after="58"/>
              <w:rPr>
                <w:b/>
                <w:bCs/>
                <w:sz w:val="18"/>
                <w:szCs w:val="18"/>
              </w:rPr>
            </w:pPr>
            <w:r>
              <w:rPr>
                <w:b/>
                <w:bCs/>
                <w:sz w:val="18"/>
                <w:szCs w:val="18"/>
              </w:rPr>
              <w:t>Contents of annual report</w:t>
            </w:r>
          </w:p>
        </w:tc>
        <w:tc>
          <w:tcPr>
            <w:tcW w:w="3231" w:type="dxa"/>
            <w:shd w:val="clear" w:color="auto" w:fill="D6D6D6"/>
          </w:tcPr>
          <w:p w14:paraId="10C50B54" w14:textId="77777777" w:rsidR="006D3FB4" w:rsidRPr="00E71F65" w:rsidRDefault="006D3FB4" w:rsidP="00B128C2">
            <w:pPr>
              <w:pStyle w:val="Body-Financial"/>
              <w:spacing w:before="60" w:after="58"/>
              <w:rPr>
                <w:b/>
                <w:bCs/>
                <w:sz w:val="18"/>
                <w:szCs w:val="18"/>
              </w:rPr>
            </w:pPr>
          </w:p>
        </w:tc>
        <w:tc>
          <w:tcPr>
            <w:tcW w:w="1191" w:type="dxa"/>
            <w:shd w:val="clear" w:color="auto" w:fill="D6D6D6"/>
          </w:tcPr>
          <w:p w14:paraId="725054FA" w14:textId="77777777" w:rsidR="006D3FB4" w:rsidRPr="00E71F65" w:rsidRDefault="006D3FB4" w:rsidP="00B128C2">
            <w:pPr>
              <w:pStyle w:val="Body-Financial"/>
              <w:spacing w:before="60" w:after="58"/>
              <w:rPr>
                <w:b/>
                <w:bCs/>
                <w:sz w:val="18"/>
                <w:szCs w:val="18"/>
              </w:rPr>
            </w:pPr>
          </w:p>
        </w:tc>
      </w:tr>
      <w:tr w:rsidR="00EA1FAB" w:rsidRPr="00E71F65" w14:paraId="16EB8FA5"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bottom w:val="single" w:sz="4" w:space="0" w:color="D6D6D6"/>
            </w:tcBorders>
            <w:shd w:val="clear" w:color="auto" w:fill="FFFFFF" w:themeFill="background2"/>
          </w:tcPr>
          <w:p w14:paraId="344590F6" w14:textId="1392FEBE" w:rsidR="00E71F65" w:rsidRPr="00E71F65" w:rsidRDefault="004700DA" w:rsidP="00D056F7">
            <w:pPr>
              <w:pStyle w:val="Body-Financial"/>
              <w:spacing w:before="20" w:after="0"/>
              <w:rPr>
                <w:sz w:val="18"/>
                <w:szCs w:val="18"/>
              </w:rPr>
            </w:pPr>
            <w:r>
              <w:rPr>
                <w:sz w:val="18"/>
                <w:szCs w:val="18"/>
              </w:rPr>
              <w:t>17BE(a)</w:t>
            </w:r>
          </w:p>
        </w:tc>
        <w:tc>
          <w:tcPr>
            <w:tcW w:w="1474" w:type="dxa"/>
            <w:tcBorders>
              <w:bottom w:val="single" w:sz="4" w:space="0" w:color="D6D6D6"/>
            </w:tcBorders>
            <w:shd w:val="clear" w:color="auto" w:fill="FFFFFF" w:themeFill="background2"/>
          </w:tcPr>
          <w:p w14:paraId="6BD6F8BE" w14:textId="459B1B05" w:rsidR="00E71F65" w:rsidRPr="00E71F65" w:rsidRDefault="004700DA" w:rsidP="00D056F7">
            <w:pPr>
              <w:pStyle w:val="Body-Financial"/>
              <w:spacing w:before="20" w:after="0"/>
              <w:rPr>
                <w:sz w:val="18"/>
                <w:szCs w:val="18"/>
              </w:rPr>
            </w:pPr>
            <w:r>
              <w:rPr>
                <w:sz w:val="18"/>
                <w:szCs w:val="18"/>
              </w:rPr>
              <w:t>Legislation</w:t>
            </w:r>
          </w:p>
        </w:tc>
        <w:tc>
          <w:tcPr>
            <w:tcW w:w="737" w:type="dxa"/>
            <w:tcBorders>
              <w:bottom w:val="single" w:sz="4" w:space="0" w:color="D6D6D6"/>
            </w:tcBorders>
            <w:shd w:val="clear" w:color="auto" w:fill="FFFFFF" w:themeFill="background2"/>
          </w:tcPr>
          <w:p w14:paraId="311186E3" w14:textId="77907990" w:rsidR="00E71F65" w:rsidRPr="00E71F65" w:rsidRDefault="00000000" w:rsidP="00D056F7">
            <w:pPr>
              <w:pStyle w:val="Body-Financial"/>
              <w:spacing w:before="20" w:after="0"/>
              <w:rPr>
                <w:sz w:val="18"/>
                <w:szCs w:val="18"/>
              </w:rPr>
            </w:pPr>
            <w:hyperlink w:anchor="_5.2_Legislation" w:history="1">
              <w:r w:rsidR="00B11E9D" w:rsidRPr="00237DFA">
                <w:rPr>
                  <w:rStyle w:val="Hyperlink"/>
                  <w:sz w:val="18"/>
                  <w:szCs w:val="18"/>
                </w:rPr>
                <w:t>62</w:t>
              </w:r>
            </w:hyperlink>
          </w:p>
        </w:tc>
        <w:tc>
          <w:tcPr>
            <w:tcW w:w="3231" w:type="dxa"/>
            <w:tcBorders>
              <w:bottom w:val="single" w:sz="4" w:space="0" w:color="D6D6D6"/>
            </w:tcBorders>
            <w:shd w:val="clear" w:color="auto" w:fill="FFFFFF" w:themeFill="background2"/>
          </w:tcPr>
          <w:p w14:paraId="087081AB" w14:textId="1C697D63" w:rsidR="00E71F65" w:rsidRPr="00E71F65" w:rsidRDefault="004700DA" w:rsidP="00D056F7">
            <w:pPr>
              <w:pStyle w:val="Body-Financial"/>
              <w:spacing w:before="20" w:after="0"/>
              <w:rPr>
                <w:sz w:val="18"/>
                <w:szCs w:val="18"/>
              </w:rPr>
            </w:pPr>
            <w:r w:rsidRPr="004700DA">
              <w:rPr>
                <w:sz w:val="18"/>
                <w:szCs w:val="18"/>
                <w:lang w:val="en-PH"/>
              </w:rPr>
              <w:t>Details of the legislation establishing the</w:t>
            </w:r>
            <w:r w:rsidR="00EA1FAB">
              <w:rPr>
                <w:sz w:val="18"/>
                <w:szCs w:val="18"/>
                <w:lang w:val="en-PH"/>
              </w:rPr>
              <w:t> </w:t>
            </w:r>
            <w:r w:rsidRPr="004700DA">
              <w:rPr>
                <w:sz w:val="18"/>
                <w:szCs w:val="18"/>
                <w:lang w:val="en-PH"/>
              </w:rPr>
              <w:t>body</w:t>
            </w:r>
            <w:r w:rsidR="00A61B52">
              <w:rPr>
                <w:sz w:val="18"/>
                <w:szCs w:val="18"/>
                <w:lang w:val="en-PH"/>
              </w:rPr>
              <w:t>.</w:t>
            </w:r>
          </w:p>
        </w:tc>
        <w:tc>
          <w:tcPr>
            <w:tcW w:w="1191" w:type="dxa"/>
            <w:tcBorders>
              <w:bottom w:val="single" w:sz="4" w:space="0" w:color="D6D6D6"/>
            </w:tcBorders>
            <w:shd w:val="clear" w:color="auto" w:fill="FFFFFF" w:themeFill="background2"/>
          </w:tcPr>
          <w:p w14:paraId="5F2B305F" w14:textId="60B71AB9" w:rsidR="00E71F65" w:rsidRPr="00E71F65" w:rsidRDefault="00EA1FAB" w:rsidP="00D056F7">
            <w:pPr>
              <w:pStyle w:val="Body-Financial"/>
              <w:spacing w:before="20" w:after="0"/>
              <w:rPr>
                <w:sz w:val="18"/>
                <w:szCs w:val="18"/>
              </w:rPr>
            </w:pPr>
            <w:r>
              <w:rPr>
                <w:sz w:val="18"/>
                <w:szCs w:val="18"/>
              </w:rPr>
              <w:t>Mandatory</w:t>
            </w:r>
          </w:p>
        </w:tc>
      </w:tr>
      <w:tr w:rsidR="00EA1FAB" w:rsidRPr="00E71F65" w14:paraId="68CB5A2F"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65F26C54" w14:textId="13629DFD" w:rsidR="00E71F65" w:rsidRPr="00E71F65" w:rsidRDefault="004700DA" w:rsidP="00D056F7">
            <w:pPr>
              <w:pStyle w:val="Body-Financial"/>
              <w:spacing w:before="20" w:after="0"/>
              <w:rPr>
                <w:sz w:val="18"/>
                <w:szCs w:val="18"/>
              </w:rPr>
            </w:pPr>
            <w:r>
              <w:rPr>
                <w:sz w:val="18"/>
                <w:szCs w:val="18"/>
              </w:rPr>
              <w:t>17BE(b)(i)</w:t>
            </w:r>
          </w:p>
        </w:tc>
        <w:tc>
          <w:tcPr>
            <w:tcW w:w="1474" w:type="dxa"/>
            <w:tcBorders>
              <w:top w:val="single" w:sz="4" w:space="0" w:color="D6D6D6"/>
              <w:bottom w:val="single" w:sz="4" w:space="0" w:color="D6D6D6"/>
            </w:tcBorders>
            <w:shd w:val="clear" w:color="auto" w:fill="FFFFFF" w:themeFill="background2"/>
          </w:tcPr>
          <w:p w14:paraId="2032C5FB" w14:textId="5BC5D9D5" w:rsidR="00E71F65" w:rsidRPr="00E71F65" w:rsidRDefault="004700DA" w:rsidP="00D056F7">
            <w:pPr>
              <w:pStyle w:val="Body-Financial"/>
              <w:spacing w:before="20" w:after="0"/>
              <w:rPr>
                <w:sz w:val="18"/>
                <w:szCs w:val="18"/>
              </w:rPr>
            </w:pPr>
            <w:r>
              <w:rPr>
                <w:sz w:val="18"/>
                <w:szCs w:val="18"/>
              </w:rPr>
              <w:t>Who we are</w:t>
            </w:r>
          </w:p>
        </w:tc>
        <w:tc>
          <w:tcPr>
            <w:tcW w:w="737" w:type="dxa"/>
            <w:tcBorders>
              <w:top w:val="single" w:sz="4" w:space="0" w:color="D6D6D6"/>
              <w:bottom w:val="single" w:sz="4" w:space="0" w:color="D6D6D6"/>
            </w:tcBorders>
            <w:shd w:val="clear" w:color="auto" w:fill="FFFFFF" w:themeFill="background2"/>
          </w:tcPr>
          <w:p w14:paraId="56E20480" w14:textId="269C6185" w:rsidR="00E71F65" w:rsidRPr="00E71F65" w:rsidRDefault="00000000" w:rsidP="00D056F7">
            <w:pPr>
              <w:pStyle w:val="Body-Financial"/>
              <w:spacing w:before="20" w:after="0"/>
              <w:rPr>
                <w:sz w:val="18"/>
                <w:szCs w:val="18"/>
              </w:rPr>
            </w:pPr>
            <w:hyperlink w:anchor="_3.3_Who_we" w:history="1">
              <w:r w:rsidR="00B11E9D" w:rsidRPr="00237DFA">
                <w:rPr>
                  <w:rStyle w:val="Hyperlink"/>
                  <w:sz w:val="18"/>
                  <w:szCs w:val="18"/>
                </w:rPr>
                <w:t>18</w:t>
              </w:r>
            </w:hyperlink>
          </w:p>
        </w:tc>
        <w:tc>
          <w:tcPr>
            <w:tcW w:w="3231" w:type="dxa"/>
            <w:tcBorders>
              <w:top w:val="single" w:sz="4" w:space="0" w:color="D6D6D6"/>
              <w:bottom w:val="single" w:sz="4" w:space="0" w:color="D6D6D6"/>
            </w:tcBorders>
            <w:shd w:val="clear" w:color="auto" w:fill="FFFFFF" w:themeFill="background2"/>
          </w:tcPr>
          <w:p w14:paraId="37D385EE" w14:textId="15FC070C" w:rsidR="00E71F65" w:rsidRPr="00E71F65" w:rsidRDefault="004700DA" w:rsidP="00D056F7">
            <w:pPr>
              <w:pStyle w:val="Body-Financial"/>
              <w:spacing w:before="20" w:after="0"/>
              <w:rPr>
                <w:sz w:val="18"/>
                <w:szCs w:val="18"/>
              </w:rPr>
            </w:pPr>
            <w:r w:rsidRPr="004700DA">
              <w:rPr>
                <w:sz w:val="18"/>
                <w:szCs w:val="18"/>
                <w:lang w:val="en-PH"/>
              </w:rPr>
              <w:t>A summary of the objects and functions of</w:t>
            </w:r>
            <w:r w:rsidR="00EA1FAB">
              <w:rPr>
                <w:sz w:val="18"/>
                <w:szCs w:val="18"/>
                <w:lang w:val="en-PH"/>
              </w:rPr>
              <w:t> </w:t>
            </w:r>
            <w:r w:rsidRPr="004700DA">
              <w:rPr>
                <w:sz w:val="18"/>
                <w:szCs w:val="18"/>
                <w:lang w:val="en-PH"/>
              </w:rPr>
              <w:t>the entity as set out in legislation</w:t>
            </w:r>
            <w:r w:rsidR="00A61B52">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48C5D6B9" w14:textId="254EC7D9" w:rsidR="00E71F65" w:rsidRPr="00E71F65" w:rsidRDefault="00EA1FAB" w:rsidP="00D056F7">
            <w:pPr>
              <w:pStyle w:val="Body-Financial"/>
              <w:spacing w:before="20" w:after="0"/>
              <w:rPr>
                <w:sz w:val="18"/>
                <w:szCs w:val="18"/>
              </w:rPr>
            </w:pPr>
            <w:r>
              <w:rPr>
                <w:sz w:val="18"/>
                <w:szCs w:val="18"/>
              </w:rPr>
              <w:t>Mandatory</w:t>
            </w:r>
          </w:p>
        </w:tc>
      </w:tr>
      <w:tr w:rsidR="00EA1FAB" w:rsidRPr="00E71F65" w14:paraId="49341931"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5C4FBB41" w14:textId="0C650AD1" w:rsidR="00E71F65" w:rsidRPr="00E71F65" w:rsidRDefault="004700DA" w:rsidP="00D056F7">
            <w:pPr>
              <w:pStyle w:val="Body-Financial"/>
              <w:spacing w:before="20" w:after="0"/>
              <w:rPr>
                <w:sz w:val="18"/>
                <w:szCs w:val="18"/>
              </w:rPr>
            </w:pPr>
            <w:r>
              <w:rPr>
                <w:sz w:val="18"/>
                <w:szCs w:val="18"/>
              </w:rPr>
              <w:t>17BE(b)(ii)</w:t>
            </w:r>
          </w:p>
        </w:tc>
        <w:tc>
          <w:tcPr>
            <w:tcW w:w="1474" w:type="dxa"/>
            <w:tcBorders>
              <w:top w:val="single" w:sz="4" w:space="0" w:color="D6D6D6"/>
              <w:bottom w:val="single" w:sz="4" w:space="0" w:color="D6D6D6"/>
            </w:tcBorders>
            <w:shd w:val="clear" w:color="auto" w:fill="FFFFFF" w:themeFill="background2"/>
          </w:tcPr>
          <w:p w14:paraId="79CF81F4" w14:textId="66696ECA" w:rsidR="00E71F65" w:rsidRPr="00E71F65" w:rsidRDefault="004700DA" w:rsidP="00D056F7">
            <w:pPr>
              <w:pStyle w:val="Body-Financial"/>
              <w:spacing w:before="20" w:after="0"/>
              <w:rPr>
                <w:sz w:val="18"/>
                <w:szCs w:val="18"/>
              </w:rPr>
            </w:pPr>
            <w:r>
              <w:rPr>
                <w:sz w:val="18"/>
                <w:szCs w:val="18"/>
              </w:rPr>
              <w:t>Who we are</w:t>
            </w:r>
          </w:p>
        </w:tc>
        <w:tc>
          <w:tcPr>
            <w:tcW w:w="737" w:type="dxa"/>
            <w:tcBorders>
              <w:top w:val="single" w:sz="4" w:space="0" w:color="D6D6D6"/>
              <w:bottom w:val="single" w:sz="4" w:space="0" w:color="D6D6D6"/>
            </w:tcBorders>
            <w:shd w:val="clear" w:color="auto" w:fill="FFFFFF" w:themeFill="background2"/>
          </w:tcPr>
          <w:p w14:paraId="28B96993" w14:textId="0D57758D" w:rsidR="00E71F65" w:rsidRPr="00E71F65" w:rsidRDefault="00000000" w:rsidP="00D056F7">
            <w:pPr>
              <w:pStyle w:val="Body-Financial"/>
              <w:spacing w:before="20" w:after="0"/>
              <w:rPr>
                <w:sz w:val="18"/>
                <w:szCs w:val="18"/>
              </w:rPr>
            </w:pPr>
            <w:hyperlink w:anchor="_3.3_Who_we" w:history="1">
              <w:r w:rsidR="00B11E9D" w:rsidRPr="00237DFA">
                <w:rPr>
                  <w:rStyle w:val="Hyperlink"/>
                  <w:sz w:val="18"/>
                  <w:szCs w:val="18"/>
                </w:rPr>
                <w:t>18</w:t>
              </w:r>
            </w:hyperlink>
          </w:p>
        </w:tc>
        <w:tc>
          <w:tcPr>
            <w:tcW w:w="3231" w:type="dxa"/>
            <w:tcBorders>
              <w:top w:val="single" w:sz="4" w:space="0" w:color="D6D6D6"/>
              <w:bottom w:val="single" w:sz="4" w:space="0" w:color="D6D6D6"/>
            </w:tcBorders>
            <w:shd w:val="clear" w:color="auto" w:fill="FFFFFF" w:themeFill="background2"/>
          </w:tcPr>
          <w:p w14:paraId="6C13F0A9" w14:textId="4D601D6B" w:rsidR="00E71F65" w:rsidRPr="00E71F65" w:rsidRDefault="004700DA" w:rsidP="00D056F7">
            <w:pPr>
              <w:pStyle w:val="Body-Financial"/>
              <w:spacing w:before="20" w:after="0"/>
              <w:rPr>
                <w:sz w:val="18"/>
                <w:szCs w:val="18"/>
              </w:rPr>
            </w:pPr>
            <w:r w:rsidRPr="004700DA">
              <w:rPr>
                <w:sz w:val="18"/>
                <w:szCs w:val="18"/>
                <w:lang w:val="en-PH"/>
              </w:rPr>
              <w:t>The purposes of the entity as included in</w:t>
            </w:r>
            <w:r w:rsidR="006416C6">
              <w:rPr>
                <w:sz w:val="18"/>
                <w:szCs w:val="18"/>
                <w:lang w:val="en-PH"/>
              </w:rPr>
              <w:t> </w:t>
            </w:r>
            <w:r w:rsidRPr="004700DA">
              <w:rPr>
                <w:sz w:val="18"/>
                <w:szCs w:val="18"/>
                <w:lang w:val="en-PH"/>
              </w:rPr>
              <w:t>the entity’s corporate plan for the reporting</w:t>
            </w:r>
            <w:r w:rsidR="00EA1FAB">
              <w:rPr>
                <w:sz w:val="18"/>
                <w:szCs w:val="18"/>
                <w:lang w:val="en-PH"/>
              </w:rPr>
              <w:t> </w:t>
            </w:r>
            <w:r w:rsidRPr="004700DA">
              <w:rPr>
                <w:sz w:val="18"/>
                <w:szCs w:val="18"/>
                <w:lang w:val="en-PH"/>
              </w:rPr>
              <w:t>period</w:t>
            </w:r>
            <w:r w:rsidR="00A61B52">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54046F71" w14:textId="16C3E9D2" w:rsidR="00E71F65" w:rsidRPr="00E71F65" w:rsidRDefault="00EA1FAB" w:rsidP="00D056F7">
            <w:pPr>
              <w:pStyle w:val="Body-Financial"/>
              <w:spacing w:before="20" w:after="0"/>
              <w:rPr>
                <w:sz w:val="18"/>
                <w:szCs w:val="18"/>
              </w:rPr>
            </w:pPr>
            <w:r>
              <w:rPr>
                <w:sz w:val="18"/>
                <w:szCs w:val="18"/>
              </w:rPr>
              <w:t>Mandatory</w:t>
            </w:r>
          </w:p>
        </w:tc>
      </w:tr>
      <w:tr w:rsidR="004700DA" w:rsidRPr="00E71F65" w14:paraId="29B6C846"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7593C4A3" w14:textId="2CEEAC17" w:rsidR="004700DA" w:rsidRPr="00E71F65" w:rsidRDefault="004700DA" w:rsidP="00D056F7">
            <w:pPr>
              <w:pStyle w:val="Body-Financial"/>
              <w:spacing w:before="20" w:after="0"/>
              <w:rPr>
                <w:sz w:val="18"/>
                <w:szCs w:val="18"/>
              </w:rPr>
            </w:pPr>
            <w:r>
              <w:rPr>
                <w:sz w:val="18"/>
                <w:szCs w:val="18"/>
              </w:rPr>
              <w:t>17BE(c)</w:t>
            </w:r>
          </w:p>
        </w:tc>
        <w:tc>
          <w:tcPr>
            <w:tcW w:w="1474" w:type="dxa"/>
            <w:tcBorders>
              <w:top w:val="single" w:sz="4" w:space="0" w:color="D6D6D6"/>
              <w:bottom w:val="single" w:sz="4" w:space="0" w:color="D6D6D6"/>
            </w:tcBorders>
            <w:shd w:val="clear" w:color="auto" w:fill="FFFFFF" w:themeFill="background2"/>
          </w:tcPr>
          <w:p w14:paraId="40EB883E" w14:textId="7A7EE0EC" w:rsidR="004700DA" w:rsidRPr="00E71F65" w:rsidRDefault="004700DA" w:rsidP="00D056F7">
            <w:pPr>
              <w:pStyle w:val="Body-Financial"/>
              <w:spacing w:before="20" w:after="0"/>
              <w:rPr>
                <w:sz w:val="18"/>
                <w:szCs w:val="18"/>
              </w:rPr>
            </w:pPr>
            <w:r>
              <w:rPr>
                <w:sz w:val="18"/>
                <w:szCs w:val="18"/>
              </w:rPr>
              <w:t>Responsible Minister</w:t>
            </w:r>
          </w:p>
        </w:tc>
        <w:tc>
          <w:tcPr>
            <w:tcW w:w="737" w:type="dxa"/>
            <w:tcBorders>
              <w:top w:val="single" w:sz="4" w:space="0" w:color="D6D6D6"/>
              <w:bottom w:val="single" w:sz="4" w:space="0" w:color="D6D6D6"/>
            </w:tcBorders>
            <w:shd w:val="clear" w:color="auto" w:fill="FFFFFF" w:themeFill="background2"/>
          </w:tcPr>
          <w:p w14:paraId="26D68313" w14:textId="5370C2CB" w:rsidR="004700DA" w:rsidRPr="00E71F65" w:rsidRDefault="00000000" w:rsidP="00D056F7">
            <w:pPr>
              <w:pStyle w:val="Body-Financial"/>
              <w:spacing w:before="20" w:after="0"/>
              <w:rPr>
                <w:sz w:val="18"/>
                <w:szCs w:val="18"/>
              </w:rPr>
            </w:pPr>
            <w:hyperlink w:anchor="_5.1_Responsible_Minister" w:history="1">
              <w:r w:rsidR="00B11E9D" w:rsidRPr="00237DFA">
                <w:rPr>
                  <w:rStyle w:val="Hyperlink"/>
                  <w:sz w:val="18"/>
                  <w:szCs w:val="18"/>
                </w:rPr>
                <w:t>62</w:t>
              </w:r>
            </w:hyperlink>
          </w:p>
        </w:tc>
        <w:tc>
          <w:tcPr>
            <w:tcW w:w="3231" w:type="dxa"/>
            <w:tcBorders>
              <w:top w:val="single" w:sz="4" w:space="0" w:color="D6D6D6"/>
              <w:bottom w:val="single" w:sz="4" w:space="0" w:color="D6D6D6"/>
            </w:tcBorders>
            <w:shd w:val="clear" w:color="auto" w:fill="FFFFFF" w:themeFill="background2"/>
          </w:tcPr>
          <w:p w14:paraId="0E6F2D7F" w14:textId="5D9FFE09" w:rsidR="004700DA" w:rsidRPr="00E71F65" w:rsidRDefault="004700DA" w:rsidP="00D056F7">
            <w:pPr>
              <w:pStyle w:val="Body-Financial"/>
              <w:spacing w:before="20" w:after="0"/>
              <w:rPr>
                <w:sz w:val="18"/>
                <w:szCs w:val="18"/>
              </w:rPr>
            </w:pPr>
            <w:r w:rsidRPr="004700DA">
              <w:rPr>
                <w:sz w:val="18"/>
                <w:szCs w:val="18"/>
                <w:lang w:val="en-PH"/>
              </w:rPr>
              <w:t>The names of the persons holding the</w:t>
            </w:r>
            <w:r w:rsidR="00EA1FAB">
              <w:rPr>
                <w:sz w:val="18"/>
                <w:szCs w:val="18"/>
                <w:lang w:val="en-PH"/>
              </w:rPr>
              <w:t> </w:t>
            </w:r>
            <w:r w:rsidRPr="004700DA">
              <w:rPr>
                <w:sz w:val="18"/>
                <w:szCs w:val="18"/>
                <w:lang w:val="en-PH"/>
              </w:rPr>
              <w:t>position of responsible Minister or</w:t>
            </w:r>
            <w:r w:rsidR="00EA1FAB">
              <w:rPr>
                <w:sz w:val="18"/>
                <w:szCs w:val="18"/>
                <w:lang w:val="en-PH"/>
              </w:rPr>
              <w:t> </w:t>
            </w:r>
            <w:r w:rsidRPr="004700DA">
              <w:rPr>
                <w:sz w:val="18"/>
                <w:szCs w:val="18"/>
                <w:lang w:val="en-PH"/>
              </w:rPr>
              <w:t xml:space="preserve">responsible </w:t>
            </w:r>
            <w:r w:rsidR="00A61B52">
              <w:rPr>
                <w:sz w:val="18"/>
                <w:szCs w:val="18"/>
                <w:lang w:val="en-PH"/>
              </w:rPr>
              <w:t>m</w:t>
            </w:r>
            <w:r w:rsidRPr="004700DA">
              <w:rPr>
                <w:sz w:val="18"/>
                <w:szCs w:val="18"/>
                <w:lang w:val="en-PH"/>
              </w:rPr>
              <w:t>inisters during the reporting</w:t>
            </w:r>
            <w:r w:rsidR="00EA1FAB">
              <w:rPr>
                <w:sz w:val="18"/>
                <w:szCs w:val="18"/>
                <w:lang w:val="en-PH"/>
              </w:rPr>
              <w:t> </w:t>
            </w:r>
            <w:r w:rsidRPr="004700DA">
              <w:rPr>
                <w:sz w:val="18"/>
                <w:szCs w:val="18"/>
                <w:lang w:val="en-PH"/>
              </w:rPr>
              <w:t>period, and the titles of those</w:t>
            </w:r>
            <w:r w:rsidR="00EA1FAB">
              <w:rPr>
                <w:sz w:val="18"/>
                <w:szCs w:val="18"/>
                <w:lang w:val="en-PH"/>
              </w:rPr>
              <w:t> </w:t>
            </w:r>
            <w:r w:rsidRPr="004700DA">
              <w:rPr>
                <w:sz w:val="18"/>
                <w:szCs w:val="18"/>
                <w:lang w:val="en-PH"/>
              </w:rPr>
              <w:t>responsible</w:t>
            </w:r>
            <w:r w:rsidR="00EA1FAB">
              <w:rPr>
                <w:sz w:val="18"/>
                <w:szCs w:val="18"/>
                <w:lang w:val="en-PH"/>
              </w:rPr>
              <w:t> </w:t>
            </w:r>
            <w:r w:rsidR="00A61B52">
              <w:rPr>
                <w:sz w:val="18"/>
                <w:szCs w:val="18"/>
                <w:lang w:val="en-PH"/>
              </w:rPr>
              <w:t>m</w:t>
            </w:r>
            <w:r w:rsidRPr="004700DA">
              <w:rPr>
                <w:sz w:val="18"/>
                <w:szCs w:val="18"/>
                <w:lang w:val="en-PH"/>
              </w:rPr>
              <w:t>inisters</w:t>
            </w:r>
            <w:r w:rsidR="00A61B52">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5A312073" w14:textId="33ECC1DB" w:rsidR="004700DA" w:rsidRPr="00E71F65" w:rsidRDefault="00EA1FAB" w:rsidP="00D056F7">
            <w:pPr>
              <w:pStyle w:val="Body-Financial"/>
              <w:spacing w:before="20" w:after="0"/>
              <w:rPr>
                <w:sz w:val="18"/>
                <w:szCs w:val="18"/>
              </w:rPr>
            </w:pPr>
            <w:r>
              <w:rPr>
                <w:sz w:val="18"/>
                <w:szCs w:val="18"/>
              </w:rPr>
              <w:t>Mandatory</w:t>
            </w:r>
          </w:p>
        </w:tc>
      </w:tr>
      <w:tr w:rsidR="004700DA" w:rsidRPr="00E71F65" w14:paraId="02C88819"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2C800B36" w14:textId="78280713" w:rsidR="004700DA" w:rsidRPr="00E71F65" w:rsidRDefault="004700DA" w:rsidP="00D056F7">
            <w:pPr>
              <w:pStyle w:val="Body-Financial"/>
              <w:spacing w:before="20" w:after="0"/>
              <w:rPr>
                <w:sz w:val="18"/>
                <w:szCs w:val="18"/>
              </w:rPr>
            </w:pPr>
            <w:r>
              <w:rPr>
                <w:sz w:val="18"/>
                <w:szCs w:val="18"/>
              </w:rPr>
              <w:t>17BE(d)</w:t>
            </w:r>
          </w:p>
        </w:tc>
        <w:tc>
          <w:tcPr>
            <w:tcW w:w="1474" w:type="dxa"/>
            <w:tcBorders>
              <w:top w:val="single" w:sz="4" w:space="0" w:color="D6D6D6"/>
              <w:bottom w:val="single" w:sz="4" w:space="0" w:color="D6D6D6"/>
            </w:tcBorders>
            <w:shd w:val="clear" w:color="auto" w:fill="FFFFFF" w:themeFill="background2"/>
          </w:tcPr>
          <w:p w14:paraId="473AE717" w14:textId="26F15B5B" w:rsidR="004700DA" w:rsidRPr="00E71F65" w:rsidRDefault="004700DA" w:rsidP="00D056F7">
            <w:pPr>
              <w:pStyle w:val="Body-Financial"/>
              <w:spacing w:before="20" w:after="0"/>
              <w:rPr>
                <w:sz w:val="18"/>
                <w:szCs w:val="18"/>
              </w:rPr>
            </w:pPr>
            <w:r>
              <w:rPr>
                <w:sz w:val="18"/>
                <w:szCs w:val="18"/>
              </w:rPr>
              <w:t>Ministerial Directions and government policy orders</w:t>
            </w:r>
          </w:p>
        </w:tc>
        <w:tc>
          <w:tcPr>
            <w:tcW w:w="737" w:type="dxa"/>
            <w:tcBorders>
              <w:top w:val="single" w:sz="4" w:space="0" w:color="D6D6D6"/>
              <w:bottom w:val="single" w:sz="4" w:space="0" w:color="D6D6D6"/>
            </w:tcBorders>
            <w:shd w:val="clear" w:color="auto" w:fill="FFFFFF" w:themeFill="background2"/>
          </w:tcPr>
          <w:p w14:paraId="39C03A58" w14:textId="4AFE1357" w:rsidR="004700DA" w:rsidRPr="00E71F65" w:rsidRDefault="00000000" w:rsidP="00D056F7">
            <w:pPr>
              <w:pStyle w:val="Body-Financial"/>
              <w:spacing w:before="20" w:after="0"/>
              <w:rPr>
                <w:sz w:val="18"/>
                <w:szCs w:val="18"/>
              </w:rPr>
            </w:pPr>
            <w:hyperlink w:anchor="MinisterialDirections" w:history="1">
              <w:r w:rsidR="00B11E9D" w:rsidRPr="00421E01">
                <w:rPr>
                  <w:rStyle w:val="Hyperlink"/>
                  <w:sz w:val="18"/>
                  <w:szCs w:val="18"/>
                </w:rPr>
                <w:t>64</w:t>
              </w:r>
            </w:hyperlink>
          </w:p>
        </w:tc>
        <w:tc>
          <w:tcPr>
            <w:tcW w:w="3231" w:type="dxa"/>
            <w:tcBorders>
              <w:top w:val="single" w:sz="4" w:space="0" w:color="D6D6D6"/>
              <w:bottom w:val="single" w:sz="4" w:space="0" w:color="D6D6D6"/>
            </w:tcBorders>
            <w:shd w:val="clear" w:color="auto" w:fill="FFFFFF" w:themeFill="background2"/>
          </w:tcPr>
          <w:p w14:paraId="1E8B0568" w14:textId="7746AE9E" w:rsidR="004700DA" w:rsidRPr="00E71F65" w:rsidRDefault="00EA1FAB" w:rsidP="00D056F7">
            <w:pPr>
              <w:pStyle w:val="Body-Financial"/>
              <w:spacing w:before="20" w:after="0"/>
              <w:rPr>
                <w:sz w:val="18"/>
                <w:szCs w:val="18"/>
              </w:rPr>
            </w:pPr>
            <w:r w:rsidRPr="00EA1FAB">
              <w:rPr>
                <w:sz w:val="18"/>
                <w:szCs w:val="18"/>
                <w:lang w:val="en-PH"/>
              </w:rPr>
              <w:t>Directions given to the entity by the Minister under an Act or instrument during</w:t>
            </w:r>
            <w:r>
              <w:rPr>
                <w:sz w:val="18"/>
                <w:szCs w:val="18"/>
                <w:lang w:val="en-PH"/>
              </w:rPr>
              <w:t> </w:t>
            </w:r>
            <w:r w:rsidRPr="00EA1FAB">
              <w:rPr>
                <w:sz w:val="18"/>
                <w:szCs w:val="18"/>
                <w:lang w:val="en-PH"/>
              </w:rPr>
              <w:t>the reporting period</w:t>
            </w:r>
            <w:r w:rsidR="00A61B52">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565B2C8A" w14:textId="7B124409" w:rsidR="004700DA" w:rsidRPr="00E71F65" w:rsidRDefault="00EA1FAB" w:rsidP="00D056F7">
            <w:pPr>
              <w:pStyle w:val="Body-Financial"/>
              <w:spacing w:before="20" w:after="0"/>
              <w:rPr>
                <w:sz w:val="18"/>
                <w:szCs w:val="18"/>
              </w:rPr>
            </w:pPr>
            <w:r>
              <w:rPr>
                <w:sz w:val="18"/>
                <w:szCs w:val="18"/>
              </w:rPr>
              <w:t>If applicable, mandatory</w:t>
            </w:r>
          </w:p>
        </w:tc>
      </w:tr>
      <w:tr w:rsidR="004700DA" w:rsidRPr="00E71F65" w14:paraId="64259DCC"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3EF8B24F" w14:textId="03264D3F" w:rsidR="004700DA" w:rsidRPr="00E71F65" w:rsidRDefault="004700DA" w:rsidP="00D056F7">
            <w:pPr>
              <w:pStyle w:val="Body-Financial"/>
              <w:spacing w:before="20" w:after="0"/>
              <w:rPr>
                <w:sz w:val="18"/>
                <w:szCs w:val="18"/>
              </w:rPr>
            </w:pPr>
            <w:r>
              <w:rPr>
                <w:sz w:val="18"/>
                <w:szCs w:val="18"/>
              </w:rPr>
              <w:t>17BE(e)</w:t>
            </w:r>
          </w:p>
        </w:tc>
        <w:tc>
          <w:tcPr>
            <w:tcW w:w="1474" w:type="dxa"/>
            <w:tcBorders>
              <w:top w:val="single" w:sz="4" w:space="0" w:color="D6D6D6"/>
              <w:bottom w:val="single" w:sz="4" w:space="0" w:color="D6D6D6"/>
            </w:tcBorders>
            <w:shd w:val="clear" w:color="auto" w:fill="FFFFFF" w:themeFill="background2"/>
          </w:tcPr>
          <w:p w14:paraId="65DD44E2" w14:textId="0B68B911" w:rsidR="004700DA" w:rsidRPr="00E71F65" w:rsidRDefault="004700DA" w:rsidP="00D056F7">
            <w:pPr>
              <w:pStyle w:val="Body-Financial"/>
              <w:spacing w:before="20" w:after="0"/>
              <w:rPr>
                <w:sz w:val="18"/>
                <w:szCs w:val="18"/>
              </w:rPr>
            </w:pPr>
            <w:r>
              <w:rPr>
                <w:sz w:val="18"/>
                <w:szCs w:val="18"/>
              </w:rPr>
              <w:t>Ministerial Directions and government policy orders</w:t>
            </w:r>
          </w:p>
        </w:tc>
        <w:tc>
          <w:tcPr>
            <w:tcW w:w="737" w:type="dxa"/>
            <w:tcBorders>
              <w:top w:val="single" w:sz="4" w:space="0" w:color="D6D6D6"/>
              <w:bottom w:val="single" w:sz="4" w:space="0" w:color="D6D6D6"/>
            </w:tcBorders>
            <w:shd w:val="clear" w:color="auto" w:fill="FFFFFF" w:themeFill="background2"/>
          </w:tcPr>
          <w:p w14:paraId="74A8772D" w14:textId="37F0D93D" w:rsidR="004700DA" w:rsidRPr="00E71F65" w:rsidRDefault="00000000" w:rsidP="00D056F7">
            <w:pPr>
              <w:pStyle w:val="Body-Financial"/>
              <w:spacing w:before="20" w:after="0"/>
              <w:rPr>
                <w:sz w:val="18"/>
                <w:szCs w:val="18"/>
              </w:rPr>
            </w:pPr>
            <w:hyperlink w:anchor="MinisterialDirections" w:history="1">
              <w:r w:rsidR="00B11E9D" w:rsidRPr="00421E01">
                <w:rPr>
                  <w:rStyle w:val="Hyperlink"/>
                  <w:sz w:val="18"/>
                  <w:szCs w:val="18"/>
                </w:rPr>
                <w:t>64</w:t>
              </w:r>
            </w:hyperlink>
          </w:p>
        </w:tc>
        <w:tc>
          <w:tcPr>
            <w:tcW w:w="3231" w:type="dxa"/>
            <w:tcBorders>
              <w:top w:val="single" w:sz="4" w:space="0" w:color="D6D6D6"/>
              <w:bottom w:val="single" w:sz="4" w:space="0" w:color="D6D6D6"/>
            </w:tcBorders>
            <w:shd w:val="clear" w:color="auto" w:fill="FFFFFF" w:themeFill="background2"/>
          </w:tcPr>
          <w:p w14:paraId="7DF0FAD2" w14:textId="0A660156" w:rsidR="004700DA" w:rsidRPr="00E71F65" w:rsidRDefault="00EA1FAB" w:rsidP="00D056F7">
            <w:pPr>
              <w:pStyle w:val="Body-Financial"/>
              <w:spacing w:before="20" w:after="0"/>
              <w:rPr>
                <w:sz w:val="18"/>
                <w:szCs w:val="18"/>
              </w:rPr>
            </w:pPr>
            <w:r w:rsidRPr="00EA1FAB">
              <w:rPr>
                <w:sz w:val="18"/>
                <w:szCs w:val="18"/>
                <w:lang w:val="en-PH"/>
              </w:rPr>
              <w:t>Any government policy order that applied in relation to the entity during the reporting period under section 22 of the Act</w:t>
            </w:r>
            <w:r w:rsidR="00A61B52">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20D345B3" w14:textId="0F24CAE3" w:rsidR="004700DA" w:rsidRPr="00E71F65" w:rsidRDefault="00EA1FAB" w:rsidP="00D056F7">
            <w:pPr>
              <w:pStyle w:val="Body-Financial"/>
              <w:spacing w:before="20" w:after="0"/>
              <w:rPr>
                <w:sz w:val="18"/>
                <w:szCs w:val="18"/>
              </w:rPr>
            </w:pPr>
            <w:r>
              <w:rPr>
                <w:sz w:val="18"/>
                <w:szCs w:val="18"/>
              </w:rPr>
              <w:t>If applicable, mandatory</w:t>
            </w:r>
          </w:p>
        </w:tc>
      </w:tr>
      <w:tr w:rsidR="004700DA" w:rsidRPr="00E71F65" w14:paraId="30E27076"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636BB0F7" w14:textId="4232A33D" w:rsidR="004700DA" w:rsidRPr="00E71F65" w:rsidRDefault="004700DA" w:rsidP="00D056F7">
            <w:pPr>
              <w:pStyle w:val="Body-Financial"/>
              <w:spacing w:before="20" w:after="0"/>
              <w:rPr>
                <w:sz w:val="18"/>
                <w:szCs w:val="18"/>
              </w:rPr>
            </w:pPr>
            <w:r>
              <w:rPr>
                <w:sz w:val="18"/>
                <w:szCs w:val="18"/>
              </w:rPr>
              <w:t>17BE(f)</w:t>
            </w:r>
          </w:p>
        </w:tc>
        <w:tc>
          <w:tcPr>
            <w:tcW w:w="1474" w:type="dxa"/>
            <w:tcBorders>
              <w:top w:val="single" w:sz="4" w:space="0" w:color="D6D6D6"/>
              <w:bottom w:val="single" w:sz="4" w:space="0" w:color="D6D6D6"/>
            </w:tcBorders>
            <w:shd w:val="clear" w:color="auto" w:fill="FFFFFF" w:themeFill="background2"/>
          </w:tcPr>
          <w:p w14:paraId="3570E745" w14:textId="57CD759C" w:rsidR="004700DA" w:rsidRPr="00E71F65" w:rsidRDefault="004700DA" w:rsidP="00D056F7">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47651F5A" w14:textId="77777777" w:rsidR="004700DA" w:rsidRPr="00E71F65" w:rsidRDefault="004700DA" w:rsidP="00D056F7">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5A96C1B4" w14:textId="77777777" w:rsidR="00EA1FAB" w:rsidRPr="00EA1FAB" w:rsidRDefault="00EA1FAB" w:rsidP="00D056F7">
            <w:pPr>
              <w:pStyle w:val="Body-Financial"/>
              <w:spacing w:before="20" w:after="0"/>
              <w:rPr>
                <w:sz w:val="18"/>
                <w:szCs w:val="18"/>
                <w:lang w:val="en-PH"/>
              </w:rPr>
            </w:pPr>
            <w:r w:rsidRPr="00EA1FAB">
              <w:rPr>
                <w:sz w:val="18"/>
                <w:szCs w:val="18"/>
                <w:lang w:val="en-PH"/>
              </w:rPr>
              <w:t>Particulars of non‑compliance with:</w:t>
            </w:r>
          </w:p>
          <w:p w14:paraId="649207FB" w14:textId="77777777" w:rsidR="00EA1FAB" w:rsidRPr="00EA1FAB" w:rsidRDefault="00EA1FAB" w:rsidP="00D056F7">
            <w:pPr>
              <w:pStyle w:val="Body-Financial"/>
              <w:spacing w:before="20" w:after="0"/>
              <w:rPr>
                <w:sz w:val="18"/>
                <w:szCs w:val="18"/>
                <w:lang w:val="en-PH"/>
              </w:rPr>
            </w:pPr>
            <w:r w:rsidRPr="00EA1FAB">
              <w:rPr>
                <w:sz w:val="18"/>
                <w:szCs w:val="18"/>
                <w:lang w:val="en-PH"/>
              </w:rPr>
              <w:t>(a) a direction given to the entity by the Minister under an Act or instrument during the reporting period, or</w:t>
            </w:r>
          </w:p>
          <w:p w14:paraId="0D709F02" w14:textId="6DA5D2F7" w:rsidR="004700DA" w:rsidRPr="00E71F65" w:rsidRDefault="00EA1FAB" w:rsidP="00D056F7">
            <w:pPr>
              <w:pStyle w:val="Body-Financial"/>
              <w:spacing w:before="20" w:after="0"/>
              <w:rPr>
                <w:sz w:val="18"/>
                <w:szCs w:val="18"/>
              </w:rPr>
            </w:pPr>
            <w:r w:rsidRPr="00EA1FAB">
              <w:rPr>
                <w:sz w:val="18"/>
                <w:szCs w:val="18"/>
                <w:lang w:val="en-PH"/>
              </w:rPr>
              <w:t>(b) a government policy order that applied in relation to the entity during the reporting period under section 22 of the Act</w:t>
            </w:r>
            <w:r w:rsidR="00A61B52">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3490C500" w14:textId="322691BA" w:rsidR="004700DA" w:rsidRPr="00E71F65" w:rsidRDefault="00EA1FAB" w:rsidP="00D056F7">
            <w:pPr>
              <w:pStyle w:val="Body-Financial"/>
              <w:spacing w:before="20" w:after="0"/>
              <w:rPr>
                <w:sz w:val="18"/>
                <w:szCs w:val="18"/>
              </w:rPr>
            </w:pPr>
            <w:r>
              <w:rPr>
                <w:sz w:val="18"/>
                <w:szCs w:val="18"/>
              </w:rPr>
              <w:t>If applicable, mandatory</w:t>
            </w:r>
          </w:p>
        </w:tc>
      </w:tr>
      <w:tr w:rsidR="00EA1FAB" w:rsidRPr="00E71F65" w14:paraId="0A684C28" w14:textId="77777777" w:rsidTr="00EA1FAB">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6EB75027" w14:textId="7C82CAD7" w:rsidR="00E71F65" w:rsidRPr="00E71F65" w:rsidRDefault="004700DA" w:rsidP="00D056F7">
            <w:pPr>
              <w:pStyle w:val="Body-Financial"/>
              <w:spacing w:before="20" w:after="0"/>
              <w:rPr>
                <w:sz w:val="18"/>
                <w:szCs w:val="18"/>
              </w:rPr>
            </w:pPr>
            <w:r>
              <w:rPr>
                <w:sz w:val="18"/>
                <w:szCs w:val="18"/>
              </w:rPr>
              <w:t>17BE(g)</w:t>
            </w:r>
          </w:p>
        </w:tc>
        <w:tc>
          <w:tcPr>
            <w:tcW w:w="1474" w:type="dxa"/>
            <w:tcBorders>
              <w:top w:val="single" w:sz="4" w:space="0" w:color="D6D6D6"/>
              <w:bottom w:val="single" w:sz="4" w:space="0" w:color="D6D6D6"/>
            </w:tcBorders>
            <w:shd w:val="clear" w:color="auto" w:fill="FFFFFF" w:themeFill="background2"/>
          </w:tcPr>
          <w:p w14:paraId="098AE2D4" w14:textId="0410C28F" w:rsidR="00E71F65" w:rsidRPr="00E71F65" w:rsidRDefault="004700DA" w:rsidP="00D056F7">
            <w:pPr>
              <w:pStyle w:val="Body-Financial"/>
              <w:spacing w:before="20" w:after="0"/>
              <w:rPr>
                <w:sz w:val="18"/>
                <w:szCs w:val="18"/>
              </w:rPr>
            </w:pPr>
            <w:r>
              <w:rPr>
                <w:sz w:val="18"/>
                <w:szCs w:val="18"/>
              </w:rPr>
              <w:t>Annual performance statements</w:t>
            </w:r>
          </w:p>
        </w:tc>
        <w:tc>
          <w:tcPr>
            <w:tcW w:w="737" w:type="dxa"/>
            <w:tcBorders>
              <w:top w:val="single" w:sz="4" w:space="0" w:color="D6D6D6"/>
              <w:bottom w:val="single" w:sz="4" w:space="0" w:color="D6D6D6"/>
            </w:tcBorders>
            <w:shd w:val="clear" w:color="auto" w:fill="FFFFFF" w:themeFill="background2"/>
          </w:tcPr>
          <w:p w14:paraId="302C9FD4" w14:textId="6124405A" w:rsidR="00E71F65" w:rsidRPr="00E71F65" w:rsidRDefault="00000000" w:rsidP="00D056F7">
            <w:pPr>
              <w:pStyle w:val="Body-Financial"/>
              <w:spacing w:before="20" w:after="0"/>
              <w:rPr>
                <w:sz w:val="18"/>
                <w:szCs w:val="18"/>
              </w:rPr>
            </w:pPr>
            <w:hyperlink w:anchor="_4.1_Introductory_statement" w:history="1">
              <w:r w:rsidR="00EA1FAB" w:rsidRPr="00076C37">
                <w:rPr>
                  <w:rStyle w:val="Hyperlink"/>
                  <w:sz w:val="18"/>
                  <w:szCs w:val="18"/>
                </w:rPr>
                <w:t>3</w:t>
              </w:r>
              <w:r w:rsidR="00B11E9D" w:rsidRPr="00076C37">
                <w:rPr>
                  <w:rStyle w:val="Hyperlink"/>
                  <w:sz w:val="18"/>
                  <w:szCs w:val="18"/>
                </w:rPr>
                <w:t>4</w:t>
              </w:r>
              <w:r w:rsidR="00EA1FAB" w:rsidRPr="00076C37">
                <w:rPr>
                  <w:rStyle w:val="Hyperlink"/>
                  <w:sz w:val="18"/>
                  <w:szCs w:val="18"/>
                </w:rPr>
                <w:t>-</w:t>
              </w:r>
              <w:r w:rsidR="00B11E9D" w:rsidRPr="00076C37">
                <w:rPr>
                  <w:rStyle w:val="Hyperlink"/>
                  <w:sz w:val="18"/>
                  <w:szCs w:val="18"/>
                </w:rPr>
                <w:t>59</w:t>
              </w:r>
            </w:hyperlink>
          </w:p>
        </w:tc>
        <w:tc>
          <w:tcPr>
            <w:tcW w:w="3231" w:type="dxa"/>
            <w:tcBorders>
              <w:top w:val="single" w:sz="4" w:space="0" w:color="D6D6D6"/>
              <w:bottom w:val="single" w:sz="4" w:space="0" w:color="D6D6D6"/>
            </w:tcBorders>
            <w:shd w:val="clear" w:color="auto" w:fill="FFFFFF" w:themeFill="background2"/>
          </w:tcPr>
          <w:p w14:paraId="3AFC666D" w14:textId="0D9B3968" w:rsidR="00E71F65" w:rsidRPr="00E71F65" w:rsidRDefault="00EA1FAB" w:rsidP="00D056F7">
            <w:pPr>
              <w:pStyle w:val="Body-Financial"/>
              <w:spacing w:before="20" w:after="0"/>
              <w:rPr>
                <w:sz w:val="18"/>
                <w:szCs w:val="18"/>
              </w:rPr>
            </w:pPr>
            <w:r w:rsidRPr="00EA1FAB">
              <w:rPr>
                <w:sz w:val="18"/>
                <w:szCs w:val="18"/>
                <w:lang w:val="en-PH"/>
              </w:rPr>
              <w:t>Annual performance statements in accordance with paragraph 39(1)(b) of the Act and section 16F of the rule</w:t>
            </w:r>
            <w:r w:rsidR="00A61B52">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7FF23857" w14:textId="05AE28CB" w:rsidR="00E71F65" w:rsidRPr="00E71F65" w:rsidRDefault="00EA1FAB" w:rsidP="00D056F7">
            <w:pPr>
              <w:pStyle w:val="Body-Financial"/>
              <w:spacing w:before="20" w:after="0"/>
              <w:rPr>
                <w:sz w:val="18"/>
                <w:szCs w:val="18"/>
              </w:rPr>
            </w:pPr>
            <w:r>
              <w:rPr>
                <w:sz w:val="18"/>
                <w:szCs w:val="18"/>
              </w:rPr>
              <w:t>Mandatory</w:t>
            </w:r>
          </w:p>
        </w:tc>
      </w:tr>
    </w:tbl>
    <w:p w14:paraId="6ABA6651" w14:textId="77777777" w:rsidR="001573AB" w:rsidRDefault="001573AB" w:rsidP="00E71F65">
      <w:pPr>
        <w:pStyle w:val="Body"/>
      </w:pPr>
    </w:p>
    <w:p w14:paraId="31D8EC75" w14:textId="77777777" w:rsidR="005410FE" w:rsidRDefault="005410FE" w:rsidP="003601F1">
      <w:pPr>
        <w:pStyle w:val="TOCBody"/>
        <w:sectPr w:rsidR="005410FE" w:rsidSect="005410FE">
          <w:footerReference w:type="default" r:id="rId217"/>
          <w:footnotePr>
            <w:pos w:val="beneathText"/>
          </w:footnotePr>
          <w:pgSz w:w="9979" w:h="14175" w:code="13"/>
          <w:pgMar w:top="1134" w:right="1134" w:bottom="1134" w:left="1134" w:header="709" w:footer="709" w:gutter="0"/>
          <w:cols w:space="623"/>
          <w:docGrid w:linePitch="360"/>
        </w:sectPr>
      </w:pPr>
    </w:p>
    <w:tbl>
      <w:tblPr>
        <w:tblStyle w:val="TableGrid"/>
        <w:tblW w:w="0" w:type="auto"/>
        <w:tblLook w:val="04A0" w:firstRow="1" w:lastRow="0" w:firstColumn="1" w:lastColumn="0" w:noHBand="0" w:noVBand="1"/>
      </w:tblPr>
      <w:tblGrid>
        <w:gridCol w:w="1077"/>
        <w:gridCol w:w="1474"/>
        <w:gridCol w:w="737"/>
        <w:gridCol w:w="3231"/>
        <w:gridCol w:w="1191"/>
      </w:tblGrid>
      <w:tr w:rsidR="00D056F7" w:rsidRPr="00E71F65" w14:paraId="5A5C85BD"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shd w:val="clear" w:color="auto" w:fill="424242"/>
          </w:tcPr>
          <w:p w14:paraId="558CBF17" w14:textId="77777777" w:rsidR="00D056F7" w:rsidRPr="00E71F65" w:rsidRDefault="00D056F7" w:rsidP="00B15944">
            <w:pPr>
              <w:pStyle w:val="Body-Financial"/>
              <w:spacing w:before="60" w:after="58"/>
              <w:rPr>
                <w:b/>
                <w:bCs/>
                <w:color w:val="FFFFFF" w:themeColor="background2"/>
                <w:sz w:val="18"/>
                <w:szCs w:val="18"/>
              </w:rPr>
            </w:pPr>
            <w:r>
              <w:rPr>
                <w:b/>
                <w:bCs/>
                <w:color w:val="FFFFFF" w:themeColor="background2"/>
                <w:sz w:val="18"/>
                <w:szCs w:val="18"/>
              </w:rPr>
              <w:t>PGPA Rule Reference</w:t>
            </w:r>
          </w:p>
        </w:tc>
        <w:tc>
          <w:tcPr>
            <w:tcW w:w="1474" w:type="dxa"/>
            <w:shd w:val="clear" w:color="auto" w:fill="424242"/>
          </w:tcPr>
          <w:p w14:paraId="138BBA70" w14:textId="77777777" w:rsidR="00D056F7" w:rsidRPr="00E71F65" w:rsidRDefault="00D056F7" w:rsidP="00B15944">
            <w:pPr>
              <w:pStyle w:val="Body-Financial"/>
              <w:spacing w:before="60" w:after="58"/>
              <w:rPr>
                <w:b/>
                <w:bCs/>
                <w:color w:val="FFFFFF" w:themeColor="background2"/>
                <w:sz w:val="18"/>
                <w:szCs w:val="18"/>
              </w:rPr>
            </w:pPr>
            <w:r>
              <w:rPr>
                <w:b/>
                <w:bCs/>
                <w:color w:val="FFFFFF" w:themeColor="background2"/>
                <w:sz w:val="18"/>
                <w:szCs w:val="18"/>
              </w:rPr>
              <w:t>Part of Report</w:t>
            </w:r>
          </w:p>
        </w:tc>
        <w:tc>
          <w:tcPr>
            <w:tcW w:w="737" w:type="dxa"/>
            <w:shd w:val="clear" w:color="auto" w:fill="424242"/>
          </w:tcPr>
          <w:p w14:paraId="727C0F6F" w14:textId="77777777" w:rsidR="00D056F7" w:rsidRPr="00E71F65" w:rsidRDefault="00D056F7" w:rsidP="00B15944">
            <w:pPr>
              <w:pStyle w:val="Body-Financial"/>
              <w:spacing w:before="60" w:after="58"/>
              <w:rPr>
                <w:b/>
                <w:bCs/>
                <w:color w:val="FFFFFF" w:themeColor="background2"/>
                <w:sz w:val="18"/>
                <w:szCs w:val="18"/>
              </w:rPr>
            </w:pPr>
            <w:r>
              <w:rPr>
                <w:b/>
                <w:bCs/>
                <w:color w:val="FFFFFF" w:themeColor="background2"/>
                <w:sz w:val="18"/>
                <w:szCs w:val="18"/>
              </w:rPr>
              <w:t>Page</w:t>
            </w:r>
          </w:p>
        </w:tc>
        <w:tc>
          <w:tcPr>
            <w:tcW w:w="3231" w:type="dxa"/>
            <w:shd w:val="clear" w:color="auto" w:fill="424242"/>
          </w:tcPr>
          <w:p w14:paraId="1C6910BC" w14:textId="77777777" w:rsidR="00D056F7" w:rsidRPr="00E71F65" w:rsidRDefault="00D056F7" w:rsidP="00B15944">
            <w:pPr>
              <w:pStyle w:val="Body-Financial"/>
              <w:spacing w:before="60" w:after="58"/>
              <w:rPr>
                <w:b/>
                <w:bCs/>
                <w:color w:val="FFFFFF" w:themeColor="background2"/>
                <w:sz w:val="18"/>
                <w:szCs w:val="18"/>
              </w:rPr>
            </w:pPr>
            <w:r>
              <w:rPr>
                <w:b/>
                <w:bCs/>
                <w:color w:val="FFFFFF" w:themeColor="background2"/>
                <w:sz w:val="18"/>
                <w:szCs w:val="18"/>
              </w:rPr>
              <w:t>Description</w:t>
            </w:r>
          </w:p>
        </w:tc>
        <w:tc>
          <w:tcPr>
            <w:tcW w:w="1191" w:type="dxa"/>
            <w:shd w:val="clear" w:color="auto" w:fill="424242"/>
          </w:tcPr>
          <w:p w14:paraId="05B3B612" w14:textId="77777777" w:rsidR="00D056F7" w:rsidRPr="00E71F65" w:rsidRDefault="00D056F7" w:rsidP="00B15944">
            <w:pPr>
              <w:pStyle w:val="Body-Financial"/>
              <w:spacing w:before="60" w:after="58"/>
              <w:rPr>
                <w:b/>
                <w:bCs/>
                <w:color w:val="FFFFFF" w:themeColor="background2"/>
                <w:sz w:val="18"/>
                <w:szCs w:val="18"/>
              </w:rPr>
            </w:pPr>
            <w:r>
              <w:rPr>
                <w:b/>
                <w:bCs/>
                <w:color w:val="FFFFFF" w:themeColor="background2"/>
                <w:sz w:val="18"/>
                <w:szCs w:val="18"/>
              </w:rPr>
              <w:t>Requirement</w:t>
            </w:r>
          </w:p>
        </w:tc>
      </w:tr>
      <w:tr w:rsidR="00D056F7" w:rsidRPr="00E71F65" w14:paraId="71011682"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bottom w:val="single" w:sz="4" w:space="0" w:color="D6D6D6"/>
            </w:tcBorders>
            <w:shd w:val="clear" w:color="auto" w:fill="FFFFFF" w:themeFill="background2"/>
          </w:tcPr>
          <w:p w14:paraId="34ACC6F7" w14:textId="316A3D79" w:rsidR="00D056F7" w:rsidRPr="00E71F65" w:rsidRDefault="00D056F7" w:rsidP="00B15944">
            <w:pPr>
              <w:pStyle w:val="Body-Financial"/>
              <w:spacing w:before="20" w:after="0"/>
              <w:rPr>
                <w:sz w:val="18"/>
                <w:szCs w:val="18"/>
              </w:rPr>
            </w:pPr>
            <w:r>
              <w:rPr>
                <w:sz w:val="18"/>
                <w:szCs w:val="18"/>
              </w:rPr>
              <w:t>17BE(h), 17BE(i)</w:t>
            </w:r>
          </w:p>
        </w:tc>
        <w:tc>
          <w:tcPr>
            <w:tcW w:w="1474" w:type="dxa"/>
            <w:tcBorders>
              <w:bottom w:val="single" w:sz="4" w:space="0" w:color="D6D6D6"/>
            </w:tcBorders>
            <w:shd w:val="clear" w:color="auto" w:fill="FFFFFF" w:themeFill="background2"/>
          </w:tcPr>
          <w:p w14:paraId="6359D05D" w14:textId="6F947185" w:rsidR="00D056F7" w:rsidRPr="00E71F65" w:rsidRDefault="00D056F7" w:rsidP="00B15944">
            <w:pPr>
              <w:pStyle w:val="Body-Financial"/>
              <w:spacing w:before="20" w:after="0"/>
              <w:rPr>
                <w:sz w:val="18"/>
                <w:szCs w:val="18"/>
              </w:rPr>
            </w:pPr>
            <w:r>
              <w:rPr>
                <w:sz w:val="18"/>
                <w:szCs w:val="18"/>
              </w:rPr>
              <w:t>N/A</w:t>
            </w:r>
          </w:p>
        </w:tc>
        <w:tc>
          <w:tcPr>
            <w:tcW w:w="737" w:type="dxa"/>
            <w:tcBorders>
              <w:bottom w:val="single" w:sz="4" w:space="0" w:color="D6D6D6"/>
            </w:tcBorders>
            <w:shd w:val="clear" w:color="auto" w:fill="FFFFFF" w:themeFill="background2"/>
          </w:tcPr>
          <w:p w14:paraId="079B6970" w14:textId="2CD3F048" w:rsidR="00D056F7" w:rsidRPr="00E71F65" w:rsidRDefault="00D056F7" w:rsidP="00B15944">
            <w:pPr>
              <w:pStyle w:val="Body-Financial"/>
              <w:spacing w:before="20" w:after="0"/>
              <w:rPr>
                <w:sz w:val="18"/>
                <w:szCs w:val="18"/>
              </w:rPr>
            </w:pPr>
          </w:p>
        </w:tc>
        <w:tc>
          <w:tcPr>
            <w:tcW w:w="3231" w:type="dxa"/>
            <w:tcBorders>
              <w:bottom w:val="single" w:sz="4" w:space="0" w:color="D6D6D6"/>
            </w:tcBorders>
            <w:shd w:val="clear" w:color="auto" w:fill="FFFFFF" w:themeFill="background2"/>
          </w:tcPr>
          <w:p w14:paraId="7028A582" w14:textId="04492593" w:rsidR="00D056F7" w:rsidRPr="00E71F65" w:rsidRDefault="00D056F7" w:rsidP="00B15944">
            <w:pPr>
              <w:pStyle w:val="Body-Financial"/>
              <w:spacing w:before="20" w:after="0"/>
              <w:rPr>
                <w:sz w:val="18"/>
                <w:szCs w:val="18"/>
              </w:rPr>
            </w:pPr>
            <w:r w:rsidRPr="00D056F7">
              <w:rPr>
                <w:sz w:val="18"/>
                <w:szCs w:val="18"/>
                <w:lang w:val="en-PH"/>
              </w:rPr>
              <w:t xml:space="preserve">A statement of significant issues reported to the </w:t>
            </w:r>
            <w:r w:rsidR="00DD5A23">
              <w:rPr>
                <w:sz w:val="18"/>
                <w:szCs w:val="18"/>
                <w:lang w:val="en-PH"/>
              </w:rPr>
              <w:t>m</w:t>
            </w:r>
            <w:r w:rsidRPr="00D056F7">
              <w:rPr>
                <w:sz w:val="18"/>
                <w:szCs w:val="18"/>
                <w:lang w:val="en-PH"/>
              </w:rPr>
              <w:t>inister under paragraph 19(1)(e) of the Act that relates to non‑compliance with finance law and action taken to remedy non‑compliance</w:t>
            </w:r>
            <w:r w:rsidR="00DD5A23">
              <w:rPr>
                <w:sz w:val="18"/>
                <w:szCs w:val="18"/>
                <w:lang w:val="en-PH"/>
              </w:rPr>
              <w:t>.</w:t>
            </w:r>
          </w:p>
        </w:tc>
        <w:tc>
          <w:tcPr>
            <w:tcW w:w="1191" w:type="dxa"/>
            <w:tcBorders>
              <w:bottom w:val="single" w:sz="4" w:space="0" w:color="D6D6D6"/>
            </w:tcBorders>
            <w:shd w:val="clear" w:color="auto" w:fill="FFFFFF" w:themeFill="background2"/>
          </w:tcPr>
          <w:p w14:paraId="6262526D" w14:textId="45F2AC4A" w:rsidR="00D056F7" w:rsidRPr="00E71F65" w:rsidRDefault="003C41BD" w:rsidP="00B15944">
            <w:pPr>
              <w:pStyle w:val="Body-Financial"/>
              <w:spacing w:before="20" w:after="0"/>
              <w:rPr>
                <w:sz w:val="18"/>
                <w:szCs w:val="18"/>
              </w:rPr>
            </w:pPr>
            <w:r>
              <w:rPr>
                <w:sz w:val="18"/>
                <w:szCs w:val="18"/>
              </w:rPr>
              <w:t>If applicable, mandatory</w:t>
            </w:r>
          </w:p>
        </w:tc>
      </w:tr>
      <w:tr w:rsidR="00D056F7" w:rsidRPr="00E71F65" w14:paraId="6F7B4ED9"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51C95D2E" w14:textId="22BA2238" w:rsidR="00D056F7" w:rsidRPr="00E71F65" w:rsidRDefault="00D056F7" w:rsidP="00B15944">
            <w:pPr>
              <w:pStyle w:val="Body-Financial"/>
              <w:spacing w:before="20" w:after="0"/>
              <w:rPr>
                <w:sz w:val="18"/>
                <w:szCs w:val="18"/>
              </w:rPr>
            </w:pPr>
            <w:r>
              <w:rPr>
                <w:sz w:val="18"/>
                <w:szCs w:val="18"/>
              </w:rPr>
              <w:t>17BE(</w:t>
            </w:r>
            <w:r w:rsidR="00B11E9D">
              <w:rPr>
                <w:sz w:val="18"/>
                <w:szCs w:val="18"/>
              </w:rPr>
              <w:t>j</w:t>
            </w:r>
            <w:r>
              <w:rPr>
                <w:sz w:val="18"/>
                <w:szCs w:val="18"/>
              </w:rPr>
              <w:t>)</w:t>
            </w:r>
          </w:p>
        </w:tc>
        <w:tc>
          <w:tcPr>
            <w:tcW w:w="1474" w:type="dxa"/>
            <w:tcBorders>
              <w:top w:val="single" w:sz="4" w:space="0" w:color="D6D6D6"/>
              <w:bottom w:val="single" w:sz="4" w:space="0" w:color="D6D6D6"/>
            </w:tcBorders>
            <w:shd w:val="clear" w:color="auto" w:fill="FFFFFF" w:themeFill="background2"/>
          </w:tcPr>
          <w:p w14:paraId="3508938A" w14:textId="429D73E4" w:rsidR="00D056F7" w:rsidRPr="00E71F65" w:rsidRDefault="00D056F7" w:rsidP="00B15944">
            <w:pPr>
              <w:pStyle w:val="Body-Financial"/>
              <w:spacing w:before="20" w:after="0"/>
              <w:rPr>
                <w:sz w:val="18"/>
                <w:szCs w:val="18"/>
              </w:rPr>
            </w:pPr>
            <w:r>
              <w:rPr>
                <w:sz w:val="18"/>
                <w:szCs w:val="18"/>
              </w:rPr>
              <w:t>The accountable authority</w:t>
            </w:r>
          </w:p>
        </w:tc>
        <w:tc>
          <w:tcPr>
            <w:tcW w:w="737" w:type="dxa"/>
            <w:tcBorders>
              <w:top w:val="single" w:sz="4" w:space="0" w:color="D6D6D6"/>
              <w:bottom w:val="single" w:sz="4" w:space="0" w:color="D6D6D6"/>
            </w:tcBorders>
            <w:shd w:val="clear" w:color="auto" w:fill="FFFFFF" w:themeFill="background2"/>
          </w:tcPr>
          <w:p w14:paraId="2510E934" w14:textId="187B6205" w:rsidR="00D056F7" w:rsidRPr="00E71F65" w:rsidRDefault="00000000" w:rsidP="00B15944">
            <w:pPr>
              <w:pStyle w:val="Body-Financial"/>
              <w:spacing w:before="20" w:after="0"/>
              <w:rPr>
                <w:sz w:val="18"/>
                <w:szCs w:val="18"/>
              </w:rPr>
            </w:pPr>
            <w:hyperlink w:anchor="AccountableAuthority" w:history="1">
              <w:r w:rsidR="00B11E9D" w:rsidRPr="00421E01">
                <w:rPr>
                  <w:rStyle w:val="Hyperlink"/>
                  <w:sz w:val="18"/>
                  <w:szCs w:val="18"/>
                </w:rPr>
                <w:t>68</w:t>
              </w:r>
            </w:hyperlink>
          </w:p>
        </w:tc>
        <w:tc>
          <w:tcPr>
            <w:tcW w:w="3231" w:type="dxa"/>
            <w:tcBorders>
              <w:top w:val="single" w:sz="4" w:space="0" w:color="D6D6D6"/>
              <w:bottom w:val="single" w:sz="4" w:space="0" w:color="D6D6D6"/>
            </w:tcBorders>
            <w:shd w:val="clear" w:color="auto" w:fill="FFFFFF" w:themeFill="background2"/>
          </w:tcPr>
          <w:p w14:paraId="14CF4217" w14:textId="64546748" w:rsidR="00D056F7" w:rsidRPr="00E71F65" w:rsidRDefault="00D056F7" w:rsidP="00B15944">
            <w:pPr>
              <w:pStyle w:val="Body-Financial"/>
              <w:spacing w:before="20" w:after="0"/>
              <w:rPr>
                <w:sz w:val="18"/>
                <w:szCs w:val="18"/>
              </w:rPr>
            </w:pPr>
            <w:r w:rsidRPr="00D056F7">
              <w:rPr>
                <w:sz w:val="18"/>
                <w:szCs w:val="18"/>
                <w:lang w:val="en-PH"/>
              </w:rPr>
              <w:t>Information on the accountable authority, or each member of the accountable authority, of the entity during the reporting</w:t>
            </w:r>
            <w:r w:rsidR="003C41BD">
              <w:rPr>
                <w:sz w:val="18"/>
                <w:szCs w:val="18"/>
                <w:lang w:val="en-PH"/>
              </w:rPr>
              <w:t> </w:t>
            </w:r>
            <w:r w:rsidRPr="00D056F7">
              <w:rPr>
                <w:sz w:val="18"/>
                <w:szCs w:val="18"/>
                <w:lang w:val="en-PH"/>
              </w:rPr>
              <w:t>period</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6E2729CB" w14:textId="77777777" w:rsidR="00D056F7" w:rsidRPr="00E71F65" w:rsidRDefault="00D056F7" w:rsidP="00B15944">
            <w:pPr>
              <w:pStyle w:val="Body-Financial"/>
              <w:spacing w:before="20" w:after="0"/>
              <w:rPr>
                <w:sz w:val="18"/>
                <w:szCs w:val="18"/>
              </w:rPr>
            </w:pPr>
            <w:r>
              <w:rPr>
                <w:sz w:val="18"/>
                <w:szCs w:val="18"/>
              </w:rPr>
              <w:t>Mandatory</w:t>
            </w:r>
          </w:p>
        </w:tc>
      </w:tr>
      <w:tr w:rsidR="00D056F7" w:rsidRPr="00E71F65" w14:paraId="283149B6"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688CCFA5" w14:textId="5517CD52" w:rsidR="00D056F7" w:rsidRPr="00E71F65" w:rsidRDefault="00D056F7" w:rsidP="00B15944">
            <w:pPr>
              <w:pStyle w:val="Body-Financial"/>
              <w:spacing w:before="20" w:after="0"/>
              <w:rPr>
                <w:sz w:val="18"/>
                <w:szCs w:val="18"/>
              </w:rPr>
            </w:pPr>
            <w:r>
              <w:rPr>
                <w:sz w:val="18"/>
                <w:szCs w:val="18"/>
              </w:rPr>
              <w:t>17BE(k)</w:t>
            </w:r>
          </w:p>
        </w:tc>
        <w:tc>
          <w:tcPr>
            <w:tcW w:w="1474" w:type="dxa"/>
            <w:tcBorders>
              <w:top w:val="single" w:sz="4" w:space="0" w:color="D6D6D6"/>
              <w:bottom w:val="single" w:sz="4" w:space="0" w:color="D6D6D6"/>
            </w:tcBorders>
            <w:shd w:val="clear" w:color="auto" w:fill="FFFFFF" w:themeFill="background2"/>
          </w:tcPr>
          <w:p w14:paraId="7D06CDAC" w14:textId="0DE4B178" w:rsidR="00D056F7" w:rsidRPr="00E71F65" w:rsidRDefault="00D056F7" w:rsidP="00B15944">
            <w:pPr>
              <w:pStyle w:val="Body-Financial"/>
              <w:spacing w:before="20" w:after="0"/>
              <w:rPr>
                <w:sz w:val="18"/>
                <w:szCs w:val="18"/>
              </w:rPr>
            </w:pPr>
            <w:r>
              <w:rPr>
                <w:sz w:val="18"/>
                <w:szCs w:val="18"/>
              </w:rPr>
              <w:t>Organisational structure</w:t>
            </w:r>
          </w:p>
        </w:tc>
        <w:tc>
          <w:tcPr>
            <w:tcW w:w="737" w:type="dxa"/>
            <w:tcBorders>
              <w:top w:val="single" w:sz="4" w:space="0" w:color="D6D6D6"/>
              <w:bottom w:val="single" w:sz="4" w:space="0" w:color="D6D6D6"/>
            </w:tcBorders>
            <w:shd w:val="clear" w:color="auto" w:fill="FFFFFF" w:themeFill="background2"/>
          </w:tcPr>
          <w:p w14:paraId="090D2C6F" w14:textId="0F15C463" w:rsidR="00D056F7" w:rsidRPr="00E71F65" w:rsidRDefault="00000000" w:rsidP="00B15944">
            <w:pPr>
              <w:pStyle w:val="Body-Financial"/>
              <w:spacing w:before="20" w:after="0"/>
              <w:rPr>
                <w:sz w:val="18"/>
                <w:szCs w:val="18"/>
              </w:rPr>
            </w:pPr>
            <w:hyperlink w:anchor="OrganisationalStructure" w:history="1">
              <w:r w:rsidR="00D056F7" w:rsidRPr="00421E01">
                <w:rPr>
                  <w:rStyle w:val="Hyperlink"/>
                  <w:sz w:val="18"/>
                  <w:szCs w:val="18"/>
                </w:rPr>
                <w:t>1</w:t>
              </w:r>
              <w:r w:rsidR="00B11E9D" w:rsidRPr="00421E01">
                <w:rPr>
                  <w:rStyle w:val="Hyperlink"/>
                  <w:sz w:val="18"/>
                  <w:szCs w:val="18"/>
                </w:rPr>
                <w:t>9</w:t>
              </w:r>
            </w:hyperlink>
          </w:p>
        </w:tc>
        <w:tc>
          <w:tcPr>
            <w:tcW w:w="3231" w:type="dxa"/>
            <w:tcBorders>
              <w:top w:val="single" w:sz="4" w:space="0" w:color="D6D6D6"/>
              <w:bottom w:val="single" w:sz="4" w:space="0" w:color="D6D6D6"/>
            </w:tcBorders>
            <w:shd w:val="clear" w:color="auto" w:fill="FFFFFF" w:themeFill="background2"/>
          </w:tcPr>
          <w:p w14:paraId="596E55FF" w14:textId="3BBB1607" w:rsidR="00D056F7" w:rsidRPr="00E71F65" w:rsidRDefault="00D056F7" w:rsidP="00B15944">
            <w:pPr>
              <w:pStyle w:val="Body-Financial"/>
              <w:spacing w:before="20" w:after="0"/>
              <w:rPr>
                <w:sz w:val="18"/>
                <w:szCs w:val="18"/>
              </w:rPr>
            </w:pPr>
            <w:r w:rsidRPr="00D056F7">
              <w:rPr>
                <w:sz w:val="18"/>
                <w:szCs w:val="18"/>
                <w:lang w:val="en-PH"/>
              </w:rPr>
              <w:t>Outline of the organisational structure of the entity (including any subsidiaries of the</w:t>
            </w:r>
            <w:r w:rsidR="003C41BD">
              <w:rPr>
                <w:sz w:val="18"/>
                <w:szCs w:val="18"/>
                <w:lang w:val="en-PH"/>
              </w:rPr>
              <w:t> </w:t>
            </w:r>
            <w:r w:rsidRPr="00D056F7">
              <w:rPr>
                <w:sz w:val="18"/>
                <w:szCs w:val="18"/>
                <w:lang w:val="en-PH"/>
              </w:rPr>
              <w:t>entity)</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78E5EFE6" w14:textId="77777777" w:rsidR="00D056F7" w:rsidRPr="00E71F65" w:rsidRDefault="00D056F7" w:rsidP="00B15944">
            <w:pPr>
              <w:pStyle w:val="Body-Financial"/>
              <w:spacing w:before="20" w:after="0"/>
              <w:rPr>
                <w:sz w:val="18"/>
                <w:szCs w:val="18"/>
              </w:rPr>
            </w:pPr>
            <w:r>
              <w:rPr>
                <w:sz w:val="18"/>
                <w:szCs w:val="18"/>
              </w:rPr>
              <w:t>Mandatory</w:t>
            </w:r>
          </w:p>
        </w:tc>
      </w:tr>
      <w:tr w:rsidR="00D056F7" w:rsidRPr="00E71F65" w14:paraId="216EB5F0"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05E5880A" w14:textId="5C49C981" w:rsidR="00D056F7" w:rsidRPr="00E71F65" w:rsidRDefault="00D056F7" w:rsidP="00B15944">
            <w:pPr>
              <w:pStyle w:val="Body-Financial"/>
              <w:spacing w:before="20" w:after="0"/>
              <w:rPr>
                <w:sz w:val="18"/>
                <w:szCs w:val="18"/>
              </w:rPr>
            </w:pPr>
            <w:r>
              <w:rPr>
                <w:sz w:val="18"/>
                <w:szCs w:val="18"/>
              </w:rPr>
              <w:t>17BE(ka)</w:t>
            </w:r>
          </w:p>
        </w:tc>
        <w:tc>
          <w:tcPr>
            <w:tcW w:w="1474" w:type="dxa"/>
            <w:tcBorders>
              <w:top w:val="single" w:sz="4" w:space="0" w:color="D6D6D6"/>
              <w:bottom w:val="single" w:sz="4" w:space="0" w:color="D6D6D6"/>
            </w:tcBorders>
            <w:shd w:val="clear" w:color="auto" w:fill="FFFFFF" w:themeFill="background2"/>
          </w:tcPr>
          <w:p w14:paraId="51A08E98" w14:textId="2F7C54D3" w:rsidR="00D056F7" w:rsidRPr="00E71F65" w:rsidRDefault="00D056F7" w:rsidP="00B15944">
            <w:pPr>
              <w:pStyle w:val="Body-Financial"/>
              <w:spacing w:before="20" w:after="0"/>
              <w:rPr>
                <w:sz w:val="18"/>
                <w:szCs w:val="18"/>
              </w:rPr>
            </w:pPr>
            <w:r>
              <w:rPr>
                <w:sz w:val="18"/>
                <w:szCs w:val="18"/>
              </w:rPr>
              <w:t>Ongoing and non-ongoing employees</w:t>
            </w:r>
          </w:p>
        </w:tc>
        <w:tc>
          <w:tcPr>
            <w:tcW w:w="737" w:type="dxa"/>
            <w:tcBorders>
              <w:top w:val="single" w:sz="4" w:space="0" w:color="D6D6D6"/>
              <w:bottom w:val="single" w:sz="4" w:space="0" w:color="D6D6D6"/>
            </w:tcBorders>
            <w:shd w:val="clear" w:color="auto" w:fill="FFFFFF" w:themeFill="background2"/>
          </w:tcPr>
          <w:p w14:paraId="178B4872" w14:textId="04C481BB" w:rsidR="00D056F7" w:rsidRPr="00E71F65" w:rsidRDefault="00000000" w:rsidP="00B15944">
            <w:pPr>
              <w:pStyle w:val="Body-Financial"/>
              <w:spacing w:before="20" w:after="0"/>
              <w:rPr>
                <w:sz w:val="18"/>
                <w:szCs w:val="18"/>
              </w:rPr>
            </w:pPr>
            <w:hyperlink w:anchor="OngoingNonOngoing" w:history="1">
              <w:r w:rsidR="00D056F7" w:rsidRPr="00421E01">
                <w:rPr>
                  <w:rStyle w:val="Hyperlink"/>
                  <w:sz w:val="18"/>
                  <w:szCs w:val="18"/>
                </w:rPr>
                <w:t>7</w:t>
              </w:r>
              <w:r w:rsidR="00B11E9D" w:rsidRPr="00421E01">
                <w:rPr>
                  <w:rStyle w:val="Hyperlink"/>
                  <w:sz w:val="18"/>
                  <w:szCs w:val="18"/>
                </w:rPr>
                <w:t>9</w:t>
              </w:r>
              <w:r w:rsidR="00D056F7" w:rsidRPr="00421E01">
                <w:rPr>
                  <w:rStyle w:val="Hyperlink"/>
                  <w:sz w:val="18"/>
                  <w:szCs w:val="18"/>
                </w:rPr>
                <w:t>-</w:t>
              </w:r>
              <w:r w:rsidR="00B11E9D" w:rsidRPr="00421E01">
                <w:rPr>
                  <w:rStyle w:val="Hyperlink"/>
                  <w:sz w:val="18"/>
                  <w:szCs w:val="18"/>
                </w:rPr>
                <w:t>8</w:t>
              </w:r>
              <w:r w:rsidR="00D056F7" w:rsidRPr="00421E01">
                <w:rPr>
                  <w:rStyle w:val="Hyperlink"/>
                  <w:sz w:val="18"/>
                  <w:szCs w:val="18"/>
                </w:rPr>
                <w:t>1</w:t>
              </w:r>
            </w:hyperlink>
          </w:p>
        </w:tc>
        <w:tc>
          <w:tcPr>
            <w:tcW w:w="3231" w:type="dxa"/>
            <w:tcBorders>
              <w:top w:val="single" w:sz="4" w:space="0" w:color="D6D6D6"/>
              <w:bottom w:val="single" w:sz="4" w:space="0" w:color="D6D6D6"/>
            </w:tcBorders>
            <w:shd w:val="clear" w:color="auto" w:fill="FFFFFF" w:themeFill="background2"/>
          </w:tcPr>
          <w:p w14:paraId="63A3BCF0" w14:textId="77777777" w:rsidR="00D056F7" w:rsidRPr="00D056F7" w:rsidRDefault="00D056F7" w:rsidP="00D056F7">
            <w:pPr>
              <w:pStyle w:val="Body-Financial"/>
              <w:spacing w:before="20" w:after="0"/>
              <w:rPr>
                <w:sz w:val="18"/>
                <w:szCs w:val="18"/>
                <w:lang w:val="en-PH"/>
              </w:rPr>
            </w:pPr>
            <w:r w:rsidRPr="00D056F7">
              <w:rPr>
                <w:sz w:val="18"/>
                <w:szCs w:val="18"/>
                <w:lang w:val="en-PH"/>
              </w:rPr>
              <w:t>Statistics on the entity’s employees on an ongoing and non‑ongoing basis, including the following:</w:t>
            </w:r>
          </w:p>
          <w:p w14:paraId="1B942CD7" w14:textId="77777777" w:rsidR="00D056F7" w:rsidRPr="00D056F7" w:rsidRDefault="00D056F7" w:rsidP="00D056F7">
            <w:pPr>
              <w:pStyle w:val="Body-Financial"/>
              <w:spacing w:before="20" w:after="0"/>
              <w:rPr>
                <w:sz w:val="18"/>
                <w:szCs w:val="18"/>
                <w:lang w:val="en-PH"/>
              </w:rPr>
            </w:pPr>
            <w:r w:rsidRPr="00D056F7">
              <w:rPr>
                <w:sz w:val="18"/>
                <w:szCs w:val="18"/>
                <w:lang w:val="en-PH"/>
              </w:rPr>
              <w:t>(a) statistics on full‑time employees</w:t>
            </w:r>
          </w:p>
          <w:p w14:paraId="1E88EBEE" w14:textId="77777777" w:rsidR="00D056F7" w:rsidRPr="00D056F7" w:rsidRDefault="00D056F7" w:rsidP="00D056F7">
            <w:pPr>
              <w:pStyle w:val="Body-Financial"/>
              <w:spacing w:before="20" w:after="0"/>
              <w:rPr>
                <w:sz w:val="18"/>
                <w:szCs w:val="18"/>
                <w:lang w:val="en-PH"/>
              </w:rPr>
            </w:pPr>
            <w:r w:rsidRPr="00D056F7">
              <w:rPr>
                <w:sz w:val="18"/>
                <w:szCs w:val="18"/>
                <w:lang w:val="en-PH"/>
              </w:rPr>
              <w:t>(b) statistics on part‑time employees</w:t>
            </w:r>
          </w:p>
          <w:p w14:paraId="05CFC94E" w14:textId="77777777" w:rsidR="00D056F7" w:rsidRPr="00D056F7" w:rsidRDefault="00D056F7" w:rsidP="00D056F7">
            <w:pPr>
              <w:pStyle w:val="Body-Financial"/>
              <w:spacing w:before="20" w:after="0"/>
              <w:rPr>
                <w:sz w:val="18"/>
                <w:szCs w:val="18"/>
                <w:lang w:val="en-PH"/>
              </w:rPr>
            </w:pPr>
            <w:r w:rsidRPr="00D056F7">
              <w:rPr>
                <w:sz w:val="18"/>
                <w:szCs w:val="18"/>
                <w:lang w:val="en-PH"/>
              </w:rPr>
              <w:t>(c) statistics on gender</w:t>
            </w:r>
          </w:p>
          <w:p w14:paraId="5566EE1E" w14:textId="52B602F5" w:rsidR="00D056F7" w:rsidRPr="00E71F65" w:rsidRDefault="00D056F7" w:rsidP="00D056F7">
            <w:pPr>
              <w:pStyle w:val="Body-Financial"/>
              <w:spacing w:before="20" w:after="0"/>
              <w:rPr>
                <w:sz w:val="18"/>
                <w:szCs w:val="18"/>
              </w:rPr>
            </w:pPr>
            <w:r w:rsidRPr="00D056F7">
              <w:rPr>
                <w:sz w:val="18"/>
                <w:szCs w:val="18"/>
                <w:lang w:val="en-PH"/>
              </w:rPr>
              <w:t>(d) statistics on staff location</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68C9D148" w14:textId="77777777" w:rsidR="00D056F7" w:rsidRPr="00E71F65" w:rsidRDefault="00D056F7" w:rsidP="00B15944">
            <w:pPr>
              <w:pStyle w:val="Body-Financial"/>
              <w:spacing w:before="20" w:after="0"/>
              <w:rPr>
                <w:sz w:val="18"/>
                <w:szCs w:val="18"/>
              </w:rPr>
            </w:pPr>
            <w:r>
              <w:rPr>
                <w:sz w:val="18"/>
                <w:szCs w:val="18"/>
              </w:rPr>
              <w:t>Mandatory</w:t>
            </w:r>
          </w:p>
        </w:tc>
      </w:tr>
      <w:tr w:rsidR="00D056F7" w:rsidRPr="00E71F65" w14:paraId="54DF6D4B"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2F46788D" w14:textId="26224DFC" w:rsidR="00D056F7" w:rsidRPr="00E71F65" w:rsidRDefault="00D056F7" w:rsidP="00B15944">
            <w:pPr>
              <w:pStyle w:val="Body-Financial"/>
              <w:spacing w:before="20" w:after="0"/>
              <w:rPr>
                <w:sz w:val="18"/>
                <w:szCs w:val="18"/>
              </w:rPr>
            </w:pPr>
            <w:r>
              <w:rPr>
                <w:sz w:val="18"/>
                <w:szCs w:val="18"/>
              </w:rPr>
              <w:t>17BE(l)</w:t>
            </w:r>
          </w:p>
        </w:tc>
        <w:tc>
          <w:tcPr>
            <w:tcW w:w="1474" w:type="dxa"/>
            <w:tcBorders>
              <w:top w:val="single" w:sz="4" w:space="0" w:color="D6D6D6"/>
              <w:bottom w:val="single" w:sz="4" w:space="0" w:color="D6D6D6"/>
            </w:tcBorders>
            <w:shd w:val="clear" w:color="auto" w:fill="FFFFFF" w:themeFill="background2"/>
          </w:tcPr>
          <w:p w14:paraId="3D8B9430" w14:textId="7F992C83" w:rsidR="00D056F7" w:rsidRPr="00E71F65" w:rsidRDefault="00D056F7" w:rsidP="00B15944">
            <w:pPr>
              <w:pStyle w:val="Body-Financial"/>
              <w:spacing w:before="20" w:after="0"/>
              <w:rPr>
                <w:sz w:val="18"/>
                <w:szCs w:val="18"/>
              </w:rPr>
            </w:pPr>
            <w:r>
              <w:rPr>
                <w:sz w:val="18"/>
                <w:szCs w:val="18"/>
              </w:rPr>
              <w:t>Organisational structure</w:t>
            </w:r>
          </w:p>
        </w:tc>
        <w:tc>
          <w:tcPr>
            <w:tcW w:w="737" w:type="dxa"/>
            <w:tcBorders>
              <w:top w:val="single" w:sz="4" w:space="0" w:color="D6D6D6"/>
              <w:bottom w:val="single" w:sz="4" w:space="0" w:color="D6D6D6"/>
            </w:tcBorders>
            <w:shd w:val="clear" w:color="auto" w:fill="FFFFFF" w:themeFill="background2"/>
          </w:tcPr>
          <w:p w14:paraId="2EC0BC8C" w14:textId="29080FA5" w:rsidR="00D056F7" w:rsidRPr="00E71F65" w:rsidRDefault="00000000" w:rsidP="00B15944">
            <w:pPr>
              <w:pStyle w:val="Body-Financial"/>
              <w:spacing w:before="20" w:after="0"/>
              <w:rPr>
                <w:sz w:val="18"/>
                <w:szCs w:val="18"/>
              </w:rPr>
            </w:pPr>
            <w:hyperlink w:anchor="_3.3_Who_we" w:history="1">
              <w:r w:rsidR="00D056F7" w:rsidRPr="00421E01">
                <w:rPr>
                  <w:rStyle w:val="Hyperlink"/>
                  <w:sz w:val="18"/>
                  <w:szCs w:val="18"/>
                </w:rPr>
                <w:t>1</w:t>
              </w:r>
              <w:r w:rsidR="00B11E9D" w:rsidRPr="00421E01">
                <w:rPr>
                  <w:rStyle w:val="Hyperlink"/>
                  <w:sz w:val="18"/>
                  <w:szCs w:val="18"/>
                </w:rPr>
                <w:t>8</w:t>
              </w:r>
            </w:hyperlink>
          </w:p>
        </w:tc>
        <w:tc>
          <w:tcPr>
            <w:tcW w:w="3231" w:type="dxa"/>
            <w:tcBorders>
              <w:top w:val="single" w:sz="4" w:space="0" w:color="D6D6D6"/>
              <w:bottom w:val="single" w:sz="4" w:space="0" w:color="D6D6D6"/>
            </w:tcBorders>
            <w:shd w:val="clear" w:color="auto" w:fill="FFFFFF" w:themeFill="background2"/>
          </w:tcPr>
          <w:p w14:paraId="330E08CC" w14:textId="59074F01" w:rsidR="00D056F7" w:rsidRPr="00E71F65" w:rsidRDefault="003C41BD" w:rsidP="00B15944">
            <w:pPr>
              <w:pStyle w:val="Body-Financial"/>
              <w:spacing w:before="20" w:after="0"/>
              <w:rPr>
                <w:sz w:val="18"/>
                <w:szCs w:val="18"/>
              </w:rPr>
            </w:pPr>
            <w:r w:rsidRPr="003C41BD">
              <w:rPr>
                <w:sz w:val="18"/>
                <w:szCs w:val="18"/>
                <w:lang w:val="en-PH"/>
              </w:rPr>
              <w:t>Outline of the location (whether or not in Australia) of major activities or facilities of the entity</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3C744DF4" w14:textId="337048FB" w:rsidR="00D056F7" w:rsidRPr="00E71F65" w:rsidRDefault="003C41BD" w:rsidP="00B15944">
            <w:pPr>
              <w:pStyle w:val="Body-Financial"/>
              <w:spacing w:before="20" w:after="0"/>
              <w:rPr>
                <w:sz w:val="18"/>
                <w:szCs w:val="18"/>
              </w:rPr>
            </w:pPr>
            <w:r>
              <w:rPr>
                <w:sz w:val="18"/>
                <w:szCs w:val="18"/>
              </w:rPr>
              <w:t>Mandatory</w:t>
            </w:r>
          </w:p>
        </w:tc>
      </w:tr>
      <w:tr w:rsidR="00D056F7" w:rsidRPr="00E71F65" w14:paraId="13464D41"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1A70C66B" w14:textId="30EE46B0" w:rsidR="00D056F7" w:rsidRPr="00E71F65" w:rsidRDefault="00D056F7" w:rsidP="00B15944">
            <w:pPr>
              <w:pStyle w:val="Body-Financial"/>
              <w:spacing w:before="20" w:after="0"/>
              <w:rPr>
                <w:sz w:val="18"/>
                <w:szCs w:val="18"/>
              </w:rPr>
            </w:pPr>
            <w:r>
              <w:rPr>
                <w:sz w:val="18"/>
                <w:szCs w:val="18"/>
              </w:rPr>
              <w:t>17BE(m)</w:t>
            </w:r>
          </w:p>
        </w:tc>
        <w:tc>
          <w:tcPr>
            <w:tcW w:w="1474" w:type="dxa"/>
            <w:tcBorders>
              <w:top w:val="single" w:sz="4" w:space="0" w:color="D6D6D6"/>
              <w:bottom w:val="single" w:sz="4" w:space="0" w:color="D6D6D6"/>
            </w:tcBorders>
            <w:shd w:val="clear" w:color="auto" w:fill="FFFFFF" w:themeFill="background2"/>
          </w:tcPr>
          <w:p w14:paraId="7378A71F" w14:textId="2A8EC259" w:rsidR="00D056F7" w:rsidRPr="00E71F65" w:rsidRDefault="00D056F7" w:rsidP="00B15944">
            <w:pPr>
              <w:pStyle w:val="Body-Financial"/>
              <w:spacing w:before="20" w:after="0"/>
              <w:rPr>
                <w:sz w:val="18"/>
                <w:szCs w:val="18"/>
              </w:rPr>
            </w:pPr>
            <w:r>
              <w:rPr>
                <w:sz w:val="18"/>
                <w:szCs w:val="18"/>
              </w:rPr>
              <w:t>Key corporate governance practices</w:t>
            </w:r>
          </w:p>
        </w:tc>
        <w:tc>
          <w:tcPr>
            <w:tcW w:w="737" w:type="dxa"/>
            <w:tcBorders>
              <w:top w:val="single" w:sz="4" w:space="0" w:color="D6D6D6"/>
              <w:bottom w:val="single" w:sz="4" w:space="0" w:color="D6D6D6"/>
            </w:tcBorders>
            <w:shd w:val="clear" w:color="auto" w:fill="FFFFFF" w:themeFill="background2"/>
          </w:tcPr>
          <w:p w14:paraId="76B04F90" w14:textId="3B8DACEC" w:rsidR="00D056F7" w:rsidRPr="00E71F65" w:rsidRDefault="00000000" w:rsidP="00B15944">
            <w:pPr>
              <w:pStyle w:val="Body-Financial"/>
              <w:spacing w:before="20" w:after="0"/>
              <w:rPr>
                <w:sz w:val="18"/>
                <w:szCs w:val="18"/>
              </w:rPr>
            </w:pPr>
            <w:hyperlink w:anchor="_5.5_Key_corporate" w:history="1">
              <w:r w:rsidR="00B11E9D" w:rsidRPr="00421E01">
                <w:rPr>
                  <w:rStyle w:val="Hyperlink"/>
                  <w:sz w:val="18"/>
                  <w:szCs w:val="18"/>
                </w:rPr>
                <w:t>76</w:t>
              </w:r>
              <w:r w:rsidR="00B11E9D" w:rsidRPr="00421E01">
                <w:rPr>
                  <w:rStyle w:val="Hyperlink"/>
                  <w:sz w:val="18"/>
                  <w:szCs w:val="18"/>
                </w:rPr>
                <w:softHyphen/>
                <w:t>-77</w:t>
              </w:r>
            </w:hyperlink>
          </w:p>
        </w:tc>
        <w:tc>
          <w:tcPr>
            <w:tcW w:w="3231" w:type="dxa"/>
            <w:tcBorders>
              <w:top w:val="single" w:sz="4" w:space="0" w:color="D6D6D6"/>
              <w:bottom w:val="single" w:sz="4" w:space="0" w:color="D6D6D6"/>
            </w:tcBorders>
            <w:shd w:val="clear" w:color="auto" w:fill="FFFFFF" w:themeFill="background2"/>
          </w:tcPr>
          <w:p w14:paraId="64E93887" w14:textId="653895B2" w:rsidR="00D056F7" w:rsidRPr="00E71F65" w:rsidRDefault="003C41BD" w:rsidP="00B15944">
            <w:pPr>
              <w:pStyle w:val="Body-Financial"/>
              <w:spacing w:before="20" w:after="0"/>
              <w:rPr>
                <w:sz w:val="18"/>
                <w:szCs w:val="18"/>
              </w:rPr>
            </w:pPr>
            <w:r w:rsidRPr="003C41BD">
              <w:rPr>
                <w:sz w:val="18"/>
                <w:szCs w:val="18"/>
                <w:lang w:val="en-PH"/>
              </w:rPr>
              <w:t>Information relating to the main corporate governance practices used by the entity during the reporting period</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622A7E90" w14:textId="27D9E4A1" w:rsidR="00D056F7" w:rsidRPr="00E71F65" w:rsidRDefault="003C41BD" w:rsidP="00B15944">
            <w:pPr>
              <w:pStyle w:val="Body-Financial"/>
              <w:spacing w:before="20" w:after="0"/>
              <w:rPr>
                <w:sz w:val="18"/>
                <w:szCs w:val="18"/>
              </w:rPr>
            </w:pPr>
            <w:r>
              <w:rPr>
                <w:sz w:val="18"/>
                <w:szCs w:val="18"/>
              </w:rPr>
              <w:t>Mandatory</w:t>
            </w:r>
          </w:p>
        </w:tc>
      </w:tr>
      <w:tr w:rsidR="00D056F7" w:rsidRPr="00E71F65" w14:paraId="05522F3A"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0B0E8285" w14:textId="19924691" w:rsidR="00D056F7" w:rsidRPr="00E71F65" w:rsidRDefault="00D056F7" w:rsidP="00B15944">
            <w:pPr>
              <w:pStyle w:val="Body-Financial"/>
              <w:spacing w:before="20" w:after="0"/>
              <w:rPr>
                <w:sz w:val="18"/>
                <w:szCs w:val="18"/>
              </w:rPr>
            </w:pPr>
            <w:r>
              <w:rPr>
                <w:sz w:val="18"/>
                <w:szCs w:val="18"/>
              </w:rPr>
              <w:t>17BE(n), 17BE(o)</w:t>
            </w:r>
          </w:p>
        </w:tc>
        <w:tc>
          <w:tcPr>
            <w:tcW w:w="1474" w:type="dxa"/>
            <w:tcBorders>
              <w:top w:val="single" w:sz="4" w:space="0" w:color="D6D6D6"/>
              <w:bottom w:val="single" w:sz="4" w:space="0" w:color="D6D6D6"/>
            </w:tcBorders>
            <w:shd w:val="clear" w:color="auto" w:fill="FFFFFF" w:themeFill="background2"/>
          </w:tcPr>
          <w:p w14:paraId="46B1DBDE" w14:textId="77777777" w:rsidR="00D056F7" w:rsidRPr="00E71F65" w:rsidRDefault="00D056F7"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304CAC4A" w14:textId="77777777" w:rsidR="00D056F7" w:rsidRPr="00E71F65" w:rsidRDefault="00D056F7"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5BCF8F06" w14:textId="2A9075EB" w:rsidR="003C41BD" w:rsidRPr="003C41BD" w:rsidRDefault="003C41BD" w:rsidP="003C41BD">
            <w:pPr>
              <w:pStyle w:val="Body-Financial"/>
              <w:spacing w:before="20" w:after="0"/>
              <w:rPr>
                <w:sz w:val="18"/>
                <w:szCs w:val="18"/>
                <w:lang w:val="en-PH"/>
              </w:rPr>
            </w:pPr>
            <w:r w:rsidRPr="003C41BD">
              <w:rPr>
                <w:sz w:val="18"/>
                <w:szCs w:val="18"/>
                <w:lang w:val="en-PH"/>
              </w:rPr>
              <w:t>For transactions with a related Commonwealth entity or related company where the value of the transaction, or</w:t>
            </w:r>
            <w:r w:rsidR="00670FBD">
              <w:rPr>
                <w:sz w:val="18"/>
                <w:szCs w:val="18"/>
                <w:lang w:val="en-PH"/>
              </w:rPr>
              <w:t> </w:t>
            </w:r>
            <w:r w:rsidRPr="003C41BD">
              <w:rPr>
                <w:sz w:val="18"/>
                <w:szCs w:val="18"/>
                <w:lang w:val="en-PH"/>
              </w:rPr>
              <w:t>if</w:t>
            </w:r>
            <w:r w:rsidR="00670FBD">
              <w:rPr>
                <w:sz w:val="18"/>
                <w:szCs w:val="18"/>
                <w:lang w:val="en-PH"/>
              </w:rPr>
              <w:t> </w:t>
            </w:r>
            <w:r w:rsidRPr="003C41BD">
              <w:rPr>
                <w:sz w:val="18"/>
                <w:szCs w:val="18"/>
                <w:lang w:val="en-PH"/>
              </w:rPr>
              <w:t>there is more than one transaction, the</w:t>
            </w:r>
            <w:r w:rsidR="00670FBD">
              <w:rPr>
                <w:sz w:val="18"/>
                <w:szCs w:val="18"/>
                <w:lang w:val="en-PH"/>
              </w:rPr>
              <w:t> </w:t>
            </w:r>
            <w:r w:rsidRPr="003C41BD">
              <w:rPr>
                <w:sz w:val="18"/>
                <w:szCs w:val="18"/>
                <w:lang w:val="en-PH"/>
              </w:rPr>
              <w:t>aggregate of those transactions, is more than $10,000 (inclusive of GST):</w:t>
            </w:r>
          </w:p>
          <w:p w14:paraId="44AECB5F" w14:textId="6777CFB1" w:rsidR="003C41BD" w:rsidRPr="003C41BD" w:rsidRDefault="003C41BD" w:rsidP="003C41BD">
            <w:pPr>
              <w:pStyle w:val="Body-Financial"/>
              <w:spacing w:before="20" w:after="0"/>
              <w:rPr>
                <w:sz w:val="18"/>
                <w:szCs w:val="18"/>
                <w:lang w:val="en-PH"/>
              </w:rPr>
            </w:pPr>
            <w:r w:rsidRPr="003C41BD">
              <w:rPr>
                <w:sz w:val="18"/>
                <w:szCs w:val="18"/>
                <w:lang w:val="en-PH"/>
              </w:rPr>
              <w:t>(a) the decision‑making process undertaken by the accountable authority to</w:t>
            </w:r>
            <w:r>
              <w:rPr>
                <w:sz w:val="18"/>
                <w:szCs w:val="18"/>
                <w:lang w:val="en-PH"/>
              </w:rPr>
              <w:t> </w:t>
            </w:r>
            <w:r w:rsidRPr="003C41BD">
              <w:rPr>
                <w:sz w:val="18"/>
                <w:szCs w:val="18"/>
                <w:lang w:val="en-PH"/>
              </w:rPr>
              <w:t>approve the entity paying for a good</w:t>
            </w:r>
            <w:r>
              <w:rPr>
                <w:sz w:val="18"/>
                <w:szCs w:val="18"/>
                <w:lang w:val="en-PH"/>
              </w:rPr>
              <w:t> </w:t>
            </w:r>
            <w:r w:rsidRPr="003C41BD">
              <w:rPr>
                <w:sz w:val="18"/>
                <w:szCs w:val="18"/>
                <w:lang w:val="en-PH"/>
              </w:rPr>
              <w:t>or</w:t>
            </w:r>
            <w:r>
              <w:rPr>
                <w:sz w:val="18"/>
                <w:szCs w:val="18"/>
                <w:lang w:val="en-PH"/>
              </w:rPr>
              <w:t> </w:t>
            </w:r>
            <w:r w:rsidRPr="003C41BD">
              <w:rPr>
                <w:sz w:val="18"/>
                <w:szCs w:val="18"/>
                <w:lang w:val="en-PH"/>
              </w:rPr>
              <w:t>service from, or providing a grant to, the</w:t>
            </w:r>
            <w:r>
              <w:rPr>
                <w:sz w:val="18"/>
                <w:szCs w:val="18"/>
                <w:lang w:val="en-PH"/>
              </w:rPr>
              <w:t> </w:t>
            </w:r>
            <w:r w:rsidRPr="003C41BD">
              <w:rPr>
                <w:sz w:val="18"/>
                <w:szCs w:val="18"/>
                <w:lang w:val="en-PH"/>
              </w:rPr>
              <w:t>related Commonwealth entity or related company, and</w:t>
            </w:r>
          </w:p>
          <w:p w14:paraId="547843CC" w14:textId="3C7301C4" w:rsidR="00D056F7" w:rsidRPr="00E71F65" w:rsidRDefault="003C41BD" w:rsidP="003C41BD">
            <w:pPr>
              <w:pStyle w:val="Body-Financial"/>
              <w:spacing w:before="20" w:after="0"/>
              <w:rPr>
                <w:sz w:val="18"/>
                <w:szCs w:val="18"/>
              </w:rPr>
            </w:pPr>
            <w:r w:rsidRPr="003C41BD">
              <w:rPr>
                <w:sz w:val="18"/>
                <w:szCs w:val="18"/>
                <w:lang w:val="en-PH"/>
              </w:rPr>
              <w:t>(b) the value of the transaction, or if there is more than one transaction, the number of transactions and the aggregate of value of the transactions</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24CDC6D9" w14:textId="77777777" w:rsidR="00D056F7" w:rsidRPr="00E71F65" w:rsidRDefault="00D056F7" w:rsidP="00B15944">
            <w:pPr>
              <w:pStyle w:val="Body-Financial"/>
              <w:spacing w:before="20" w:after="0"/>
              <w:rPr>
                <w:sz w:val="18"/>
                <w:szCs w:val="18"/>
              </w:rPr>
            </w:pPr>
            <w:r>
              <w:rPr>
                <w:sz w:val="18"/>
                <w:szCs w:val="18"/>
              </w:rPr>
              <w:t>If applicable, mandatory</w:t>
            </w:r>
          </w:p>
        </w:tc>
      </w:tr>
    </w:tbl>
    <w:p w14:paraId="03280874" w14:textId="69F425B0" w:rsidR="005410FE" w:rsidRDefault="005410FE" w:rsidP="00E71F65">
      <w:pPr>
        <w:pStyle w:val="Body"/>
      </w:pPr>
    </w:p>
    <w:p w14:paraId="56F6598C" w14:textId="77777777" w:rsidR="005410FE" w:rsidRDefault="005410FE" w:rsidP="003601F1">
      <w:pPr>
        <w:pStyle w:val="TOCBody"/>
        <w:sectPr w:rsidR="005410FE" w:rsidSect="005410FE">
          <w:footerReference w:type="default" r:id="rId218"/>
          <w:footnotePr>
            <w:pos w:val="beneathText"/>
          </w:footnotePr>
          <w:pgSz w:w="9979" w:h="14175" w:code="13"/>
          <w:pgMar w:top="1134" w:right="1134" w:bottom="1134" w:left="1134" w:header="709" w:footer="709" w:gutter="0"/>
          <w:cols w:space="623"/>
          <w:docGrid w:linePitch="360"/>
        </w:sectPr>
      </w:pPr>
    </w:p>
    <w:tbl>
      <w:tblPr>
        <w:tblStyle w:val="TableGrid"/>
        <w:tblW w:w="0" w:type="auto"/>
        <w:tblLook w:val="04A0" w:firstRow="1" w:lastRow="0" w:firstColumn="1" w:lastColumn="0" w:noHBand="0" w:noVBand="1"/>
      </w:tblPr>
      <w:tblGrid>
        <w:gridCol w:w="1077"/>
        <w:gridCol w:w="1474"/>
        <w:gridCol w:w="737"/>
        <w:gridCol w:w="3231"/>
        <w:gridCol w:w="1191"/>
      </w:tblGrid>
      <w:tr w:rsidR="003C41BD" w:rsidRPr="00E71F65" w14:paraId="13DB6508"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shd w:val="clear" w:color="auto" w:fill="424242"/>
          </w:tcPr>
          <w:p w14:paraId="06ADD51E" w14:textId="77777777" w:rsidR="003C41BD" w:rsidRPr="00E71F65" w:rsidRDefault="003C41BD" w:rsidP="00B15944">
            <w:pPr>
              <w:pStyle w:val="Body-Financial"/>
              <w:spacing w:before="60" w:after="58"/>
              <w:rPr>
                <w:b/>
                <w:bCs/>
                <w:color w:val="FFFFFF" w:themeColor="background2"/>
                <w:sz w:val="18"/>
                <w:szCs w:val="18"/>
              </w:rPr>
            </w:pPr>
            <w:r>
              <w:rPr>
                <w:b/>
                <w:bCs/>
                <w:color w:val="FFFFFF" w:themeColor="background2"/>
                <w:sz w:val="18"/>
                <w:szCs w:val="18"/>
              </w:rPr>
              <w:t>PGPA Rule Reference</w:t>
            </w:r>
          </w:p>
        </w:tc>
        <w:tc>
          <w:tcPr>
            <w:tcW w:w="1474" w:type="dxa"/>
            <w:shd w:val="clear" w:color="auto" w:fill="424242"/>
          </w:tcPr>
          <w:p w14:paraId="55D5A727" w14:textId="77777777" w:rsidR="003C41BD" w:rsidRPr="00E71F65" w:rsidRDefault="003C41BD" w:rsidP="00B15944">
            <w:pPr>
              <w:pStyle w:val="Body-Financial"/>
              <w:spacing w:before="60" w:after="58"/>
              <w:rPr>
                <w:b/>
                <w:bCs/>
                <w:color w:val="FFFFFF" w:themeColor="background2"/>
                <w:sz w:val="18"/>
                <w:szCs w:val="18"/>
              </w:rPr>
            </w:pPr>
            <w:r>
              <w:rPr>
                <w:b/>
                <w:bCs/>
                <w:color w:val="FFFFFF" w:themeColor="background2"/>
                <w:sz w:val="18"/>
                <w:szCs w:val="18"/>
              </w:rPr>
              <w:t>Part of Report</w:t>
            </w:r>
          </w:p>
        </w:tc>
        <w:tc>
          <w:tcPr>
            <w:tcW w:w="737" w:type="dxa"/>
            <w:shd w:val="clear" w:color="auto" w:fill="424242"/>
          </w:tcPr>
          <w:p w14:paraId="007A7969" w14:textId="77777777" w:rsidR="003C41BD" w:rsidRPr="00E71F65" w:rsidRDefault="003C41BD" w:rsidP="00B15944">
            <w:pPr>
              <w:pStyle w:val="Body-Financial"/>
              <w:spacing w:before="60" w:after="58"/>
              <w:rPr>
                <w:b/>
                <w:bCs/>
                <w:color w:val="FFFFFF" w:themeColor="background2"/>
                <w:sz w:val="18"/>
                <w:szCs w:val="18"/>
              </w:rPr>
            </w:pPr>
            <w:r>
              <w:rPr>
                <w:b/>
                <w:bCs/>
                <w:color w:val="FFFFFF" w:themeColor="background2"/>
                <w:sz w:val="18"/>
                <w:szCs w:val="18"/>
              </w:rPr>
              <w:t>Page</w:t>
            </w:r>
          </w:p>
        </w:tc>
        <w:tc>
          <w:tcPr>
            <w:tcW w:w="3231" w:type="dxa"/>
            <w:shd w:val="clear" w:color="auto" w:fill="424242"/>
          </w:tcPr>
          <w:p w14:paraId="75905662" w14:textId="77777777" w:rsidR="003C41BD" w:rsidRPr="00E71F65" w:rsidRDefault="003C41BD" w:rsidP="00B15944">
            <w:pPr>
              <w:pStyle w:val="Body-Financial"/>
              <w:spacing w:before="60" w:after="58"/>
              <w:rPr>
                <w:b/>
                <w:bCs/>
                <w:color w:val="FFFFFF" w:themeColor="background2"/>
                <w:sz w:val="18"/>
                <w:szCs w:val="18"/>
              </w:rPr>
            </w:pPr>
            <w:r>
              <w:rPr>
                <w:b/>
                <w:bCs/>
                <w:color w:val="FFFFFF" w:themeColor="background2"/>
                <w:sz w:val="18"/>
                <w:szCs w:val="18"/>
              </w:rPr>
              <w:t>Description</w:t>
            </w:r>
          </w:p>
        </w:tc>
        <w:tc>
          <w:tcPr>
            <w:tcW w:w="1191" w:type="dxa"/>
            <w:shd w:val="clear" w:color="auto" w:fill="424242"/>
          </w:tcPr>
          <w:p w14:paraId="3D4ED202" w14:textId="77777777" w:rsidR="003C41BD" w:rsidRPr="00E71F65" w:rsidRDefault="003C41BD" w:rsidP="00B15944">
            <w:pPr>
              <w:pStyle w:val="Body-Financial"/>
              <w:spacing w:before="60" w:after="58"/>
              <w:rPr>
                <w:b/>
                <w:bCs/>
                <w:color w:val="FFFFFF" w:themeColor="background2"/>
                <w:sz w:val="18"/>
                <w:szCs w:val="18"/>
              </w:rPr>
            </w:pPr>
            <w:r>
              <w:rPr>
                <w:b/>
                <w:bCs/>
                <w:color w:val="FFFFFF" w:themeColor="background2"/>
                <w:sz w:val="18"/>
                <w:szCs w:val="18"/>
              </w:rPr>
              <w:t>Requirement</w:t>
            </w:r>
          </w:p>
        </w:tc>
      </w:tr>
      <w:tr w:rsidR="003C41BD" w:rsidRPr="00E71F65" w14:paraId="5BDCED5F"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bottom w:val="single" w:sz="4" w:space="0" w:color="D6D6D6"/>
            </w:tcBorders>
            <w:shd w:val="clear" w:color="auto" w:fill="FFFFFF" w:themeFill="background2"/>
          </w:tcPr>
          <w:p w14:paraId="0CBF2225" w14:textId="5E29A49D" w:rsidR="003C41BD" w:rsidRPr="00E71F65" w:rsidRDefault="003C41BD" w:rsidP="00B15944">
            <w:pPr>
              <w:pStyle w:val="Body-Financial"/>
              <w:spacing w:before="20" w:after="0"/>
              <w:rPr>
                <w:sz w:val="18"/>
                <w:szCs w:val="18"/>
              </w:rPr>
            </w:pPr>
            <w:r>
              <w:rPr>
                <w:sz w:val="18"/>
                <w:szCs w:val="18"/>
              </w:rPr>
              <w:t>17BE(p)</w:t>
            </w:r>
          </w:p>
        </w:tc>
        <w:tc>
          <w:tcPr>
            <w:tcW w:w="1474" w:type="dxa"/>
            <w:tcBorders>
              <w:bottom w:val="single" w:sz="4" w:space="0" w:color="D6D6D6"/>
            </w:tcBorders>
            <w:shd w:val="clear" w:color="auto" w:fill="FFFFFF" w:themeFill="background2"/>
          </w:tcPr>
          <w:p w14:paraId="1B8DAAC1" w14:textId="77777777" w:rsidR="003C41BD" w:rsidRPr="00E71F65" w:rsidRDefault="003C41BD" w:rsidP="00B15944">
            <w:pPr>
              <w:pStyle w:val="Body-Financial"/>
              <w:spacing w:before="20" w:after="0"/>
              <w:rPr>
                <w:sz w:val="18"/>
                <w:szCs w:val="18"/>
              </w:rPr>
            </w:pPr>
            <w:r>
              <w:rPr>
                <w:sz w:val="18"/>
                <w:szCs w:val="18"/>
              </w:rPr>
              <w:t>N/A</w:t>
            </w:r>
          </w:p>
        </w:tc>
        <w:tc>
          <w:tcPr>
            <w:tcW w:w="737" w:type="dxa"/>
            <w:tcBorders>
              <w:bottom w:val="single" w:sz="4" w:space="0" w:color="D6D6D6"/>
            </w:tcBorders>
            <w:shd w:val="clear" w:color="auto" w:fill="FFFFFF" w:themeFill="background2"/>
          </w:tcPr>
          <w:p w14:paraId="24DC6244" w14:textId="77777777" w:rsidR="003C41BD" w:rsidRPr="00E71F65" w:rsidRDefault="003C41BD" w:rsidP="00B15944">
            <w:pPr>
              <w:pStyle w:val="Body-Financial"/>
              <w:spacing w:before="20" w:after="0"/>
              <w:rPr>
                <w:sz w:val="18"/>
                <w:szCs w:val="18"/>
              </w:rPr>
            </w:pPr>
          </w:p>
        </w:tc>
        <w:tc>
          <w:tcPr>
            <w:tcW w:w="3231" w:type="dxa"/>
            <w:tcBorders>
              <w:bottom w:val="single" w:sz="4" w:space="0" w:color="D6D6D6"/>
            </w:tcBorders>
            <w:shd w:val="clear" w:color="auto" w:fill="FFFFFF" w:themeFill="background2"/>
          </w:tcPr>
          <w:p w14:paraId="35B28E5D" w14:textId="28DC4965" w:rsidR="003C41BD" w:rsidRPr="00E71F65" w:rsidRDefault="003C41BD" w:rsidP="00B15944">
            <w:pPr>
              <w:pStyle w:val="Body-Financial"/>
              <w:spacing w:before="20" w:after="0"/>
              <w:rPr>
                <w:sz w:val="18"/>
                <w:szCs w:val="18"/>
              </w:rPr>
            </w:pPr>
            <w:r w:rsidRPr="003C41BD">
              <w:rPr>
                <w:sz w:val="18"/>
                <w:szCs w:val="18"/>
                <w:lang w:val="en-PH"/>
              </w:rPr>
              <w:t>Any significant activities and changes that affected the operation or structure of the entity during the reporting period</w:t>
            </w:r>
            <w:r w:rsidR="00DD5A23">
              <w:rPr>
                <w:sz w:val="18"/>
                <w:szCs w:val="18"/>
                <w:lang w:val="en-PH"/>
              </w:rPr>
              <w:t>.</w:t>
            </w:r>
          </w:p>
        </w:tc>
        <w:tc>
          <w:tcPr>
            <w:tcW w:w="1191" w:type="dxa"/>
            <w:tcBorders>
              <w:bottom w:val="single" w:sz="4" w:space="0" w:color="D6D6D6"/>
            </w:tcBorders>
            <w:shd w:val="clear" w:color="auto" w:fill="FFFFFF" w:themeFill="background2"/>
          </w:tcPr>
          <w:p w14:paraId="1E0C6073" w14:textId="77777777" w:rsidR="003C41BD" w:rsidRPr="00E71F65" w:rsidRDefault="003C41BD" w:rsidP="00B15944">
            <w:pPr>
              <w:pStyle w:val="Body-Financial"/>
              <w:spacing w:before="20" w:after="0"/>
              <w:rPr>
                <w:sz w:val="18"/>
                <w:szCs w:val="18"/>
              </w:rPr>
            </w:pPr>
            <w:r>
              <w:rPr>
                <w:sz w:val="18"/>
                <w:szCs w:val="18"/>
              </w:rPr>
              <w:t>If applicable, mandatory</w:t>
            </w:r>
          </w:p>
        </w:tc>
      </w:tr>
      <w:tr w:rsidR="003C41BD" w:rsidRPr="00E71F65" w14:paraId="4C22D3B0"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458B4E4C" w14:textId="6AB235C5" w:rsidR="003C41BD" w:rsidRPr="00E71F65" w:rsidRDefault="003C41BD" w:rsidP="00B15944">
            <w:pPr>
              <w:pStyle w:val="Body-Financial"/>
              <w:spacing w:before="20" w:after="0"/>
              <w:rPr>
                <w:sz w:val="18"/>
                <w:szCs w:val="18"/>
              </w:rPr>
            </w:pPr>
            <w:r>
              <w:rPr>
                <w:sz w:val="18"/>
                <w:szCs w:val="18"/>
              </w:rPr>
              <w:t>17BE(q)</w:t>
            </w:r>
          </w:p>
        </w:tc>
        <w:tc>
          <w:tcPr>
            <w:tcW w:w="1474" w:type="dxa"/>
            <w:tcBorders>
              <w:top w:val="single" w:sz="4" w:space="0" w:color="D6D6D6"/>
              <w:bottom w:val="single" w:sz="4" w:space="0" w:color="D6D6D6"/>
            </w:tcBorders>
            <w:shd w:val="clear" w:color="auto" w:fill="FFFFFF" w:themeFill="background2"/>
          </w:tcPr>
          <w:p w14:paraId="0C478BF6" w14:textId="6C3D0BEF" w:rsidR="003C41BD" w:rsidRPr="00E71F65" w:rsidRDefault="003C41BD"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2FD10162" w14:textId="7CFFC456" w:rsidR="003C41BD" w:rsidRPr="00E71F65" w:rsidRDefault="003C41BD"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002EDC1B" w14:textId="3BAD7285" w:rsidR="003C41BD" w:rsidRPr="00E71F65" w:rsidRDefault="003C41BD" w:rsidP="00B15944">
            <w:pPr>
              <w:pStyle w:val="Body-Financial"/>
              <w:spacing w:before="20" w:after="0"/>
              <w:rPr>
                <w:sz w:val="18"/>
                <w:szCs w:val="18"/>
              </w:rPr>
            </w:pPr>
            <w:r w:rsidRPr="003C41BD">
              <w:rPr>
                <w:sz w:val="18"/>
                <w:szCs w:val="18"/>
                <w:lang w:val="en-PH"/>
              </w:rPr>
              <w:t>Particulars of judicial decisions or decisions of administrative tribunals that may have a</w:t>
            </w:r>
            <w:r w:rsidR="00B12E4E">
              <w:rPr>
                <w:sz w:val="18"/>
                <w:szCs w:val="18"/>
                <w:lang w:val="en-PH"/>
              </w:rPr>
              <w:t> </w:t>
            </w:r>
            <w:r w:rsidRPr="003C41BD">
              <w:rPr>
                <w:sz w:val="18"/>
                <w:szCs w:val="18"/>
                <w:lang w:val="en-PH"/>
              </w:rPr>
              <w:t>significant effect on the operations of the</w:t>
            </w:r>
            <w:r w:rsidR="00B12E4E">
              <w:rPr>
                <w:sz w:val="18"/>
                <w:szCs w:val="18"/>
                <w:lang w:val="en-PH"/>
              </w:rPr>
              <w:t> </w:t>
            </w:r>
            <w:r w:rsidRPr="003C41BD">
              <w:rPr>
                <w:sz w:val="18"/>
                <w:szCs w:val="18"/>
                <w:lang w:val="en-PH"/>
              </w:rPr>
              <w:t>entity</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20BEA092" w14:textId="718A2409" w:rsidR="003C41BD" w:rsidRPr="00E71F65" w:rsidRDefault="003C41BD" w:rsidP="00B15944">
            <w:pPr>
              <w:pStyle w:val="Body-Financial"/>
              <w:spacing w:before="20" w:after="0"/>
              <w:rPr>
                <w:sz w:val="18"/>
                <w:szCs w:val="18"/>
              </w:rPr>
            </w:pPr>
            <w:r>
              <w:rPr>
                <w:sz w:val="18"/>
                <w:szCs w:val="18"/>
              </w:rPr>
              <w:t>If applicable, mandatory</w:t>
            </w:r>
          </w:p>
        </w:tc>
      </w:tr>
      <w:tr w:rsidR="003C41BD" w:rsidRPr="00E71F65" w14:paraId="182CA7A2"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6F1FD636" w14:textId="0ED4C9DD" w:rsidR="003C41BD" w:rsidRPr="00E71F65" w:rsidRDefault="003C41BD" w:rsidP="00B15944">
            <w:pPr>
              <w:pStyle w:val="Body-Financial"/>
              <w:spacing w:before="20" w:after="0"/>
              <w:rPr>
                <w:sz w:val="18"/>
                <w:szCs w:val="18"/>
              </w:rPr>
            </w:pPr>
            <w:r>
              <w:rPr>
                <w:sz w:val="18"/>
                <w:szCs w:val="18"/>
              </w:rPr>
              <w:t>17BE(r)</w:t>
            </w:r>
          </w:p>
        </w:tc>
        <w:tc>
          <w:tcPr>
            <w:tcW w:w="1474" w:type="dxa"/>
            <w:tcBorders>
              <w:top w:val="single" w:sz="4" w:space="0" w:color="D6D6D6"/>
              <w:bottom w:val="single" w:sz="4" w:space="0" w:color="D6D6D6"/>
            </w:tcBorders>
            <w:shd w:val="clear" w:color="auto" w:fill="FFFFFF" w:themeFill="background2"/>
          </w:tcPr>
          <w:p w14:paraId="3369B633" w14:textId="41E4BE89" w:rsidR="003C41BD" w:rsidRPr="00E71F65" w:rsidRDefault="00B12E4E"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797FA19C" w14:textId="02E629A8" w:rsidR="003C41BD" w:rsidRPr="00E71F65" w:rsidRDefault="003C41BD"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1D72CE8C" w14:textId="77777777" w:rsidR="00B12E4E" w:rsidRPr="00B12E4E" w:rsidRDefault="00B12E4E" w:rsidP="00B12E4E">
            <w:pPr>
              <w:spacing w:before="14" w:line="259" w:lineRule="auto"/>
              <w:rPr>
                <w:color w:val="1C1C1C"/>
                <w:sz w:val="18"/>
                <w:szCs w:val="18"/>
                <w:lang w:val="en-PH"/>
              </w:rPr>
            </w:pPr>
            <w:r w:rsidRPr="00B12E4E">
              <w:rPr>
                <w:color w:val="1C1C1C"/>
                <w:sz w:val="18"/>
                <w:szCs w:val="18"/>
                <w:lang w:val="en-PH"/>
              </w:rPr>
              <w:t>Particulars of any reports on the entity given by:</w:t>
            </w:r>
          </w:p>
          <w:p w14:paraId="586A9318" w14:textId="77777777" w:rsidR="00B12E4E" w:rsidRPr="00B12E4E" w:rsidRDefault="00B12E4E" w:rsidP="00B12E4E">
            <w:pPr>
              <w:spacing w:before="14" w:line="259" w:lineRule="auto"/>
              <w:rPr>
                <w:color w:val="1C1C1C"/>
                <w:sz w:val="18"/>
                <w:szCs w:val="18"/>
                <w:lang w:val="en-PH"/>
              </w:rPr>
            </w:pPr>
            <w:r w:rsidRPr="00B12E4E">
              <w:rPr>
                <w:color w:val="1C1C1C"/>
                <w:sz w:val="18"/>
                <w:szCs w:val="18"/>
                <w:lang w:val="en-PH"/>
              </w:rPr>
              <w:t>(a) the Auditor</w:t>
            </w:r>
            <w:r w:rsidRPr="00B12E4E">
              <w:rPr>
                <w:rFonts w:cs="Cambria Math"/>
                <w:color w:val="1C1C1C"/>
                <w:sz w:val="18"/>
                <w:szCs w:val="18"/>
                <w:lang w:val="en-PH"/>
              </w:rPr>
              <w:t>‑</w:t>
            </w:r>
            <w:r w:rsidRPr="00B12E4E">
              <w:rPr>
                <w:color w:val="1C1C1C"/>
                <w:sz w:val="18"/>
                <w:szCs w:val="18"/>
                <w:lang w:val="en-PH"/>
              </w:rPr>
              <w:t>General (other than a report under section 43 of the Act), or</w:t>
            </w:r>
          </w:p>
          <w:p w14:paraId="0B99EF71" w14:textId="77777777" w:rsidR="00B12E4E" w:rsidRPr="00B12E4E" w:rsidRDefault="00B12E4E" w:rsidP="00B12E4E">
            <w:pPr>
              <w:spacing w:before="14" w:line="259" w:lineRule="auto"/>
              <w:rPr>
                <w:color w:val="1C1C1C"/>
                <w:sz w:val="18"/>
                <w:szCs w:val="18"/>
                <w:lang w:val="en-PH"/>
              </w:rPr>
            </w:pPr>
            <w:r w:rsidRPr="00B12E4E">
              <w:rPr>
                <w:color w:val="1C1C1C"/>
                <w:sz w:val="18"/>
                <w:szCs w:val="18"/>
                <w:lang w:val="en-PH"/>
              </w:rPr>
              <w:t>(b) a Parliamentary Committee, or</w:t>
            </w:r>
          </w:p>
          <w:p w14:paraId="2B836EDC" w14:textId="77777777" w:rsidR="00B12E4E" w:rsidRPr="00B12E4E" w:rsidRDefault="00B12E4E" w:rsidP="00B12E4E">
            <w:pPr>
              <w:spacing w:before="14" w:line="259" w:lineRule="auto"/>
              <w:rPr>
                <w:color w:val="1C1C1C"/>
                <w:sz w:val="18"/>
                <w:szCs w:val="18"/>
                <w:lang w:val="en-PH"/>
              </w:rPr>
            </w:pPr>
            <w:r w:rsidRPr="00B12E4E">
              <w:rPr>
                <w:color w:val="1C1C1C"/>
                <w:sz w:val="18"/>
                <w:szCs w:val="18"/>
                <w:lang w:val="en-PH"/>
              </w:rPr>
              <w:t>(c) the Commonwealth Ombudsman, or</w:t>
            </w:r>
          </w:p>
          <w:p w14:paraId="3067CAC5" w14:textId="5DD971D1" w:rsidR="003C41BD" w:rsidRPr="00B12E4E" w:rsidRDefault="00B12E4E" w:rsidP="00B12E4E">
            <w:pPr>
              <w:pStyle w:val="Body-Financial"/>
              <w:spacing w:before="14" w:after="0"/>
              <w:rPr>
                <w:sz w:val="18"/>
                <w:szCs w:val="18"/>
              </w:rPr>
            </w:pPr>
            <w:r w:rsidRPr="00B12E4E">
              <w:rPr>
                <w:color w:val="auto"/>
                <w:sz w:val="18"/>
                <w:szCs w:val="18"/>
                <w:lang w:val="en-PH"/>
              </w:rPr>
              <w:t>(d) the Office of the Australian Information Commissioner</w:t>
            </w:r>
            <w:r w:rsidR="00DD5A23">
              <w:rPr>
                <w:color w:val="auto"/>
                <w:sz w:val="18"/>
                <w:szCs w:val="18"/>
                <w:lang w:val="en-PH"/>
              </w:rPr>
              <w:t>.</w:t>
            </w:r>
          </w:p>
        </w:tc>
        <w:tc>
          <w:tcPr>
            <w:tcW w:w="1191" w:type="dxa"/>
            <w:tcBorders>
              <w:top w:val="single" w:sz="4" w:space="0" w:color="D6D6D6"/>
              <w:bottom w:val="single" w:sz="4" w:space="0" w:color="D6D6D6"/>
            </w:tcBorders>
            <w:shd w:val="clear" w:color="auto" w:fill="FFFFFF" w:themeFill="background2"/>
          </w:tcPr>
          <w:p w14:paraId="18DAAD07" w14:textId="57A7F13E" w:rsidR="003C41BD" w:rsidRPr="00E71F65" w:rsidRDefault="00B12E4E" w:rsidP="00B15944">
            <w:pPr>
              <w:pStyle w:val="Body-Financial"/>
              <w:spacing w:before="20" w:after="0"/>
              <w:rPr>
                <w:sz w:val="18"/>
                <w:szCs w:val="18"/>
              </w:rPr>
            </w:pPr>
            <w:r>
              <w:rPr>
                <w:sz w:val="18"/>
                <w:szCs w:val="18"/>
              </w:rPr>
              <w:t>If applicable, mandatory</w:t>
            </w:r>
          </w:p>
        </w:tc>
      </w:tr>
      <w:tr w:rsidR="003C41BD" w:rsidRPr="00E71F65" w14:paraId="7A7F3636"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0427AD46" w14:textId="1E1DDF7F" w:rsidR="003C41BD" w:rsidRPr="00E71F65" w:rsidRDefault="003C41BD" w:rsidP="00B15944">
            <w:pPr>
              <w:pStyle w:val="Body-Financial"/>
              <w:spacing w:before="20" w:after="0"/>
              <w:rPr>
                <w:sz w:val="18"/>
                <w:szCs w:val="18"/>
              </w:rPr>
            </w:pPr>
            <w:r>
              <w:rPr>
                <w:sz w:val="18"/>
                <w:szCs w:val="18"/>
              </w:rPr>
              <w:t>17BE(</w:t>
            </w:r>
            <w:r w:rsidR="00B12E4E">
              <w:rPr>
                <w:sz w:val="18"/>
                <w:szCs w:val="18"/>
              </w:rPr>
              <w:t>s</w:t>
            </w:r>
            <w:r>
              <w:rPr>
                <w:sz w:val="18"/>
                <w:szCs w:val="18"/>
              </w:rPr>
              <w:t>)</w:t>
            </w:r>
          </w:p>
        </w:tc>
        <w:tc>
          <w:tcPr>
            <w:tcW w:w="1474" w:type="dxa"/>
            <w:tcBorders>
              <w:top w:val="single" w:sz="4" w:space="0" w:color="D6D6D6"/>
              <w:bottom w:val="single" w:sz="4" w:space="0" w:color="D6D6D6"/>
            </w:tcBorders>
            <w:shd w:val="clear" w:color="auto" w:fill="FFFFFF" w:themeFill="background2"/>
          </w:tcPr>
          <w:p w14:paraId="012F0B7C" w14:textId="3F1EE61F" w:rsidR="003C41BD" w:rsidRPr="00E71F65" w:rsidRDefault="00B12E4E"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04D8383E" w14:textId="1F6F10D9" w:rsidR="003C41BD" w:rsidRPr="00E71F65" w:rsidRDefault="003C41BD"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027FE01E" w14:textId="36ACC4FE" w:rsidR="003C41BD" w:rsidRPr="00E71F65" w:rsidRDefault="00B12E4E" w:rsidP="00B15944">
            <w:pPr>
              <w:pStyle w:val="Body-Financial"/>
              <w:spacing w:before="20" w:after="0"/>
              <w:rPr>
                <w:sz w:val="18"/>
                <w:szCs w:val="18"/>
              </w:rPr>
            </w:pPr>
            <w:r w:rsidRPr="00B12E4E">
              <w:rPr>
                <w:sz w:val="18"/>
                <w:szCs w:val="18"/>
                <w:lang w:val="en-PH"/>
              </w:rPr>
              <w:t>An explanation of information not obtained from a subsidiary of the entity and the effect of not having the information on the annual report</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7EC584A9" w14:textId="5BA5BEAE" w:rsidR="003C41BD" w:rsidRPr="00E71F65" w:rsidRDefault="00B12E4E" w:rsidP="00B15944">
            <w:pPr>
              <w:pStyle w:val="Body-Financial"/>
              <w:spacing w:before="20" w:after="0"/>
              <w:rPr>
                <w:sz w:val="18"/>
                <w:szCs w:val="18"/>
              </w:rPr>
            </w:pPr>
            <w:r>
              <w:rPr>
                <w:sz w:val="18"/>
                <w:szCs w:val="18"/>
              </w:rPr>
              <w:t>If applicable, mandatory</w:t>
            </w:r>
          </w:p>
        </w:tc>
      </w:tr>
      <w:tr w:rsidR="003C41BD" w:rsidRPr="00E71F65" w14:paraId="6AF20017"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7D4FBF42" w14:textId="6F796CD9" w:rsidR="003C41BD" w:rsidRPr="00E71F65" w:rsidRDefault="003C41BD" w:rsidP="00B15944">
            <w:pPr>
              <w:pStyle w:val="Body-Financial"/>
              <w:spacing w:before="20" w:after="0"/>
              <w:rPr>
                <w:sz w:val="18"/>
                <w:szCs w:val="18"/>
              </w:rPr>
            </w:pPr>
            <w:r>
              <w:rPr>
                <w:sz w:val="18"/>
                <w:szCs w:val="18"/>
              </w:rPr>
              <w:t>17BE(</w:t>
            </w:r>
            <w:r w:rsidR="00B12E4E">
              <w:rPr>
                <w:sz w:val="18"/>
                <w:szCs w:val="18"/>
              </w:rPr>
              <w:t>t</w:t>
            </w:r>
            <w:r>
              <w:rPr>
                <w:sz w:val="18"/>
                <w:szCs w:val="18"/>
              </w:rPr>
              <w:t>)</w:t>
            </w:r>
          </w:p>
        </w:tc>
        <w:tc>
          <w:tcPr>
            <w:tcW w:w="1474" w:type="dxa"/>
            <w:tcBorders>
              <w:top w:val="single" w:sz="4" w:space="0" w:color="D6D6D6"/>
              <w:bottom w:val="single" w:sz="4" w:space="0" w:color="D6D6D6"/>
            </w:tcBorders>
            <w:shd w:val="clear" w:color="auto" w:fill="FFFFFF" w:themeFill="background2"/>
          </w:tcPr>
          <w:p w14:paraId="77693ABD" w14:textId="77777777" w:rsidR="003C41BD" w:rsidRPr="00E71F65" w:rsidRDefault="003C41BD" w:rsidP="00B15944">
            <w:pPr>
              <w:pStyle w:val="Body-Financial"/>
              <w:spacing w:before="20" w:after="0"/>
              <w:rPr>
                <w:sz w:val="18"/>
                <w:szCs w:val="18"/>
              </w:rPr>
            </w:pPr>
            <w:r>
              <w:rPr>
                <w:sz w:val="18"/>
                <w:szCs w:val="18"/>
              </w:rPr>
              <w:t>Organisational structure</w:t>
            </w:r>
          </w:p>
        </w:tc>
        <w:tc>
          <w:tcPr>
            <w:tcW w:w="737" w:type="dxa"/>
            <w:tcBorders>
              <w:top w:val="single" w:sz="4" w:space="0" w:color="D6D6D6"/>
              <w:bottom w:val="single" w:sz="4" w:space="0" w:color="D6D6D6"/>
            </w:tcBorders>
            <w:shd w:val="clear" w:color="auto" w:fill="FFFFFF" w:themeFill="background2"/>
          </w:tcPr>
          <w:p w14:paraId="1AFF56EE" w14:textId="060137A4" w:rsidR="003C41BD" w:rsidRPr="00E71F65" w:rsidRDefault="003C41BD"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50B69C16" w14:textId="6CF4E37C" w:rsidR="003C41BD" w:rsidRPr="00E71F65" w:rsidRDefault="00B12E4E" w:rsidP="00B15944">
            <w:pPr>
              <w:pStyle w:val="Body-Financial"/>
              <w:spacing w:before="20" w:after="0"/>
              <w:rPr>
                <w:sz w:val="18"/>
                <w:szCs w:val="18"/>
              </w:rPr>
            </w:pPr>
            <w:r w:rsidRPr="00B12E4E">
              <w:rPr>
                <w:sz w:val="18"/>
                <w:szCs w:val="18"/>
                <w:lang w:val="en-PH"/>
              </w:rPr>
              <w:t>Details of any indemnity that applied during the reporting period to the accountable authority, any member of</w:t>
            </w:r>
            <w:r>
              <w:rPr>
                <w:sz w:val="18"/>
                <w:szCs w:val="18"/>
                <w:lang w:val="en-PH"/>
              </w:rPr>
              <w:t> </w:t>
            </w:r>
            <w:r w:rsidRPr="00B12E4E">
              <w:rPr>
                <w:sz w:val="18"/>
                <w:szCs w:val="18"/>
                <w:lang w:val="en-PH"/>
              </w:rPr>
              <w:t>the</w:t>
            </w:r>
            <w:r>
              <w:rPr>
                <w:sz w:val="18"/>
                <w:szCs w:val="18"/>
                <w:lang w:val="en-PH"/>
              </w:rPr>
              <w:t> </w:t>
            </w:r>
            <w:r w:rsidRPr="00B12E4E">
              <w:rPr>
                <w:sz w:val="18"/>
                <w:szCs w:val="18"/>
                <w:lang w:val="en-PH"/>
              </w:rPr>
              <w:t>accountable authority or officer of</w:t>
            </w:r>
            <w:r>
              <w:rPr>
                <w:sz w:val="18"/>
                <w:szCs w:val="18"/>
                <w:lang w:val="en-PH"/>
              </w:rPr>
              <w:t> </w:t>
            </w:r>
            <w:r w:rsidRPr="00B12E4E">
              <w:rPr>
                <w:sz w:val="18"/>
                <w:szCs w:val="18"/>
                <w:lang w:val="en-PH"/>
              </w:rPr>
              <w:t>the</w:t>
            </w:r>
            <w:r>
              <w:rPr>
                <w:sz w:val="18"/>
                <w:szCs w:val="18"/>
                <w:lang w:val="en-PH"/>
              </w:rPr>
              <w:t> </w:t>
            </w:r>
            <w:r w:rsidRPr="00B12E4E">
              <w:rPr>
                <w:sz w:val="18"/>
                <w:szCs w:val="18"/>
                <w:lang w:val="en-PH"/>
              </w:rPr>
              <w:t>entity against a liability (including premiums paid, or agreed to be paid, for insurance against the authority, member or officer’s liability for legal costs)</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088ED79B" w14:textId="531C9327" w:rsidR="003C41BD" w:rsidRPr="00E71F65" w:rsidRDefault="00B12E4E" w:rsidP="00B15944">
            <w:pPr>
              <w:pStyle w:val="Body-Financial"/>
              <w:spacing w:before="20" w:after="0"/>
              <w:rPr>
                <w:sz w:val="18"/>
                <w:szCs w:val="18"/>
              </w:rPr>
            </w:pPr>
            <w:r>
              <w:rPr>
                <w:sz w:val="18"/>
                <w:szCs w:val="18"/>
              </w:rPr>
              <w:t>If applicable, mandatory</w:t>
            </w:r>
          </w:p>
        </w:tc>
      </w:tr>
      <w:tr w:rsidR="003C41BD" w:rsidRPr="00E71F65" w14:paraId="4A9A0CD9"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60FA67B1" w14:textId="60C68F6D" w:rsidR="003C41BD" w:rsidRPr="00E71F65" w:rsidRDefault="003C41BD" w:rsidP="00B15944">
            <w:pPr>
              <w:pStyle w:val="Body-Financial"/>
              <w:spacing w:before="20" w:after="0"/>
              <w:rPr>
                <w:sz w:val="18"/>
                <w:szCs w:val="18"/>
              </w:rPr>
            </w:pPr>
            <w:r>
              <w:rPr>
                <w:sz w:val="18"/>
                <w:szCs w:val="18"/>
              </w:rPr>
              <w:t>17BE(</w:t>
            </w:r>
            <w:r w:rsidR="00B12E4E">
              <w:rPr>
                <w:sz w:val="18"/>
                <w:szCs w:val="18"/>
              </w:rPr>
              <w:t>ta</w:t>
            </w:r>
            <w:r>
              <w:rPr>
                <w:sz w:val="18"/>
                <w:szCs w:val="18"/>
              </w:rPr>
              <w:t>)</w:t>
            </w:r>
          </w:p>
        </w:tc>
        <w:tc>
          <w:tcPr>
            <w:tcW w:w="1474" w:type="dxa"/>
            <w:tcBorders>
              <w:top w:val="single" w:sz="4" w:space="0" w:color="D6D6D6"/>
              <w:bottom w:val="single" w:sz="4" w:space="0" w:color="D6D6D6"/>
            </w:tcBorders>
            <w:shd w:val="clear" w:color="auto" w:fill="FFFFFF" w:themeFill="background2"/>
          </w:tcPr>
          <w:p w14:paraId="0168DC87" w14:textId="4C1B2495" w:rsidR="003C41BD" w:rsidRPr="00E71F65" w:rsidRDefault="003C41BD" w:rsidP="00B15944">
            <w:pPr>
              <w:pStyle w:val="Body-Financial"/>
              <w:spacing w:before="20" w:after="0"/>
              <w:rPr>
                <w:sz w:val="18"/>
                <w:szCs w:val="18"/>
              </w:rPr>
            </w:pPr>
            <w:r>
              <w:rPr>
                <w:sz w:val="18"/>
                <w:szCs w:val="18"/>
              </w:rPr>
              <w:t xml:space="preserve">Key </w:t>
            </w:r>
            <w:r w:rsidR="00B12E4E">
              <w:rPr>
                <w:sz w:val="18"/>
                <w:szCs w:val="18"/>
              </w:rPr>
              <w:t>management personnel</w:t>
            </w:r>
          </w:p>
        </w:tc>
        <w:tc>
          <w:tcPr>
            <w:tcW w:w="737" w:type="dxa"/>
            <w:tcBorders>
              <w:top w:val="single" w:sz="4" w:space="0" w:color="D6D6D6"/>
              <w:bottom w:val="single" w:sz="4" w:space="0" w:color="D6D6D6"/>
            </w:tcBorders>
            <w:shd w:val="clear" w:color="auto" w:fill="FFFFFF" w:themeFill="background2"/>
          </w:tcPr>
          <w:p w14:paraId="2EE0D7BF" w14:textId="4B61C206" w:rsidR="003C41BD" w:rsidRPr="00E71F65" w:rsidRDefault="00000000" w:rsidP="00B15944">
            <w:pPr>
              <w:pStyle w:val="Body-Financial"/>
              <w:spacing w:before="20" w:after="0"/>
              <w:rPr>
                <w:sz w:val="18"/>
                <w:szCs w:val="18"/>
              </w:rPr>
            </w:pPr>
            <w:hyperlink w:anchor="KeyManagementPersonnel" w:history="1">
              <w:r w:rsidR="00B12E4E" w:rsidRPr="00AA0B22">
                <w:rPr>
                  <w:rStyle w:val="Hyperlink"/>
                  <w:sz w:val="18"/>
                  <w:szCs w:val="18"/>
                </w:rPr>
                <w:t>72</w:t>
              </w:r>
            </w:hyperlink>
          </w:p>
        </w:tc>
        <w:tc>
          <w:tcPr>
            <w:tcW w:w="3231" w:type="dxa"/>
            <w:tcBorders>
              <w:top w:val="single" w:sz="4" w:space="0" w:color="D6D6D6"/>
              <w:bottom w:val="single" w:sz="4" w:space="0" w:color="D6D6D6"/>
            </w:tcBorders>
            <w:shd w:val="clear" w:color="auto" w:fill="FFFFFF" w:themeFill="background2"/>
          </w:tcPr>
          <w:p w14:paraId="02C196C7" w14:textId="7F01656D" w:rsidR="003C41BD" w:rsidRPr="00E71F65" w:rsidRDefault="00B12E4E" w:rsidP="00B15944">
            <w:pPr>
              <w:pStyle w:val="Body-Financial"/>
              <w:spacing w:before="20" w:after="0"/>
              <w:rPr>
                <w:sz w:val="18"/>
                <w:szCs w:val="18"/>
              </w:rPr>
            </w:pPr>
            <w:r w:rsidRPr="00B12E4E">
              <w:rPr>
                <w:sz w:val="18"/>
                <w:szCs w:val="18"/>
                <w:lang w:val="en-PH"/>
              </w:rPr>
              <w:t>Information about executive remuneration</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57C20DD8" w14:textId="77777777" w:rsidR="003C41BD" w:rsidRPr="00E71F65" w:rsidRDefault="003C41BD" w:rsidP="00B15944">
            <w:pPr>
              <w:pStyle w:val="Body-Financial"/>
              <w:spacing w:before="20" w:after="0"/>
              <w:rPr>
                <w:sz w:val="18"/>
                <w:szCs w:val="18"/>
              </w:rPr>
            </w:pPr>
            <w:r>
              <w:rPr>
                <w:sz w:val="18"/>
                <w:szCs w:val="18"/>
              </w:rPr>
              <w:t>Mandatory</w:t>
            </w:r>
          </w:p>
        </w:tc>
      </w:tr>
      <w:tr w:rsidR="00165DDA" w:rsidRPr="00E71F65" w14:paraId="2B77DB75" w14:textId="77777777" w:rsidTr="00A4285B">
        <w:trPr>
          <w:cnfStyle w:val="100000000000" w:firstRow="1" w:lastRow="0" w:firstColumn="0" w:lastColumn="0" w:oddVBand="0" w:evenVBand="0" w:oddHBand="0" w:evenHBand="0" w:firstRowFirstColumn="0" w:firstRowLastColumn="0" w:lastRowFirstColumn="0" w:lastRowLastColumn="0"/>
          <w:trHeight w:val="3799"/>
        </w:trPr>
        <w:tc>
          <w:tcPr>
            <w:tcW w:w="1077" w:type="dxa"/>
            <w:tcBorders>
              <w:top w:val="single" w:sz="4" w:space="0" w:color="D6D6D6"/>
              <w:bottom w:val="single" w:sz="4" w:space="0" w:color="D6D6D6"/>
            </w:tcBorders>
            <w:shd w:val="clear" w:color="auto" w:fill="FFFFFF" w:themeFill="background2"/>
          </w:tcPr>
          <w:p w14:paraId="125A33AB" w14:textId="1E1DEB69" w:rsidR="00165DDA" w:rsidRDefault="00165DDA" w:rsidP="00B15944">
            <w:pPr>
              <w:pStyle w:val="Body-Financial"/>
              <w:spacing w:before="20" w:after="0"/>
              <w:rPr>
                <w:sz w:val="18"/>
                <w:szCs w:val="18"/>
              </w:rPr>
            </w:pPr>
            <w:r>
              <w:rPr>
                <w:sz w:val="18"/>
                <w:szCs w:val="18"/>
              </w:rPr>
              <w:t>17BE(taa)</w:t>
            </w:r>
          </w:p>
        </w:tc>
        <w:tc>
          <w:tcPr>
            <w:tcW w:w="1474" w:type="dxa"/>
            <w:tcBorders>
              <w:top w:val="single" w:sz="4" w:space="0" w:color="D6D6D6"/>
              <w:bottom w:val="single" w:sz="4" w:space="0" w:color="D6D6D6"/>
            </w:tcBorders>
            <w:shd w:val="clear" w:color="auto" w:fill="FFFFFF" w:themeFill="background2"/>
          </w:tcPr>
          <w:p w14:paraId="297CE8FC" w14:textId="0EE58DEB" w:rsidR="00165DDA" w:rsidRDefault="003C486E" w:rsidP="00B15944">
            <w:pPr>
              <w:pStyle w:val="Body-Financial"/>
              <w:spacing w:before="20" w:after="0"/>
              <w:rPr>
                <w:sz w:val="18"/>
                <w:szCs w:val="18"/>
              </w:rPr>
            </w:pPr>
            <w:r>
              <w:rPr>
                <w:sz w:val="18"/>
                <w:szCs w:val="18"/>
              </w:rPr>
              <w:t>Audit, Risk and Compliance Committee</w:t>
            </w:r>
          </w:p>
        </w:tc>
        <w:tc>
          <w:tcPr>
            <w:tcW w:w="737" w:type="dxa"/>
            <w:tcBorders>
              <w:top w:val="single" w:sz="4" w:space="0" w:color="D6D6D6"/>
              <w:bottom w:val="single" w:sz="4" w:space="0" w:color="D6D6D6"/>
            </w:tcBorders>
            <w:shd w:val="clear" w:color="auto" w:fill="FFFFFF" w:themeFill="background2"/>
          </w:tcPr>
          <w:p w14:paraId="3802D86D" w14:textId="22CF3F0B" w:rsidR="00165DDA" w:rsidRDefault="00000000" w:rsidP="00B15944">
            <w:pPr>
              <w:pStyle w:val="Body-Financial"/>
              <w:spacing w:before="20" w:after="0"/>
              <w:rPr>
                <w:sz w:val="18"/>
                <w:szCs w:val="18"/>
              </w:rPr>
            </w:pPr>
            <w:hyperlink w:anchor="AuditRiskandComplianceCommittee" w:history="1">
              <w:r w:rsidR="00B50350" w:rsidRPr="00B50350">
                <w:rPr>
                  <w:rStyle w:val="Hyperlink"/>
                  <w:sz w:val="18"/>
                  <w:szCs w:val="18"/>
                </w:rPr>
                <w:t>73-75</w:t>
              </w:r>
            </w:hyperlink>
          </w:p>
        </w:tc>
        <w:tc>
          <w:tcPr>
            <w:tcW w:w="3231" w:type="dxa"/>
            <w:tcBorders>
              <w:top w:val="single" w:sz="4" w:space="0" w:color="D6D6D6"/>
              <w:bottom w:val="single" w:sz="4" w:space="0" w:color="D6D6D6"/>
            </w:tcBorders>
            <w:shd w:val="clear" w:color="auto" w:fill="FFFFFF" w:themeFill="background2"/>
          </w:tcPr>
          <w:p w14:paraId="4434A320" w14:textId="77777777" w:rsidR="00165DDA" w:rsidRDefault="00165DDA" w:rsidP="00B15944">
            <w:pPr>
              <w:pStyle w:val="Body-Financial"/>
              <w:spacing w:before="20" w:after="0"/>
              <w:rPr>
                <w:sz w:val="18"/>
                <w:szCs w:val="18"/>
                <w:lang w:val="en-PH"/>
              </w:rPr>
            </w:pPr>
            <w:r>
              <w:rPr>
                <w:sz w:val="18"/>
                <w:szCs w:val="18"/>
                <w:lang w:val="en-PH"/>
              </w:rPr>
              <w:t>The following information about the audit committee for the entity:</w:t>
            </w:r>
          </w:p>
          <w:p w14:paraId="4D1BE2C1" w14:textId="77777777" w:rsidR="00165DDA" w:rsidRDefault="00165DDA" w:rsidP="00B15944">
            <w:pPr>
              <w:pStyle w:val="Body-Financial"/>
              <w:spacing w:before="20" w:after="0"/>
              <w:rPr>
                <w:sz w:val="18"/>
                <w:szCs w:val="18"/>
                <w:lang w:val="en-US"/>
              </w:rPr>
            </w:pPr>
            <w:r>
              <w:rPr>
                <w:sz w:val="18"/>
                <w:szCs w:val="18"/>
                <w:lang w:val="en-PH"/>
              </w:rPr>
              <w:t xml:space="preserve">(a) </w:t>
            </w:r>
            <w:r w:rsidRPr="00165DDA">
              <w:rPr>
                <w:sz w:val="18"/>
                <w:szCs w:val="18"/>
                <w:lang w:val="en-US"/>
              </w:rPr>
              <w:t>a direct electronic address of the charter determining the functions of the audit committee;</w:t>
            </w:r>
          </w:p>
          <w:p w14:paraId="3CAD2F05" w14:textId="770A7C33" w:rsidR="00165DDA" w:rsidRDefault="00165DDA" w:rsidP="00B15944">
            <w:pPr>
              <w:pStyle w:val="Body-Financial"/>
              <w:spacing w:before="20" w:after="0"/>
              <w:rPr>
                <w:sz w:val="18"/>
                <w:szCs w:val="18"/>
                <w:lang w:val="en-US"/>
              </w:rPr>
            </w:pPr>
            <w:r>
              <w:rPr>
                <w:sz w:val="18"/>
                <w:szCs w:val="18"/>
                <w:lang w:val="en-PH"/>
              </w:rPr>
              <w:t xml:space="preserve">(b) </w:t>
            </w:r>
            <w:r w:rsidRPr="00165DDA">
              <w:rPr>
                <w:sz w:val="18"/>
                <w:szCs w:val="18"/>
                <w:lang w:val="en-US"/>
              </w:rPr>
              <w:t>the name of each member of the audit</w:t>
            </w:r>
            <w:r w:rsidR="003C486E">
              <w:rPr>
                <w:sz w:val="18"/>
                <w:szCs w:val="18"/>
                <w:lang w:val="en-US"/>
              </w:rPr>
              <w:t> </w:t>
            </w:r>
            <w:r w:rsidRPr="00165DDA">
              <w:rPr>
                <w:sz w:val="18"/>
                <w:szCs w:val="18"/>
                <w:lang w:val="en-US"/>
              </w:rPr>
              <w:t>committee;</w:t>
            </w:r>
          </w:p>
          <w:p w14:paraId="74F9FED5" w14:textId="0F58B45C" w:rsidR="00165DDA" w:rsidRDefault="00165DDA" w:rsidP="00B15944">
            <w:pPr>
              <w:pStyle w:val="Body-Financial"/>
              <w:spacing w:before="20" w:after="0"/>
              <w:rPr>
                <w:sz w:val="18"/>
                <w:szCs w:val="18"/>
                <w:lang w:val="en-US"/>
              </w:rPr>
            </w:pPr>
            <w:r>
              <w:rPr>
                <w:sz w:val="18"/>
                <w:szCs w:val="18"/>
                <w:lang w:val="en-US"/>
              </w:rPr>
              <w:t xml:space="preserve">(c) </w:t>
            </w:r>
            <w:r w:rsidRPr="00165DDA">
              <w:rPr>
                <w:sz w:val="18"/>
                <w:szCs w:val="18"/>
                <w:lang w:val="en-US"/>
              </w:rPr>
              <w:t>the qualifications, knowledge, skills</w:t>
            </w:r>
            <w:r w:rsidR="003C486E">
              <w:rPr>
                <w:sz w:val="18"/>
                <w:szCs w:val="18"/>
                <w:lang w:val="en-US"/>
              </w:rPr>
              <w:t> </w:t>
            </w:r>
            <w:r w:rsidRPr="00165DDA">
              <w:rPr>
                <w:sz w:val="18"/>
                <w:szCs w:val="18"/>
                <w:lang w:val="en-US"/>
              </w:rPr>
              <w:t>or</w:t>
            </w:r>
            <w:r w:rsidR="003C486E">
              <w:rPr>
                <w:sz w:val="18"/>
                <w:szCs w:val="18"/>
                <w:lang w:val="en-US"/>
              </w:rPr>
              <w:t> </w:t>
            </w:r>
            <w:r w:rsidRPr="00165DDA">
              <w:rPr>
                <w:sz w:val="18"/>
                <w:szCs w:val="18"/>
                <w:lang w:val="en-US"/>
              </w:rPr>
              <w:t>experience of each member of the</w:t>
            </w:r>
            <w:r w:rsidR="003C486E">
              <w:rPr>
                <w:sz w:val="18"/>
                <w:szCs w:val="18"/>
                <w:lang w:val="en-US"/>
              </w:rPr>
              <w:t> </w:t>
            </w:r>
            <w:r w:rsidRPr="00165DDA">
              <w:rPr>
                <w:sz w:val="18"/>
                <w:szCs w:val="18"/>
                <w:lang w:val="en-US"/>
              </w:rPr>
              <w:t>audit</w:t>
            </w:r>
            <w:r w:rsidR="003C486E">
              <w:rPr>
                <w:sz w:val="18"/>
                <w:szCs w:val="18"/>
                <w:lang w:val="en-US"/>
              </w:rPr>
              <w:t> </w:t>
            </w:r>
            <w:r w:rsidRPr="00165DDA">
              <w:rPr>
                <w:sz w:val="18"/>
                <w:szCs w:val="18"/>
                <w:lang w:val="en-US"/>
              </w:rPr>
              <w:t>committee;</w:t>
            </w:r>
          </w:p>
          <w:p w14:paraId="340E004C" w14:textId="77777777" w:rsidR="00165DDA" w:rsidRDefault="00165DDA" w:rsidP="00B15944">
            <w:pPr>
              <w:pStyle w:val="Body-Financial"/>
              <w:spacing w:before="20" w:after="0"/>
              <w:rPr>
                <w:sz w:val="18"/>
                <w:szCs w:val="18"/>
                <w:lang w:val="en-US"/>
              </w:rPr>
            </w:pPr>
            <w:r>
              <w:rPr>
                <w:sz w:val="18"/>
                <w:szCs w:val="18"/>
                <w:lang w:val="en-US"/>
              </w:rPr>
              <w:t xml:space="preserve">(d) </w:t>
            </w:r>
            <w:r w:rsidRPr="00165DDA">
              <w:rPr>
                <w:sz w:val="18"/>
                <w:szCs w:val="18"/>
                <w:lang w:val="en-US"/>
              </w:rPr>
              <w:t>information about each member’s attendance at meetings of the audit committee;</w:t>
            </w:r>
          </w:p>
          <w:p w14:paraId="60358F02" w14:textId="3A9128C4" w:rsidR="00165DDA" w:rsidRPr="00B12E4E" w:rsidRDefault="00165DDA" w:rsidP="00B15944">
            <w:pPr>
              <w:pStyle w:val="Body-Financial"/>
              <w:spacing w:before="20" w:after="0"/>
              <w:rPr>
                <w:sz w:val="18"/>
                <w:szCs w:val="18"/>
                <w:lang w:val="en-PH"/>
              </w:rPr>
            </w:pPr>
            <w:r>
              <w:rPr>
                <w:sz w:val="18"/>
                <w:szCs w:val="18"/>
                <w:lang w:val="en-US"/>
              </w:rPr>
              <w:t xml:space="preserve">(e) </w:t>
            </w:r>
            <w:r w:rsidRPr="00165DDA">
              <w:rPr>
                <w:sz w:val="18"/>
                <w:szCs w:val="18"/>
                <w:lang w:val="en-US"/>
              </w:rPr>
              <w:t>the remuneration of each member of the</w:t>
            </w:r>
            <w:r w:rsidR="003C486E">
              <w:rPr>
                <w:sz w:val="18"/>
                <w:szCs w:val="18"/>
                <w:lang w:val="en-US"/>
              </w:rPr>
              <w:t> </w:t>
            </w:r>
            <w:r w:rsidRPr="00165DDA">
              <w:rPr>
                <w:sz w:val="18"/>
                <w:szCs w:val="18"/>
                <w:lang w:val="en-US"/>
              </w:rPr>
              <w:t>audit committee.</w:t>
            </w:r>
          </w:p>
        </w:tc>
        <w:tc>
          <w:tcPr>
            <w:tcW w:w="1191" w:type="dxa"/>
            <w:tcBorders>
              <w:top w:val="single" w:sz="4" w:space="0" w:color="D6D6D6"/>
              <w:bottom w:val="single" w:sz="4" w:space="0" w:color="D6D6D6"/>
            </w:tcBorders>
            <w:shd w:val="clear" w:color="auto" w:fill="FFFFFF" w:themeFill="background2"/>
          </w:tcPr>
          <w:p w14:paraId="01BC2F86" w14:textId="1EAA62E5" w:rsidR="00165DDA" w:rsidRDefault="00165DDA" w:rsidP="00B15944">
            <w:pPr>
              <w:pStyle w:val="Body-Financial"/>
              <w:spacing w:before="20" w:after="0"/>
              <w:rPr>
                <w:sz w:val="18"/>
                <w:szCs w:val="18"/>
              </w:rPr>
            </w:pPr>
            <w:r>
              <w:rPr>
                <w:sz w:val="18"/>
                <w:szCs w:val="18"/>
              </w:rPr>
              <w:t>Mandatory</w:t>
            </w:r>
          </w:p>
        </w:tc>
      </w:tr>
    </w:tbl>
    <w:p w14:paraId="5656B1F8" w14:textId="43D643A0" w:rsidR="005410FE" w:rsidRDefault="005410FE" w:rsidP="00E71F65">
      <w:pPr>
        <w:pStyle w:val="Body"/>
      </w:pPr>
    </w:p>
    <w:p w14:paraId="5C7C8F96" w14:textId="77777777" w:rsidR="005410FE" w:rsidRDefault="005410FE" w:rsidP="003601F1">
      <w:pPr>
        <w:pStyle w:val="TOCBody"/>
        <w:sectPr w:rsidR="005410FE" w:rsidSect="005410FE">
          <w:footerReference w:type="default" r:id="rId219"/>
          <w:footnotePr>
            <w:pos w:val="beneathText"/>
          </w:footnotePr>
          <w:pgSz w:w="9979" w:h="14175" w:code="13"/>
          <w:pgMar w:top="1134" w:right="1134" w:bottom="1134" w:left="1134" w:header="709" w:footer="709" w:gutter="0"/>
          <w:cols w:space="623"/>
          <w:docGrid w:linePitch="360"/>
        </w:sectPr>
      </w:pPr>
    </w:p>
    <w:tbl>
      <w:tblPr>
        <w:tblStyle w:val="TableGrid"/>
        <w:tblW w:w="0" w:type="auto"/>
        <w:tblLook w:val="04A0" w:firstRow="1" w:lastRow="0" w:firstColumn="1" w:lastColumn="0" w:noHBand="0" w:noVBand="1"/>
      </w:tblPr>
      <w:tblGrid>
        <w:gridCol w:w="1077"/>
        <w:gridCol w:w="1474"/>
        <w:gridCol w:w="737"/>
        <w:gridCol w:w="3231"/>
        <w:gridCol w:w="1191"/>
      </w:tblGrid>
      <w:tr w:rsidR="001532F1" w:rsidRPr="00E71F65" w14:paraId="7502D455"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shd w:val="clear" w:color="auto" w:fill="424242"/>
          </w:tcPr>
          <w:p w14:paraId="42B03DBB" w14:textId="77777777" w:rsidR="001532F1" w:rsidRPr="00E71F65" w:rsidRDefault="001532F1" w:rsidP="00B15944">
            <w:pPr>
              <w:pStyle w:val="Body-Financial"/>
              <w:spacing w:before="60" w:after="58"/>
              <w:rPr>
                <w:b/>
                <w:bCs/>
                <w:color w:val="FFFFFF" w:themeColor="background2"/>
                <w:sz w:val="18"/>
                <w:szCs w:val="18"/>
              </w:rPr>
            </w:pPr>
            <w:r>
              <w:rPr>
                <w:b/>
                <w:bCs/>
                <w:color w:val="FFFFFF" w:themeColor="background2"/>
                <w:sz w:val="18"/>
                <w:szCs w:val="18"/>
              </w:rPr>
              <w:t>PGPA Rule Reference</w:t>
            </w:r>
          </w:p>
        </w:tc>
        <w:tc>
          <w:tcPr>
            <w:tcW w:w="1474" w:type="dxa"/>
            <w:shd w:val="clear" w:color="auto" w:fill="424242"/>
          </w:tcPr>
          <w:p w14:paraId="7E3CF955" w14:textId="77777777" w:rsidR="001532F1" w:rsidRPr="00E71F65" w:rsidRDefault="001532F1" w:rsidP="00B15944">
            <w:pPr>
              <w:pStyle w:val="Body-Financial"/>
              <w:spacing w:before="60" w:after="58"/>
              <w:rPr>
                <w:b/>
                <w:bCs/>
                <w:color w:val="FFFFFF" w:themeColor="background2"/>
                <w:sz w:val="18"/>
                <w:szCs w:val="18"/>
              </w:rPr>
            </w:pPr>
            <w:r>
              <w:rPr>
                <w:b/>
                <w:bCs/>
                <w:color w:val="FFFFFF" w:themeColor="background2"/>
                <w:sz w:val="18"/>
                <w:szCs w:val="18"/>
              </w:rPr>
              <w:t>Part of Report</w:t>
            </w:r>
          </w:p>
        </w:tc>
        <w:tc>
          <w:tcPr>
            <w:tcW w:w="737" w:type="dxa"/>
            <w:shd w:val="clear" w:color="auto" w:fill="424242"/>
          </w:tcPr>
          <w:p w14:paraId="0436403F" w14:textId="77777777" w:rsidR="001532F1" w:rsidRPr="00E71F65" w:rsidRDefault="001532F1" w:rsidP="00B15944">
            <w:pPr>
              <w:pStyle w:val="Body-Financial"/>
              <w:spacing w:before="60" w:after="58"/>
              <w:rPr>
                <w:b/>
                <w:bCs/>
                <w:color w:val="FFFFFF" w:themeColor="background2"/>
                <w:sz w:val="18"/>
                <w:szCs w:val="18"/>
              </w:rPr>
            </w:pPr>
            <w:r>
              <w:rPr>
                <w:b/>
                <w:bCs/>
                <w:color w:val="FFFFFF" w:themeColor="background2"/>
                <w:sz w:val="18"/>
                <w:szCs w:val="18"/>
              </w:rPr>
              <w:t>Page</w:t>
            </w:r>
          </w:p>
        </w:tc>
        <w:tc>
          <w:tcPr>
            <w:tcW w:w="3231" w:type="dxa"/>
            <w:shd w:val="clear" w:color="auto" w:fill="424242"/>
          </w:tcPr>
          <w:p w14:paraId="304B68DC" w14:textId="77777777" w:rsidR="001532F1" w:rsidRPr="00E71F65" w:rsidRDefault="001532F1" w:rsidP="00B15944">
            <w:pPr>
              <w:pStyle w:val="Body-Financial"/>
              <w:spacing w:before="60" w:after="58"/>
              <w:rPr>
                <w:b/>
                <w:bCs/>
                <w:color w:val="FFFFFF" w:themeColor="background2"/>
                <w:sz w:val="18"/>
                <w:szCs w:val="18"/>
              </w:rPr>
            </w:pPr>
            <w:r>
              <w:rPr>
                <w:b/>
                <w:bCs/>
                <w:color w:val="FFFFFF" w:themeColor="background2"/>
                <w:sz w:val="18"/>
                <w:szCs w:val="18"/>
              </w:rPr>
              <w:t>Description</w:t>
            </w:r>
          </w:p>
        </w:tc>
        <w:tc>
          <w:tcPr>
            <w:tcW w:w="1191" w:type="dxa"/>
            <w:shd w:val="clear" w:color="auto" w:fill="424242"/>
          </w:tcPr>
          <w:p w14:paraId="58028DB2" w14:textId="77777777" w:rsidR="001532F1" w:rsidRPr="00E71F65" w:rsidRDefault="001532F1" w:rsidP="00B15944">
            <w:pPr>
              <w:pStyle w:val="Body-Financial"/>
              <w:spacing w:before="60" w:after="58"/>
              <w:rPr>
                <w:b/>
                <w:bCs/>
                <w:color w:val="FFFFFF" w:themeColor="background2"/>
                <w:sz w:val="18"/>
                <w:szCs w:val="18"/>
              </w:rPr>
            </w:pPr>
            <w:r>
              <w:rPr>
                <w:b/>
                <w:bCs/>
                <w:color w:val="FFFFFF" w:themeColor="background2"/>
                <w:sz w:val="18"/>
                <w:szCs w:val="18"/>
              </w:rPr>
              <w:t>Requirement</w:t>
            </w:r>
          </w:p>
        </w:tc>
      </w:tr>
      <w:tr w:rsidR="00A4285B" w:rsidRPr="001532F1" w14:paraId="4E3E572A"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5D590890" w14:textId="77777777" w:rsidR="00A4285B" w:rsidRPr="001532F1" w:rsidRDefault="00A4285B" w:rsidP="00B15944">
            <w:pPr>
              <w:pStyle w:val="Body-Financial"/>
              <w:spacing w:before="20" w:after="0"/>
              <w:rPr>
                <w:b/>
                <w:bCs/>
                <w:sz w:val="18"/>
                <w:szCs w:val="18"/>
              </w:rPr>
            </w:pPr>
            <w:r>
              <w:rPr>
                <w:b/>
                <w:bCs/>
                <w:sz w:val="18"/>
                <w:szCs w:val="18"/>
              </w:rPr>
              <w:t>17BF</w:t>
            </w:r>
          </w:p>
        </w:tc>
        <w:tc>
          <w:tcPr>
            <w:tcW w:w="5442" w:type="dxa"/>
            <w:gridSpan w:val="3"/>
            <w:tcBorders>
              <w:top w:val="single" w:sz="4" w:space="0" w:color="D6D6D6"/>
              <w:bottom w:val="single" w:sz="4" w:space="0" w:color="D6D6D6"/>
            </w:tcBorders>
            <w:shd w:val="clear" w:color="auto" w:fill="FFFFFF" w:themeFill="background2"/>
          </w:tcPr>
          <w:p w14:paraId="3BAA727A" w14:textId="77777777" w:rsidR="00A4285B" w:rsidRPr="001532F1" w:rsidRDefault="00A4285B" w:rsidP="00B15944">
            <w:pPr>
              <w:pStyle w:val="Body-Financial"/>
              <w:spacing w:before="20" w:after="0"/>
              <w:rPr>
                <w:b/>
                <w:bCs/>
                <w:sz w:val="18"/>
                <w:szCs w:val="18"/>
                <w:lang w:val="en-PH"/>
              </w:rPr>
            </w:pPr>
            <w:r>
              <w:rPr>
                <w:b/>
                <w:bCs/>
                <w:sz w:val="18"/>
                <w:szCs w:val="18"/>
                <w:lang w:val="en-PH"/>
              </w:rPr>
              <w:t>Disclosure requirements for government business enterprises</w:t>
            </w:r>
          </w:p>
        </w:tc>
        <w:tc>
          <w:tcPr>
            <w:tcW w:w="1191" w:type="dxa"/>
            <w:tcBorders>
              <w:top w:val="single" w:sz="4" w:space="0" w:color="D6D6D6"/>
              <w:bottom w:val="single" w:sz="4" w:space="0" w:color="D6D6D6"/>
            </w:tcBorders>
            <w:shd w:val="clear" w:color="auto" w:fill="FFFFFF" w:themeFill="background2"/>
          </w:tcPr>
          <w:p w14:paraId="14F676F5" w14:textId="77777777" w:rsidR="00A4285B" w:rsidRPr="001532F1" w:rsidRDefault="00A4285B" w:rsidP="00B15944">
            <w:pPr>
              <w:pStyle w:val="Body-Financial"/>
              <w:spacing w:before="20" w:after="0"/>
              <w:rPr>
                <w:b/>
                <w:bCs/>
                <w:sz w:val="18"/>
                <w:szCs w:val="18"/>
              </w:rPr>
            </w:pPr>
          </w:p>
        </w:tc>
      </w:tr>
      <w:tr w:rsidR="00A4285B" w:rsidRPr="00E71F65" w14:paraId="3CF3B9A5"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0458A688" w14:textId="77777777" w:rsidR="00A4285B" w:rsidRPr="00E71F65" w:rsidRDefault="00A4285B" w:rsidP="00B15944">
            <w:pPr>
              <w:pStyle w:val="Body-Financial"/>
              <w:spacing w:before="20" w:after="0"/>
              <w:rPr>
                <w:sz w:val="18"/>
                <w:szCs w:val="18"/>
              </w:rPr>
            </w:pPr>
            <w:r w:rsidRPr="001532F1">
              <w:rPr>
                <w:sz w:val="18"/>
                <w:szCs w:val="18"/>
                <w:lang w:val="en-PH"/>
              </w:rPr>
              <w:t>17BF(1)(a)</w:t>
            </w:r>
            <w:r w:rsidRPr="001532F1">
              <w:rPr>
                <w:sz w:val="18"/>
                <w:szCs w:val="18"/>
                <w:lang w:val="en-PH"/>
              </w:rPr>
              <w:br/>
              <w:t>(</w:t>
            </w:r>
            <w:r w:rsidRPr="001532F1">
              <w:rPr>
                <w:sz w:val="18"/>
                <w:szCs w:val="18"/>
                <w:rtl/>
              </w:rPr>
              <w:t>‍</w:t>
            </w:r>
            <w:r w:rsidRPr="001532F1">
              <w:rPr>
                <w:sz w:val="18"/>
                <w:szCs w:val="18"/>
                <w:lang w:val="en-PH"/>
              </w:rPr>
              <w:t>i)</w:t>
            </w:r>
          </w:p>
        </w:tc>
        <w:tc>
          <w:tcPr>
            <w:tcW w:w="1474" w:type="dxa"/>
            <w:tcBorders>
              <w:top w:val="single" w:sz="4" w:space="0" w:color="D6D6D6"/>
              <w:bottom w:val="single" w:sz="4" w:space="0" w:color="D6D6D6"/>
            </w:tcBorders>
            <w:shd w:val="clear" w:color="auto" w:fill="FFFFFF" w:themeFill="background2"/>
          </w:tcPr>
          <w:p w14:paraId="57F95731" w14:textId="77777777" w:rsidR="00A4285B" w:rsidRPr="00E71F65" w:rsidRDefault="00A4285B"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1392DDF4" w14:textId="77777777" w:rsidR="00A4285B" w:rsidRPr="00E71F65" w:rsidRDefault="00A4285B"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04598361" w14:textId="77777777" w:rsidR="00A4285B" w:rsidRPr="00E71F65" w:rsidRDefault="00A4285B" w:rsidP="00B15944">
            <w:pPr>
              <w:pStyle w:val="Body-Financial"/>
              <w:spacing w:before="20" w:after="0"/>
              <w:rPr>
                <w:sz w:val="18"/>
                <w:szCs w:val="18"/>
              </w:rPr>
            </w:pPr>
            <w:r w:rsidRPr="001532F1">
              <w:rPr>
                <w:sz w:val="18"/>
                <w:szCs w:val="18"/>
                <w:lang w:val="en-PH"/>
              </w:rPr>
              <w:t>An assessment of significant changes in the entity’s overall financial structure and financial conditions</w:t>
            </w:r>
            <w:r>
              <w:rPr>
                <w:sz w:val="18"/>
                <w:szCs w:val="18"/>
                <w:lang w:val="en-PH"/>
              </w:rPr>
              <w:t>.</w:t>
            </w:r>
            <w:r w:rsidRPr="001532F1">
              <w:rPr>
                <w:sz w:val="18"/>
                <w:szCs w:val="18"/>
              </w:rPr>
              <w:t xml:space="preserve"> </w:t>
            </w:r>
          </w:p>
        </w:tc>
        <w:tc>
          <w:tcPr>
            <w:tcW w:w="1191" w:type="dxa"/>
            <w:tcBorders>
              <w:top w:val="single" w:sz="4" w:space="0" w:color="D6D6D6"/>
              <w:bottom w:val="single" w:sz="4" w:space="0" w:color="D6D6D6"/>
            </w:tcBorders>
            <w:shd w:val="clear" w:color="auto" w:fill="FFFFFF" w:themeFill="background2"/>
          </w:tcPr>
          <w:p w14:paraId="7911DA61" w14:textId="77777777" w:rsidR="00A4285B" w:rsidRPr="00E71F65" w:rsidRDefault="00A4285B" w:rsidP="00B15944">
            <w:pPr>
              <w:pStyle w:val="Body-Financial"/>
              <w:spacing w:before="20" w:after="0"/>
              <w:rPr>
                <w:sz w:val="18"/>
                <w:szCs w:val="18"/>
              </w:rPr>
            </w:pPr>
            <w:r>
              <w:rPr>
                <w:sz w:val="18"/>
                <w:szCs w:val="18"/>
              </w:rPr>
              <w:t>If applicable, mandatory</w:t>
            </w:r>
          </w:p>
        </w:tc>
      </w:tr>
      <w:tr w:rsidR="00A4285B" w14:paraId="5AAE05E2"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6D25B2E6" w14:textId="77777777" w:rsidR="00A4285B" w:rsidRPr="001532F1" w:rsidRDefault="00A4285B" w:rsidP="00B15944">
            <w:pPr>
              <w:pStyle w:val="Body-Financial"/>
              <w:spacing w:before="20" w:after="0"/>
              <w:rPr>
                <w:sz w:val="18"/>
                <w:szCs w:val="18"/>
                <w:lang w:val="en-PH"/>
              </w:rPr>
            </w:pPr>
            <w:r w:rsidRPr="001532F1">
              <w:rPr>
                <w:sz w:val="18"/>
                <w:szCs w:val="18"/>
                <w:lang w:val="en-PH"/>
              </w:rPr>
              <w:t>17BF(1)(a)</w:t>
            </w:r>
            <w:r w:rsidRPr="001532F1">
              <w:rPr>
                <w:sz w:val="18"/>
                <w:szCs w:val="18"/>
                <w:lang w:val="en-PH"/>
              </w:rPr>
              <w:br/>
              <w:t>(ii)</w:t>
            </w:r>
          </w:p>
        </w:tc>
        <w:tc>
          <w:tcPr>
            <w:tcW w:w="1474" w:type="dxa"/>
            <w:tcBorders>
              <w:top w:val="single" w:sz="4" w:space="0" w:color="D6D6D6"/>
              <w:bottom w:val="single" w:sz="4" w:space="0" w:color="D6D6D6"/>
            </w:tcBorders>
            <w:shd w:val="clear" w:color="auto" w:fill="FFFFFF" w:themeFill="background2"/>
          </w:tcPr>
          <w:p w14:paraId="5A4D1817" w14:textId="77777777" w:rsidR="00A4285B" w:rsidRDefault="00A4285B"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5AA211FB" w14:textId="77777777" w:rsidR="00A4285B" w:rsidRPr="00E71F65" w:rsidRDefault="00A4285B"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1698AC0B" w14:textId="77777777" w:rsidR="00A4285B" w:rsidRPr="001532F1" w:rsidRDefault="00A4285B" w:rsidP="00B15944">
            <w:pPr>
              <w:pStyle w:val="Body-Financial"/>
              <w:spacing w:before="20" w:after="0"/>
              <w:rPr>
                <w:sz w:val="18"/>
                <w:szCs w:val="18"/>
                <w:lang w:val="en-PH"/>
              </w:rPr>
            </w:pPr>
            <w:r w:rsidRPr="001532F1">
              <w:rPr>
                <w:sz w:val="18"/>
                <w:szCs w:val="18"/>
                <w:lang w:val="en-PH"/>
              </w:rPr>
              <w:t>An assessment of any events or risks that could cause financial information that is reported not to be indicative of future operations or financial conditions</w:t>
            </w:r>
            <w:r>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7A0CDE03" w14:textId="77777777" w:rsidR="00A4285B" w:rsidRDefault="00A4285B" w:rsidP="00B15944">
            <w:pPr>
              <w:pStyle w:val="Body-Financial"/>
              <w:spacing w:before="20" w:after="0"/>
              <w:rPr>
                <w:sz w:val="18"/>
                <w:szCs w:val="18"/>
              </w:rPr>
            </w:pPr>
            <w:r>
              <w:rPr>
                <w:sz w:val="18"/>
                <w:szCs w:val="18"/>
              </w:rPr>
              <w:t>If applicable, mandatory</w:t>
            </w:r>
          </w:p>
        </w:tc>
      </w:tr>
      <w:tr w:rsidR="001532F1" w:rsidRPr="00E71F65" w14:paraId="04CB86E6"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bottom w:val="single" w:sz="4" w:space="0" w:color="D6D6D6"/>
            </w:tcBorders>
            <w:shd w:val="clear" w:color="auto" w:fill="FFFFFF" w:themeFill="background2"/>
          </w:tcPr>
          <w:p w14:paraId="38C87A9D" w14:textId="1F6214B1" w:rsidR="001532F1" w:rsidRPr="00E71F65" w:rsidRDefault="001532F1" w:rsidP="00B15944">
            <w:pPr>
              <w:pStyle w:val="Body-Financial"/>
              <w:spacing w:before="20" w:after="0"/>
              <w:rPr>
                <w:sz w:val="18"/>
                <w:szCs w:val="18"/>
              </w:rPr>
            </w:pPr>
            <w:r w:rsidRPr="001532F1">
              <w:rPr>
                <w:sz w:val="18"/>
                <w:szCs w:val="18"/>
                <w:lang w:val="en-PH"/>
              </w:rPr>
              <w:t>17BF(1)(b)</w:t>
            </w:r>
          </w:p>
        </w:tc>
        <w:tc>
          <w:tcPr>
            <w:tcW w:w="1474" w:type="dxa"/>
            <w:tcBorders>
              <w:bottom w:val="single" w:sz="4" w:space="0" w:color="D6D6D6"/>
            </w:tcBorders>
            <w:shd w:val="clear" w:color="auto" w:fill="FFFFFF" w:themeFill="background2"/>
          </w:tcPr>
          <w:p w14:paraId="7E149859" w14:textId="77777777" w:rsidR="001532F1" w:rsidRPr="00E71F65" w:rsidRDefault="001532F1" w:rsidP="00B15944">
            <w:pPr>
              <w:pStyle w:val="Body-Financial"/>
              <w:spacing w:before="20" w:after="0"/>
              <w:rPr>
                <w:sz w:val="18"/>
                <w:szCs w:val="18"/>
              </w:rPr>
            </w:pPr>
            <w:r>
              <w:rPr>
                <w:sz w:val="18"/>
                <w:szCs w:val="18"/>
              </w:rPr>
              <w:t>N/A</w:t>
            </w:r>
          </w:p>
        </w:tc>
        <w:tc>
          <w:tcPr>
            <w:tcW w:w="737" w:type="dxa"/>
            <w:tcBorders>
              <w:bottom w:val="single" w:sz="4" w:space="0" w:color="D6D6D6"/>
            </w:tcBorders>
            <w:shd w:val="clear" w:color="auto" w:fill="FFFFFF" w:themeFill="background2"/>
          </w:tcPr>
          <w:p w14:paraId="77257AD3" w14:textId="77777777" w:rsidR="001532F1" w:rsidRPr="00E71F65" w:rsidRDefault="001532F1" w:rsidP="00B15944">
            <w:pPr>
              <w:pStyle w:val="Body-Financial"/>
              <w:spacing w:before="20" w:after="0"/>
              <w:rPr>
                <w:sz w:val="18"/>
                <w:szCs w:val="18"/>
              </w:rPr>
            </w:pPr>
          </w:p>
        </w:tc>
        <w:tc>
          <w:tcPr>
            <w:tcW w:w="3231" w:type="dxa"/>
            <w:tcBorders>
              <w:bottom w:val="single" w:sz="4" w:space="0" w:color="D6D6D6"/>
            </w:tcBorders>
            <w:shd w:val="clear" w:color="auto" w:fill="FFFFFF" w:themeFill="background2"/>
          </w:tcPr>
          <w:p w14:paraId="73E5F174" w14:textId="334A83E9" w:rsidR="001532F1" w:rsidRPr="00E71F65" w:rsidRDefault="001532F1" w:rsidP="00B15944">
            <w:pPr>
              <w:pStyle w:val="Body-Financial"/>
              <w:spacing w:before="20" w:after="0"/>
              <w:rPr>
                <w:sz w:val="18"/>
                <w:szCs w:val="18"/>
              </w:rPr>
            </w:pPr>
            <w:r w:rsidRPr="001532F1">
              <w:rPr>
                <w:sz w:val="18"/>
                <w:szCs w:val="18"/>
                <w:lang w:val="en-PH"/>
              </w:rPr>
              <w:t>Information on dividends paid or recommended</w:t>
            </w:r>
            <w:r w:rsidR="00DD5A23">
              <w:rPr>
                <w:sz w:val="18"/>
                <w:szCs w:val="18"/>
                <w:lang w:val="en-PH"/>
              </w:rPr>
              <w:t>.</w:t>
            </w:r>
          </w:p>
        </w:tc>
        <w:tc>
          <w:tcPr>
            <w:tcW w:w="1191" w:type="dxa"/>
            <w:tcBorders>
              <w:bottom w:val="single" w:sz="4" w:space="0" w:color="D6D6D6"/>
            </w:tcBorders>
            <w:shd w:val="clear" w:color="auto" w:fill="FFFFFF" w:themeFill="background2"/>
          </w:tcPr>
          <w:p w14:paraId="576CD245" w14:textId="77777777" w:rsidR="001532F1" w:rsidRPr="00E71F65" w:rsidRDefault="001532F1" w:rsidP="00B15944">
            <w:pPr>
              <w:pStyle w:val="Body-Financial"/>
              <w:spacing w:before="20" w:after="0"/>
              <w:rPr>
                <w:sz w:val="18"/>
                <w:szCs w:val="18"/>
              </w:rPr>
            </w:pPr>
            <w:r>
              <w:rPr>
                <w:sz w:val="18"/>
                <w:szCs w:val="18"/>
              </w:rPr>
              <w:t>If applicable, mandatory</w:t>
            </w:r>
          </w:p>
        </w:tc>
      </w:tr>
      <w:tr w:rsidR="001532F1" w:rsidRPr="00E71F65" w14:paraId="1F0EA19E"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0F02D344" w14:textId="0F057C11" w:rsidR="001532F1" w:rsidRPr="00E71F65" w:rsidRDefault="001532F1" w:rsidP="00B15944">
            <w:pPr>
              <w:pStyle w:val="Body-Financial"/>
              <w:spacing w:before="20" w:after="0"/>
              <w:rPr>
                <w:sz w:val="18"/>
                <w:szCs w:val="18"/>
              </w:rPr>
            </w:pPr>
            <w:r w:rsidRPr="001532F1">
              <w:rPr>
                <w:sz w:val="18"/>
                <w:szCs w:val="18"/>
                <w:lang w:val="en-PH"/>
              </w:rPr>
              <w:t>17BF(1)(c)</w:t>
            </w:r>
          </w:p>
        </w:tc>
        <w:tc>
          <w:tcPr>
            <w:tcW w:w="1474" w:type="dxa"/>
            <w:tcBorders>
              <w:top w:val="single" w:sz="4" w:space="0" w:color="D6D6D6"/>
              <w:bottom w:val="single" w:sz="4" w:space="0" w:color="D6D6D6"/>
            </w:tcBorders>
            <w:shd w:val="clear" w:color="auto" w:fill="FFFFFF" w:themeFill="background2"/>
          </w:tcPr>
          <w:p w14:paraId="7A6F8388" w14:textId="77777777" w:rsidR="001532F1" w:rsidRPr="00E71F65" w:rsidRDefault="001532F1"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23160293" w14:textId="77777777" w:rsidR="001532F1" w:rsidRPr="00E71F65" w:rsidRDefault="001532F1"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65EC6F3D" w14:textId="77777777" w:rsidR="001532F1" w:rsidRPr="001532F1" w:rsidRDefault="001532F1" w:rsidP="001532F1">
            <w:pPr>
              <w:spacing w:before="16" w:line="259" w:lineRule="auto"/>
              <w:rPr>
                <w:color w:val="1C1C1C"/>
                <w:sz w:val="18"/>
                <w:szCs w:val="18"/>
                <w:lang w:val="en-PH"/>
              </w:rPr>
            </w:pPr>
            <w:r w:rsidRPr="001532F1">
              <w:rPr>
                <w:color w:val="1C1C1C"/>
                <w:sz w:val="18"/>
                <w:szCs w:val="18"/>
                <w:lang w:val="en-PH"/>
              </w:rPr>
              <w:t>Details of any community service obligations the government business enterprise has including:</w:t>
            </w:r>
          </w:p>
          <w:p w14:paraId="3A74600F" w14:textId="77777777" w:rsidR="001532F1" w:rsidRPr="001532F1" w:rsidRDefault="001532F1" w:rsidP="001532F1">
            <w:pPr>
              <w:spacing w:before="16" w:line="259" w:lineRule="auto"/>
              <w:rPr>
                <w:color w:val="1C1C1C"/>
                <w:sz w:val="18"/>
                <w:szCs w:val="18"/>
                <w:lang w:val="en-PH"/>
              </w:rPr>
            </w:pPr>
            <w:r w:rsidRPr="001532F1">
              <w:rPr>
                <w:color w:val="1C1C1C"/>
                <w:sz w:val="18"/>
                <w:szCs w:val="18"/>
                <w:lang w:val="en-PH"/>
              </w:rPr>
              <w:t>(a) an outline of actions taken to fulfil those obligations, and</w:t>
            </w:r>
          </w:p>
          <w:p w14:paraId="1E6D9925" w14:textId="54D884E5" w:rsidR="001532F1" w:rsidRPr="00E71F65" w:rsidRDefault="001532F1" w:rsidP="001532F1">
            <w:pPr>
              <w:pStyle w:val="Body-Financial"/>
              <w:spacing w:before="16" w:after="0"/>
              <w:rPr>
                <w:sz w:val="18"/>
                <w:szCs w:val="18"/>
              </w:rPr>
            </w:pPr>
            <w:r w:rsidRPr="001532F1">
              <w:rPr>
                <w:color w:val="auto"/>
                <w:sz w:val="18"/>
                <w:szCs w:val="18"/>
                <w:lang w:val="en-PH"/>
              </w:rPr>
              <w:t>(b) an assessment of the cost of fulfilling those obligations</w:t>
            </w:r>
            <w:r w:rsidR="00DD5A23">
              <w:rPr>
                <w:color w:val="auto"/>
                <w:sz w:val="18"/>
                <w:szCs w:val="18"/>
                <w:lang w:val="en-PH"/>
              </w:rPr>
              <w:t>.</w:t>
            </w:r>
          </w:p>
        </w:tc>
        <w:tc>
          <w:tcPr>
            <w:tcW w:w="1191" w:type="dxa"/>
            <w:tcBorders>
              <w:top w:val="single" w:sz="4" w:space="0" w:color="D6D6D6"/>
              <w:bottom w:val="single" w:sz="4" w:space="0" w:color="D6D6D6"/>
            </w:tcBorders>
            <w:shd w:val="clear" w:color="auto" w:fill="FFFFFF" w:themeFill="background2"/>
          </w:tcPr>
          <w:p w14:paraId="6D98EED0" w14:textId="77777777" w:rsidR="001532F1" w:rsidRPr="00E71F65" w:rsidRDefault="001532F1" w:rsidP="00B15944">
            <w:pPr>
              <w:pStyle w:val="Body-Financial"/>
              <w:spacing w:before="20" w:after="0"/>
              <w:rPr>
                <w:sz w:val="18"/>
                <w:szCs w:val="18"/>
              </w:rPr>
            </w:pPr>
            <w:r>
              <w:rPr>
                <w:sz w:val="18"/>
                <w:szCs w:val="18"/>
              </w:rPr>
              <w:t>If applicable, mandatory</w:t>
            </w:r>
          </w:p>
        </w:tc>
      </w:tr>
      <w:tr w:rsidR="001532F1" w:rsidRPr="00E71F65" w14:paraId="6B6D4444" w14:textId="77777777" w:rsidTr="00B15944">
        <w:trPr>
          <w:cnfStyle w:val="100000000000" w:firstRow="1" w:lastRow="0" w:firstColumn="0" w:lastColumn="0" w:oddVBand="0" w:evenVBand="0" w:oddHBand="0" w:evenHBand="0" w:firstRowFirstColumn="0" w:firstRowLastColumn="0" w:lastRowFirstColumn="0" w:lastRowLastColumn="0"/>
        </w:trPr>
        <w:tc>
          <w:tcPr>
            <w:tcW w:w="1077" w:type="dxa"/>
            <w:tcBorders>
              <w:top w:val="single" w:sz="4" w:space="0" w:color="D6D6D6"/>
              <w:bottom w:val="single" w:sz="4" w:space="0" w:color="D6D6D6"/>
            </w:tcBorders>
            <w:shd w:val="clear" w:color="auto" w:fill="FFFFFF" w:themeFill="background2"/>
          </w:tcPr>
          <w:p w14:paraId="529B7931" w14:textId="5EC012B7" w:rsidR="001532F1" w:rsidRPr="001532F1" w:rsidRDefault="001532F1" w:rsidP="00B15944">
            <w:pPr>
              <w:pStyle w:val="Body-Financial"/>
              <w:spacing w:before="20" w:after="0"/>
              <w:rPr>
                <w:sz w:val="18"/>
                <w:szCs w:val="18"/>
                <w:lang w:val="en-PH"/>
              </w:rPr>
            </w:pPr>
            <w:r w:rsidRPr="001532F1">
              <w:rPr>
                <w:sz w:val="18"/>
                <w:szCs w:val="18"/>
                <w:lang w:val="en-PH"/>
              </w:rPr>
              <w:t>17BF(2)</w:t>
            </w:r>
          </w:p>
        </w:tc>
        <w:tc>
          <w:tcPr>
            <w:tcW w:w="1474" w:type="dxa"/>
            <w:tcBorders>
              <w:top w:val="single" w:sz="4" w:space="0" w:color="D6D6D6"/>
              <w:bottom w:val="single" w:sz="4" w:space="0" w:color="D6D6D6"/>
            </w:tcBorders>
            <w:shd w:val="clear" w:color="auto" w:fill="FFFFFF" w:themeFill="background2"/>
          </w:tcPr>
          <w:p w14:paraId="318525F7" w14:textId="77777777" w:rsidR="001532F1" w:rsidRDefault="001532F1" w:rsidP="00B15944">
            <w:pPr>
              <w:pStyle w:val="Body-Financial"/>
              <w:spacing w:before="20" w:after="0"/>
              <w:rPr>
                <w:sz w:val="18"/>
                <w:szCs w:val="18"/>
              </w:rPr>
            </w:pPr>
            <w:r>
              <w:rPr>
                <w:sz w:val="18"/>
                <w:szCs w:val="18"/>
              </w:rPr>
              <w:t>N/A</w:t>
            </w:r>
          </w:p>
        </w:tc>
        <w:tc>
          <w:tcPr>
            <w:tcW w:w="737" w:type="dxa"/>
            <w:tcBorders>
              <w:top w:val="single" w:sz="4" w:space="0" w:color="D6D6D6"/>
              <w:bottom w:val="single" w:sz="4" w:space="0" w:color="D6D6D6"/>
            </w:tcBorders>
            <w:shd w:val="clear" w:color="auto" w:fill="FFFFFF" w:themeFill="background2"/>
          </w:tcPr>
          <w:p w14:paraId="5C0E546A" w14:textId="77777777" w:rsidR="001532F1" w:rsidRPr="00E71F65" w:rsidRDefault="001532F1" w:rsidP="00B15944">
            <w:pPr>
              <w:pStyle w:val="Body-Financial"/>
              <w:spacing w:before="20" w:after="0"/>
              <w:rPr>
                <w:sz w:val="18"/>
                <w:szCs w:val="18"/>
              </w:rPr>
            </w:pPr>
          </w:p>
        </w:tc>
        <w:tc>
          <w:tcPr>
            <w:tcW w:w="3231" w:type="dxa"/>
            <w:tcBorders>
              <w:top w:val="single" w:sz="4" w:space="0" w:color="D6D6D6"/>
              <w:bottom w:val="single" w:sz="4" w:space="0" w:color="D6D6D6"/>
            </w:tcBorders>
            <w:shd w:val="clear" w:color="auto" w:fill="FFFFFF" w:themeFill="background2"/>
          </w:tcPr>
          <w:p w14:paraId="2CC93EA0" w14:textId="13C0C004" w:rsidR="001532F1" w:rsidRPr="001532F1" w:rsidRDefault="001532F1" w:rsidP="00B15944">
            <w:pPr>
              <w:pStyle w:val="Body-Financial"/>
              <w:spacing w:before="20" w:after="0"/>
              <w:rPr>
                <w:sz w:val="18"/>
                <w:szCs w:val="18"/>
                <w:lang w:val="en-PH"/>
              </w:rPr>
            </w:pPr>
            <w:r w:rsidRPr="001532F1">
              <w:rPr>
                <w:sz w:val="18"/>
                <w:szCs w:val="18"/>
                <w:lang w:val="en-PH"/>
              </w:rPr>
              <w:t>A statement regarding the exclusion of information on the grounds that the information is commercially sensitive and would be likely to result in unreasonable commercial prejudice to the government business enterprise</w:t>
            </w:r>
            <w:r w:rsidR="00DD5A23">
              <w:rPr>
                <w:sz w:val="18"/>
                <w:szCs w:val="18"/>
                <w:lang w:val="en-PH"/>
              </w:rPr>
              <w:t>.</w:t>
            </w:r>
          </w:p>
        </w:tc>
        <w:tc>
          <w:tcPr>
            <w:tcW w:w="1191" w:type="dxa"/>
            <w:tcBorders>
              <w:top w:val="single" w:sz="4" w:space="0" w:color="D6D6D6"/>
              <w:bottom w:val="single" w:sz="4" w:space="0" w:color="D6D6D6"/>
            </w:tcBorders>
            <w:shd w:val="clear" w:color="auto" w:fill="FFFFFF" w:themeFill="background2"/>
          </w:tcPr>
          <w:p w14:paraId="3F744AFB" w14:textId="77777777" w:rsidR="001532F1" w:rsidRDefault="001532F1" w:rsidP="00B15944">
            <w:pPr>
              <w:pStyle w:val="Body-Financial"/>
              <w:spacing w:before="20" w:after="0"/>
              <w:rPr>
                <w:sz w:val="18"/>
                <w:szCs w:val="18"/>
              </w:rPr>
            </w:pPr>
            <w:r>
              <w:rPr>
                <w:sz w:val="18"/>
                <w:szCs w:val="18"/>
              </w:rPr>
              <w:t>If applicable, mandatory</w:t>
            </w:r>
          </w:p>
        </w:tc>
      </w:tr>
    </w:tbl>
    <w:p w14:paraId="5DA1E982" w14:textId="0DB39D05" w:rsidR="005410FE" w:rsidRDefault="005410FE" w:rsidP="00E71F65">
      <w:pPr>
        <w:pStyle w:val="Body"/>
      </w:pPr>
    </w:p>
    <w:p w14:paraId="3F4D148D" w14:textId="77777777" w:rsidR="0021542A" w:rsidRDefault="0021542A" w:rsidP="00E71F65">
      <w:pPr>
        <w:pStyle w:val="Body"/>
        <w:sectPr w:rsidR="0021542A" w:rsidSect="005410FE">
          <w:footerReference w:type="default" r:id="rId220"/>
          <w:footnotePr>
            <w:pos w:val="beneathText"/>
          </w:footnotePr>
          <w:pgSz w:w="9979" w:h="14175" w:code="13"/>
          <w:pgMar w:top="1134" w:right="1134" w:bottom="1134" w:left="1134" w:header="709" w:footer="709" w:gutter="0"/>
          <w:cols w:space="623"/>
          <w:docGrid w:linePitch="360"/>
        </w:sectPr>
      </w:pPr>
    </w:p>
    <w:p w14:paraId="428FC2A2" w14:textId="70A93597" w:rsidR="00625920" w:rsidRDefault="00625920" w:rsidP="00625920">
      <w:pPr>
        <w:pStyle w:val="Heading1"/>
        <w:spacing w:before="0" w:beforeAutospacing="0" w:after="240"/>
        <w:ind w:right="-227"/>
        <w:rPr>
          <w:color w:val="292929"/>
        </w:rPr>
      </w:pPr>
      <w:bookmarkStart w:id="189" w:name="_Toc114824446"/>
      <w:r w:rsidRPr="007F327F">
        <w:rPr>
          <w:color w:val="292929"/>
        </w:rPr>
        <w:t xml:space="preserve">Appendix </w:t>
      </w:r>
      <w:r>
        <w:rPr>
          <w:color w:val="292929"/>
        </w:rPr>
        <w:t>E</w:t>
      </w:r>
      <w:r w:rsidRPr="007F327F">
        <w:rPr>
          <w:color w:val="292929"/>
        </w:rPr>
        <w:t xml:space="preserve">: </w:t>
      </w:r>
      <w:r>
        <w:rPr>
          <w:color w:val="292929"/>
        </w:rPr>
        <w:t>Index</w:t>
      </w:r>
      <w:bookmarkEnd w:id="189"/>
    </w:p>
    <w:p w14:paraId="50328CF8" w14:textId="77777777" w:rsidR="00F803A9" w:rsidRDefault="00F803A9" w:rsidP="00E71F65">
      <w:pPr>
        <w:pStyle w:val="Body"/>
        <w:sectPr w:rsidR="00F803A9" w:rsidSect="005410FE">
          <w:footerReference w:type="default" r:id="rId221"/>
          <w:footnotePr>
            <w:pos w:val="beneathText"/>
          </w:footnotePr>
          <w:pgSz w:w="9979" w:h="14175" w:code="13"/>
          <w:pgMar w:top="1134" w:right="1134" w:bottom="1134" w:left="1134" w:header="709" w:footer="709" w:gutter="0"/>
          <w:cols w:space="623"/>
          <w:docGrid w:linePitch="360"/>
        </w:sectPr>
      </w:pPr>
    </w:p>
    <w:p w14:paraId="3E56D332" w14:textId="77777777" w:rsidR="00F803A9" w:rsidRPr="00DD236E" w:rsidRDefault="00F803A9" w:rsidP="00F803A9">
      <w:pPr>
        <w:pStyle w:val="H3"/>
        <w:spacing w:before="0" w:after="120"/>
        <w:rPr>
          <w:color w:val="1C1C1C"/>
        </w:rPr>
      </w:pPr>
      <w:r w:rsidRPr="00DD236E">
        <w:rPr>
          <w:color w:val="1C1C1C"/>
        </w:rPr>
        <w:t>A</w:t>
      </w:r>
    </w:p>
    <w:p w14:paraId="665483E7" w14:textId="77777777" w:rsidR="00F803A9" w:rsidRDefault="00F803A9" w:rsidP="00F803A9">
      <w:pPr>
        <w:pStyle w:val="indexcopy"/>
      </w:pPr>
      <w:r>
        <w:t>accountability and management, 62–82</w:t>
      </w:r>
    </w:p>
    <w:p w14:paraId="616D11BF" w14:textId="535519FF" w:rsidR="00F803A9" w:rsidRDefault="00F803A9" w:rsidP="00F803A9">
      <w:pPr>
        <w:pStyle w:val="indexcopy"/>
      </w:pPr>
      <w:r>
        <w:t>accountable authority, 18, 34, 67, 68, 77</w:t>
      </w:r>
    </w:p>
    <w:p w14:paraId="798268CA" w14:textId="2252A8D6" w:rsidR="00F803A9" w:rsidRDefault="00F803A9" w:rsidP="00F803A9">
      <w:pPr>
        <w:pStyle w:val="indentindexcopy"/>
      </w:pPr>
      <w:r w:rsidRPr="00F803A9">
        <w:t>annual performance statements, 34–59</w:t>
      </w:r>
    </w:p>
    <w:p w14:paraId="5B24E355" w14:textId="77777777" w:rsidR="00F803A9" w:rsidRDefault="00F803A9" w:rsidP="00F803A9">
      <w:pPr>
        <w:pStyle w:val="indexcopy"/>
      </w:pPr>
      <w:r>
        <w:t xml:space="preserve">acknowledgement of country, </w:t>
      </w:r>
      <w:r w:rsidRPr="00754A83">
        <w:rPr>
          <w:i/>
          <w:iCs/>
        </w:rPr>
        <w:t>inside front cover</w:t>
      </w:r>
    </w:p>
    <w:p w14:paraId="31322326" w14:textId="77777777" w:rsidR="00F803A9" w:rsidRDefault="00F803A9" w:rsidP="00F803A9">
      <w:pPr>
        <w:pStyle w:val="indexcopy"/>
      </w:pPr>
      <w:r>
        <w:t>acronyms and abbreviations, 115</w:t>
      </w:r>
    </w:p>
    <w:p w14:paraId="6B7B3887" w14:textId="77777777" w:rsidR="00F803A9" w:rsidRDefault="00F803A9" w:rsidP="00F803A9">
      <w:pPr>
        <w:pStyle w:val="indexcopy"/>
      </w:pPr>
      <w:r>
        <w:t xml:space="preserve">Acting Chief Executive Officer. </w:t>
      </w:r>
      <w:r w:rsidRPr="00754A83">
        <w:rPr>
          <w:i/>
          <w:iCs/>
        </w:rPr>
        <w:t>See</w:t>
      </w:r>
      <w:r>
        <w:t xml:space="preserve"> Fitzgerald, Joanne</w:t>
      </w:r>
    </w:p>
    <w:p w14:paraId="708D4EA0" w14:textId="71347712" w:rsidR="00F803A9" w:rsidRDefault="00F803A9" w:rsidP="00F803A9">
      <w:pPr>
        <w:pStyle w:val="indexcopy"/>
      </w:pPr>
      <w:r>
        <w:t>activity based funding (ABF), 28, 41</w:t>
      </w:r>
    </w:p>
    <w:p w14:paraId="132F6AEF" w14:textId="589CE139" w:rsidR="00F803A9" w:rsidRDefault="00F803A9" w:rsidP="00F803A9">
      <w:pPr>
        <w:pStyle w:val="indentindexcopy"/>
      </w:pPr>
      <w:r>
        <w:t xml:space="preserve">classifications for, </w:t>
      </w:r>
      <w:r w:rsidR="00840CB1">
        <w:t>42</w:t>
      </w:r>
      <w:r w:rsidR="00840CB1">
        <w:softHyphen/>
        <w:t>–47, 63</w:t>
      </w:r>
    </w:p>
    <w:p w14:paraId="1D261331" w14:textId="219465FB" w:rsidR="00F803A9" w:rsidRDefault="00F803A9" w:rsidP="00F803A9">
      <w:pPr>
        <w:pStyle w:val="indentindexcopy"/>
      </w:pPr>
      <w:r>
        <w:t>data collection, 52</w:t>
      </w:r>
    </w:p>
    <w:p w14:paraId="58BAF366" w14:textId="55192207" w:rsidR="00F803A9" w:rsidRDefault="00F803A9" w:rsidP="00F803A9">
      <w:pPr>
        <w:pStyle w:val="indentindexcopy"/>
      </w:pPr>
      <w:r>
        <w:t>defined, 116</w:t>
      </w:r>
    </w:p>
    <w:p w14:paraId="286A0566" w14:textId="403B4A33" w:rsidR="00F803A9" w:rsidRDefault="00F803A9" w:rsidP="00F803A9">
      <w:pPr>
        <w:pStyle w:val="indentindexcopy"/>
      </w:pPr>
      <w:r>
        <w:t>for public services, 40</w:t>
      </w:r>
    </w:p>
    <w:p w14:paraId="18D4A9B6" w14:textId="637BC45B" w:rsidR="00754A83" w:rsidRDefault="00754A83" w:rsidP="00754A83">
      <w:pPr>
        <w:pStyle w:val="indexcopy"/>
      </w:pPr>
      <w:r>
        <w:t>Activity Based Funding Conference 2022, 1</w:t>
      </w:r>
      <w:r w:rsidR="00840CB1">
        <w:t>5</w:t>
      </w:r>
      <w:r>
        <w:t>, 57, 58, 59</w:t>
      </w:r>
    </w:p>
    <w:p w14:paraId="317F5B72" w14:textId="02D21F39" w:rsidR="00754A83" w:rsidRDefault="00754A83" w:rsidP="00754A83">
      <w:pPr>
        <w:pStyle w:val="indexcopy"/>
      </w:pPr>
      <w:r>
        <w:t>Addendum to the National Health Reform Agreement 2020–25, 6, 30, 59, 62</w:t>
      </w:r>
    </w:p>
    <w:p w14:paraId="7DE40452" w14:textId="77777777" w:rsidR="00754A83" w:rsidRDefault="00754A83" w:rsidP="00754A83">
      <w:pPr>
        <w:pStyle w:val="indexcopy"/>
      </w:pPr>
      <w:r>
        <w:t>Administrator of the National Health Funding Pool, 15, 27, 63</w:t>
      </w:r>
    </w:p>
    <w:p w14:paraId="2F86AAD0" w14:textId="2D23CAE3" w:rsidR="00754A83" w:rsidRDefault="00754A83" w:rsidP="00754A83">
      <w:pPr>
        <w:pStyle w:val="indexcopy"/>
      </w:pPr>
      <w:r>
        <w:t>admitted care classifications, 5,</w:t>
      </w:r>
      <w:r w:rsidR="00840CB1">
        <w:t xml:space="preserve"> 14,</w:t>
      </w:r>
      <w:r>
        <w:t xml:space="preserve"> 47, 63</w:t>
      </w:r>
    </w:p>
    <w:p w14:paraId="5C53AC20" w14:textId="77777777" w:rsidR="00754A83" w:rsidRDefault="00754A83" w:rsidP="00754A83">
      <w:pPr>
        <w:pStyle w:val="indexcopy"/>
      </w:pPr>
      <w:r>
        <w:t>advertising and market research, 82</w:t>
      </w:r>
    </w:p>
    <w:p w14:paraId="3E9B8968" w14:textId="7F2A11BA" w:rsidR="0021542A" w:rsidRDefault="00754A83" w:rsidP="00754A83">
      <w:pPr>
        <w:pStyle w:val="indexcopy"/>
      </w:pPr>
      <w:r>
        <w:t>advisory committees, 69–7</w:t>
      </w:r>
      <w:r w:rsidR="00840CB1">
        <w:t>4</w:t>
      </w:r>
    </w:p>
    <w:p w14:paraId="7A32D677" w14:textId="577AECC7" w:rsidR="00754A83" w:rsidRDefault="00754A83" w:rsidP="00754A83">
      <w:pPr>
        <w:pStyle w:val="indentindexcopy"/>
      </w:pPr>
      <w:r w:rsidRPr="00754A83">
        <w:rPr>
          <w:i/>
          <w:iCs/>
        </w:rPr>
        <w:t>See</w:t>
      </w:r>
      <w:r w:rsidRPr="00840CB1">
        <w:rPr>
          <w:i/>
          <w:iCs/>
        </w:rPr>
        <w:t xml:space="preserve"> also</w:t>
      </w:r>
      <w:r w:rsidRPr="00754A83">
        <w:t xml:space="preserve"> Clinical Advisory Committee</w:t>
      </w:r>
    </w:p>
    <w:p w14:paraId="5917E9D1" w14:textId="6D3D54BD" w:rsidR="00754A83" w:rsidRDefault="00754A83" w:rsidP="00754A83">
      <w:pPr>
        <w:pStyle w:val="indexcopy"/>
      </w:pPr>
      <w:r w:rsidRPr="00754A83">
        <w:rPr>
          <w:i/>
          <w:iCs/>
        </w:rPr>
        <w:t>Aged Care and Other Legislation Amendment (Royal Commission Response) Act 2022</w:t>
      </w:r>
      <w:r>
        <w:t>, 64</w:t>
      </w:r>
      <w:r w:rsidR="00840CB1">
        <w:t>, 95</w:t>
      </w:r>
    </w:p>
    <w:p w14:paraId="0571E406" w14:textId="2A734F56" w:rsidR="00754A83" w:rsidRDefault="00754A83" w:rsidP="00754A83">
      <w:pPr>
        <w:pStyle w:val="indexcopy"/>
      </w:pPr>
      <w:r>
        <w:t xml:space="preserve">aged care service pricing, </w:t>
      </w:r>
      <w:r w:rsidRPr="00754A83">
        <w:rPr>
          <w:i/>
          <w:iCs/>
        </w:rPr>
        <w:t>inside front cover</w:t>
      </w:r>
      <w:r>
        <w:t>, 3, 14, 15, 64</w:t>
      </w:r>
      <w:r w:rsidR="00840CB1">
        <w:t>, 95</w:t>
      </w:r>
    </w:p>
    <w:p w14:paraId="7D457FA3" w14:textId="6D53A1D7" w:rsidR="00754A83" w:rsidRDefault="00754A83" w:rsidP="00754A83">
      <w:pPr>
        <w:pStyle w:val="indexcopy"/>
      </w:pPr>
      <w:r>
        <w:t>ANAO report, 87–88</w:t>
      </w:r>
    </w:p>
    <w:p w14:paraId="3C74A653" w14:textId="77777777" w:rsidR="00934943" w:rsidRDefault="00934943" w:rsidP="00754A83">
      <w:pPr>
        <w:pStyle w:val="indexcopy"/>
      </w:pPr>
    </w:p>
    <w:p w14:paraId="21DA8488" w14:textId="59A33BA0" w:rsidR="00754A83" w:rsidRDefault="00CD0321" w:rsidP="00754A83">
      <w:pPr>
        <w:pStyle w:val="indexcopy"/>
      </w:pPr>
      <w:r>
        <w:br w:type="column"/>
      </w:r>
      <w:r w:rsidR="00754A83">
        <w:t>annual performance statements, 34–59</w:t>
      </w:r>
    </w:p>
    <w:p w14:paraId="15CEB1CE" w14:textId="77777777" w:rsidR="00754A83" w:rsidRDefault="00754A83" w:rsidP="00754A83">
      <w:pPr>
        <w:pStyle w:val="indentindexcopy"/>
      </w:pPr>
      <w:r>
        <w:t>Activity 1, 37–41</w:t>
      </w:r>
    </w:p>
    <w:p w14:paraId="3587F125" w14:textId="7D637BD1" w:rsidR="00754A83" w:rsidRDefault="00754A83" w:rsidP="00754A83">
      <w:pPr>
        <w:pStyle w:val="indentindexcopy"/>
      </w:pPr>
      <w:r>
        <w:t>Activity 2, 42–47</w:t>
      </w:r>
    </w:p>
    <w:p w14:paraId="3B3AF2F5" w14:textId="6C91F2AA" w:rsidR="00754A83" w:rsidRDefault="00754A83" w:rsidP="00754A83">
      <w:pPr>
        <w:pStyle w:val="indentindexcopy"/>
      </w:pPr>
      <w:r>
        <w:t>Activity 3, 48–50</w:t>
      </w:r>
    </w:p>
    <w:p w14:paraId="5F8764AA" w14:textId="361759C5" w:rsidR="00754A83" w:rsidRDefault="00754A83" w:rsidP="00754A83">
      <w:pPr>
        <w:pStyle w:val="indentindexcopy"/>
      </w:pPr>
      <w:r>
        <w:t>Activity 4, 51–54</w:t>
      </w:r>
    </w:p>
    <w:p w14:paraId="682DA86B" w14:textId="38DBB7B4" w:rsidR="00754A83" w:rsidRDefault="00754A83" w:rsidP="00754A83">
      <w:pPr>
        <w:pStyle w:val="indentindexcopy"/>
      </w:pPr>
      <w:r>
        <w:t>Activity 5, 55</w:t>
      </w:r>
    </w:p>
    <w:p w14:paraId="3AA308D5" w14:textId="602345C3" w:rsidR="00754A83" w:rsidRDefault="00754A83" w:rsidP="00754A83">
      <w:pPr>
        <w:pStyle w:val="indentindexcopy"/>
      </w:pPr>
      <w:r>
        <w:t>Activity 6, 56–59</w:t>
      </w:r>
    </w:p>
    <w:p w14:paraId="3DDE8B7F" w14:textId="5253A173" w:rsidR="00754A83" w:rsidRDefault="00754A83" w:rsidP="00754A83">
      <w:pPr>
        <w:pStyle w:val="indentindexcopy"/>
      </w:pPr>
      <w:r>
        <w:t>analysis, 41, 47, 50, 54, 55, 59</w:t>
      </w:r>
    </w:p>
    <w:p w14:paraId="61FC8D77" w14:textId="1BB2925F" w:rsidR="00754A83" w:rsidRDefault="00754A83" w:rsidP="00754A83">
      <w:pPr>
        <w:pStyle w:val="indexcopy"/>
      </w:pPr>
      <w:r>
        <w:t>Appleyard, Glenn, 22, 74</w:t>
      </w:r>
      <w:r w:rsidR="00840CB1">
        <w:t>, 81</w:t>
      </w:r>
    </w:p>
    <w:p w14:paraId="30CBF675" w14:textId="77777777" w:rsidR="00754A83" w:rsidRDefault="00754A83" w:rsidP="00754A83">
      <w:pPr>
        <w:pStyle w:val="indexcopy"/>
      </w:pPr>
      <w:r>
        <w:t>Audit, Risk and Compliance Committee, 73–75</w:t>
      </w:r>
    </w:p>
    <w:p w14:paraId="1BBAB362" w14:textId="77777777" w:rsidR="00754A83" w:rsidRDefault="00754A83" w:rsidP="00754A83">
      <w:pPr>
        <w:pStyle w:val="indexcopy"/>
      </w:pPr>
      <w:r>
        <w:t>audits, 76, 77</w:t>
      </w:r>
    </w:p>
    <w:p w14:paraId="64807803" w14:textId="0CE8DA6D" w:rsidR="00754A83" w:rsidRDefault="00754A83" w:rsidP="00754A83">
      <w:pPr>
        <w:pStyle w:val="indentindexcopy"/>
      </w:pPr>
      <w:r>
        <w:t>independent auditor’s report, 77</w:t>
      </w:r>
    </w:p>
    <w:p w14:paraId="2F88FAE2" w14:textId="77777777" w:rsidR="00754A83" w:rsidRDefault="00754A83" w:rsidP="00754A83">
      <w:pPr>
        <w:pStyle w:val="indexcopy"/>
      </w:pPr>
      <w:r>
        <w:t>Australian Accounting Standards, 50</w:t>
      </w:r>
    </w:p>
    <w:p w14:paraId="350D8A3E" w14:textId="77777777" w:rsidR="00754A83" w:rsidRDefault="00754A83" w:rsidP="00754A83">
      <w:pPr>
        <w:pStyle w:val="indexcopy"/>
      </w:pPr>
      <w:r>
        <w:t>Australian Classification of Health Interventions (ACHI), 44</w:t>
      </w:r>
    </w:p>
    <w:p w14:paraId="637D33B4" w14:textId="1E034B8E" w:rsidR="00754A83" w:rsidRDefault="00754A83" w:rsidP="00754A83">
      <w:pPr>
        <w:pStyle w:val="indexcopy"/>
      </w:pPr>
      <w:r>
        <w:t xml:space="preserve">Australian Coding Standards (ACS), </w:t>
      </w:r>
      <w:r w:rsidR="00840CB1">
        <w:t xml:space="preserve">5, 14, </w:t>
      </w:r>
      <w:r>
        <w:t>44</w:t>
      </w:r>
      <w:r w:rsidR="00840CB1">
        <w:t>, 47</w:t>
      </w:r>
    </w:p>
    <w:p w14:paraId="55356FA8" w14:textId="750AB55F" w:rsidR="00754A83" w:rsidRDefault="00754A83" w:rsidP="00754A83">
      <w:pPr>
        <w:pStyle w:val="indexcopy"/>
      </w:pPr>
      <w:r>
        <w:t>Australian Commission on Safety and Quality in Health Care, 15, 30</w:t>
      </w:r>
      <w:r w:rsidR="00840CB1">
        <w:t>, 31, 116</w:t>
      </w:r>
    </w:p>
    <w:p w14:paraId="7E09761D" w14:textId="77777777" w:rsidR="00754A83" w:rsidRDefault="00754A83" w:rsidP="00754A83">
      <w:pPr>
        <w:pStyle w:val="indexcopy"/>
      </w:pPr>
      <w:r>
        <w:t>Australian Emergency Care Classification (AECC), 45</w:t>
      </w:r>
    </w:p>
    <w:p w14:paraId="4C0540ED" w14:textId="77777777" w:rsidR="00754A83" w:rsidRDefault="00754A83" w:rsidP="00754A83">
      <w:pPr>
        <w:pStyle w:val="indexcopy"/>
        <w:ind w:right="142"/>
      </w:pPr>
      <w:r>
        <w:t>Australian Hospital Patient Costing Standards, 48–50</w:t>
      </w:r>
    </w:p>
    <w:p w14:paraId="0098B0D3" w14:textId="5880F385" w:rsidR="00754A83" w:rsidRDefault="00754A83" w:rsidP="00754A83">
      <w:pPr>
        <w:pStyle w:val="indexcopy"/>
      </w:pPr>
      <w:r>
        <w:t>Australian Mental Health Care Classification (AMHCC), 5, 44</w:t>
      </w:r>
      <w:r w:rsidR="00840CB1">
        <w:t>, 45, 47</w:t>
      </w:r>
    </w:p>
    <w:p w14:paraId="7CC43144" w14:textId="77777777" w:rsidR="00754A83" w:rsidRDefault="00754A83" w:rsidP="00754A83">
      <w:pPr>
        <w:pStyle w:val="indexcopy"/>
      </w:pPr>
      <w:r>
        <w:t>Australian National Audit Office (ANAO), 87–88</w:t>
      </w:r>
    </w:p>
    <w:p w14:paraId="0DA2FAC3" w14:textId="5CCC67C9" w:rsidR="00754A83" w:rsidRDefault="00754A83" w:rsidP="00754A83">
      <w:pPr>
        <w:pStyle w:val="indexcopy"/>
      </w:pPr>
      <w:r>
        <w:t>Australian National Subacute and Non-Acute Patient Classification (AN-SNAP), 5, 45</w:t>
      </w:r>
      <w:r w:rsidR="00840CB1">
        <w:t>, 47</w:t>
      </w:r>
    </w:p>
    <w:p w14:paraId="407AD000" w14:textId="77777777" w:rsidR="00754A83" w:rsidRDefault="00754A83" w:rsidP="00754A83">
      <w:pPr>
        <w:pStyle w:val="indexcopy"/>
      </w:pPr>
      <w:r>
        <w:t>Australian Non-Admitted Care Classification, 45, 47</w:t>
      </w:r>
    </w:p>
    <w:p w14:paraId="428A5C94" w14:textId="7459EA30" w:rsidR="00754A83" w:rsidRDefault="00754A83" w:rsidP="00754A83">
      <w:pPr>
        <w:pStyle w:val="indexcopy"/>
      </w:pPr>
      <w:r>
        <w:t>Australian Refined Diagnosis Related Groups (AR</w:t>
      </w:r>
      <w:r w:rsidR="00840CB1">
        <w:noBreakHyphen/>
      </w:r>
      <w:r>
        <w:t>DRGs), 44, 46</w:t>
      </w:r>
    </w:p>
    <w:p w14:paraId="510E65AB" w14:textId="753C3019" w:rsidR="00754A83" w:rsidRDefault="00754A83" w:rsidP="00754A83">
      <w:pPr>
        <w:pStyle w:val="indentindexcopy"/>
      </w:pPr>
      <w:r>
        <w:t>defined, 116</w:t>
      </w:r>
    </w:p>
    <w:p w14:paraId="305F2B09" w14:textId="77777777" w:rsidR="00754A83" w:rsidRDefault="00754A83" w:rsidP="00C2727B">
      <w:pPr>
        <w:pStyle w:val="indexcopy"/>
        <w:ind w:right="-142"/>
      </w:pPr>
      <w:r>
        <w:t>Australian Teaching and Training Classification, 46</w:t>
      </w:r>
    </w:p>
    <w:p w14:paraId="4E02D0E9" w14:textId="77777777" w:rsidR="00754A83" w:rsidRDefault="00754A83" w:rsidP="002E4649">
      <w:pPr>
        <w:pStyle w:val="indexcopy"/>
        <w:ind w:right="-142"/>
      </w:pPr>
      <w:r>
        <w:t>avoidable hospital readmissions, 15, 31, 40, 41, 63</w:t>
      </w:r>
    </w:p>
    <w:p w14:paraId="6D65A08D" w14:textId="496C9178" w:rsidR="00754A83" w:rsidRDefault="00754A83" w:rsidP="00754A83">
      <w:pPr>
        <w:pStyle w:val="indentindexcopy"/>
      </w:pPr>
      <w:r>
        <w:t>defined, 116</w:t>
      </w:r>
    </w:p>
    <w:p w14:paraId="123BB2A3" w14:textId="77777777" w:rsidR="00CD0321" w:rsidRDefault="00CD0321" w:rsidP="002F787E">
      <w:pPr>
        <w:pStyle w:val="H3"/>
        <w:spacing w:before="0" w:after="120"/>
        <w:rPr>
          <w:color w:val="1C1C1C"/>
        </w:rPr>
      </w:pPr>
    </w:p>
    <w:p w14:paraId="318F957A" w14:textId="1F90D4AD" w:rsidR="003C678D" w:rsidRDefault="003C678D" w:rsidP="002F787E">
      <w:pPr>
        <w:pStyle w:val="H3"/>
        <w:spacing w:before="0" w:after="120"/>
        <w:rPr>
          <w:color w:val="1C1C1C"/>
        </w:rPr>
        <w:sectPr w:rsidR="003C678D" w:rsidSect="0067069E">
          <w:footnotePr>
            <w:pos w:val="beneathText"/>
          </w:footnotePr>
          <w:type w:val="continuous"/>
          <w:pgSz w:w="9979" w:h="14175" w:code="13"/>
          <w:pgMar w:top="1134" w:right="1134" w:bottom="1134" w:left="1134" w:header="709" w:footer="709" w:gutter="0"/>
          <w:cols w:num="2" w:space="623"/>
          <w:docGrid w:linePitch="360"/>
        </w:sectPr>
      </w:pPr>
    </w:p>
    <w:p w14:paraId="2468576A" w14:textId="77777777" w:rsidR="00CD0321" w:rsidRPr="00DD236E" w:rsidRDefault="00CD0321" w:rsidP="00CD0321">
      <w:pPr>
        <w:pStyle w:val="H3"/>
        <w:spacing w:before="0" w:after="120"/>
        <w:rPr>
          <w:color w:val="1C1C1C"/>
        </w:rPr>
      </w:pPr>
      <w:r>
        <w:rPr>
          <w:color w:val="1C1C1C"/>
        </w:rPr>
        <w:t>B</w:t>
      </w:r>
    </w:p>
    <w:p w14:paraId="51EE4FA1" w14:textId="77777777" w:rsidR="00CD0321" w:rsidRDefault="00CD0321" w:rsidP="00CD0321">
      <w:pPr>
        <w:pStyle w:val="indexcopy"/>
      </w:pPr>
      <w:r>
        <w:t>back-casting, 29</w:t>
      </w:r>
    </w:p>
    <w:p w14:paraId="3E71B053" w14:textId="77777777" w:rsidR="00CD0321" w:rsidRPr="00754A83" w:rsidRDefault="00CD0321" w:rsidP="00CD0321">
      <w:pPr>
        <w:pStyle w:val="indentindexcopy"/>
      </w:pPr>
      <w:r w:rsidRPr="00754A83">
        <w:t>defined, 116</w:t>
      </w:r>
    </w:p>
    <w:p w14:paraId="2A863C04" w14:textId="77777777" w:rsidR="00CD0321" w:rsidRDefault="00CD0321" w:rsidP="00CD0321">
      <w:pPr>
        <w:pStyle w:val="indexcopy"/>
      </w:pPr>
      <w:r>
        <w:t xml:space="preserve">benchmarking portal. </w:t>
      </w:r>
      <w:r w:rsidRPr="00754A83">
        <w:rPr>
          <w:i/>
          <w:iCs/>
        </w:rPr>
        <w:t>See</w:t>
      </w:r>
      <w:r>
        <w:t xml:space="preserve"> National Benchmarking Portal</w:t>
      </w:r>
    </w:p>
    <w:p w14:paraId="7AB93373" w14:textId="77777777" w:rsidR="00CD0321" w:rsidRDefault="00CD0321" w:rsidP="00CD0321">
      <w:pPr>
        <w:pStyle w:val="indexcopy"/>
      </w:pPr>
      <w:r>
        <w:t>block funding, 29</w:t>
      </w:r>
    </w:p>
    <w:p w14:paraId="2DF7C65A" w14:textId="77777777" w:rsidR="00CD0321" w:rsidRDefault="00CD0321" w:rsidP="00CD0321">
      <w:pPr>
        <w:pStyle w:val="indentindexcopy"/>
      </w:pPr>
      <w:r>
        <w:t>defined, 116</w:t>
      </w:r>
    </w:p>
    <w:p w14:paraId="4A25BA49" w14:textId="1AF59008" w:rsidR="00CD0321" w:rsidRDefault="00CD0321" w:rsidP="00CD0321">
      <w:pPr>
        <w:pStyle w:val="indexcopy"/>
      </w:pPr>
      <w:r>
        <w:t>business continuity plan, 76</w:t>
      </w:r>
    </w:p>
    <w:p w14:paraId="6C30C519" w14:textId="2ECEAF3E" w:rsidR="002F787E" w:rsidRPr="00DD236E" w:rsidRDefault="002F787E" w:rsidP="00CD0321">
      <w:pPr>
        <w:pStyle w:val="H3"/>
        <w:spacing w:after="120"/>
        <w:rPr>
          <w:color w:val="1C1C1C"/>
        </w:rPr>
      </w:pPr>
      <w:r>
        <w:rPr>
          <w:color w:val="1C1C1C"/>
        </w:rPr>
        <w:t>C</w:t>
      </w:r>
    </w:p>
    <w:p w14:paraId="65E5FAE1" w14:textId="77777777" w:rsidR="002F787E" w:rsidRDefault="002F787E" w:rsidP="002F787E">
      <w:pPr>
        <w:pStyle w:val="indexcopy"/>
      </w:pPr>
      <w:r>
        <w:t>capitation funding models, 6</w:t>
      </w:r>
    </w:p>
    <w:p w14:paraId="378B815C" w14:textId="77777777" w:rsidR="002F787E" w:rsidRDefault="002F787E" w:rsidP="002F787E">
      <w:pPr>
        <w:pStyle w:val="indexcopy"/>
      </w:pPr>
      <w:r>
        <w:t>Chair’s welcome, 2–4</w:t>
      </w:r>
    </w:p>
    <w:p w14:paraId="7DEE6C40" w14:textId="77777777" w:rsidR="002F787E" w:rsidRDefault="002F787E" w:rsidP="002F787E">
      <w:pPr>
        <w:pStyle w:val="indexcopy"/>
      </w:pPr>
      <w:r>
        <w:t>Chater, Bruce, 4, 22</w:t>
      </w:r>
    </w:p>
    <w:p w14:paraId="3B1EE16A" w14:textId="7D6B8323" w:rsidR="00F803A9" w:rsidRDefault="002F787E" w:rsidP="002F787E">
      <w:pPr>
        <w:pStyle w:val="indexcopy"/>
      </w:pPr>
      <w:r>
        <w:t>Chief Executive Officer, 18, 20, 65, 68, 77, 89</w:t>
      </w:r>
    </w:p>
    <w:p w14:paraId="51E511B8" w14:textId="77777777" w:rsidR="002F787E" w:rsidRDefault="002F787E" w:rsidP="002F787E">
      <w:pPr>
        <w:pStyle w:val="indentindexcopy"/>
      </w:pPr>
      <w:r>
        <w:t>remuneration, 81</w:t>
      </w:r>
    </w:p>
    <w:p w14:paraId="5BE59436" w14:textId="7953B395" w:rsidR="002F787E" w:rsidRDefault="002F787E" w:rsidP="002F787E">
      <w:pPr>
        <w:pStyle w:val="indentindexcopy"/>
      </w:pPr>
      <w:r>
        <w:t>review of year, 14–16</w:t>
      </w:r>
    </w:p>
    <w:p w14:paraId="1173C9B1" w14:textId="1B1D5F61" w:rsidR="002F787E" w:rsidRDefault="002F787E" w:rsidP="002F787E">
      <w:pPr>
        <w:pStyle w:val="indentindexcopy"/>
      </w:pPr>
      <w:r>
        <w:t>training, 82</w:t>
      </w:r>
    </w:p>
    <w:p w14:paraId="220D3843" w14:textId="77777777" w:rsidR="002F787E" w:rsidRDefault="002F787E" w:rsidP="002F787E">
      <w:pPr>
        <w:pStyle w:val="indexcopy"/>
      </w:pPr>
      <w:r>
        <w:t>Chief Financial Officer, 89</w:t>
      </w:r>
    </w:p>
    <w:p w14:paraId="70341537" w14:textId="77777777" w:rsidR="002F787E" w:rsidRDefault="002F787E" w:rsidP="002F787E">
      <w:pPr>
        <w:pStyle w:val="indexcopy"/>
      </w:pPr>
      <w:r>
        <w:t>classification levels of staff, 79–80</w:t>
      </w:r>
    </w:p>
    <w:p w14:paraId="191EC5A3" w14:textId="77777777" w:rsidR="002F787E" w:rsidRDefault="002F787E" w:rsidP="002F787E">
      <w:pPr>
        <w:pStyle w:val="indexcopy"/>
      </w:pPr>
      <w:r>
        <w:t>classification systems, 42–47, 63</w:t>
      </w:r>
    </w:p>
    <w:p w14:paraId="4C90ABFF" w14:textId="638E138F" w:rsidR="002F787E" w:rsidRDefault="002F787E" w:rsidP="002F787E">
      <w:pPr>
        <w:pStyle w:val="indentindexcopy"/>
      </w:pPr>
      <w:r>
        <w:t>online education, 5</w:t>
      </w:r>
    </w:p>
    <w:p w14:paraId="65232ECD" w14:textId="728D6B3F" w:rsidR="002F787E" w:rsidRDefault="002F787E" w:rsidP="002F787E">
      <w:pPr>
        <w:pStyle w:val="indexcopy"/>
      </w:pPr>
      <w:r>
        <w:t>Clinical Advisory Committee, 5–6, 1</w:t>
      </w:r>
      <w:r w:rsidR="008D7584">
        <w:t>6</w:t>
      </w:r>
      <w:r>
        <w:t>, 69–72</w:t>
      </w:r>
    </w:p>
    <w:p w14:paraId="11C74E29" w14:textId="234F1803" w:rsidR="002F787E" w:rsidRDefault="002F787E" w:rsidP="002F787E">
      <w:pPr>
        <w:pStyle w:val="indentindexcopy"/>
      </w:pPr>
      <w:r>
        <w:t>functions, 71</w:t>
      </w:r>
    </w:p>
    <w:p w14:paraId="260E2CA6" w14:textId="2C58E84F" w:rsidR="002F787E" w:rsidRDefault="002F787E" w:rsidP="002F787E">
      <w:pPr>
        <w:pStyle w:val="indentindexcopy"/>
      </w:pPr>
      <w:r>
        <w:t>meetings, 72</w:t>
      </w:r>
    </w:p>
    <w:p w14:paraId="08D3A729" w14:textId="69D4EF5B" w:rsidR="002F787E" w:rsidRDefault="002F787E" w:rsidP="002F787E">
      <w:pPr>
        <w:pStyle w:val="indentindexcopy"/>
      </w:pPr>
      <w:r>
        <w:t>membership, 71, 72</w:t>
      </w:r>
    </w:p>
    <w:p w14:paraId="3AC094FB" w14:textId="28EF77A6" w:rsidR="002F787E" w:rsidRDefault="002F787E" w:rsidP="002F787E">
      <w:pPr>
        <w:pStyle w:val="indentindexcopy"/>
      </w:pPr>
      <w:r>
        <w:t>remuneration, 71</w:t>
      </w:r>
    </w:p>
    <w:p w14:paraId="092026CC" w14:textId="77777777" w:rsidR="002F787E" w:rsidRDefault="002F787E" w:rsidP="002F787E">
      <w:pPr>
        <w:pStyle w:val="indexcopy"/>
      </w:pPr>
      <w:r>
        <w:t>COAG Health Council, 30</w:t>
      </w:r>
    </w:p>
    <w:p w14:paraId="317D09C5" w14:textId="77777777" w:rsidR="002F787E" w:rsidRDefault="002F787E" w:rsidP="002F787E">
      <w:pPr>
        <w:pStyle w:val="indexcopy"/>
      </w:pPr>
      <w:r>
        <w:t>Coltzou, Adam, 4, 23</w:t>
      </w:r>
    </w:p>
    <w:p w14:paraId="24ECA41C" w14:textId="77777777" w:rsidR="002F787E" w:rsidRDefault="002F787E" w:rsidP="002F787E">
      <w:pPr>
        <w:pStyle w:val="indexcopy"/>
      </w:pPr>
      <w:r>
        <w:t>committees and working groups, 57, 69–75</w:t>
      </w:r>
    </w:p>
    <w:p w14:paraId="25607BF9" w14:textId="77777777" w:rsidR="002F787E" w:rsidRDefault="002F787E" w:rsidP="002F787E">
      <w:pPr>
        <w:pStyle w:val="indexcopy"/>
      </w:pPr>
      <w:r w:rsidRPr="002F787E">
        <w:rPr>
          <w:i/>
          <w:iCs/>
        </w:rPr>
        <w:t>Commonwealth Electoral Act 1918</w:t>
      </w:r>
      <w:r>
        <w:t>, 82</w:t>
      </w:r>
    </w:p>
    <w:p w14:paraId="0180C2F9" w14:textId="77777777" w:rsidR="002F787E" w:rsidRDefault="002F787E" w:rsidP="002F787E">
      <w:pPr>
        <w:pStyle w:val="indexcopy"/>
      </w:pPr>
      <w:r>
        <w:t>Commonwealth funding contribution, 62</w:t>
      </w:r>
    </w:p>
    <w:p w14:paraId="43C470D2" w14:textId="77777777" w:rsidR="002F787E" w:rsidRDefault="002F787E" w:rsidP="002F787E">
      <w:pPr>
        <w:pStyle w:val="indexcopy"/>
      </w:pPr>
      <w:r>
        <w:t>Commonwealth Procurement Rules, 77</w:t>
      </w:r>
    </w:p>
    <w:p w14:paraId="62290221" w14:textId="77777777" w:rsidR="002F787E" w:rsidRDefault="002F787E" w:rsidP="002F787E">
      <w:pPr>
        <w:pStyle w:val="indexcopy"/>
      </w:pPr>
      <w:r>
        <w:t>compliance index, 119–122</w:t>
      </w:r>
    </w:p>
    <w:p w14:paraId="5A43891F" w14:textId="77777777" w:rsidR="002F787E" w:rsidRDefault="002F787E" w:rsidP="002F787E">
      <w:pPr>
        <w:pStyle w:val="indexcopy"/>
      </w:pPr>
      <w:r>
        <w:t>compliance reports, 77</w:t>
      </w:r>
    </w:p>
    <w:p w14:paraId="6BF061FF" w14:textId="74BD7768" w:rsidR="002F787E" w:rsidRDefault="002F787E" w:rsidP="002F787E">
      <w:pPr>
        <w:pStyle w:val="indexcopy"/>
      </w:pPr>
      <w:r>
        <w:t>conferences, 1</w:t>
      </w:r>
      <w:r w:rsidR="008D7584">
        <w:t>5</w:t>
      </w:r>
      <w:r>
        <w:t>, 57, 58, 59</w:t>
      </w:r>
    </w:p>
    <w:p w14:paraId="7FEC5783" w14:textId="77777777" w:rsidR="002F787E" w:rsidRDefault="002F787E" w:rsidP="002F787E">
      <w:pPr>
        <w:pStyle w:val="indexcopy"/>
      </w:pPr>
      <w:r>
        <w:t>consultation framework, 56–59</w:t>
      </w:r>
    </w:p>
    <w:p w14:paraId="28E641BD" w14:textId="77777777" w:rsidR="002F787E" w:rsidRDefault="002F787E" w:rsidP="002F787E">
      <w:pPr>
        <w:pStyle w:val="indexcopy"/>
      </w:pPr>
      <w:r>
        <w:t xml:space="preserve">contact details, </w:t>
      </w:r>
      <w:r w:rsidRPr="002F787E">
        <w:rPr>
          <w:i/>
          <w:iCs/>
        </w:rPr>
        <w:t>inside front cover</w:t>
      </w:r>
    </w:p>
    <w:p w14:paraId="2474C0F6" w14:textId="77777777" w:rsidR="002F787E" w:rsidRDefault="002F787E" w:rsidP="002F787E">
      <w:pPr>
        <w:pStyle w:val="indexcopy"/>
      </w:pPr>
      <w:r>
        <w:t>corporate Commonwealth entity status, 18, 67</w:t>
      </w:r>
    </w:p>
    <w:p w14:paraId="2E1B53EB" w14:textId="77777777" w:rsidR="002F787E" w:rsidRDefault="002F787E" w:rsidP="002F787E">
      <w:pPr>
        <w:pStyle w:val="indexcopy"/>
      </w:pPr>
      <w:r>
        <w:t>corporate governance, 65–68</w:t>
      </w:r>
    </w:p>
    <w:p w14:paraId="696F1AD6" w14:textId="77777777" w:rsidR="002F787E" w:rsidRDefault="002F787E" w:rsidP="002F787E">
      <w:pPr>
        <w:pStyle w:val="indexcopy"/>
      </w:pPr>
      <w:r>
        <w:t>Corporate Plan, 35–36</w:t>
      </w:r>
    </w:p>
    <w:p w14:paraId="666573FC" w14:textId="2E154994" w:rsidR="002F787E" w:rsidRDefault="002F787E" w:rsidP="002F787E">
      <w:pPr>
        <w:pStyle w:val="indentindexcopy"/>
      </w:pPr>
      <w:r>
        <w:t>defined, 117</w:t>
      </w:r>
    </w:p>
    <w:p w14:paraId="5D1F6822" w14:textId="01B48AA9" w:rsidR="002F787E" w:rsidRDefault="002F787E" w:rsidP="002F787E">
      <w:pPr>
        <w:pStyle w:val="indentindexcopy"/>
      </w:pPr>
      <w:r w:rsidRPr="002F787E">
        <w:rPr>
          <w:i/>
          <w:iCs/>
        </w:rPr>
        <w:t>See</w:t>
      </w:r>
      <w:r w:rsidRPr="008D7584">
        <w:rPr>
          <w:i/>
          <w:iCs/>
        </w:rPr>
        <w:t xml:space="preserve"> also</w:t>
      </w:r>
      <w:r>
        <w:t xml:space="preserve"> annual performance statements</w:t>
      </w:r>
    </w:p>
    <w:p w14:paraId="18EAB52C" w14:textId="77777777" w:rsidR="002F787E" w:rsidRDefault="002F787E" w:rsidP="002F787E">
      <w:pPr>
        <w:pStyle w:val="indexcopy"/>
      </w:pPr>
      <w:r>
        <w:t>cost-shifting, 55</w:t>
      </w:r>
    </w:p>
    <w:p w14:paraId="7F352422" w14:textId="77777777" w:rsidR="002F787E" w:rsidRDefault="002F787E" w:rsidP="002F787E">
      <w:pPr>
        <w:pStyle w:val="indexcopy"/>
      </w:pPr>
      <w:r>
        <w:t>costing standards, 48–50</w:t>
      </w:r>
    </w:p>
    <w:p w14:paraId="34B833AC" w14:textId="5D660DE4" w:rsidR="002F787E" w:rsidRDefault="002F787E" w:rsidP="002F787E">
      <w:pPr>
        <w:pStyle w:val="indexcopy"/>
      </w:pPr>
      <w:r>
        <w:t>Council of Australian Governments (COAG),</w:t>
      </w:r>
      <w:r w:rsidR="00620736">
        <w:t xml:space="preserve"> 30</w:t>
      </w:r>
      <w:r>
        <w:t xml:space="preserve"> defined, 117</w:t>
      </w:r>
    </w:p>
    <w:p w14:paraId="19A32920" w14:textId="5C4171B1" w:rsidR="002F787E" w:rsidRDefault="002F787E" w:rsidP="002F787E">
      <w:pPr>
        <w:pStyle w:val="indexcopy"/>
      </w:pPr>
      <w:r>
        <w:t>COVID-19, 2, 63</w:t>
      </w:r>
    </w:p>
    <w:p w14:paraId="236D69B9" w14:textId="28E8626B" w:rsidR="002F787E" w:rsidRDefault="002F787E" w:rsidP="002F787E">
      <w:pPr>
        <w:pStyle w:val="indentindexcopy"/>
      </w:pPr>
      <w:r>
        <w:t>impacts of, 40, 41, 50, 76, 94</w:t>
      </w:r>
    </w:p>
    <w:p w14:paraId="377DA16B" w14:textId="76147C08" w:rsidR="002F787E" w:rsidRDefault="002F787E" w:rsidP="002F787E">
      <w:pPr>
        <w:pStyle w:val="indentindexcopy"/>
      </w:pPr>
      <w:r>
        <w:t>national classification system, 63</w:t>
      </w:r>
    </w:p>
    <w:p w14:paraId="69A65D16" w14:textId="0AE744F5" w:rsidR="002F787E" w:rsidRDefault="002F787E" w:rsidP="002F787E">
      <w:pPr>
        <w:pStyle w:val="indentindexcopy"/>
      </w:pPr>
      <w:r>
        <w:t>response to, 37</w:t>
      </w:r>
    </w:p>
    <w:p w14:paraId="2092C523" w14:textId="2E4DFF51" w:rsidR="002F787E" w:rsidRDefault="002F787E" w:rsidP="002F787E">
      <w:pPr>
        <w:pStyle w:val="indexcopy"/>
      </w:pPr>
      <w:r>
        <w:t>cross-border disputes, 55</w:t>
      </w:r>
    </w:p>
    <w:p w14:paraId="1825769A" w14:textId="6C664927" w:rsidR="00B57A07" w:rsidRDefault="00B57A07" w:rsidP="00E71F65">
      <w:pPr>
        <w:pStyle w:val="Body"/>
        <w:sectPr w:rsidR="00B57A07" w:rsidSect="00B57A07">
          <w:footerReference w:type="default" r:id="rId222"/>
          <w:footnotePr>
            <w:pos w:val="beneathText"/>
          </w:footnotePr>
          <w:pgSz w:w="9979" w:h="14175" w:code="13"/>
          <w:pgMar w:top="1134" w:right="1134" w:bottom="1134" w:left="1134" w:header="709" w:footer="709" w:gutter="0"/>
          <w:cols w:num="2" w:space="623"/>
          <w:docGrid w:linePitch="360"/>
        </w:sectPr>
      </w:pPr>
    </w:p>
    <w:p w14:paraId="2DD76621" w14:textId="77777777" w:rsidR="00CD0321" w:rsidRPr="00DD236E" w:rsidRDefault="00CD0321" w:rsidP="00CD0321">
      <w:pPr>
        <w:pStyle w:val="H3"/>
        <w:spacing w:before="0" w:after="120"/>
        <w:rPr>
          <w:color w:val="1C1C1C"/>
        </w:rPr>
      </w:pPr>
      <w:r>
        <w:rPr>
          <w:color w:val="1C1C1C"/>
        </w:rPr>
        <w:t>D</w:t>
      </w:r>
    </w:p>
    <w:p w14:paraId="3B75B8C9" w14:textId="77777777" w:rsidR="00CD0321" w:rsidRDefault="00CD0321" w:rsidP="00CD0321">
      <w:pPr>
        <w:pStyle w:val="indexcopy"/>
      </w:pPr>
      <w:r>
        <w:t>Data Access and Release Policy, 57</w:t>
      </w:r>
    </w:p>
    <w:p w14:paraId="2E3EC4B9" w14:textId="77777777" w:rsidR="00CD0321" w:rsidRDefault="00CD0321" w:rsidP="00CD0321">
      <w:pPr>
        <w:pStyle w:val="indexcopy"/>
      </w:pPr>
      <w:r>
        <w:t>data collection and analysis, 45, 51–54</w:t>
      </w:r>
    </w:p>
    <w:p w14:paraId="390DAE8C" w14:textId="77777777" w:rsidR="00CD0321" w:rsidRDefault="00CD0321" w:rsidP="00CD0321">
      <w:pPr>
        <w:pStyle w:val="indexcopy"/>
      </w:pPr>
      <w:r>
        <w:t>Data Compliance Policy and reports, 51–54</w:t>
      </w:r>
    </w:p>
    <w:p w14:paraId="5CEDF352" w14:textId="77777777" w:rsidR="00CD0321" w:rsidRDefault="00CD0321" w:rsidP="00CD0321">
      <w:pPr>
        <w:pStyle w:val="indexcopy"/>
      </w:pPr>
      <w:r>
        <w:t>data management systems, 52</w:t>
      </w:r>
    </w:p>
    <w:p w14:paraId="2F9C6F0D" w14:textId="77777777" w:rsidR="00CD0321" w:rsidRDefault="00CD0321" w:rsidP="00CD0321">
      <w:pPr>
        <w:pStyle w:val="indexcopy"/>
      </w:pPr>
      <w:r>
        <w:t>data release, 54</w:t>
      </w:r>
    </w:p>
    <w:p w14:paraId="1F5D0C88" w14:textId="77777777" w:rsidR="00CD0321" w:rsidRDefault="00CD0321" w:rsidP="00CD0321">
      <w:pPr>
        <w:pStyle w:val="indexcopy"/>
      </w:pPr>
      <w:r>
        <w:t>deliverables, 35</w:t>
      </w:r>
    </w:p>
    <w:p w14:paraId="4FB689D5" w14:textId="06BDE765" w:rsidR="00CD0321" w:rsidRDefault="00CD0321" w:rsidP="00CD0321">
      <w:pPr>
        <w:pStyle w:val="indexcopy"/>
      </w:pPr>
      <w:r>
        <w:t>Department of Health and Aged Care (Cwlth), 64, 77, 78</w:t>
      </w:r>
    </w:p>
    <w:p w14:paraId="28D294B6" w14:textId="603C7AE7" w:rsidR="00CD0321" w:rsidRDefault="00CD0321" w:rsidP="00CD0321">
      <w:pPr>
        <w:pStyle w:val="indexcopy"/>
      </w:pPr>
      <w:r>
        <w:t>Determinations (NEP and NEC), 1</w:t>
      </w:r>
      <w:r w:rsidR="00522564">
        <w:t>4</w:t>
      </w:r>
    </w:p>
    <w:p w14:paraId="319FC5E9" w14:textId="77777777" w:rsidR="00CD0321" w:rsidRDefault="00CD0321" w:rsidP="00CD0321">
      <w:pPr>
        <w:pStyle w:val="indexcopy"/>
      </w:pPr>
      <w:r>
        <w:t>Diamond, Angela, 74</w:t>
      </w:r>
    </w:p>
    <w:p w14:paraId="59785389" w14:textId="55BCBACE" w:rsidR="00CD0321" w:rsidRDefault="00CD0321" w:rsidP="00CD0321">
      <w:pPr>
        <w:pStyle w:val="indexcopy"/>
      </w:pPr>
      <w:r>
        <w:t>digital webinar series, 59</w:t>
      </w:r>
    </w:p>
    <w:p w14:paraId="78298B14" w14:textId="77777777" w:rsidR="00CD0321" w:rsidRDefault="00CD0321" w:rsidP="00CD0321">
      <w:pPr>
        <w:pStyle w:val="indexcopy"/>
      </w:pPr>
      <w:r>
        <w:t>disputes on cost-shifting and cross-border issues, 55</w:t>
      </w:r>
    </w:p>
    <w:p w14:paraId="6CC97613" w14:textId="77777777" w:rsidR="00CD0321" w:rsidRDefault="00CD0321" w:rsidP="00CD0321">
      <w:pPr>
        <w:pStyle w:val="indexcopy"/>
      </w:pPr>
      <w:r>
        <w:t>diversity of staff, 78</w:t>
      </w:r>
    </w:p>
    <w:p w14:paraId="07C3A1D4" w14:textId="77777777" w:rsidR="00CD0321" w:rsidRDefault="00CD0321" w:rsidP="00CD0321">
      <w:pPr>
        <w:pStyle w:val="indexcopy"/>
      </w:pPr>
      <w:r>
        <w:t>Downie, James, 4, 6, 16, 68, 81</w:t>
      </w:r>
    </w:p>
    <w:p w14:paraId="7723FD48" w14:textId="77777777" w:rsidR="00CD0321" w:rsidRDefault="00CD0321" w:rsidP="00CD0321">
      <w:pPr>
        <w:pStyle w:val="indentindexcopy"/>
      </w:pPr>
      <w:r w:rsidRPr="00522564">
        <w:rPr>
          <w:i/>
          <w:iCs/>
        </w:rPr>
        <w:t>See also</w:t>
      </w:r>
      <w:r>
        <w:t xml:space="preserve"> Chief Executive Officer</w:t>
      </w:r>
    </w:p>
    <w:p w14:paraId="3AB8A6FF" w14:textId="77777777" w:rsidR="00CD0321" w:rsidRPr="00DD236E" w:rsidRDefault="00CD0321" w:rsidP="00CD0321">
      <w:pPr>
        <w:pStyle w:val="H3"/>
        <w:spacing w:after="120"/>
        <w:rPr>
          <w:color w:val="1C1C1C"/>
        </w:rPr>
      </w:pPr>
      <w:r>
        <w:rPr>
          <w:color w:val="1C1C1C"/>
        </w:rPr>
        <w:t>E</w:t>
      </w:r>
    </w:p>
    <w:p w14:paraId="58EB5795" w14:textId="77777777" w:rsidR="00CD0321" w:rsidRDefault="00CD0321" w:rsidP="00CD0321">
      <w:pPr>
        <w:pStyle w:val="indexcopy"/>
      </w:pPr>
      <w:r>
        <w:t>ecologically sustainable development and environmental performance, 77</w:t>
      </w:r>
    </w:p>
    <w:p w14:paraId="578BCBE4" w14:textId="77777777" w:rsidR="00CD0321" w:rsidRDefault="00CD0321" w:rsidP="00CD0321">
      <w:pPr>
        <w:pStyle w:val="indexcopy"/>
      </w:pPr>
      <w:r>
        <w:t>emergency care pricing, 45</w:t>
      </w:r>
    </w:p>
    <w:p w14:paraId="2919BEB9" w14:textId="77777777" w:rsidR="00CD0321" w:rsidRDefault="00CD0321" w:rsidP="00CD0321">
      <w:pPr>
        <w:pStyle w:val="indexcopy"/>
      </w:pPr>
      <w:r>
        <w:t xml:space="preserve">employees. </w:t>
      </w:r>
      <w:r w:rsidRPr="00162F1B">
        <w:rPr>
          <w:i/>
          <w:iCs/>
        </w:rPr>
        <w:t>See</w:t>
      </w:r>
      <w:r>
        <w:t xml:space="preserve"> staff</w:t>
      </w:r>
    </w:p>
    <w:p w14:paraId="5BB69154" w14:textId="77777777" w:rsidR="00CD0321" w:rsidRDefault="00CD0321" w:rsidP="00CD0321">
      <w:pPr>
        <w:pStyle w:val="indexcopy"/>
      </w:pPr>
      <w:r>
        <w:t>enquiries, inbox, 58</w:t>
      </w:r>
    </w:p>
    <w:p w14:paraId="05F2205B" w14:textId="77777777" w:rsidR="00CD0321" w:rsidRDefault="00CD0321" w:rsidP="00CD0321">
      <w:pPr>
        <w:pStyle w:val="indexcopy"/>
      </w:pPr>
      <w:r w:rsidRPr="00162F1B">
        <w:rPr>
          <w:i/>
          <w:iCs/>
        </w:rPr>
        <w:t>Environmental Protection Act 1999</w:t>
      </w:r>
      <w:r>
        <w:t>, 77</w:t>
      </w:r>
    </w:p>
    <w:p w14:paraId="34CFF88F" w14:textId="77777777" w:rsidR="00CD0321" w:rsidRDefault="00CD0321" w:rsidP="00CD0321">
      <w:pPr>
        <w:pStyle w:val="indexcopy"/>
      </w:pPr>
      <w:r>
        <w:t>ethical standards, 18, 77</w:t>
      </w:r>
    </w:p>
    <w:p w14:paraId="297F53F4" w14:textId="77777777" w:rsidR="00CD0321" w:rsidRDefault="00CD0321" w:rsidP="00CD0321">
      <w:pPr>
        <w:pStyle w:val="indexcopy"/>
      </w:pPr>
      <w:r>
        <w:t>evaluation of safety and quality reforms, 31</w:t>
      </w:r>
    </w:p>
    <w:p w14:paraId="14C46E7E" w14:textId="77777777" w:rsidR="00CD0321" w:rsidRDefault="00CD0321" w:rsidP="00CD0321">
      <w:pPr>
        <w:pStyle w:val="indexcopy"/>
      </w:pPr>
      <w:r>
        <w:t>external scrutiny, 77</w:t>
      </w:r>
    </w:p>
    <w:p w14:paraId="4ECF89C0" w14:textId="77777777" w:rsidR="00CD0321" w:rsidRPr="00DD236E" w:rsidRDefault="00CD0321" w:rsidP="00CD0321">
      <w:pPr>
        <w:pStyle w:val="H3"/>
        <w:spacing w:after="120"/>
        <w:rPr>
          <w:color w:val="1C1C1C"/>
        </w:rPr>
      </w:pPr>
      <w:r>
        <w:rPr>
          <w:color w:val="1C1C1C"/>
        </w:rPr>
        <w:br w:type="column"/>
        <w:t>F</w:t>
      </w:r>
    </w:p>
    <w:p w14:paraId="0AE46A83" w14:textId="77777777" w:rsidR="00CD0321" w:rsidRDefault="00CD0321" w:rsidP="00CD0321">
      <w:pPr>
        <w:pStyle w:val="indexcopy"/>
      </w:pPr>
      <w:r>
        <w:t>Federal Budget 2021–22, 15, 64</w:t>
      </w:r>
    </w:p>
    <w:p w14:paraId="77D6DC4F" w14:textId="77777777" w:rsidR="00CD0321" w:rsidRDefault="00CD0321" w:rsidP="00CD0321">
      <w:pPr>
        <w:pStyle w:val="indexcopy"/>
      </w:pPr>
      <w:r>
        <w:t>female staff, 79–80</w:t>
      </w:r>
    </w:p>
    <w:p w14:paraId="08CEAFCC" w14:textId="77777777" w:rsidR="00CD0321" w:rsidRDefault="00CD0321" w:rsidP="00CD0321">
      <w:pPr>
        <w:pStyle w:val="indexcopy"/>
      </w:pPr>
      <w:r>
        <w:t>financial authorisation, 77</w:t>
      </w:r>
    </w:p>
    <w:p w14:paraId="7C3AEA91" w14:textId="77777777" w:rsidR="00CD0321" w:rsidRDefault="00CD0321" w:rsidP="00CD0321">
      <w:pPr>
        <w:pStyle w:val="indexcopy"/>
      </w:pPr>
      <w:r>
        <w:t>financial management, 86–110</w:t>
      </w:r>
    </w:p>
    <w:p w14:paraId="7B45A51F" w14:textId="77777777" w:rsidR="00CD0321" w:rsidRDefault="00CD0321" w:rsidP="00CD0321">
      <w:pPr>
        <w:pStyle w:val="indentindexcopy"/>
      </w:pPr>
      <w:r>
        <w:t>ANAO report, 87–88</w:t>
      </w:r>
    </w:p>
    <w:p w14:paraId="39DC9E8F" w14:textId="77777777" w:rsidR="00CD0321" w:rsidRDefault="00CD0321" w:rsidP="00CD0321">
      <w:pPr>
        <w:pStyle w:val="indexcopy"/>
      </w:pPr>
      <w:r>
        <w:t>Fitzgerald, Joanne (Acting CEO), 7, 34, 67, 68, 89</w:t>
      </w:r>
    </w:p>
    <w:p w14:paraId="5FBB9702" w14:textId="77777777" w:rsidR="00CD0321" w:rsidRDefault="00CD0321" w:rsidP="00CD0321">
      <w:pPr>
        <w:pStyle w:val="indentindexcopy"/>
      </w:pPr>
      <w:r>
        <w:t>CEO’s letter, 14–16</w:t>
      </w:r>
    </w:p>
    <w:p w14:paraId="3A9D175F" w14:textId="77777777" w:rsidR="00CD0321" w:rsidRDefault="00CD0321" w:rsidP="00CD0321">
      <w:pPr>
        <w:pStyle w:val="indexcopy"/>
      </w:pPr>
      <w:r>
        <w:t>Ford, Prudence, 23</w:t>
      </w:r>
    </w:p>
    <w:p w14:paraId="379663B7" w14:textId="77777777" w:rsidR="00CD0321" w:rsidRDefault="00CD0321" w:rsidP="00CD0321">
      <w:pPr>
        <w:pStyle w:val="indexcopy"/>
      </w:pPr>
      <w:r>
        <w:t>fraud control plan, 77</w:t>
      </w:r>
    </w:p>
    <w:p w14:paraId="1F7C32E8" w14:textId="77777777" w:rsidR="00CD0321" w:rsidRDefault="00CD0321" w:rsidP="00CD0321">
      <w:pPr>
        <w:pStyle w:val="indexcopy"/>
      </w:pPr>
      <w:r>
        <w:t>full-time staff, 79–80</w:t>
      </w:r>
    </w:p>
    <w:p w14:paraId="7AB9B66F" w14:textId="77777777" w:rsidR="00CD0321" w:rsidRDefault="00CD0321" w:rsidP="00CD0321">
      <w:pPr>
        <w:pStyle w:val="indexcopy"/>
      </w:pPr>
      <w:r>
        <w:t>functions and roles, 27–31, 94</w:t>
      </w:r>
    </w:p>
    <w:p w14:paraId="4198BD74" w14:textId="77777777" w:rsidR="00CD0321" w:rsidRDefault="00CD0321" w:rsidP="00CD0321">
      <w:pPr>
        <w:pStyle w:val="indexcopy"/>
      </w:pPr>
      <w:r>
        <w:t>funding for innovative models of care, 6, 59, 63</w:t>
      </w:r>
    </w:p>
    <w:p w14:paraId="1BA8F22B" w14:textId="77777777" w:rsidR="00CD0321" w:rsidRDefault="00CD0321" w:rsidP="00CD0321">
      <w:pPr>
        <w:pStyle w:val="indexcopy"/>
      </w:pPr>
      <w:r>
        <w:t>funding models, 57</w:t>
      </w:r>
    </w:p>
    <w:p w14:paraId="3B5F2C18" w14:textId="77777777" w:rsidR="00CD0321" w:rsidRDefault="00CD0321" w:rsidP="00CD0321">
      <w:pPr>
        <w:pStyle w:val="indexcopy"/>
      </w:pPr>
      <w:r>
        <w:t xml:space="preserve">future. </w:t>
      </w:r>
      <w:r w:rsidRPr="00B57A07">
        <w:rPr>
          <w:i/>
          <w:iCs/>
        </w:rPr>
        <w:t>See</w:t>
      </w:r>
      <w:r>
        <w:t xml:space="preserve"> outlook</w:t>
      </w:r>
    </w:p>
    <w:p w14:paraId="12E67D7D" w14:textId="77777777" w:rsidR="00757F66" w:rsidRDefault="00757F66" w:rsidP="00757F66">
      <w:pPr>
        <w:pStyle w:val="indexcopy"/>
      </w:pPr>
    </w:p>
    <w:p w14:paraId="57152009" w14:textId="426E0C9B" w:rsidR="004E2B08" w:rsidRDefault="004E2B08" w:rsidP="00757F66">
      <w:pPr>
        <w:pStyle w:val="indexcopy"/>
        <w:sectPr w:rsidR="004E2B08" w:rsidSect="00B57A07">
          <w:footerReference w:type="default" r:id="rId223"/>
          <w:footnotePr>
            <w:pos w:val="beneathText"/>
          </w:footnotePr>
          <w:pgSz w:w="9979" w:h="14175" w:code="13"/>
          <w:pgMar w:top="1134" w:right="1134" w:bottom="1134" w:left="1134" w:header="709" w:footer="709" w:gutter="0"/>
          <w:cols w:num="2" w:space="623"/>
          <w:docGrid w:linePitch="360"/>
        </w:sectPr>
      </w:pPr>
    </w:p>
    <w:p w14:paraId="6DED973F" w14:textId="77777777" w:rsidR="00CD0321" w:rsidRPr="00DD236E" w:rsidRDefault="00CD0321" w:rsidP="00CD0321">
      <w:pPr>
        <w:pStyle w:val="H3"/>
        <w:spacing w:before="0" w:after="120"/>
        <w:rPr>
          <w:color w:val="1C1C1C"/>
        </w:rPr>
      </w:pPr>
      <w:r>
        <w:rPr>
          <w:color w:val="1C1C1C"/>
        </w:rPr>
        <w:t>G</w:t>
      </w:r>
    </w:p>
    <w:p w14:paraId="4ED0469E" w14:textId="77777777" w:rsidR="00CD0321" w:rsidRDefault="00CD0321" w:rsidP="00CD0321">
      <w:pPr>
        <w:pStyle w:val="indexcopy"/>
      </w:pPr>
      <w:r>
        <w:t>General List of In-Scope Public Hospital Services, 37–38</w:t>
      </w:r>
    </w:p>
    <w:p w14:paraId="2732099F" w14:textId="77777777" w:rsidR="00CD0321" w:rsidRDefault="00CD0321" w:rsidP="00CD0321">
      <w:pPr>
        <w:pStyle w:val="indexcopy"/>
      </w:pPr>
      <w:r>
        <w:t>glossary, 116–118</w:t>
      </w:r>
    </w:p>
    <w:p w14:paraId="45A7D3A8" w14:textId="77777777" w:rsidR="00CD0321" w:rsidRDefault="00CD0321" w:rsidP="00CD0321">
      <w:pPr>
        <w:pStyle w:val="indexcopy"/>
      </w:pPr>
      <w:r>
        <w:t>goals, 20</w:t>
      </w:r>
    </w:p>
    <w:p w14:paraId="526FA507" w14:textId="77777777" w:rsidR="00CD0321" w:rsidRDefault="00CD0321" w:rsidP="00CD0321">
      <w:pPr>
        <w:pStyle w:val="indexcopy"/>
      </w:pPr>
      <w:r>
        <w:t>governance, 76–77</w:t>
      </w:r>
    </w:p>
    <w:p w14:paraId="201AE4F2" w14:textId="77777777" w:rsidR="00CD0321" w:rsidRDefault="00CD0321" w:rsidP="00CD0321">
      <w:pPr>
        <w:pStyle w:val="indexcopy"/>
      </w:pPr>
      <w:r>
        <w:t>government policy orders (none received), 64</w:t>
      </w:r>
    </w:p>
    <w:p w14:paraId="42CDE4DE" w14:textId="77777777" w:rsidR="00CD0321" w:rsidRDefault="00CD0321" w:rsidP="00CD0321">
      <w:pPr>
        <w:pStyle w:val="indexcopy"/>
      </w:pPr>
      <w:r>
        <w:t>growth funding, 29</w:t>
      </w:r>
    </w:p>
    <w:p w14:paraId="6FD1E107" w14:textId="77777777" w:rsidR="00CD0321" w:rsidRPr="00DD236E" w:rsidRDefault="00CD0321" w:rsidP="00CD0321">
      <w:pPr>
        <w:pStyle w:val="H3"/>
        <w:spacing w:after="120"/>
        <w:rPr>
          <w:color w:val="1C1C1C"/>
        </w:rPr>
      </w:pPr>
      <w:r>
        <w:rPr>
          <w:color w:val="1C1C1C"/>
        </w:rPr>
        <w:t>H</w:t>
      </w:r>
    </w:p>
    <w:p w14:paraId="61B2B537" w14:textId="77777777" w:rsidR="00CD0321" w:rsidRDefault="00CD0321" w:rsidP="00CD0321">
      <w:pPr>
        <w:pStyle w:val="indexcopy"/>
      </w:pPr>
      <w:r>
        <w:t>Hall, Jane, 24</w:t>
      </w:r>
    </w:p>
    <w:p w14:paraId="1FDED992" w14:textId="77777777" w:rsidR="00CD0321" w:rsidRDefault="00CD0321" w:rsidP="00CD0321">
      <w:pPr>
        <w:pStyle w:val="indexcopy"/>
      </w:pPr>
      <w:r>
        <w:t>Health Ministers’ Meeting, 15, 31, 39, 57</w:t>
      </w:r>
    </w:p>
    <w:p w14:paraId="434D80AB" w14:textId="77777777" w:rsidR="00CD0321" w:rsidRDefault="00CD0321" w:rsidP="00CD0321">
      <w:pPr>
        <w:pStyle w:val="indentindexcopy"/>
      </w:pPr>
      <w:r>
        <w:t>defined, 117</w:t>
      </w:r>
    </w:p>
    <w:p w14:paraId="0F4DF6AB" w14:textId="77777777" w:rsidR="00CD0321" w:rsidRDefault="00CD0321" w:rsidP="00CD0321">
      <w:pPr>
        <w:pStyle w:val="indexcopy"/>
      </w:pPr>
      <w:r>
        <w:t>high-cost specialised therapies, 63</w:t>
      </w:r>
    </w:p>
    <w:p w14:paraId="3CFCA9BB" w14:textId="77777777" w:rsidR="00CD0321" w:rsidRDefault="00CD0321" w:rsidP="00CD0321">
      <w:pPr>
        <w:pStyle w:val="indexcopy"/>
      </w:pPr>
      <w:r>
        <w:t>hospital acquired complications, 31, 41</w:t>
      </w:r>
    </w:p>
    <w:p w14:paraId="440839D5" w14:textId="77777777" w:rsidR="00CD0321" w:rsidRDefault="00CD0321" w:rsidP="00CD0321">
      <w:pPr>
        <w:pStyle w:val="indentindexcopy"/>
      </w:pPr>
      <w:r>
        <w:t>defined, 117</w:t>
      </w:r>
    </w:p>
    <w:p w14:paraId="0A9F847D" w14:textId="38B10DEA" w:rsidR="00CD0321" w:rsidRDefault="00CD0321" w:rsidP="00CD0321">
      <w:pPr>
        <w:pStyle w:val="indexcopy"/>
      </w:pPr>
      <w:r>
        <w:t>hospital activity classification systems, 4</w:t>
      </w:r>
      <w:r w:rsidR="00045462">
        <w:t>2</w:t>
      </w:r>
      <w:r>
        <w:t>–47</w:t>
      </w:r>
    </w:p>
    <w:p w14:paraId="24AA564D" w14:textId="77777777" w:rsidR="00CD0321" w:rsidRDefault="00CD0321" w:rsidP="00CD0321">
      <w:pPr>
        <w:pStyle w:val="indexcopy"/>
      </w:pPr>
      <w:r>
        <w:t>hospital activity data, 41</w:t>
      </w:r>
    </w:p>
    <w:p w14:paraId="35BD85DD" w14:textId="77777777" w:rsidR="00CD0321" w:rsidRDefault="00CD0321" w:rsidP="00CD0321">
      <w:pPr>
        <w:pStyle w:val="indexcopy"/>
      </w:pPr>
      <w:r>
        <w:t xml:space="preserve">human resources. </w:t>
      </w:r>
      <w:r w:rsidRPr="00B57A07">
        <w:rPr>
          <w:i/>
          <w:iCs/>
        </w:rPr>
        <w:t>See</w:t>
      </w:r>
      <w:r>
        <w:t xml:space="preserve"> staff</w:t>
      </w:r>
    </w:p>
    <w:p w14:paraId="42C54A79" w14:textId="77777777" w:rsidR="00CD0321" w:rsidRPr="00DD236E" w:rsidRDefault="00CD0321" w:rsidP="00CD0321">
      <w:pPr>
        <w:pStyle w:val="H3"/>
        <w:spacing w:before="0" w:after="120"/>
        <w:rPr>
          <w:color w:val="1C1C1C"/>
        </w:rPr>
      </w:pPr>
      <w:r>
        <w:br w:type="column"/>
      </w:r>
      <w:r>
        <w:rPr>
          <w:color w:val="1C1C1C"/>
        </w:rPr>
        <w:t>I</w:t>
      </w:r>
    </w:p>
    <w:p w14:paraId="25C6DFF9" w14:textId="77777777" w:rsidR="00CD0321" w:rsidRDefault="00CD0321" w:rsidP="00CD0321">
      <w:pPr>
        <w:pStyle w:val="indexcopy"/>
      </w:pPr>
      <w:r>
        <w:t>ICD-10-AM/ACHI/ACS Twelfth Edition, 5, 14, 44, 47</w:t>
      </w:r>
    </w:p>
    <w:p w14:paraId="598B0908" w14:textId="77777777" w:rsidR="00CD0321" w:rsidRDefault="00CD0321" w:rsidP="00CD0321">
      <w:pPr>
        <w:pStyle w:val="indexcopy"/>
      </w:pPr>
      <w:r>
        <w:t>IHPA overview, 27–31</w:t>
      </w:r>
    </w:p>
    <w:p w14:paraId="45E64CE0" w14:textId="77777777" w:rsidR="00CD0321" w:rsidRDefault="00CD0321" w:rsidP="00CD0321">
      <w:pPr>
        <w:pStyle w:val="indentindexcopy"/>
      </w:pPr>
      <w:r>
        <w:t>2021–22 highlights, 14–15</w:t>
      </w:r>
    </w:p>
    <w:p w14:paraId="2F200677" w14:textId="77777777" w:rsidR="00CD0321" w:rsidRDefault="00CD0321" w:rsidP="00CD0321">
      <w:pPr>
        <w:pStyle w:val="indentindexcopy"/>
      </w:pPr>
      <w:r>
        <w:t>business continuity plan, 76</w:t>
      </w:r>
    </w:p>
    <w:p w14:paraId="7AA4DBF1" w14:textId="77777777" w:rsidR="00CD0321" w:rsidRDefault="00CD0321" w:rsidP="00CD0321">
      <w:pPr>
        <w:pStyle w:val="indentindexcopy"/>
      </w:pPr>
      <w:r>
        <w:t>CEO’s letter, 14–16</w:t>
      </w:r>
    </w:p>
    <w:p w14:paraId="2196AF27" w14:textId="77777777" w:rsidR="00CD0321" w:rsidRDefault="00CD0321" w:rsidP="00CD0321">
      <w:pPr>
        <w:pStyle w:val="indentindexcopy"/>
      </w:pPr>
      <w:r>
        <w:t>Chair’s welcome, 2–4</w:t>
      </w:r>
    </w:p>
    <w:p w14:paraId="2CCA35B9" w14:textId="77777777" w:rsidR="00CD0321" w:rsidRDefault="00CD0321" w:rsidP="00CD0321">
      <w:pPr>
        <w:pStyle w:val="indentindexcopy"/>
      </w:pPr>
      <w:r>
        <w:t>enabling legislation, 62–64</w:t>
      </w:r>
    </w:p>
    <w:p w14:paraId="647BC9C7" w14:textId="77777777" w:rsidR="00CD0321" w:rsidRDefault="00CD0321" w:rsidP="00CD0321">
      <w:pPr>
        <w:pStyle w:val="indentindexcopy"/>
      </w:pPr>
      <w:r>
        <w:t>executive team, 26</w:t>
      </w:r>
    </w:p>
    <w:p w14:paraId="7BF8D3BF" w14:textId="12D187D9" w:rsidR="00CD0321" w:rsidRDefault="00CD0321" w:rsidP="00CD0321">
      <w:pPr>
        <w:pStyle w:val="indentindexcopy"/>
      </w:pPr>
      <w:r>
        <w:t>financial statements, 87–11</w:t>
      </w:r>
      <w:r w:rsidR="0019170F">
        <w:t>0</w:t>
      </w:r>
    </w:p>
    <w:p w14:paraId="13E03B47" w14:textId="77777777" w:rsidR="00CD0321" w:rsidRDefault="00CD0321" w:rsidP="00CD0321">
      <w:pPr>
        <w:pStyle w:val="indentindexcopy"/>
      </w:pPr>
      <w:r>
        <w:t>functions, 27–28</w:t>
      </w:r>
    </w:p>
    <w:p w14:paraId="1C4ED40F" w14:textId="77777777" w:rsidR="00CD0321" w:rsidRDefault="00CD0321" w:rsidP="00CD0321">
      <w:pPr>
        <w:pStyle w:val="indentindexcopy"/>
      </w:pPr>
      <w:r>
        <w:t>governance, 76–77</w:t>
      </w:r>
    </w:p>
    <w:p w14:paraId="1729FEF2" w14:textId="2DB38846" w:rsidR="00CD0321" w:rsidRDefault="00CD0321" w:rsidP="00CD0321">
      <w:pPr>
        <w:pStyle w:val="indentindexcopy"/>
      </w:pPr>
      <w:r>
        <w:t>meetings, 57</w:t>
      </w:r>
      <w:r w:rsidR="0019170F">
        <w:t>, 66</w:t>
      </w:r>
    </w:p>
    <w:p w14:paraId="412645EF" w14:textId="6AC70A0C" w:rsidR="00CD0321" w:rsidRDefault="00CD0321" w:rsidP="00CD0321">
      <w:pPr>
        <w:pStyle w:val="indentindexcopy"/>
      </w:pPr>
      <w:r>
        <w:t xml:space="preserve">new roles, </w:t>
      </w:r>
      <w:r w:rsidRPr="00757F66">
        <w:rPr>
          <w:i/>
          <w:iCs/>
        </w:rPr>
        <w:t>inside front cover</w:t>
      </w:r>
      <w:r>
        <w:t>, 15</w:t>
      </w:r>
    </w:p>
    <w:p w14:paraId="7455A841" w14:textId="77777777" w:rsidR="00CD0321" w:rsidRDefault="00CD0321" w:rsidP="00CD0321">
      <w:pPr>
        <w:pStyle w:val="indentindexcopy"/>
      </w:pPr>
      <w:r>
        <w:t>organisational structure, 19</w:t>
      </w:r>
    </w:p>
    <w:p w14:paraId="1524BBEE" w14:textId="77777777" w:rsidR="00CD0321" w:rsidRDefault="00CD0321" w:rsidP="00CD0321">
      <w:pPr>
        <w:pStyle w:val="indentindexcopy"/>
      </w:pPr>
      <w:r>
        <w:t>organisational values, 18</w:t>
      </w:r>
    </w:p>
    <w:p w14:paraId="3D4A45BE" w14:textId="5DD87A10" w:rsidR="00CD0321" w:rsidRDefault="00CD0321" w:rsidP="00CD0321">
      <w:pPr>
        <w:pStyle w:val="indentindexcopy"/>
      </w:pPr>
      <w:r>
        <w:t>performance statements, 3</w:t>
      </w:r>
      <w:r w:rsidR="0019170F">
        <w:t>4</w:t>
      </w:r>
      <w:r>
        <w:t>–59</w:t>
      </w:r>
    </w:p>
    <w:p w14:paraId="65627146" w14:textId="77777777" w:rsidR="00CD0321" w:rsidRDefault="00CD0321" w:rsidP="00CD0321">
      <w:pPr>
        <w:pStyle w:val="indentindexcopy"/>
      </w:pPr>
      <w:r>
        <w:t>purpose, 18, 94</w:t>
      </w:r>
    </w:p>
    <w:p w14:paraId="0CA06FD0" w14:textId="77777777" w:rsidR="00CD0321" w:rsidRDefault="00CD0321" w:rsidP="00CD0321">
      <w:pPr>
        <w:pStyle w:val="indentindexcopy"/>
      </w:pPr>
      <w:r>
        <w:t>roles and functions, 27–31, 94</w:t>
      </w:r>
    </w:p>
    <w:p w14:paraId="01EE28D4" w14:textId="77777777" w:rsidR="00CD0321" w:rsidRDefault="00CD0321" w:rsidP="00CD0321">
      <w:pPr>
        <w:pStyle w:val="indentindexcopy"/>
      </w:pPr>
      <w:r>
        <w:t>stakeholders, 3</w:t>
      </w:r>
    </w:p>
    <w:p w14:paraId="28A0EB37" w14:textId="77777777" w:rsidR="00CD0321" w:rsidRDefault="00CD0321" w:rsidP="00CD0321">
      <w:pPr>
        <w:pStyle w:val="indentindexcopy"/>
      </w:pPr>
      <w:r>
        <w:t>work program, 35–36</w:t>
      </w:r>
    </w:p>
    <w:p w14:paraId="406C582D" w14:textId="77777777" w:rsidR="00CD0321" w:rsidRDefault="00CD0321" w:rsidP="00CD0321">
      <w:pPr>
        <w:pStyle w:val="indexcopy"/>
      </w:pPr>
      <w:r>
        <w:t>inbox enquiries, 58</w:t>
      </w:r>
    </w:p>
    <w:p w14:paraId="177F93DC" w14:textId="77777777" w:rsidR="00CD0321" w:rsidRDefault="00CD0321" w:rsidP="00CD0321">
      <w:pPr>
        <w:pStyle w:val="indexcopy"/>
      </w:pPr>
      <w:r>
        <w:t>independent auditor’s report, 87–88</w:t>
      </w:r>
    </w:p>
    <w:p w14:paraId="14582CC6" w14:textId="77777777" w:rsidR="00CD0321" w:rsidRDefault="00CD0321" w:rsidP="00CD0321">
      <w:pPr>
        <w:pStyle w:val="indexcopy"/>
      </w:pPr>
      <w:r>
        <w:t xml:space="preserve">Independent Health and Aged Care Pricing Authority (IHACPA), </w:t>
      </w:r>
      <w:r w:rsidRPr="00757F66">
        <w:rPr>
          <w:i/>
          <w:iCs/>
        </w:rPr>
        <w:t>inside front cover</w:t>
      </w:r>
      <w:r>
        <w:t>, 15, 64</w:t>
      </w:r>
    </w:p>
    <w:p w14:paraId="15BA7735" w14:textId="26F99599" w:rsidR="00CD0321" w:rsidRDefault="00CD0321" w:rsidP="00CD0321">
      <w:pPr>
        <w:pStyle w:val="indexcopy"/>
      </w:pPr>
      <w:r>
        <w:t>Individual Healthcare Identifiers (IHI), 52</w:t>
      </w:r>
      <w:r w:rsidR="0019170F">
        <w:t>, 54</w:t>
      </w:r>
    </w:p>
    <w:p w14:paraId="2D7BE67A" w14:textId="6E16F8F7" w:rsidR="00CD0321" w:rsidRDefault="00CD0321" w:rsidP="00CD0321">
      <w:pPr>
        <w:pStyle w:val="indexcopy"/>
      </w:pPr>
      <w:r>
        <w:t xml:space="preserve">innovative models of care, </w:t>
      </w:r>
      <w:r w:rsidR="0019170F">
        <w:t xml:space="preserve">6, </w:t>
      </w:r>
      <w:r>
        <w:t>59, 63</w:t>
      </w:r>
    </w:p>
    <w:p w14:paraId="05458EF8" w14:textId="77777777" w:rsidR="00CD0321" w:rsidRDefault="00CD0321" w:rsidP="00CD0321">
      <w:pPr>
        <w:pStyle w:val="indexcopy"/>
      </w:pPr>
      <w:r>
        <w:t>inter-agency financial activity, 77</w:t>
      </w:r>
    </w:p>
    <w:p w14:paraId="588A7FDB" w14:textId="77777777" w:rsidR="00CD0321" w:rsidRDefault="00CD0321" w:rsidP="00CD0321">
      <w:pPr>
        <w:pStyle w:val="indexcopy"/>
      </w:pPr>
      <w:r>
        <w:t>internal audits, 76</w:t>
      </w:r>
    </w:p>
    <w:p w14:paraId="5457E480" w14:textId="54F45CBF" w:rsidR="00CD0321" w:rsidRDefault="00CD0321" w:rsidP="00CD0321">
      <w:pPr>
        <w:pStyle w:val="indexcopy"/>
      </w:pPr>
      <w:r>
        <w:t>International Statistical Classification of Diseases</w:t>
      </w:r>
      <w:r w:rsidR="0019170F">
        <w:t> </w:t>
      </w:r>
      <w:r>
        <w:t>and Related Health Problems, Tenth Revision, Australian Modification (ICD-10-AM), 5, 14, 44, 47</w:t>
      </w:r>
    </w:p>
    <w:p w14:paraId="4AE5EA93" w14:textId="77777777" w:rsidR="00CD0321" w:rsidRDefault="00CD0321" w:rsidP="00CD0321">
      <w:pPr>
        <w:pStyle w:val="indexcopy"/>
      </w:pPr>
      <w:r>
        <w:t xml:space="preserve">internet home page, </w:t>
      </w:r>
      <w:r w:rsidRPr="00757F66">
        <w:rPr>
          <w:i/>
          <w:iCs/>
        </w:rPr>
        <w:t>inside front cover</w:t>
      </w:r>
    </w:p>
    <w:p w14:paraId="30A9ACEA" w14:textId="77777777" w:rsidR="00DE68B1" w:rsidRDefault="00DE68B1" w:rsidP="00723DB0">
      <w:pPr>
        <w:pStyle w:val="indexcopy"/>
      </w:pPr>
    </w:p>
    <w:p w14:paraId="310684A8" w14:textId="5BBE5AAE" w:rsidR="004E2B08" w:rsidRDefault="004E2B08" w:rsidP="00723DB0">
      <w:pPr>
        <w:pStyle w:val="indexcopy"/>
        <w:sectPr w:rsidR="004E2B08" w:rsidSect="00757F66">
          <w:footerReference w:type="default" r:id="rId224"/>
          <w:footnotePr>
            <w:pos w:val="beneathText"/>
          </w:footnotePr>
          <w:pgSz w:w="9979" w:h="14175" w:code="13"/>
          <w:pgMar w:top="1134" w:right="1134" w:bottom="1134" w:left="1134" w:header="709" w:footer="709" w:gutter="0"/>
          <w:cols w:num="2" w:space="623"/>
          <w:docGrid w:linePitch="360"/>
        </w:sectPr>
      </w:pPr>
    </w:p>
    <w:p w14:paraId="1958BCD9" w14:textId="77777777" w:rsidR="00CD0321" w:rsidRPr="00DD236E" w:rsidRDefault="00CD0321" w:rsidP="00CD0321">
      <w:pPr>
        <w:pStyle w:val="H3"/>
        <w:spacing w:before="0" w:after="120"/>
        <w:rPr>
          <w:color w:val="1C1C1C"/>
        </w:rPr>
      </w:pPr>
      <w:r>
        <w:rPr>
          <w:color w:val="1C1C1C"/>
        </w:rPr>
        <w:t>J</w:t>
      </w:r>
    </w:p>
    <w:p w14:paraId="7C519B15" w14:textId="77777777" w:rsidR="00CD0321" w:rsidRDefault="00CD0321" w:rsidP="00CD0321">
      <w:pPr>
        <w:pStyle w:val="indexcopy"/>
      </w:pPr>
      <w:r>
        <w:t>Jurisdictional Advisory Committee, 69–70, 73</w:t>
      </w:r>
    </w:p>
    <w:p w14:paraId="61B7750E" w14:textId="77777777" w:rsidR="00CD0321" w:rsidRDefault="00CD0321" w:rsidP="00CD0321">
      <w:pPr>
        <w:pStyle w:val="indexcopy"/>
      </w:pPr>
      <w:r>
        <w:t>jurisdictional compliance, 51</w:t>
      </w:r>
    </w:p>
    <w:p w14:paraId="561280D0" w14:textId="77777777" w:rsidR="00CD0321" w:rsidRPr="00DD236E" w:rsidRDefault="00CD0321" w:rsidP="00CD0321">
      <w:pPr>
        <w:pStyle w:val="H3"/>
        <w:spacing w:after="120"/>
        <w:rPr>
          <w:color w:val="1C1C1C"/>
        </w:rPr>
      </w:pPr>
      <w:r>
        <w:rPr>
          <w:color w:val="1C1C1C"/>
        </w:rPr>
        <w:t>K</w:t>
      </w:r>
    </w:p>
    <w:p w14:paraId="1EE48687" w14:textId="77777777" w:rsidR="00CD0321" w:rsidRDefault="00CD0321" w:rsidP="00CD0321">
      <w:pPr>
        <w:pStyle w:val="indexcopy"/>
      </w:pPr>
      <w:r>
        <w:t>key management personnel, 17, 79, 81</w:t>
      </w:r>
    </w:p>
    <w:p w14:paraId="4009B026" w14:textId="7C74E403" w:rsidR="00CD0321" w:rsidRDefault="00CD0321" w:rsidP="00CD0321">
      <w:pPr>
        <w:pStyle w:val="indentindexcopy"/>
      </w:pPr>
      <w:r>
        <w:t xml:space="preserve">remuneration, </w:t>
      </w:r>
      <w:r w:rsidR="00027B3F">
        <w:t xml:space="preserve">81, </w:t>
      </w:r>
      <w:r>
        <w:t>106</w:t>
      </w:r>
    </w:p>
    <w:p w14:paraId="4EB78A1B" w14:textId="77777777" w:rsidR="00CD0321" w:rsidRPr="00DD236E" w:rsidRDefault="00CD0321" w:rsidP="00CD0321">
      <w:pPr>
        <w:pStyle w:val="H3"/>
        <w:spacing w:after="120"/>
        <w:rPr>
          <w:color w:val="1C1C1C"/>
        </w:rPr>
      </w:pPr>
      <w:r>
        <w:rPr>
          <w:color w:val="1C1C1C"/>
        </w:rPr>
        <w:t>L</w:t>
      </w:r>
    </w:p>
    <w:p w14:paraId="723A01A7" w14:textId="77777777" w:rsidR="00CD0321" w:rsidRDefault="00CD0321" w:rsidP="00CD0321">
      <w:pPr>
        <w:pStyle w:val="indexcopy"/>
      </w:pPr>
      <w:r>
        <w:t>legislation, 62–64</w:t>
      </w:r>
    </w:p>
    <w:p w14:paraId="365E4753" w14:textId="77777777" w:rsidR="00CD0321" w:rsidRDefault="00CD0321" w:rsidP="00CD0321">
      <w:pPr>
        <w:pStyle w:val="indexcopy"/>
      </w:pPr>
      <w:r>
        <w:t>Lenarduzzi, John, 75</w:t>
      </w:r>
    </w:p>
    <w:p w14:paraId="59E3051B" w14:textId="77777777" w:rsidR="00CD0321" w:rsidRDefault="00CD0321" w:rsidP="00CD0321">
      <w:pPr>
        <w:pStyle w:val="indexcopy"/>
      </w:pPr>
      <w:r>
        <w:t>letter of transmittal, 7</w:t>
      </w:r>
    </w:p>
    <w:p w14:paraId="7547C15C" w14:textId="77777777" w:rsidR="00CD0321" w:rsidRPr="00DD236E" w:rsidRDefault="00CD0321" w:rsidP="00CD0321">
      <w:pPr>
        <w:pStyle w:val="H3"/>
        <w:spacing w:after="120"/>
        <w:rPr>
          <w:color w:val="1C1C1C"/>
        </w:rPr>
      </w:pPr>
      <w:r>
        <w:rPr>
          <w:color w:val="1C1C1C"/>
        </w:rPr>
        <w:t>M</w:t>
      </w:r>
    </w:p>
    <w:p w14:paraId="5CD1DD7B" w14:textId="77777777" w:rsidR="00CD0321" w:rsidRDefault="00CD0321" w:rsidP="00CD0321">
      <w:pPr>
        <w:pStyle w:val="indexcopy"/>
      </w:pPr>
      <w:r>
        <w:t>MacDonald, Alasdair, 3, 5–6, 71</w:t>
      </w:r>
    </w:p>
    <w:p w14:paraId="7A2AA9A5" w14:textId="77777777" w:rsidR="00CD0321" w:rsidRDefault="00CD0321" w:rsidP="00CD0321">
      <w:pPr>
        <w:pStyle w:val="indexcopy"/>
      </w:pPr>
      <w:r>
        <w:t>management and accountability, 62–82</w:t>
      </w:r>
    </w:p>
    <w:p w14:paraId="51BB29B5" w14:textId="77777777" w:rsidR="00CD0321" w:rsidRDefault="00CD0321" w:rsidP="00CD0321">
      <w:pPr>
        <w:pStyle w:val="indexcopy"/>
      </w:pPr>
      <w:r>
        <w:t>management committees, 69–75</w:t>
      </w:r>
    </w:p>
    <w:p w14:paraId="143BEDE2" w14:textId="77777777" w:rsidR="00CD0321" w:rsidRDefault="00CD0321" w:rsidP="00CD0321">
      <w:pPr>
        <w:pStyle w:val="indexcopy"/>
      </w:pPr>
      <w:r>
        <w:t xml:space="preserve">medical devices. </w:t>
      </w:r>
      <w:r w:rsidRPr="00027B3F">
        <w:rPr>
          <w:i/>
          <w:iCs/>
        </w:rPr>
        <w:t>See</w:t>
      </w:r>
      <w:r>
        <w:t xml:space="preserve"> Prosthesis List reform</w:t>
      </w:r>
    </w:p>
    <w:p w14:paraId="5A21A482" w14:textId="77777777" w:rsidR="00CD0321" w:rsidRDefault="00CD0321" w:rsidP="00CD0321">
      <w:pPr>
        <w:pStyle w:val="indexcopy"/>
      </w:pPr>
      <w:r>
        <w:t>meetings, 57, 66</w:t>
      </w:r>
    </w:p>
    <w:p w14:paraId="57B0EBE9" w14:textId="77777777" w:rsidR="00CD0321" w:rsidRDefault="00CD0321" w:rsidP="00CD0321">
      <w:pPr>
        <w:pStyle w:val="indentindexcopy"/>
      </w:pPr>
      <w:r>
        <w:t>Audit, Risk and Compliance Committee, 74–75</w:t>
      </w:r>
    </w:p>
    <w:p w14:paraId="39573DEF" w14:textId="77777777" w:rsidR="00CD0321" w:rsidRDefault="00CD0321" w:rsidP="00CD0321">
      <w:pPr>
        <w:pStyle w:val="indentindexcopy"/>
      </w:pPr>
      <w:r>
        <w:t>Clinical Advisory Committee, 72</w:t>
      </w:r>
    </w:p>
    <w:p w14:paraId="62EFD011" w14:textId="77777777" w:rsidR="00CD0321" w:rsidRDefault="00CD0321" w:rsidP="00CD0321">
      <w:pPr>
        <w:pStyle w:val="indentindexcopy"/>
      </w:pPr>
      <w:r>
        <w:t>Jurisdictional Advisory Committee, 73</w:t>
      </w:r>
    </w:p>
    <w:p w14:paraId="250DF8A4" w14:textId="77777777" w:rsidR="00CD0321" w:rsidRDefault="00CD0321" w:rsidP="00CD0321">
      <w:pPr>
        <w:pStyle w:val="indexcopy"/>
      </w:pPr>
      <w:r>
        <w:t>Mental Health Phase of Care (MHPoC) Clinical Refinement Testing Project, 44</w:t>
      </w:r>
    </w:p>
    <w:p w14:paraId="2408649A" w14:textId="77777777" w:rsidR="00CD0321" w:rsidRDefault="00CD0321" w:rsidP="00CD0321">
      <w:pPr>
        <w:pStyle w:val="indexcopy"/>
      </w:pPr>
      <w:r>
        <w:t>Miljak, Chris, 89</w:t>
      </w:r>
    </w:p>
    <w:p w14:paraId="7108242F" w14:textId="77777777" w:rsidR="00CD0321" w:rsidRDefault="00CD0321" w:rsidP="00CD0321">
      <w:pPr>
        <w:pStyle w:val="indexcopy"/>
      </w:pPr>
      <w:r>
        <w:t>Minister responsible, 7, 20, 62, 65, 71</w:t>
      </w:r>
    </w:p>
    <w:p w14:paraId="606120C6" w14:textId="77777777" w:rsidR="00CD0321" w:rsidRDefault="00CD0321" w:rsidP="00CD0321">
      <w:pPr>
        <w:pStyle w:val="indexcopy"/>
      </w:pPr>
      <w:r>
        <w:t>Ministerial directions (none received), 64</w:t>
      </w:r>
    </w:p>
    <w:p w14:paraId="093335F5" w14:textId="77777777" w:rsidR="00CD0321" w:rsidRPr="00DD236E" w:rsidRDefault="00CD0321" w:rsidP="00CD0321">
      <w:pPr>
        <w:pStyle w:val="H3"/>
        <w:spacing w:after="120"/>
        <w:rPr>
          <w:color w:val="1C1C1C"/>
        </w:rPr>
      </w:pPr>
      <w:r>
        <w:rPr>
          <w:color w:val="1C1C1C"/>
        </w:rPr>
        <w:br w:type="column"/>
        <w:t>N</w:t>
      </w:r>
    </w:p>
    <w:p w14:paraId="0CA9AC4F" w14:textId="6D8294B6" w:rsidR="00CD0321" w:rsidRDefault="00CD0321" w:rsidP="00CD0321">
      <w:pPr>
        <w:pStyle w:val="indexcopy"/>
      </w:pPr>
      <w:r>
        <w:t xml:space="preserve">National Benchmarking Portal, 40, 41, 53, </w:t>
      </w:r>
      <w:r w:rsidR="00027B3F">
        <w:t xml:space="preserve">54, </w:t>
      </w:r>
      <w:r>
        <w:t>57</w:t>
      </w:r>
    </w:p>
    <w:p w14:paraId="6443FDEE" w14:textId="77777777" w:rsidR="00CD0321" w:rsidRDefault="00CD0321" w:rsidP="00CD0321">
      <w:pPr>
        <w:pStyle w:val="indexcopy"/>
      </w:pPr>
      <w:r>
        <w:t>National Best Endeavours Data Sets, 52</w:t>
      </w:r>
    </w:p>
    <w:p w14:paraId="1F718C3F" w14:textId="77777777" w:rsidR="00CD0321" w:rsidRDefault="00CD0321" w:rsidP="00CD0321">
      <w:pPr>
        <w:pStyle w:val="indexcopy"/>
      </w:pPr>
      <w:r>
        <w:t>national efficient cost, 29</w:t>
      </w:r>
    </w:p>
    <w:p w14:paraId="621E1F3B" w14:textId="77777777" w:rsidR="00CD0321" w:rsidRDefault="00CD0321" w:rsidP="00CD0321">
      <w:pPr>
        <w:pStyle w:val="indentindexcopy"/>
      </w:pPr>
      <w:r>
        <w:t>defined, 117</w:t>
      </w:r>
    </w:p>
    <w:p w14:paraId="38A10C2D" w14:textId="77777777" w:rsidR="00CD0321" w:rsidRDefault="00CD0321" w:rsidP="00CD0321">
      <w:pPr>
        <w:pStyle w:val="indexcopy"/>
      </w:pPr>
      <w:r>
        <w:t>National Efficient Cost Determination 2022–23, 14, 37–41</w:t>
      </w:r>
    </w:p>
    <w:p w14:paraId="155CE9D9" w14:textId="77777777" w:rsidR="00CD0321" w:rsidRDefault="00CD0321" w:rsidP="00CD0321">
      <w:pPr>
        <w:pStyle w:val="indexcopy"/>
      </w:pPr>
      <w:r>
        <w:t>national efficient price, 29</w:t>
      </w:r>
    </w:p>
    <w:p w14:paraId="2883F8F5" w14:textId="77777777" w:rsidR="00CD0321" w:rsidRDefault="00CD0321" w:rsidP="00CD0321">
      <w:pPr>
        <w:pStyle w:val="indentindexcopy"/>
      </w:pPr>
      <w:r>
        <w:t>defined, 117</w:t>
      </w:r>
    </w:p>
    <w:p w14:paraId="69F2A1A6" w14:textId="77777777" w:rsidR="00CD0321" w:rsidRDefault="00CD0321" w:rsidP="00CD0321">
      <w:pPr>
        <w:pStyle w:val="indexcopy"/>
      </w:pPr>
      <w:r>
        <w:t>National Efficient Price Determination 2022–23, 2, 14, 37–41, 49</w:t>
      </w:r>
    </w:p>
    <w:p w14:paraId="1C30448F" w14:textId="77777777" w:rsidR="00CD0321" w:rsidRDefault="00CD0321" w:rsidP="00CD0321">
      <w:pPr>
        <w:pStyle w:val="indexcopy"/>
      </w:pPr>
      <w:r>
        <w:t>National Health Funding Body, 76</w:t>
      </w:r>
    </w:p>
    <w:p w14:paraId="02C2E0F8" w14:textId="77777777" w:rsidR="00CD0321" w:rsidRDefault="00CD0321" w:rsidP="00CD0321">
      <w:pPr>
        <w:pStyle w:val="indexcopy"/>
      </w:pPr>
      <w:r>
        <w:t>National Health Funding Pool, 15, 27, 63</w:t>
      </w:r>
    </w:p>
    <w:p w14:paraId="093D345B" w14:textId="77777777" w:rsidR="00CD0321" w:rsidRDefault="00CD0321" w:rsidP="00CD0321">
      <w:pPr>
        <w:pStyle w:val="indexcopy"/>
      </w:pPr>
      <w:r w:rsidRPr="00757F66">
        <w:rPr>
          <w:i/>
          <w:iCs/>
        </w:rPr>
        <w:t>National Health Reform Act 2011, inside front cover,</w:t>
      </w:r>
      <w:r>
        <w:t xml:space="preserve"> 27, 35, 55, 58, 62, 64, 65, 69</w:t>
      </w:r>
    </w:p>
    <w:p w14:paraId="0C0E4BA0" w14:textId="77777777" w:rsidR="00CD0321" w:rsidRDefault="00CD0321" w:rsidP="00CD0321">
      <w:pPr>
        <w:pStyle w:val="indentindexcopy"/>
      </w:pPr>
      <w:r>
        <w:t>defined, 117</w:t>
      </w:r>
    </w:p>
    <w:p w14:paraId="1B77E4F4" w14:textId="044358AB" w:rsidR="00CD0321" w:rsidRDefault="00CD0321" w:rsidP="00CD0321">
      <w:pPr>
        <w:pStyle w:val="indexcopy"/>
      </w:pPr>
      <w:r>
        <w:t>National Health Reform Agreement (NHRA), 29,</w:t>
      </w:r>
      <w:r w:rsidR="00027B3F">
        <w:t xml:space="preserve"> </w:t>
      </w:r>
      <w:r>
        <w:t>62</w:t>
      </w:r>
    </w:p>
    <w:p w14:paraId="619712D3" w14:textId="77777777" w:rsidR="00CD0321" w:rsidRDefault="00CD0321" w:rsidP="00CD0321">
      <w:pPr>
        <w:pStyle w:val="indentindexcopy"/>
      </w:pPr>
      <w:r>
        <w:t>defined, 117</w:t>
      </w:r>
    </w:p>
    <w:p w14:paraId="7BBA05B6" w14:textId="77777777" w:rsidR="00CD0321" w:rsidRDefault="00CD0321" w:rsidP="00CD0321">
      <w:pPr>
        <w:pStyle w:val="indexcopy"/>
      </w:pPr>
      <w:r>
        <w:t>National Hospital Cost Data Collection (NHCDC), 15, 48–50</w:t>
      </w:r>
    </w:p>
    <w:p w14:paraId="2A7A07E3" w14:textId="77777777" w:rsidR="00CD0321" w:rsidRDefault="00CD0321" w:rsidP="00CD0321">
      <w:pPr>
        <w:pStyle w:val="indexcopy"/>
      </w:pPr>
      <w:r>
        <w:t>National Minimum Data Sets, 52</w:t>
      </w:r>
    </w:p>
    <w:p w14:paraId="268D512E" w14:textId="77777777" w:rsidR="00CD0321" w:rsidRDefault="00CD0321" w:rsidP="00CD0321">
      <w:pPr>
        <w:pStyle w:val="indexcopy"/>
      </w:pPr>
      <w:r>
        <w:t>National Partnership on COVID-19 Response, 3, 6, 37, 63</w:t>
      </w:r>
    </w:p>
    <w:p w14:paraId="167010A7" w14:textId="77777777" w:rsidR="00CD0321" w:rsidRDefault="00CD0321" w:rsidP="00CD0321">
      <w:pPr>
        <w:pStyle w:val="indexcopy"/>
      </w:pPr>
      <w:r>
        <w:t>National Weighted Activity Units (NWAU), 29</w:t>
      </w:r>
    </w:p>
    <w:p w14:paraId="643BA052" w14:textId="77777777" w:rsidR="00CD0321" w:rsidRDefault="00CD0321" w:rsidP="00CD0321">
      <w:pPr>
        <w:pStyle w:val="indentindexcopy"/>
      </w:pPr>
      <w:r>
        <w:t>defined, 118</w:t>
      </w:r>
    </w:p>
    <w:p w14:paraId="5E8258D5" w14:textId="77777777" w:rsidR="00CD0321" w:rsidRDefault="00CD0321" w:rsidP="00CD0321">
      <w:pPr>
        <w:pStyle w:val="indexcopy"/>
      </w:pPr>
      <w:r>
        <w:t>New Health Technology Policy, 46</w:t>
      </w:r>
    </w:p>
    <w:p w14:paraId="4996C490" w14:textId="77777777" w:rsidR="00CD0321" w:rsidRDefault="00CD0321" w:rsidP="00CD0321">
      <w:pPr>
        <w:pStyle w:val="indexcopy"/>
      </w:pPr>
      <w:r>
        <w:t>NHCDC Independent Financial Review, 49</w:t>
      </w:r>
    </w:p>
    <w:p w14:paraId="37FF9258" w14:textId="77777777" w:rsidR="00CD0321" w:rsidRDefault="00CD0321" w:rsidP="00CD0321">
      <w:pPr>
        <w:pStyle w:val="indexcopy"/>
      </w:pPr>
      <w:r>
        <w:t>non-admitted care classification, 45, 47</w:t>
      </w:r>
    </w:p>
    <w:p w14:paraId="629DFF20" w14:textId="77777777" w:rsidR="00CD0321" w:rsidRDefault="00CD0321" w:rsidP="00CD0321">
      <w:pPr>
        <w:pStyle w:val="indexcopy"/>
      </w:pPr>
      <w:r>
        <w:t>non-admitted care costing study (suspended), 45</w:t>
      </w:r>
    </w:p>
    <w:p w14:paraId="62516190" w14:textId="77777777" w:rsidR="00CD0321" w:rsidRDefault="00CD0321" w:rsidP="00CD0321">
      <w:pPr>
        <w:pStyle w:val="indexcopy"/>
      </w:pPr>
      <w:r>
        <w:t>non-admitted mental health care, 29</w:t>
      </w:r>
    </w:p>
    <w:p w14:paraId="6718C393" w14:textId="77777777" w:rsidR="00CD0321" w:rsidRDefault="00CD0321" w:rsidP="00CD0321">
      <w:pPr>
        <w:pStyle w:val="indexcopy"/>
      </w:pPr>
      <w:r>
        <w:t>non-ongoing seconded employees, 78, 80</w:t>
      </w:r>
    </w:p>
    <w:p w14:paraId="3C13DEAE" w14:textId="77777777" w:rsidR="00CD0321" w:rsidRDefault="00CD0321" w:rsidP="00CD0321">
      <w:pPr>
        <w:pStyle w:val="indexcopy"/>
      </w:pPr>
      <w:r>
        <w:t>notifiable incidents, 82</w:t>
      </w:r>
    </w:p>
    <w:p w14:paraId="55A92401" w14:textId="77777777" w:rsidR="0017657B" w:rsidRDefault="0017657B" w:rsidP="00723DB0">
      <w:pPr>
        <w:pStyle w:val="indexcopy"/>
      </w:pPr>
    </w:p>
    <w:p w14:paraId="3B339540" w14:textId="28A4CF15" w:rsidR="004E2B08" w:rsidRDefault="004E2B08" w:rsidP="00723DB0">
      <w:pPr>
        <w:pStyle w:val="indexcopy"/>
        <w:sectPr w:rsidR="004E2B08" w:rsidSect="00757F66">
          <w:footerReference w:type="default" r:id="rId225"/>
          <w:footnotePr>
            <w:pos w:val="beneathText"/>
          </w:footnotePr>
          <w:pgSz w:w="9979" w:h="14175" w:code="13"/>
          <w:pgMar w:top="1134" w:right="1134" w:bottom="1134" w:left="1134" w:header="709" w:footer="709" w:gutter="0"/>
          <w:cols w:num="2" w:space="623"/>
          <w:docGrid w:linePitch="360"/>
        </w:sectPr>
      </w:pPr>
    </w:p>
    <w:p w14:paraId="18BE9EC9" w14:textId="77777777" w:rsidR="00CD0321" w:rsidRPr="00DD236E" w:rsidRDefault="00CD0321" w:rsidP="00CD0321">
      <w:pPr>
        <w:pStyle w:val="H3"/>
        <w:spacing w:before="0" w:after="120"/>
        <w:rPr>
          <w:color w:val="1C1C1C"/>
        </w:rPr>
      </w:pPr>
      <w:r>
        <w:rPr>
          <w:color w:val="1C1C1C"/>
        </w:rPr>
        <w:t>O</w:t>
      </w:r>
    </w:p>
    <w:p w14:paraId="63DE5544" w14:textId="77777777" w:rsidR="00CD0321" w:rsidRDefault="00CD0321" w:rsidP="00CD0321">
      <w:pPr>
        <w:pStyle w:val="indexcopy"/>
      </w:pPr>
      <w:r>
        <w:t>objectives, 18, 35, 94</w:t>
      </w:r>
    </w:p>
    <w:p w14:paraId="637A0025" w14:textId="77777777" w:rsidR="00CD0321" w:rsidRDefault="00CD0321" w:rsidP="00CD0321">
      <w:pPr>
        <w:pStyle w:val="indexcopy"/>
      </w:pPr>
      <w:r>
        <w:t xml:space="preserve">occupational health and safety. </w:t>
      </w:r>
      <w:r w:rsidRPr="00723DB0">
        <w:rPr>
          <w:i/>
          <w:iCs/>
        </w:rPr>
        <w:t>See</w:t>
      </w:r>
      <w:r>
        <w:t xml:space="preserve"> work health and safety</w:t>
      </w:r>
    </w:p>
    <w:p w14:paraId="5A64819A" w14:textId="77777777" w:rsidR="00CD0321" w:rsidRDefault="00CD0321" w:rsidP="00CD0321">
      <w:pPr>
        <w:pStyle w:val="indexcopy"/>
      </w:pPr>
      <w:r>
        <w:t>office location, 18</w:t>
      </w:r>
    </w:p>
    <w:p w14:paraId="5CCCDBF1" w14:textId="77777777" w:rsidR="00CD0321" w:rsidRDefault="00CD0321" w:rsidP="00CD0321">
      <w:pPr>
        <w:pStyle w:val="indexcopy"/>
      </w:pPr>
      <w:r>
        <w:t>ongoing seconded employees, 78–79</w:t>
      </w:r>
    </w:p>
    <w:p w14:paraId="3A1E9514" w14:textId="77777777" w:rsidR="00CD0321" w:rsidRDefault="00CD0321" w:rsidP="00CD0321">
      <w:pPr>
        <w:pStyle w:val="indexcopy"/>
      </w:pPr>
      <w:r>
        <w:t>online training for classifications, 5, 44</w:t>
      </w:r>
    </w:p>
    <w:p w14:paraId="4249E2A7" w14:textId="77777777" w:rsidR="00CD0321" w:rsidRDefault="00CD0321" w:rsidP="00CD0321">
      <w:pPr>
        <w:pStyle w:val="indexcopy"/>
      </w:pPr>
      <w:r>
        <w:t>organisational structure, 19</w:t>
      </w:r>
    </w:p>
    <w:p w14:paraId="2788F7F6" w14:textId="77777777" w:rsidR="00CD0321" w:rsidRDefault="00CD0321" w:rsidP="00CD0321">
      <w:pPr>
        <w:pStyle w:val="indexcopy"/>
      </w:pPr>
      <w:r>
        <w:t>organisational values, 18</w:t>
      </w:r>
    </w:p>
    <w:p w14:paraId="4C9D634C" w14:textId="77777777" w:rsidR="00CD0321" w:rsidRDefault="00CD0321" w:rsidP="00CD0321">
      <w:pPr>
        <w:pStyle w:val="indexcopy"/>
      </w:pPr>
      <w:r>
        <w:t>outlook, 2–3, 4, 6, 14, 45, 50, 65, 78</w:t>
      </w:r>
    </w:p>
    <w:p w14:paraId="4CF726A9" w14:textId="1CD8AF8A" w:rsidR="00CD0321" w:rsidRDefault="00CD0321" w:rsidP="00CD0321">
      <w:pPr>
        <w:pStyle w:val="indentindexcopy"/>
      </w:pPr>
      <w:r>
        <w:t xml:space="preserve">transition to </w:t>
      </w:r>
      <w:r w:rsidR="00485043">
        <w:t>the Independent Health and Aged Care Pricing Authority (</w:t>
      </w:r>
      <w:r>
        <w:t>IHACPA</w:t>
      </w:r>
      <w:r w:rsidR="00485043">
        <w:t>)</w:t>
      </w:r>
      <w:r>
        <w:t xml:space="preserve">, </w:t>
      </w:r>
      <w:r w:rsidRPr="00723DB0">
        <w:rPr>
          <w:i/>
          <w:iCs/>
        </w:rPr>
        <w:t>inside front cover</w:t>
      </w:r>
      <w:r>
        <w:t>, 15, 64</w:t>
      </w:r>
    </w:p>
    <w:p w14:paraId="4093093F" w14:textId="1D8E445D" w:rsidR="00CD0321" w:rsidRDefault="00CD0321" w:rsidP="00CD0321">
      <w:pPr>
        <w:pStyle w:val="indexcopy"/>
      </w:pPr>
      <w:r>
        <w:t>overview, 1</w:t>
      </w:r>
      <w:r w:rsidR="00485043">
        <w:t>4</w:t>
      </w:r>
      <w:r>
        <w:t>–31</w:t>
      </w:r>
    </w:p>
    <w:p w14:paraId="63D68648" w14:textId="77777777" w:rsidR="00CD0321" w:rsidRPr="00DD236E" w:rsidRDefault="00CD0321" w:rsidP="00CD0321">
      <w:pPr>
        <w:pStyle w:val="H3"/>
        <w:spacing w:after="120"/>
        <w:rPr>
          <w:color w:val="1C1C1C"/>
        </w:rPr>
      </w:pPr>
      <w:r>
        <w:rPr>
          <w:color w:val="1C1C1C"/>
        </w:rPr>
        <w:t>P</w:t>
      </w:r>
    </w:p>
    <w:p w14:paraId="37EA748A" w14:textId="77777777" w:rsidR="00CD0321" w:rsidRDefault="00CD0321" w:rsidP="00CD0321">
      <w:pPr>
        <w:pStyle w:val="indexcopy"/>
      </w:pPr>
      <w:r>
        <w:t xml:space="preserve">pandemic response. </w:t>
      </w:r>
      <w:r w:rsidRPr="00485043">
        <w:rPr>
          <w:i/>
          <w:iCs/>
        </w:rPr>
        <w:t>See</w:t>
      </w:r>
      <w:r>
        <w:t xml:space="preserve"> COVID-19</w:t>
      </w:r>
    </w:p>
    <w:p w14:paraId="388599B1" w14:textId="77777777" w:rsidR="00CD0321" w:rsidRDefault="00CD0321" w:rsidP="00CD0321">
      <w:pPr>
        <w:pStyle w:val="indexcopy"/>
      </w:pPr>
      <w:r>
        <w:t>part-time staff, 79–80</w:t>
      </w:r>
    </w:p>
    <w:p w14:paraId="7865E0AE" w14:textId="77777777" w:rsidR="00CD0321" w:rsidRDefault="00CD0321" w:rsidP="00CD0321">
      <w:pPr>
        <w:pStyle w:val="indexcopy"/>
      </w:pPr>
      <w:r>
        <w:t xml:space="preserve">performance statements. </w:t>
      </w:r>
      <w:r w:rsidRPr="00485043">
        <w:rPr>
          <w:i/>
          <w:iCs/>
        </w:rPr>
        <w:t>See</w:t>
      </w:r>
      <w:r>
        <w:t xml:space="preserve"> annual performance statements</w:t>
      </w:r>
    </w:p>
    <w:p w14:paraId="77697B0E" w14:textId="77777777" w:rsidR="00CD0321" w:rsidRDefault="00CD0321" w:rsidP="00CD0321">
      <w:pPr>
        <w:pStyle w:val="indexcopy"/>
      </w:pPr>
      <w:r>
        <w:t xml:space="preserve">personnel. </w:t>
      </w:r>
      <w:r w:rsidRPr="00485043">
        <w:rPr>
          <w:i/>
          <w:iCs/>
        </w:rPr>
        <w:t>See</w:t>
      </w:r>
      <w:r>
        <w:t xml:space="preserve"> staff</w:t>
      </w:r>
    </w:p>
    <w:p w14:paraId="24A2AE11" w14:textId="77777777" w:rsidR="00CD0321" w:rsidRDefault="00CD0321" w:rsidP="00CD0321">
      <w:pPr>
        <w:pStyle w:val="indexcopy"/>
      </w:pPr>
      <w:r>
        <w:t>Portfolio Budget Statements, performance against objectives, 36</w:t>
      </w:r>
    </w:p>
    <w:p w14:paraId="0FFC7DE6" w14:textId="77777777" w:rsidR="00CD0321" w:rsidRDefault="00CD0321" w:rsidP="00CD0321">
      <w:pPr>
        <w:pStyle w:val="indexcopy"/>
      </w:pPr>
      <w:r>
        <w:t>price harmonisation, 40</w:t>
      </w:r>
    </w:p>
    <w:p w14:paraId="64768B1D" w14:textId="70346B01" w:rsidR="00CD0321" w:rsidRDefault="00CD0321" w:rsidP="00CD0321">
      <w:pPr>
        <w:pStyle w:val="indexcopy"/>
      </w:pPr>
      <w:r>
        <w:t>Pricing Authority (board), 17, 20, 65</w:t>
      </w:r>
    </w:p>
    <w:p w14:paraId="32C3B7F8" w14:textId="77777777" w:rsidR="00CD0321" w:rsidRDefault="00CD0321" w:rsidP="00CD0321">
      <w:pPr>
        <w:pStyle w:val="indexcopy"/>
      </w:pPr>
      <w:r>
        <w:t>Pricing Framework for Australian Public Hospital Services, 5, 37–38, 54, 59</w:t>
      </w:r>
    </w:p>
    <w:p w14:paraId="1975762B" w14:textId="77777777" w:rsidR="00CD0321" w:rsidRDefault="00CD0321" w:rsidP="00CD0321">
      <w:pPr>
        <w:pStyle w:val="indexcopy"/>
      </w:pPr>
      <w:r>
        <w:t>pricing models, 14, 39, 41, 63</w:t>
      </w:r>
    </w:p>
    <w:p w14:paraId="4A4317A0" w14:textId="77777777" w:rsidR="00CD0321" w:rsidRDefault="00CD0321" w:rsidP="00CD0321">
      <w:pPr>
        <w:pStyle w:val="indexcopy"/>
      </w:pPr>
      <w:r>
        <w:t>Privacy Threshold Assessment, 76</w:t>
      </w:r>
    </w:p>
    <w:p w14:paraId="0AEE4452" w14:textId="77777777" w:rsidR="00CD0321" w:rsidRDefault="00CD0321" w:rsidP="00CD0321">
      <w:pPr>
        <w:pStyle w:val="indexcopy"/>
      </w:pPr>
      <w:r>
        <w:t>private patients, 63</w:t>
      </w:r>
    </w:p>
    <w:p w14:paraId="71BFC68B" w14:textId="77777777" w:rsidR="00CD0321" w:rsidRDefault="00CD0321" w:rsidP="00CD0321">
      <w:pPr>
        <w:pStyle w:val="indexcopy"/>
      </w:pPr>
      <w:r>
        <w:t>procurement, 77</w:t>
      </w:r>
    </w:p>
    <w:p w14:paraId="6530AAA5" w14:textId="77777777" w:rsidR="00CD0321" w:rsidRDefault="00CD0321" w:rsidP="00CD0321">
      <w:pPr>
        <w:pStyle w:val="indexcopy"/>
      </w:pPr>
      <w:r>
        <w:t>Prosthesis List reform, 3, 15, 58, 64</w:t>
      </w:r>
    </w:p>
    <w:p w14:paraId="170F685E" w14:textId="77777777" w:rsidR="00CD0321" w:rsidRDefault="00CD0321" w:rsidP="00CD0321">
      <w:pPr>
        <w:pStyle w:val="indexcopy"/>
      </w:pPr>
      <w:r>
        <w:t>Protective Security Policy Framework, 77</w:t>
      </w:r>
    </w:p>
    <w:p w14:paraId="45238B41" w14:textId="77777777" w:rsidR="00CD0321" w:rsidRDefault="00CD0321" w:rsidP="00CD0321">
      <w:pPr>
        <w:pStyle w:val="indentindexcopy"/>
      </w:pPr>
      <w:r>
        <w:t>defined, 118</w:t>
      </w:r>
    </w:p>
    <w:p w14:paraId="7FA223C9" w14:textId="5DFD851B" w:rsidR="00CD0321" w:rsidRDefault="00CD0321" w:rsidP="00CD0321">
      <w:pPr>
        <w:pStyle w:val="indexcopy"/>
      </w:pPr>
      <w:r>
        <w:t>public consultations, 1</w:t>
      </w:r>
      <w:r w:rsidR="00485043">
        <w:t>5</w:t>
      </w:r>
      <w:r>
        <w:t xml:space="preserve">, </w:t>
      </w:r>
      <w:r w:rsidR="00485043">
        <w:t>35, 59</w:t>
      </w:r>
    </w:p>
    <w:p w14:paraId="0A43DACC" w14:textId="77777777" w:rsidR="00CD0321" w:rsidRDefault="00CD0321" w:rsidP="00CD0321">
      <w:pPr>
        <w:pStyle w:val="indexcopy"/>
      </w:pPr>
      <w:r w:rsidRPr="00DE68B1">
        <w:rPr>
          <w:i/>
          <w:iCs/>
        </w:rPr>
        <w:t>Public Governance, Performance and Accountability Act 2013</w:t>
      </w:r>
      <w:r>
        <w:t>, 18, 34, 35, 67</w:t>
      </w:r>
    </w:p>
    <w:p w14:paraId="682D727D" w14:textId="77777777" w:rsidR="00CD0321" w:rsidRDefault="00CD0321" w:rsidP="00CD0321">
      <w:pPr>
        <w:pStyle w:val="indentindexcopy"/>
      </w:pPr>
      <w:r>
        <w:t>defined, 118</w:t>
      </w:r>
    </w:p>
    <w:p w14:paraId="328E0FF6" w14:textId="77777777" w:rsidR="00CD0321" w:rsidRDefault="00CD0321" w:rsidP="00CD0321">
      <w:pPr>
        <w:pStyle w:val="indexcopy"/>
      </w:pPr>
      <w:r>
        <w:t>Public Governance Performance and Accountability Rule 2014, 67</w:t>
      </w:r>
    </w:p>
    <w:p w14:paraId="0F070F16" w14:textId="77777777" w:rsidR="00CD0321" w:rsidRDefault="00CD0321" w:rsidP="00CD0321">
      <w:pPr>
        <w:pStyle w:val="indexcopy"/>
      </w:pPr>
      <w:r>
        <w:t>public hospital pricing and funding, 15, 20, 41</w:t>
      </w:r>
    </w:p>
    <w:p w14:paraId="1CDA73BF" w14:textId="77777777" w:rsidR="00CD0321" w:rsidRDefault="00CD0321" w:rsidP="00CD0321">
      <w:pPr>
        <w:pStyle w:val="indexcopy"/>
      </w:pPr>
      <w:r>
        <w:t>purpose statement, 18</w:t>
      </w:r>
    </w:p>
    <w:p w14:paraId="03971512" w14:textId="77777777" w:rsidR="00CD0321" w:rsidRPr="00DD236E" w:rsidRDefault="00CD0321" w:rsidP="00CD0321">
      <w:pPr>
        <w:pStyle w:val="H3"/>
        <w:spacing w:after="120"/>
        <w:rPr>
          <w:color w:val="1C1C1C"/>
        </w:rPr>
      </w:pPr>
      <w:r>
        <w:rPr>
          <w:color w:val="1C1C1C"/>
        </w:rPr>
        <w:t>R</w:t>
      </w:r>
    </w:p>
    <w:p w14:paraId="56100D3C" w14:textId="77777777" w:rsidR="00CD0321" w:rsidRDefault="00CD0321" w:rsidP="00CD0321">
      <w:pPr>
        <w:pStyle w:val="indexcopy"/>
      </w:pPr>
      <w:r>
        <w:t>remuneration of key management personnel, 81, 106</w:t>
      </w:r>
    </w:p>
    <w:p w14:paraId="40D88B64" w14:textId="77777777" w:rsidR="00CD0321" w:rsidRDefault="00CD0321" w:rsidP="00CD0321">
      <w:pPr>
        <w:pStyle w:val="indexcopy"/>
      </w:pPr>
      <w:r>
        <w:t>reporting</w:t>
      </w:r>
    </w:p>
    <w:p w14:paraId="4E6857F0" w14:textId="77777777" w:rsidR="00CD0321" w:rsidRDefault="00CD0321" w:rsidP="00CD0321">
      <w:pPr>
        <w:pStyle w:val="indentindexcopy"/>
      </w:pPr>
      <w:r>
        <w:t>data compliance, 51–54</w:t>
      </w:r>
    </w:p>
    <w:p w14:paraId="14027F83" w14:textId="77777777" w:rsidR="00CD0321" w:rsidRDefault="00CD0321" w:rsidP="00CD0321">
      <w:pPr>
        <w:pStyle w:val="indentindexcopy"/>
      </w:pPr>
      <w:r>
        <w:t>National Hospital Cost Data Collection, 15, 48–50</w:t>
      </w:r>
    </w:p>
    <w:p w14:paraId="3EE27897" w14:textId="77777777" w:rsidR="00CD0321" w:rsidRDefault="00CD0321" w:rsidP="00CD0321">
      <w:pPr>
        <w:pStyle w:val="indexcopy"/>
      </w:pPr>
      <w:r>
        <w:t>response rate to enquiries, 58</w:t>
      </w:r>
    </w:p>
    <w:p w14:paraId="113914F2" w14:textId="5022D128" w:rsidR="00CD0321" w:rsidRDefault="00CD0321" w:rsidP="00CD0321">
      <w:pPr>
        <w:pStyle w:val="indexcopy"/>
      </w:pPr>
      <w:r>
        <w:t>responsible Minister, 7, 20, 62, 65</w:t>
      </w:r>
      <w:r w:rsidR="00485043">
        <w:t>, 71</w:t>
      </w:r>
    </w:p>
    <w:p w14:paraId="55E54475" w14:textId="77777777" w:rsidR="00CD0321" w:rsidRDefault="00CD0321" w:rsidP="00CD0321">
      <w:pPr>
        <w:pStyle w:val="indexcopy"/>
      </w:pPr>
      <w:r>
        <w:t>Richter, Jenny, 24</w:t>
      </w:r>
    </w:p>
    <w:p w14:paraId="57800D5A" w14:textId="77777777" w:rsidR="00CD0321" w:rsidRDefault="00CD0321" w:rsidP="00CD0321">
      <w:pPr>
        <w:pStyle w:val="indexcopy"/>
      </w:pPr>
      <w:r>
        <w:t>risk management, 76</w:t>
      </w:r>
    </w:p>
    <w:p w14:paraId="668D0F28" w14:textId="77777777" w:rsidR="00CD0321" w:rsidRDefault="00CD0321" w:rsidP="00CD0321">
      <w:pPr>
        <w:pStyle w:val="indexcopy"/>
      </w:pPr>
      <w:r>
        <w:t>roles and functions, 27–31, 94</w:t>
      </w:r>
    </w:p>
    <w:p w14:paraId="4C8B6D16" w14:textId="19A62930" w:rsidR="00CD0321" w:rsidRDefault="00CD0321" w:rsidP="00CD0321">
      <w:pPr>
        <w:pStyle w:val="indexcopy"/>
      </w:pPr>
      <w:r>
        <w:t>Royal Commission into Aged Care Quality and Safety, 64</w:t>
      </w:r>
    </w:p>
    <w:p w14:paraId="1BE4D2FD" w14:textId="77777777" w:rsidR="00CD0321" w:rsidRDefault="00CD0321" w:rsidP="00CD0321">
      <w:pPr>
        <w:pStyle w:val="indexcopy"/>
      </w:pPr>
      <w:r>
        <w:t>rural and regional hospitals, 29</w:t>
      </w:r>
    </w:p>
    <w:p w14:paraId="24DCB556" w14:textId="77777777" w:rsidR="00236CAD" w:rsidRDefault="00236CAD" w:rsidP="00723DB0">
      <w:pPr>
        <w:pStyle w:val="indexcopy"/>
      </w:pPr>
    </w:p>
    <w:p w14:paraId="096A9460" w14:textId="17E0C470" w:rsidR="004E2B08" w:rsidRDefault="004E2B08" w:rsidP="00723DB0">
      <w:pPr>
        <w:pStyle w:val="indexcopy"/>
        <w:sectPr w:rsidR="004E2B08" w:rsidSect="00757F66">
          <w:footerReference w:type="default" r:id="rId226"/>
          <w:footnotePr>
            <w:pos w:val="beneathText"/>
          </w:footnotePr>
          <w:pgSz w:w="9979" w:h="14175" w:code="13"/>
          <w:pgMar w:top="1134" w:right="1134" w:bottom="1134" w:left="1134" w:header="709" w:footer="709" w:gutter="0"/>
          <w:cols w:num="2" w:space="623"/>
          <w:docGrid w:linePitch="360"/>
        </w:sectPr>
      </w:pPr>
    </w:p>
    <w:p w14:paraId="38406461" w14:textId="77777777" w:rsidR="00CD0321" w:rsidRPr="00DD236E" w:rsidRDefault="00CD0321" w:rsidP="00CD0321">
      <w:pPr>
        <w:pStyle w:val="H3"/>
        <w:spacing w:before="0" w:after="120"/>
        <w:rPr>
          <w:color w:val="1C1C1C"/>
        </w:rPr>
      </w:pPr>
      <w:r>
        <w:rPr>
          <w:color w:val="1C1C1C"/>
        </w:rPr>
        <w:t>S</w:t>
      </w:r>
    </w:p>
    <w:p w14:paraId="1957A399" w14:textId="19671F33" w:rsidR="00CD0321" w:rsidRDefault="00CD0321" w:rsidP="00CD0321">
      <w:pPr>
        <w:pStyle w:val="indexcopy"/>
      </w:pPr>
      <w:r>
        <w:t xml:space="preserve">safety and quality, </w:t>
      </w:r>
      <w:r w:rsidR="00485043">
        <w:t xml:space="preserve">15, </w:t>
      </w:r>
      <w:r>
        <w:t>30, 31, 41, 54</w:t>
      </w:r>
    </w:p>
    <w:p w14:paraId="522BED90" w14:textId="77777777" w:rsidR="00CD0321" w:rsidRDefault="00CD0321" w:rsidP="00CD0321">
      <w:pPr>
        <w:pStyle w:val="indexcopy"/>
      </w:pPr>
      <w:r>
        <w:t xml:space="preserve">senior executive service staff. </w:t>
      </w:r>
      <w:r w:rsidRPr="0017657B">
        <w:rPr>
          <w:i/>
          <w:iCs/>
        </w:rPr>
        <w:t>See</w:t>
      </w:r>
      <w:r>
        <w:t xml:space="preserve"> key management personnel</w:t>
      </w:r>
    </w:p>
    <w:p w14:paraId="7A458400" w14:textId="77777777" w:rsidR="00CD0321" w:rsidRDefault="00CD0321" w:rsidP="00CD0321">
      <w:pPr>
        <w:pStyle w:val="indexcopy"/>
      </w:pPr>
      <w:r>
        <w:t>sentinel events, 31</w:t>
      </w:r>
    </w:p>
    <w:p w14:paraId="57E5FA45" w14:textId="77777777" w:rsidR="00CD0321" w:rsidRDefault="00CD0321" w:rsidP="00CD0321">
      <w:pPr>
        <w:pStyle w:val="indentindexcopy"/>
      </w:pPr>
      <w:r>
        <w:t>defined, 118</w:t>
      </w:r>
    </w:p>
    <w:p w14:paraId="2CBF1617" w14:textId="77777777" w:rsidR="00CD0321" w:rsidRDefault="00CD0321" w:rsidP="00CD0321">
      <w:pPr>
        <w:pStyle w:val="indexcopy"/>
      </w:pPr>
      <w:r>
        <w:t>shadow period, 31</w:t>
      </w:r>
    </w:p>
    <w:p w14:paraId="39BF2ED9" w14:textId="77777777" w:rsidR="00CD0321" w:rsidRDefault="00CD0321" w:rsidP="00CD0321">
      <w:pPr>
        <w:pStyle w:val="indexcopy"/>
      </w:pPr>
      <w:r>
        <w:t>shadow pricing, 45, 63</w:t>
      </w:r>
    </w:p>
    <w:p w14:paraId="76750109" w14:textId="77777777" w:rsidR="00CD0321" w:rsidRDefault="00CD0321" w:rsidP="00CD0321">
      <w:pPr>
        <w:pStyle w:val="indentindexcopy"/>
      </w:pPr>
      <w:r>
        <w:t>defined, 118</w:t>
      </w:r>
    </w:p>
    <w:p w14:paraId="01B5BE0B" w14:textId="77777777" w:rsidR="00CD0321" w:rsidRDefault="00CD0321" w:rsidP="00CD0321">
      <w:pPr>
        <w:pStyle w:val="indexcopy"/>
      </w:pPr>
      <w:r>
        <w:t xml:space="preserve">social media, </w:t>
      </w:r>
      <w:r w:rsidRPr="0017657B">
        <w:rPr>
          <w:i/>
          <w:iCs/>
        </w:rPr>
        <w:t>inside front cover</w:t>
      </w:r>
    </w:p>
    <w:p w14:paraId="34486491" w14:textId="77777777" w:rsidR="00CD0321" w:rsidRDefault="00CD0321" w:rsidP="00CD0321">
      <w:pPr>
        <w:pStyle w:val="indexcopy"/>
      </w:pPr>
      <w:r>
        <w:t>Solomon, Shane, 4, 6, 16</w:t>
      </w:r>
    </w:p>
    <w:p w14:paraId="5846EDD6" w14:textId="77777777" w:rsidR="00CD0321" w:rsidRDefault="00CD0321" w:rsidP="00CD0321">
      <w:pPr>
        <w:pStyle w:val="indexcopy"/>
      </w:pPr>
      <w:r>
        <w:t>staff, 78–82</w:t>
      </w:r>
    </w:p>
    <w:p w14:paraId="341F0F72" w14:textId="77777777" w:rsidR="00CD0321" w:rsidRDefault="00CD0321" w:rsidP="00CD0321">
      <w:pPr>
        <w:pStyle w:val="indentindexcopy"/>
      </w:pPr>
      <w:r>
        <w:t>benefits, 105–106</w:t>
      </w:r>
    </w:p>
    <w:p w14:paraId="26A0670D" w14:textId="77777777" w:rsidR="00CD0321" w:rsidRDefault="00CD0321" w:rsidP="00CD0321">
      <w:pPr>
        <w:pStyle w:val="indentindexcopy"/>
      </w:pPr>
      <w:r>
        <w:t>commendations, 4</w:t>
      </w:r>
    </w:p>
    <w:p w14:paraId="729E2101" w14:textId="77777777" w:rsidR="00CD0321" w:rsidRDefault="00CD0321" w:rsidP="00CD0321">
      <w:pPr>
        <w:pStyle w:val="indentindexcopy"/>
      </w:pPr>
      <w:r>
        <w:t>diversity, 78</w:t>
      </w:r>
    </w:p>
    <w:p w14:paraId="376527EA" w14:textId="77777777" w:rsidR="00CD0321" w:rsidRDefault="00CD0321" w:rsidP="00CD0321">
      <w:pPr>
        <w:pStyle w:val="indentindexcopy"/>
      </w:pPr>
      <w:r>
        <w:t>employee benefits, 96</w:t>
      </w:r>
    </w:p>
    <w:p w14:paraId="3EB8FBEC" w14:textId="770FF229" w:rsidR="00CD0321" w:rsidRDefault="00CD0321" w:rsidP="00CD0321">
      <w:pPr>
        <w:pStyle w:val="indentindexcopy"/>
      </w:pPr>
      <w:r>
        <w:t>key management personnel, 1</w:t>
      </w:r>
      <w:r w:rsidR="00485043">
        <w:t>7, 79, 81</w:t>
      </w:r>
    </w:p>
    <w:p w14:paraId="59A56440" w14:textId="180DFFB1" w:rsidR="00CD0321" w:rsidRDefault="00CD0321" w:rsidP="00CD0321">
      <w:pPr>
        <w:pStyle w:val="indentindexcopy"/>
      </w:pPr>
      <w:r>
        <w:t>numbers and workforce composition, 1</w:t>
      </w:r>
      <w:r w:rsidR="00485043">
        <w:t>6</w:t>
      </w:r>
      <w:r>
        <w:t>, 79–80</w:t>
      </w:r>
    </w:p>
    <w:p w14:paraId="3903CB16" w14:textId="77777777" w:rsidR="00CD0321" w:rsidRDefault="00CD0321" w:rsidP="00CD0321">
      <w:pPr>
        <w:pStyle w:val="indentindexcopy"/>
      </w:pPr>
      <w:r>
        <w:t>training, 82</w:t>
      </w:r>
    </w:p>
    <w:p w14:paraId="6192CAAE" w14:textId="77777777" w:rsidR="00CD0321" w:rsidRDefault="00CD0321" w:rsidP="00CD0321">
      <w:pPr>
        <w:pStyle w:val="indentindexcopy"/>
      </w:pPr>
      <w:r>
        <w:t>work health and safety, 82</w:t>
      </w:r>
    </w:p>
    <w:p w14:paraId="57765E2F" w14:textId="77777777" w:rsidR="00CD0321" w:rsidRDefault="00CD0321" w:rsidP="00CD0321">
      <w:pPr>
        <w:pStyle w:val="indentindexcopy"/>
      </w:pPr>
      <w:r>
        <w:t>working from home, 76, 82</w:t>
      </w:r>
    </w:p>
    <w:p w14:paraId="73081D45" w14:textId="77777777" w:rsidR="00CD0321" w:rsidRDefault="00CD0321" w:rsidP="00CD0321">
      <w:pPr>
        <w:pStyle w:val="indentindexcopy"/>
      </w:pPr>
      <w:r>
        <w:t>workplace assessments, 82</w:t>
      </w:r>
    </w:p>
    <w:p w14:paraId="572D37E3" w14:textId="6002CF6D" w:rsidR="00CD0321" w:rsidRDefault="00CD0321" w:rsidP="00CD0321">
      <w:pPr>
        <w:pStyle w:val="indexcopy"/>
      </w:pPr>
      <w:r>
        <w:t>stakeholders, 3, 1</w:t>
      </w:r>
      <w:r w:rsidR="00485043">
        <w:t>5</w:t>
      </w:r>
      <w:r>
        <w:t>,</w:t>
      </w:r>
      <w:r w:rsidR="00485043">
        <w:t xml:space="preserve"> 35,</w:t>
      </w:r>
      <w:r>
        <w:t xml:space="preserve"> 56–59</w:t>
      </w:r>
    </w:p>
    <w:p w14:paraId="7CC5E3B7" w14:textId="77777777" w:rsidR="00CD0321" w:rsidRDefault="00CD0321" w:rsidP="00CD0321">
      <w:pPr>
        <w:pStyle w:val="indexcopy"/>
      </w:pPr>
      <w:r>
        <w:t>statutory committees, 69–75</w:t>
      </w:r>
    </w:p>
    <w:p w14:paraId="4EBDE508" w14:textId="77777777" w:rsidR="00CD0321" w:rsidRDefault="00CD0321" w:rsidP="00CD0321">
      <w:pPr>
        <w:pStyle w:val="indexcopy"/>
      </w:pPr>
      <w:r>
        <w:t>statutory obligations, 77</w:t>
      </w:r>
    </w:p>
    <w:p w14:paraId="66083FFE" w14:textId="77777777" w:rsidR="00CD0321" w:rsidRDefault="00CD0321" w:rsidP="00CD0321">
      <w:pPr>
        <w:pStyle w:val="indexcopy"/>
      </w:pPr>
      <w:r>
        <w:t>Stone, Joanna, 75</w:t>
      </w:r>
    </w:p>
    <w:p w14:paraId="658BD62D" w14:textId="77777777" w:rsidR="00CD0321" w:rsidRDefault="00CD0321" w:rsidP="00CD0321">
      <w:pPr>
        <w:pStyle w:val="indexcopy"/>
      </w:pPr>
      <w:r>
        <w:t>Strategic Risk Register, 76</w:t>
      </w:r>
    </w:p>
    <w:p w14:paraId="40A4738F" w14:textId="77777777" w:rsidR="00CD0321" w:rsidRPr="00DD236E" w:rsidRDefault="00CD0321" w:rsidP="00CD0321">
      <w:pPr>
        <w:pStyle w:val="H3"/>
        <w:spacing w:after="120"/>
        <w:rPr>
          <w:color w:val="1C1C1C"/>
        </w:rPr>
      </w:pPr>
      <w:r>
        <w:rPr>
          <w:color w:val="1C1C1C"/>
        </w:rPr>
        <w:br w:type="column"/>
        <w:t>T</w:t>
      </w:r>
    </w:p>
    <w:p w14:paraId="7FF20E69" w14:textId="77777777" w:rsidR="00CD0321" w:rsidRDefault="00CD0321" w:rsidP="00CD0321">
      <w:pPr>
        <w:pStyle w:val="indexcopy"/>
      </w:pPr>
      <w:r>
        <w:t>Tactical Risk Tool, 76</w:t>
      </w:r>
    </w:p>
    <w:p w14:paraId="041FCDB5" w14:textId="77777777" w:rsidR="00CD0321" w:rsidRDefault="00CD0321" w:rsidP="00CD0321">
      <w:pPr>
        <w:pStyle w:val="indexcopy"/>
      </w:pPr>
      <w:r>
        <w:t>taxation, 95</w:t>
      </w:r>
    </w:p>
    <w:p w14:paraId="53233A19" w14:textId="77777777" w:rsidR="00CD0321" w:rsidRDefault="00CD0321" w:rsidP="00CD0321">
      <w:pPr>
        <w:pStyle w:val="indexcopy"/>
      </w:pPr>
      <w:r>
        <w:t>Taylor, Kate, 25</w:t>
      </w:r>
    </w:p>
    <w:p w14:paraId="0978A468" w14:textId="77777777" w:rsidR="00CD0321" w:rsidRDefault="00CD0321" w:rsidP="00CD0321">
      <w:pPr>
        <w:pStyle w:val="indexcopy"/>
      </w:pPr>
      <w:r>
        <w:t>teaching and training classification, 42, 46</w:t>
      </w:r>
    </w:p>
    <w:p w14:paraId="7447DCA8" w14:textId="77777777" w:rsidR="00CD0321" w:rsidRDefault="00CD0321" w:rsidP="00CD0321">
      <w:pPr>
        <w:pStyle w:val="indexcopy"/>
      </w:pPr>
      <w:r>
        <w:t>telehealth, 41</w:t>
      </w:r>
    </w:p>
    <w:p w14:paraId="03E8FFB0" w14:textId="77777777" w:rsidR="00CD0321" w:rsidRDefault="00CD0321" w:rsidP="00CD0321">
      <w:pPr>
        <w:pStyle w:val="indexcopy"/>
      </w:pPr>
      <w:r>
        <w:t>10th anniversary, 2, 14</w:t>
      </w:r>
    </w:p>
    <w:p w14:paraId="1CA5B0B9" w14:textId="77777777" w:rsidR="00CD0321" w:rsidRDefault="00CD0321" w:rsidP="00CD0321">
      <w:pPr>
        <w:pStyle w:val="indexcopy"/>
      </w:pPr>
      <w:r>
        <w:t>Three Year Data Plan, 51, 54</w:t>
      </w:r>
    </w:p>
    <w:p w14:paraId="1B795C03" w14:textId="77777777" w:rsidR="00CD0321" w:rsidRDefault="00CD0321" w:rsidP="00CD0321">
      <w:pPr>
        <w:pStyle w:val="indexcopy"/>
      </w:pPr>
      <w:r>
        <w:t>training, staff, 82</w:t>
      </w:r>
    </w:p>
    <w:p w14:paraId="19CB986A" w14:textId="77777777" w:rsidR="00CD0321" w:rsidRDefault="00CD0321" w:rsidP="00CD0321">
      <w:pPr>
        <w:pStyle w:val="indexcopy"/>
      </w:pPr>
      <w:r>
        <w:t xml:space="preserve">transition to the Independent Health and Aged Care Pricing Authority (IHACPA), </w:t>
      </w:r>
      <w:r w:rsidRPr="0017657B">
        <w:rPr>
          <w:i/>
          <w:iCs/>
        </w:rPr>
        <w:t>inside</w:t>
      </w:r>
      <w:r>
        <w:rPr>
          <w:i/>
          <w:iCs/>
        </w:rPr>
        <w:t> </w:t>
      </w:r>
      <w:r w:rsidRPr="0017657B">
        <w:rPr>
          <w:i/>
          <w:iCs/>
        </w:rPr>
        <w:t>front cover</w:t>
      </w:r>
      <w:r>
        <w:t>, 15, 64</w:t>
      </w:r>
    </w:p>
    <w:p w14:paraId="32A2CC43" w14:textId="77777777" w:rsidR="00CD0321" w:rsidRDefault="00CD0321" w:rsidP="00CD0321">
      <w:pPr>
        <w:pStyle w:val="indexcopy"/>
      </w:pPr>
      <w:r>
        <w:t>Tune, David (Chair), 2–4, 21</w:t>
      </w:r>
    </w:p>
    <w:p w14:paraId="2A82F132" w14:textId="77777777" w:rsidR="00CD0321" w:rsidRPr="00DD236E" w:rsidRDefault="00CD0321" w:rsidP="00CD0321">
      <w:pPr>
        <w:pStyle w:val="H3"/>
        <w:spacing w:after="120"/>
        <w:rPr>
          <w:color w:val="1C1C1C"/>
        </w:rPr>
      </w:pPr>
      <w:r>
        <w:rPr>
          <w:color w:val="1C1C1C"/>
        </w:rPr>
        <w:t>W</w:t>
      </w:r>
    </w:p>
    <w:p w14:paraId="7C6BD03F" w14:textId="2F403C7D" w:rsidR="00CD0321" w:rsidRDefault="00CD0321" w:rsidP="00CD0321">
      <w:pPr>
        <w:pStyle w:val="indexcopy"/>
      </w:pPr>
      <w:r>
        <w:t>webinar series, 1</w:t>
      </w:r>
      <w:r w:rsidR="006E6BBB">
        <w:t>5</w:t>
      </w:r>
      <w:r>
        <w:t>, 59</w:t>
      </w:r>
    </w:p>
    <w:p w14:paraId="4F20ECDC" w14:textId="77777777" w:rsidR="00CD0321" w:rsidRDefault="00CD0321" w:rsidP="00CD0321">
      <w:pPr>
        <w:pStyle w:val="indexcopy"/>
      </w:pPr>
      <w:r>
        <w:t xml:space="preserve">website, </w:t>
      </w:r>
      <w:r w:rsidRPr="00236CAD">
        <w:rPr>
          <w:i/>
          <w:iCs/>
        </w:rPr>
        <w:t>inside front cover</w:t>
      </w:r>
    </w:p>
    <w:p w14:paraId="3D2B8405" w14:textId="1A150BF9" w:rsidR="00CD0321" w:rsidRDefault="00CD0321" w:rsidP="00CD0321">
      <w:pPr>
        <w:pStyle w:val="indexcopy"/>
      </w:pPr>
      <w:r>
        <w:t>Williams, Jennifer (Deputy Chair), 21</w:t>
      </w:r>
    </w:p>
    <w:p w14:paraId="34790E3F" w14:textId="46DBC304" w:rsidR="006E6BBB" w:rsidRDefault="006E6BBB" w:rsidP="006E6BBB">
      <w:pPr>
        <w:pStyle w:val="indexcopy"/>
      </w:pPr>
      <w:r w:rsidRPr="00236CAD">
        <w:rPr>
          <w:i/>
          <w:iCs/>
        </w:rPr>
        <w:t>Work Health and Safety Act 2011</w:t>
      </w:r>
      <w:r>
        <w:t>, 67</w:t>
      </w:r>
    </w:p>
    <w:p w14:paraId="49749453" w14:textId="77777777" w:rsidR="00CD0321" w:rsidRDefault="00CD0321" w:rsidP="00CD0321">
      <w:pPr>
        <w:pStyle w:val="indexcopy"/>
      </w:pPr>
      <w:r>
        <w:t>Work, Health and Safety Committee, 82</w:t>
      </w:r>
    </w:p>
    <w:p w14:paraId="5DBF9E0C" w14:textId="77777777" w:rsidR="00CD0321" w:rsidRDefault="00CD0321" w:rsidP="00CD0321">
      <w:pPr>
        <w:pStyle w:val="indexcopy"/>
      </w:pPr>
      <w:r>
        <w:t>Work Program, 35–36</w:t>
      </w:r>
    </w:p>
    <w:p w14:paraId="1B1F21EE" w14:textId="77777777" w:rsidR="00CD0321" w:rsidRDefault="00CD0321" w:rsidP="00CD0321">
      <w:pPr>
        <w:pStyle w:val="indentindexcopy"/>
      </w:pPr>
      <w:r>
        <w:t>defined, 118</w:t>
      </w:r>
    </w:p>
    <w:p w14:paraId="14656CB3" w14:textId="77777777" w:rsidR="00CD0321" w:rsidRDefault="00CD0321" w:rsidP="00CD0321">
      <w:pPr>
        <w:pStyle w:val="indexcopy"/>
      </w:pPr>
      <w:r>
        <w:t>workers’ compensation claims, 97</w:t>
      </w:r>
    </w:p>
    <w:p w14:paraId="1207BC36" w14:textId="77777777" w:rsidR="00CD0321" w:rsidRDefault="00CD0321" w:rsidP="00CD0321">
      <w:pPr>
        <w:pStyle w:val="indexcopy"/>
      </w:pPr>
      <w:r>
        <w:t>working from home, 76, 82</w:t>
      </w:r>
    </w:p>
    <w:p w14:paraId="4DCC2B66" w14:textId="77777777" w:rsidR="00CD0321" w:rsidRDefault="00CD0321" w:rsidP="00CD0321">
      <w:pPr>
        <w:pStyle w:val="indexcopy"/>
      </w:pPr>
      <w:r>
        <w:t>working groups and committees, 57, 69–75</w:t>
      </w:r>
    </w:p>
    <w:p w14:paraId="0272CE8C" w14:textId="58CACD3D" w:rsidR="00DE68B1" w:rsidRDefault="00DE68B1" w:rsidP="00723DB0">
      <w:pPr>
        <w:pStyle w:val="indexcopy"/>
      </w:pPr>
    </w:p>
    <w:p w14:paraId="1CC428F6" w14:textId="77777777" w:rsidR="00DE68B1" w:rsidRDefault="00DE68B1" w:rsidP="00723DB0">
      <w:pPr>
        <w:pStyle w:val="indexcopy"/>
        <w:sectPr w:rsidR="00DE68B1" w:rsidSect="00757F66">
          <w:footerReference w:type="default" r:id="rId227"/>
          <w:footnotePr>
            <w:pos w:val="beneathText"/>
          </w:footnotePr>
          <w:pgSz w:w="9979" w:h="14175" w:code="13"/>
          <w:pgMar w:top="1134" w:right="1134" w:bottom="1134" w:left="1134" w:header="709" w:footer="709" w:gutter="0"/>
          <w:cols w:num="2" w:space="623"/>
          <w:docGrid w:linePitch="360"/>
        </w:sectPr>
      </w:pPr>
    </w:p>
    <w:p w14:paraId="6191CA30" w14:textId="77777777" w:rsidR="00DE68B1" w:rsidRDefault="00DE68B1" w:rsidP="00723DB0">
      <w:pPr>
        <w:pStyle w:val="indexcopy"/>
      </w:pPr>
    </w:p>
    <w:p w14:paraId="541D2AC2" w14:textId="43F9E292" w:rsidR="00757F66" w:rsidRDefault="00757F66" w:rsidP="003601F1">
      <w:pPr>
        <w:pStyle w:val="TOCBody"/>
        <w:sectPr w:rsidR="00757F66" w:rsidSect="00757F66">
          <w:footerReference w:type="default" r:id="rId228"/>
          <w:footnotePr>
            <w:pos w:val="beneathText"/>
          </w:footnotePr>
          <w:pgSz w:w="9979" w:h="14175" w:code="13"/>
          <w:pgMar w:top="1134" w:right="1134" w:bottom="1134" w:left="1134" w:header="709" w:footer="709" w:gutter="0"/>
          <w:cols w:num="2" w:space="623"/>
          <w:docGrid w:linePitch="360"/>
        </w:sectPr>
      </w:pPr>
    </w:p>
    <w:p w14:paraId="3ABD5475" w14:textId="77777777" w:rsidR="009C057B" w:rsidRDefault="009C057B" w:rsidP="00504250">
      <w:pPr>
        <w:pStyle w:val="Body"/>
      </w:pPr>
    </w:p>
    <w:p w14:paraId="24ECC668" w14:textId="69D8F124" w:rsidR="0044572F" w:rsidRDefault="0044572F" w:rsidP="00504250">
      <w:pPr>
        <w:pStyle w:val="Body"/>
        <w:sectPr w:rsidR="0044572F" w:rsidSect="000B437F">
          <w:footerReference w:type="default" r:id="rId229"/>
          <w:pgSz w:w="9979" w:h="14175"/>
          <w:pgMar w:top="1134" w:right="1134" w:bottom="1134" w:left="1134" w:header="709" w:footer="709" w:gutter="0"/>
          <w:cols w:space="708"/>
          <w:docGrid w:linePitch="360"/>
        </w:sectPr>
      </w:pPr>
    </w:p>
    <w:p w14:paraId="2DBEC8ED" w14:textId="4B4162FF" w:rsidR="00504250" w:rsidRDefault="009C29B1" w:rsidP="001D3C99">
      <w:pPr>
        <w:pStyle w:val="Body"/>
        <w:jc w:val="center"/>
      </w:pPr>
      <w:r>
        <w:rPr>
          <w:noProof/>
          <w:lang w:eastAsia="en-AU"/>
        </w:rPr>
        <w:drawing>
          <wp:anchor distT="0" distB="0" distL="114300" distR="114300" simplePos="0" relativeHeight="251965439" behindDoc="1" locked="0" layoutInCell="1" allowOverlap="1" wp14:anchorId="267FA77B" wp14:editId="21D4E22E">
            <wp:simplePos x="0" y="0"/>
            <wp:positionH relativeFrom="column">
              <wp:posOffset>-720090</wp:posOffset>
            </wp:positionH>
            <wp:positionV relativeFrom="paragraph">
              <wp:posOffset>-900429</wp:posOffset>
            </wp:positionV>
            <wp:extent cx="6343626" cy="9002478"/>
            <wp:effectExtent l="0" t="0" r="0" b="1905"/>
            <wp:wrapNone/>
            <wp:docPr id="136" name="Pictur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a:extLst>
                        <a:ext uri="{C183D7F6-B498-43B3-948B-1728B52AA6E4}">
                          <adec:decorative xmlns:adec="http://schemas.microsoft.com/office/drawing/2017/decorative" val="1"/>
                        </a:ext>
                      </a:extLst>
                    </pic:cNvPr>
                    <pic:cNvPicPr>
                      <a:picLocks noChangeAspect="1" noChangeArrowheads="1"/>
                    </pic:cNvPicPr>
                  </pic:nvPicPr>
                  <pic:blipFill>
                    <a:blip r:embed="rId8"/>
                    <a:stretch>
                      <a:fillRect/>
                    </a:stretch>
                  </pic:blipFill>
                  <pic:spPr bwMode="auto">
                    <a:xfrm>
                      <a:off x="0" y="0"/>
                      <a:ext cx="6343626" cy="90024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C99">
        <w:rPr>
          <w:noProof/>
          <w:lang w:eastAsia="en-AU"/>
        </w:rPr>
        <w:drawing>
          <wp:inline distT="0" distB="0" distL="0" distR="0" wp14:anchorId="138924BB" wp14:editId="5BC843EB">
            <wp:extent cx="488129" cy="739775"/>
            <wp:effectExtent l="0" t="0" r="7620" b="3175"/>
            <wp:docPr id="55" name="Picture 55" descr="Independent Hospital Pricing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ndependent Hospital Pricing Authority logo"/>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488129" cy="739775"/>
                    </a:xfrm>
                    <a:prstGeom prst="rect">
                      <a:avLst/>
                    </a:prstGeom>
                    <a:noFill/>
                    <a:ln>
                      <a:noFill/>
                    </a:ln>
                  </pic:spPr>
                </pic:pic>
              </a:graphicData>
            </a:graphic>
          </wp:inline>
        </w:drawing>
      </w:r>
    </w:p>
    <w:p w14:paraId="34D865C7" w14:textId="2A9E2A5A" w:rsidR="001D3C99" w:rsidRPr="00651D23" w:rsidRDefault="001D3C99" w:rsidP="00FD41B2">
      <w:pPr>
        <w:pStyle w:val="Body"/>
        <w:spacing w:before="2640" w:after="120"/>
        <w:jc w:val="center"/>
        <w:rPr>
          <w:color w:val="FFFFFF" w:themeColor="background2"/>
        </w:rPr>
      </w:pPr>
      <w:r w:rsidRPr="00651D23">
        <w:rPr>
          <w:color w:val="FFFFFF" w:themeColor="background2"/>
        </w:rPr>
        <w:t xml:space="preserve">Eora Nation, Level </w:t>
      </w:r>
      <w:r w:rsidR="000014B5" w:rsidRPr="00651D23">
        <w:rPr>
          <w:color w:val="FFFFFF" w:themeColor="background2"/>
        </w:rPr>
        <w:t>12</w:t>
      </w:r>
      <w:r w:rsidRPr="00651D23">
        <w:rPr>
          <w:color w:val="FFFFFF" w:themeColor="background2"/>
        </w:rPr>
        <w:t>, 1 Oxford Street</w:t>
      </w:r>
      <w:r w:rsidRPr="00651D23">
        <w:rPr>
          <w:color w:val="FFFFFF" w:themeColor="background2"/>
        </w:rPr>
        <w:br/>
        <w:t>Sydney NSW 2000</w:t>
      </w:r>
    </w:p>
    <w:p w14:paraId="17B9270F" w14:textId="2DDD55D7" w:rsidR="001D3C99" w:rsidRPr="00651D23" w:rsidRDefault="001D3C99" w:rsidP="001D3C99">
      <w:pPr>
        <w:pStyle w:val="Body"/>
        <w:spacing w:after="120"/>
        <w:jc w:val="center"/>
        <w:rPr>
          <w:color w:val="FFFFFF" w:themeColor="background2"/>
        </w:rPr>
      </w:pPr>
      <w:r w:rsidRPr="00651D23">
        <w:rPr>
          <w:rFonts w:asciiTheme="majorHAnsi" w:hAnsiTheme="majorHAnsi"/>
          <w:color w:val="FFFFFF" w:themeColor="background2"/>
        </w:rPr>
        <w:t>T</w:t>
      </w:r>
      <w:r w:rsidRPr="00651D23">
        <w:rPr>
          <w:color w:val="FFFFFF" w:themeColor="background2"/>
        </w:rPr>
        <w:t xml:space="preserve">   02 8215 1100</w:t>
      </w:r>
    </w:p>
    <w:p w14:paraId="577F8178" w14:textId="372EEF37" w:rsidR="001D3C99" w:rsidRPr="00651D23" w:rsidRDefault="001D3C99" w:rsidP="001D3C99">
      <w:pPr>
        <w:pStyle w:val="Body"/>
        <w:spacing w:after="120"/>
        <w:jc w:val="center"/>
        <w:rPr>
          <w:color w:val="FFFFFF" w:themeColor="background2"/>
        </w:rPr>
      </w:pPr>
      <w:r w:rsidRPr="00651D23">
        <w:rPr>
          <w:rFonts w:asciiTheme="majorHAnsi" w:hAnsiTheme="majorHAnsi"/>
          <w:color w:val="FFFFFF" w:themeColor="background2"/>
        </w:rPr>
        <w:t>E</w:t>
      </w:r>
      <w:r w:rsidRPr="00651D23">
        <w:rPr>
          <w:color w:val="FFFFFF" w:themeColor="background2"/>
        </w:rPr>
        <w:t xml:space="preserve">   </w:t>
      </w:r>
      <w:hyperlink r:id="rId230" w:history="1">
        <w:r w:rsidR="00567EB1" w:rsidRPr="00651D23">
          <w:rPr>
            <w:rStyle w:val="Hyperlink"/>
            <w:color w:val="FFFFFF" w:themeColor="background2"/>
            <w:u w:val="none"/>
          </w:rPr>
          <w:t>enquiries.ihacpa@ihacpa.gov.au</w:t>
        </w:r>
      </w:hyperlink>
    </w:p>
    <w:p w14:paraId="655CD15A" w14:textId="5A176FD7" w:rsidR="001D3C99" w:rsidRPr="00651D23" w:rsidRDefault="001D3C99" w:rsidP="001D3C99">
      <w:pPr>
        <w:pStyle w:val="Body"/>
        <w:spacing w:after="0"/>
        <w:jc w:val="center"/>
        <w:rPr>
          <w:color w:val="FFFFFF" w:themeColor="background2"/>
        </w:rPr>
      </w:pPr>
      <w:r w:rsidRPr="00651D23">
        <w:rPr>
          <w:noProof/>
          <w:color w:val="FFFFFF" w:themeColor="background2"/>
          <w:lang w:eastAsia="en-AU"/>
        </w:rPr>
        <w:drawing>
          <wp:inline distT="0" distB="0" distL="0" distR="0" wp14:anchorId="2AD5C7EB" wp14:editId="12FDBF6A">
            <wp:extent cx="81915" cy="67945"/>
            <wp:effectExtent l="0" t="0" r="0" b="8255"/>
            <wp:docPr id="56" name="Picture 56" descr="Twit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witter icon"/>
                    <pic:cNvPicPr>
                      <a:picLocks noChangeAspect="1" noChangeArrowheads="1"/>
                    </pic:cNvPicPr>
                  </pic:nvPicPr>
                  <pic:blipFill>
                    <a:blip r:embed="rId231" cstate="print">
                      <a:extLst>
                        <a:ext uri="{28A0092B-C50C-407E-A947-70E740481C1C}">
                          <a14:useLocalDpi xmlns:a14="http://schemas.microsoft.com/office/drawing/2010/main"/>
                        </a:ext>
                      </a:extLst>
                    </a:blip>
                    <a:srcRect/>
                    <a:stretch>
                      <a:fillRect/>
                    </a:stretch>
                  </pic:blipFill>
                  <pic:spPr bwMode="auto">
                    <a:xfrm>
                      <a:off x="0" y="0"/>
                      <a:ext cx="81915" cy="67945"/>
                    </a:xfrm>
                    <a:prstGeom prst="rect">
                      <a:avLst/>
                    </a:prstGeom>
                    <a:noFill/>
                    <a:ln>
                      <a:noFill/>
                    </a:ln>
                  </pic:spPr>
                </pic:pic>
              </a:graphicData>
            </a:graphic>
          </wp:inline>
        </w:drawing>
      </w:r>
      <w:r w:rsidRPr="00651D23">
        <w:rPr>
          <w:color w:val="FFFFFF" w:themeColor="background2"/>
        </w:rPr>
        <w:t xml:space="preserve">   @IH</w:t>
      </w:r>
      <w:r w:rsidR="007967F7" w:rsidRPr="00651D23">
        <w:rPr>
          <w:color w:val="FFFFFF" w:themeColor="background2"/>
        </w:rPr>
        <w:t>AC</w:t>
      </w:r>
      <w:r w:rsidRPr="00651D23">
        <w:rPr>
          <w:color w:val="FFFFFF" w:themeColor="background2"/>
        </w:rPr>
        <w:t>PA</w:t>
      </w:r>
    </w:p>
    <w:sectPr w:rsidR="001D3C99" w:rsidRPr="00651D23" w:rsidSect="001D3C99">
      <w:headerReference w:type="default" r:id="rId232"/>
      <w:footerReference w:type="default" r:id="rId233"/>
      <w:pgSz w:w="9979" w:h="14175"/>
      <w:pgMar w:top="1418"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B2424" w14:textId="77777777" w:rsidR="0034179F" w:rsidRDefault="0034179F" w:rsidP="00DD1A86">
      <w:pPr>
        <w:spacing w:after="0" w:line="240" w:lineRule="auto"/>
      </w:pPr>
      <w:r>
        <w:separator/>
      </w:r>
    </w:p>
    <w:p w14:paraId="13B64C7A" w14:textId="77777777" w:rsidR="0034179F" w:rsidRDefault="0034179F"/>
  </w:endnote>
  <w:endnote w:type="continuationSeparator" w:id="0">
    <w:p w14:paraId="53E093CA" w14:textId="77777777" w:rsidR="0034179F" w:rsidRDefault="0034179F" w:rsidP="00DD1A86">
      <w:pPr>
        <w:spacing w:after="0" w:line="240" w:lineRule="auto"/>
      </w:pPr>
      <w:r>
        <w:continuationSeparator/>
      </w:r>
    </w:p>
    <w:p w14:paraId="699280C0" w14:textId="77777777" w:rsidR="0034179F" w:rsidRDefault="003417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embedRegular r:id="rId1" w:subsetted="1" w:fontKey="{164BD5F3-0CF0-5F44-82EC-AD0800FD54D1}"/>
  </w:font>
  <w:font w:name="Futura PT Book">
    <w:altName w:val="MS Gothic"/>
    <w:panose1 w:val="020B0502020204020303"/>
    <w:charset w:val="4D"/>
    <w:family w:val="swiss"/>
    <w:notTrueType/>
    <w:pitch w:val="variable"/>
    <w:sig w:usb0="A00002FF" w:usb1="5000204B" w:usb2="00000000" w:usb3="00000000" w:csb0="00000097"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otham Book">
    <w:altName w:val="Times New Roman"/>
    <w:panose1 w:val="02000603040000020004"/>
    <w:charset w:val="4D"/>
    <w:family w:val="auto"/>
    <w:pitch w:val="variable"/>
    <w:sig w:usb0="800000AF" w:usb1="40000048" w:usb2="00000000" w:usb3="00000000" w:csb0="00000111" w:csb1="00000000"/>
  </w:font>
  <w:font w:name="Futura PT Bold">
    <w:altName w:val="Century Gothic"/>
    <w:panose1 w:val="020B0902020204020203"/>
    <w:charset w:val="4D"/>
    <w:family w:val="swiss"/>
    <w:notTrueType/>
    <w:pitch w:val="variable"/>
    <w:sig w:usb0="A00002FF" w:usb1="5000204A" w:usb2="00000000" w:usb3="00000000" w:csb0="00000097" w:csb1="00000000"/>
  </w:font>
  <w:font w:name="Futura PT Light">
    <w:altName w:val="Century Gothic"/>
    <w:panose1 w:val="020B0402020204020303"/>
    <w:charset w:val="4D"/>
    <w:family w:val="swiss"/>
    <w:notTrueType/>
    <w:pitch w:val="variable"/>
    <w:sig w:usb0="A00002FF" w:usb1="5000204B" w:usb2="00000000" w:usb3="00000000" w:csb0="00000097" w:csb1="00000000"/>
  </w:font>
  <w:font w:name="Futura PT Demi">
    <w:altName w:val="Century Gothic"/>
    <w:panose1 w:val="020B0702020204020303"/>
    <w:charset w:val="4D"/>
    <w:family w:val="swiss"/>
    <w:notTrueType/>
    <w:pitch w:val="variable"/>
    <w:sig w:usb0="A00002FF" w:usb1="5000204B" w:usb2="00000000" w:usb3="00000000" w:csb0="00000097"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Futura PT Medium">
    <w:panose1 w:val="020B0602020204020303"/>
    <w:charset w:val="4D"/>
    <w:family w:val="swiss"/>
    <w:notTrueType/>
    <w:pitch w:val="variable"/>
    <w:sig w:usb0="A00002FF" w:usb1="5000204B" w:usb2="00000000" w:usb3="00000000" w:csb0="00000097" w:csb1="00000000"/>
  </w:font>
  <w:font w:name="Cambria Math">
    <w:panose1 w:val="02040503050406030204"/>
    <w:charset w:val="00"/>
    <w:family w:val="roman"/>
    <w:pitch w:val="variable"/>
    <w:sig w:usb0="E00006FF" w:usb1="420024FF" w:usb2="02000000" w:usb3="00000000" w:csb0="0000019F" w:csb1="00000000"/>
    <w:embedRegular r:id="rId2" w:fontKey="{03CED216-ABB1-504B-92EB-B4DC344EEDED}"/>
  </w:font>
  <w:font w:name="Times New Roman (Headings CS)">
    <w:panose1 w:val="020B0604020202020204"/>
    <w:charset w:val="00"/>
    <w:family w:val="roman"/>
    <w:pitch w:val="default"/>
  </w:font>
  <w:font w:name="Arial">
    <w:panose1 w:val="020B0604020202020204"/>
    <w:charset w:val="00"/>
    <w:family w:val="swiss"/>
    <w:pitch w:val="variable"/>
    <w:sig w:usb0="E0002EFF" w:usb1="C000785B" w:usb2="00000009" w:usb3="00000000" w:csb0="000001FF" w:csb1="00000000"/>
    <w:embedRegular r:id="rId3" w:subsetted="1" w:fontKey="{59DAFCC5-2D86-A442-AB68-E17F1B62FF66}"/>
    <w:embedBold r:id="rId4" w:subsetted="1" w:fontKey="{A67D7A4C-3459-6248-B679-5CE78E026AB2}"/>
  </w:font>
  <w:font w:name="Futura PT Heavy">
    <w:panose1 w:val="020B0802020204020303"/>
    <w:charset w:val="4D"/>
    <w:family w:val="swiss"/>
    <w:notTrueType/>
    <w:pitch w:val="variable"/>
    <w:sig w:usb0="A00002FF" w:usb1="5000204A" w:usb2="00000000" w:usb3="00000000" w:csb0="00000097"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22582889"/>
      <w:docPartObj>
        <w:docPartGallery w:val="Page Numbers (Bottom of Page)"/>
        <w:docPartUnique/>
      </w:docPartObj>
    </w:sdtPr>
    <w:sdtContent>
      <w:p w14:paraId="56CF4CB2" w14:textId="1A6B969C" w:rsidR="00F26CE2" w:rsidRDefault="00F26CE2" w:rsidP="00B1594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E87139A" w14:textId="77777777" w:rsidR="00F26CE2" w:rsidRDefault="00F26CE2" w:rsidP="00F26CE2">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91153" w14:textId="3069F16C" w:rsidR="00A20CD9" w:rsidRPr="00456249" w:rsidRDefault="00456249" w:rsidP="0045624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7873A" w14:textId="77777777" w:rsidR="004A3B53"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89</w:t>
    </w:r>
    <w:r w:rsidRPr="00BB75D1">
      <w:rPr>
        <w:noProof/>
        <w:color w:val="003F2C" w:themeColor="text1"/>
        <w:sz w:val="16"/>
        <w:szCs w:val="16"/>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8AF28" w14:textId="3815838A" w:rsidR="00C2709B"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258A2" w14:textId="0AB2B112" w:rsidR="00C2709B"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91</w:t>
    </w:r>
    <w:r w:rsidRPr="00BB75D1">
      <w:rPr>
        <w:noProof/>
        <w:color w:val="003F2C" w:themeColor="text1"/>
        <w:sz w:val="16"/>
        <w:szCs w:val="16"/>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A1648" w14:textId="24078288" w:rsidR="00C2709B"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DEE5C" w14:textId="25BE31EC" w:rsidR="0006615F"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91</w:t>
    </w:r>
    <w:r w:rsidRPr="00BB75D1">
      <w:rPr>
        <w:noProof/>
        <w:color w:val="003F2C" w:themeColor="text1"/>
        <w:sz w:val="16"/>
        <w:szCs w:val="16"/>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F3B08" w14:textId="6A4AD511" w:rsidR="0006615F"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A23D8" w14:textId="18823CC6" w:rsidR="0006615F"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91</w:t>
    </w:r>
    <w:r w:rsidRPr="00BB75D1">
      <w:rPr>
        <w:noProof/>
        <w:color w:val="003F2C" w:themeColor="text1"/>
        <w:sz w:val="16"/>
        <w:szCs w:val="16"/>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AE7D8" w14:textId="09B1C7A6" w:rsidR="00120D67"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E0AE2" w14:textId="052AB3EC" w:rsidR="00120D67"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91</w:t>
    </w:r>
    <w:r w:rsidRPr="00BB75D1">
      <w:rPr>
        <w:noProof/>
        <w:color w:val="003F2C" w:themeColor="text1"/>
        <w:sz w:val="16"/>
        <w:szCs w:val="16"/>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160C2" w14:textId="552A51FA" w:rsidR="0006615F"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3F3D3" w14:textId="7CE08FD9" w:rsidR="00A20CD9" w:rsidRPr="00456249" w:rsidRDefault="00456249" w:rsidP="0045624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w:t>
    </w:r>
    <w:r w:rsidRPr="00BB75D1">
      <w:rPr>
        <w:noProof/>
        <w:color w:val="003F2C" w:themeColor="text1"/>
        <w:sz w:val="16"/>
        <w:szCs w:val="16"/>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622B3" w14:textId="7B7ED5FD" w:rsidR="0006615F"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91</w:t>
    </w:r>
    <w:r w:rsidRPr="00BB75D1">
      <w:rPr>
        <w:noProof/>
        <w:color w:val="003F2C" w:themeColor="text1"/>
        <w:sz w:val="16"/>
        <w:szCs w:val="16"/>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73313" w14:textId="05F0A8EB" w:rsidR="0006615F"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7EB5F" w14:textId="6BD09DEE" w:rsidR="0006615F"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91</w:t>
    </w:r>
    <w:r w:rsidRPr="00BB75D1">
      <w:rPr>
        <w:noProof/>
        <w:color w:val="003F2C" w:themeColor="text1"/>
        <w:sz w:val="16"/>
        <w:szCs w:val="16"/>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9F354" w14:textId="693CBA2D" w:rsidR="0006615F"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999F7" w14:textId="54DA0AEE" w:rsidR="0006615F" w:rsidRPr="004A3B53" w:rsidRDefault="004A3B53" w:rsidP="004A3B53">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91</w:t>
    </w:r>
    <w:r w:rsidRPr="00BB75D1">
      <w:rPr>
        <w:noProof/>
        <w:color w:val="003F2C" w:themeColor="text1"/>
        <w:sz w:val="16"/>
        <w:szCs w:val="16"/>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4FFBE" w14:textId="2157C122" w:rsidR="0006615F" w:rsidRPr="005456B5" w:rsidRDefault="005456B5" w:rsidP="005456B5">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991EA" w14:textId="787C922D" w:rsidR="007C084D" w:rsidRPr="007C084D" w:rsidRDefault="007C084D" w:rsidP="007C084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120</w:t>
    </w:r>
    <w:r w:rsidRPr="00BB75D1">
      <w:rPr>
        <w:noProof/>
        <w:color w:val="003F2C" w:themeColor="text1"/>
        <w:sz w:val="16"/>
        <w:szCs w:val="16"/>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2BD52" w14:textId="77777777" w:rsidR="007C084D" w:rsidRPr="005456B5" w:rsidRDefault="007C084D" w:rsidP="005456B5">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ECBFF" w14:textId="78CCBA97" w:rsidR="00B51E6F" w:rsidRDefault="00B51E6F" w:rsidP="00770BB9">
    <w:pPr>
      <w:pStyle w:val="Footer"/>
      <w:jc w:val="cen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617BE" w14:textId="00FA8CB6"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sidR="001E4A8B">
      <w:rPr>
        <w:noProof/>
        <w:color w:val="003F2C" w:themeColor="text1"/>
        <w:sz w:val="16"/>
        <w:szCs w:val="16"/>
      </w:rPr>
      <w:t>1</w:t>
    </w:r>
    <w:r>
      <w:rPr>
        <w:noProof/>
        <w:color w:val="003F2C" w:themeColor="text1"/>
        <w:sz w:val="16"/>
        <w:szCs w:val="16"/>
      </w:rPr>
      <w:t>–</w:t>
    </w:r>
    <w:r w:rsidRPr="00924469">
      <w:rPr>
        <w:noProof/>
        <w:color w:val="003F2C" w:themeColor="text1"/>
        <w:sz w:val="16"/>
        <w:szCs w:val="16"/>
      </w:rPr>
      <w:t>2</w:t>
    </w:r>
    <w:r w:rsidR="001E4A8B">
      <w:rPr>
        <w:noProof/>
        <w:color w:val="003F2C" w:themeColor="text1"/>
        <w:sz w:val="16"/>
        <w:szCs w:val="16"/>
      </w:rPr>
      <w:t>2</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2C3A4" w14:textId="77777777" w:rsidR="00456249" w:rsidRPr="00456249" w:rsidRDefault="00456249" w:rsidP="0045624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70ABD" w14:textId="081CC960" w:rsidR="00D341C8" w:rsidRPr="00D341C8" w:rsidRDefault="00D341C8" w:rsidP="00D341C8">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122</w:t>
    </w:r>
    <w:r w:rsidRPr="00BB75D1">
      <w:rPr>
        <w:noProof/>
        <w:color w:val="003F2C" w:themeColor="text1"/>
        <w:sz w:val="16"/>
        <w:szCs w:val="16"/>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95B98" w14:textId="77777777" w:rsidR="00D341C8" w:rsidRPr="00EE4866" w:rsidRDefault="00D341C8"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B9BC4" w14:textId="5D7695A5" w:rsidR="00D341C8" w:rsidRPr="00D341C8" w:rsidRDefault="00D341C8" w:rsidP="00D341C8">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122</w:t>
    </w:r>
    <w:r w:rsidRPr="00BB75D1">
      <w:rPr>
        <w:noProof/>
        <w:color w:val="003F2C" w:themeColor="text1"/>
        <w:sz w:val="16"/>
        <w:szCs w:val="16"/>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E2788" w14:textId="77777777" w:rsidR="00D341C8" w:rsidRPr="00EE4866" w:rsidRDefault="00D341C8"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70839" w14:textId="11949A8F" w:rsidR="005410FE" w:rsidRPr="005410FE" w:rsidRDefault="005410FE" w:rsidP="005410F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128</w:t>
    </w:r>
    <w:r w:rsidRPr="00BB75D1">
      <w:rPr>
        <w:noProof/>
        <w:color w:val="003F2C" w:themeColor="text1"/>
        <w:sz w:val="16"/>
        <w:szCs w:val="16"/>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36226" w14:textId="77777777" w:rsidR="005410FE" w:rsidRPr="00EE4866" w:rsidRDefault="005410FE"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6DBD8" w14:textId="3DC041C6" w:rsidR="005410FE" w:rsidRPr="005410FE" w:rsidRDefault="005410FE" w:rsidP="005410F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128</w:t>
    </w:r>
    <w:r w:rsidRPr="00BB75D1">
      <w:rPr>
        <w:noProof/>
        <w:color w:val="003F2C" w:themeColor="text1"/>
        <w:sz w:val="16"/>
        <w:szCs w:val="16"/>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4E63E" w14:textId="77777777" w:rsidR="005410FE" w:rsidRPr="00EE4866" w:rsidRDefault="005410FE"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E46C9" w14:textId="6696EFA6" w:rsidR="0021542A" w:rsidRPr="00B57A07" w:rsidRDefault="00140F74" w:rsidP="00B57A07">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121</w:t>
    </w:r>
    <w:r w:rsidRPr="00BB75D1">
      <w:rPr>
        <w:noProof/>
        <w:color w:val="003F2C" w:themeColor="text1"/>
        <w:sz w:val="16"/>
        <w:szCs w:val="16"/>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38EDD" w14:textId="77777777" w:rsidR="00140F74" w:rsidRPr="00B57A07" w:rsidRDefault="00140F74" w:rsidP="00B57A07">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14FEE" w14:textId="77777777" w:rsidR="00456249" w:rsidRPr="00456249" w:rsidRDefault="00456249" w:rsidP="0045624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CCC27" w14:textId="1DF7EA08" w:rsidR="00B44CAD" w:rsidRPr="00B44CAD" w:rsidRDefault="00B44CAD" w:rsidP="00B44C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124</w:t>
    </w:r>
    <w:r w:rsidRPr="00BB75D1">
      <w:rPr>
        <w:noProof/>
        <w:color w:val="003F2C" w:themeColor="text1"/>
        <w:sz w:val="16"/>
        <w:szCs w:val="16"/>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AF131" w14:textId="77777777" w:rsidR="00B44CAD" w:rsidRPr="00EE4866" w:rsidRDefault="00B44CAD"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EA830" w14:textId="33F3886B" w:rsidR="00DE68B1" w:rsidRPr="00DE68B1" w:rsidRDefault="00DE68B1" w:rsidP="00DE68B1">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125</w:t>
    </w:r>
    <w:r w:rsidRPr="00BB75D1">
      <w:rPr>
        <w:noProof/>
        <w:color w:val="003F2C" w:themeColor="text1"/>
        <w:sz w:val="16"/>
        <w:szCs w:val="16"/>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A731C" w14:textId="77777777" w:rsidR="00DE68B1" w:rsidRPr="00EE4866" w:rsidRDefault="00DE68B1"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1B073" w14:textId="1AF0A0A7" w:rsidR="00DE68B1" w:rsidRPr="00DE68B1" w:rsidRDefault="00DE68B1" w:rsidP="00DE68B1">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125</w:t>
    </w:r>
    <w:r w:rsidRPr="00BB75D1">
      <w:rPr>
        <w:noProof/>
        <w:color w:val="003F2C" w:themeColor="text1"/>
        <w:sz w:val="16"/>
        <w:szCs w:val="16"/>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1B383" w14:textId="77777777" w:rsidR="00DE68B1" w:rsidRPr="00EE4866" w:rsidRDefault="00DE68B1"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19419" w14:textId="6F2C9BF8" w:rsidR="00B51E6F" w:rsidRPr="0044572F" w:rsidRDefault="00B51E6F" w:rsidP="0044572F">
    <w:pPr>
      <w:pStyle w:val="Footer"/>
      <w:tabs>
        <w:tab w:val="clear" w:pos="4680"/>
        <w:tab w:val="right" w:pos="7655"/>
      </w:tabs>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7D07A" w14:textId="7FC59336" w:rsidR="00B51E6F" w:rsidRDefault="00B51E6F" w:rsidP="00770BB9">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56899" w14:textId="3B316BD5" w:rsidR="00763E5F" w:rsidRPr="00460E48" w:rsidRDefault="00460E48" w:rsidP="00460E48">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77F02" w14:textId="77777777" w:rsidR="00460E48" w:rsidRPr="006C53F1" w:rsidRDefault="00460E48" w:rsidP="006C53F1">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w:t>
    </w:r>
    <w:r w:rsidRPr="00BB75D1">
      <w:rPr>
        <w:noProof/>
        <w:color w:val="003F2C" w:themeColor="text1"/>
        <w:sz w:val="16"/>
        <w:szCs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DF5E9" w14:textId="57D477FF" w:rsidR="00796658" w:rsidRPr="00796658" w:rsidRDefault="00796658" w:rsidP="00796658">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13</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AE87F" w14:textId="22E6D2AE" w:rsidR="00010118" w:rsidRPr="00A20CD9" w:rsidRDefault="00A20CD9" w:rsidP="00A20CD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w:t>
    </w:r>
    <w:r w:rsidRPr="00BB75D1">
      <w:rPr>
        <w:noProof/>
        <w:color w:val="003F2C" w:themeColor="text1"/>
        <w:sz w:val="16"/>
        <w:szCs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2BA82" w14:textId="680AB482" w:rsidR="006C53F1" w:rsidRPr="001A5751" w:rsidRDefault="001A5751" w:rsidP="001A5751">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11</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1BF73" w14:textId="3BCFB92D" w:rsidR="006C53F1" w:rsidRPr="001A5751" w:rsidRDefault="001A5751" w:rsidP="001A5751">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w:t>
    </w:r>
    <w:r w:rsidRPr="00BB75D1">
      <w:rPr>
        <w:noProof/>
        <w:color w:val="003F2C" w:themeColor="text1"/>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FF7C8" w14:textId="399F7777" w:rsidR="00B51E6F" w:rsidRPr="00B578E9" w:rsidRDefault="00B51E6F" w:rsidP="003F1D11">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2020-21 </w:t>
    </w:r>
    <w:r>
      <w:rPr>
        <w:color w:val="003F2C" w:themeColor="text1"/>
        <w:sz w:val="16"/>
        <w:szCs w:val="16"/>
      </w:rPr>
      <w:tab/>
    </w:r>
    <w:r w:rsidRPr="003F1D11">
      <w:rPr>
        <w:color w:val="003F2C" w:themeColor="text1"/>
        <w:sz w:val="16"/>
        <w:szCs w:val="16"/>
      </w:rPr>
      <w:fldChar w:fldCharType="begin"/>
    </w:r>
    <w:r w:rsidRPr="003F1D11">
      <w:rPr>
        <w:color w:val="003F2C" w:themeColor="text1"/>
        <w:sz w:val="16"/>
        <w:szCs w:val="16"/>
      </w:rPr>
      <w:instrText xml:space="preserve"> PAGE   \* MERGEFORMAT </w:instrText>
    </w:r>
    <w:r w:rsidRPr="003F1D11">
      <w:rPr>
        <w:color w:val="003F2C" w:themeColor="text1"/>
        <w:sz w:val="16"/>
        <w:szCs w:val="16"/>
      </w:rPr>
      <w:fldChar w:fldCharType="separate"/>
    </w:r>
    <w:r w:rsidR="00AC534F">
      <w:rPr>
        <w:noProof/>
        <w:color w:val="003F2C" w:themeColor="text1"/>
        <w:sz w:val="16"/>
        <w:szCs w:val="16"/>
      </w:rPr>
      <w:t>1</w:t>
    </w:r>
    <w:r w:rsidRPr="003F1D11">
      <w:rPr>
        <w:noProof/>
        <w:color w:val="003F2C" w:themeColor="text1"/>
        <w:sz w:val="16"/>
        <w:szCs w:val="16"/>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547E5" w14:textId="00404313" w:rsidR="006C53F1" w:rsidRPr="001A5751" w:rsidRDefault="001A5751" w:rsidP="001A5751">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11</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AF3CB" w14:textId="21D59D72" w:rsidR="007F6A9A" w:rsidRPr="001A5751" w:rsidRDefault="001A5751" w:rsidP="001A5751">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12</w:t>
    </w:r>
    <w:r w:rsidRPr="00BB75D1">
      <w:rPr>
        <w:noProof/>
        <w:color w:val="003F2C" w:themeColor="text1"/>
        <w:sz w:val="16"/>
        <w:szCs w:val="1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21F79" w14:textId="025D27C9" w:rsidR="00946E11" w:rsidRPr="00796658" w:rsidRDefault="00796658" w:rsidP="00796658">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21</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4EBA1" w14:textId="45D19631" w:rsidR="00946E11" w:rsidRPr="00FA4652" w:rsidRDefault="00FA4652" w:rsidP="00FA4652">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18</w:t>
    </w:r>
    <w:r w:rsidRPr="00BB75D1">
      <w:rPr>
        <w:noProof/>
        <w:color w:val="003F2C" w:themeColor="text1"/>
        <w:sz w:val="16"/>
        <w:szCs w:val="1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5FAC7" w14:textId="29659681" w:rsidR="00946E11" w:rsidRPr="00FA4652" w:rsidRDefault="00FA4652" w:rsidP="00FA4652">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74CBA" w14:textId="57EC1463" w:rsidR="00946E11" w:rsidRPr="00FA4652" w:rsidRDefault="00FA4652" w:rsidP="00FA4652">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20</w:t>
    </w:r>
    <w:r w:rsidRPr="00BB75D1">
      <w:rPr>
        <w:noProof/>
        <w:color w:val="003F2C" w:themeColor="text1"/>
        <w:sz w:val="16"/>
        <w:szCs w:val="1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DC579" w14:textId="4AC74478" w:rsidR="00946E11" w:rsidRPr="00FA4652" w:rsidRDefault="00FA4652" w:rsidP="00FA4652">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19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3ED05" w14:textId="6EF2A236" w:rsidR="00946E11" w:rsidRPr="00FA4652" w:rsidRDefault="00FA4652" w:rsidP="00FA4652">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20</w:t>
    </w:r>
    <w:r w:rsidRPr="00BB75D1">
      <w:rPr>
        <w:noProof/>
        <w:color w:val="003F2C" w:themeColor="text1"/>
        <w:sz w:val="16"/>
        <w:szCs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2ED51" w14:textId="1D511A89" w:rsidR="00946E11" w:rsidRPr="00FA4652" w:rsidRDefault="00FA4652" w:rsidP="00FA4652">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23</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BE21B" w14:textId="0A9B8AF4" w:rsidR="00946E11" w:rsidRPr="00FA4652" w:rsidRDefault="00FA4652" w:rsidP="00FA4652">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24</w:t>
    </w:r>
    <w:r w:rsidRPr="00BB75D1">
      <w:rPr>
        <w:noProof/>
        <w:color w:val="003F2C" w:themeColor="text1"/>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121A4" w14:textId="49346C97" w:rsidR="00B51E6F" w:rsidRPr="00B578E9" w:rsidRDefault="00B51E6F" w:rsidP="00F26CE2">
    <w:pPr>
      <w:pStyle w:val="Footer"/>
      <w:tabs>
        <w:tab w:val="clear" w:pos="4680"/>
        <w:tab w:val="right" w:pos="7655"/>
      </w:tabs>
      <w:ind w:right="360"/>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13C69" w14:textId="2E466569" w:rsidR="00946E11" w:rsidRPr="00FA4652" w:rsidRDefault="00FA4652" w:rsidP="00FA4652">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23</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2140A" w14:textId="08DA0DF1" w:rsidR="0028466B" w:rsidRPr="0028466B" w:rsidRDefault="0028466B" w:rsidP="0028466B">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32</w:t>
    </w:r>
    <w:r w:rsidRPr="00BB75D1">
      <w:rPr>
        <w:noProof/>
        <w:color w:val="003F2C" w:themeColor="text1"/>
        <w:sz w:val="16"/>
        <w:szCs w:val="16"/>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1ACAF" w14:textId="33EF8A74" w:rsidR="008145B9" w:rsidRPr="008145B9" w:rsidRDefault="008145B9" w:rsidP="008145B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33</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7FB7E" w14:textId="1CEB5E47" w:rsidR="008145B9" w:rsidRPr="009A3C12" w:rsidRDefault="009A3C12" w:rsidP="009A3C12">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28</w:t>
    </w:r>
    <w:r w:rsidRPr="00BB75D1">
      <w:rPr>
        <w:noProof/>
        <w:color w:val="003F2C" w:themeColor="text1"/>
        <w:sz w:val="16"/>
        <w:szCs w:val="1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E6C40" w14:textId="5958EB7F" w:rsidR="008145B9" w:rsidRPr="009A3C12" w:rsidRDefault="009A3C12" w:rsidP="009A3C12">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5CACD" w14:textId="494CAE49" w:rsidR="008145B9" w:rsidRPr="009A3C12" w:rsidRDefault="009A3C12" w:rsidP="009A3C12">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30</w:t>
    </w:r>
    <w:r w:rsidRPr="00BB75D1">
      <w:rPr>
        <w:noProof/>
        <w:color w:val="003F2C" w:themeColor="text1"/>
        <w:sz w:val="16"/>
        <w:szCs w:val="1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1B3D4" w14:textId="77777777" w:rsidR="00E638C0" w:rsidRPr="008145B9" w:rsidRDefault="00E638C0" w:rsidP="008145B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33</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FFCEF" w14:textId="2BDE7084" w:rsidR="00B51E6F" w:rsidRDefault="00B51E6F" w:rsidP="00770BB9">
    <w:pPr>
      <w:pStyle w:val="Footer"/>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BF7C6" w14:textId="199EEEBF"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sidR="00E45E9F">
      <w:rPr>
        <w:noProof/>
        <w:color w:val="003F2C" w:themeColor="text1"/>
        <w:sz w:val="16"/>
        <w:szCs w:val="16"/>
      </w:rPr>
      <w:t>1</w:t>
    </w:r>
    <w:r>
      <w:rPr>
        <w:noProof/>
        <w:color w:val="003F2C" w:themeColor="text1"/>
        <w:sz w:val="16"/>
        <w:szCs w:val="16"/>
      </w:rPr>
      <w:t>–</w:t>
    </w:r>
    <w:r w:rsidRPr="00924469">
      <w:rPr>
        <w:noProof/>
        <w:color w:val="003F2C" w:themeColor="text1"/>
        <w:sz w:val="16"/>
        <w:szCs w:val="16"/>
      </w:rPr>
      <w:t>2</w:t>
    </w:r>
    <w:r w:rsidR="00E45E9F">
      <w:rPr>
        <w:noProof/>
        <w:color w:val="003F2C" w:themeColor="text1"/>
        <w:sz w:val="16"/>
        <w:szCs w:val="16"/>
      </w:rPr>
      <w:t>2</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A08BA" w14:textId="72080851"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sidR="00E45E9F">
      <w:rPr>
        <w:noProof/>
        <w:color w:val="003F2C" w:themeColor="text1"/>
        <w:sz w:val="16"/>
        <w:szCs w:val="16"/>
      </w:rPr>
      <w:t>1</w:t>
    </w:r>
    <w:r>
      <w:rPr>
        <w:noProof/>
        <w:color w:val="003F2C" w:themeColor="text1"/>
        <w:sz w:val="16"/>
        <w:szCs w:val="16"/>
      </w:rPr>
      <w:t>–</w:t>
    </w:r>
    <w:r w:rsidRPr="00924469">
      <w:rPr>
        <w:noProof/>
        <w:color w:val="003F2C" w:themeColor="text1"/>
        <w:sz w:val="16"/>
        <w:szCs w:val="16"/>
      </w:rPr>
      <w:t>2</w:t>
    </w:r>
    <w:r w:rsidR="00E45E9F">
      <w:rPr>
        <w:noProof/>
        <w:color w:val="003F2C" w:themeColor="text1"/>
        <w:sz w:val="16"/>
        <w:szCs w:val="16"/>
      </w:rPr>
      <w:t>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90373915"/>
      <w:docPartObj>
        <w:docPartGallery w:val="Page Numbers (Bottom of Page)"/>
        <w:docPartUnique/>
      </w:docPartObj>
    </w:sdtPr>
    <w:sdtContent>
      <w:p w14:paraId="2994E1DD" w14:textId="77777777" w:rsidR="00D222F6" w:rsidRDefault="00D222F6" w:rsidP="00B1594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4FA9B5B9" w14:textId="77777777" w:rsidR="00D222F6" w:rsidRPr="00B578E9" w:rsidRDefault="00D222F6" w:rsidP="00F26CE2">
    <w:pPr>
      <w:pStyle w:val="Footer"/>
      <w:tabs>
        <w:tab w:val="clear" w:pos="4680"/>
        <w:tab w:val="right" w:pos="7655"/>
      </w:tabs>
      <w:ind w:right="360"/>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8C9F8" w14:textId="4D18B541" w:rsidR="003C7A8F" w:rsidRPr="003C7A8F" w:rsidRDefault="003C7A8F" w:rsidP="003C7A8F">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21</w:t>
    </w:r>
    <w:r w:rsidRPr="00BB75D1">
      <w:rPr>
        <w:noProof/>
        <w:color w:val="003F2C" w:themeColor="text1"/>
        <w:sz w:val="16"/>
        <w:szCs w:val="16"/>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3CB11" w14:textId="6A3F1A76" w:rsidR="002061B5" w:rsidRPr="002061B5" w:rsidRDefault="002061B5" w:rsidP="002061B5">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35</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445D4" w14:textId="7C243E9C" w:rsidR="003C7A8F" w:rsidRPr="002061B5" w:rsidRDefault="002061B5" w:rsidP="002061B5">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36</w:t>
    </w:r>
    <w:r w:rsidRPr="00BB75D1">
      <w:rPr>
        <w:noProof/>
        <w:color w:val="003F2C" w:themeColor="text1"/>
        <w:sz w:val="16"/>
        <w:szCs w:val="16"/>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05596" w14:textId="77777777" w:rsidR="002061B5" w:rsidRPr="00B578E9" w:rsidRDefault="002061B5" w:rsidP="002061B5">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35</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D96E8" w14:textId="7203D326" w:rsidR="002C44E4" w:rsidRPr="002061B5" w:rsidRDefault="002061B5" w:rsidP="002061B5">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36</w:t>
    </w:r>
    <w:r w:rsidRPr="00BB75D1">
      <w:rPr>
        <w:noProof/>
        <w:color w:val="003F2C" w:themeColor="text1"/>
        <w:sz w:val="16"/>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E2111" w14:textId="3DC29A9A" w:rsidR="00D139DF" w:rsidRPr="002061B5" w:rsidRDefault="002061B5" w:rsidP="002061B5">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41F4E" w14:textId="1A4A47B4" w:rsidR="00967FFA" w:rsidRPr="00967FFA" w:rsidRDefault="00967FFA" w:rsidP="00967FF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27</w:t>
    </w:r>
    <w:r w:rsidRPr="00BB75D1">
      <w:rPr>
        <w:noProof/>
        <w:color w:val="003F2C" w:themeColor="text1"/>
        <w:sz w:val="16"/>
        <w:szCs w:val="16"/>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7AEF5" w14:textId="225BD464" w:rsidR="00967FFA" w:rsidRPr="004761ED" w:rsidRDefault="004761ED" w:rsidP="004761E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B714E" w14:textId="76164E9C" w:rsidR="000A6C71" w:rsidRPr="004761ED" w:rsidRDefault="004761ED" w:rsidP="004761E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29</w:t>
    </w:r>
    <w:r w:rsidRPr="00BB75D1">
      <w:rPr>
        <w:noProof/>
        <w:color w:val="003F2C" w:themeColor="text1"/>
        <w:sz w:val="16"/>
        <w:szCs w:val="16"/>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A158C" w14:textId="0EEC78A2" w:rsidR="000A6C71" w:rsidRPr="007C005E" w:rsidRDefault="007C005E" w:rsidP="007C005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51</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9015415"/>
      <w:docPartObj>
        <w:docPartGallery w:val="Page Numbers (Bottom of Page)"/>
        <w:docPartUnique/>
      </w:docPartObj>
    </w:sdtPr>
    <w:sdtContent>
      <w:p w14:paraId="44C6BD03" w14:textId="77777777" w:rsidR="00D222F6" w:rsidRDefault="00D222F6" w:rsidP="00B1594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174DEB84" w14:textId="77777777" w:rsidR="00D222F6" w:rsidRPr="00B578E9" w:rsidRDefault="00D222F6" w:rsidP="00F26CE2">
    <w:pPr>
      <w:pStyle w:val="Footer"/>
      <w:tabs>
        <w:tab w:val="clear" w:pos="4680"/>
        <w:tab w:val="right" w:pos="7655"/>
      </w:tabs>
      <w:ind w:right="360"/>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C389F" w14:textId="1C56575F" w:rsidR="004761ED" w:rsidRPr="007C005E" w:rsidRDefault="007C005E" w:rsidP="007C005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52</w:t>
    </w:r>
    <w:r w:rsidRPr="00BB75D1">
      <w:rPr>
        <w:noProof/>
        <w:color w:val="003F2C" w:themeColor="text1"/>
        <w:sz w:val="16"/>
        <w:szCs w:val="1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A3AF1" w14:textId="122158D7" w:rsidR="00D930F4" w:rsidRPr="007C005E" w:rsidRDefault="007C005E" w:rsidP="007C005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51</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8349E" w14:textId="6FAD1E14" w:rsidR="004761ED" w:rsidRPr="007C005E" w:rsidRDefault="007C005E" w:rsidP="007C005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52</w:t>
    </w:r>
    <w:r w:rsidRPr="00BB75D1">
      <w:rPr>
        <w:noProof/>
        <w:color w:val="003F2C" w:themeColor="text1"/>
        <w:sz w:val="16"/>
        <w:szCs w:val="16"/>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9AABB" w14:textId="02C79F5D" w:rsidR="004761ED" w:rsidRPr="00D930F4" w:rsidRDefault="00D930F4" w:rsidP="00D930F4">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72351" w14:textId="24FCA162" w:rsidR="004761ED" w:rsidRPr="00D930F4" w:rsidRDefault="00D930F4" w:rsidP="00D930F4">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35</w:t>
    </w:r>
    <w:r w:rsidRPr="00BB75D1">
      <w:rPr>
        <w:noProof/>
        <w:color w:val="003F2C" w:themeColor="text1"/>
        <w:sz w:val="16"/>
        <w:szCs w:val="16"/>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AFA5F" w14:textId="54ED514A" w:rsidR="006E0816" w:rsidRPr="00D930F4" w:rsidRDefault="00D930F4" w:rsidP="00D930F4">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2ED28" w14:textId="7ED06161" w:rsidR="006E0816" w:rsidRPr="00D930F4" w:rsidRDefault="00D930F4" w:rsidP="00D930F4">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39</w:t>
    </w:r>
    <w:r w:rsidRPr="00BB75D1">
      <w:rPr>
        <w:noProof/>
        <w:color w:val="003F2C" w:themeColor="text1"/>
        <w:sz w:val="16"/>
        <w:szCs w:val="1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9ECEB" w14:textId="3EB23CBB" w:rsidR="006E0816" w:rsidRPr="007C005E" w:rsidRDefault="007C005E" w:rsidP="007C005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59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CC486" w14:textId="5B1DF9C8" w:rsidR="001559BA" w:rsidRPr="007C005E" w:rsidRDefault="007C005E" w:rsidP="007C005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60</w:t>
    </w:r>
    <w:r w:rsidRPr="00BB75D1">
      <w:rPr>
        <w:noProof/>
        <w:color w:val="003F2C" w:themeColor="text1"/>
        <w:sz w:val="16"/>
        <w:szCs w:val="16"/>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1C10C" w14:textId="7C009013" w:rsidR="0023576D" w:rsidRPr="007C005E" w:rsidRDefault="007C005E" w:rsidP="007C005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59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7981C" w14:textId="4AF7460F" w:rsidR="002B2D52" w:rsidRPr="002B2D52" w:rsidRDefault="002B2D52" w:rsidP="002B2D52">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iii</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E60C7" w14:textId="5C5FD6AE" w:rsidR="0023576D" w:rsidRPr="007C005E" w:rsidRDefault="007C005E" w:rsidP="007C005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60</w:t>
    </w:r>
    <w:r w:rsidRPr="00BB75D1">
      <w:rPr>
        <w:noProof/>
        <w:color w:val="003F2C" w:themeColor="text1"/>
        <w:sz w:val="16"/>
        <w:szCs w:val="16"/>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F8178" w14:textId="67A11C9E" w:rsidR="00C86A66" w:rsidRPr="00C86A66" w:rsidRDefault="00C86A66" w:rsidP="00C86A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46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2F016" w14:textId="77961280" w:rsidR="00160A4D" w:rsidRPr="007C005E" w:rsidRDefault="007C005E" w:rsidP="007C005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60</w:t>
    </w:r>
    <w:r w:rsidRPr="00BB75D1">
      <w:rPr>
        <w:noProof/>
        <w:color w:val="003F2C" w:themeColor="text1"/>
        <w:sz w:val="16"/>
        <w:szCs w:val="16"/>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E5620" w14:textId="4D74FF07" w:rsidR="007C005E" w:rsidRPr="007C005E" w:rsidRDefault="007C005E" w:rsidP="007C005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65</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1FE09" w14:textId="704861DE" w:rsidR="006F1982" w:rsidRPr="006F1982" w:rsidRDefault="006F1982" w:rsidP="006F1982">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49</w:t>
    </w:r>
    <w:r w:rsidRPr="00BB75D1">
      <w:rPr>
        <w:noProof/>
        <w:color w:val="003F2C" w:themeColor="text1"/>
        <w:sz w:val="16"/>
        <w:szCs w:val="16"/>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0B2D6" w14:textId="77777777" w:rsidR="006F1982" w:rsidRPr="004761ED" w:rsidRDefault="006F1982" w:rsidP="004761E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5613E" w14:textId="77777777" w:rsidR="0081144A" w:rsidRPr="00B578E9" w:rsidRDefault="0081144A"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35</w:t>
    </w:r>
    <w:r w:rsidRPr="00BB75D1">
      <w:rPr>
        <w:noProof/>
        <w:color w:val="003F2C" w:themeColor="text1"/>
        <w:sz w:val="16"/>
        <w:szCs w:val="16"/>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38EC" w14:textId="335156C6" w:rsidR="0048649E" w:rsidRPr="0048649E" w:rsidRDefault="0048649E" w:rsidP="0048649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67</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ECAEF" w14:textId="77777777" w:rsidR="0048649E" w:rsidRPr="00B578E9" w:rsidRDefault="0048649E"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35</w:t>
    </w:r>
    <w:r w:rsidRPr="00BB75D1">
      <w:rPr>
        <w:noProof/>
        <w:color w:val="003F2C" w:themeColor="text1"/>
        <w:sz w:val="16"/>
        <w:szCs w:val="16"/>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63259" w14:textId="5EBC3F2D" w:rsidR="0048649E" w:rsidRPr="0048649E" w:rsidRDefault="0048649E" w:rsidP="0048649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67</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08AC9" w14:textId="2B82DA11" w:rsidR="00A20CD9" w:rsidRPr="00456249" w:rsidRDefault="00456249" w:rsidP="0045624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w:t>
    </w:r>
    <w:r w:rsidRPr="00BB75D1">
      <w:rPr>
        <w:noProof/>
        <w:color w:val="003F2C" w:themeColor="text1"/>
        <w:sz w:val="16"/>
        <w:szCs w:val="16"/>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9F344" w14:textId="73A3BCD5" w:rsidR="00B51E6F" w:rsidRPr="0044050E" w:rsidRDefault="0044050E" w:rsidP="0044050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64</w:t>
    </w:r>
    <w:r w:rsidRPr="00BB75D1">
      <w:rPr>
        <w:noProof/>
        <w:color w:val="003F2C" w:themeColor="text1"/>
        <w:sz w:val="16"/>
        <w:szCs w:val="16"/>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79EDD" w14:textId="7CC3F9F3" w:rsidR="0055600C"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65</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50E27" w14:textId="03C05118" w:rsidR="0048649E"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66</w:t>
    </w:r>
    <w:r w:rsidRPr="00BB75D1">
      <w:rPr>
        <w:noProof/>
        <w:color w:val="003F2C" w:themeColor="text1"/>
        <w:sz w:val="16"/>
        <w:szCs w:val="16"/>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D04F8" w14:textId="5157BB06" w:rsidR="002825B4"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65</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2ABA6" w14:textId="548C1C2A" w:rsidR="00935030"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66</w:t>
    </w:r>
    <w:r w:rsidRPr="00BB75D1">
      <w:rPr>
        <w:noProof/>
        <w:color w:val="003F2C" w:themeColor="text1"/>
        <w:sz w:val="16"/>
        <w:szCs w:val="16"/>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F94A5" w14:textId="19E872F6" w:rsidR="002825B4"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8B214" w14:textId="0122BAE1" w:rsidR="00935030"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70</w:t>
    </w:r>
    <w:r w:rsidRPr="00BB75D1">
      <w:rPr>
        <w:noProof/>
        <w:color w:val="003F2C" w:themeColor="text1"/>
        <w:sz w:val="16"/>
        <w:szCs w:val="16"/>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85C84" w14:textId="28CE4E83" w:rsidR="005559E1"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69</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50D2E" w14:textId="64867252" w:rsidR="005559E1"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70</w:t>
    </w:r>
    <w:r w:rsidRPr="00BB75D1">
      <w:rPr>
        <w:noProof/>
        <w:color w:val="003F2C" w:themeColor="text1"/>
        <w:sz w:val="16"/>
        <w:szCs w:val="16"/>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74F38" w14:textId="3841B8F2" w:rsidR="005559E1"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73</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BC990" w14:textId="12E70F8D" w:rsidR="00B51E6F" w:rsidRPr="00456249" w:rsidRDefault="00456249" w:rsidP="0045624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C22D1" w14:textId="0532682F" w:rsidR="005559E1"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74</w:t>
    </w:r>
    <w:r w:rsidRPr="00BB75D1">
      <w:rPr>
        <w:noProof/>
        <w:color w:val="003F2C" w:themeColor="text1"/>
        <w:sz w:val="16"/>
        <w:szCs w:val="16"/>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8F35A6" w14:textId="2C1169E2" w:rsidR="007016B6"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73</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E2EE0" w14:textId="4D1AF46E" w:rsidR="007016B6"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74</w:t>
    </w:r>
    <w:r w:rsidRPr="00BB75D1">
      <w:rPr>
        <w:noProof/>
        <w:color w:val="003F2C" w:themeColor="text1"/>
        <w:sz w:val="16"/>
        <w:szCs w:val="16"/>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9B857" w14:textId="2BDB5D8B" w:rsidR="00C05617"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77</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26F20" w14:textId="07C1D8A7" w:rsidR="00D354FD"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78</w:t>
    </w:r>
    <w:r w:rsidRPr="00BB75D1">
      <w:rPr>
        <w:noProof/>
        <w:color w:val="003F2C" w:themeColor="text1"/>
        <w:sz w:val="16"/>
        <w:szCs w:val="16"/>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BA2A9" w14:textId="288FA59D" w:rsidR="00D354FD"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77</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FC17C" w14:textId="414657EB" w:rsidR="00B51E6F" w:rsidRPr="00B578E9" w:rsidRDefault="00B51E6F" w:rsidP="00EE4866">
    <w:pPr>
      <w:pStyle w:val="Footer"/>
      <w:tabs>
        <w:tab w:val="clear" w:pos="4680"/>
        <w:tab w:val="clear" w:pos="9360"/>
        <w:tab w:val="right" w:pos="11766"/>
      </w:tabs>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E5944" w14:textId="4FEDC01F" w:rsidR="00340FEA" w:rsidRPr="00A17FAD" w:rsidRDefault="00A17FAD" w:rsidP="00A17FAD">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81</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40065" w14:textId="01742A64" w:rsidR="00A17FAD" w:rsidRPr="00A17FAD" w:rsidRDefault="00A17FAD" w:rsidP="00A17FAD">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80</w:t>
    </w:r>
    <w:r w:rsidRPr="00BB75D1">
      <w:rPr>
        <w:noProof/>
        <w:color w:val="003F2C" w:themeColor="text1"/>
        <w:sz w:val="16"/>
        <w:szCs w:val="16"/>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9E6A2" w14:textId="77777777" w:rsidR="00340FEA" w:rsidRPr="009A5A56" w:rsidRDefault="00340FEA" w:rsidP="009A5A5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1AB26" w14:textId="0BED60BA" w:rsidR="00A20CD9" w:rsidRPr="00456249" w:rsidRDefault="00456249" w:rsidP="0045624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9</w:t>
    </w:r>
    <w:r w:rsidRPr="00BB75D1">
      <w:rPr>
        <w:noProof/>
        <w:color w:val="003F2C" w:themeColor="text1"/>
        <w:sz w:val="16"/>
        <w:szCs w:val="16"/>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1823C" w14:textId="4DFDF5FD" w:rsidR="00B51E6F" w:rsidRDefault="00B51E6F" w:rsidP="00770BB9">
    <w:pPr>
      <w:pStyle w:val="Footer"/>
      <w:jc w:val="cen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C3570" w14:textId="3816792F"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sidR="001E4A8B">
      <w:rPr>
        <w:noProof/>
        <w:color w:val="003F2C" w:themeColor="text1"/>
        <w:sz w:val="16"/>
        <w:szCs w:val="16"/>
      </w:rPr>
      <w:t>1</w:t>
    </w:r>
    <w:r>
      <w:rPr>
        <w:noProof/>
        <w:color w:val="003F2C" w:themeColor="text1"/>
        <w:sz w:val="16"/>
        <w:szCs w:val="16"/>
      </w:rPr>
      <w:t>–</w:t>
    </w:r>
    <w:r w:rsidRPr="00924469">
      <w:rPr>
        <w:noProof/>
        <w:color w:val="003F2C" w:themeColor="text1"/>
        <w:sz w:val="16"/>
        <w:szCs w:val="16"/>
      </w:rPr>
      <w:t>2</w:t>
    </w:r>
    <w:r w:rsidR="001E4A8B">
      <w:rPr>
        <w:noProof/>
        <w:color w:val="003F2C" w:themeColor="text1"/>
        <w:sz w:val="16"/>
        <w:szCs w:val="16"/>
      </w:rPr>
      <w:t>2</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7ED21" w14:textId="48AE7922" w:rsidR="00B51E6F" w:rsidRPr="00C14FCE" w:rsidRDefault="00C14FCE" w:rsidP="00C14FC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w:t>
    </w:r>
    <w:r w:rsidR="001E4A8B">
      <w:rPr>
        <w:color w:val="003F2C" w:themeColor="text1"/>
        <w:sz w:val="16"/>
        <w:szCs w:val="16"/>
      </w:rPr>
      <w:t>1</w:t>
    </w:r>
    <w:r>
      <w:rPr>
        <w:noProof/>
        <w:color w:val="003F2C" w:themeColor="text1"/>
        <w:sz w:val="16"/>
        <w:szCs w:val="16"/>
      </w:rPr>
      <w:t>–</w:t>
    </w:r>
    <w:r>
      <w:rPr>
        <w:color w:val="003F2C" w:themeColor="text1"/>
        <w:sz w:val="16"/>
        <w:szCs w:val="16"/>
      </w:rPr>
      <w:t>2</w:t>
    </w:r>
    <w:r w:rsidR="001E4A8B">
      <w:rPr>
        <w:color w:val="003F2C" w:themeColor="text1"/>
        <w:sz w:val="16"/>
        <w:szCs w:val="16"/>
      </w:rPr>
      <w:t>2</w:t>
    </w:r>
    <w:r>
      <w:rPr>
        <w:color w:val="003F2C" w:themeColor="text1"/>
        <w:sz w:val="16"/>
        <w:szCs w:val="16"/>
      </w:rPr>
      <w:t xml:space="preserve">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80</w:t>
    </w:r>
    <w:r w:rsidRPr="00BB75D1">
      <w:rPr>
        <w:noProof/>
        <w:color w:val="003F2C" w:themeColor="text1"/>
        <w:sz w:val="16"/>
        <w:szCs w:val="16"/>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4F738" w14:textId="6775CC4D" w:rsidR="00B51E6F" w:rsidRPr="00C14FCE" w:rsidRDefault="00C14FCE" w:rsidP="00C14FC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sidR="001E4A8B">
      <w:rPr>
        <w:noProof/>
        <w:color w:val="003F2C" w:themeColor="text1"/>
        <w:sz w:val="16"/>
        <w:szCs w:val="16"/>
      </w:rPr>
      <w:t>1</w:t>
    </w:r>
    <w:r>
      <w:rPr>
        <w:noProof/>
        <w:color w:val="003F2C" w:themeColor="text1"/>
        <w:sz w:val="16"/>
        <w:szCs w:val="16"/>
      </w:rPr>
      <w:t>–</w:t>
    </w:r>
    <w:r w:rsidRPr="00924469">
      <w:rPr>
        <w:noProof/>
        <w:color w:val="003F2C" w:themeColor="text1"/>
        <w:sz w:val="16"/>
        <w:szCs w:val="16"/>
      </w:rPr>
      <w:t>2</w:t>
    </w:r>
    <w:r w:rsidR="001E4A8B">
      <w:rPr>
        <w:noProof/>
        <w:color w:val="003F2C" w:themeColor="text1"/>
        <w:sz w:val="16"/>
        <w:szCs w:val="16"/>
      </w:rPr>
      <w:t>2</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133B3" w14:textId="2BA542B6" w:rsidR="00581245" w:rsidRPr="00581245" w:rsidRDefault="00581245" w:rsidP="00581245">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w:t>
    </w:r>
    <w:r w:rsidR="001E4A8B">
      <w:rPr>
        <w:color w:val="003F2C" w:themeColor="text1"/>
        <w:sz w:val="16"/>
        <w:szCs w:val="16"/>
      </w:rPr>
      <w:t>1</w:t>
    </w:r>
    <w:r>
      <w:rPr>
        <w:noProof/>
        <w:color w:val="003F2C" w:themeColor="text1"/>
        <w:sz w:val="16"/>
        <w:szCs w:val="16"/>
      </w:rPr>
      <w:t>–</w:t>
    </w:r>
    <w:r>
      <w:rPr>
        <w:color w:val="003F2C" w:themeColor="text1"/>
        <w:sz w:val="16"/>
        <w:szCs w:val="16"/>
      </w:rPr>
      <w:t>2</w:t>
    </w:r>
    <w:r w:rsidR="001E4A8B">
      <w:rPr>
        <w:color w:val="003F2C" w:themeColor="text1"/>
        <w:sz w:val="16"/>
        <w:szCs w:val="16"/>
      </w:rPr>
      <w:t>2</w:t>
    </w:r>
    <w:r>
      <w:rPr>
        <w:color w:val="003F2C" w:themeColor="text1"/>
        <w:sz w:val="16"/>
        <w:szCs w:val="16"/>
      </w:rPr>
      <w:t xml:space="preserve">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79</w:t>
    </w:r>
    <w:r w:rsidRPr="00BB75D1">
      <w:rPr>
        <w:noProof/>
        <w:color w:val="003F2C" w:themeColor="text1"/>
        <w:sz w:val="16"/>
        <w:szCs w:val="16"/>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330B5" w14:textId="401B3114"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sidR="001E4A8B">
      <w:rPr>
        <w:noProof/>
        <w:color w:val="003F2C" w:themeColor="text1"/>
        <w:sz w:val="16"/>
        <w:szCs w:val="16"/>
      </w:rPr>
      <w:t>1</w:t>
    </w:r>
    <w:r>
      <w:rPr>
        <w:noProof/>
        <w:color w:val="003F2C" w:themeColor="text1"/>
        <w:sz w:val="16"/>
        <w:szCs w:val="16"/>
      </w:rPr>
      <w:t>–</w:t>
    </w:r>
    <w:r w:rsidRPr="00924469">
      <w:rPr>
        <w:noProof/>
        <w:color w:val="003F2C" w:themeColor="text1"/>
        <w:sz w:val="16"/>
        <w:szCs w:val="16"/>
      </w:rPr>
      <w:t>2</w:t>
    </w:r>
    <w:r w:rsidR="001E4A8B">
      <w:rPr>
        <w:noProof/>
        <w:color w:val="003F2C" w:themeColor="text1"/>
        <w:sz w:val="16"/>
        <w:szCs w:val="16"/>
      </w:rPr>
      <w:t>2</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F2D84" w14:textId="0022723D" w:rsidR="00C2709B" w:rsidRPr="00C2709B" w:rsidRDefault="00C2709B" w:rsidP="00C2709B">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85</w:t>
    </w:r>
    <w:r w:rsidRPr="00BB75D1">
      <w:rPr>
        <w:noProof/>
        <w:color w:val="003F2C" w:themeColor="text1"/>
        <w:sz w:val="16"/>
        <w:szCs w:val="16"/>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99B2F" w14:textId="77777777" w:rsidR="00C2709B" w:rsidRPr="0080406A" w:rsidRDefault="00C2709B"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102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ED164" w14:textId="39055986" w:rsidR="00C2709B" w:rsidRPr="00C2709B" w:rsidRDefault="00C2709B" w:rsidP="00C2709B">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2021</w:t>
    </w:r>
    <w:r>
      <w:rPr>
        <w:noProof/>
        <w:color w:val="003F2C" w:themeColor="text1"/>
        <w:sz w:val="16"/>
        <w:szCs w:val="16"/>
      </w:rPr>
      <w:t>–</w:t>
    </w:r>
    <w:r>
      <w:rPr>
        <w:color w:val="003F2C" w:themeColor="text1"/>
        <w:sz w:val="16"/>
        <w:szCs w:val="16"/>
      </w:rPr>
      <w:t xml:space="preserve">22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85</w:t>
    </w:r>
    <w:r w:rsidRPr="00BB75D1">
      <w:rPr>
        <w:noProof/>
        <w:color w:val="003F2C" w:themeColor="text1"/>
        <w:sz w:val="16"/>
        <w:szCs w:val="16"/>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4315F" w14:textId="6CDA764F" w:rsidR="00C2709B" w:rsidRPr="004A3B53" w:rsidRDefault="004A3B53" w:rsidP="004A3B53">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w:t>
    </w:r>
    <w:r>
      <w:rPr>
        <w:noProof/>
        <w:color w:val="003F2C" w:themeColor="text1"/>
        <w:sz w:val="16"/>
        <w:szCs w:val="16"/>
      </w:rPr>
      <w:t>1–</w:t>
    </w:r>
    <w:r w:rsidRPr="00924469">
      <w:rPr>
        <w:noProof/>
        <w:color w:val="003F2C" w:themeColor="text1"/>
        <w:sz w:val="16"/>
        <w:szCs w:val="16"/>
      </w:rPr>
      <w:t>2</w:t>
    </w:r>
    <w:r>
      <w:rPr>
        <w:noProof/>
        <w:color w:val="003F2C" w:themeColor="text1"/>
        <w:sz w:val="16"/>
        <w:szCs w:val="16"/>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4658B6" w14:textId="77777777" w:rsidR="0034179F" w:rsidRDefault="0034179F" w:rsidP="00A8306A">
      <w:pPr>
        <w:spacing w:after="0" w:line="240" w:lineRule="auto"/>
      </w:pPr>
      <w:r>
        <w:separator/>
      </w:r>
    </w:p>
  </w:footnote>
  <w:footnote w:type="continuationSeparator" w:id="0">
    <w:p w14:paraId="40AE76DF" w14:textId="77777777" w:rsidR="0034179F" w:rsidRDefault="0034179F" w:rsidP="00DD1A86">
      <w:pPr>
        <w:spacing w:after="0" w:line="240" w:lineRule="auto"/>
      </w:pPr>
      <w:r>
        <w:continuationSeparator/>
      </w:r>
    </w:p>
    <w:p w14:paraId="0013307E" w14:textId="77777777" w:rsidR="0034179F" w:rsidRDefault="0034179F"/>
  </w:footnote>
  <w:footnote w:id="1">
    <w:p w14:paraId="798C969E" w14:textId="1684E2D0" w:rsidR="004C0996" w:rsidRPr="004C0996" w:rsidRDefault="004C0996">
      <w:pPr>
        <w:pStyle w:val="FootnoteText"/>
        <w:rPr>
          <w:lang w:val="en-PH"/>
        </w:rPr>
      </w:pPr>
      <w:r>
        <w:rPr>
          <w:rStyle w:val="FootnoteReference"/>
        </w:rPr>
        <w:footnoteRef/>
      </w:r>
      <w:r>
        <w:t xml:space="preserve"> </w:t>
      </w:r>
      <w:r w:rsidRPr="004C0996">
        <w:rPr>
          <w:rStyle w:val="FootnotesChar"/>
        </w:rPr>
        <w:t>One meeting was informal due to a quorum not being reached. No formal decisions were made at this meeting.</w:t>
      </w:r>
    </w:p>
  </w:footnote>
  <w:footnote w:id="2">
    <w:p w14:paraId="415EE7B8" w14:textId="7B44E9FE" w:rsidR="00033B12" w:rsidRPr="00033B12" w:rsidRDefault="00033B12" w:rsidP="004F147C">
      <w:pPr>
        <w:pStyle w:val="FootnoteText"/>
        <w:ind w:left="142" w:hanging="142"/>
        <w:rPr>
          <w:lang w:val="en-PH"/>
        </w:rPr>
      </w:pPr>
      <w:r>
        <w:rPr>
          <w:rStyle w:val="FootnoteReference"/>
        </w:rPr>
        <w:footnoteRef/>
      </w:r>
      <w:r>
        <w:t xml:space="preserve"> </w:t>
      </w:r>
      <w:r w:rsidRPr="00033B12">
        <w:rPr>
          <w:rStyle w:val="FootnotesChar"/>
        </w:rPr>
        <w:t>The appointment of Mr Shane Solomon ended on 31 January 2022 and Mr David Tune was appointed with effect from 1</w:t>
      </w:r>
      <w:r w:rsidR="00B41235">
        <w:rPr>
          <w:rStyle w:val="FootnotesChar"/>
        </w:rPr>
        <w:t> </w:t>
      </w:r>
      <w:r w:rsidRPr="00033B12">
        <w:rPr>
          <w:rStyle w:val="FootnotesChar"/>
        </w:rPr>
        <w:t>February 2022.</w:t>
      </w:r>
    </w:p>
  </w:footnote>
  <w:footnote w:id="3">
    <w:p w14:paraId="6375DE1D" w14:textId="41604534" w:rsidR="00033B12" w:rsidRPr="00033B12" w:rsidRDefault="00033B12" w:rsidP="00095501">
      <w:pPr>
        <w:pStyle w:val="FootnoteText"/>
        <w:ind w:left="142" w:right="-86" w:hanging="142"/>
        <w:rPr>
          <w:lang w:val="en-PH"/>
        </w:rPr>
      </w:pPr>
      <w:r>
        <w:rPr>
          <w:rStyle w:val="FootnoteReference"/>
        </w:rPr>
        <w:footnoteRef/>
      </w:r>
      <w:r>
        <w:t xml:space="preserve"> </w:t>
      </w:r>
      <w:r w:rsidR="004F147C" w:rsidRPr="00191182">
        <w:rPr>
          <w:color w:val="1C1C1C"/>
          <w:sz w:val="16"/>
          <w:szCs w:val="16"/>
          <w:lang w:val="en-US"/>
        </w:rPr>
        <w:t>A/Prof Bruce Chater and Mr Glenn Appleyard were reappointed from 24 November 2021 to 23 February 2022.</w:t>
      </w:r>
      <w:r w:rsidR="004F147C">
        <w:rPr>
          <w:color w:val="1C1C1C"/>
          <w:sz w:val="16"/>
          <w:szCs w:val="16"/>
          <w:lang w:val="en-US"/>
        </w:rPr>
        <w:t xml:space="preserve"> At other times during the year, </w:t>
      </w:r>
      <w:r w:rsidR="006015C7">
        <w:rPr>
          <w:color w:val="1C1C1C"/>
          <w:sz w:val="16"/>
          <w:szCs w:val="16"/>
          <w:lang w:val="en-US"/>
        </w:rPr>
        <w:t>A/Prof Bruce</w:t>
      </w:r>
      <w:r w:rsidR="004F147C">
        <w:rPr>
          <w:color w:val="1C1C1C"/>
          <w:sz w:val="16"/>
          <w:szCs w:val="16"/>
          <w:lang w:val="en-US"/>
        </w:rPr>
        <w:t xml:space="preserve"> Chater and Mr</w:t>
      </w:r>
      <w:r w:rsidR="006015C7">
        <w:rPr>
          <w:color w:val="1C1C1C"/>
          <w:sz w:val="16"/>
          <w:szCs w:val="16"/>
          <w:lang w:val="en-US"/>
        </w:rPr>
        <w:t xml:space="preserve"> </w:t>
      </w:r>
      <w:r w:rsidR="006015C7" w:rsidRPr="00191182">
        <w:rPr>
          <w:color w:val="1C1C1C"/>
          <w:sz w:val="16"/>
          <w:szCs w:val="16"/>
          <w:lang w:val="en-US"/>
        </w:rPr>
        <w:t>Glenn</w:t>
      </w:r>
      <w:r w:rsidR="004F147C">
        <w:rPr>
          <w:color w:val="1C1C1C"/>
          <w:sz w:val="16"/>
          <w:szCs w:val="16"/>
          <w:lang w:val="en-US"/>
        </w:rPr>
        <w:t xml:space="preserve"> Appleyard attended Pricing Authority meetings as advisors.</w:t>
      </w:r>
    </w:p>
  </w:footnote>
  <w:footnote w:id="4">
    <w:p w14:paraId="6F8AC44E" w14:textId="59FF7D3E" w:rsidR="00191182" w:rsidRPr="00191182" w:rsidRDefault="00191182">
      <w:pPr>
        <w:pStyle w:val="FootnoteText"/>
        <w:rPr>
          <w:lang w:val="en-US"/>
        </w:rPr>
      </w:pPr>
      <w:r>
        <w:rPr>
          <w:rStyle w:val="FootnoteReference"/>
        </w:rPr>
        <w:footnoteRef/>
      </w:r>
      <w:r>
        <w:t xml:space="preserve"> </w:t>
      </w:r>
      <w:r w:rsidRPr="00191182">
        <w:rPr>
          <w:rStyle w:val="FootnotesChar"/>
          <w:lang w:val="en-US"/>
        </w:rPr>
        <w:t>Dr Adam Coltzau was appointed on 9 April 2022 and Mr Appleyard was reappointed on 9 April 2022.</w:t>
      </w:r>
    </w:p>
  </w:footnote>
  <w:footnote w:id="5">
    <w:p w14:paraId="6BE79871" w14:textId="312AFC47" w:rsidR="00061BB7" w:rsidRPr="00061BB7" w:rsidRDefault="00061BB7" w:rsidP="00061BB7">
      <w:pPr>
        <w:pStyle w:val="Footnotes"/>
        <w:rPr>
          <w:lang w:val="en-PH"/>
        </w:rPr>
      </w:pPr>
      <w:r>
        <w:rPr>
          <w:rStyle w:val="FootnoteReference"/>
        </w:rPr>
        <w:footnoteRef/>
      </w:r>
      <w:r>
        <w:t xml:space="preserve"> </w:t>
      </w:r>
      <w:r w:rsidR="003C5F44">
        <w:t xml:space="preserve">Mr </w:t>
      </w:r>
      <w:r w:rsidR="007412CC" w:rsidRPr="00061BB7">
        <w:t>Glenn Appleyard: appointed</w:t>
      </w:r>
      <w:r w:rsidR="00236754">
        <w:t xml:space="preserve"> as Pricing Authority </w:t>
      </w:r>
      <w:r w:rsidR="00D61B93">
        <w:t>m</w:t>
      </w:r>
      <w:r w:rsidR="00236754">
        <w:t>ember</w:t>
      </w:r>
      <w:r w:rsidR="007412CC" w:rsidRPr="00061BB7">
        <w:t xml:space="preserve"> from 24 November 2021 to 23 February 2022 and from 9 April 2022. In addition to the amounts reported in the table above, </w:t>
      </w:r>
      <w:r w:rsidR="003C5F44">
        <w:t xml:space="preserve">Mr </w:t>
      </w:r>
      <w:r w:rsidR="007412CC" w:rsidRPr="00061BB7">
        <w:t>Glenn Appleyard also received $</w:t>
      </w:r>
      <w:r w:rsidR="007412CC">
        <w:t>19,245</w:t>
      </w:r>
      <w:r w:rsidR="007412CC" w:rsidRPr="00061BB7">
        <w:t xml:space="preserve"> for providing</w:t>
      </w:r>
      <w:r w:rsidR="007412CC">
        <w:t xml:space="preserve"> </w:t>
      </w:r>
      <w:r w:rsidR="007412CC" w:rsidRPr="00061BB7">
        <w:t>advice to IHPA during the periods where he was not a Pricing Authority member or key management personnel and $9,232 for Audit</w:t>
      </w:r>
      <w:r w:rsidR="00D61B93">
        <w:t>,</w:t>
      </w:r>
      <w:r w:rsidR="007412CC" w:rsidRPr="00061BB7">
        <w:t xml:space="preserve"> R</w:t>
      </w:r>
      <w:r w:rsidR="00A743BA">
        <w:t>isk</w:t>
      </w:r>
      <w:r w:rsidR="007412CC" w:rsidRPr="00061BB7">
        <w:t xml:space="preserve"> and Compliance Committee sitting fees. These amounts include superannuation.</w:t>
      </w:r>
    </w:p>
  </w:footnote>
  <w:footnote w:id="6">
    <w:p w14:paraId="24643239" w14:textId="7FDD872A" w:rsidR="00061BB7" w:rsidRPr="00061BB7" w:rsidRDefault="00061BB7" w:rsidP="007412CC">
      <w:pPr>
        <w:pStyle w:val="Footnotes"/>
        <w:rPr>
          <w:lang w:val="en-PH"/>
        </w:rPr>
      </w:pPr>
      <w:r>
        <w:rPr>
          <w:rStyle w:val="FootnoteReference"/>
        </w:rPr>
        <w:footnoteRef/>
      </w:r>
      <w:r>
        <w:t xml:space="preserve"> </w:t>
      </w:r>
      <w:r w:rsidR="003C5F44">
        <w:t xml:space="preserve">A/Prof </w:t>
      </w:r>
      <w:r w:rsidR="007412CC" w:rsidRPr="00061BB7">
        <w:t xml:space="preserve">Bruce Chater: appointed </w:t>
      </w:r>
      <w:bookmarkStart w:id="87" w:name="_Hlk114613773"/>
      <w:r w:rsidR="00D61B93">
        <w:t>as Pricing Authority member</w:t>
      </w:r>
      <w:bookmarkEnd w:id="87"/>
      <w:r w:rsidR="00D61B93">
        <w:t xml:space="preserve"> </w:t>
      </w:r>
      <w:r w:rsidR="007412CC" w:rsidRPr="00061BB7">
        <w:t>from 24 Nov</w:t>
      </w:r>
      <w:r w:rsidR="003C5F44">
        <w:t>ember</w:t>
      </w:r>
      <w:r w:rsidR="007412CC" w:rsidRPr="00061BB7">
        <w:t xml:space="preserve"> 2021 to 23 February 2022. In addition to the amounts reported in the table above, </w:t>
      </w:r>
      <w:r w:rsidR="003C5F44">
        <w:t xml:space="preserve">A/Prof </w:t>
      </w:r>
      <w:r w:rsidR="007412CC" w:rsidRPr="00061BB7">
        <w:t>Bruce Chater received $</w:t>
      </w:r>
      <w:r w:rsidR="007412CC">
        <w:t>13,969</w:t>
      </w:r>
      <w:r w:rsidR="007412CC" w:rsidRPr="00061BB7">
        <w:t xml:space="preserve"> for providing advice to IHPA during periods where he was</w:t>
      </w:r>
      <w:r w:rsidR="007412CC">
        <w:t xml:space="preserve"> </w:t>
      </w:r>
      <w:r w:rsidR="007412CC" w:rsidRPr="00061BB7">
        <w:t>not a Pricing Authority member or key management personnel. These amounts include superannuation.</w:t>
      </w:r>
    </w:p>
  </w:footnote>
  <w:footnote w:id="7">
    <w:p w14:paraId="55B1AA4A" w14:textId="14C2E381" w:rsidR="00683471" w:rsidRPr="00683471" w:rsidRDefault="00683471" w:rsidP="00683471">
      <w:pPr>
        <w:pStyle w:val="Footnotes"/>
        <w:rPr>
          <w:lang w:val="en-PH"/>
        </w:rPr>
      </w:pPr>
      <w:r>
        <w:rPr>
          <w:rStyle w:val="FootnoteReference"/>
        </w:rPr>
        <w:footnoteRef/>
      </w:r>
      <w:r>
        <w:t xml:space="preserve"> </w:t>
      </w:r>
      <w:r w:rsidR="003C5F44">
        <w:t xml:space="preserve">Dr </w:t>
      </w:r>
      <w:r w:rsidRPr="00683471">
        <w:t>Adam Coltzau: appointed</w:t>
      </w:r>
      <w:r w:rsidR="00236754">
        <w:t xml:space="preserve"> as Pricing Authority </w:t>
      </w:r>
      <w:r w:rsidR="00D61B93">
        <w:t>m</w:t>
      </w:r>
      <w:r w:rsidR="00236754">
        <w:t>ember</w:t>
      </w:r>
      <w:r w:rsidRPr="00683471">
        <w:t xml:space="preserve"> from 9 April 2022.</w:t>
      </w:r>
    </w:p>
  </w:footnote>
  <w:footnote w:id="8">
    <w:p w14:paraId="5F5F4E1F" w14:textId="1422F338" w:rsidR="00A8306A" w:rsidRPr="00A8306A" w:rsidRDefault="00A8306A" w:rsidP="00A8306A">
      <w:pPr>
        <w:pStyle w:val="Footnotes"/>
        <w:rPr>
          <w:lang w:val="en-PH"/>
        </w:rPr>
      </w:pPr>
      <w:r>
        <w:rPr>
          <w:rStyle w:val="FootnoteReference"/>
        </w:rPr>
        <w:footnoteRef/>
      </w:r>
      <w:r>
        <w:t xml:space="preserve"> </w:t>
      </w:r>
      <w:r w:rsidR="003C5F44">
        <w:t xml:space="preserve">Mr </w:t>
      </w:r>
      <w:r w:rsidRPr="00A8306A">
        <w:t xml:space="preserve">James Downie: resigned </w:t>
      </w:r>
      <w:r w:rsidR="00236754">
        <w:t xml:space="preserve">as Chief Executive Officer </w:t>
      </w:r>
      <w:r w:rsidRPr="00A8306A">
        <w:t>on 2</w:t>
      </w:r>
      <w:r w:rsidR="003C5F44">
        <w:t>2</w:t>
      </w:r>
      <w:r w:rsidRPr="00A8306A">
        <w:t xml:space="preserve"> June 2022.</w:t>
      </w:r>
    </w:p>
  </w:footnote>
  <w:footnote w:id="9">
    <w:p w14:paraId="7E4EA293" w14:textId="4ECF039A" w:rsidR="00A8306A" w:rsidRPr="00A8306A" w:rsidRDefault="00A8306A" w:rsidP="00A8306A">
      <w:pPr>
        <w:pStyle w:val="Footnotes"/>
        <w:rPr>
          <w:lang w:val="en-PH"/>
        </w:rPr>
      </w:pPr>
      <w:r>
        <w:rPr>
          <w:rStyle w:val="FootnoteReference"/>
        </w:rPr>
        <w:footnoteRef/>
      </w:r>
      <w:r>
        <w:t xml:space="preserve"> </w:t>
      </w:r>
      <w:r w:rsidR="003C5F44">
        <w:t xml:space="preserve">Ms </w:t>
      </w:r>
      <w:r w:rsidRPr="00A8306A">
        <w:t xml:space="preserve">Joanne Fitzgerald: appointed as </w:t>
      </w:r>
      <w:r w:rsidR="00297337">
        <w:t>A</w:t>
      </w:r>
      <w:r w:rsidRPr="00A8306A">
        <w:t>cting C</w:t>
      </w:r>
      <w:r w:rsidR="00297337">
        <w:t xml:space="preserve">hief </w:t>
      </w:r>
      <w:r w:rsidRPr="00A8306A">
        <w:t>E</w:t>
      </w:r>
      <w:r w:rsidR="00297337">
        <w:t xml:space="preserve">xecutive </w:t>
      </w:r>
      <w:r w:rsidRPr="00A8306A">
        <w:t>O</w:t>
      </w:r>
      <w:r w:rsidR="00297337">
        <w:t>fficer</w:t>
      </w:r>
      <w:r w:rsidRPr="00A8306A">
        <w:t xml:space="preserve"> from 23 June 2022.</w:t>
      </w:r>
    </w:p>
  </w:footnote>
  <w:footnote w:id="10">
    <w:p w14:paraId="5EDE1758" w14:textId="591CEDD5" w:rsidR="00A8306A" w:rsidRPr="00A8306A" w:rsidRDefault="00A8306A" w:rsidP="00A8306A">
      <w:pPr>
        <w:pStyle w:val="Footnotes"/>
        <w:rPr>
          <w:lang w:val="en-PH"/>
        </w:rPr>
      </w:pPr>
      <w:r>
        <w:rPr>
          <w:rStyle w:val="FootnoteReference"/>
        </w:rPr>
        <w:footnoteRef/>
      </w:r>
      <w:r w:rsidR="003C5F44">
        <w:t xml:space="preserve"> M</w:t>
      </w:r>
      <w:r w:rsidR="008047B0">
        <w:t>r</w:t>
      </w:r>
      <w:r w:rsidR="003C5F44">
        <w:t xml:space="preserve"> </w:t>
      </w:r>
      <w:r w:rsidRPr="00A8306A">
        <w:t>Shane Solomon: appointment</w:t>
      </w:r>
      <w:r w:rsidR="00297337">
        <w:t xml:space="preserve"> as Pricing Authority Chair</w:t>
      </w:r>
      <w:r w:rsidRPr="00A8306A">
        <w:t xml:space="preserve"> expired on 31 January 2022.</w:t>
      </w:r>
    </w:p>
  </w:footnote>
  <w:footnote w:id="11">
    <w:p w14:paraId="35768223" w14:textId="6BB96158" w:rsidR="00A8306A" w:rsidRPr="00A8306A" w:rsidRDefault="00A8306A" w:rsidP="00A8306A">
      <w:pPr>
        <w:pStyle w:val="Footnotes"/>
        <w:rPr>
          <w:lang w:val="en-PH"/>
        </w:rPr>
      </w:pPr>
      <w:r>
        <w:rPr>
          <w:rStyle w:val="FootnoteReference"/>
        </w:rPr>
        <w:footnoteRef/>
      </w:r>
      <w:r>
        <w:t xml:space="preserve"> </w:t>
      </w:r>
      <w:r w:rsidR="003C5F44">
        <w:t xml:space="preserve">Mr </w:t>
      </w:r>
      <w:r w:rsidRPr="00A8306A">
        <w:t>David Tune</w:t>
      </w:r>
      <w:r w:rsidR="003C5F44">
        <w:t xml:space="preserve"> AO PSM</w:t>
      </w:r>
      <w:r w:rsidRPr="00A8306A">
        <w:t xml:space="preserve">: appointed as </w:t>
      </w:r>
      <w:r w:rsidR="00297337">
        <w:t xml:space="preserve">Pricing Authority </w:t>
      </w:r>
      <w:r w:rsidRPr="00A8306A">
        <w:t>Chair from 1 February 2022</w:t>
      </w:r>
      <w:r>
        <w:t>.</w:t>
      </w:r>
    </w:p>
  </w:footnote>
  <w:footnote w:id="12">
    <w:p w14:paraId="754E9B45" w14:textId="601C13CC" w:rsidR="00D341C8" w:rsidRPr="00D341C8" w:rsidRDefault="00D341C8">
      <w:pPr>
        <w:pStyle w:val="FootnoteText"/>
        <w:rPr>
          <w:lang w:val="en-US"/>
        </w:rPr>
      </w:pPr>
      <w:r>
        <w:rPr>
          <w:rStyle w:val="FootnoteReference"/>
        </w:rPr>
        <w:footnoteRef/>
      </w:r>
      <w:r>
        <w:t xml:space="preserve"> </w:t>
      </w:r>
      <w:r w:rsidRPr="00833BDD">
        <w:rPr>
          <w:rStyle w:val="FootnotesChar"/>
        </w:rPr>
        <w:t>IHPA notes that the Council of Australian Governments has been dissolved and the Health Ministers’ Meetings has been established to consider matters previously brought to the Council of Austra</w:t>
      </w:r>
      <w:r>
        <w:rPr>
          <w:rStyle w:val="FootnotesChar"/>
        </w:rPr>
        <w:t>lian Governments Health Council.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09524" w14:textId="20733D70" w:rsidR="00B51E6F" w:rsidRDefault="00B51E6F" w:rsidP="00770BB9">
    <w:pPr>
      <w:pStyle w:val="Heade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C035B" w14:textId="77777777" w:rsidR="00B51E6F" w:rsidRDefault="00B51E6F"/>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D53EF" w14:textId="197FBBB3" w:rsidR="00B51E6F" w:rsidRDefault="00B51E6F" w:rsidP="00A40DDC">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2A5D1" w14:textId="77777777" w:rsidR="00D222F6" w:rsidRDefault="00D222F6" w:rsidP="00770BB9">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A61FA" w14:textId="11A72C35" w:rsidR="00B51E6F" w:rsidRDefault="00B51E6F" w:rsidP="00770BB9">
    <w:pPr>
      <w:pStyle w:val="Heade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09F82" w14:textId="03B0A589" w:rsidR="00B51E6F" w:rsidRDefault="00B51E6F" w:rsidP="00770BB9">
    <w:pPr>
      <w:pStyle w:val="Heade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E33F1" w14:textId="660A3EDD" w:rsidR="00B51E6F" w:rsidRDefault="00B51E6F" w:rsidP="00A40DDC">
    <w:pPr>
      <w:pStyle w:val="Heade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1CA31" w14:textId="3D8945B6" w:rsidR="00B51E6F" w:rsidRDefault="00B51E6F" w:rsidP="00A40DDC">
    <w:pPr>
      <w:pStyle w:val="Heade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0C1A1" w14:textId="31886BE0" w:rsidR="00B51E6F" w:rsidRDefault="00B51E6F" w:rsidP="00A40DDC">
    <w:pPr>
      <w:pStyle w:val="Heade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FEC19" w14:textId="7D1053E5" w:rsidR="00B51E6F" w:rsidRDefault="00B51E6F" w:rsidP="00A40DDC">
    <w:pPr>
      <w:pStyle w:val="Heade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87650" w14:textId="77777777" w:rsidR="00B51E6F" w:rsidRDefault="00B51E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C6013B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292FC5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6DC08E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624DA2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0F249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50229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A7C427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7F886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388C8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B8A03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9872E20"/>
    <w:multiLevelType w:val="hybridMultilevel"/>
    <w:tmpl w:val="D90A0246"/>
    <w:lvl w:ilvl="0" w:tplc="101E8A4A">
      <w:start w:val="4"/>
      <w:numFmt w:val="bullet"/>
      <w:lvlText w:val="-"/>
      <w:lvlJc w:val="left"/>
      <w:pPr>
        <w:ind w:left="720" w:hanging="360"/>
      </w:pPr>
      <w:rPr>
        <w:rFonts w:ascii="Futura PT Book" w:eastAsiaTheme="minorHAnsi" w:hAnsi="Futura PT Book"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A2A260E"/>
    <w:multiLevelType w:val="hybridMultilevel"/>
    <w:tmpl w:val="1F322948"/>
    <w:lvl w:ilvl="0" w:tplc="2E526B7E">
      <w:start w:val="1"/>
      <w:numFmt w:val="bullet"/>
      <w:lvlText w:val="-"/>
      <w:lvlJc w:val="left"/>
      <w:pPr>
        <w:ind w:left="720" w:hanging="360"/>
      </w:pPr>
      <w:rPr>
        <w:rFonts w:ascii="Futura PT Book" w:eastAsiaTheme="minorHAnsi" w:hAnsi="Futura PT Book"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07464D4"/>
    <w:multiLevelType w:val="hybridMultilevel"/>
    <w:tmpl w:val="8B745A2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155C1CC8"/>
    <w:multiLevelType w:val="hybridMultilevel"/>
    <w:tmpl w:val="8B745A2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18A479C3"/>
    <w:multiLevelType w:val="hybridMultilevel"/>
    <w:tmpl w:val="00507DF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1F1B06F4"/>
    <w:multiLevelType w:val="hybridMultilevel"/>
    <w:tmpl w:val="172C6B4E"/>
    <w:lvl w:ilvl="0" w:tplc="0B86933E">
      <w:start w:val="1"/>
      <w:numFmt w:val="decimal"/>
      <w:pStyle w:val="NumberListNoIndent"/>
      <w:lvlText w:val="%1."/>
      <w:lvlJc w:val="left"/>
      <w:pPr>
        <w:ind w:left="360" w:hanging="360"/>
      </w:pPr>
      <w:rPr>
        <w:rFonts w:hint="default"/>
        <w:u w:color="7EC352" w:themeColor="accent2"/>
      </w:rPr>
    </w:lvl>
    <w:lvl w:ilvl="1" w:tplc="3D84644E">
      <w:numFmt w:val="bullet"/>
      <w:lvlText w:val=""/>
      <w:lvlJc w:val="left"/>
      <w:pPr>
        <w:ind w:left="1687" w:hanging="720"/>
      </w:pPr>
      <w:rPr>
        <w:rFonts w:ascii="Symbol" w:eastAsiaTheme="minorHAnsi" w:hAnsi="Symbol" w:cstheme="minorBidi" w:hint="default"/>
      </w:rPr>
    </w:lvl>
    <w:lvl w:ilvl="2" w:tplc="34090005" w:tentative="1">
      <w:start w:val="1"/>
      <w:numFmt w:val="bullet"/>
      <w:lvlText w:val=""/>
      <w:lvlJc w:val="left"/>
      <w:pPr>
        <w:ind w:left="2047" w:hanging="360"/>
      </w:pPr>
      <w:rPr>
        <w:rFonts w:ascii="Wingdings" w:hAnsi="Wingdings" w:hint="default"/>
      </w:rPr>
    </w:lvl>
    <w:lvl w:ilvl="3" w:tplc="34090001" w:tentative="1">
      <w:start w:val="1"/>
      <w:numFmt w:val="bullet"/>
      <w:lvlText w:val=""/>
      <w:lvlJc w:val="left"/>
      <w:pPr>
        <w:ind w:left="2767" w:hanging="360"/>
      </w:pPr>
      <w:rPr>
        <w:rFonts w:ascii="Symbol" w:hAnsi="Symbol" w:hint="default"/>
      </w:rPr>
    </w:lvl>
    <w:lvl w:ilvl="4" w:tplc="34090003" w:tentative="1">
      <w:start w:val="1"/>
      <w:numFmt w:val="bullet"/>
      <w:lvlText w:val="o"/>
      <w:lvlJc w:val="left"/>
      <w:pPr>
        <w:ind w:left="3487" w:hanging="360"/>
      </w:pPr>
      <w:rPr>
        <w:rFonts w:ascii="Courier New" w:hAnsi="Courier New" w:cs="Courier New" w:hint="default"/>
      </w:rPr>
    </w:lvl>
    <w:lvl w:ilvl="5" w:tplc="34090005" w:tentative="1">
      <w:start w:val="1"/>
      <w:numFmt w:val="bullet"/>
      <w:lvlText w:val=""/>
      <w:lvlJc w:val="left"/>
      <w:pPr>
        <w:ind w:left="4207" w:hanging="360"/>
      </w:pPr>
      <w:rPr>
        <w:rFonts w:ascii="Wingdings" w:hAnsi="Wingdings" w:hint="default"/>
      </w:rPr>
    </w:lvl>
    <w:lvl w:ilvl="6" w:tplc="34090001" w:tentative="1">
      <w:start w:val="1"/>
      <w:numFmt w:val="bullet"/>
      <w:lvlText w:val=""/>
      <w:lvlJc w:val="left"/>
      <w:pPr>
        <w:ind w:left="4927" w:hanging="360"/>
      </w:pPr>
      <w:rPr>
        <w:rFonts w:ascii="Symbol" w:hAnsi="Symbol" w:hint="default"/>
      </w:rPr>
    </w:lvl>
    <w:lvl w:ilvl="7" w:tplc="34090003" w:tentative="1">
      <w:start w:val="1"/>
      <w:numFmt w:val="bullet"/>
      <w:lvlText w:val="o"/>
      <w:lvlJc w:val="left"/>
      <w:pPr>
        <w:ind w:left="5647" w:hanging="360"/>
      </w:pPr>
      <w:rPr>
        <w:rFonts w:ascii="Courier New" w:hAnsi="Courier New" w:cs="Courier New" w:hint="default"/>
      </w:rPr>
    </w:lvl>
    <w:lvl w:ilvl="8" w:tplc="34090005" w:tentative="1">
      <w:start w:val="1"/>
      <w:numFmt w:val="bullet"/>
      <w:lvlText w:val=""/>
      <w:lvlJc w:val="left"/>
      <w:pPr>
        <w:ind w:left="6367" w:hanging="360"/>
      </w:pPr>
      <w:rPr>
        <w:rFonts w:ascii="Wingdings" w:hAnsi="Wingdings" w:hint="default"/>
      </w:rPr>
    </w:lvl>
  </w:abstractNum>
  <w:abstractNum w:abstractNumId="16" w15:restartNumberingAfterBreak="0">
    <w:nsid w:val="290E48AC"/>
    <w:multiLevelType w:val="hybridMultilevel"/>
    <w:tmpl w:val="00507DF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37C00A40"/>
    <w:multiLevelType w:val="hybridMultilevel"/>
    <w:tmpl w:val="EEEC8DBE"/>
    <w:lvl w:ilvl="0" w:tplc="11DA51C8">
      <w:start w:val="3"/>
      <w:numFmt w:val="bullet"/>
      <w:lvlText w:val="-"/>
      <w:lvlJc w:val="left"/>
      <w:pPr>
        <w:ind w:left="720" w:hanging="360"/>
      </w:pPr>
      <w:rPr>
        <w:rFonts w:ascii="Futura PT Book" w:eastAsiaTheme="minorHAnsi" w:hAnsi="Futura PT Book"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DAB131B"/>
    <w:multiLevelType w:val="multilevel"/>
    <w:tmpl w:val="79CCEFCC"/>
    <w:lvl w:ilvl="0">
      <w:start w:val="1"/>
      <w:numFmt w:val="decimal"/>
      <w:lvlText w:val="%1."/>
      <w:lvlJc w:val="left"/>
      <w:pPr>
        <w:ind w:left="1080" w:hanging="720"/>
      </w:pPr>
      <w:rPr>
        <w:rFonts w:hint="default"/>
      </w:rPr>
    </w:lvl>
    <w:lvl w:ilvl="1">
      <w:start w:val="1"/>
      <w:numFmt w:val="decimal"/>
      <w:isLgl/>
      <w:lvlText w:val="%1.%2"/>
      <w:lvlJc w:val="left"/>
      <w:pPr>
        <w:ind w:left="1360" w:hanging="1000"/>
      </w:pPr>
      <w:rPr>
        <w:rFonts w:hint="default"/>
      </w:rPr>
    </w:lvl>
    <w:lvl w:ilvl="2">
      <w:start w:val="1"/>
      <w:numFmt w:val="decimal"/>
      <w:isLgl/>
      <w:lvlText w:val="%1.%2.%3"/>
      <w:lvlJc w:val="left"/>
      <w:pPr>
        <w:ind w:left="1360" w:hanging="100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3E307475"/>
    <w:multiLevelType w:val="hybridMultilevel"/>
    <w:tmpl w:val="5B6C948A"/>
    <w:lvl w:ilvl="0" w:tplc="0B8EC5A0">
      <w:start w:val="1"/>
      <w:numFmt w:val="decimal"/>
      <w:pStyle w:val="TOCHead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20" w15:restartNumberingAfterBreak="0">
    <w:nsid w:val="52901F11"/>
    <w:multiLevelType w:val="hybridMultilevel"/>
    <w:tmpl w:val="9E627CA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5AE00E06"/>
    <w:multiLevelType w:val="hybridMultilevel"/>
    <w:tmpl w:val="2446E4B8"/>
    <w:lvl w:ilvl="0" w:tplc="E82EE748">
      <w:start w:val="1"/>
      <w:numFmt w:val="lowerLetter"/>
      <w:pStyle w:val="AlphabetListL2"/>
      <w:lvlText w:val="%1."/>
      <w:lvlJc w:val="left"/>
      <w:pPr>
        <w:ind w:left="720" w:hanging="360"/>
      </w:pPr>
      <w:rPr>
        <w:rFonts w:hint="default"/>
        <w:u w:color="7EC352" w:themeColor="accent2"/>
      </w:rPr>
    </w:lvl>
    <w:lvl w:ilvl="1" w:tplc="3D84644E">
      <w:numFmt w:val="bullet"/>
      <w:lvlText w:val=""/>
      <w:lvlJc w:val="left"/>
      <w:pPr>
        <w:ind w:left="2047" w:hanging="720"/>
      </w:pPr>
      <w:rPr>
        <w:rFonts w:ascii="Symbol" w:eastAsiaTheme="minorHAnsi" w:hAnsi="Symbol" w:cstheme="minorBidi" w:hint="default"/>
      </w:rPr>
    </w:lvl>
    <w:lvl w:ilvl="2" w:tplc="34090005" w:tentative="1">
      <w:start w:val="1"/>
      <w:numFmt w:val="bullet"/>
      <w:lvlText w:val=""/>
      <w:lvlJc w:val="left"/>
      <w:pPr>
        <w:ind w:left="2407" w:hanging="360"/>
      </w:pPr>
      <w:rPr>
        <w:rFonts w:ascii="Wingdings" w:hAnsi="Wingdings" w:hint="default"/>
      </w:rPr>
    </w:lvl>
    <w:lvl w:ilvl="3" w:tplc="34090001" w:tentative="1">
      <w:start w:val="1"/>
      <w:numFmt w:val="bullet"/>
      <w:lvlText w:val=""/>
      <w:lvlJc w:val="left"/>
      <w:pPr>
        <w:ind w:left="3127" w:hanging="360"/>
      </w:pPr>
      <w:rPr>
        <w:rFonts w:ascii="Symbol" w:hAnsi="Symbol" w:hint="default"/>
      </w:rPr>
    </w:lvl>
    <w:lvl w:ilvl="4" w:tplc="34090003" w:tentative="1">
      <w:start w:val="1"/>
      <w:numFmt w:val="bullet"/>
      <w:lvlText w:val="o"/>
      <w:lvlJc w:val="left"/>
      <w:pPr>
        <w:ind w:left="3847" w:hanging="360"/>
      </w:pPr>
      <w:rPr>
        <w:rFonts w:ascii="Courier New" w:hAnsi="Courier New" w:cs="Courier New" w:hint="default"/>
      </w:rPr>
    </w:lvl>
    <w:lvl w:ilvl="5" w:tplc="34090005" w:tentative="1">
      <w:start w:val="1"/>
      <w:numFmt w:val="bullet"/>
      <w:lvlText w:val=""/>
      <w:lvlJc w:val="left"/>
      <w:pPr>
        <w:ind w:left="4567" w:hanging="360"/>
      </w:pPr>
      <w:rPr>
        <w:rFonts w:ascii="Wingdings" w:hAnsi="Wingdings" w:hint="default"/>
      </w:rPr>
    </w:lvl>
    <w:lvl w:ilvl="6" w:tplc="34090001" w:tentative="1">
      <w:start w:val="1"/>
      <w:numFmt w:val="bullet"/>
      <w:lvlText w:val=""/>
      <w:lvlJc w:val="left"/>
      <w:pPr>
        <w:ind w:left="5287" w:hanging="360"/>
      </w:pPr>
      <w:rPr>
        <w:rFonts w:ascii="Symbol" w:hAnsi="Symbol" w:hint="default"/>
      </w:rPr>
    </w:lvl>
    <w:lvl w:ilvl="7" w:tplc="34090003" w:tentative="1">
      <w:start w:val="1"/>
      <w:numFmt w:val="bullet"/>
      <w:lvlText w:val="o"/>
      <w:lvlJc w:val="left"/>
      <w:pPr>
        <w:ind w:left="6007" w:hanging="360"/>
      </w:pPr>
      <w:rPr>
        <w:rFonts w:ascii="Courier New" w:hAnsi="Courier New" w:cs="Courier New" w:hint="default"/>
      </w:rPr>
    </w:lvl>
    <w:lvl w:ilvl="8" w:tplc="34090005" w:tentative="1">
      <w:start w:val="1"/>
      <w:numFmt w:val="bullet"/>
      <w:lvlText w:val=""/>
      <w:lvlJc w:val="left"/>
      <w:pPr>
        <w:ind w:left="6727" w:hanging="360"/>
      </w:pPr>
      <w:rPr>
        <w:rFonts w:ascii="Wingdings" w:hAnsi="Wingdings" w:hint="default"/>
      </w:rPr>
    </w:lvl>
  </w:abstractNum>
  <w:abstractNum w:abstractNumId="22" w15:restartNumberingAfterBreak="0">
    <w:nsid w:val="60B12A6F"/>
    <w:multiLevelType w:val="hybridMultilevel"/>
    <w:tmpl w:val="36247864"/>
    <w:lvl w:ilvl="0" w:tplc="1FD80DB2">
      <w:start w:val="1"/>
      <w:numFmt w:val="decimal"/>
      <w:pStyle w:val="ListNumberedlvl1"/>
      <w:lvlText w:val="%1."/>
      <w:lvlJc w:val="left"/>
      <w:pPr>
        <w:ind w:left="720" w:hanging="360"/>
      </w:pPr>
      <w:rPr>
        <w:rFonts w:hint="default"/>
        <w:b w:val="0"/>
      </w:rPr>
    </w:lvl>
    <w:lvl w:ilvl="1" w:tplc="3A2880FA">
      <w:start w:val="1"/>
      <w:numFmt w:val="lowerLetter"/>
      <w:lvlText w:val="%2."/>
      <w:lvlJc w:val="left"/>
      <w:pPr>
        <w:ind w:left="1440" w:hanging="360"/>
      </w:pPr>
    </w:lvl>
    <w:lvl w:ilvl="2" w:tplc="37844A7E">
      <w:start w:val="1"/>
      <w:numFmt w:val="lowerRoman"/>
      <w:lvlText w:val="%3."/>
      <w:lvlJc w:val="right"/>
      <w:pPr>
        <w:ind w:left="2160" w:hanging="180"/>
      </w:pPr>
    </w:lvl>
    <w:lvl w:ilvl="3" w:tplc="87264702">
      <w:start w:val="1"/>
      <w:numFmt w:val="decimal"/>
      <w:lvlText w:val="%4."/>
      <w:lvlJc w:val="left"/>
      <w:pPr>
        <w:ind w:left="2880" w:hanging="360"/>
      </w:pPr>
    </w:lvl>
    <w:lvl w:ilvl="4" w:tplc="C7DE4C48">
      <w:start w:val="1"/>
      <w:numFmt w:val="lowerLetter"/>
      <w:lvlText w:val="%5."/>
      <w:lvlJc w:val="left"/>
      <w:pPr>
        <w:ind w:left="3600" w:hanging="360"/>
      </w:pPr>
    </w:lvl>
    <w:lvl w:ilvl="5" w:tplc="571AF820">
      <w:start w:val="1"/>
      <w:numFmt w:val="lowerRoman"/>
      <w:lvlText w:val="%6."/>
      <w:lvlJc w:val="right"/>
      <w:pPr>
        <w:ind w:left="4320" w:hanging="180"/>
      </w:pPr>
    </w:lvl>
    <w:lvl w:ilvl="6" w:tplc="E7568C1E">
      <w:start w:val="1"/>
      <w:numFmt w:val="decimal"/>
      <w:lvlText w:val="%7."/>
      <w:lvlJc w:val="left"/>
      <w:pPr>
        <w:ind w:left="5040" w:hanging="360"/>
      </w:pPr>
    </w:lvl>
    <w:lvl w:ilvl="7" w:tplc="CF44FDAA">
      <w:start w:val="1"/>
      <w:numFmt w:val="lowerLetter"/>
      <w:lvlText w:val="%8."/>
      <w:lvlJc w:val="left"/>
      <w:pPr>
        <w:ind w:left="5760" w:hanging="360"/>
      </w:pPr>
    </w:lvl>
    <w:lvl w:ilvl="8" w:tplc="B8BA5F62">
      <w:start w:val="1"/>
      <w:numFmt w:val="lowerRoman"/>
      <w:lvlText w:val="%9."/>
      <w:lvlJc w:val="right"/>
      <w:pPr>
        <w:ind w:left="6480" w:hanging="180"/>
      </w:pPr>
    </w:lvl>
  </w:abstractNum>
  <w:abstractNum w:abstractNumId="23" w15:restartNumberingAfterBreak="0">
    <w:nsid w:val="64B968D3"/>
    <w:multiLevelType w:val="hybridMultilevel"/>
    <w:tmpl w:val="E222EA36"/>
    <w:lvl w:ilvl="0" w:tplc="43A46270">
      <w:start w:val="1"/>
      <w:numFmt w:val="bullet"/>
      <w:lvlText w:val="-"/>
      <w:lvlJc w:val="left"/>
      <w:pPr>
        <w:ind w:left="720" w:hanging="360"/>
      </w:pPr>
      <w:rPr>
        <w:rFonts w:ascii="Futura PT Book" w:eastAsiaTheme="minorHAnsi" w:hAnsi="Futura PT Book"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8E615B0"/>
    <w:multiLevelType w:val="hybridMultilevel"/>
    <w:tmpl w:val="9EB61954"/>
    <w:lvl w:ilvl="0" w:tplc="E2AEF0BE">
      <w:start w:val="1"/>
      <w:numFmt w:val="bullet"/>
      <w:pStyle w:val="Bullets"/>
      <w:lvlText w:val="–"/>
      <w:lvlJc w:val="left"/>
      <w:pPr>
        <w:ind w:left="473" w:hanging="360"/>
      </w:pPr>
      <w:rPr>
        <w:rFonts w:ascii="Gotham Book" w:hAnsi="Gotham Book" w:hint="default"/>
        <w:u w:color="7EC352" w:themeColor="accent2"/>
      </w:rPr>
    </w:lvl>
    <w:lvl w:ilvl="1" w:tplc="F050C200">
      <w:numFmt w:val="bullet"/>
      <w:pStyle w:val="BulletsL2"/>
      <w:lvlText w:val=""/>
      <w:lvlJc w:val="left"/>
      <w:pPr>
        <w:ind w:left="1800" w:hanging="720"/>
      </w:pPr>
      <w:rPr>
        <w:rFonts w:ascii="Symbol" w:eastAsiaTheme="minorHAnsi" w:hAnsi="Symbol" w:cstheme="minorBidi"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5" w15:restartNumberingAfterBreak="0">
    <w:nsid w:val="721275C3"/>
    <w:multiLevelType w:val="hybridMultilevel"/>
    <w:tmpl w:val="00507DF8"/>
    <w:lvl w:ilvl="0" w:tplc="3409000F">
      <w:start w:val="1"/>
      <w:numFmt w:val="decimal"/>
      <w:lvlText w:val="%1."/>
      <w:lvlJc w:val="left"/>
      <w:pPr>
        <w:ind w:left="360" w:hanging="360"/>
      </w:p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num w:numId="1" w16cid:durableId="864631474">
    <w:abstractNumId w:val="24"/>
  </w:num>
  <w:num w:numId="2" w16cid:durableId="3899335">
    <w:abstractNumId w:val="9"/>
  </w:num>
  <w:num w:numId="3" w16cid:durableId="557520017">
    <w:abstractNumId w:val="7"/>
  </w:num>
  <w:num w:numId="4" w16cid:durableId="397825010">
    <w:abstractNumId w:val="6"/>
  </w:num>
  <w:num w:numId="5" w16cid:durableId="1501391878">
    <w:abstractNumId w:val="5"/>
  </w:num>
  <w:num w:numId="6" w16cid:durableId="1799177468">
    <w:abstractNumId w:val="4"/>
  </w:num>
  <w:num w:numId="7" w16cid:durableId="418259072">
    <w:abstractNumId w:val="8"/>
  </w:num>
  <w:num w:numId="8" w16cid:durableId="1795440948">
    <w:abstractNumId w:val="3"/>
  </w:num>
  <w:num w:numId="9" w16cid:durableId="1383868437">
    <w:abstractNumId w:val="2"/>
  </w:num>
  <w:num w:numId="10" w16cid:durableId="1223835172">
    <w:abstractNumId w:val="1"/>
  </w:num>
  <w:num w:numId="11" w16cid:durableId="663321953">
    <w:abstractNumId w:val="0"/>
  </w:num>
  <w:num w:numId="12" w16cid:durableId="257522925">
    <w:abstractNumId w:val="22"/>
  </w:num>
  <w:num w:numId="13" w16cid:durableId="368259453">
    <w:abstractNumId w:val="21"/>
  </w:num>
  <w:num w:numId="14" w16cid:durableId="532497785">
    <w:abstractNumId w:val="21"/>
    <w:lvlOverride w:ilvl="0">
      <w:startOverride w:val="1"/>
    </w:lvlOverride>
  </w:num>
  <w:num w:numId="15" w16cid:durableId="971331500">
    <w:abstractNumId w:val="19"/>
  </w:num>
  <w:num w:numId="16" w16cid:durableId="824393561">
    <w:abstractNumId w:val="15"/>
  </w:num>
  <w:num w:numId="17" w16cid:durableId="1759984976">
    <w:abstractNumId w:val="25"/>
  </w:num>
  <w:num w:numId="18" w16cid:durableId="2001956788">
    <w:abstractNumId w:val="16"/>
  </w:num>
  <w:num w:numId="19" w16cid:durableId="1101298211">
    <w:abstractNumId w:val="14"/>
  </w:num>
  <w:num w:numId="20" w16cid:durableId="1988167973">
    <w:abstractNumId w:val="12"/>
  </w:num>
  <w:num w:numId="21" w16cid:durableId="524441172">
    <w:abstractNumId w:val="20"/>
  </w:num>
  <w:num w:numId="22" w16cid:durableId="737365644">
    <w:abstractNumId w:val="21"/>
    <w:lvlOverride w:ilvl="0">
      <w:startOverride w:val="1"/>
    </w:lvlOverride>
  </w:num>
  <w:num w:numId="23" w16cid:durableId="870529772">
    <w:abstractNumId w:val="18"/>
  </w:num>
  <w:num w:numId="24" w16cid:durableId="27026003">
    <w:abstractNumId w:val="13"/>
  </w:num>
  <w:num w:numId="25" w16cid:durableId="1294871833">
    <w:abstractNumId w:val="21"/>
    <w:lvlOverride w:ilvl="0">
      <w:startOverride w:val="1"/>
    </w:lvlOverride>
  </w:num>
  <w:num w:numId="26" w16cid:durableId="308169094">
    <w:abstractNumId w:val="21"/>
    <w:lvlOverride w:ilvl="0">
      <w:startOverride w:val="1"/>
    </w:lvlOverride>
  </w:num>
  <w:num w:numId="27" w16cid:durableId="795828799">
    <w:abstractNumId w:val="17"/>
  </w:num>
  <w:num w:numId="28" w16cid:durableId="1492866784">
    <w:abstractNumId w:val="10"/>
  </w:num>
  <w:num w:numId="29" w16cid:durableId="622998222">
    <w:abstractNumId w:val="23"/>
  </w:num>
  <w:num w:numId="30" w16cid:durableId="1071200156">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saveSubset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5B0"/>
    <w:rsid w:val="00000345"/>
    <w:rsid w:val="000014B5"/>
    <w:rsid w:val="000015B1"/>
    <w:rsid w:val="0000226A"/>
    <w:rsid w:val="0000279E"/>
    <w:rsid w:val="0000287B"/>
    <w:rsid w:val="00005752"/>
    <w:rsid w:val="0000608A"/>
    <w:rsid w:val="0000796F"/>
    <w:rsid w:val="00010118"/>
    <w:rsid w:val="00010AB3"/>
    <w:rsid w:val="00010FC6"/>
    <w:rsid w:val="00011005"/>
    <w:rsid w:val="00011391"/>
    <w:rsid w:val="000123CC"/>
    <w:rsid w:val="00015447"/>
    <w:rsid w:val="0001605B"/>
    <w:rsid w:val="000166DD"/>
    <w:rsid w:val="00016B9B"/>
    <w:rsid w:val="0001715E"/>
    <w:rsid w:val="00017C02"/>
    <w:rsid w:val="00020F2E"/>
    <w:rsid w:val="00021442"/>
    <w:rsid w:val="00022E20"/>
    <w:rsid w:val="00025989"/>
    <w:rsid w:val="0002647C"/>
    <w:rsid w:val="00026F5D"/>
    <w:rsid w:val="00027408"/>
    <w:rsid w:val="00027B3F"/>
    <w:rsid w:val="000325D1"/>
    <w:rsid w:val="00032E5D"/>
    <w:rsid w:val="000330A2"/>
    <w:rsid w:val="000334B0"/>
    <w:rsid w:val="00033B12"/>
    <w:rsid w:val="0003473C"/>
    <w:rsid w:val="00035C42"/>
    <w:rsid w:val="000379C1"/>
    <w:rsid w:val="00040249"/>
    <w:rsid w:val="0004038E"/>
    <w:rsid w:val="0004289A"/>
    <w:rsid w:val="000431F3"/>
    <w:rsid w:val="00043978"/>
    <w:rsid w:val="00043E70"/>
    <w:rsid w:val="00044901"/>
    <w:rsid w:val="00044BF3"/>
    <w:rsid w:val="00044D09"/>
    <w:rsid w:val="000452E9"/>
    <w:rsid w:val="00045462"/>
    <w:rsid w:val="000468E1"/>
    <w:rsid w:val="00046B54"/>
    <w:rsid w:val="00046C41"/>
    <w:rsid w:val="000506AA"/>
    <w:rsid w:val="00050FAD"/>
    <w:rsid w:val="00052105"/>
    <w:rsid w:val="00054602"/>
    <w:rsid w:val="00060F44"/>
    <w:rsid w:val="000613FD"/>
    <w:rsid w:val="00061788"/>
    <w:rsid w:val="00061BB7"/>
    <w:rsid w:val="000621C4"/>
    <w:rsid w:val="000622C7"/>
    <w:rsid w:val="000635CD"/>
    <w:rsid w:val="00064783"/>
    <w:rsid w:val="000655A6"/>
    <w:rsid w:val="000655CF"/>
    <w:rsid w:val="00065765"/>
    <w:rsid w:val="0006615F"/>
    <w:rsid w:val="0006618A"/>
    <w:rsid w:val="00067654"/>
    <w:rsid w:val="00070A56"/>
    <w:rsid w:val="000725B0"/>
    <w:rsid w:val="000739E9"/>
    <w:rsid w:val="00073D28"/>
    <w:rsid w:val="00073FDF"/>
    <w:rsid w:val="00074C13"/>
    <w:rsid w:val="00075326"/>
    <w:rsid w:val="00076350"/>
    <w:rsid w:val="00076C37"/>
    <w:rsid w:val="00080D60"/>
    <w:rsid w:val="00081645"/>
    <w:rsid w:val="00081FEB"/>
    <w:rsid w:val="000826EF"/>
    <w:rsid w:val="00083784"/>
    <w:rsid w:val="00085121"/>
    <w:rsid w:val="0008659D"/>
    <w:rsid w:val="0008731D"/>
    <w:rsid w:val="00087AB8"/>
    <w:rsid w:val="0009049D"/>
    <w:rsid w:val="0009119B"/>
    <w:rsid w:val="000915E2"/>
    <w:rsid w:val="0009189B"/>
    <w:rsid w:val="000927A3"/>
    <w:rsid w:val="000928D2"/>
    <w:rsid w:val="000938A6"/>
    <w:rsid w:val="000950BA"/>
    <w:rsid w:val="00095178"/>
    <w:rsid w:val="00095501"/>
    <w:rsid w:val="00095AE4"/>
    <w:rsid w:val="00096B76"/>
    <w:rsid w:val="00096C87"/>
    <w:rsid w:val="000A083E"/>
    <w:rsid w:val="000A142E"/>
    <w:rsid w:val="000A1A57"/>
    <w:rsid w:val="000A1C4F"/>
    <w:rsid w:val="000A1CCA"/>
    <w:rsid w:val="000A1F74"/>
    <w:rsid w:val="000A2F5B"/>
    <w:rsid w:val="000A3BAB"/>
    <w:rsid w:val="000A40F6"/>
    <w:rsid w:val="000A6025"/>
    <w:rsid w:val="000A6316"/>
    <w:rsid w:val="000A6C71"/>
    <w:rsid w:val="000A73F3"/>
    <w:rsid w:val="000A77AD"/>
    <w:rsid w:val="000B07E9"/>
    <w:rsid w:val="000B2395"/>
    <w:rsid w:val="000B2FAD"/>
    <w:rsid w:val="000B437F"/>
    <w:rsid w:val="000B45B5"/>
    <w:rsid w:val="000B5A91"/>
    <w:rsid w:val="000B6A9B"/>
    <w:rsid w:val="000C176F"/>
    <w:rsid w:val="000C1832"/>
    <w:rsid w:val="000C2A4A"/>
    <w:rsid w:val="000C36F9"/>
    <w:rsid w:val="000C3EA0"/>
    <w:rsid w:val="000C41AB"/>
    <w:rsid w:val="000C4E55"/>
    <w:rsid w:val="000C4EC8"/>
    <w:rsid w:val="000C57D2"/>
    <w:rsid w:val="000C5C48"/>
    <w:rsid w:val="000C5CB6"/>
    <w:rsid w:val="000D0E29"/>
    <w:rsid w:val="000D140D"/>
    <w:rsid w:val="000D3AC4"/>
    <w:rsid w:val="000D73AF"/>
    <w:rsid w:val="000D799B"/>
    <w:rsid w:val="000E096B"/>
    <w:rsid w:val="000E1040"/>
    <w:rsid w:val="000E1617"/>
    <w:rsid w:val="000E31B3"/>
    <w:rsid w:val="000E3B13"/>
    <w:rsid w:val="000E3D72"/>
    <w:rsid w:val="000E566B"/>
    <w:rsid w:val="000E571F"/>
    <w:rsid w:val="000E7BC9"/>
    <w:rsid w:val="000E7CB6"/>
    <w:rsid w:val="000E7FB0"/>
    <w:rsid w:val="000F1277"/>
    <w:rsid w:val="000F3D30"/>
    <w:rsid w:val="000F5E0E"/>
    <w:rsid w:val="00100003"/>
    <w:rsid w:val="0010025B"/>
    <w:rsid w:val="00101111"/>
    <w:rsid w:val="0010133B"/>
    <w:rsid w:val="0010199F"/>
    <w:rsid w:val="00101AD9"/>
    <w:rsid w:val="00103E26"/>
    <w:rsid w:val="0010615D"/>
    <w:rsid w:val="0010734E"/>
    <w:rsid w:val="001118CA"/>
    <w:rsid w:val="00116A30"/>
    <w:rsid w:val="00120D67"/>
    <w:rsid w:val="00121FDF"/>
    <w:rsid w:val="0012202A"/>
    <w:rsid w:val="001223E5"/>
    <w:rsid w:val="00122EB0"/>
    <w:rsid w:val="00124B6F"/>
    <w:rsid w:val="00124C58"/>
    <w:rsid w:val="00125EF5"/>
    <w:rsid w:val="001300C1"/>
    <w:rsid w:val="001309DC"/>
    <w:rsid w:val="00131F2D"/>
    <w:rsid w:val="00133389"/>
    <w:rsid w:val="00134343"/>
    <w:rsid w:val="00134BDD"/>
    <w:rsid w:val="00134E66"/>
    <w:rsid w:val="00135599"/>
    <w:rsid w:val="001356C9"/>
    <w:rsid w:val="00137322"/>
    <w:rsid w:val="00140F74"/>
    <w:rsid w:val="00141D0D"/>
    <w:rsid w:val="00142FA5"/>
    <w:rsid w:val="0014305E"/>
    <w:rsid w:val="001442DB"/>
    <w:rsid w:val="00144465"/>
    <w:rsid w:val="001450F2"/>
    <w:rsid w:val="001455BE"/>
    <w:rsid w:val="00146440"/>
    <w:rsid w:val="0014701E"/>
    <w:rsid w:val="00147EEB"/>
    <w:rsid w:val="00150D17"/>
    <w:rsid w:val="001532F1"/>
    <w:rsid w:val="00153DC1"/>
    <w:rsid w:val="00153E8A"/>
    <w:rsid w:val="00154210"/>
    <w:rsid w:val="001547EF"/>
    <w:rsid w:val="001559BA"/>
    <w:rsid w:val="00155BED"/>
    <w:rsid w:val="00155D22"/>
    <w:rsid w:val="00156309"/>
    <w:rsid w:val="001573AB"/>
    <w:rsid w:val="0015771D"/>
    <w:rsid w:val="00160A4D"/>
    <w:rsid w:val="00160D70"/>
    <w:rsid w:val="001611CF"/>
    <w:rsid w:val="00161700"/>
    <w:rsid w:val="00161FEF"/>
    <w:rsid w:val="00162928"/>
    <w:rsid w:val="00162F1B"/>
    <w:rsid w:val="001635E4"/>
    <w:rsid w:val="001636A3"/>
    <w:rsid w:val="001638E2"/>
    <w:rsid w:val="001655EC"/>
    <w:rsid w:val="00165758"/>
    <w:rsid w:val="001659E1"/>
    <w:rsid w:val="00165DDA"/>
    <w:rsid w:val="00171680"/>
    <w:rsid w:val="00171E89"/>
    <w:rsid w:val="00172674"/>
    <w:rsid w:val="0017297B"/>
    <w:rsid w:val="00174179"/>
    <w:rsid w:val="00174408"/>
    <w:rsid w:val="00174683"/>
    <w:rsid w:val="00175244"/>
    <w:rsid w:val="0017657B"/>
    <w:rsid w:val="001771CC"/>
    <w:rsid w:val="001815DA"/>
    <w:rsid w:val="00181E61"/>
    <w:rsid w:val="001827BA"/>
    <w:rsid w:val="00182C2A"/>
    <w:rsid w:val="001837C4"/>
    <w:rsid w:val="00183D2D"/>
    <w:rsid w:val="0018628C"/>
    <w:rsid w:val="00186C85"/>
    <w:rsid w:val="001907C4"/>
    <w:rsid w:val="00190C9B"/>
    <w:rsid w:val="00191182"/>
    <w:rsid w:val="001916EA"/>
    <w:rsid w:val="0019170F"/>
    <w:rsid w:val="001945A7"/>
    <w:rsid w:val="001948C0"/>
    <w:rsid w:val="00194DB1"/>
    <w:rsid w:val="00195317"/>
    <w:rsid w:val="00195560"/>
    <w:rsid w:val="00195A89"/>
    <w:rsid w:val="0019691E"/>
    <w:rsid w:val="00197612"/>
    <w:rsid w:val="001A0DC7"/>
    <w:rsid w:val="001A268B"/>
    <w:rsid w:val="001A34FD"/>
    <w:rsid w:val="001A3BD5"/>
    <w:rsid w:val="001A462C"/>
    <w:rsid w:val="001A5751"/>
    <w:rsid w:val="001A7703"/>
    <w:rsid w:val="001B077C"/>
    <w:rsid w:val="001B1E27"/>
    <w:rsid w:val="001B2075"/>
    <w:rsid w:val="001B25C8"/>
    <w:rsid w:val="001B3FF2"/>
    <w:rsid w:val="001B4586"/>
    <w:rsid w:val="001B71E7"/>
    <w:rsid w:val="001B7E7B"/>
    <w:rsid w:val="001C00F2"/>
    <w:rsid w:val="001C02D5"/>
    <w:rsid w:val="001C049A"/>
    <w:rsid w:val="001C114C"/>
    <w:rsid w:val="001C1474"/>
    <w:rsid w:val="001C2533"/>
    <w:rsid w:val="001C2F00"/>
    <w:rsid w:val="001C4D8A"/>
    <w:rsid w:val="001C4FAD"/>
    <w:rsid w:val="001C6216"/>
    <w:rsid w:val="001D0235"/>
    <w:rsid w:val="001D0531"/>
    <w:rsid w:val="001D06C8"/>
    <w:rsid w:val="001D0F68"/>
    <w:rsid w:val="001D2CC5"/>
    <w:rsid w:val="001D2E91"/>
    <w:rsid w:val="001D38F5"/>
    <w:rsid w:val="001D3C99"/>
    <w:rsid w:val="001D4FF1"/>
    <w:rsid w:val="001D57D2"/>
    <w:rsid w:val="001D6773"/>
    <w:rsid w:val="001D7025"/>
    <w:rsid w:val="001D74FB"/>
    <w:rsid w:val="001D7E90"/>
    <w:rsid w:val="001E05C7"/>
    <w:rsid w:val="001E069F"/>
    <w:rsid w:val="001E0949"/>
    <w:rsid w:val="001E2083"/>
    <w:rsid w:val="001E2294"/>
    <w:rsid w:val="001E3BD3"/>
    <w:rsid w:val="001E3BED"/>
    <w:rsid w:val="001E4A8B"/>
    <w:rsid w:val="001E7A6A"/>
    <w:rsid w:val="001F0043"/>
    <w:rsid w:val="001F0F34"/>
    <w:rsid w:val="001F2DCC"/>
    <w:rsid w:val="001F46A5"/>
    <w:rsid w:val="001F52D4"/>
    <w:rsid w:val="001F695A"/>
    <w:rsid w:val="001F7BFF"/>
    <w:rsid w:val="00200763"/>
    <w:rsid w:val="002015FA"/>
    <w:rsid w:val="0020177C"/>
    <w:rsid w:val="002031C3"/>
    <w:rsid w:val="002036F9"/>
    <w:rsid w:val="00203ABC"/>
    <w:rsid w:val="00203D76"/>
    <w:rsid w:val="002061B5"/>
    <w:rsid w:val="00206A31"/>
    <w:rsid w:val="00207CF4"/>
    <w:rsid w:val="002125A9"/>
    <w:rsid w:val="0021373C"/>
    <w:rsid w:val="00213FC3"/>
    <w:rsid w:val="00214BB9"/>
    <w:rsid w:val="0021542A"/>
    <w:rsid w:val="002164B4"/>
    <w:rsid w:val="002173E4"/>
    <w:rsid w:val="00220A32"/>
    <w:rsid w:val="00222987"/>
    <w:rsid w:val="00222F49"/>
    <w:rsid w:val="002264AD"/>
    <w:rsid w:val="002270D4"/>
    <w:rsid w:val="002307C5"/>
    <w:rsid w:val="00230A2B"/>
    <w:rsid w:val="00230D96"/>
    <w:rsid w:val="002316DC"/>
    <w:rsid w:val="00232FE3"/>
    <w:rsid w:val="0023576D"/>
    <w:rsid w:val="00235D7B"/>
    <w:rsid w:val="00236754"/>
    <w:rsid w:val="00236CAD"/>
    <w:rsid w:val="002377A1"/>
    <w:rsid w:val="00237DFA"/>
    <w:rsid w:val="00240331"/>
    <w:rsid w:val="00240D19"/>
    <w:rsid w:val="00241765"/>
    <w:rsid w:val="002424AE"/>
    <w:rsid w:val="00242842"/>
    <w:rsid w:val="0024596A"/>
    <w:rsid w:val="00245B3E"/>
    <w:rsid w:val="00245DB9"/>
    <w:rsid w:val="002477AD"/>
    <w:rsid w:val="00247885"/>
    <w:rsid w:val="0025139F"/>
    <w:rsid w:val="00251AC1"/>
    <w:rsid w:val="00252245"/>
    <w:rsid w:val="00254D78"/>
    <w:rsid w:val="0025594D"/>
    <w:rsid w:val="0025629F"/>
    <w:rsid w:val="0025786E"/>
    <w:rsid w:val="00260CA9"/>
    <w:rsid w:val="002613B5"/>
    <w:rsid w:val="00267E1C"/>
    <w:rsid w:val="002708DD"/>
    <w:rsid w:val="002716A2"/>
    <w:rsid w:val="00271DC0"/>
    <w:rsid w:val="00271E8D"/>
    <w:rsid w:val="00273118"/>
    <w:rsid w:val="0027359A"/>
    <w:rsid w:val="00274B4F"/>
    <w:rsid w:val="00280440"/>
    <w:rsid w:val="002808D6"/>
    <w:rsid w:val="0028126D"/>
    <w:rsid w:val="002822F2"/>
    <w:rsid w:val="002825B4"/>
    <w:rsid w:val="00282781"/>
    <w:rsid w:val="00283088"/>
    <w:rsid w:val="002839C4"/>
    <w:rsid w:val="0028466B"/>
    <w:rsid w:val="0028560F"/>
    <w:rsid w:val="0028582D"/>
    <w:rsid w:val="00285A28"/>
    <w:rsid w:val="00285DF7"/>
    <w:rsid w:val="00285F07"/>
    <w:rsid w:val="00290A5F"/>
    <w:rsid w:val="00290D0A"/>
    <w:rsid w:val="00290F4A"/>
    <w:rsid w:val="002914EE"/>
    <w:rsid w:val="00291F25"/>
    <w:rsid w:val="002924F2"/>
    <w:rsid w:val="00295E25"/>
    <w:rsid w:val="00296201"/>
    <w:rsid w:val="0029672B"/>
    <w:rsid w:val="00297337"/>
    <w:rsid w:val="002A1A5E"/>
    <w:rsid w:val="002A21FB"/>
    <w:rsid w:val="002A4162"/>
    <w:rsid w:val="002A4F53"/>
    <w:rsid w:val="002A5F4E"/>
    <w:rsid w:val="002A604B"/>
    <w:rsid w:val="002A6644"/>
    <w:rsid w:val="002A69C2"/>
    <w:rsid w:val="002A6CC9"/>
    <w:rsid w:val="002A6D60"/>
    <w:rsid w:val="002A7134"/>
    <w:rsid w:val="002B0F0E"/>
    <w:rsid w:val="002B187A"/>
    <w:rsid w:val="002B1F28"/>
    <w:rsid w:val="002B2732"/>
    <w:rsid w:val="002B2D52"/>
    <w:rsid w:val="002B2D62"/>
    <w:rsid w:val="002B4037"/>
    <w:rsid w:val="002B7016"/>
    <w:rsid w:val="002C122A"/>
    <w:rsid w:val="002C124D"/>
    <w:rsid w:val="002C254A"/>
    <w:rsid w:val="002C44E4"/>
    <w:rsid w:val="002C5B2C"/>
    <w:rsid w:val="002C76D5"/>
    <w:rsid w:val="002C779C"/>
    <w:rsid w:val="002D002B"/>
    <w:rsid w:val="002D1DE8"/>
    <w:rsid w:val="002D372E"/>
    <w:rsid w:val="002D76B6"/>
    <w:rsid w:val="002D7706"/>
    <w:rsid w:val="002D7EA2"/>
    <w:rsid w:val="002E02BE"/>
    <w:rsid w:val="002E08CC"/>
    <w:rsid w:val="002E23F5"/>
    <w:rsid w:val="002E2413"/>
    <w:rsid w:val="002E3286"/>
    <w:rsid w:val="002E3E2B"/>
    <w:rsid w:val="002E4649"/>
    <w:rsid w:val="002E5911"/>
    <w:rsid w:val="002E680E"/>
    <w:rsid w:val="002F0F36"/>
    <w:rsid w:val="002F24E1"/>
    <w:rsid w:val="002F5E91"/>
    <w:rsid w:val="002F66A4"/>
    <w:rsid w:val="002F787E"/>
    <w:rsid w:val="002F794A"/>
    <w:rsid w:val="0030026B"/>
    <w:rsid w:val="00300754"/>
    <w:rsid w:val="00300C09"/>
    <w:rsid w:val="00301EE3"/>
    <w:rsid w:val="00302AD8"/>
    <w:rsid w:val="003044B4"/>
    <w:rsid w:val="003074BC"/>
    <w:rsid w:val="003075D4"/>
    <w:rsid w:val="003079E3"/>
    <w:rsid w:val="00310719"/>
    <w:rsid w:val="00311DB9"/>
    <w:rsid w:val="00312395"/>
    <w:rsid w:val="0031251A"/>
    <w:rsid w:val="00313219"/>
    <w:rsid w:val="0031408C"/>
    <w:rsid w:val="00314AED"/>
    <w:rsid w:val="003164DA"/>
    <w:rsid w:val="00316E60"/>
    <w:rsid w:val="00317F01"/>
    <w:rsid w:val="003205CB"/>
    <w:rsid w:val="00320D8D"/>
    <w:rsid w:val="00320DBC"/>
    <w:rsid w:val="00321E86"/>
    <w:rsid w:val="003249E4"/>
    <w:rsid w:val="003251D1"/>
    <w:rsid w:val="003252C4"/>
    <w:rsid w:val="0032672D"/>
    <w:rsid w:val="00327299"/>
    <w:rsid w:val="00334B62"/>
    <w:rsid w:val="00334DD5"/>
    <w:rsid w:val="0033551D"/>
    <w:rsid w:val="003361D1"/>
    <w:rsid w:val="00336661"/>
    <w:rsid w:val="00337F26"/>
    <w:rsid w:val="00340771"/>
    <w:rsid w:val="00340FEA"/>
    <w:rsid w:val="003415CA"/>
    <w:rsid w:val="0034179F"/>
    <w:rsid w:val="00341A16"/>
    <w:rsid w:val="003426BE"/>
    <w:rsid w:val="00342B8D"/>
    <w:rsid w:val="00343C77"/>
    <w:rsid w:val="00343FFD"/>
    <w:rsid w:val="00344225"/>
    <w:rsid w:val="003452A2"/>
    <w:rsid w:val="0034649E"/>
    <w:rsid w:val="00346748"/>
    <w:rsid w:val="00346C54"/>
    <w:rsid w:val="00347A85"/>
    <w:rsid w:val="00347D89"/>
    <w:rsid w:val="0035003A"/>
    <w:rsid w:val="00351D1F"/>
    <w:rsid w:val="00353F01"/>
    <w:rsid w:val="0035446D"/>
    <w:rsid w:val="00354DC2"/>
    <w:rsid w:val="003555F9"/>
    <w:rsid w:val="00355BDB"/>
    <w:rsid w:val="003601F1"/>
    <w:rsid w:val="003636AD"/>
    <w:rsid w:val="00363F98"/>
    <w:rsid w:val="003651A9"/>
    <w:rsid w:val="003663C0"/>
    <w:rsid w:val="00366734"/>
    <w:rsid w:val="00370A8D"/>
    <w:rsid w:val="00370D10"/>
    <w:rsid w:val="00371315"/>
    <w:rsid w:val="00371EAC"/>
    <w:rsid w:val="0037308D"/>
    <w:rsid w:val="00373F4D"/>
    <w:rsid w:val="00375B9F"/>
    <w:rsid w:val="00376231"/>
    <w:rsid w:val="003772BF"/>
    <w:rsid w:val="00381206"/>
    <w:rsid w:val="00382907"/>
    <w:rsid w:val="00382DA2"/>
    <w:rsid w:val="00382F3B"/>
    <w:rsid w:val="00383D8E"/>
    <w:rsid w:val="00383E51"/>
    <w:rsid w:val="00384718"/>
    <w:rsid w:val="00384A9B"/>
    <w:rsid w:val="00386610"/>
    <w:rsid w:val="0038672D"/>
    <w:rsid w:val="00386C88"/>
    <w:rsid w:val="003904B7"/>
    <w:rsid w:val="00390694"/>
    <w:rsid w:val="00392D3C"/>
    <w:rsid w:val="00392F85"/>
    <w:rsid w:val="003943D4"/>
    <w:rsid w:val="00394784"/>
    <w:rsid w:val="00395000"/>
    <w:rsid w:val="00395D9C"/>
    <w:rsid w:val="00396748"/>
    <w:rsid w:val="003A1F74"/>
    <w:rsid w:val="003A39F9"/>
    <w:rsid w:val="003A54D5"/>
    <w:rsid w:val="003A5846"/>
    <w:rsid w:val="003A6D57"/>
    <w:rsid w:val="003B1005"/>
    <w:rsid w:val="003B1307"/>
    <w:rsid w:val="003B2781"/>
    <w:rsid w:val="003B31C2"/>
    <w:rsid w:val="003B5BE2"/>
    <w:rsid w:val="003B5E49"/>
    <w:rsid w:val="003B6D41"/>
    <w:rsid w:val="003C10EC"/>
    <w:rsid w:val="003C2D9B"/>
    <w:rsid w:val="003C2E4F"/>
    <w:rsid w:val="003C33F4"/>
    <w:rsid w:val="003C360C"/>
    <w:rsid w:val="003C41BD"/>
    <w:rsid w:val="003C486E"/>
    <w:rsid w:val="003C5F44"/>
    <w:rsid w:val="003C678D"/>
    <w:rsid w:val="003C7A8F"/>
    <w:rsid w:val="003D1068"/>
    <w:rsid w:val="003D3DE9"/>
    <w:rsid w:val="003D4BB0"/>
    <w:rsid w:val="003D615E"/>
    <w:rsid w:val="003D6EDA"/>
    <w:rsid w:val="003E162C"/>
    <w:rsid w:val="003E2695"/>
    <w:rsid w:val="003E4A97"/>
    <w:rsid w:val="003E6F2B"/>
    <w:rsid w:val="003E76D8"/>
    <w:rsid w:val="003F1D11"/>
    <w:rsid w:val="003F20C6"/>
    <w:rsid w:val="003F373E"/>
    <w:rsid w:val="003F4FF7"/>
    <w:rsid w:val="003F57B6"/>
    <w:rsid w:val="003F64C2"/>
    <w:rsid w:val="003F6818"/>
    <w:rsid w:val="00400ACB"/>
    <w:rsid w:val="00410201"/>
    <w:rsid w:val="00412397"/>
    <w:rsid w:val="004147CE"/>
    <w:rsid w:val="00414898"/>
    <w:rsid w:val="00417A60"/>
    <w:rsid w:val="00417DC8"/>
    <w:rsid w:val="00420073"/>
    <w:rsid w:val="0042095D"/>
    <w:rsid w:val="00421E01"/>
    <w:rsid w:val="00422E00"/>
    <w:rsid w:val="0042367E"/>
    <w:rsid w:val="00425456"/>
    <w:rsid w:val="00426945"/>
    <w:rsid w:val="004301F6"/>
    <w:rsid w:val="00430D0F"/>
    <w:rsid w:val="00431658"/>
    <w:rsid w:val="00431F6C"/>
    <w:rsid w:val="0043214E"/>
    <w:rsid w:val="0043338C"/>
    <w:rsid w:val="004334A8"/>
    <w:rsid w:val="00433CD9"/>
    <w:rsid w:val="00434793"/>
    <w:rsid w:val="004364C8"/>
    <w:rsid w:val="004403B5"/>
    <w:rsid w:val="00440409"/>
    <w:rsid w:val="00440484"/>
    <w:rsid w:val="0044050E"/>
    <w:rsid w:val="004408B7"/>
    <w:rsid w:val="00441438"/>
    <w:rsid w:val="00441466"/>
    <w:rsid w:val="00441579"/>
    <w:rsid w:val="004431CE"/>
    <w:rsid w:val="00444F60"/>
    <w:rsid w:val="004450F4"/>
    <w:rsid w:val="004453BC"/>
    <w:rsid w:val="0044572F"/>
    <w:rsid w:val="00445B46"/>
    <w:rsid w:val="00447AFB"/>
    <w:rsid w:val="00451210"/>
    <w:rsid w:val="00451A75"/>
    <w:rsid w:val="00452772"/>
    <w:rsid w:val="00453217"/>
    <w:rsid w:val="00453C0A"/>
    <w:rsid w:val="0045417F"/>
    <w:rsid w:val="00454B41"/>
    <w:rsid w:val="00454BF9"/>
    <w:rsid w:val="0045512C"/>
    <w:rsid w:val="004556FF"/>
    <w:rsid w:val="00456249"/>
    <w:rsid w:val="004572E7"/>
    <w:rsid w:val="0046093E"/>
    <w:rsid w:val="00460E48"/>
    <w:rsid w:val="0046415D"/>
    <w:rsid w:val="00464AC0"/>
    <w:rsid w:val="00464CA5"/>
    <w:rsid w:val="0046669E"/>
    <w:rsid w:val="00466E0A"/>
    <w:rsid w:val="004676DA"/>
    <w:rsid w:val="004700DA"/>
    <w:rsid w:val="00471517"/>
    <w:rsid w:val="00471DFC"/>
    <w:rsid w:val="00473BC3"/>
    <w:rsid w:val="00473E79"/>
    <w:rsid w:val="004751AE"/>
    <w:rsid w:val="004761ED"/>
    <w:rsid w:val="004767FB"/>
    <w:rsid w:val="004820CE"/>
    <w:rsid w:val="00482D63"/>
    <w:rsid w:val="00485043"/>
    <w:rsid w:val="004856A4"/>
    <w:rsid w:val="004861D9"/>
    <w:rsid w:val="0048649E"/>
    <w:rsid w:val="00487461"/>
    <w:rsid w:val="00492294"/>
    <w:rsid w:val="00495088"/>
    <w:rsid w:val="0049603E"/>
    <w:rsid w:val="004961A7"/>
    <w:rsid w:val="00496E44"/>
    <w:rsid w:val="004976C9"/>
    <w:rsid w:val="004A02B8"/>
    <w:rsid w:val="004A0F06"/>
    <w:rsid w:val="004A378E"/>
    <w:rsid w:val="004A3AB5"/>
    <w:rsid w:val="004A3B53"/>
    <w:rsid w:val="004A41CD"/>
    <w:rsid w:val="004A4568"/>
    <w:rsid w:val="004A4F4D"/>
    <w:rsid w:val="004A6A4B"/>
    <w:rsid w:val="004A7250"/>
    <w:rsid w:val="004A74AA"/>
    <w:rsid w:val="004A754F"/>
    <w:rsid w:val="004A7729"/>
    <w:rsid w:val="004B0AEC"/>
    <w:rsid w:val="004B0FFE"/>
    <w:rsid w:val="004B1F67"/>
    <w:rsid w:val="004B4A7D"/>
    <w:rsid w:val="004B5A3E"/>
    <w:rsid w:val="004B5D17"/>
    <w:rsid w:val="004B5F1D"/>
    <w:rsid w:val="004B67A6"/>
    <w:rsid w:val="004B70EF"/>
    <w:rsid w:val="004B73EA"/>
    <w:rsid w:val="004C02F7"/>
    <w:rsid w:val="004C04B0"/>
    <w:rsid w:val="004C0996"/>
    <w:rsid w:val="004C0AAB"/>
    <w:rsid w:val="004C16C0"/>
    <w:rsid w:val="004C2AE4"/>
    <w:rsid w:val="004C4F1C"/>
    <w:rsid w:val="004C5524"/>
    <w:rsid w:val="004C5F2E"/>
    <w:rsid w:val="004C7ABB"/>
    <w:rsid w:val="004D0366"/>
    <w:rsid w:val="004D05E6"/>
    <w:rsid w:val="004D1057"/>
    <w:rsid w:val="004D15A2"/>
    <w:rsid w:val="004D30E1"/>
    <w:rsid w:val="004D4D81"/>
    <w:rsid w:val="004D6ABA"/>
    <w:rsid w:val="004E121D"/>
    <w:rsid w:val="004E1EB4"/>
    <w:rsid w:val="004E27F2"/>
    <w:rsid w:val="004E2AE1"/>
    <w:rsid w:val="004E2B08"/>
    <w:rsid w:val="004E5581"/>
    <w:rsid w:val="004E63EB"/>
    <w:rsid w:val="004E67F4"/>
    <w:rsid w:val="004E7F69"/>
    <w:rsid w:val="004F0AD1"/>
    <w:rsid w:val="004F147C"/>
    <w:rsid w:val="004F2027"/>
    <w:rsid w:val="004F21B4"/>
    <w:rsid w:val="004F27FE"/>
    <w:rsid w:val="004F2EDB"/>
    <w:rsid w:val="004F4503"/>
    <w:rsid w:val="004F531C"/>
    <w:rsid w:val="004F5D55"/>
    <w:rsid w:val="004F6224"/>
    <w:rsid w:val="004F6728"/>
    <w:rsid w:val="004F7900"/>
    <w:rsid w:val="00500B36"/>
    <w:rsid w:val="00500C5E"/>
    <w:rsid w:val="00502705"/>
    <w:rsid w:val="005035BB"/>
    <w:rsid w:val="00504250"/>
    <w:rsid w:val="00504F8C"/>
    <w:rsid w:val="00505F9D"/>
    <w:rsid w:val="005060D2"/>
    <w:rsid w:val="00510A95"/>
    <w:rsid w:val="00510D2B"/>
    <w:rsid w:val="00512215"/>
    <w:rsid w:val="00512D4A"/>
    <w:rsid w:val="0051309D"/>
    <w:rsid w:val="00514951"/>
    <w:rsid w:val="00514B18"/>
    <w:rsid w:val="00514CC3"/>
    <w:rsid w:val="00514CE4"/>
    <w:rsid w:val="0051506A"/>
    <w:rsid w:val="005152C8"/>
    <w:rsid w:val="00516CB4"/>
    <w:rsid w:val="00517526"/>
    <w:rsid w:val="0051776D"/>
    <w:rsid w:val="00520CE5"/>
    <w:rsid w:val="00521543"/>
    <w:rsid w:val="00522564"/>
    <w:rsid w:val="005233B1"/>
    <w:rsid w:val="00524032"/>
    <w:rsid w:val="00524BBD"/>
    <w:rsid w:val="00525707"/>
    <w:rsid w:val="00526815"/>
    <w:rsid w:val="0053061F"/>
    <w:rsid w:val="00531AFF"/>
    <w:rsid w:val="00532D6B"/>
    <w:rsid w:val="005334CD"/>
    <w:rsid w:val="00535C85"/>
    <w:rsid w:val="00536A32"/>
    <w:rsid w:val="00536C01"/>
    <w:rsid w:val="00536DF1"/>
    <w:rsid w:val="0053761D"/>
    <w:rsid w:val="00537CCC"/>
    <w:rsid w:val="005410FE"/>
    <w:rsid w:val="005424F6"/>
    <w:rsid w:val="00542F87"/>
    <w:rsid w:val="00543EDC"/>
    <w:rsid w:val="00544CD4"/>
    <w:rsid w:val="005450A6"/>
    <w:rsid w:val="00545486"/>
    <w:rsid w:val="005456B5"/>
    <w:rsid w:val="00546A4D"/>
    <w:rsid w:val="00547D25"/>
    <w:rsid w:val="005503E5"/>
    <w:rsid w:val="00550AA7"/>
    <w:rsid w:val="00551598"/>
    <w:rsid w:val="00552589"/>
    <w:rsid w:val="0055404E"/>
    <w:rsid w:val="005559E1"/>
    <w:rsid w:val="0055600C"/>
    <w:rsid w:val="00556B5E"/>
    <w:rsid w:val="00557C6A"/>
    <w:rsid w:val="0056110C"/>
    <w:rsid w:val="00561183"/>
    <w:rsid w:val="00561F47"/>
    <w:rsid w:val="005629DC"/>
    <w:rsid w:val="00564967"/>
    <w:rsid w:val="00565009"/>
    <w:rsid w:val="00565DA2"/>
    <w:rsid w:val="00566DE4"/>
    <w:rsid w:val="00566DF3"/>
    <w:rsid w:val="00567EB1"/>
    <w:rsid w:val="005738DE"/>
    <w:rsid w:val="00575781"/>
    <w:rsid w:val="00580664"/>
    <w:rsid w:val="00580BD3"/>
    <w:rsid w:val="00581245"/>
    <w:rsid w:val="00581410"/>
    <w:rsid w:val="00581E82"/>
    <w:rsid w:val="00581F04"/>
    <w:rsid w:val="00583436"/>
    <w:rsid w:val="00585329"/>
    <w:rsid w:val="00585911"/>
    <w:rsid w:val="00586C7F"/>
    <w:rsid w:val="00587F4D"/>
    <w:rsid w:val="005912EB"/>
    <w:rsid w:val="005919CF"/>
    <w:rsid w:val="0059207F"/>
    <w:rsid w:val="0059213D"/>
    <w:rsid w:val="00593439"/>
    <w:rsid w:val="00595077"/>
    <w:rsid w:val="00595BEC"/>
    <w:rsid w:val="0059679E"/>
    <w:rsid w:val="005A0C8C"/>
    <w:rsid w:val="005A2404"/>
    <w:rsid w:val="005A3416"/>
    <w:rsid w:val="005A4591"/>
    <w:rsid w:val="005A4785"/>
    <w:rsid w:val="005A69ED"/>
    <w:rsid w:val="005A6F86"/>
    <w:rsid w:val="005B0620"/>
    <w:rsid w:val="005B0F94"/>
    <w:rsid w:val="005B153F"/>
    <w:rsid w:val="005B16CB"/>
    <w:rsid w:val="005B2B57"/>
    <w:rsid w:val="005B37D5"/>
    <w:rsid w:val="005B5F80"/>
    <w:rsid w:val="005C264C"/>
    <w:rsid w:val="005C2759"/>
    <w:rsid w:val="005C28F8"/>
    <w:rsid w:val="005C2D50"/>
    <w:rsid w:val="005C3AEC"/>
    <w:rsid w:val="005C4147"/>
    <w:rsid w:val="005C4B8B"/>
    <w:rsid w:val="005C5B6D"/>
    <w:rsid w:val="005C6A30"/>
    <w:rsid w:val="005D2301"/>
    <w:rsid w:val="005D34B4"/>
    <w:rsid w:val="005D6A5A"/>
    <w:rsid w:val="005E28D1"/>
    <w:rsid w:val="005E34BE"/>
    <w:rsid w:val="005E4F26"/>
    <w:rsid w:val="005E546B"/>
    <w:rsid w:val="005E6AA1"/>
    <w:rsid w:val="005F0253"/>
    <w:rsid w:val="005F11C2"/>
    <w:rsid w:val="005F1420"/>
    <w:rsid w:val="005F1E59"/>
    <w:rsid w:val="005F53E9"/>
    <w:rsid w:val="005F65A6"/>
    <w:rsid w:val="006013B2"/>
    <w:rsid w:val="006015C7"/>
    <w:rsid w:val="0060175B"/>
    <w:rsid w:val="0060237D"/>
    <w:rsid w:val="006027A6"/>
    <w:rsid w:val="00604592"/>
    <w:rsid w:val="0060649A"/>
    <w:rsid w:val="0061086A"/>
    <w:rsid w:val="006124B7"/>
    <w:rsid w:val="0061264F"/>
    <w:rsid w:val="00612D1D"/>
    <w:rsid w:val="00612EEC"/>
    <w:rsid w:val="00615550"/>
    <w:rsid w:val="006158D5"/>
    <w:rsid w:val="00615C6B"/>
    <w:rsid w:val="006179E0"/>
    <w:rsid w:val="00617C89"/>
    <w:rsid w:val="00620338"/>
    <w:rsid w:val="00620736"/>
    <w:rsid w:val="00620FA2"/>
    <w:rsid w:val="006212A9"/>
    <w:rsid w:val="00621479"/>
    <w:rsid w:val="00622047"/>
    <w:rsid w:val="00623D29"/>
    <w:rsid w:val="006240EC"/>
    <w:rsid w:val="00624210"/>
    <w:rsid w:val="00625910"/>
    <w:rsid w:val="00625920"/>
    <w:rsid w:val="00626CA8"/>
    <w:rsid w:val="00627994"/>
    <w:rsid w:val="00627FBA"/>
    <w:rsid w:val="00632B21"/>
    <w:rsid w:val="00633CB6"/>
    <w:rsid w:val="006340E7"/>
    <w:rsid w:val="00634DE7"/>
    <w:rsid w:val="00637CA2"/>
    <w:rsid w:val="006408B3"/>
    <w:rsid w:val="00640BC4"/>
    <w:rsid w:val="006416C6"/>
    <w:rsid w:val="00641ED3"/>
    <w:rsid w:val="00644D04"/>
    <w:rsid w:val="00645CE2"/>
    <w:rsid w:val="0064641F"/>
    <w:rsid w:val="00647A65"/>
    <w:rsid w:val="006517A1"/>
    <w:rsid w:val="006517AA"/>
    <w:rsid w:val="00651D23"/>
    <w:rsid w:val="006544B5"/>
    <w:rsid w:val="0065465D"/>
    <w:rsid w:val="00655212"/>
    <w:rsid w:val="006557FE"/>
    <w:rsid w:val="00655B71"/>
    <w:rsid w:val="00655D90"/>
    <w:rsid w:val="00660279"/>
    <w:rsid w:val="00660723"/>
    <w:rsid w:val="00661200"/>
    <w:rsid w:val="006631D3"/>
    <w:rsid w:val="0066636A"/>
    <w:rsid w:val="00666F7E"/>
    <w:rsid w:val="00666F82"/>
    <w:rsid w:val="00667DA5"/>
    <w:rsid w:val="00667F70"/>
    <w:rsid w:val="0067059C"/>
    <w:rsid w:val="0067069E"/>
    <w:rsid w:val="00670FBD"/>
    <w:rsid w:val="0067118B"/>
    <w:rsid w:val="00671B55"/>
    <w:rsid w:val="006723D2"/>
    <w:rsid w:val="00672D89"/>
    <w:rsid w:val="006752FF"/>
    <w:rsid w:val="00675982"/>
    <w:rsid w:val="00676F07"/>
    <w:rsid w:val="00677D2A"/>
    <w:rsid w:val="00683471"/>
    <w:rsid w:val="00683F14"/>
    <w:rsid w:val="0068524F"/>
    <w:rsid w:val="006918B9"/>
    <w:rsid w:val="00691B7A"/>
    <w:rsid w:val="00691BFA"/>
    <w:rsid w:val="00691C6A"/>
    <w:rsid w:val="00691EE6"/>
    <w:rsid w:val="00693479"/>
    <w:rsid w:val="006946D2"/>
    <w:rsid w:val="00694D19"/>
    <w:rsid w:val="006950BD"/>
    <w:rsid w:val="00695163"/>
    <w:rsid w:val="00695385"/>
    <w:rsid w:val="0069591B"/>
    <w:rsid w:val="0069635A"/>
    <w:rsid w:val="00696A70"/>
    <w:rsid w:val="006A05CA"/>
    <w:rsid w:val="006A0C1E"/>
    <w:rsid w:val="006A2670"/>
    <w:rsid w:val="006A623D"/>
    <w:rsid w:val="006A751C"/>
    <w:rsid w:val="006A7A74"/>
    <w:rsid w:val="006A7C15"/>
    <w:rsid w:val="006B2522"/>
    <w:rsid w:val="006B289D"/>
    <w:rsid w:val="006B3FA3"/>
    <w:rsid w:val="006B4D85"/>
    <w:rsid w:val="006B4E99"/>
    <w:rsid w:val="006B53AD"/>
    <w:rsid w:val="006B5964"/>
    <w:rsid w:val="006B79DF"/>
    <w:rsid w:val="006C0D92"/>
    <w:rsid w:val="006C12DF"/>
    <w:rsid w:val="006C2603"/>
    <w:rsid w:val="006C381A"/>
    <w:rsid w:val="006C48EB"/>
    <w:rsid w:val="006C53F1"/>
    <w:rsid w:val="006C791E"/>
    <w:rsid w:val="006C7BD7"/>
    <w:rsid w:val="006D0064"/>
    <w:rsid w:val="006D025D"/>
    <w:rsid w:val="006D0DAD"/>
    <w:rsid w:val="006D3FB4"/>
    <w:rsid w:val="006D658F"/>
    <w:rsid w:val="006D7262"/>
    <w:rsid w:val="006D7C1C"/>
    <w:rsid w:val="006E02BB"/>
    <w:rsid w:val="006E06E6"/>
    <w:rsid w:val="006E0816"/>
    <w:rsid w:val="006E17C0"/>
    <w:rsid w:val="006E3241"/>
    <w:rsid w:val="006E4AD2"/>
    <w:rsid w:val="006E63B9"/>
    <w:rsid w:val="006E6BBB"/>
    <w:rsid w:val="006E6CC9"/>
    <w:rsid w:val="006E7168"/>
    <w:rsid w:val="006E7361"/>
    <w:rsid w:val="006E79E8"/>
    <w:rsid w:val="006F1958"/>
    <w:rsid w:val="006F1982"/>
    <w:rsid w:val="006F1BE9"/>
    <w:rsid w:val="006F2920"/>
    <w:rsid w:val="006F4B21"/>
    <w:rsid w:val="006F7325"/>
    <w:rsid w:val="00700E20"/>
    <w:rsid w:val="007016B6"/>
    <w:rsid w:val="00703F12"/>
    <w:rsid w:val="00705609"/>
    <w:rsid w:val="007059E7"/>
    <w:rsid w:val="00706F7A"/>
    <w:rsid w:val="007107C3"/>
    <w:rsid w:val="0071170E"/>
    <w:rsid w:val="0071289B"/>
    <w:rsid w:val="00714319"/>
    <w:rsid w:val="0071594B"/>
    <w:rsid w:val="00716E1B"/>
    <w:rsid w:val="007208C4"/>
    <w:rsid w:val="00720E29"/>
    <w:rsid w:val="0072118D"/>
    <w:rsid w:val="00721869"/>
    <w:rsid w:val="007223D5"/>
    <w:rsid w:val="00722494"/>
    <w:rsid w:val="00722C14"/>
    <w:rsid w:val="0072317B"/>
    <w:rsid w:val="00723AC5"/>
    <w:rsid w:val="00723DB0"/>
    <w:rsid w:val="00724B91"/>
    <w:rsid w:val="007267B6"/>
    <w:rsid w:val="0072702A"/>
    <w:rsid w:val="00727848"/>
    <w:rsid w:val="0073092E"/>
    <w:rsid w:val="00730FCA"/>
    <w:rsid w:val="00732D95"/>
    <w:rsid w:val="00734986"/>
    <w:rsid w:val="00735309"/>
    <w:rsid w:val="00735672"/>
    <w:rsid w:val="00736A50"/>
    <w:rsid w:val="007377EC"/>
    <w:rsid w:val="007406AB"/>
    <w:rsid w:val="007408AE"/>
    <w:rsid w:val="00740BB4"/>
    <w:rsid w:val="007412CC"/>
    <w:rsid w:val="00741365"/>
    <w:rsid w:val="00741536"/>
    <w:rsid w:val="007424FC"/>
    <w:rsid w:val="00743605"/>
    <w:rsid w:val="00745E1A"/>
    <w:rsid w:val="00746927"/>
    <w:rsid w:val="00747545"/>
    <w:rsid w:val="00747760"/>
    <w:rsid w:val="00750F49"/>
    <w:rsid w:val="007514B3"/>
    <w:rsid w:val="00752E23"/>
    <w:rsid w:val="007532FE"/>
    <w:rsid w:val="00753CBC"/>
    <w:rsid w:val="00753E17"/>
    <w:rsid w:val="00754005"/>
    <w:rsid w:val="00754A83"/>
    <w:rsid w:val="007554CD"/>
    <w:rsid w:val="007569E5"/>
    <w:rsid w:val="00756EAF"/>
    <w:rsid w:val="00757F66"/>
    <w:rsid w:val="00760CF7"/>
    <w:rsid w:val="00761AAE"/>
    <w:rsid w:val="00762DB6"/>
    <w:rsid w:val="007634CD"/>
    <w:rsid w:val="00763E5F"/>
    <w:rsid w:val="00765D39"/>
    <w:rsid w:val="007667B5"/>
    <w:rsid w:val="00766958"/>
    <w:rsid w:val="00770430"/>
    <w:rsid w:val="00770BB9"/>
    <w:rsid w:val="00770E81"/>
    <w:rsid w:val="007711BC"/>
    <w:rsid w:val="00772CCE"/>
    <w:rsid w:val="0077483F"/>
    <w:rsid w:val="007757ED"/>
    <w:rsid w:val="00775ED3"/>
    <w:rsid w:val="007773EA"/>
    <w:rsid w:val="00777BB5"/>
    <w:rsid w:val="007808A0"/>
    <w:rsid w:val="00780AAF"/>
    <w:rsid w:val="00780B25"/>
    <w:rsid w:val="00780B28"/>
    <w:rsid w:val="00781022"/>
    <w:rsid w:val="00782945"/>
    <w:rsid w:val="00783BD7"/>
    <w:rsid w:val="00785A96"/>
    <w:rsid w:val="00787BE8"/>
    <w:rsid w:val="00791531"/>
    <w:rsid w:val="00792B73"/>
    <w:rsid w:val="007931B9"/>
    <w:rsid w:val="00796658"/>
    <w:rsid w:val="007967F7"/>
    <w:rsid w:val="00796CFC"/>
    <w:rsid w:val="007971EE"/>
    <w:rsid w:val="0079765E"/>
    <w:rsid w:val="007A1067"/>
    <w:rsid w:val="007A1F07"/>
    <w:rsid w:val="007A2A08"/>
    <w:rsid w:val="007A2FF0"/>
    <w:rsid w:val="007A46BE"/>
    <w:rsid w:val="007A5B7D"/>
    <w:rsid w:val="007A61DC"/>
    <w:rsid w:val="007A6D73"/>
    <w:rsid w:val="007A6E31"/>
    <w:rsid w:val="007B1C66"/>
    <w:rsid w:val="007B2F21"/>
    <w:rsid w:val="007B3EE4"/>
    <w:rsid w:val="007B425B"/>
    <w:rsid w:val="007C0038"/>
    <w:rsid w:val="007C005E"/>
    <w:rsid w:val="007C084D"/>
    <w:rsid w:val="007C15F1"/>
    <w:rsid w:val="007C6293"/>
    <w:rsid w:val="007D021D"/>
    <w:rsid w:val="007D0F9C"/>
    <w:rsid w:val="007D1622"/>
    <w:rsid w:val="007D175A"/>
    <w:rsid w:val="007D3740"/>
    <w:rsid w:val="007D3C52"/>
    <w:rsid w:val="007D3D9F"/>
    <w:rsid w:val="007D3E99"/>
    <w:rsid w:val="007D4BF0"/>
    <w:rsid w:val="007D5862"/>
    <w:rsid w:val="007D6047"/>
    <w:rsid w:val="007D6B1D"/>
    <w:rsid w:val="007D74B6"/>
    <w:rsid w:val="007E0A97"/>
    <w:rsid w:val="007E2288"/>
    <w:rsid w:val="007E2A24"/>
    <w:rsid w:val="007E33AA"/>
    <w:rsid w:val="007E3F88"/>
    <w:rsid w:val="007F148A"/>
    <w:rsid w:val="007F1BB7"/>
    <w:rsid w:val="007F26F7"/>
    <w:rsid w:val="007F327F"/>
    <w:rsid w:val="007F6398"/>
    <w:rsid w:val="007F6A9A"/>
    <w:rsid w:val="007F79DF"/>
    <w:rsid w:val="00800D2D"/>
    <w:rsid w:val="00802A89"/>
    <w:rsid w:val="00803303"/>
    <w:rsid w:val="0080406A"/>
    <w:rsid w:val="008041D4"/>
    <w:rsid w:val="008047B0"/>
    <w:rsid w:val="00805671"/>
    <w:rsid w:val="008077F7"/>
    <w:rsid w:val="00807AD8"/>
    <w:rsid w:val="00810167"/>
    <w:rsid w:val="0081144A"/>
    <w:rsid w:val="008145B9"/>
    <w:rsid w:val="00816728"/>
    <w:rsid w:val="0081770D"/>
    <w:rsid w:val="00817DA0"/>
    <w:rsid w:val="00820096"/>
    <w:rsid w:val="008243FE"/>
    <w:rsid w:val="00826E13"/>
    <w:rsid w:val="00830631"/>
    <w:rsid w:val="00833127"/>
    <w:rsid w:val="008337C4"/>
    <w:rsid w:val="008345F1"/>
    <w:rsid w:val="008347A6"/>
    <w:rsid w:val="00835F6A"/>
    <w:rsid w:val="00840CB1"/>
    <w:rsid w:val="00841934"/>
    <w:rsid w:val="00843532"/>
    <w:rsid w:val="00844721"/>
    <w:rsid w:val="00844D52"/>
    <w:rsid w:val="00844D87"/>
    <w:rsid w:val="00844E61"/>
    <w:rsid w:val="00844ED3"/>
    <w:rsid w:val="00845192"/>
    <w:rsid w:val="00845BA4"/>
    <w:rsid w:val="008509E5"/>
    <w:rsid w:val="00851167"/>
    <w:rsid w:val="00851349"/>
    <w:rsid w:val="00855A40"/>
    <w:rsid w:val="008569C2"/>
    <w:rsid w:val="00856AE1"/>
    <w:rsid w:val="00856C65"/>
    <w:rsid w:val="00856C96"/>
    <w:rsid w:val="008628BE"/>
    <w:rsid w:val="008664C1"/>
    <w:rsid w:val="00866CD4"/>
    <w:rsid w:val="00870BD4"/>
    <w:rsid w:val="00871350"/>
    <w:rsid w:val="0087219A"/>
    <w:rsid w:val="00872520"/>
    <w:rsid w:val="00872CC1"/>
    <w:rsid w:val="00873013"/>
    <w:rsid w:val="00873A10"/>
    <w:rsid w:val="00873D2D"/>
    <w:rsid w:val="00874569"/>
    <w:rsid w:val="00874736"/>
    <w:rsid w:val="00874BFC"/>
    <w:rsid w:val="0087547F"/>
    <w:rsid w:val="008766F8"/>
    <w:rsid w:val="008773D3"/>
    <w:rsid w:val="0087781D"/>
    <w:rsid w:val="00880116"/>
    <w:rsid w:val="00881BB7"/>
    <w:rsid w:val="0088229C"/>
    <w:rsid w:val="0088339B"/>
    <w:rsid w:val="008839FE"/>
    <w:rsid w:val="008843E3"/>
    <w:rsid w:val="0088493F"/>
    <w:rsid w:val="008858A7"/>
    <w:rsid w:val="00887A2A"/>
    <w:rsid w:val="0089226E"/>
    <w:rsid w:val="00892971"/>
    <w:rsid w:val="00895608"/>
    <w:rsid w:val="0089645E"/>
    <w:rsid w:val="008A114C"/>
    <w:rsid w:val="008A298D"/>
    <w:rsid w:val="008A51CF"/>
    <w:rsid w:val="008A76BA"/>
    <w:rsid w:val="008B12EF"/>
    <w:rsid w:val="008B279C"/>
    <w:rsid w:val="008B3CAB"/>
    <w:rsid w:val="008B4216"/>
    <w:rsid w:val="008B4BE0"/>
    <w:rsid w:val="008B57A7"/>
    <w:rsid w:val="008B5A5C"/>
    <w:rsid w:val="008B66AA"/>
    <w:rsid w:val="008B6B11"/>
    <w:rsid w:val="008C05CE"/>
    <w:rsid w:val="008C0DAF"/>
    <w:rsid w:val="008C19C9"/>
    <w:rsid w:val="008C2718"/>
    <w:rsid w:val="008C581B"/>
    <w:rsid w:val="008C7AA4"/>
    <w:rsid w:val="008D15BE"/>
    <w:rsid w:val="008D1EDE"/>
    <w:rsid w:val="008D2A25"/>
    <w:rsid w:val="008D3F84"/>
    <w:rsid w:val="008D4C45"/>
    <w:rsid w:val="008D5E32"/>
    <w:rsid w:val="008D65AD"/>
    <w:rsid w:val="008D6F00"/>
    <w:rsid w:val="008D7584"/>
    <w:rsid w:val="008D763E"/>
    <w:rsid w:val="008E0432"/>
    <w:rsid w:val="008E262D"/>
    <w:rsid w:val="008E30EC"/>
    <w:rsid w:val="008E403F"/>
    <w:rsid w:val="008E4BC3"/>
    <w:rsid w:val="008F0110"/>
    <w:rsid w:val="008F2AFA"/>
    <w:rsid w:val="00900486"/>
    <w:rsid w:val="00901668"/>
    <w:rsid w:val="009017AE"/>
    <w:rsid w:val="00902497"/>
    <w:rsid w:val="009028FA"/>
    <w:rsid w:val="00904764"/>
    <w:rsid w:val="00904E79"/>
    <w:rsid w:val="00905A64"/>
    <w:rsid w:val="009076D5"/>
    <w:rsid w:val="00907EEA"/>
    <w:rsid w:val="00910668"/>
    <w:rsid w:val="0091076C"/>
    <w:rsid w:val="00910D5D"/>
    <w:rsid w:val="00912DCE"/>
    <w:rsid w:val="00914209"/>
    <w:rsid w:val="00914451"/>
    <w:rsid w:val="00915C78"/>
    <w:rsid w:val="00917DF6"/>
    <w:rsid w:val="00920F0B"/>
    <w:rsid w:val="00922892"/>
    <w:rsid w:val="00924469"/>
    <w:rsid w:val="009249C6"/>
    <w:rsid w:val="00924E29"/>
    <w:rsid w:val="009250C5"/>
    <w:rsid w:val="00925391"/>
    <w:rsid w:val="00925509"/>
    <w:rsid w:val="009268F3"/>
    <w:rsid w:val="0092731E"/>
    <w:rsid w:val="009275BA"/>
    <w:rsid w:val="009322B1"/>
    <w:rsid w:val="00934943"/>
    <w:rsid w:val="00934E72"/>
    <w:rsid w:val="00935030"/>
    <w:rsid w:val="00936CA4"/>
    <w:rsid w:val="00936EF5"/>
    <w:rsid w:val="0094044A"/>
    <w:rsid w:val="00942010"/>
    <w:rsid w:val="009440A6"/>
    <w:rsid w:val="009451D2"/>
    <w:rsid w:val="00945293"/>
    <w:rsid w:val="0094627E"/>
    <w:rsid w:val="009462F4"/>
    <w:rsid w:val="00946E11"/>
    <w:rsid w:val="009470C7"/>
    <w:rsid w:val="00950287"/>
    <w:rsid w:val="00950EA2"/>
    <w:rsid w:val="00950EB4"/>
    <w:rsid w:val="00951A52"/>
    <w:rsid w:val="00955AFF"/>
    <w:rsid w:val="00956181"/>
    <w:rsid w:val="00956EC7"/>
    <w:rsid w:val="00957727"/>
    <w:rsid w:val="00957DFA"/>
    <w:rsid w:val="0096075C"/>
    <w:rsid w:val="0096173D"/>
    <w:rsid w:val="0096178A"/>
    <w:rsid w:val="00962040"/>
    <w:rsid w:val="0096235A"/>
    <w:rsid w:val="00965F5E"/>
    <w:rsid w:val="0096609F"/>
    <w:rsid w:val="00967251"/>
    <w:rsid w:val="00967A66"/>
    <w:rsid w:val="00967FFA"/>
    <w:rsid w:val="009705B8"/>
    <w:rsid w:val="009705DA"/>
    <w:rsid w:val="00970B28"/>
    <w:rsid w:val="009718E5"/>
    <w:rsid w:val="00973164"/>
    <w:rsid w:val="00974453"/>
    <w:rsid w:val="00975FA8"/>
    <w:rsid w:val="00980755"/>
    <w:rsid w:val="00981499"/>
    <w:rsid w:val="00983389"/>
    <w:rsid w:val="00983715"/>
    <w:rsid w:val="009847D1"/>
    <w:rsid w:val="0098514E"/>
    <w:rsid w:val="0098579F"/>
    <w:rsid w:val="0098746F"/>
    <w:rsid w:val="00991152"/>
    <w:rsid w:val="00992CF5"/>
    <w:rsid w:val="0099318C"/>
    <w:rsid w:val="0099380B"/>
    <w:rsid w:val="0099553C"/>
    <w:rsid w:val="0099561A"/>
    <w:rsid w:val="0099566A"/>
    <w:rsid w:val="00997286"/>
    <w:rsid w:val="00997299"/>
    <w:rsid w:val="009A10E9"/>
    <w:rsid w:val="009A17F6"/>
    <w:rsid w:val="009A2768"/>
    <w:rsid w:val="009A2D17"/>
    <w:rsid w:val="009A2FF3"/>
    <w:rsid w:val="009A3B17"/>
    <w:rsid w:val="009A3C12"/>
    <w:rsid w:val="009A4C7D"/>
    <w:rsid w:val="009A4F8D"/>
    <w:rsid w:val="009A5A56"/>
    <w:rsid w:val="009A618A"/>
    <w:rsid w:val="009A6CD6"/>
    <w:rsid w:val="009A7A19"/>
    <w:rsid w:val="009B0DB4"/>
    <w:rsid w:val="009B0F87"/>
    <w:rsid w:val="009B1982"/>
    <w:rsid w:val="009B226B"/>
    <w:rsid w:val="009B22CC"/>
    <w:rsid w:val="009B2994"/>
    <w:rsid w:val="009B3003"/>
    <w:rsid w:val="009B327A"/>
    <w:rsid w:val="009B4449"/>
    <w:rsid w:val="009B4E7A"/>
    <w:rsid w:val="009B632B"/>
    <w:rsid w:val="009C057B"/>
    <w:rsid w:val="009C0C5A"/>
    <w:rsid w:val="009C144B"/>
    <w:rsid w:val="009C29B1"/>
    <w:rsid w:val="009C2A38"/>
    <w:rsid w:val="009C33E9"/>
    <w:rsid w:val="009C37E2"/>
    <w:rsid w:val="009C3AE9"/>
    <w:rsid w:val="009C432D"/>
    <w:rsid w:val="009C5292"/>
    <w:rsid w:val="009C6E92"/>
    <w:rsid w:val="009C6F4F"/>
    <w:rsid w:val="009C7C46"/>
    <w:rsid w:val="009D007A"/>
    <w:rsid w:val="009D0955"/>
    <w:rsid w:val="009D15C8"/>
    <w:rsid w:val="009D1C00"/>
    <w:rsid w:val="009D1E53"/>
    <w:rsid w:val="009D4D34"/>
    <w:rsid w:val="009D607C"/>
    <w:rsid w:val="009D65FF"/>
    <w:rsid w:val="009E0E9F"/>
    <w:rsid w:val="009E348E"/>
    <w:rsid w:val="009E6579"/>
    <w:rsid w:val="009F0553"/>
    <w:rsid w:val="009F1A73"/>
    <w:rsid w:val="009F39A0"/>
    <w:rsid w:val="009F3A8F"/>
    <w:rsid w:val="009F752B"/>
    <w:rsid w:val="00A011C1"/>
    <w:rsid w:val="00A01685"/>
    <w:rsid w:val="00A018BD"/>
    <w:rsid w:val="00A02341"/>
    <w:rsid w:val="00A0259D"/>
    <w:rsid w:val="00A028D1"/>
    <w:rsid w:val="00A03076"/>
    <w:rsid w:val="00A0408F"/>
    <w:rsid w:val="00A05A86"/>
    <w:rsid w:val="00A0681F"/>
    <w:rsid w:val="00A06824"/>
    <w:rsid w:val="00A0682B"/>
    <w:rsid w:val="00A06F70"/>
    <w:rsid w:val="00A06F9C"/>
    <w:rsid w:val="00A07AC3"/>
    <w:rsid w:val="00A07E58"/>
    <w:rsid w:val="00A10848"/>
    <w:rsid w:val="00A137B9"/>
    <w:rsid w:val="00A13CEB"/>
    <w:rsid w:val="00A147BC"/>
    <w:rsid w:val="00A14A90"/>
    <w:rsid w:val="00A16AFB"/>
    <w:rsid w:val="00A17FAD"/>
    <w:rsid w:val="00A20778"/>
    <w:rsid w:val="00A20CD9"/>
    <w:rsid w:val="00A20FC0"/>
    <w:rsid w:val="00A21378"/>
    <w:rsid w:val="00A21680"/>
    <w:rsid w:val="00A223DC"/>
    <w:rsid w:val="00A23648"/>
    <w:rsid w:val="00A25C13"/>
    <w:rsid w:val="00A273D3"/>
    <w:rsid w:val="00A30F40"/>
    <w:rsid w:val="00A312C4"/>
    <w:rsid w:val="00A31A74"/>
    <w:rsid w:val="00A31C5E"/>
    <w:rsid w:val="00A33C9B"/>
    <w:rsid w:val="00A35F4C"/>
    <w:rsid w:val="00A360AA"/>
    <w:rsid w:val="00A36D89"/>
    <w:rsid w:val="00A40909"/>
    <w:rsid w:val="00A40DDC"/>
    <w:rsid w:val="00A41736"/>
    <w:rsid w:val="00A4285B"/>
    <w:rsid w:val="00A439F1"/>
    <w:rsid w:val="00A43FEE"/>
    <w:rsid w:val="00A51296"/>
    <w:rsid w:val="00A522C1"/>
    <w:rsid w:val="00A5232B"/>
    <w:rsid w:val="00A55146"/>
    <w:rsid w:val="00A61B52"/>
    <w:rsid w:val="00A6267A"/>
    <w:rsid w:val="00A65228"/>
    <w:rsid w:val="00A72C25"/>
    <w:rsid w:val="00A73D04"/>
    <w:rsid w:val="00A73EAC"/>
    <w:rsid w:val="00A73F04"/>
    <w:rsid w:val="00A743BA"/>
    <w:rsid w:val="00A75A9B"/>
    <w:rsid w:val="00A76652"/>
    <w:rsid w:val="00A80281"/>
    <w:rsid w:val="00A8038A"/>
    <w:rsid w:val="00A8103D"/>
    <w:rsid w:val="00A810C5"/>
    <w:rsid w:val="00A8306A"/>
    <w:rsid w:val="00A849F4"/>
    <w:rsid w:val="00A856B6"/>
    <w:rsid w:val="00A8605F"/>
    <w:rsid w:val="00A9038D"/>
    <w:rsid w:val="00A91E91"/>
    <w:rsid w:val="00A923FB"/>
    <w:rsid w:val="00A9269D"/>
    <w:rsid w:val="00A92F27"/>
    <w:rsid w:val="00A93EF9"/>
    <w:rsid w:val="00A949EA"/>
    <w:rsid w:val="00A953CA"/>
    <w:rsid w:val="00A96E15"/>
    <w:rsid w:val="00AA0433"/>
    <w:rsid w:val="00AA07F9"/>
    <w:rsid w:val="00AA0B22"/>
    <w:rsid w:val="00AA302E"/>
    <w:rsid w:val="00AA32B8"/>
    <w:rsid w:val="00AA34C7"/>
    <w:rsid w:val="00AA5C38"/>
    <w:rsid w:val="00AA7183"/>
    <w:rsid w:val="00AA73E2"/>
    <w:rsid w:val="00AA7987"/>
    <w:rsid w:val="00AB15B8"/>
    <w:rsid w:val="00AB2D2F"/>
    <w:rsid w:val="00AB3AE1"/>
    <w:rsid w:val="00AB3F7D"/>
    <w:rsid w:val="00AB49A0"/>
    <w:rsid w:val="00AB7E6B"/>
    <w:rsid w:val="00AC0B3C"/>
    <w:rsid w:val="00AC0B86"/>
    <w:rsid w:val="00AC254C"/>
    <w:rsid w:val="00AC2CC1"/>
    <w:rsid w:val="00AC32F5"/>
    <w:rsid w:val="00AC39A7"/>
    <w:rsid w:val="00AC44CC"/>
    <w:rsid w:val="00AC534F"/>
    <w:rsid w:val="00AD0960"/>
    <w:rsid w:val="00AD2EEF"/>
    <w:rsid w:val="00AD31A5"/>
    <w:rsid w:val="00AD65DC"/>
    <w:rsid w:val="00AD6CAF"/>
    <w:rsid w:val="00AE2AC4"/>
    <w:rsid w:val="00AE44F3"/>
    <w:rsid w:val="00AE5E91"/>
    <w:rsid w:val="00AE6983"/>
    <w:rsid w:val="00AE7B9E"/>
    <w:rsid w:val="00AF0115"/>
    <w:rsid w:val="00AF28FE"/>
    <w:rsid w:val="00AF497E"/>
    <w:rsid w:val="00AF525D"/>
    <w:rsid w:val="00AF52C3"/>
    <w:rsid w:val="00B02A98"/>
    <w:rsid w:val="00B03233"/>
    <w:rsid w:val="00B043E1"/>
    <w:rsid w:val="00B11E9D"/>
    <w:rsid w:val="00B128C2"/>
    <w:rsid w:val="00B12AE3"/>
    <w:rsid w:val="00B12E4E"/>
    <w:rsid w:val="00B141CA"/>
    <w:rsid w:val="00B15944"/>
    <w:rsid w:val="00B163EA"/>
    <w:rsid w:val="00B16430"/>
    <w:rsid w:val="00B1663E"/>
    <w:rsid w:val="00B17B02"/>
    <w:rsid w:val="00B17D0D"/>
    <w:rsid w:val="00B20824"/>
    <w:rsid w:val="00B20959"/>
    <w:rsid w:val="00B20BFA"/>
    <w:rsid w:val="00B219FE"/>
    <w:rsid w:val="00B21F97"/>
    <w:rsid w:val="00B221DC"/>
    <w:rsid w:val="00B22DF6"/>
    <w:rsid w:val="00B23F04"/>
    <w:rsid w:val="00B245F7"/>
    <w:rsid w:val="00B24F7B"/>
    <w:rsid w:val="00B25742"/>
    <w:rsid w:val="00B33EC9"/>
    <w:rsid w:val="00B3507C"/>
    <w:rsid w:val="00B351AA"/>
    <w:rsid w:val="00B3582B"/>
    <w:rsid w:val="00B35C69"/>
    <w:rsid w:val="00B41130"/>
    <w:rsid w:val="00B41161"/>
    <w:rsid w:val="00B41235"/>
    <w:rsid w:val="00B41722"/>
    <w:rsid w:val="00B424D0"/>
    <w:rsid w:val="00B43BBB"/>
    <w:rsid w:val="00B443F2"/>
    <w:rsid w:val="00B449E2"/>
    <w:rsid w:val="00B44CAD"/>
    <w:rsid w:val="00B45A5C"/>
    <w:rsid w:val="00B45CFC"/>
    <w:rsid w:val="00B50350"/>
    <w:rsid w:val="00B505DD"/>
    <w:rsid w:val="00B511A0"/>
    <w:rsid w:val="00B51AF3"/>
    <w:rsid w:val="00B51E6F"/>
    <w:rsid w:val="00B51FB1"/>
    <w:rsid w:val="00B52AB4"/>
    <w:rsid w:val="00B53F13"/>
    <w:rsid w:val="00B54E13"/>
    <w:rsid w:val="00B5583C"/>
    <w:rsid w:val="00B571C8"/>
    <w:rsid w:val="00B57431"/>
    <w:rsid w:val="00B578E9"/>
    <w:rsid w:val="00B57A07"/>
    <w:rsid w:val="00B61DD7"/>
    <w:rsid w:val="00B61E00"/>
    <w:rsid w:val="00B63D0B"/>
    <w:rsid w:val="00B65091"/>
    <w:rsid w:val="00B660E5"/>
    <w:rsid w:val="00B662FD"/>
    <w:rsid w:val="00B66673"/>
    <w:rsid w:val="00B70068"/>
    <w:rsid w:val="00B704A4"/>
    <w:rsid w:val="00B71C77"/>
    <w:rsid w:val="00B74E18"/>
    <w:rsid w:val="00B7792A"/>
    <w:rsid w:val="00B77C0D"/>
    <w:rsid w:val="00B77F83"/>
    <w:rsid w:val="00B8006D"/>
    <w:rsid w:val="00B8058C"/>
    <w:rsid w:val="00B826DD"/>
    <w:rsid w:val="00B828B2"/>
    <w:rsid w:val="00B83801"/>
    <w:rsid w:val="00B85AE8"/>
    <w:rsid w:val="00B85FD6"/>
    <w:rsid w:val="00B8729D"/>
    <w:rsid w:val="00B90123"/>
    <w:rsid w:val="00B92F9E"/>
    <w:rsid w:val="00B9360F"/>
    <w:rsid w:val="00B93CB4"/>
    <w:rsid w:val="00B94E7C"/>
    <w:rsid w:val="00B94F87"/>
    <w:rsid w:val="00BA1240"/>
    <w:rsid w:val="00BA14D0"/>
    <w:rsid w:val="00BA2A16"/>
    <w:rsid w:val="00BA6EF5"/>
    <w:rsid w:val="00BA7307"/>
    <w:rsid w:val="00BA7FE2"/>
    <w:rsid w:val="00BB0656"/>
    <w:rsid w:val="00BB2255"/>
    <w:rsid w:val="00BB2F1C"/>
    <w:rsid w:val="00BB3265"/>
    <w:rsid w:val="00BB3F13"/>
    <w:rsid w:val="00BB4108"/>
    <w:rsid w:val="00BB5A7A"/>
    <w:rsid w:val="00BB6F6A"/>
    <w:rsid w:val="00BB743F"/>
    <w:rsid w:val="00BB77E0"/>
    <w:rsid w:val="00BB7C84"/>
    <w:rsid w:val="00BC0DED"/>
    <w:rsid w:val="00BC15AC"/>
    <w:rsid w:val="00BC3BBD"/>
    <w:rsid w:val="00BC53A5"/>
    <w:rsid w:val="00BC55C8"/>
    <w:rsid w:val="00BC5F42"/>
    <w:rsid w:val="00BD0D93"/>
    <w:rsid w:val="00BD1068"/>
    <w:rsid w:val="00BD3774"/>
    <w:rsid w:val="00BD37D6"/>
    <w:rsid w:val="00BD3926"/>
    <w:rsid w:val="00BD3C9C"/>
    <w:rsid w:val="00BD49C5"/>
    <w:rsid w:val="00BD4E5F"/>
    <w:rsid w:val="00BD5309"/>
    <w:rsid w:val="00BD5760"/>
    <w:rsid w:val="00BD5C17"/>
    <w:rsid w:val="00BD5D9B"/>
    <w:rsid w:val="00BD6394"/>
    <w:rsid w:val="00BD6CDD"/>
    <w:rsid w:val="00BE0072"/>
    <w:rsid w:val="00BE1A65"/>
    <w:rsid w:val="00BE1D69"/>
    <w:rsid w:val="00BE1F68"/>
    <w:rsid w:val="00BE2923"/>
    <w:rsid w:val="00BE3928"/>
    <w:rsid w:val="00BE49A5"/>
    <w:rsid w:val="00BE4CFB"/>
    <w:rsid w:val="00BE6898"/>
    <w:rsid w:val="00BF0EDF"/>
    <w:rsid w:val="00BF1754"/>
    <w:rsid w:val="00BF1DF7"/>
    <w:rsid w:val="00BF23D0"/>
    <w:rsid w:val="00BF2BED"/>
    <w:rsid w:val="00BF2C31"/>
    <w:rsid w:val="00BF350C"/>
    <w:rsid w:val="00C0043D"/>
    <w:rsid w:val="00C01667"/>
    <w:rsid w:val="00C01AF5"/>
    <w:rsid w:val="00C022DE"/>
    <w:rsid w:val="00C05617"/>
    <w:rsid w:val="00C10C6B"/>
    <w:rsid w:val="00C12873"/>
    <w:rsid w:val="00C12B37"/>
    <w:rsid w:val="00C13CA4"/>
    <w:rsid w:val="00C14FCE"/>
    <w:rsid w:val="00C15840"/>
    <w:rsid w:val="00C16393"/>
    <w:rsid w:val="00C17B98"/>
    <w:rsid w:val="00C20068"/>
    <w:rsid w:val="00C21117"/>
    <w:rsid w:val="00C219EA"/>
    <w:rsid w:val="00C2236B"/>
    <w:rsid w:val="00C2709B"/>
    <w:rsid w:val="00C2727B"/>
    <w:rsid w:val="00C27D5B"/>
    <w:rsid w:val="00C27D82"/>
    <w:rsid w:val="00C32CFC"/>
    <w:rsid w:val="00C33E54"/>
    <w:rsid w:val="00C34F2A"/>
    <w:rsid w:val="00C3723A"/>
    <w:rsid w:val="00C40957"/>
    <w:rsid w:val="00C40FAB"/>
    <w:rsid w:val="00C41170"/>
    <w:rsid w:val="00C41F5A"/>
    <w:rsid w:val="00C42601"/>
    <w:rsid w:val="00C42E02"/>
    <w:rsid w:val="00C43118"/>
    <w:rsid w:val="00C43A9A"/>
    <w:rsid w:val="00C44684"/>
    <w:rsid w:val="00C452ED"/>
    <w:rsid w:val="00C454F2"/>
    <w:rsid w:val="00C473B7"/>
    <w:rsid w:val="00C501A2"/>
    <w:rsid w:val="00C5068A"/>
    <w:rsid w:val="00C50CC8"/>
    <w:rsid w:val="00C513B6"/>
    <w:rsid w:val="00C51966"/>
    <w:rsid w:val="00C526F5"/>
    <w:rsid w:val="00C52E0C"/>
    <w:rsid w:val="00C530FC"/>
    <w:rsid w:val="00C531E5"/>
    <w:rsid w:val="00C567B3"/>
    <w:rsid w:val="00C56CF1"/>
    <w:rsid w:val="00C6098B"/>
    <w:rsid w:val="00C640A5"/>
    <w:rsid w:val="00C645AE"/>
    <w:rsid w:val="00C65691"/>
    <w:rsid w:val="00C66362"/>
    <w:rsid w:val="00C6751B"/>
    <w:rsid w:val="00C67C3F"/>
    <w:rsid w:val="00C70A74"/>
    <w:rsid w:val="00C70EA1"/>
    <w:rsid w:val="00C7201E"/>
    <w:rsid w:val="00C72B89"/>
    <w:rsid w:val="00C7523F"/>
    <w:rsid w:val="00C752AA"/>
    <w:rsid w:val="00C757AB"/>
    <w:rsid w:val="00C76B32"/>
    <w:rsid w:val="00C77501"/>
    <w:rsid w:val="00C801E0"/>
    <w:rsid w:val="00C80409"/>
    <w:rsid w:val="00C80987"/>
    <w:rsid w:val="00C811A8"/>
    <w:rsid w:val="00C86A66"/>
    <w:rsid w:val="00C93D9E"/>
    <w:rsid w:val="00C95F8E"/>
    <w:rsid w:val="00C963EA"/>
    <w:rsid w:val="00C97C08"/>
    <w:rsid w:val="00CA0051"/>
    <w:rsid w:val="00CA1B68"/>
    <w:rsid w:val="00CA2E97"/>
    <w:rsid w:val="00CA3F49"/>
    <w:rsid w:val="00CA5D13"/>
    <w:rsid w:val="00CA6B25"/>
    <w:rsid w:val="00CB04B4"/>
    <w:rsid w:val="00CB09AF"/>
    <w:rsid w:val="00CB0DAD"/>
    <w:rsid w:val="00CB144D"/>
    <w:rsid w:val="00CB1671"/>
    <w:rsid w:val="00CB1951"/>
    <w:rsid w:val="00CB3C3D"/>
    <w:rsid w:val="00CB4335"/>
    <w:rsid w:val="00CB5D7E"/>
    <w:rsid w:val="00CB78F8"/>
    <w:rsid w:val="00CC00A8"/>
    <w:rsid w:val="00CC04F0"/>
    <w:rsid w:val="00CC0F33"/>
    <w:rsid w:val="00CC1A99"/>
    <w:rsid w:val="00CC2082"/>
    <w:rsid w:val="00CC2854"/>
    <w:rsid w:val="00CC30B9"/>
    <w:rsid w:val="00CC33E2"/>
    <w:rsid w:val="00CC417C"/>
    <w:rsid w:val="00CC5A1D"/>
    <w:rsid w:val="00CD00E1"/>
    <w:rsid w:val="00CD0321"/>
    <w:rsid w:val="00CD038A"/>
    <w:rsid w:val="00CD0946"/>
    <w:rsid w:val="00CD1B09"/>
    <w:rsid w:val="00CD21D7"/>
    <w:rsid w:val="00CD350D"/>
    <w:rsid w:val="00CD58ED"/>
    <w:rsid w:val="00CD6781"/>
    <w:rsid w:val="00CD7556"/>
    <w:rsid w:val="00CD7EAA"/>
    <w:rsid w:val="00CE2E97"/>
    <w:rsid w:val="00CE4AED"/>
    <w:rsid w:val="00CE6835"/>
    <w:rsid w:val="00CE7215"/>
    <w:rsid w:val="00CE7DDF"/>
    <w:rsid w:val="00CF008F"/>
    <w:rsid w:val="00CF0321"/>
    <w:rsid w:val="00CF1BCD"/>
    <w:rsid w:val="00CF2103"/>
    <w:rsid w:val="00CF2FE3"/>
    <w:rsid w:val="00CF39BF"/>
    <w:rsid w:val="00CF68C8"/>
    <w:rsid w:val="00D00E4E"/>
    <w:rsid w:val="00D01B4C"/>
    <w:rsid w:val="00D01C79"/>
    <w:rsid w:val="00D01E48"/>
    <w:rsid w:val="00D03FA1"/>
    <w:rsid w:val="00D04ADD"/>
    <w:rsid w:val="00D056F7"/>
    <w:rsid w:val="00D0747D"/>
    <w:rsid w:val="00D07787"/>
    <w:rsid w:val="00D1091F"/>
    <w:rsid w:val="00D10CAB"/>
    <w:rsid w:val="00D12A9C"/>
    <w:rsid w:val="00D132AC"/>
    <w:rsid w:val="00D139DF"/>
    <w:rsid w:val="00D14DF3"/>
    <w:rsid w:val="00D15555"/>
    <w:rsid w:val="00D222F6"/>
    <w:rsid w:val="00D230CD"/>
    <w:rsid w:val="00D24F5C"/>
    <w:rsid w:val="00D25F94"/>
    <w:rsid w:val="00D26B0D"/>
    <w:rsid w:val="00D30A74"/>
    <w:rsid w:val="00D30B4F"/>
    <w:rsid w:val="00D3170E"/>
    <w:rsid w:val="00D32811"/>
    <w:rsid w:val="00D341C8"/>
    <w:rsid w:val="00D354FD"/>
    <w:rsid w:val="00D362E1"/>
    <w:rsid w:val="00D375DE"/>
    <w:rsid w:val="00D378EB"/>
    <w:rsid w:val="00D37CE0"/>
    <w:rsid w:val="00D4055A"/>
    <w:rsid w:val="00D41668"/>
    <w:rsid w:val="00D4216F"/>
    <w:rsid w:val="00D429CA"/>
    <w:rsid w:val="00D42F44"/>
    <w:rsid w:val="00D44AD8"/>
    <w:rsid w:val="00D46AB1"/>
    <w:rsid w:val="00D5016A"/>
    <w:rsid w:val="00D5034A"/>
    <w:rsid w:val="00D511D2"/>
    <w:rsid w:val="00D512C9"/>
    <w:rsid w:val="00D53D08"/>
    <w:rsid w:val="00D561DA"/>
    <w:rsid w:val="00D60A6A"/>
    <w:rsid w:val="00D61B93"/>
    <w:rsid w:val="00D621E4"/>
    <w:rsid w:val="00D6245B"/>
    <w:rsid w:val="00D628F0"/>
    <w:rsid w:val="00D62CCA"/>
    <w:rsid w:val="00D63E95"/>
    <w:rsid w:val="00D6469C"/>
    <w:rsid w:val="00D65B30"/>
    <w:rsid w:val="00D65D4B"/>
    <w:rsid w:val="00D66C50"/>
    <w:rsid w:val="00D67B56"/>
    <w:rsid w:val="00D67FF2"/>
    <w:rsid w:val="00D7012D"/>
    <w:rsid w:val="00D707ED"/>
    <w:rsid w:val="00D709E4"/>
    <w:rsid w:val="00D71418"/>
    <w:rsid w:val="00D7160A"/>
    <w:rsid w:val="00D730F3"/>
    <w:rsid w:val="00D73D17"/>
    <w:rsid w:val="00D74256"/>
    <w:rsid w:val="00D74C1C"/>
    <w:rsid w:val="00D76556"/>
    <w:rsid w:val="00D7726D"/>
    <w:rsid w:val="00D77A2E"/>
    <w:rsid w:val="00D8026B"/>
    <w:rsid w:val="00D80BC7"/>
    <w:rsid w:val="00D8133C"/>
    <w:rsid w:val="00D83392"/>
    <w:rsid w:val="00D83F24"/>
    <w:rsid w:val="00D8425D"/>
    <w:rsid w:val="00D85049"/>
    <w:rsid w:val="00D8598F"/>
    <w:rsid w:val="00D87044"/>
    <w:rsid w:val="00D91BEF"/>
    <w:rsid w:val="00D920B9"/>
    <w:rsid w:val="00D92577"/>
    <w:rsid w:val="00D930F4"/>
    <w:rsid w:val="00D94012"/>
    <w:rsid w:val="00D9416A"/>
    <w:rsid w:val="00D9485B"/>
    <w:rsid w:val="00D95BFE"/>
    <w:rsid w:val="00D95DA9"/>
    <w:rsid w:val="00DA03FD"/>
    <w:rsid w:val="00DA0D2C"/>
    <w:rsid w:val="00DA1178"/>
    <w:rsid w:val="00DA135D"/>
    <w:rsid w:val="00DA1B5C"/>
    <w:rsid w:val="00DA35CE"/>
    <w:rsid w:val="00DA3F61"/>
    <w:rsid w:val="00DA4B4D"/>
    <w:rsid w:val="00DA56FF"/>
    <w:rsid w:val="00DB008C"/>
    <w:rsid w:val="00DB1D32"/>
    <w:rsid w:val="00DB323F"/>
    <w:rsid w:val="00DB7F98"/>
    <w:rsid w:val="00DC1865"/>
    <w:rsid w:val="00DC25F5"/>
    <w:rsid w:val="00DC26AA"/>
    <w:rsid w:val="00DC518D"/>
    <w:rsid w:val="00DC6305"/>
    <w:rsid w:val="00DC7045"/>
    <w:rsid w:val="00DC730B"/>
    <w:rsid w:val="00DC7E16"/>
    <w:rsid w:val="00DD0915"/>
    <w:rsid w:val="00DD1A16"/>
    <w:rsid w:val="00DD1A86"/>
    <w:rsid w:val="00DD2539"/>
    <w:rsid w:val="00DD2B4E"/>
    <w:rsid w:val="00DD2C08"/>
    <w:rsid w:val="00DD337D"/>
    <w:rsid w:val="00DD5A23"/>
    <w:rsid w:val="00DD6185"/>
    <w:rsid w:val="00DD66E6"/>
    <w:rsid w:val="00DD76D9"/>
    <w:rsid w:val="00DE0751"/>
    <w:rsid w:val="00DE23A4"/>
    <w:rsid w:val="00DE2B48"/>
    <w:rsid w:val="00DE68B1"/>
    <w:rsid w:val="00DF0D1E"/>
    <w:rsid w:val="00DF118F"/>
    <w:rsid w:val="00DF13C2"/>
    <w:rsid w:val="00DF1B95"/>
    <w:rsid w:val="00DF1BDC"/>
    <w:rsid w:val="00DF22E5"/>
    <w:rsid w:val="00DF329B"/>
    <w:rsid w:val="00DF53B9"/>
    <w:rsid w:val="00DF5D28"/>
    <w:rsid w:val="00DF5EB8"/>
    <w:rsid w:val="00DF792C"/>
    <w:rsid w:val="00E004E6"/>
    <w:rsid w:val="00E051B0"/>
    <w:rsid w:val="00E05A96"/>
    <w:rsid w:val="00E0646D"/>
    <w:rsid w:val="00E10529"/>
    <w:rsid w:val="00E1134A"/>
    <w:rsid w:val="00E114A4"/>
    <w:rsid w:val="00E11CE1"/>
    <w:rsid w:val="00E14AB4"/>
    <w:rsid w:val="00E16303"/>
    <w:rsid w:val="00E165C3"/>
    <w:rsid w:val="00E1738C"/>
    <w:rsid w:val="00E2005A"/>
    <w:rsid w:val="00E20CB6"/>
    <w:rsid w:val="00E20E6B"/>
    <w:rsid w:val="00E21117"/>
    <w:rsid w:val="00E21118"/>
    <w:rsid w:val="00E22B8B"/>
    <w:rsid w:val="00E23159"/>
    <w:rsid w:val="00E24FC6"/>
    <w:rsid w:val="00E250AA"/>
    <w:rsid w:val="00E254C4"/>
    <w:rsid w:val="00E25BC7"/>
    <w:rsid w:val="00E2656F"/>
    <w:rsid w:val="00E30524"/>
    <w:rsid w:val="00E323BC"/>
    <w:rsid w:val="00E325F6"/>
    <w:rsid w:val="00E32618"/>
    <w:rsid w:val="00E335F0"/>
    <w:rsid w:val="00E33A65"/>
    <w:rsid w:val="00E344CE"/>
    <w:rsid w:val="00E34949"/>
    <w:rsid w:val="00E34F71"/>
    <w:rsid w:val="00E35927"/>
    <w:rsid w:val="00E35FA5"/>
    <w:rsid w:val="00E36053"/>
    <w:rsid w:val="00E3637C"/>
    <w:rsid w:val="00E3731D"/>
    <w:rsid w:val="00E406AE"/>
    <w:rsid w:val="00E40D9B"/>
    <w:rsid w:val="00E40E17"/>
    <w:rsid w:val="00E42BAB"/>
    <w:rsid w:val="00E449A0"/>
    <w:rsid w:val="00E45E9F"/>
    <w:rsid w:val="00E45F31"/>
    <w:rsid w:val="00E47B93"/>
    <w:rsid w:val="00E47C5C"/>
    <w:rsid w:val="00E50445"/>
    <w:rsid w:val="00E513D9"/>
    <w:rsid w:val="00E5192E"/>
    <w:rsid w:val="00E52829"/>
    <w:rsid w:val="00E547FC"/>
    <w:rsid w:val="00E54B9D"/>
    <w:rsid w:val="00E5578B"/>
    <w:rsid w:val="00E56744"/>
    <w:rsid w:val="00E57700"/>
    <w:rsid w:val="00E57FF2"/>
    <w:rsid w:val="00E627FC"/>
    <w:rsid w:val="00E6385B"/>
    <w:rsid w:val="00E638C0"/>
    <w:rsid w:val="00E63CFA"/>
    <w:rsid w:val="00E640B0"/>
    <w:rsid w:val="00E65A5C"/>
    <w:rsid w:val="00E66026"/>
    <w:rsid w:val="00E663AF"/>
    <w:rsid w:val="00E71F65"/>
    <w:rsid w:val="00E73543"/>
    <w:rsid w:val="00E745BD"/>
    <w:rsid w:val="00E7515A"/>
    <w:rsid w:val="00E75973"/>
    <w:rsid w:val="00E75F74"/>
    <w:rsid w:val="00E770E6"/>
    <w:rsid w:val="00E7726B"/>
    <w:rsid w:val="00E8083D"/>
    <w:rsid w:val="00E80A77"/>
    <w:rsid w:val="00E80B4D"/>
    <w:rsid w:val="00E82A40"/>
    <w:rsid w:val="00E8359E"/>
    <w:rsid w:val="00E843D6"/>
    <w:rsid w:val="00E90081"/>
    <w:rsid w:val="00E90F8A"/>
    <w:rsid w:val="00E91C33"/>
    <w:rsid w:val="00E96FB3"/>
    <w:rsid w:val="00EA03B9"/>
    <w:rsid w:val="00EA043C"/>
    <w:rsid w:val="00EA1B6C"/>
    <w:rsid w:val="00EA1FAB"/>
    <w:rsid w:val="00EA22A9"/>
    <w:rsid w:val="00EA26F3"/>
    <w:rsid w:val="00EA2DC1"/>
    <w:rsid w:val="00EA47F1"/>
    <w:rsid w:val="00EA6FFC"/>
    <w:rsid w:val="00EA738A"/>
    <w:rsid w:val="00EB012D"/>
    <w:rsid w:val="00EB0AA9"/>
    <w:rsid w:val="00EB0E12"/>
    <w:rsid w:val="00EB111A"/>
    <w:rsid w:val="00EB1D93"/>
    <w:rsid w:val="00EB4467"/>
    <w:rsid w:val="00EB46A3"/>
    <w:rsid w:val="00EB4763"/>
    <w:rsid w:val="00EB4A19"/>
    <w:rsid w:val="00EB5F47"/>
    <w:rsid w:val="00EB680E"/>
    <w:rsid w:val="00EB7AFC"/>
    <w:rsid w:val="00EB7B21"/>
    <w:rsid w:val="00EC329C"/>
    <w:rsid w:val="00EC37F7"/>
    <w:rsid w:val="00EC4756"/>
    <w:rsid w:val="00EC4EC5"/>
    <w:rsid w:val="00EC59C6"/>
    <w:rsid w:val="00EC666A"/>
    <w:rsid w:val="00EC6778"/>
    <w:rsid w:val="00EC6832"/>
    <w:rsid w:val="00EC791E"/>
    <w:rsid w:val="00ED09A4"/>
    <w:rsid w:val="00ED2593"/>
    <w:rsid w:val="00ED2F51"/>
    <w:rsid w:val="00ED59EF"/>
    <w:rsid w:val="00ED5B0B"/>
    <w:rsid w:val="00ED5E75"/>
    <w:rsid w:val="00EE1B16"/>
    <w:rsid w:val="00EE1FE9"/>
    <w:rsid w:val="00EE21F4"/>
    <w:rsid w:val="00EE42A3"/>
    <w:rsid w:val="00EE45FC"/>
    <w:rsid w:val="00EE4866"/>
    <w:rsid w:val="00EE4895"/>
    <w:rsid w:val="00EE49C9"/>
    <w:rsid w:val="00EE4C4B"/>
    <w:rsid w:val="00EE77F3"/>
    <w:rsid w:val="00EF17D1"/>
    <w:rsid w:val="00EF1C4D"/>
    <w:rsid w:val="00EF2B2D"/>
    <w:rsid w:val="00EF2C80"/>
    <w:rsid w:val="00EF3B42"/>
    <w:rsid w:val="00EF4256"/>
    <w:rsid w:val="00EF43B5"/>
    <w:rsid w:val="00EF43F9"/>
    <w:rsid w:val="00EF4567"/>
    <w:rsid w:val="00EF7F3B"/>
    <w:rsid w:val="00F0186A"/>
    <w:rsid w:val="00F01B40"/>
    <w:rsid w:val="00F01C9B"/>
    <w:rsid w:val="00F03C69"/>
    <w:rsid w:val="00F04630"/>
    <w:rsid w:val="00F05634"/>
    <w:rsid w:val="00F059A4"/>
    <w:rsid w:val="00F07283"/>
    <w:rsid w:val="00F1275D"/>
    <w:rsid w:val="00F1276E"/>
    <w:rsid w:val="00F12B73"/>
    <w:rsid w:val="00F13706"/>
    <w:rsid w:val="00F13E2B"/>
    <w:rsid w:val="00F1453C"/>
    <w:rsid w:val="00F156CC"/>
    <w:rsid w:val="00F16D44"/>
    <w:rsid w:val="00F20618"/>
    <w:rsid w:val="00F20DC1"/>
    <w:rsid w:val="00F21F53"/>
    <w:rsid w:val="00F24701"/>
    <w:rsid w:val="00F25BDE"/>
    <w:rsid w:val="00F26CE2"/>
    <w:rsid w:val="00F3055F"/>
    <w:rsid w:val="00F31526"/>
    <w:rsid w:val="00F319BC"/>
    <w:rsid w:val="00F32B5C"/>
    <w:rsid w:val="00F335C6"/>
    <w:rsid w:val="00F33868"/>
    <w:rsid w:val="00F343D4"/>
    <w:rsid w:val="00F348DB"/>
    <w:rsid w:val="00F35F4A"/>
    <w:rsid w:val="00F379AD"/>
    <w:rsid w:val="00F40603"/>
    <w:rsid w:val="00F40AEF"/>
    <w:rsid w:val="00F4102D"/>
    <w:rsid w:val="00F42C56"/>
    <w:rsid w:val="00F42F44"/>
    <w:rsid w:val="00F431AD"/>
    <w:rsid w:val="00F434F7"/>
    <w:rsid w:val="00F43A02"/>
    <w:rsid w:val="00F4472A"/>
    <w:rsid w:val="00F456EA"/>
    <w:rsid w:val="00F4601A"/>
    <w:rsid w:val="00F46A1C"/>
    <w:rsid w:val="00F47025"/>
    <w:rsid w:val="00F51174"/>
    <w:rsid w:val="00F51327"/>
    <w:rsid w:val="00F5160F"/>
    <w:rsid w:val="00F51DC2"/>
    <w:rsid w:val="00F531A1"/>
    <w:rsid w:val="00F53F44"/>
    <w:rsid w:val="00F54B44"/>
    <w:rsid w:val="00F54C68"/>
    <w:rsid w:val="00F54D46"/>
    <w:rsid w:val="00F552E0"/>
    <w:rsid w:val="00F55362"/>
    <w:rsid w:val="00F55BC1"/>
    <w:rsid w:val="00F561CB"/>
    <w:rsid w:val="00F5625D"/>
    <w:rsid w:val="00F574B4"/>
    <w:rsid w:val="00F60018"/>
    <w:rsid w:val="00F6019E"/>
    <w:rsid w:val="00F6324B"/>
    <w:rsid w:val="00F63653"/>
    <w:rsid w:val="00F641EF"/>
    <w:rsid w:val="00F6433F"/>
    <w:rsid w:val="00F6442C"/>
    <w:rsid w:val="00F65F41"/>
    <w:rsid w:val="00F66193"/>
    <w:rsid w:val="00F66DA1"/>
    <w:rsid w:val="00F673BF"/>
    <w:rsid w:val="00F677DE"/>
    <w:rsid w:val="00F6797D"/>
    <w:rsid w:val="00F71418"/>
    <w:rsid w:val="00F716B9"/>
    <w:rsid w:val="00F73860"/>
    <w:rsid w:val="00F7418C"/>
    <w:rsid w:val="00F74A5E"/>
    <w:rsid w:val="00F7762B"/>
    <w:rsid w:val="00F803A9"/>
    <w:rsid w:val="00F81093"/>
    <w:rsid w:val="00F8111C"/>
    <w:rsid w:val="00F813E7"/>
    <w:rsid w:val="00F818A9"/>
    <w:rsid w:val="00F825E4"/>
    <w:rsid w:val="00F82B0F"/>
    <w:rsid w:val="00F82F0A"/>
    <w:rsid w:val="00F83E39"/>
    <w:rsid w:val="00F84230"/>
    <w:rsid w:val="00F84AEA"/>
    <w:rsid w:val="00F87516"/>
    <w:rsid w:val="00F9072A"/>
    <w:rsid w:val="00F9124F"/>
    <w:rsid w:val="00F91D5B"/>
    <w:rsid w:val="00F92CE2"/>
    <w:rsid w:val="00F933AB"/>
    <w:rsid w:val="00F934E5"/>
    <w:rsid w:val="00F94813"/>
    <w:rsid w:val="00F95819"/>
    <w:rsid w:val="00F977A9"/>
    <w:rsid w:val="00FA1BA9"/>
    <w:rsid w:val="00FA2B2A"/>
    <w:rsid w:val="00FA2E01"/>
    <w:rsid w:val="00FA2E56"/>
    <w:rsid w:val="00FA3894"/>
    <w:rsid w:val="00FA4652"/>
    <w:rsid w:val="00FA540D"/>
    <w:rsid w:val="00FA545B"/>
    <w:rsid w:val="00FA64CB"/>
    <w:rsid w:val="00FA7880"/>
    <w:rsid w:val="00FA7B67"/>
    <w:rsid w:val="00FB0277"/>
    <w:rsid w:val="00FB0E91"/>
    <w:rsid w:val="00FB23C5"/>
    <w:rsid w:val="00FB2453"/>
    <w:rsid w:val="00FB48FC"/>
    <w:rsid w:val="00FB4C1A"/>
    <w:rsid w:val="00FB546F"/>
    <w:rsid w:val="00FB584A"/>
    <w:rsid w:val="00FB59CC"/>
    <w:rsid w:val="00FB5AE9"/>
    <w:rsid w:val="00FB5E55"/>
    <w:rsid w:val="00FB6C3F"/>
    <w:rsid w:val="00FB79B1"/>
    <w:rsid w:val="00FC08F2"/>
    <w:rsid w:val="00FC0D92"/>
    <w:rsid w:val="00FC0DDE"/>
    <w:rsid w:val="00FC5187"/>
    <w:rsid w:val="00FC542C"/>
    <w:rsid w:val="00FC55A9"/>
    <w:rsid w:val="00FC6432"/>
    <w:rsid w:val="00FC6B80"/>
    <w:rsid w:val="00FC6F3D"/>
    <w:rsid w:val="00FC727D"/>
    <w:rsid w:val="00FD02F9"/>
    <w:rsid w:val="00FD1D0F"/>
    <w:rsid w:val="00FD1D99"/>
    <w:rsid w:val="00FD1E20"/>
    <w:rsid w:val="00FD41B2"/>
    <w:rsid w:val="00FD58A7"/>
    <w:rsid w:val="00FD77D8"/>
    <w:rsid w:val="00FE0445"/>
    <w:rsid w:val="00FE1796"/>
    <w:rsid w:val="00FE1E88"/>
    <w:rsid w:val="00FE2387"/>
    <w:rsid w:val="00FE4298"/>
    <w:rsid w:val="00FE4B68"/>
    <w:rsid w:val="00FE6438"/>
    <w:rsid w:val="00FE6853"/>
    <w:rsid w:val="00FF1108"/>
    <w:rsid w:val="00FF3C92"/>
    <w:rsid w:val="00FF458B"/>
    <w:rsid w:val="00FF5DE3"/>
    <w:rsid w:val="00FF6166"/>
    <w:rsid w:val="00FF62A7"/>
    <w:rsid w:val="00FF6FD6"/>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ACAECB"/>
  <w14:defaultImageDpi w14:val="330"/>
  <w15:chartTrackingRefBased/>
  <w15:docId w15:val="{5C760064-08EB-4B1E-A776-477CCF4D8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0096"/>
    <w:rPr>
      <w:lang w:val="en-AU"/>
    </w:rPr>
  </w:style>
  <w:style w:type="paragraph" w:styleId="Heading1">
    <w:name w:val="heading 1"/>
    <w:aliases w:val="H2"/>
    <w:basedOn w:val="Heading2"/>
    <w:next w:val="Heading2"/>
    <w:link w:val="Heading1Char"/>
    <w:uiPriority w:val="9"/>
    <w:qFormat/>
    <w:rsid w:val="00C34F2A"/>
    <w:pPr>
      <w:spacing w:before="100" w:beforeAutospacing="1" w:after="480" w:line="240" w:lineRule="auto"/>
      <w:outlineLvl w:val="0"/>
    </w:pPr>
    <w:rPr>
      <w:spacing w:val="-12"/>
      <w:sz w:val="60"/>
      <w:szCs w:val="32"/>
    </w:rPr>
  </w:style>
  <w:style w:type="paragraph" w:styleId="Heading2">
    <w:name w:val="heading 2"/>
    <w:basedOn w:val="Normal"/>
    <w:next w:val="Normal"/>
    <w:link w:val="Heading2Char"/>
    <w:uiPriority w:val="9"/>
    <w:unhideWhenUsed/>
    <w:qFormat/>
    <w:rsid w:val="00C34F2A"/>
    <w:pPr>
      <w:keepNext/>
      <w:keepLines/>
      <w:spacing w:before="40" w:after="0"/>
      <w:outlineLvl w:val="1"/>
    </w:pPr>
    <w:rPr>
      <w:rFonts w:asciiTheme="majorHAnsi" w:eastAsiaTheme="majorEastAsia" w:hAnsiTheme="majorHAnsi" w:cstheme="majorBidi"/>
      <w:color w:val="006B3E" w:themeColor="accent1" w:themeShade="BF"/>
      <w:sz w:val="26"/>
      <w:szCs w:val="26"/>
    </w:rPr>
  </w:style>
  <w:style w:type="paragraph" w:styleId="Heading3">
    <w:name w:val="heading 3"/>
    <w:basedOn w:val="Normal"/>
    <w:next w:val="Normal"/>
    <w:link w:val="Heading3Char"/>
    <w:uiPriority w:val="9"/>
    <w:unhideWhenUsed/>
    <w:qFormat/>
    <w:rsid w:val="0096075C"/>
    <w:pPr>
      <w:keepNext/>
      <w:keepLines/>
      <w:spacing w:before="40" w:after="0"/>
      <w:outlineLvl w:val="2"/>
    </w:pPr>
    <w:rPr>
      <w:rFonts w:asciiTheme="majorHAnsi" w:eastAsiaTheme="majorEastAsia" w:hAnsiTheme="majorHAnsi" w:cstheme="majorBidi"/>
      <w:color w:val="004729" w:themeColor="accent1" w:themeShade="7F"/>
      <w:sz w:val="24"/>
      <w:szCs w:val="24"/>
    </w:rPr>
  </w:style>
  <w:style w:type="paragraph" w:styleId="Heading4">
    <w:name w:val="heading 4"/>
    <w:basedOn w:val="Normal"/>
    <w:next w:val="Normal"/>
    <w:link w:val="Heading4Char"/>
    <w:uiPriority w:val="9"/>
    <w:semiHidden/>
    <w:unhideWhenUsed/>
    <w:qFormat/>
    <w:rsid w:val="0096075C"/>
    <w:pPr>
      <w:keepNext/>
      <w:keepLines/>
      <w:spacing w:before="40" w:after="0"/>
      <w:outlineLvl w:val="3"/>
    </w:pPr>
    <w:rPr>
      <w:rFonts w:asciiTheme="majorHAnsi" w:eastAsiaTheme="majorEastAsia" w:hAnsiTheme="majorHAnsi" w:cstheme="majorBidi"/>
      <w:i/>
      <w:iCs/>
      <w:color w:val="006B3E" w:themeColor="accent1" w:themeShade="BF"/>
    </w:rPr>
  </w:style>
  <w:style w:type="paragraph" w:styleId="Heading5">
    <w:name w:val="heading 5"/>
    <w:basedOn w:val="Normal"/>
    <w:next w:val="Normal"/>
    <w:link w:val="Heading5Char"/>
    <w:uiPriority w:val="9"/>
    <w:semiHidden/>
    <w:unhideWhenUsed/>
    <w:qFormat/>
    <w:rsid w:val="0096075C"/>
    <w:pPr>
      <w:keepNext/>
      <w:keepLines/>
      <w:spacing w:before="40" w:after="0"/>
      <w:outlineLvl w:val="4"/>
    </w:pPr>
    <w:rPr>
      <w:rFonts w:asciiTheme="majorHAnsi" w:eastAsiaTheme="majorEastAsia" w:hAnsiTheme="majorHAnsi" w:cstheme="majorBidi"/>
      <w:color w:val="006B3E" w:themeColor="accent1" w:themeShade="BF"/>
    </w:rPr>
  </w:style>
  <w:style w:type="paragraph" w:styleId="Heading6">
    <w:name w:val="heading 6"/>
    <w:basedOn w:val="Normal"/>
    <w:next w:val="Normal"/>
    <w:link w:val="Heading6Char"/>
    <w:uiPriority w:val="9"/>
    <w:semiHidden/>
    <w:unhideWhenUsed/>
    <w:qFormat/>
    <w:rsid w:val="0096075C"/>
    <w:pPr>
      <w:keepNext/>
      <w:keepLines/>
      <w:spacing w:before="40" w:after="0"/>
      <w:outlineLvl w:val="5"/>
    </w:pPr>
    <w:rPr>
      <w:rFonts w:asciiTheme="majorHAnsi" w:eastAsiaTheme="majorEastAsia" w:hAnsiTheme="majorHAnsi" w:cstheme="majorBidi"/>
      <w:color w:val="004729" w:themeColor="accent1" w:themeShade="7F"/>
    </w:rPr>
  </w:style>
  <w:style w:type="paragraph" w:styleId="Heading7">
    <w:name w:val="heading 7"/>
    <w:basedOn w:val="Normal"/>
    <w:next w:val="Normal"/>
    <w:link w:val="Heading7Char"/>
    <w:uiPriority w:val="9"/>
    <w:semiHidden/>
    <w:unhideWhenUsed/>
    <w:qFormat/>
    <w:rsid w:val="0096075C"/>
    <w:pPr>
      <w:keepNext/>
      <w:keepLines/>
      <w:spacing w:before="40" w:after="0"/>
      <w:outlineLvl w:val="6"/>
    </w:pPr>
    <w:rPr>
      <w:rFonts w:asciiTheme="majorHAnsi" w:eastAsiaTheme="majorEastAsia" w:hAnsiTheme="majorHAnsi" w:cstheme="majorBidi"/>
      <w:i/>
      <w:iCs/>
      <w:color w:val="004729" w:themeColor="accent1" w:themeShade="7F"/>
    </w:rPr>
  </w:style>
  <w:style w:type="paragraph" w:styleId="Heading8">
    <w:name w:val="heading 8"/>
    <w:basedOn w:val="Normal"/>
    <w:next w:val="Normal"/>
    <w:link w:val="Heading8Char"/>
    <w:uiPriority w:val="9"/>
    <w:semiHidden/>
    <w:unhideWhenUsed/>
    <w:qFormat/>
    <w:rsid w:val="0096075C"/>
    <w:pPr>
      <w:keepNext/>
      <w:keepLines/>
      <w:spacing w:before="40" w:after="0"/>
      <w:outlineLvl w:val="7"/>
    </w:pPr>
    <w:rPr>
      <w:rFonts w:asciiTheme="majorHAnsi" w:eastAsiaTheme="majorEastAsia" w:hAnsiTheme="majorHAnsi" w:cstheme="majorBidi"/>
      <w:color w:val="00835B" w:themeColor="text1" w:themeTint="D8"/>
      <w:sz w:val="21"/>
      <w:szCs w:val="21"/>
    </w:rPr>
  </w:style>
  <w:style w:type="paragraph" w:styleId="Heading9">
    <w:name w:val="heading 9"/>
    <w:basedOn w:val="Normal"/>
    <w:next w:val="Normal"/>
    <w:link w:val="Heading9Char"/>
    <w:uiPriority w:val="9"/>
    <w:semiHidden/>
    <w:unhideWhenUsed/>
    <w:qFormat/>
    <w:rsid w:val="0096075C"/>
    <w:pPr>
      <w:keepNext/>
      <w:keepLines/>
      <w:spacing w:before="40" w:after="0"/>
      <w:outlineLvl w:val="8"/>
    </w:pPr>
    <w:rPr>
      <w:rFonts w:asciiTheme="majorHAnsi" w:eastAsiaTheme="majorEastAsia" w:hAnsiTheme="majorHAnsi" w:cstheme="majorBidi"/>
      <w:i/>
      <w:iCs/>
      <w:color w:val="00835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1A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1A86"/>
  </w:style>
  <w:style w:type="paragraph" w:styleId="Footer">
    <w:name w:val="footer"/>
    <w:basedOn w:val="Normal"/>
    <w:link w:val="FooterChar"/>
    <w:uiPriority w:val="99"/>
    <w:unhideWhenUsed/>
    <w:rsid w:val="00DD1A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1A86"/>
  </w:style>
  <w:style w:type="paragraph" w:styleId="Title">
    <w:name w:val="Title"/>
    <w:basedOn w:val="Normal"/>
    <w:next w:val="Normal"/>
    <w:link w:val="TitleChar"/>
    <w:uiPriority w:val="10"/>
    <w:qFormat/>
    <w:rsid w:val="00EE1FE9"/>
    <w:pPr>
      <w:spacing w:after="0" w:line="192" w:lineRule="auto"/>
      <w:jc w:val="center"/>
    </w:pPr>
    <w:rPr>
      <w:rFonts w:asciiTheme="majorHAnsi" w:hAnsiTheme="majorHAnsi"/>
      <w:color w:val="FFFFFF" w:themeColor="background2"/>
      <w:sz w:val="144"/>
      <w:szCs w:val="144"/>
    </w:rPr>
  </w:style>
  <w:style w:type="character" w:customStyle="1" w:styleId="TitleChar">
    <w:name w:val="Title Char"/>
    <w:basedOn w:val="DefaultParagraphFont"/>
    <w:link w:val="Title"/>
    <w:uiPriority w:val="10"/>
    <w:rsid w:val="00EE1FE9"/>
    <w:rPr>
      <w:rFonts w:asciiTheme="majorHAnsi" w:hAnsiTheme="majorHAnsi"/>
      <w:color w:val="FFFFFF" w:themeColor="background2"/>
      <w:sz w:val="144"/>
      <w:szCs w:val="144"/>
    </w:rPr>
  </w:style>
  <w:style w:type="paragraph" w:customStyle="1" w:styleId="Year">
    <w:name w:val="Year"/>
    <w:basedOn w:val="Normal"/>
    <w:link w:val="YearChar"/>
    <w:qFormat/>
    <w:rsid w:val="00EE1FE9"/>
    <w:pPr>
      <w:spacing w:line="192" w:lineRule="auto"/>
      <w:jc w:val="center"/>
    </w:pPr>
    <w:rPr>
      <w:rFonts w:ascii="Futura PT Light" w:hAnsi="Futura PT Light"/>
      <w:color w:val="7EC352" w:themeColor="background1"/>
      <w:sz w:val="144"/>
      <w:szCs w:val="144"/>
    </w:rPr>
  </w:style>
  <w:style w:type="paragraph" w:styleId="Subtitle">
    <w:name w:val="Subtitle"/>
    <w:basedOn w:val="Normal"/>
    <w:next w:val="Normal"/>
    <w:link w:val="SubtitleChar"/>
    <w:uiPriority w:val="11"/>
    <w:qFormat/>
    <w:rsid w:val="00EE1FE9"/>
    <w:pPr>
      <w:spacing w:before="2700" w:after="0"/>
      <w:jc w:val="center"/>
    </w:pPr>
    <w:rPr>
      <w:rFonts w:asciiTheme="majorHAnsi" w:hAnsiTheme="majorHAnsi"/>
      <w:color w:val="FFFFFF" w:themeColor="background2"/>
      <w:sz w:val="28"/>
      <w:szCs w:val="28"/>
    </w:rPr>
  </w:style>
  <w:style w:type="character" w:customStyle="1" w:styleId="YearChar">
    <w:name w:val="Year Char"/>
    <w:basedOn w:val="DefaultParagraphFont"/>
    <w:link w:val="Year"/>
    <w:rsid w:val="00EE1FE9"/>
    <w:rPr>
      <w:rFonts w:ascii="Futura PT Light" w:hAnsi="Futura PT Light"/>
      <w:color w:val="7EC352" w:themeColor="background1"/>
      <w:sz w:val="144"/>
      <w:szCs w:val="144"/>
    </w:rPr>
  </w:style>
  <w:style w:type="character" w:customStyle="1" w:styleId="SubtitleChar">
    <w:name w:val="Subtitle Char"/>
    <w:basedOn w:val="DefaultParagraphFont"/>
    <w:link w:val="Subtitle"/>
    <w:uiPriority w:val="11"/>
    <w:rsid w:val="00EE1FE9"/>
    <w:rPr>
      <w:rFonts w:asciiTheme="majorHAnsi" w:hAnsiTheme="majorHAnsi"/>
      <w:color w:val="FFFFFF" w:themeColor="background2"/>
      <w:sz w:val="28"/>
      <w:szCs w:val="28"/>
    </w:rPr>
  </w:style>
  <w:style w:type="character" w:customStyle="1" w:styleId="Heading1Char">
    <w:name w:val="Heading 1 Char"/>
    <w:aliases w:val="H2 Char"/>
    <w:basedOn w:val="DefaultParagraphFont"/>
    <w:link w:val="Heading1"/>
    <w:uiPriority w:val="9"/>
    <w:rsid w:val="00C34F2A"/>
    <w:rPr>
      <w:rFonts w:asciiTheme="majorHAnsi" w:eastAsiaTheme="majorEastAsia" w:hAnsiTheme="majorHAnsi" w:cstheme="majorBidi"/>
      <w:color w:val="006B3E" w:themeColor="accent1" w:themeShade="BF"/>
      <w:spacing w:val="-12"/>
      <w:sz w:val="60"/>
      <w:szCs w:val="32"/>
    </w:rPr>
  </w:style>
  <w:style w:type="paragraph" w:customStyle="1" w:styleId="Body">
    <w:name w:val="Body"/>
    <w:basedOn w:val="Normal"/>
    <w:link w:val="BodyChar"/>
    <w:uiPriority w:val="99"/>
    <w:qFormat/>
    <w:rsid w:val="00C34F2A"/>
    <w:rPr>
      <w:color w:val="1C1C1C"/>
      <w:sz w:val="18"/>
      <w:szCs w:val="18"/>
    </w:rPr>
  </w:style>
  <w:style w:type="character" w:styleId="Hyperlink">
    <w:name w:val="Hyperlink"/>
    <w:basedOn w:val="DefaultParagraphFont"/>
    <w:uiPriority w:val="99"/>
    <w:unhideWhenUsed/>
    <w:rsid w:val="00C34F2A"/>
    <w:rPr>
      <w:color w:val="008F54" w:themeColor="hyperlink"/>
      <w:u w:val="single"/>
    </w:rPr>
  </w:style>
  <w:style w:type="character" w:customStyle="1" w:styleId="BodyChar">
    <w:name w:val="Body Char"/>
    <w:basedOn w:val="DefaultParagraphFont"/>
    <w:link w:val="Body"/>
    <w:uiPriority w:val="99"/>
    <w:rsid w:val="00C34F2A"/>
    <w:rPr>
      <w:color w:val="1C1C1C"/>
      <w:sz w:val="18"/>
      <w:szCs w:val="18"/>
    </w:rPr>
  </w:style>
  <w:style w:type="paragraph" w:customStyle="1" w:styleId="H4">
    <w:name w:val="H4"/>
    <w:basedOn w:val="Body"/>
    <w:link w:val="H4Char"/>
    <w:qFormat/>
    <w:rsid w:val="00F977A9"/>
    <w:pPr>
      <w:spacing w:before="240"/>
    </w:pPr>
    <w:rPr>
      <w:rFonts w:ascii="Futura PT Demi" w:hAnsi="Futura PT Demi"/>
      <w:bCs/>
      <w:sz w:val="22"/>
    </w:rPr>
  </w:style>
  <w:style w:type="character" w:customStyle="1" w:styleId="H4Char">
    <w:name w:val="H4 Char"/>
    <w:basedOn w:val="BodyChar"/>
    <w:link w:val="H4"/>
    <w:rsid w:val="00F977A9"/>
    <w:rPr>
      <w:rFonts w:ascii="Futura PT Demi" w:hAnsi="Futura PT Demi"/>
      <w:bCs/>
      <w:color w:val="1C1C1C"/>
      <w:sz w:val="18"/>
      <w:szCs w:val="18"/>
    </w:rPr>
  </w:style>
  <w:style w:type="character" w:customStyle="1" w:styleId="Heading2Char">
    <w:name w:val="Heading 2 Char"/>
    <w:basedOn w:val="DefaultParagraphFont"/>
    <w:link w:val="Heading2"/>
    <w:uiPriority w:val="9"/>
    <w:rsid w:val="00C34F2A"/>
    <w:rPr>
      <w:rFonts w:asciiTheme="majorHAnsi" w:eastAsiaTheme="majorEastAsia" w:hAnsiTheme="majorHAnsi" w:cstheme="majorBidi"/>
      <w:color w:val="006B3E" w:themeColor="accent1" w:themeShade="BF"/>
      <w:sz w:val="26"/>
      <w:szCs w:val="26"/>
    </w:rPr>
  </w:style>
  <w:style w:type="paragraph" w:customStyle="1" w:styleId="H3">
    <w:name w:val="H3"/>
    <w:basedOn w:val="H4"/>
    <w:link w:val="H3Char"/>
    <w:qFormat/>
    <w:rsid w:val="00081645"/>
    <w:rPr>
      <w:rFonts w:asciiTheme="majorHAnsi" w:hAnsiTheme="majorHAnsi"/>
      <w:color w:val="008F54" w:themeColor="accent1"/>
      <w:sz w:val="24"/>
      <w:szCs w:val="24"/>
    </w:rPr>
  </w:style>
  <w:style w:type="character" w:customStyle="1" w:styleId="H3Char">
    <w:name w:val="H3 Char"/>
    <w:basedOn w:val="H4Char"/>
    <w:link w:val="H3"/>
    <w:rsid w:val="00081645"/>
    <w:rPr>
      <w:rFonts w:asciiTheme="majorHAnsi" w:hAnsiTheme="majorHAnsi"/>
      <w:bCs/>
      <w:color w:val="008F54" w:themeColor="accent1"/>
      <w:sz w:val="24"/>
      <w:szCs w:val="24"/>
    </w:rPr>
  </w:style>
  <w:style w:type="paragraph" w:customStyle="1" w:styleId="Bullets">
    <w:name w:val="Bullets"/>
    <w:basedOn w:val="Body"/>
    <w:link w:val="BulletsChar"/>
    <w:qFormat/>
    <w:rsid w:val="00634DE7"/>
    <w:pPr>
      <w:numPr>
        <w:numId w:val="1"/>
      </w:numPr>
    </w:pPr>
  </w:style>
  <w:style w:type="character" w:customStyle="1" w:styleId="BulletsChar">
    <w:name w:val="Bullets Char"/>
    <w:basedOn w:val="BodyChar"/>
    <w:link w:val="Bullets"/>
    <w:rsid w:val="00634DE7"/>
    <w:rPr>
      <w:color w:val="1C1C1C"/>
      <w:sz w:val="18"/>
      <w:szCs w:val="18"/>
      <w:lang w:val="en-AU"/>
    </w:rPr>
  </w:style>
  <w:style w:type="paragraph" w:customStyle="1" w:styleId="BulletsL2">
    <w:name w:val="Bullets L2"/>
    <w:basedOn w:val="Bullets"/>
    <w:link w:val="BulletsL2Char"/>
    <w:qFormat/>
    <w:rsid w:val="00AA07F9"/>
    <w:pPr>
      <w:numPr>
        <w:ilvl w:val="1"/>
      </w:numPr>
      <w:ind w:left="851" w:hanging="284"/>
    </w:pPr>
  </w:style>
  <w:style w:type="paragraph" w:styleId="FootnoteText">
    <w:name w:val="footnote text"/>
    <w:basedOn w:val="Normal"/>
    <w:link w:val="FootnoteTextChar"/>
    <w:uiPriority w:val="99"/>
    <w:semiHidden/>
    <w:unhideWhenUsed/>
    <w:rsid w:val="00634DE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34DE7"/>
    <w:rPr>
      <w:sz w:val="20"/>
      <w:szCs w:val="20"/>
    </w:rPr>
  </w:style>
  <w:style w:type="character" w:styleId="FootnoteReference">
    <w:name w:val="footnote reference"/>
    <w:basedOn w:val="DefaultParagraphFont"/>
    <w:uiPriority w:val="99"/>
    <w:semiHidden/>
    <w:unhideWhenUsed/>
    <w:rsid w:val="00634DE7"/>
    <w:rPr>
      <w:vertAlign w:val="superscript"/>
    </w:rPr>
  </w:style>
  <w:style w:type="paragraph" w:customStyle="1" w:styleId="Footnotes">
    <w:name w:val="Footnotes"/>
    <w:basedOn w:val="FootnoteText"/>
    <w:link w:val="FootnotesChar"/>
    <w:qFormat/>
    <w:rsid w:val="009B2994"/>
    <w:pPr>
      <w:ind w:left="108" w:hanging="108"/>
    </w:pPr>
    <w:rPr>
      <w:color w:val="1C1C1C"/>
      <w:sz w:val="16"/>
      <w:szCs w:val="16"/>
    </w:rPr>
  </w:style>
  <w:style w:type="character" w:customStyle="1" w:styleId="FootnotesChar">
    <w:name w:val="Footnotes Char"/>
    <w:basedOn w:val="FootnoteTextChar"/>
    <w:link w:val="Footnotes"/>
    <w:rsid w:val="009B2994"/>
    <w:rPr>
      <w:color w:val="1C1C1C"/>
      <w:sz w:val="16"/>
      <w:szCs w:val="16"/>
      <w:lang w:val="en-AU"/>
    </w:rPr>
  </w:style>
  <w:style w:type="paragraph" w:customStyle="1" w:styleId="Bulletslast">
    <w:name w:val="Bullets last"/>
    <w:basedOn w:val="Bullets"/>
    <w:link w:val="BulletslastChar"/>
    <w:qFormat/>
    <w:rsid w:val="00634DE7"/>
    <w:pPr>
      <w:spacing w:after="360"/>
    </w:pPr>
  </w:style>
  <w:style w:type="character" w:customStyle="1" w:styleId="BulletslastChar">
    <w:name w:val="Bullets last Char"/>
    <w:basedOn w:val="BulletsChar"/>
    <w:link w:val="Bulletslast"/>
    <w:rsid w:val="00634DE7"/>
    <w:rPr>
      <w:color w:val="1C1C1C"/>
      <w:sz w:val="18"/>
      <w:szCs w:val="18"/>
      <w:lang w:val="en-AU"/>
    </w:rPr>
  </w:style>
  <w:style w:type="character" w:styleId="SubtleReference">
    <w:name w:val="Subtle Reference"/>
    <w:basedOn w:val="DefaultParagraphFont"/>
    <w:uiPriority w:val="31"/>
    <w:qFormat/>
    <w:rsid w:val="00B85FD6"/>
    <w:rPr>
      <w:smallCaps/>
      <w:color w:val="00DC9A" w:themeColor="text1" w:themeTint="A5"/>
    </w:rPr>
  </w:style>
  <w:style w:type="table" w:styleId="TableGrid">
    <w:name w:val="Table Grid"/>
    <w:aliases w:val="Performance Criteria"/>
    <w:basedOn w:val="TableNormal"/>
    <w:uiPriority w:val="39"/>
    <w:rsid w:val="0087547F"/>
    <w:pPr>
      <w:spacing w:after="0" w:line="240" w:lineRule="auto"/>
    </w:pPr>
    <w:tblPr/>
    <w:trPr>
      <w:tblHeader/>
    </w:trPr>
    <w:tcPr>
      <w:shd w:val="clear" w:color="auto" w:fill="DCD3E2"/>
    </w:tcPr>
    <w:tblStylePr w:type="firstRow">
      <w:rPr>
        <w:color w:val="FFFFFF" w:themeColor="background2"/>
      </w:rPr>
      <w:tblPr/>
      <w:tcPr>
        <w:shd w:val="clear" w:color="auto" w:fill="5E2F7E" w:themeFill="accent5"/>
      </w:tcPr>
    </w:tblStylePr>
  </w:style>
  <w:style w:type="character" w:styleId="CommentReference">
    <w:name w:val="annotation reference"/>
    <w:basedOn w:val="DefaultParagraphFont"/>
    <w:uiPriority w:val="99"/>
    <w:unhideWhenUsed/>
    <w:rsid w:val="00375B9F"/>
    <w:rPr>
      <w:sz w:val="16"/>
      <w:szCs w:val="16"/>
    </w:rPr>
  </w:style>
  <w:style w:type="paragraph" w:styleId="CommentText">
    <w:name w:val="annotation text"/>
    <w:basedOn w:val="Normal"/>
    <w:link w:val="CommentTextChar"/>
    <w:uiPriority w:val="99"/>
    <w:unhideWhenUsed/>
    <w:rsid w:val="00375B9F"/>
    <w:pPr>
      <w:spacing w:line="240" w:lineRule="auto"/>
    </w:pPr>
    <w:rPr>
      <w:sz w:val="20"/>
      <w:szCs w:val="20"/>
    </w:rPr>
  </w:style>
  <w:style w:type="character" w:customStyle="1" w:styleId="CommentTextChar">
    <w:name w:val="Comment Text Char"/>
    <w:basedOn w:val="DefaultParagraphFont"/>
    <w:link w:val="CommentText"/>
    <w:uiPriority w:val="99"/>
    <w:rsid w:val="00375B9F"/>
    <w:rPr>
      <w:sz w:val="20"/>
      <w:szCs w:val="20"/>
    </w:rPr>
  </w:style>
  <w:style w:type="paragraph" w:customStyle="1" w:styleId="FigureHeading">
    <w:name w:val="Figure Heading"/>
    <w:basedOn w:val="H4"/>
    <w:link w:val="FigureHeadingChar"/>
    <w:qFormat/>
    <w:rsid w:val="007532FE"/>
  </w:style>
  <w:style w:type="character" w:customStyle="1" w:styleId="FigureHeadingChar">
    <w:name w:val="Figure Heading Char"/>
    <w:basedOn w:val="H4Char"/>
    <w:link w:val="FigureHeading"/>
    <w:rsid w:val="007532FE"/>
    <w:rPr>
      <w:rFonts w:ascii="Futura PT Demi" w:hAnsi="Futura PT Demi"/>
      <w:bCs/>
      <w:color w:val="1C1C1C"/>
      <w:sz w:val="18"/>
      <w:szCs w:val="18"/>
    </w:rPr>
  </w:style>
  <w:style w:type="paragraph" w:styleId="BalloonText">
    <w:name w:val="Balloon Text"/>
    <w:basedOn w:val="Normal"/>
    <w:link w:val="BalloonTextChar"/>
    <w:uiPriority w:val="99"/>
    <w:semiHidden/>
    <w:unhideWhenUsed/>
    <w:rsid w:val="009607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075C"/>
    <w:rPr>
      <w:rFonts w:ascii="Segoe UI" w:hAnsi="Segoe UI" w:cs="Segoe UI"/>
      <w:sz w:val="18"/>
      <w:szCs w:val="18"/>
    </w:rPr>
  </w:style>
  <w:style w:type="paragraph" w:styleId="Bibliography">
    <w:name w:val="Bibliography"/>
    <w:basedOn w:val="Normal"/>
    <w:next w:val="Normal"/>
    <w:uiPriority w:val="37"/>
    <w:semiHidden/>
    <w:unhideWhenUsed/>
    <w:rsid w:val="0096075C"/>
  </w:style>
  <w:style w:type="paragraph" w:styleId="BlockText">
    <w:name w:val="Block Text"/>
    <w:basedOn w:val="Normal"/>
    <w:uiPriority w:val="99"/>
    <w:semiHidden/>
    <w:unhideWhenUsed/>
    <w:rsid w:val="0096075C"/>
    <w:pPr>
      <w:pBdr>
        <w:top w:val="single" w:sz="2" w:space="10" w:color="008F54" w:themeColor="accent1"/>
        <w:left w:val="single" w:sz="2" w:space="10" w:color="008F54" w:themeColor="accent1"/>
        <w:bottom w:val="single" w:sz="2" w:space="10" w:color="008F54" w:themeColor="accent1"/>
        <w:right w:val="single" w:sz="2" w:space="10" w:color="008F54" w:themeColor="accent1"/>
      </w:pBdr>
      <w:ind w:left="1152" w:right="1152"/>
    </w:pPr>
    <w:rPr>
      <w:rFonts w:eastAsiaTheme="minorEastAsia"/>
      <w:i/>
      <w:iCs/>
      <w:color w:val="008F54" w:themeColor="accent1"/>
    </w:rPr>
  </w:style>
  <w:style w:type="paragraph" w:styleId="BodyText">
    <w:name w:val="Body Text"/>
    <w:basedOn w:val="Normal"/>
    <w:link w:val="BodyTextChar"/>
    <w:uiPriority w:val="99"/>
    <w:semiHidden/>
    <w:unhideWhenUsed/>
    <w:rsid w:val="0096075C"/>
    <w:pPr>
      <w:spacing w:after="120"/>
    </w:pPr>
  </w:style>
  <w:style w:type="character" w:customStyle="1" w:styleId="BodyTextChar">
    <w:name w:val="Body Text Char"/>
    <w:basedOn w:val="DefaultParagraphFont"/>
    <w:link w:val="BodyText"/>
    <w:uiPriority w:val="99"/>
    <w:semiHidden/>
    <w:rsid w:val="0096075C"/>
  </w:style>
  <w:style w:type="paragraph" w:styleId="BodyText2">
    <w:name w:val="Body Text 2"/>
    <w:basedOn w:val="Normal"/>
    <w:link w:val="BodyText2Char"/>
    <w:uiPriority w:val="99"/>
    <w:semiHidden/>
    <w:unhideWhenUsed/>
    <w:rsid w:val="0096075C"/>
    <w:pPr>
      <w:spacing w:after="120" w:line="480" w:lineRule="auto"/>
    </w:pPr>
  </w:style>
  <w:style w:type="character" w:customStyle="1" w:styleId="BodyText2Char">
    <w:name w:val="Body Text 2 Char"/>
    <w:basedOn w:val="DefaultParagraphFont"/>
    <w:link w:val="BodyText2"/>
    <w:uiPriority w:val="99"/>
    <w:semiHidden/>
    <w:rsid w:val="0096075C"/>
  </w:style>
  <w:style w:type="paragraph" w:styleId="BodyText3">
    <w:name w:val="Body Text 3"/>
    <w:basedOn w:val="Normal"/>
    <w:link w:val="BodyText3Char"/>
    <w:uiPriority w:val="99"/>
    <w:semiHidden/>
    <w:unhideWhenUsed/>
    <w:rsid w:val="0096075C"/>
    <w:pPr>
      <w:spacing w:after="120"/>
    </w:pPr>
    <w:rPr>
      <w:sz w:val="16"/>
      <w:szCs w:val="16"/>
    </w:rPr>
  </w:style>
  <w:style w:type="character" w:customStyle="1" w:styleId="BodyText3Char">
    <w:name w:val="Body Text 3 Char"/>
    <w:basedOn w:val="DefaultParagraphFont"/>
    <w:link w:val="BodyText3"/>
    <w:uiPriority w:val="99"/>
    <w:semiHidden/>
    <w:rsid w:val="0096075C"/>
    <w:rPr>
      <w:sz w:val="16"/>
      <w:szCs w:val="16"/>
    </w:rPr>
  </w:style>
  <w:style w:type="paragraph" w:styleId="BodyTextFirstIndent">
    <w:name w:val="Body Text First Indent"/>
    <w:basedOn w:val="BodyText"/>
    <w:link w:val="BodyTextFirstIndentChar"/>
    <w:uiPriority w:val="99"/>
    <w:semiHidden/>
    <w:unhideWhenUsed/>
    <w:rsid w:val="0096075C"/>
    <w:pPr>
      <w:spacing w:after="160"/>
      <w:ind w:firstLine="360"/>
    </w:pPr>
  </w:style>
  <w:style w:type="character" w:customStyle="1" w:styleId="BodyTextFirstIndentChar">
    <w:name w:val="Body Text First Indent Char"/>
    <w:basedOn w:val="BodyTextChar"/>
    <w:link w:val="BodyTextFirstIndent"/>
    <w:uiPriority w:val="99"/>
    <w:semiHidden/>
    <w:rsid w:val="0096075C"/>
  </w:style>
  <w:style w:type="paragraph" w:styleId="BodyTextIndent">
    <w:name w:val="Body Text Indent"/>
    <w:basedOn w:val="Normal"/>
    <w:link w:val="BodyTextIndentChar"/>
    <w:uiPriority w:val="99"/>
    <w:semiHidden/>
    <w:unhideWhenUsed/>
    <w:rsid w:val="0096075C"/>
    <w:pPr>
      <w:spacing w:after="120"/>
      <w:ind w:left="283"/>
    </w:pPr>
  </w:style>
  <w:style w:type="character" w:customStyle="1" w:styleId="BodyTextIndentChar">
    <w:name w:val="Body Text Indent Char"/>
    <w:basedOn w:val="DefaultParagraphFont"/>
    <w:link w:val="BodyTextIndent"/>
    <w:uiPriority w:val="99"/>
    <w:semiHidden/>
    <w:rsid w:val="0096075C"/>
  </w:style>
  <w:style w:type="paragraph" w:styleId="BodyTextFirstIndent2">
    <w:name w:val="Body Text First Indent 2"/>
    <w:basedOn w:val="BodyTextIndent"/>
    <w:link w:val="BodyTextFirstIndent2Char"/>
    <w:uiPriority w:val="99"/>
    <w:semiHidden/>
    <w:unhideWhenUsed/>
    <w:rsid w:val="0096075C"/>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96075C"/>
  </w:style>
  <w:style w:type="paragraph" w:styleId="BodyTextIndent2">
    <w:name w:val="Body Text Indent 2"/>
    <w:basedOn w:val="Normal"/>
    <w:link w:val="BodyTextIndent2Char"/>
    <w:uiPriority w:val="99"/>
    <w:semiHidden/>
    <w:unhideWhenUsed/>
    <w:rsid w:val="0096075C"/>
    <w:pPr>
      <w:spacing w:after="120" w:line="480" w:lineRule="auto"/>
      <w:ind w:left="283"/>
    </w:pPr>
  </w:style>
  <w:style w:type="character" w:customStyle="1" w:styleId="BodyTextIndent2Char">
    <w:name w:val="Body Text Indent 2 Char"/>
    <w:basedOn w:val="DefaultParagraphFont"/>
    <w:link w:val="BodyTextIndent2"/>
    <w:uiPriority w:val="99"/>
    <w:semiHidden/>
    <w:rsid w:val="0096075C"/>
  </w:style>
  <w:style w:type="paragraph" w:styleId="BodyTextIndent3">
    <w:name w:val="Body Text Indent 3"/>
    <w:basedOn w:val="Normal"/>
    <w:link w:val="BodyTextIndent3Char"/>
    <w:uiPriority w:val="99"/>
    <w:semiHidden/>
    <w:unhideWhenUsed/>
    <w:rsid w:val="0096075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6075C"/>
    <w:rPr>
      <w:sz w:val="16"/>
      <w:szCs w:val="16"/>
    </w:rPr>
  </w:style>
  <w:style w:type="paragraph" w:styleId="Caption">
    <w:name w:val="caption"/>
    <w:basedOn w:val="Normal"/>
    <w:next w:val="Normal"/>
    <w:uiPriority w:val="35"/>
    <w:semiHidden/>
    <w:unhideWhenUsed/>
    <w:qFormat/>
    <w:rsid w:val="0096075C"/>
    <w:pPr>
      <w:spacing w:after="200" w:line="240" w:lineRule="auto"/>
    </w:pPr>
    <w:rPr>
      <w:i/>
      <w:iCs/>
      <w:color w:val="003F2C" w:themeColor="text2"/>
      <w:sz w:val="18"/>
      <w:szCs w:val="18"/>
    </w:rPr>
  </w:style>
  <w:style w:type="paragraph" w:styleId="Closing">
    <w:name w:val="Closing"/>
    <w:basedOn w:val="Normal"/>
    <w:link w:val="ClosingChar"/>
    <w:uiPriority w:val="99"/>
    <w:semiHidden/>
    <w:unhideWhenUsed/>
    <w:rsid w:val="0096075C"/>
    <w:pPr>
      <w:spacing w:after="0" w:line="240" w:lineRule="auto"/>
      <w:ind w:left="4252"/>
    </w:pPr>
  </w:style>
  <w:style w:type="character" w:customStyle="1" w:styleId="ClosingChar">
    <w:name w:val="Closing Char"/>
    <w:basedOn w:val="DefaultParagraphFont"/>
    <w:link w:val="Closing"/>
    <w:uiPriority w:val="99"/>
    <w:semiHidden/>
    <w:rsid w:val="0096075C"/>
  </w:style>
  <w:style w:type="paragraph" w:styleId="CommentSubject">
    <w:name w:val="annotation subject"/>
    <w:basedOn w:val="CommentText"/>
    <w:next w:val="CommentText"/>
    <w:link w:val="CommentSubjectChar"/>
    <w:uiPriority w:val="99"/>
    <w:semiHidden/>
    <w:unhideWhenUsed/>
    <w:rsid w:val="0096075C"/>
    <w:rPr>
      <w:b/>
      <w:bCs/>
    </w:rPr>
  </w:style>
  <w:style w:type="character" w:customStyle="1" w:styleId="CommentSubjectChar">
    <w:name w:val="Comment Subject Char"/>
    <w:basedOn w:val="CommentTextChar"/>
    <w:link w:val="CommentSubject"/>
    <w:uiPriority w:val="99"/>
    <w:semiHidden/>
    <w:rsid w:val="0096075C"/>
    <w:rPr>
      <w:b/>
      <w:bCs/>
      <w:sz w:val="20"/>
      <w:szCs w:val="20"/>
    </w:rPr>
  </w:style>
  <w:style w:type="paragraph" w:styleId="Date">
    <w:name w:val="Date"/>
    <w:basedOn w:val="Normal"/>
    <w:next w:val="Normal"/>
    <w:link w:val="DateChar"/>
    <w:uiPriority w:val="99"/>
    <w:semiHidden/>
    <w:unhideWhenUsed/>
    <w:rsid w:val="0096075C"/>
  </w:style>
  <w:style w:type="character" w:customStyle="1" w:styleId="DateChar">
    <w:name w:val="Date Char"/>
    <w:basedOn w:val="DefaultParagraphFont"/>
    <w:link w:val="Date"/>
    <w:uiPriority w:val="99"/>
    <w:semiHidden/>
    <w:rsid w:val="0096075C"/>
  </w:style>
  <w:style w:type="paragraph" w:styleId="DocumentMap">
    <w:name w:val="Document Map"/>
    <w:basedOn w:val="Normal"/>
    <w:link w:val="DocumentMapChar"/>
    <w:uiPriority w:val="99"/>
    <w:semiHidden/>
    <w:unhideWhenUsed/>
    <w:rsid w:val="0096075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6075C"/>
    <w:rPr>
      <w:rFonts w:ascii="Segoe UI" w:hAnsi="Segoe UI" w:cs="Segoe UI"/>
      <w:sz w:val="16"/>
      <w:szCs w:val="16"/>
    </w:rPr>
  </w:style>
  <w:style w:type="paragraph" w:styleId="E-mailSignature">
    <w:name w:val="E-mail Signature"/>
    <w:basedOn w:val="Normal"/>
    <w:link w:val="E-mailSignatureChar"/>
    <w:uiPriority w:val="99"/>
    <w:semiHidden/>
    <w:unhideWhenUsed/>
    <w:rsid w:val="0096075C"/>
    <w:pPr>
      <w:spacing w:after="0" w:line="240" w:lineRule="auto"/>
    </w:pPr>
  </w:style>
  <w:style w:type="character" w:customStyle="1" w:styleId="E-mailSignatureChar">
    <w:name w:val="E-mail Signature Char"/>
    <w:basedOn w:val="DefaultParagraphFont"/>
    <w:link w:val="E-mailSignature"/>
    <w:uiPriority w:val="99"/>
    <w:semiHidden/>
    <w:rsid w:val="0096075C"/>
  </w:style>
  <w:style w:type="paragraph" w:styleId="EndnoteText">
    <w:name w:val="endnote text"/>
    <w:basedOn w:val="Normal"/>
    <w:link w:val="EndnoteTextChar"/>
    <w:uiPriority w:val="99"/>
    <w:semiHidden/>
    <w:unhideWhenUsed/>
    <w:rsid w:val="0096075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6075C"/>
    <w:rPr>
      <w:sz w:val="20"/>
      <w:szCs w:val="20"/>
    </w:rPr>
  </w:style>
  <w:style w:type="paragraph" w:styleId="EnvelopeAddress">
    <w:name w:val="envelope address"/>
    <w:basedOn w:val="Normal"/>
    <w:uiPriority w:val="99"/>
    <w:semiHidden/>
    <w:unhideWhenUsed/>
    <w:rsid w:val="0096075C"/>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6075C"/>
    <w:pPr>
      <w:spacing w:after="0" w:line="240" w:lineRule="auto"/>
    </w:pPr>
    <w:rPr>
      <w:rFonts w:asciiTheme="majorHAnsi" w:eastAsiaTheme="majorEastAsia" w:hAnsiTheme="majorHAnsi" w:cstheme="majorBidi"/>
      <w:sz w:val="20"/>
      <w:szCs w:val="20"/>
    </w:rPr>
  </w:style>
  <w:style w:type="character" w:customStyle="1" w:styleId="Heading3Char">
    <w:name w:val="Heading 3 Char"/>
    <w:basedOn w:val="DefaultParagraphFont"/>
    <w:link w:val="Heading3"/>
    <w:uiPriority w:val="9"/>
    <w:rsid w:val="0096075C"/>
    <w:rPr>
      <w:rFonts w:asciiTheme="majorHAnsi" w:eastAsiaTheme="majorEastAsia" w:hAnsiTheme="majorHAnsi" w:cstheme="majorBidi"/>
      <w:color w:val="004729" w:themeColor="accent1" w:themeShade="7F"/>
      <w:sz w:val="24"/>
      <w:szCs w:val="24"/>
    </w:rPr>
  </w:style>
  <w:style w:type="character" w:customStyle="1" w:styleId="Heading4Char">
    <w:name w:val="Heading 4 Char"/>
    <w:basedOn w:val="DefaultParagraphFont"/>
    <w:link w:val="Heading4"/>
    <w:uiPriority w:val="9"/>
    <w:semiHidden/>
    <w:rsid w:val="0096075C"/>
    <w:rPr>
      <w:rFonts w:asciiTheme="majorHAnsi" w:eastAsiaTheme="majorEastAsia" w:hAnsiTheme="majorHAnsi" w:cstheme="majorBidi"/>
      <w:i/>
      <w:iCs/>
      <w:color w:val="006B3E" w:themeColor="accent1" w:themeShade="BF"/>
    </w:rPr>
  </w:style>
  <w:style w:type="character" w:customStyle="1" w:styleId="Heading5Char">
    <w:name w:val="Heading 5 Char"/>
    <w:basedOn w:val="DefaultParagraphFont"/>
    <w:link w:val="Heading5"/>
    <w:uiPriority w:val="9"/>
    <w:semiHidden/>
    <w:rsid w:val="0096075C"/>
    <w:rPr>
      <w:rFonts w:asciiTheme="majorHAnsi" w:eastAsiaTheme="majorEastAsia" w:hAnsiTheme="majorHAnsi" w:cstheme="majorBidi"/>
      <w:color w:val="006B3E" w:themeColor="accent1" w:themeShade="BF"/>
    </w:rPr>
  </w:style>
  <w:style w:type="character" w:customStyle="1" w:styleId="Heading6Char">
    <w:name w:val="Heading 6 Char"/>
    <w:basedOn w:val="DefaultParagraphFont"/>
    <w:link w:val="Heading6"/>
    <w:uiPriority w:val="9"/>
    <w:semiHidden/>
    <w:rsid w:val="0096075C"/>
    <w:rPr>
      <w:rFonts w:asciiTheme="majorHAnsi" w:eastAsiaTheme="majorEastAsia" w:hAnsiTheme="majorHAnsi" w:cstheme="majorBidi"/>
      <w:color w:val="004729" w:themeColor="accent1" w:themeShade="7F"/>
    </w:rPr>
  </w:style>
  <w:style w:type="character" w:customStyle="1" w:styleId="Heading7Char">
    <w:name w:val="Heading 7 Char"/>
    <w:basedOn w:val="DefaultParagraphFont"/>
    <w:link w:val="Heading7"/>
    <w:uiPriority w:val="9"/>
    <w:semiHidden/>
    <w:rsid w:val="0096075C"/>
    <w:rPr>
      <w:rFonts w:asciiTheme="majorHAnsi" w:eastAsiaTheme="majorEastAsia" w:hAnsiTheme="majorHAnsi" w:cstheme="majorBidi"/>
      <w:i/>
      <w:iCs/>
      <w:color w:val="004729" w:themeColor="accent1" w:themeShade="7F"/>
    </w:rPr>
  </w:style>
  <w:style w:type="character" w:customStyle="1" w:styleId="Heading8Char">
    <w:name w:val="Heading 8 Char"/>
    <w:basedOn w:val="DefaultParagraphFont"/>
    <w:link w:val="Heading8"/>
    <w:uiPriority w:val="9"/>
    <w:semiHidden/>
    <w:rsid w:val="0096075C"/>
    <w:rPr>
      <w:rFonts w:asciiTheme="majorHAnsi" w:eastAsiaTheme="majorEastAsia" w:hAnsiTheme="majorHAnsi" w:cstheme="majorBidi"/>
      <w:color w:val="00835B" w:themeColor="text1" w:themeTint="D8"/>
      <w:sz w:val="21"/>
      <w:szCs w:val="21"/>
    </w:rPr>
  </w:style>
  <w:style w:type="character" w:customStyle="1" w:styleId="Heading9Char">
    <w:name w:val="Heading 9 Char"/>
    <w:basedOn w:val="DefaultParagraphFont"/>
    <w:link w:val="Heading9"/>
    <w:uiPriority w:val="9"/>
    <w:semiHidden/>
    <w:rsid w:val="0096075C"/>
    <w:rPr>
      <w:rFonts w:asciiTheme="majorHAnsi" w:eastAsiaTheme="majorEastAsia" w:hAnsiTheme="majorHAnsi" w:cstheme="majorBidi"/>
      <w:i/>
      <w:iCs/>
      <w:color w:val="00835B" w:themeColor="text1" w:themeTint="D8"/>
      <w:sz w:val="21"/>
      <w:szCs w:val="21"/>
    </w:rPr>
  </w:style>
  <w:style w:type="paragraph" w:styleId="HTMLAddress">
    <w:name w:val="HTML Address"/>
    <w:basedOn w:val="Normal"/>
    <w:link w:val="HTMLAddressChar"/>
    <w:uiPriority w:val="99"/>
    <w:semiHidden/>
    <w:unhideWhenUsed/>
    <w:rsid w:val="0096075C"/>
    <w:pPr>
      <w:spacing w:after="0" w:line="240" w:lineRule="auto"/>
    </w:pPr>
    <w:rPr>
      <w:i/>
      <w:iCs/>
    </w:rPr>
  </w:style>
  <w:style w:type="character" w:customStyle="1" w:styleId="HTMLAddressChar">
    <w:name w:val="HTML Address Char"/>
    <w:basedOn w:val="DefaultParagraphFont"/>
    <w:link w:val="HTMLAddress"/>
    <w:uiPriority w:val="99"/>
    <w:semiHidden/>
    <w:rsid w:val="0096075C"/>
    <w:rPr>
      <w:i/>
      <w:iCs/>
    </w:rPr>
  </w:style>
  <w:style w:type="paragraph" w:styleId="HTMLPreformatted">
    <w:name w:val="HTML Preformatted"/>
    <w:basedOn w:val="Normal"/>
    <w:link w:val="HTMLPreformattedChar"/>
    <w:uiPriority w:val="99"/>
    <w:semiHidden/>
    <w:unhideWhenUsed/>
    <w:rsid w:val="0096075C"/>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6075C"/>
    <w:rPr>
      <w:rFonts w:ascii="Consolas" w:hAnsi="Consolas"/>
      <w:sz w:val="20"/>
      <w:szCs w:val="20"/>
    </w:rPr>
  </w:style>
  <w:style w:type="paragraph" w:styleId="Index1">
    <w:name w:val="index 1"/>
    <w:basedOn w:val="Normal"/>
    <w:next w:val="Normal"/>
    <w:autoRedefine/>
    <w:uiPriority w:val="99"/>
    <w:semiHidden/>
    <w:unhideWhenUsed/>
    <w:rsid w:val="0096075C"/>
    <w:pPr>
      <w:spacing w:after="0" w:line="240" w:lineRule="auto"/>
      <w:ind w:left="220" w:hanging="220"/>
    </w:pPr>
  </w:style>
  <w:style w:type="paragraph" w:styleId="Index2">
    <w:name w:val="index 2"/>
    <w:basedOn w:val="Normal"/>
    <w:next w:val="Normal"/>
    <w:autoRedefine/>
    <w:uiPriority w:val="99"/>
    <w:semiHidden/>
    <w:unhideWhenUsed/>
    <w:rsid w:val="0096075C"/>
    <w:pPr>
      <w:spacing w:after="0" w:line="240" w:lineRule="auto"/>
      <w:ind w:left="440" w:hanging="220"/>
    </w:pPr>
  </w:style>
  <w:style w:type="paragraph" w:styleId="Index3">
    <w:name w:val="index 3"/>
    <w:basedOn w:val="Normal"/>
    <w:next w:val="Normal"/>
    <w:autoRedefine/>
    <w:uiPriority w:val="99"/>
    <w:semiHidden/>
    <w:unhideWhenUsed/>
    <w:rsid w:val="0096075C"/>
    <w:pPr>
      <w:spacing w:after="0" w:line="240" w:lineRule="auto"/>
      <w:ind w:left="660" w:hanging="220"/>
    </w:pPr>
  </w:style>
  <w:style w:type="paragraph" w:styleId="Index4">
    <w:name w:val="index 4"/>
    <w:basedOn w:val="Normal"/>
    <w:next w:val="Normal"/>
    <w:autoRedefine/>
    <w:uiPriority w:val="99"/>
    <w:semiHidden/>
    <w:unhideWhenUsed/>
    <w:rsid w:val="0096075C"/>
    <w:pPr>
      <w:spacing w:after="0" w:line="240" w:lineRule="auto"/>
      <w:ind w:left="880" w:hanging="220"/>
    </w:pPr>
  </w:style>
  <w:style w:type="paragraph" w:styleId="Index5">
    <w:name w:val="index 5"/>
    <w:basedOn w:val="Normal"/>
    <w:next w:val="Normal"/>
    <w:autoRedefine/>
    <w:uiPriority w:val="99"/>
    <w:semiHidden/>
    <w:unhideWhenUsed/>
    <w:rsid w:val="0096075C"/>
    <w:pPr>
      <w:spacing w:after="0" w:line="240" w:lineRule="auto"/>
      <w:ind w:left="1100" w:hanging="220"/>
    </w:pPr>
  </w:style>
  <w:style w:type="paragraph" w:styleId="Index6">
    <w:name w:val="index 6"/>
    <w:basedOn w:val="Normal"/>
    <w:next w:val="Normal"/>
    <w:autoRedefine/>
    <w:uiPriority w:val="99"/>
    <w:semiHidden/>
    <w:unhideWhenUsed/>
    <w:rsid w:val="0096075C"/>
    <w:pPr>
      <w:spacing w:after="0" w:line="240" w:lineRule="auto"/>
      <w:ind w:left="1320" w:hanging="220"/>
    </w:pPr>
  </w:style>
  <w:style w:type="paragraph" w:styleId="Index7">
    <w:name w:val="index 7"/>
    <w:basedOn w:val="Normal"/>
    <w:next w:val="Normal"/>
    <w:autoRedefine/>
    <w:uiPriority w:val="99"/>
    <w:semiHidden/>
    <w:unhideWhenUsed/>
    <w:rsid w:val="0096075C"/>
    <w:pPr>
      <w:spacing w:after="0" w:line="240" w:lineRule="auto"/>
      <w:ind w:left="1540" w:hanging="220"/>
    </w:pPr>
  </w:style>
  <w:style w:type="paragraph" w:styleId="Index8">
    <w:name w:val="index 8"/>
    <w:basedOn w:val="Normal"/>
    <w:next w:val="Normal"/>
    <w:autoRedefine/>
    <w:uiPriority w:val="99"/>
    <w:semiHidden/>
    <w:unhideWhenUsed/>
    <w:rsid w:val="0096075C"/>
    <w:pPr>
      <w:spacing w:after="0" w:line="240" w:lineRule="auto"/>
      <w:ind w:left="1760" w:hanging="220"/>
    </w:pPr>
  </w:style>
  <w:style w:type="paragraph" w:styleId="Index9">
    <w:name w:val="index 9"/>
    <w:basedOn w:val="Normal"/>
    <w:next w:val="Normal"/>
    <w:autoRedefine/>
    <w:uiPriority w:val="99"/>
    <w:semiHidden/>
    <w:unhideWhenUsed/>
    <w:rsid w:val="0096075C"/>
    <w:pPr>
      <w:spacing w:after="0" w:line="240" w:lineRule="auto"/>
      <w:ind w:left="1980" w:hanging="220"/>
    </w:pPr>
  </w:style>
  <w:style w:type="paragraph" w:styleId="IndexHeading">
    <w:name w:val="index heading"/>
    <w:basedOn w:val="Normal"/>
    <w:next w:val="Index1"/>
    <w:uiPriority w:val="99"/>
    <w:semiHidden/>
    <w:unhideWhenUsed/>
    <w:rsid w:val="0096075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96075C"/>
    <w:pPr>
      <w:pBdr>
        <w:top w:val="single" w:sz="4" w:space="10" w:color="008F54" w:themeColor="accent1"/>
        <w:bottom w:val="single" w:sz="4" w:space="10" w:color="008F54" w:themeColor="accent1"/>
      </w:pBdr>
      <w:spacing w:before="360" w:after="360"/>
      <w:ind w:left="864" w:right="864"/>
      <w:jc w:val="center"/>
    </w:pPr>
    <w:rPr>
      <w:i/>
      <w:iCs/>
      <w:color w:val="008F54" w:themeColor="accent1"/>
    </w:rPr>
  </w:style>
  <w:style w:type="character" w:customStyle="1" w:styleId="IntenseQuoteChar">
    <w:name w:val="Intense Quote Char"/>
    <w:basedOn w:val="DefaultParagraphFont"/>
    <w:link w:val="IntenseQuote"/>
    <w:uiPriority w:val="30"/>
    <w:rsid w:val="0096075C"/>
    <w:rPr>
      <w:i/>
      <w:iCs/>
      <w:color w:val="008F54" w:themeColor="accent1"/>
    </w:rPr>
  </w:style>
  <w:style w:type="paragraph" w:styleId="List">
    <w:name w:val="List"/>
    <w:basedOn w:val="Normal"/>
    <w:uiPriority w:val="99"/>
    <w:semiHidden/>
    <w:unhideWhenUsed/>
    <w:rsid w:val="0096075C"/>
    <w:pPr>
      <w:ind w:left="283" w:hanging="283"/>
      <w:contextualSpacing/>
    </w:pPr>
  </w:style>
  <w:style w:type="paragraph" w:styleId="List2">
    <w:name w:val="List 2"/>
    <w:basedOn w:val="Normal"/>
    <w:uiPriority w:val="99"/>
    <w:semiHidden/>
    <w:unhideWhenUsed/>
    <w:rsid w:val="0096075C"/>
    <w:pPr>
      <w:ind w:left="566" w:hanging="283"/>
      <w:contextualSpacing/>
    </w:pPr>
  </w:style>
  <w:style w:type="paragraph" w:styleId="List3">
    <w:name w:val="List 3"/>
    <w:basedOn w:val="Normal"/>
    <w:uiPriority w:val="99"/>
    <w:semiHidden/>
    <w:unhideWhenUsed/>
    <w:rsid w:val="0096075C"/>
    <w:pPr>
      <w:ind w:left="849" w:hanging="283"/>
      <w:contextualSpacing/>
    </w:pPr>
  </w:style>
  <w:style w:type="paragraph" w:styleId="List4">
    <w:name w:val="List 4"/>
    <w:basedOn w:val="Normal"/>
    <w:uiPriority w:val="99"/>
    <w:semiHidden/>
    <w:unhideWhenUsed/>
    <w:rsid w:val="0096075C"/>
    <w:pPr>
      <w:ind w:left="1132" w:hanging="283"/>
      <w:contextualSpacing/>
    </w:pPr>
  </w:style>
  <w:style w:type="paragraph" w:styleId="List5">
    <w:name w:val="List 5"/>
    <w:basedOn w:val="Normal"/>
    <w:uiPriority w:val="99"/>
    <w:semiHidden/>
    <w:unhideWhenUsed/>
    <w:rsid w:val="0096075C"/>
    <w:pPr>
      <w:ind w:left="1415" w:hanging="283"/>
      <w:contextualSpacing/>
    </w:pPr>
  </w:style>
  <w:style w:type="paragraph" w:styleId="ListBullet">
    <w:name w:val="List Bullet"/>
    <w:basedOn w:val="Normal"/>
    <w:uiPriority w:val="99"/>
    <w:semiHidden/>
    <w:unhideWhenUsed/>
    <w:rsid w:val="0096075C"/>
    <w:pPr>
      <w:numPr>
        <w:numId w:val="2"/>
      </w:numPr>
      <w:contextualSpacing/>
    </w:pPr>
  </w:style>
  <w:style w:type="paragraph" w:styleId="ListBullet2">
    <w:name w:val="List Bullet 2"/>
    <w:basedOn w:val="Normal"/>
    <w:uiPriority w:val="99"/>
    <w:semiHidden/>
    <w:unhideWhenUsed/>
    <w:rsid w:val="0096075C"/>
    <w:pPr>
      <w:numPr>
        <w:numId w:val="3"/>
      </w:numPr>
      <w:contextualSpacing/>
    </w:pPr>
  </w:style>
  <w:style w:type="paragraph" w:styleId="ListBullet3">
    <w:name w:val="List Bullet 3"/>
    <w:basedOn w:val="Normal"/>
    <w:uiPriority w:val="99"/>
    <w:semiHidden/>
    <w:unhideWhenUsed/>
    <w:rsid w:val="0096075C"/>
    <w:pPr>
      <w:numPr>
        <w:numId w:val="4"/>
      </w:numPr>
      <w:contextualSpacing/>
    </w:pPr>
  </w:style>
  <w:style w:type="paragraph" w:styleId="ListBullet4">
    <w:name w:val="List Bullet 4"/>
    <w:basedOn w:val="Normal"/>
    <w:uiPriority w:val="99"/>
    <w:semiHidden/>
    <w:unhideWhenUsed/>
    <w:rsid w:val="0096075C"/>
    <w:pPr>
      <w:numPr>
        <w:numId w:val="5"/>
      </w:numPr>
      <w:contextualSpacing/>
    </w:pPr>
  </w:style>
  <w:style w:type="paragraph" w:styleId="ListBullet5">
    <w:name w:val="List Bullet 5"/>
    <w:basedOn w:val="Normal"/>
    <w:uiPriority w:val="99"/>
    <w:semiHidden/>
    <w:unhideWhenUsed/>
    <w:rsid w:val="0096075C"/>
    <w:pPr>
      <w:numPr>
        <w:numId w:val="6"/>
      </w:numPr>
      <w:contextualSpacing/>
    </w:pPr>
  </w:style>
  <w:style w:type="paragraph" w:styleId="ListContinue">
    <w:name w:val="List Continue"/>
    <w:basedOn w:val="Normal"/>
    <w:uiPriority w:val="99"/>
    <w:semiHidden/>
    <w:unhideWhenUsed/>
    <w:rsid w:val="0096075C"/>
    <w:pPr>
      <w:spacing w:after="120"/>
      <w:ind w:left="283"/>
      <w:contextualSpacing/>
    </w:pPr>
  </w:style>
  <w:style w:type="paragraph" w:styleId="ListContinue2">
    <w:name w:val="List Continue 2"/>
    <w:basedOn w:val="Normal"/>
    <w:uiPriority w:val="99"/>
    <w:semiHidden/>
    <w:unhideWhenUsed/>
    <w:rsid w:val="0096075C"/>
    <w:pPr>
      <w:spacing w:after="120"/>
      <w:ind w:left="566"/>
      <w:contextualSpacing/>
    </w:pPr>
  </w:style>
  <w:style w:type="paragraph" w:styleId="ListContinue3">
    <w:name w:val="List Continue 3"/>
    <w:basedOn w:val="Normal"/>
    <w:uiPriority w:val="99"/>
    <w:semiHidden/>
    <w:unhideWhenUsed/>
    <w:rsid w:val="0096075C"/>
    <w:pPr>
      <w:spacing w:after="120"/>
      <w:ind w:left="849"/>
      <w:contextualSpacing/>
    </w:pPr>
  </w:style>
  <w:style w:type="paragraph" w:styleId="ListContinue4">
    <w:name w:val="List Continue 4"/>
    <w:basedOn w:val="Normal"/>
    <w:uiPriority w:val="99"/>
    <w:semiHidden/>
    <w:unhideWhenUsed/>
    <w:rsid w:val="0096075C"/>
    <w:pPr>
      <w:spacing w:after="120"/>
      <w:ind w:left="1132"/>
      <w:contextualSpacing/>
    </w:pPr>
  </w:style>
  <w:style w:type="paragraph" w:styleId="ListContinue5">
    <w:name w:val="List Continue 5"/>
    <w:basedOn w:val="Normal"/>
    <w:uiPriority w:val="99"/>
    <w:semiHidden/>
    <w:unhideWhenUsed/>
    <w:rsid w:val="0096075C"/>
    <w:pPr>
      <w:spacing w:after="120"/>
      <w:ind w:left="1415"/>
      <w:contextualSpacing/>
    </w:pPr>
  </w:style>
  <w:style w:type="paragraph" w:styleId="ListNumber">
    <w:name w:val="List Number"/>
    <w:basedOn w:val="Normal"/>
    <w:uiPriority w:val="99"/>
    <w:semiHidden/>
    <w:unhideWhenUsed/>
    <w:rsid w:val="0096075C"/>
    <w:pPr>
      <w:numPr>
        <w:numId w:val="7"/>
      </w:numPr>
      <w:contextualSpacing/>
    </w:pPr>
  </w:style>
  <w:style w:type="paragraph" w:styleId="ListNumber2">
    <w:name w:val="List Number 2"/>
    <w:basedOn w:val="Normal"/>
    <w:uiPriority w:val="99"/>
    <w:semiHidden/>
    <w:unhideWhenUsed/>
    <w:rsid w:val="0096075C"/>
    <w:pPr>
      <w:numPr>
        <w:numId w:val="8"/>
      </w:numPr>
      <w:contextualSpacing/>
    </w:pPr>
  </w:style>
  <w:style w:type="paragraph" w:styleId="ListNumber3">
    <w:name w:val="List Number 3"/>
    <w:basedOn w:val="Normal"/>
    <w:uiPriority w:val="99"/>
    <w:semiHidden/>
    <w:unhideWhenUsed/>
    <w:rsid w:val="0096075C"/>
    <w:pPr>
      <w:numPr>
        <w:numId w:val="9"/>
      </w:numPr>
      <w:contextualSpacing/>
    </w:pPr>
  </w:style>
  <w:style w:type="paragraph" w:styleId="ListNumber4">
    <w:name w:val="List Number 4"/>
    <w:basedOn w:val="Normal"/>
    <w:uiPriority w:val="99"/>
    <w:semiHidden/>
    <w:unhideWhenUsed/>
    <w:rsid w:val="0096075C"/>
    <w:pPr>
      <w:numPr>
        <w:numId w:val="10"/>
      </w:numPr>
      <w:contextualSpacing/>
    </w:pPr>
  </w:style>
  <w:style w:type="paragraph" w:styleId="ListNumber5">
    <w:name w:val="List Number 5"/>
    <w:basedOn w:val="Normal"/>
    <w:uiPriority w:val="99"/>
    <w:semiHidden/>
    <w:unhideWhenUsed/>
    <w:rsid w:val="0096075C"/>
    <w:pPr>
      <w:numPr>
        <w:numId w:val="11"/>
      </w:numPr>
      <w:contextualSpacing/>
    </w:pPr>
  </w:style>
  <w:style w:type="paragraph" w:styleId="ListParagraph">
    <w:name w:val="List Paragraph"/>
    <w:basedOn w:val="Normal"/>
    <w:uiPriority w:val="34"/>
    <w:qFormat/>
    <w:rsid w:val="0096075C"/>
    <w:pPr>
      <w:ind w:left="720"/>
      <w:contextualSpacing/>
    </w:pPr>
  </w:style>
  <w:style w:type="paragraph" w:styleId="MacroText">
    <w:name w:val="macro"/>
    <w:link w:val="MacroTextChar"/>
    <w:uiPriority w:val="99"/>
    <w:semiHidden/>
    <w:unhideWhenUsed/>
    <w:rsid w:val="0096075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96075C"/>
    <w:rPr>
      <w:rFonts w:ascii="Consolas" w:hAnsi="Consolas"/>
      <w:sz w:val="20"/>
      <w:szCs w:val="20"/>
    </w:rPr>
  </w:style>
  <w:style w:type="paragraph" w:styleId="MessageHeader">
    <w:name w:val="Message Header"/>
    <w:basedOn w:val="Normal"/>
    <w:link w:val="MessageHeaderChar"/>
    <w:uiPriority w:val="99"/>
    <w:semiHidden/>
    <w:unhideWhenUsed/>
    <w:rsid w:val="0096075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6075C"/>
    <w:rPr>
      <w:rFonts w:asciiTheme="majorHAnsi" w:eastAsiaTheme="majorEastAsia" w:hAnsiTheme="majorHAnsi" w:cstheme="majorBidi"/>
      <w:sz w:val="24"/>
      <w:szCs w:val="24"/>
      <w:shd w:val="pct20" w:color="auto" w:fill="auto"/>
    </w:rPr>
  </w:style>
  <w:style w:type="paragraph" w:styleId="NoSpacing">
    <w:name w:val="No Spacing"/>
    <w:uiPriority w:val="1"/>
    <w:qFormat/>
    <w:rsid w:val="0096075C"/>
    <w:pPr>
      <w:spacing w:after="0" w:line="240" w:lineRule="auto"/>
    </w:pPr>
  </w:style>
  <w:style w:type="paragraph" w:styleId="NormalWeb">
    <w:name w:val="Normal (Web)"/>
    <w:basedOn w:val="Normal"/>
    <w:uiPriority w:val="99"/>
    <w:semiHidden/>
    <w:unhideWhenUsed/>
    <w:rsid w:val="0096075C"/>
    <w:rPr>
      <w:rFonts w:ascii="Times New Roman" w:hAnsi="Times New Roman" w:cs="Times New Roman"/>
      <w:sz w:val="24"/>
      <w:szCs w:val="24"/>
    </w:rPr>
  </w:style>
  <w:style w:type="paragraph" w:styleId="NormalIndent">
    <w:name w:val="Normal Indent"/>
    <w:basedOn w:val="Normal"/>
    <w:uiPriority w:val="99"/>
    <w:semiHidden/>
    <w:unhideWhenUsed/>
    <w:rsid w:val="0096075C"/>
    <w:pPr>
      <w:ind w:left="720"/>
    </w:pPr>
  </w:style>
  <w:style w:type="paragraph" w:styleId="NoteHeading">
    <w:name w:val="Note Heading"/>
    <w:basedOn w:val="Normal"/>
    <w:next w:val="Normal"/>
    <w:link w:val="NoteHeadingChar"/>
    <w:uiPriority w:val="99"/>
    <w:semiHidden/>
    <w:unhideWhenUsed/>
    <w:rsid w:val="0096075C"/>
    <w:pPr>
      <w:spacing w:after="0" w:line="240" w:lineRule="auto"/>
    </w:pPr>
  </w:style>
  <w:style w:type="character" w:customStyle="1" w:styleId="NoteHeadingChar">
    <w:name w:val="Note Heading Char"/>
    <w:basedOn w:val="DefaultParagraphFont"/>
    <w:link w:val="NoteHeading"/>
    <w:uiPriority w:val="99"/>
    <w:semiHidden/>
    <w:rsid w:val="0096075C"/>
  </w:style>
  <w:style w:type="paragraph" w:styleId="PlainText">
    <w:name w:val="Plain Text"/>
    <w:basedOn w:val="Normal"/>
    <w:link w:val="PlainTextChar"/>
    <w:uiPriority w:val="99"/>
    <w:semiHidden/>
    <w:unhideWhenUsed/>
    <w:rsid w:val="0096075C"/>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96075C"/>
    <w:rPr>
      <w:rFonts w:ascii="Consolas" w:hAnsi="Consolas"/>
      <w:sz w:val="21"/>
      <w:szCs w:val="21"/>
    </w:rPr>
  </w:style>
  <w:style w:type="paragraph" w:styleId="Quote">
    <w:name w:val="Quote"/>
    <w:basedOn w:val="Normal"/>
    <w:next w:val="Normal"/>
    <w:link w:val="QuoteChar"/>
    <w:uiPriority w:val="29"/>
    <w:qFormat/>
    <w:rsid w:val="0096075C"/>
    <w:pPr>
      <w:spacing w:before="200"/>
      <w:ind w:left="864" w:right="864"/>
      <w:jc w:val="center"/>
    </w:pPr>
    <w:rPr>
      <w:i/>
      <w:iCs/>
      <w:color w:val="00AF7A" w:themeColor="text1" w:themeTint="BF"/>
    </w:rPr>
  </w:style>
  <w:style w:type="character" w:customStyle="1" w:styleId="QuoteChar">
    <w:name w:val="Quote Char"/>
    <w:basedOn w:val="DefaultParagraphFont"/>
    <w:link w:val="Quote"/>
    <w:uiPriority w:val="29"/>
    <w:rsid w:val="0096075C"/>
    <w:rPr>
      <w:i/>
      <w:iCs/>
      <w:color w:val="00AF7A" w:themeColor="text1" w:themeTint="BF"/>
    </w:rPr>
  </w:style>
  <w:style w:type="paragraph" w:styleId="Salutation">
    <w:name w:val="Salutation"/>
    <w:basedOn w:val="Normal"/>
    <w:next w:val="Normal"/>
    <w:link w:val="SalutationChar"/>
    <w:uiPriority w:val="99"/>
    <w:semiHidden/>
    <w:unhideWhenUsed/>
    <w:rsid w:val="0096075C"/>
  </w:style>
  <w:style w:type="character" w:customStyle="1" w:styleId="SalutationChar">
    <w:name w:val="Salutation Char"/>
    <w:basedOn w:val="DefaultParagraphFont"/>
    <w:link w:val="Salutation"/>
    <w:uiPriority w:val="99"/>
    <w:semiHidden/>
    <w:rsid w:val="0096075C"/>
  </w:style>
  <w:style w:type="paragraph" w:styleId="Signature">
    <w:name w:val="Signature"/>
    <w:basedOn w:val="Normal"/>
    <w:link w:val="SignatureChar"/>
    <w:uiPriority w:val="99"/>
    <w:semiHidden/>
    <w:unhideWhenUsed/>
    <w:rsid w:val="0096075C"/>
    <w:pPr>
      <w:spacing w:after="0" w:line="240" w:lineRule="auto"/>
      <w:ind w:left="4252"/>
    </w:pPr>
  </w:style>
  <w:style w:type="character" w:customStyle="1" w:styleId="SignatureChar">
    <w:name w:val="Signature Char"/>
    <w:basedOn w:val="DefaultParagraphFont"/>
    <w:link w:val="Signature"/>
    <w:uiPriority w:val="99"/>
    <w:semiHidden/>
    <w:rsid w:val="0096075C"/>
  </w:style>
  <w:style w:type="paragraph" w:styleId="TableofAuthorities">
    <w:name w:val="table of authorities"/>
    <w:basedOn w:val="Normal"/>
    <w:next w:val="Normal"/>
    <w:uiPriority w:val="99"/>
    <w:semiHidden/>
    <w:unhideWhenUsed/>
    <w:rsid w:val="0096075C"/>
    <w:pPr>
      <w:spacing w:after="0"/>
      <w:ind w:left="220" w:hanging="220"/>
    </w:pPr>
  </w:style>
  <w:style w:type="paragraph" w:styleId="TableofFigures">
    <w:name w:val="table of figures"/>
    <w:basedOn w:val="Normal"/>
    <w:next w:val="Normal"/>
    <w:uiPriority w:val="99"/>
    <w:semiHidden/>
    <w:unhideWhenUsed/>
    <w:rsid w:val="0096075C"/>
    <w:pPr>
      <w:spacing w:after="0"/>
    </w:pPr>
  </w:style>
  <w:style w:type="paragraph" w:styleId="TOAHeading">
    <w:name w:val="toa heading"/>
    <w:basedOn w:val="Normal"/>
    <w:next w:val="Normal"/>
    <w:uiPriority w:val="99"/>
    <w:semiHidden/>
    <w:unhideWhenUsed/>
    <w:rsid w:val="0096075C"/>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140F74"/>
    <w:pPr>
      <w:tabs>
        <w:tab w:val="left" w:pos="440"/>
        <w:tab w:val="right" w:leader="dot" w:pos="7787"/>
      </w:tabs>
      <w:spacing w:after="100"/>
    </w:pPr>
    <w:rPr>
      <w:b/>
      <w:bCs/>
      <w:noProof/>
    </w:rPr>
  </w:style>
  <w:style w:type="paragraph" w:styleId="TOC2">
    <w:name w:val="toc 2"/>
    <w:basedOn w:val="Normal"/>
    <w:next w:val="Normal"/>
    <w:link w:val="TOC2Char"/>
    <w:autoRedefine/>
    <w:uiPriority w:val="39"/>
    <w:unhideWhenUsed/>
    <w:rsid w:val="003601F1"/>
    <w:pPr>
      <w:tabs>
        <w:tab w:val="right" w:leader="dot" w:pos="7787"/>
      </w:tabs>
      <w:spacing w:after="100"/>
    </w:pPr>
    <w:rPr>
      <w:b/>
      <w:bCs/>
      <w:noProof/>
      <w:sz w:val="18"/>
      <w:szCs w:val="18"/>
    </w:rPr>
  </w:style>
  <w:style w:type="paragraph" w:styleId="TOC3">
    <w:name w:val="toc 3"/>
    <w:basedOn w:val="Normal"/>
    <w:next w:val="Normal"/>
    <w:autoRedefine/>
    <w:uiPriority w:val="39"/>
    <w:unhideWhenUsed/>
    <w:rsid w:val="0096075C"/>
    <w:pPr>
      <w:spacing w:after="100"/>
      <w:ind w:left="440"/>
    </w:pPr>
  </w:style>
  <w:style w:type="paragraph" w:styleId="TOC4">
    <w:name w:val="toc 4"/>
    <w:basedOn w:val="Normal"/>
    <w:next w:val="Normal"/>
    <w:autoRedefine/>
    <w:uiPriority w:val="39"/>
    <w:semiHidden/>
    <w:unhideWhenUsed/>
    <w:rsid w:val="0096075C"/>
    <w:pPr>
      <w:spacing w:after="100"/>
      <w:ind w:left="660"/>
    </w:pPr>
  </w:style>
  <w:style w:type="paragraph" w:styleId="TOC5">
    <w:name w:val="toc 5"/>
    <w:basedOn w:val="Normal"/>
    <w:next w:val="Normal"/>
    <w:autoRedefine/>
    <w:uiPriority w:val="39"/>
    <w:semiHidden/>
    <w:unhideWhenUsed/>
    <w:rsid w:val="0096075C"/>
    <w:pPr>
      <w:spacing w:after="100"/>
      <w:ind w:left="880"/>
    </w:pPr>
  </w:style>
  <w:style w:type="paragraph" w:styleId="TOC6">
    <w:name w:val="toc 6"/>
    <w:basedOn w:val="Normal"/>
    <w:next w:val="Normal"/>
    <w:autoRedefine/>
    <w:uiPriority w:val="39"/>
    <w:semiHidden/>
    <w:unhideWhenUsed/>
    <w:rsid w:val="0096075C"/>
    <w:pPr>
      <w:spacing w:after="100"/>
      <w:ind w:left="1100"/>
    </w:pPr>
  </w:style>
  <w:style w:type="paragraph" w:styleId="TOC7">
    <w:name w:val="toc 7"/>
    <w:basedOn w:val="Normal"/>
    <w:next w:val="Normal"/>
    <w:autoRedefine/>
    <w:uiPriority w:val="39"/>
    <w:semiHidden/>
    <w:unhideWhenUsed/>
    <w:rsid w:val="0096075C"/>
    <w:pPr>
      <w:spacing w:after="100"/>
      <w:ind w:left="1320"/>
    </w:pPr>
  </w:style>
  <w:style w:type="paragraph" w:styleId="TOC8">
    <w:name w:val="toc 8"/>
    <w:basedOn w:val="Normal"/>
    <w:next w:val="Normal"/>
    <w:autoRedefine/>
    <w:uiPriority w:val="39"/>
    <w:semiHidden/>
    <w:unhideWhenUsed/>
    <w:rsid w:val="0096075C"/>
    <w:pPr>
      <w:spacing w:after="100"/>
      <w:ind w:left="1540"/>
    </w:pPr>
  </w:style>
  <w:style w:type="paragraph" w:styleId="TOC9">
    <w:name w:val="toc 9"/>
    <w:basedOn w:val="Normal"/>
    <w:next w:val="Normal"/>
    <w:autoRedefine/>
    <w:uiPriority w:val="39"/>
    <w:semiHidden/>
    <w:unhideWhenUsed/>
    <w:rsid w:val="0096075C"/>
    <w:pPr>
      <w:spacing w:after="100"/>
      <w:ind w:left="1760"/>
    </w:pPr>
  </w:style>
  <w:style w:type="paragraph" w:styleId="TOCHeading">
    <w:name w:val="TOC Heading"/>
    <w:basedOn w:val="Heading1"/>
    <w:next w:val="Normal"/>
    <w:uiPriority w:val="39"/>
    <w:semiHidden/>
    <w:unhideWhenUsed/>
    <w:qFormat/>
    <w:rsid w:val="0096075C"/>
    <w:pPr>
      <w:spacing w:before="240" w:beforeAutospacing="0" w:after="0" w:line="259" w:lineRule="auto"/>
      <w:outlineLvl w:val="9"/>
    </w:pPr>
    <w:rPr>
      <w:spacing w:val="0"/>
      <w:sz w:val="32"/>
    </w:rPr>
  </w:style>
  <w:style w:type="character" w:customStyle="1" w:styleId="BulletsL2Char">
    <w:name w:val="Bullets L2 Char"/>
    <w:basedOn w:val="BulletsChar"/>
    <w:link w:val="BulletsL2"/>
    <w:rsid w:val="00AA07F9"/>
    <w:rPr>
      <w:color w:val="1C1C1C"/>
      <w:sz w:val="18"/>
      <w:szCs w:val="18"/>
      <w:lang w:val="en-AU"/>
    </w:rPr>
  </w:style>
  <w:style w:type="table" w:customStyle="1" w:styleId="Style1">
    <w:name w:val="Style1"/>
    <w:basedOn w:val="TableNormal"/>
    <w:uiPriority w:val="99"/>
    <w:rsid w:val="00683F14"/>
    <w:pPr>
      <w:spacing w:after="0" w:line="240" w:lineRule="auto"/>
    </w:pPr>
    <w:rPr>
      <w:sz w:val="15"/>
    </w:rPr>
    <w:tblPr/>
  </w:style>
  <w:style w:type="table" w:customStyle="1" w:styleId="IHPATable">
    <w:name w:val="IHPA Table"/>
    <w:basedOn w:val="TableNormal"/>
    <w:uiPriority w:val="99"/>
    <w:rsid w:val="00780AAF"/>
    <w:pPr>
      <w:spacing w:after="0" w:line="240" w:lineRule="auto"/>
    </w:pPr>
    <w:tblPr>
      <w:tblStyleRowBandSize w:val="1"/>
    </w:tblPr>
    <w:tblStylePr w:type="firstRow">
      <w:rPr>
        <w:rFonts w:asciiTheme="minorHAnsi" w:hAnsiTheme="minorHAnsi"/>
        <w:color w:val="FFFFFF" w:themeColor="background2"/>
        <w:sz w:val="18"/>
      </w:rPr>
      <w:tblPr/>
      <w:tcPr>
        <w:shd w:val="clear" w:color="auto" w:fill="F47920" w:themeFill="accent4"/>
      </w:tcPr>
    </w:tblStylePr>
    <w:tblStylePr w:type="lastRow">
      <w:rPr>
        <w:rFonts w:asciiTheme="minorHAnsi" w:hAnsiTheme="minorHAnsi"/>
        <w:sz w:val="15"/>
      </w:rPr>
      <w:tblPr/>
      <w:tcPr>
        <w:tcBorders>
          <w:top w:val="nil"/>
          <w:bottom w:val="single" w:sz="4" w:space="0" w:color="D9D9D9" w:themeColor="background2" w:themeShade="D9"/>
        </w:tcBorders>
      </w:tcPr>
    </w:tblStylePr>
    <w:tblStylePr w:type="firstCol">
      <w:rPr>
        <w:rFonts w:asciiTheme="minorHAnsi" w:hAnsiTheme="minorHAnsi"/>
        <w:sz w:val="15"/>
      </w:rPr>
      <w:tblPr/>
      <w:tcPr>
        <w:tcBorders>
          <w:top w:val="nil"/>
          <w:bottom w:val="nil"/>
        </w:tcBorders>
      </w:tcPr>
    </w:tblStylePr>
    <w:tblStylePr w:type="band1Horz">
      <w:tblPr/>
      <w:tcPr>
        <w:tcBorders>
          <w:top w:val="single" w:sz="4" w:space="0" w:color="D9D9D9" w:themeColor="background2" w:themeShade="D9"/>
          <w:left w:val="nil"/>
          <w:bottom w:val="single" w:sz="4" w:space="0" w:color="D9D9D9" w:themeColor="background2" w:themeShade="D9"/>
          <w:right w:val="nil"/>
          <w:insideH w:val="nil"/>
          <w:insideV w:val="nil"/>
          <w:tl2br w:val="nil"/>
          <w:tr2bl w:val="nil"/>
        </w:tcBorders>
      </w:tcPr>
    </w:tblStylePr>
    <w:tblStylePr w:type="band2Horz">
      <w:tblPr/>
      <w:tcPr>
        <w:tcBorders>
          <w:top w:val="single" w:sz="4" w:space="0" w:color="D9D9D9" w:themeColor="background2" w:themeShade="D9"/>
          <w:bottom w:val="nil"/>
        </w:tcBorders>
      </w:tcPr>
    </w:tblStylePr>
  </w:style>
  <w:style w:type="paragraph" w:customStyle="1" w:styleId="ListNumberedlvl1">
    <w:name w:val="List Numbered lvl 1"/>
    <w:basedOn w:val="Normal"/>
    <w:qFormat/>
    <w:rsid w:val="00640BC4"/>
    <w:pPr>
      <w:numPr>
        <w:numId w:val="12"/>
      </w:numPr>
      <w:spacing w:before="160" w:line="240" w:lineRule="auto"/>
    </w:pPr>
    <w:rPr>
      <w:sz w:val="18"/>
    </w:rPr>
  </w:style>
  <w:style w:type="paragraph" w:customStyle="1" w:styleId="AlphabetListL2">
    <w:name w:val="Alphabet List L2"/>
    <w:basedOn w:val="Normal"/>
    <w:link w:val="AlphabetListL2Char"/>
    <w:qFormat/>
    <w:rsid w:val="005E28D1"/>
    <w:pPr>
      <w:numPr>
        <w:numId w:val="13"/>
      </w:numPr>
    </w:pPr>
    <w:rPr>
      <w:color w:val="1C1C1C"/>
      <w:sz w:val="18"/>
      <w:szCs w:val="18"/>
    </w:rPr>
  </w:style>
  <w:style w:type="character" w:customStyle="1" w:styleId="AlphabetListL2Char">
    <w:name w:val="Alphabet List L2 Char"/>
    <w:basedOn w:val="DefaultParagraphFont"/>
    <w:link w:val="AlphabetListL2"/>
    <w:rsid w:val="005E28D1"/>
    <w:rPr>
      <w:color w:val="1C1C1C"/>
      <w:sz w:val="18"/>
      <w:szCs w:val="18"/>
      <w:lang w:val="en-AU"/>
    </w:rPr>
  </w:style>
  <w:style w:type="paragraph" w:customStyle="1" w:styleId="NumberListNoIndent">
    <w:name w:val="Number List No Indent"/>
    <w:basedOn w:val="Normal"/>
    <w:link w:val="NumberListNoIndentChar"/>
    <w:qFormat/>
    <w:rsid w:val="00A02341"/>
    <w:pPr>
      <w:numPr>
        <w:numId w:val="16"/>
      </w:numPr>
    </w:pPr>
    <w:rPr>
      <w:color w:val="1C1C1C"/>
      <w:sz w:val="18"/>
      <w:szCs w:val="18"/>
    </w:rPr>
  </w:style>
  <w:style w:type="character" w:customStyle="1" w:styleId="cf01">
    <w:name w:val="cf01"/>
    <w:basedOn w:val="DefaultParagraphFont"/>
    <w:rsid w:val="00290F4A"/>
    <w:rPr>
      <w:rFonts w:ascii="Segoe UI" w:hAnsi="Segoe UI" w:cs="Segoe UI" w:hint="default"/>
      <w:sz w:val="18"/>
      <w:szCs w:val="18"/>
    </w:rPr>
  </w:style>
  <w:style w:type="character" w:customStyle="1" w:styleId="NumberListNoIndentChar">
    <w:name w:val="Number List No Indent Char"/>
    <w:basedOn w:val="DefaultParagraphFont"/>
    <w:link w:val="NumberListNoIndent"/>
    <w:rsid w:val="00A02341"/>
    <w:rPr>
      <w:color w:val="1C1C1C"/>
      <w:sz w:val="18"/>
      <w:szCs w:val="18"/>
      <w:lang w:val="en-AU"/>
    </w:rPr>
  </w:style>
  <w:style w:type="table" w:customStyle="1" w:styleId="TableGrid1">
    <w:name w:val="Table Grid1"/>
    <w:basedOn w:val="TableNormal"/>
    <w:next w:val="TableGrid"/>
    <w:uiPriority w:val="39"/>
    <w:rsid w:val="00422E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3Financials">
    <w:name w:val="H3 Financials"/>
    <w:basedOn w:val="H3"/>
    <w:link w:val="H3FinancialsChar"/>
    <w:qFormat/>
    <w:rsid w:val="00153DC1"/>
    <w:rPr>
      <w:color w:val="1C1C1C"/>
    </w:rPr>
  </w:style>
  <w:style w:type="character" w:customStyle="1" w:styleId="H3FinancialsChar">
    <w:name w:val="H3 Financials Char"/>
    <w:basedOn w:val="H3Char"/>
    <w:link w:val="H3Financials"/>
    <w:rsid w:val="00153DC1"/>
    <w:rPr>
      <w:rFonts w:asciiTheme="majorHAnsi" w:hAnsiTheme="majorHAnsi"/>
      <w:bCs/>
      <w:color w:val="1C1C1C"/>
      <w:sz w:val="24"/>
      <w:szCs w:val="24"/>
    </w:rPr>
  </w:style>
  <w:style w:type="paragraph" w:customStyle="1" w:styleId="Body-Financial">
    <w:name w:val="Body - Financial"/>
    <w:basedOn w:val="Normal"/>
    <w:link w:val="Body-FinancialChar"/>
    <w:qFormat/>
    <w:rsid w:val="00957DFA"/>
    <w:pPr>
      <w:spacing w:after="80" w:line="247" w:lineRule="auto"/>
    </w:pPr>
    <w:rPr>
      <w:color w:val="1C1C1C"/>
      <w:sz w:val="14"/>
      <w:szCs w:val="14"/>
    </w:rPr>
  </w:style>
  <w:style w:type="paragraph" w:customStyle="1" w:styleId="H2Financials">
    <w:name w:val="H2 Financials"/>
    <w:basedOn w:val="Heading1"/>
    <w:link w:val="H2FinancialsChar"/>
    <w:qFormat/>
    <w:rsid w:val="00441466"/>
    <w:rPr>
      <w:color w:val="292929"/>
    </w:rPr>
  </w:style>
  <w:style w:type="character" w:customStyle="1" w:styleId="Body-FinancialChar">
    <w:name w:val="Body - Financial Char"/>
    <w:basedOn w:val="DefaultParagraphFont"/>
    <w:link w:val="Body-Financial"/>
    <w:rsid w:val="00957DFA"/>
    <w:rPr>
      <w:color w:val="1C1C1C"/>
      <w:sz w:val="14"/>
      <w:szCs w:val="14"/>
    </w:rPr>
  </w:style>
  <w:style w:type="character" w:customStyle="1" w:styleId="H2FinancialsChar">
    <w:name w:val="H2 Financials Char"/>
    <w:basedOn w:val="Heading1Char"/>
    <w:link w:val="H2Financials"/>
    <w:rsid w:val="00441466"/>
    <w:rPr>
      <w:rFonts w:asciiTheme="majorHAnsi" w:eastAsiaTheme="majorEastAsia" w:hAnsiTheme="majorHAnsi" w:cstheme="majorBidi"/>
      <w:color w:val="292929"/>
      <w:spacing w:val="-12"/>
      <w:sz w:val="60"/>
      <w:szCs w:val="32"/>
    </w:rPr>
  </w:style>
  <w:style w:type="paragraph" w:customStyle="1" w:styleId="H4Financials">
    <w:name w:val="H4 Financials"/>
    <w:basedOn w:val="H4"/>
    <w:link w:val="H4FinancialsChar"/>
    <w:qFormat/>
    <w:rsid w:val="00441466"/>
    <w:rPr>
      <w:sz w:val="18"/>
    </w:rPr>
  </w:style>
  <w:style w:type="character" w:customStyle="1" w:styleId="H4FinancialsChar">
    <w:name w:val="H4 Financials Char"/>
    <w:basedOn w:val="H4Char"/>
    <w:link w:val="H4Financials"/>
    <w:rsid w:val="00441466"/>
    <w:rPr>
      <w:rFonts w:ascii="Futura PT Demi" w:hAnsi="Futura PT Demi"/>
      <w:bCs/>
      <w:color w:val="1C1C1C"/>
      <w:sz w:val="18"/>
      <w:szCs w:val="18"/>
    </w:rPr>
  </w:style>
  <w:style w:type="table" w:customStyle="1" w:styleId="IHPA">
    <w:name w:val="IHPA"/>
    <w:basedOn w:val="TableNormal"/>
    <w:uiPriority w:val="99"/>
    <w:rsid w:val="00531AFF"/>
    <w:pPr>
      <w:spacing w:after="0" w:line="240" w:lineRule="auto"/>
    </w:pPr>
    <w:tblPr/>
  </w:style>
  <w:style w:type="character" w:customStyle="1" w:styleId="UnresolvedMention1">
    <w:name w:val="Unresolved Mention1"/>
    <w:basedOn w:val="DefaultParagraphFont"/>
    <w:uiPriority w:val="99"/>
    <w:semiHidden/>
    <w:unhideWhenUsed/>
    <w:rsid w:val="001D3C99"/>
    <w:rPr>
      <w:color w:val="605E5C"/>
      <w:shd w:val="clear" w:color="auto" w:fill="E1DFDD"/>
    </w:rPr>
  </w:style>
  <w:style w:type="paragraph" w:customStyle="1" w:styleId="TOCBody">
    <w:name w:val="TOC Body"/>
    <w:basedOn w:val="TOC2"/>
    <w:link w:val="TOCBodyChar"/>
    <w:qFormat/>
    <w:rsid w:val="005A3416"/>
    <w:pPr>
      <w:tabs>
        <w:tab w:val="clear" w:pos="7787"/>
        <w:tab w:val="right" w:leader="dot" w:pos="7797"/>
      </w:tabs>
      <w:spacing w:after="20"/>
      <w:ind w:left="284"/>
    </w:pPr>
  </w:style>
  <w:style w:type="paragraph" w:customStyle="1" w:styleId="TOCHeader">
    <w:name w:val="TOC Header"/>
    <w:basedOn w:val="TOCBody"/>
    <w:link w:val="TOCHeaderChar"/>
    <w:qFormat/>
    <w:rsid w:val="005A3416"/>
    <w:pPr>
      <w:numPr>
        <w:numId w:val="15"/>
      </w:numPr>
      <w:spacing w:before="80"/>
      <w:ind w:left="284" w:hanging="284"/>
    </w:pPr>
    <w:rPr>
      <w:rFonts w:asciiTheme="majorHAnsi" w:hAnsiTheme="majorHAnsi"/>
      <w:color w:val="1C1C1C"/>
    </w:rPr>
  </w:style>
  <w:style w:type="character" w:customStyle="1" w:styleId="TOC2Char">
    <w:name w:val="TOC 2 Char"/>
    <w:basedOn w:val="DefaultParagraphFont"/>
    <w:link w:val="TOC2"/>
    <w:uiPriority w:val="39"/>
    <w:rsid w:val="003601F1"/>
    <w:rPr>
      <w:b/>
      <w:bCs/>
      <w:noProof/>
      <w:sz w:val="18"/>
      <w:szCs w:val="18"/>
      <w:lang w:val="en-AU"/>
    </w:rPr>
  </w:style>
  <w:style w:type="character" w:customStyle="1" w:styleId="TOCBodyChar">
    <w:name w:val="TOC Body Char"/>
    <w:basedOn w:val="TOC2Char"/>
    <w:link w:val="TOCBody"/>
    <w:rsid w:val="005A3416"/>
    <w:rPr>
      <w:b/>
      <w:bCs/>
      <w:noProof/>
      <w:sz w:val="18"/>
      <w:szCs w:val="18"/>
      <w:lang w:val="en-AU"/>
    </w:rPr>
  </w:style>
  <w:style w:type="character" w:customStyle="1" w:styleId="TOCHeaderChar">
    <w:name w:val="TOC Header Char"/>
    <w:basedOn w:val="TOCBodyChar"/>
    <w:link w:val="TOCHeader"/>
    <w:rsid w:val="005A3416"/>
    <w:rPr>
      <w:rFonts w:asciiTheme="majorHAnsi" w:hAnsiTheme="majorHAnsi"/>
      <w:b/>
      <w:bCs/>
      <w:noProof/>
      <w:color w:val="1C1C1C"/>
      <w:sz w:val="18"/>
      <w:szCs w:val="18"/>
      <w:lang w:val="en-AU"/>
    </w:rPr>
  </w:style>
  <w:style w:type="paragraph" w:customStyle="1" w:styleId="H1">
    <w:name w:val="H1"/>
    <w:basedOn w:val="Heading1"/>
    <w:link w:val="H1Char"/>
    <w:qFormat/>
    <w:rsid w:val="001A3BD5"/>
    <w:pPr>
      <w:spacing w:before="2640" w:beforeAutospacing="0" w:after="0"/>
      <w:jc w:val="center"/>
    </w:pPr>
    <w:rPr>
      <w:color w:val="FFFFFF" w:themeColor="background2"/>
      <w:sz w:val="72"/>
      <w:szCs w:val="72"/>
    </w:rPr>
  </w:style>
  <w:style w:type="paragraph" w:customStyle="1" w:styleId="H2Financial">
    <w:name w:val="H2 Financial"/>
    <w:basedOn w:val="Heading1"/>
    <w:link w:val="H2FinancialChar"/>
    <w:qFormat/>
    <w:rsid w:val="0015771D"/>
    <w:rPr>
      <w:color w:val="292929"/>
    </w:rPr>
  </w:style>
  <w:style w:type="character" w:customStyle="1" w:styleId="H1Char">
    <w:name w:val="H1 Char"/>
    <w:basedOn w:val="DefaultParagraphFont"/>
    <w:link w:val="H1"/>
    <w:rsid w:val="001A3BD5"/>
    <w:rPr>
      <w:rFonts w:asciiTheme="majorHAnsi" w:eastAsiaTheme="majorEastAsia" w:hAnsiTheme="majorHAnsi" w:cstheme="majorBidi"/>
      <w:color w:val="FFFFFF" w:themeColor="background2"/>
      <w:spacing w:val="-12"/>
      <w:sz w:val="72"/>
      <w:szCs w:val="72"/>
    </w:rPr>
  </w:style>
  <w:style w:type="character" w:customStyle="1" w:styleId="H2FinancialChar">
    <w:name w:val="H2 Financial Char"/>
    <w:basedOn w:val="Heading1Char"/>
    <w:link w:val="H2Financial"/>
    <w:rsid w:val="0015771D"/>
    <w:rPr>
      <w:rFonts w:asciiTheme="majorHAnsi" w:eastAsiaTheme="majorEastAsia" w:hAnsiTheme="majorHAnsi" w:cstheme="majorBidi"/>
      <w:color w:val="292929"/>
      <w:spacing w:val="-12"/>
      <w:sz w:val="60"/>
      <w:szCs w:val="32"/>
    </w:rPr>
  </w:style>
  <w:style w:type="paragraph" w:styleId="Revision">
    <w:name w:val="Revision"/>
    <w:hidden/>
    <w:uiPriority w:val="99"/>
    <w:semiHidden/>
    <w:rsid w:val="003C10EC"/>
    <w:pPr>
      <w:spacing w:after="0" w:line="240" w:lineRule="auto"/>
    </w:pPr>
  </w:style>
  <w:style w:type="character" w:styleId="FollowedHyperlink">
    <w:name w:val="FollowedHyperlink"/>
    <w:basedOn w:val="DefaultParagraphFont"/>
    <w:uiPriority w:val="99"/>
    <w:semiHidden/>
    <w:unhideWhenUsed/>
    <w:rsid w:val="00F60018"/>
    <w:rPr>
      <w:color w:val="7EC352" w:themeColor="followedHyperlink"/>
      <w:u w:val="single"/>
    </w:rPr>
  </w:style>
  <w:style w:type="paragraph" w:customStyle="1" w:styleId="TOC-subheading">
    <w:name w:val="TOC - subheading"/>
    <w:basedOn w:val="Normal"/>
    <w:uiPriority w:val="99"/>
    <w:rsid w:val="00521543"/>
    <w:pPr>
      <w:autoSpaceDE w:val="0"/>
      <w:autoSpaceDN w:val="0"/>
      <w:adjustRightInd w:val="0"/>
      <w:spacing w:after="0" w:line="280" w:lineRule="atLeast"/>
      <w:textAlignment w:val="center"/>
    </w:pPr>
    <w:rPr>
      <w:rFonts w:ascii="Futura PT Book" w:hAnsi="Futura PT Book" w:cs="Futura PT Book"/>
      <w:color w:val="FFFFFF"/>
      <w:lang w:val="en-US"/>
    </w:rPr>
  </w:style>
  <w:style w:type="paragraph" w:customStyle="1" w:styleId="indexcopy">
    <w:name w:val="index copy"/>
    <w:basedOn w:val="Body"/>
    <w:link w:val="indexcopyChar"/>
    <w:qFormat/>
    <w:rsid w:val="00420073"/>
    <w:pPr>
      <w:spacing w:after="60" w:line="250" w:lineRule="auto"/>
      <w:ind w:left="454" w:hanging="454"/>
    </w:pPr>
  </w:style>
  <w:style w:type="paragraph" w:customStyle="1" w:styleId="indentindexcopy">
    <w:name w:val="indent index copy"/>
    <w:basedOn w:val="indexcopy"/>
    <w:link w:val="indentindexcopyChar"/>
    <w:qFormat/>
    <w:rsid w:val="00420073"/>
    <w:pPr>
      <w:ind w:left="624" w:hanging="397"/>
    </w:pPr>
  </w:style>
  <w:style w:type="character" w:customStyle="1" w:styleId="indexcopyChar">
    <w:name w:val="index copy Char"/>
    <w:basedOn w:val="BodyChar"/>
    <w:link w:val="indexcopy"/>
    <w:rsid w:val="00420073"/>
    <w:rPr>
      <w:color w:val="1C1C1C"/>
      <w:sz w:val="18"/>
      <w:szCs w:val="18"/>
    </w:rPr>
  </w:style>
  <w:style w:type="character" w:customStyle="1" w:styleId="indentindexcopyChar">
    <w:name w:val="indent index copy Char"/>
    <w:basedOn w:val="indexcopyChar"/>
    <w:link w:val="indentindexcopy"/>
    <w:rsid w:val="00420073"/>
    <w:rPr>
      <w:color w:val="1C1C1C"/>
      <w:sz w:val="18"/>
      <w:szCs w:val="18"/>
    </w:rPr>
  </w:style>
  <w:style w:type="table" w:customStyle="1" w:styleId="1">
    <w:name w:val="1"/>
    <w:basedOn w:val="TableNormal"/>
    <w:uiPriority w:val="99"/>
    <w:rsid w:val="007757ED"/>
    <w:pPr>
      <w:spacing w:after="0" w:line="240" w:lineRule="auto"/>
    </w:pPr>
    <w:tblPr/>
  </w:style>
  <w:style w:type="table" w:customStyle="1" w:styleId="Table1">
    <w:name w:val="Table1"/>
    <w:basedOn w:val="TableNormal"/>
    <w:uiPriority w:val="99"/>
    <w:rsid w:val="007757ED"/>
    <w:pPr>
      <w:spacing w:after="0" w:line="240" w:lineRule="auto"/>
    </w:pPr>
    <w:tblPr/>
  </w:style>
  <w:style w:type="character" w:styleId="UnresolvedMention">
    <w:name w:val="Unresolved Mention"/>
    <w:basedOn w:val="DefaultParagraphFont"/>
    <w:uiPriority w:val="99"/>
    <w:semiHidden/>
    <w:unhideWhenUsed/>
    <w:rsid w:val="00440484"/>
    <w:rPr>
      <w:color w:val="605E5C"/>
      <w:shd w:val="clear" w:color="auto" w:fill="E1DFDD"/>
    </w:rPr>
  </w:style>
  <w:style w:type="character" w:styleId="PageNumber">
    <w:name w:val="page number"/>
    <w:basedOn w:val="DefaultParagraphFont"/>
    <w:uiPriority w:val="99"/>
    <w:semiHidden/>
    <w:unhideWhenUsed/>
    <w:rsid w:val="00F26CE2"/>
  </w:style>
  <w:style w:type="paragraph" w:customStyle="1" w:styleId="H5">
    <w:name w:val="H5"/>
    <w:qFormat/>
    <w:rsid w:val="00B20824"/>
    <w:rPr>
      <w:b/>
      <w:bCs/>
      <w:color w:val="1C1C1C"/>
      <w:sz w:val="20"/>
      <w:szCs w:val="20"/>
      <w:lang w:val="en-AU"/>
    </w:rPr>
  </w:style>
  <w:style w:type="paragraph" w:customStyle="1" w:styleId="H6">
    <w:name w:val="H6"/>
    <w:qFormat/>
    <w:rsid w:val="00B20824"/>
    <w:rPr>
      <w:b/>
      <w:bCs/>
      <w:color w:val="1C1C1C"/>
      <w:sz w:val="18"/>
      <w:szCs w:val="1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24735">
      <w:bodyDiv w:val="1"/>
      <w:marLeft w:val="0"/>
      <w:marRight w:val="0"/>
      <w:marTop w:val="0"/>
      <w:marBottom w:val="0"/>
      <w:divBdr>
        <w:top w:val="none" w:sz="0" w:space="0" w:color="auto"/>
        <w:left w:val="none" w:sz="0" w:space="0" w:color="auto"/>
        <w:bottom w:val="none" w:sz="0" w:space="0" w:color="auto"/>
        <w:right w:val="none" w:sz="0" w:space="0" w:color="auto"/>
      </w:divBdr>
    </w:div>
    <w:div w:id="93601984">
      <w:bodyDiv w:val="1"/>
      <w:marLeft w:val="0"/>
      <w:marRight w:val="0"/>
      <w:marTop w:val="0"/>
      <w:marBottom w:val="0"/>
      <w:divBdr>
        <w:top w:val="none" w:sz="0" w:space="0" w:color="auto"/>
        <w:left w:val="none" w:sz="0" w:space="0" w:color="auto"/>
        <w:bottom w:val="none" w:sz="0" w:space="0" w:color="auto"/>
        <w:right w:val="none" w:sz="0" w:space="0" w:color="auto"/>
      </w:divBdr>
    </w:div>
    <w:div w:id="118110711">
      <w:bodyDiv w:val="1"/>
      <w:marLeft w:val="0"/>
      <w:marRight w:val="0"/>
      <w:marTop w:val="0"/>
      <w:marBottom w:val="0"/>
      <w:divBdr>
        <w:top w:val="none" w:sz="0" w:space="0" w:color="auto"/>
        <w:left w:val="none" w:sz="0" w:space="0" w:color="auto"/>
        <w:bottom w:val="none" w:sz="0" w:space="0" w:color="auto"/>
        <w:right w:val="none" w:sz="0" w:space="0" w:color="auto"/>
      </w:divBdr>
    </w:div>
    <w:div w:id="168761751">
      <w:bodyDiv w:val="1"/>
      <w:marLeft w:val="0"/>
      <w:marRight w:val="0"/>
      <w:marTop w:val="0"/>
      <w:marBottom w:val="0"/>
      <w:divBdr>
        <w:top w:val="none" w:sz="0" w:space="0" w:color="auto"/>
        <w:left w:val="none" w:sz="0" w:space="0" w:color="auto"/>
        <w:bottom w:val="none" w:sz="0" w:space="0" w:color="auto"/>
        <w:right w:val="none" w:sz="0" w:space="0" w:color="auto"/>
      </w:divBdr>
    </w:div>
    <w:div w:id="200558111">
      <w:bodyDiv w:val="1"/>
      <w:marLeft w:val="0"/>
      <w:marRight w:val="0"/>
      <w:marTop w:val="0"/>
      <w:marBottom w:val="0"/>
      <w:divBdr>
        <w:top w:val="none" w:sz="0" w:space="0" w:color="auto"/>
        <w:left w:val="none" w:sz="0" w:space="0" w:color="auto"/>
        <w:bottom w:val="none" w:sz="0" w:space="0" w:color="auto"/>
        <w:right w:val="none" w:sz="0" w:space="0" w:color="auto"/>
      </w:divBdr>
    </w:div>
    <w:div w:id="231083249">
      <w:bodyDiv w:val="1"/>
      <w:marLeft w:val="0"/>
      <w:marRight w:val="0"/>
      <w:marTop w:val="0"/>
      <w:marBottom w:val="0"/>
      <w:divBdr>
        <w:top w:val="none" w:sz="0" w:space="0" w:color="auto"/>
        <w:left w:val="none" w:sz="0" w:space="0" w:color="auto"/>
        <w:bottom w:val="none" w:sz="0" w:space="0" w:color="auto"/>
        <w:right w:val="none" w:sz="0" w:space="0" w:color="auto"/>
      </w:divBdr>
    </w:div>
    <w:div w:id="240797480">
      <w:bodyDiv w:val="1"/>
      <w:marLeft w:val="0"/>
      <w:marRight w:val="0"/>
      <w:marTop w:val="0"/>
      <w:marBottom w:val="0"/>
      <w:divBdr>
        <w:top w:val="none" w:sz="0" w:space="0" w:color="auto"/>
        <w:left w:val="none" w:sz="0" w:space="0" w:color="auto"/>
        <w:bottom w:val="none" w:sz="0" w:space="0" w:color="auto"/>
        <w:right w:val="none" w:sz="0" w:space="0" w:color="auto"/>
      </w:divBdr>
    </w:div>
    <w:div w:id="316423376">
      <w:bodyDiv w:val="1"/>
      <w:marLeft w:val="0"/>
      <w:marRight w:val="0"/>
      <w:marTop w:val="0"/>
      <w:marBottom w:val="0"/>
      <w:divBdr>
        <w:top w:val="none" w:sz="0" w:space="0" w:color="auto"/>
        <w:left w:val="none" w:sz="0" w:space="0" w:color="auto"/>
        <w:bottom w:val="none" w:sz="0" w:space="0" w:color="auto"/>
        <w:right w:val="none" w:sz="0" w:space="0" w:color="auto"/>
      </w:divBdr>
    </w:div>
    <w:div w:id="345789404">
      <w:bodyDiv w:val="1"/>
      <w:marLeft w:val="0"/>
      <w:marRight w:val="0"/>
      <w:marTop w:val="0"/>
      <w:marBottom w:val="0"/>
      <w:divBdr>
        <w:top w:val="none" w:sz="0" w:space="0" w:color="auto"/>
        <w:left w:val="none" w:sz="0" w:space="0" w:color="auto"/>
        <w:bottom w:val="none" w:sz="0" w:space="0" w:color="auto"/>
        <w:right w:val="none" w:sz="0" w:space="0" w:color="auto"/>
      </w:divBdr>
    </w:div>
    <w:div w:id="358286176">
      <w:bodyDiv w:val="1"/>
      <w:marLeft w:val="0"/>
      <w:marRight w:val="0"/>
      <w:marTop w:val="0"/>
      <w:marBottom w:val="0"/>
      <w:divBdr>
        <w:top w:val="none" w:sz="0" w:space="0" w:color="auto"/>
        <w:left w:val="none" w:sz="0" w:space="0" w:color="auto"/>
        <w:bottom w:val="none" w:sz="0" w:space="0" w:color="auto"/>
        <w:right w:val="none" w:sz="0" w:space="0" w:color="auto"/>
      </w:divBdr>
    </w:div>
    <w:div w:id="379669405">
      <w:bodyDiv w:val="1"/>
      <w:marLeft w:val="0"/>
      <w:marRight w:val="0"/>
      <w:marTop w:val="0"/>
      <w:marBottom w:val="0"/>
      <w:divBdr>
        <w:top w:val="none" w:sz="0" w:space="0" w:color="auto"/>
        <w:left w:val="none" w:sz="0" w:space="0" w:color="auto"/>
        <w:bottom w:val="none" w:sz="0" w:space="0" w:color="auto"/>
        <w:right w:val="none" w:sz="0" w:space="0" w:color="auto"/>
      </w:divBdr>
    </w:div>
    <w:div w:id="479422800">
      <w:bodyDiv w:val="1"/>
      <w:marLeft w:val="0"/>
      <w:marRight w:val="0"/>
      <w:marTop w:val="0"/>
      <w:marBottom w:val="0"/>
      <w:divBdr>
        <w:top w:val="none" w:sz="0" w:space="0" w:color="auto"/>
        <w:left w:val="none" w:sz="0" w:space="0" w:color="auto"/>
        <w:bottom w:val="none" w:sz="0" w:space="0" w:color="auto"/>
        <w:right w:val="none" w:sz="0" w:space="0" w:color="auto"/>
      </w:divBdr>
    </w:div>
    <w:div w:id="502621234">
      <w:bodyDiv w:val="1"/>
      <w:marLeft w:val="0"/>
      <w:marRight w:val="0"/>
      <w:marTop w:val="0"/>
      <w:marBottom w:val="0"/>
      <w:divBdr>
        <w:top w:val="none" w:sz="0" w:space="0" w:color="auto"/>
        <w:left w:val="none" w:sz="0" w:space="0" w:color="auto"/>
        <w:bottom w:val="none" w:sz="0" w:space="0" w:color="auto"/>
        <w:right w:val="none" w:sz="0" w:space="0" w:color="auto"/>
      </w:divBdr>
    </w:div>
    <w:div w:id="569465155">
      <w:bodyDiv w:val="1"/>
      <w:marLeft w:val="0"/>
      <w:marRight w:val="0"/>
      <w:marTop w:val="0"/>
      <w:marBottom w:val="0"/>
      <w:divBdr>
        <w:top w:val="none" w:sz="0" w:space="0" w:color="auto"/>
        <w:left w:val="none" w:sz="0" w:space="0" w:color="auto"/>
        <w:bottom w:val="none" w:sz="0" w:space="0" w:color="auto"/>
        <w:right w:val="none" w:sz="0" w:space="0" w:color="auto"/>
      </w:divBdr>
    </w:div>
    <w:div w:id="607662128">
      <w:bodyDiv w:val="1"/>
      <w:marLeft w:val="0"/>
      <w:marRight w:val="0"/>
      <w:marTop w:val="0"/>
      <w:marBottom w:val="0"/>
      <w:divBdr>
        <w:top w:val="none" w:sz="0" w:space="0" w:color="auto"/>
        <w:left w:val="none" w:sz="0" w:space="0" w:color="auto"/>
        <w:bottom w:val="none" w:sz="0" w:space="0" w:color="auto"/>
        <w:right w:val="none" w:sz="0" w:space="0" w:color="auto"/>
      </w:divBdr>
    </w:div>
    <w:div w:id="628321413">
      <w:bodyDiv w:val="1"/>
      <w:marLeft w:val="0"/>
      <w:marRight w:val="0"/>
      <w:marTop w:val="0"/>
      <w:marBottom w:val="0"/>
      <w:divBdr>
        <w:top w:val="none" w:sz="0" w:space="0" w:color="auto"/>
        <w:left w:val="none" w:sz="0" w:space="0" w:color="auto"/>
        <w:bottom w:val="none" w:sz="0" w:space="0" w:color="auto"/>
        <w:right w:val="none" w:sz="0" w:space="0" w:color="auto"/>
      </w:divBdr>
    </w:div>
    <w:div w:id="634260192">
      <w:bodyDiv w:val="1"/>
      <w:marLeft w:val="0"/>
      <w:marRight w:val="0"/>
      <w:marTop w:val="0"/>
      <w:marBottom w:val="0"/>
      <w:divBdr>
        <w:top w:val="none" w:sz="0" w:space="0" w:color="auto"/>
        <w:left w:val="none" w:sz="0" w:space="0" w:color="auto"/>
        <w:bottom w:val="none" w:sz="0" w:space="0" w:color="auto"/>
        <w:right w:val="none" w:sz="0" w:space="0" w:color="auto"/>
      </w:divBdr>
    </w:div>
    <w:div w:id="640619214">
      <w:bodyDiv w:val="1"/>
      <w:marLeft w:val="0"/>
      <w:marRight w:val="0"/>
      <w:marTop w:val="0"/>
      <w:marBottom w:val="0"/>
      <w:divBdr>
        <w:top w:val="none" w:sz="0" w:space="0" w:color="auto"/>
        <w:left w:val="none" w:sz="0" w:space="0" w:color="auto"/>
        <w:bottom w:val="none" w:sz="0" w:space="0" w:color="auto"/>
        <w:right w:val="none" w:sz="0" w:space="0" w:color="auto"/>
      </w:divBdr>
    </w:div>
    <w:div w:id="642006814">
      <w:bodyDiv w:val="1"/>
      <w:marLeft w:val="0"/>
      <w:marRight w:val="0"/>
      <w:marTop w:val="0"/>
      <w:marBottom w:val="0"/>
      <w:divBdr>
        <w:top w:val="none" w:sz="0" w:space="0" w:color="auto"/>
        <w:left w:val="none" w:sz="0" w:space="0" w:color="auto"/>
        <w:bottom w:val="none" w:sz="0" w:space="0" w:color="auto"/>
        <w:right w:val="none" w:sz="0" w:space="0" w:color="auto"/>
      </w:divBdr>
    </w:div>
    <w:div w:id="642389510">
      <w:bodyDiv w:val="1"/>
      <w:marLeft w:val="0"/>
      <w:marRight w:val="0"/>
      <w:marTop w:val="0"/>
      <w:marBottom w:val="0"/>
      <w:divBdr>
        <w:top w:val="none" w:sz="0" w:space="0" w:color="auto"/>
        <w:left w:val="none" w:sz="0" w:space="0" w:color="auto"/>
        <w:bottom w:val="none" w:sz="0" w:space="0" w:color="auto"/>
        <w:right w:val="none" w:sz="0" w:space="0" w:color="auto"/>
      </w:divBdr>
    </w:div>
    <w:div w:id="647051958">
      <w:bodyDiv w:val="1"/>
      <w:marLeft w:val="0"/>
      <w:marRight w:val="0"/>
      <w:marTop w:val="0"/>
      <w:marBottom w:val="0"/>
      <w:divBdr>
        <w:top w:val="none" w:sz="0" w:space="0" w:color="auto"/>
        <w:left w:val="none" w:sz="0" w:space="0" w:color="auto"/>
        <w:bottom w:val="none" w:sz="0" w:space="0" w:color="auto"/>
        <w:right w:val="none" w:sz="0" w:space="0" w:color="auto"/>
      </w:divBdr>
    </w:div>
    <w:div w:id="678771146">
      <w:bodyDiv w:val="1"/>
      <w:marLeft w:val="0"/>
      <w:marRight w:val="0"/>
      <w:marTop w:val="0"/>
      <w:marBottom w:val="0"/>
      <w:divBdr>
        <w:top w:val="none" w:sz="0" w:space="0" w:color="auto"/>
        <w:left w:val="none" w:sz="0" w:space="0" w:color="auto"/>
        <w:bottom w:val="none" w:sz="0" w:space="0" w:color="auto"/>
        <w:right w:val="none" w:sz="0" w:space="0" w:color="auto"/>
      </w:divBdr>
    </w:div>
    <w:div w:id="696807293">
      <w:bodyDiv w:val="1"/>
      <w:marLeft w:val="0"/>
      <w:marRight w:val="0"/>
      <w:marTop w:val="0"/>
      <w:marBottom w:val="0"/>
      <w:divBdr>
        <w:top w:val="none" w:sz="0" w:space="0" w:color="auto"/>
        <w:left w:val="none" w:sz="0" w:space="0" w:color="auto"/>
        <w:bottom w:val="none" w:sz="0" w:space="0" w:color="auto"/>
        <w:right w:val="none" w:sz="0" w:space="0" w:color="auto"/>
      </w:divBdr>
    </w:div>
    <w:div w:id="804464480">
      <w:bodyDiv w:val="1"/>
      <w:marLeft w:val="0"/>
      <w:marRight w:val="0"/>
      <w:marTop w:val="0"/>
      <w:marBottom w:val="0"/>
      <w:divBdr>
        <w:top w:val="none" w:sz="0" w:space="0" w:color="auto"/>
        <w:left w:val="none" w:sz="0" w:space="0" w:color="auto"/>
        <w:bottom w:val="none" w:sz="0" w:space="0" w:color="auto"/>
        <w:right w:val="none" w:sz="0" w:space="0" w:color="auto"/>
      </w:divBdr>
    </w:div>
    <w:div w:id="855777207">
      <w:bodyDiv w:val="1"/>
      <w:marLeft w:val="0"/>
      <w:marRight w:val="0"/>
      <w:marTop w:val="0"/>
      <w:marBottom w:val="0"/>
      <w:divBdr>
        <w:top w:val="none" w:sz="0" w:space="0" w:color="auto"/>
        <w:left w:val="none" w:sz="0" w:space="0" w:color="auto"/>
        <w:bottom w:val="none" w:sz="0" w:space="0" w:color="auto"/>
        <w:right w:val="none" w:sz="0" w:space="0" w:color="auto"/>
      </w:divBdr>
    </w:div>
    <w:div w:id="866676349">
      <w:bodyDiv w:val="1"/>
      <w:marLeft w:val="0"/>
      <w:marRight w:val="0"/>
      <w:marTop w:val="0"/>
      <w:marBottom w:val="0"/>
      <w:divBdr>
        <w:top w:val="none" w:sz="0" w:space="0" w:color="auto"/>
        <w:left w:val="none" w:sz="0" w:space="0" w:color="auto"/>
        <w:bottom w:val="none" w:sz="0" w:space="0" w:color="auto"/>
        <w:right w:val="none" w:sz="0" w:space="0" w:color="auto"/>
      </w:divBdr>
    </w:div>
    <w:div w:id="888301380">
      <w:bodyDiv w:val="1"/>
      <w:marLeft w:val="0"/>
      <w:marRight w:val="0"/>
      <w:marTop w:val="0"/>
      <w:marBottom w:val="0"/>
      <w:divBdr>
        <w:top w:val="none" w:sz="0" w:space="0" w:color="auto"/>
        <w:left w:val="none" w:sz="0" w:space="0" w:color="auto"/>
        <w:bottom w:val="none" w:sz="0" w:space="0" w:color="auto"/>
        <w:right w:val="none" w:sz="0" w:space="0" w:color="auto"/>
      </w:divBdr>
    </w:div>
    <w:div w:id="907693376">
      <w:bodyDiv w:val="1"/>
      <w:marLeft w:val="0"/>
      <w:marRight w:val="0"/>
      <w:marTop w:val="0"/>
      <w:marBottom w:val="0"/>
      <w:divBdr>
        <w:top w:val="none" w:sz="0" w:space="0" w:color="auto"/>
        <w:left w:val="none" w:sz="0" w:space="0" w:color="auto"/>
        <w:bottom w:val="none" w:sz="0" w:space="0" w:color="auto"/>
        <w:right w:val="none" w:sz="0" w:space="0" w:color="auto"/>
      </w:divBdr>
    </w:div>
    <w:div w:id="924001467">
      <w:bodyDiv w:val="1"/>
      <w:marLeft w:val="0"/>
      <w:marRight w:val="0"/>
      <w:marTop w:val="0"/>
      <w:marBottom w:val="0"/>
      <w:divBdr>
        <w:top w:val="none" w:sz="0" w:space="0" w:color="auto"/>
        <w:left w:val="none" w:sz="0" w:space="0" w:color="auto"/>
        <w:bottom w:val="none" w:sz="0" w:space="0" w:color="auto"/>
        <w:right w:val="none" w:sz="0" w:space="0" w:color="auto"/>
      </w:divBdr>
    </w:div>
    <w:div w:id="1003246318">
      <w:bodyDiv w:val="1"/>
      <w:marLeft w:val="0"/>
      <w:marRight w:val="0"/>
      <w:marTop w:val="0"/>
      <w:marBottom w:val="0"/>
      <w:divBdr>
        <w:top w:val="none" w:sz="0" w:space="0" w:color="auto"/>
        <w:left w:val="none" w:sz="0" w:space="0" w:color="auto"/>
        <w:bottom w:val="none" w:sz="0" w:space="0" w:color="auto"/>
        <w:right w:val="none" w:sz="0" w:space="0" w:color="auto"/>
      </w:divBdr>
    </w:div>
    <w:div w:id="1026835425">
      <w:bodyDiv w:val="1"/>
      <w:marLeft w:val="0"/>
      <w:marRight w:val="0"/>
      <w:marTop w:val="0"/>
      <w:marBottom w:val="0"/>
      <w:divBdr>
        <w:top w:val="none" w:sz="0" w:space="0" w:color="auto"/>
        <w:left w:val="none" w:sz="0" w:space="0" w:color="auto"/>
        <w:bottom w:val="none" w:sz="0" w:space="0" w:color="auto"/>
        <w:right w:val="none" w:sz="0" w:space="0" w:color="auto"/>
      </w:divBdr>
    </w:div>
    <w:div w:id="1041127614">
      <w:bodyDiv w:val="1"/>
      <w:marLeft w:val="0"/>
      <w:marRight w:val="0"/>
      <w:marTop w:val="0"/>
      <w:marBottom w:val="0"/>
      <w:divBdr>
        <w:top w:val="none" w:sz="0" w:space="0" w:color="auto"/>
        <w:left w:val="none" w:sz="0" w:space="0" w:color="auto"/>
        <w:bottom w:val="none" w:sz="0" w:space="0" w:color="auto"/>
        <w:right w:val="none" w:sz="0" w:space="0" w:color="auto"/>
      </w:divBdr>
    </w:div>
    <w:div w:id="1053846884">
      <w:bodyDiv w:val="1"/>
      <w:marLeft w:val="0"/>
      <w:marRight w:val="0"/>
      <w:marTop w:val="0"/>
      <w:marBottom w:val="0"/>
      <w:divBdr>
        <w:top w:val="none" w:sz="0" w:space="0" w:color="auto"/>
        <w:left w:val="none" w:sz="0" w:space="0" w:color="auto"/>
        <w:bottom w:val="none" w:sz="0" w:space="0" w:color="auto"/>
        <w:right w:val="none" w:sz="0" w:space="0" w:color="auto"/>
      </w:divBdr>
    </w:div>
    <w:div w:id="1085029877">
      <w:bodyDiv w:val="1"/>
      <w:marLeft w:val="0"/>
      <w:marRight w:val="0"/>
      <w:marTop w:val="0"/>
      <w:marBottom w:val="0"/>
      <w:divBdr>
        <w:top w:val="none" w:sz="0" w:space="0" w:color="auto"/>
        <w:left w:val="none" w:sz="0" w:space="0" w:color="auto"/>
        <w:bottom w:val="none" w:sz="0" w:space="0" w:color="auto"/>
        <w:right w:val="none" w:sz="0" w:space="0" w:color="auto"/>
      </w:divBdr>
    </w:div>
    <w:div w:id="1112477434">
      <w:bodyDiv w:val="1"/>
      <w:marLeft w:val="0"/>
      <w:marRight w:val="0"/>
      <w:marTop w:val="0"/>
      <w:marBottom w:val="0"/>
      <w:divBdr>
        <w:top w:val="none" w:sz="0" w:space="0" w:color="auto"/>
        <w:left w:val="none" w:sz="0" w:space="0" w:color="auto"/>
        <w:bottom w:val="none" w:sz="0" w:space="0" w:color="auto"/>
        <w:right w:val="none" w:sz="0" w:space="0" w:color="auto"/>
      </w:divBdr>
    </w:div>
    <w:div w:id="1126969254">
      <w:bodyDiv w:val="1"/>
      <w:marLeft w:val="0"/>
      <w:marRight w:val="0"/>
      <w:marTop w:val="0"/>
      <w:marBottom w:val="0"/>
      <w:divBdr>
        <w:top w:val="none" w:sz="0" w:space="0" w:color="auto"/>
        <w:left w:val="none" w:sz="0" w:space="0" w:color="auto"/>
        <w:bottom w:val="none" w:sz="0" w:space="0" w:color="auto"/>
        <w:right w:val="none" w:sz="0" w:space="0" w:color="auto"/>
      </w:divBdr>
    </w:div>
    <w:div w:id="1131551989">
      <w:bodyDiv w:val="1"/>
      <w:marLeft w:val="0"/>
      <w:marRight w:val="0"/>
      <w:marTop w:val="0"/>
      <w:marBottom w:val="0"/>
      <w:divBdr>
        <w:top w:val="none" w:sz="0" w:space="0" w:color="auto"/>
        <w:left w:val="none" w:sz="0" w:space="0" w:color="auto"/>
        <w:bottom w:val="none" w:sz="0" w:space="0" w:color="auto"/>
        <w:right w:val="none" w:sz="0" w:space="0" w:color="auto"/>
      </w:divBdr>
    </w:div>
    <w:div w:id="1140339934">
      <w:bodyDiv w:val="1"/>
      <w:marLeft w:val="0"/>
      <w:marRight w:val="0"/>
      <w:marTop w:val="0"/>
      <w:marBottom w:val="0"/>
      <w:divBdr>
        <w:top w:val="none" w:sz="0" w:space="0" w:color="auto"/>
        <w:left w:val="none" w:sz="0" w:space="0" w:color="auto"/>
        <w:bottom w:val="none" w:sz="0" w:space="0" w:color="auto"/>
        <w:right w:val="none" w:sz="0" w:space="0" w:color="auto"/>
      </w:divBdr>
    </w:div>
    <w:div w:id="1144617149">
      <w:bodyDiv w:val="1"/>
      <w:marLeft w:val="0"/>
      <w:marRight w:val="0"/>
      <w:marTop w:val="0"/>
      <w:marBottom w:val="0"/>
      <w:divBdr>
        <w:top w:val="none" w:sz="0" w:space="0" w:color="auto"/>
        <w:left w:val="none" w:sz="0" w:space="0" w:color="auto"/>
        <w:bottom w:val="none" w:sz="0" w:space="0" w:color="auto"/>
        <w:right w:val="none" w:sz="0" w:space="0" w:color="auto"/>
      </w:divBdr>
    </w:div>
    <w:div w:id="1181815748">
      <w:bodyDiv w:val="1"/>
      <w:marLeft w:val="0"/>
      <w:marRight w:val="0"/>
      <w:marTop w:val="0"/>
      <w:marBottom w:val="0"/>
      <w:divBdr>
        <w:top w:val="none" w:sz="0" w:space="0" w:color="auto"/>
        <w:left w:val="none" w:sz="0" w:space="0" w:color="auto"/>
        <w:bottom w:val="none" w:sz="0" w:space="0" w:color="auto"/>
        <w:right w:val="none" w:sz="0" w:space="0" w:color="auto"/>
      </w:divBdr>
    </w:div>
    <w:div w:id="1190724893">
      <w:bodyDiv w:val="1"/>
      <w:marLeft w:val="0"/>
      <w:marRight w:val="0"/>
      <w:marTop w:val="0"/>
      <w:marBottom w:val="0"/>
      <w:divBdr>
        <w:top w:val="none" w:sz="0" w:space="0" w:color="auto"/>
        <w:left w:val="none" w:sz="0" w:space="0" w:color="auto"/>
        <w:bottom w:val="none" w:sz="0" w:space="0" w:color="auto"/>
        <w:right w:val="none" w:sz="0" w:space="0" w:color="auto"/>
      </w:divBdr>
    </w:div>
    <w:div w:id="1202743861">
      <w:bodyDiv w:val="1"/>
      <w:marLeft w:val="0"/>
      <w:marRight w:val="0"/>
      <w:marTop w:val="0"/>
      <w:marBottom w:val="0"/>
      <w:divBdr>
        <w:top w:val="none" w:sz="0" w:space="0" w:color="auto"/>
        <w:left w:val="none" w:sz="0" w:space="0" w:color="auto"/>
        <w:bottom w:val="none" w:sz="0" w:space="0" w:color="auto"/>
        <w:right w:val="none" w:sz="0" w:space="0" w:color="auto"/>
      </w:divBdr>
    </w:div>
    <w:div w:id="1211767656">
      <w:bodyDiv w:val="1"/>
      <w:marLeft w:val="0"/>
      <w:marRight w:val="0"/>
      <w:marTop w:val="0"/>
      <w:marBottom w:val="0"/>
      <w:divBdr>
        <w:top w:val="none" w:sz="0" w:space="0" w:color="auto"/>
        <w:left w:val="none" w:sz="0" w:space="0" w:color="auto"/>
        <w:bottom w:val="none" w:sz="0" w:space="0" w:color="auto"/>
        <w:right w:val="none" w:sz="0" w:space="0" w:color="auto"/>
      </w:divBdr>
    </w:div>
    <w:div w:id="1214001624">
      <w:bodyDiv w:val="1"/>
      <w:marLeft w:val="0"/>
      <w:marRight w:val="0"/>
      <w:marTop w:val="0"/>
      <w:marBottom w:val="0"/>
      <w:divBdr>
        <w:top w:val="none" w:sz="0" w:space="0" w:color="auto"/>
        <w:left w:val="none" w:sz="0" w:space="0" w:color="auto"/>
        <w:bottom w:val="none" w:sz="0" w:space="0" w:color="auto"/>
        <w:right w:val="none" w:sz="0" w:space="0" w:color="auto"/>
      </w:divBdr>
    </w:div>
    <w:div w:id="1257863776">
      <w:bodyDiv w:val="1"/>
      <w:marLeft w:val="0"/>
      <w:marRight w:val="0"/>
      <w:marTop w:val="0"/>
      <w:marBottom w:val="0"/>
      <w:divBdr>
        <w:top w:val="none" w:sz="0" w:space="0" w:color="auto"/>
        <w:left w:val="none" w:sz="0" w:space="0" w:color="auto"/>
        <w:bottom w:val="none" w:sz="0" w:space="0" w:color="auto"/>
        <w:right w:val="none" w:sz="0" w:space="0" w:color="auto"/>
      </w:divBdr>
    </w:div>
    <w:div w:id="1304119303">
      <w:bodyDiv w:val="1"/>
      <w:marLeft w:val="0"/>
      <w:marRight w:val="0"/>
      <w:marTop w:val="0"/>
      <w:marBottom w:val="0"/>
      <w:divBdr>
        <w:top w:val="none" w:sz="0" w:space="0" w:color="auto"/>
        <w:left w:val="none" w:sz="0" w:space="0" w:color="auto"/>
        <w:bottom w:val="none" w:sz="0" w:space="0" w:color="auto"/>
        <w:right w:val="none" w:sz="0" w:space="0" w:color="auto"/>
      </w:divBdr>
    </w:div>
    <w:div w:id="1331786106">
      <w:bodyDiv w:val="1"/>
      <w:marLeft w:val="0"/>
      <w:marRight w:val="0"/>
      <w:marTop w:val="0"/>
      <w:marBottom w:val="0"/>
      <w:divBdr>
        <w:top w:val="none" w:sz="0" w:space="0" w:color="auto"/>
        <w:left w:val="none" w:sz="0" w:space="0" w:color="auto"/>
        <w:bottom w:val="none" w:sz="0" w:space="0" w:color="auto"/>
        <w:right w:val="none" w:sz="0" w:space="0" w:color="auto"/>
      </w:divBdr>
    </w:div>
    <w:div w:id="1378553014">
      <w:bodyDiv w:val="1"/>
      <w:marLeft w:val="0"/>
      <w:marRight w:val="0"/>
      <w:marTop w:val="0"/>
      <w:marBottom w:val="0"/>
      <w:divBdr>
        <w:top w:val="none" w:sz="0" w:space="0" w:color="auto"/>
        <w:left w:val="none" w:sz="0" w:space="0" w:color="auto"/>
        <w:bottom w:val="none" w:sz="0" w:space="0" w:color="auto"/>
        <w:right w:val="none" w:sz="0" w:space="0" w:color="auto"/>
      </w:divBdr>
    </w:div>
    <w:div w:id="1379627528">
      <w:bodyDiv w:val="1"/>
      <w:marLeft w:val="0"/>
      <w:marRight w:val="0"/>
      <w:marTop w:val="0"/>
      <w:marBottom w:val="0"/>
      <w:divBdr>
        <w:top w:val="none" w:sz="0" w:space="0" w:color="auto"/>
        <w:left w:val="none" w:sz="0" w:space="0" w:color="auto"/>
        <w:bottom w:val="none" w:sz="0" w:space="0" w:color="auto"/>
        <w:right w:val="none" w:sz="0" w:space="0" w:color="auto"/>
      </w:divBdr>
    </w:div>
    <w:div w:id="1391924615">
      <w:bodyDiv w:val="1"/>
      <w:marLeft w:val="0"/>
      <w:marRight w:val="0"/>
      <w:marTop w:val="0"/>
      <w:marBottom w:val="0"/>
      <w:divBdr>
        <w:top w:val="none" w:sz="0" w:space="0" w:color="auto"/>
        <w:left w:val="none" w:sz="0" w:space="0" w:color="auto"/>
        <w:bottom w:val="none" w:sz="0" w:space="0" w:color="auto"/>
        <w:right w:val="none" w:sz="0" w:space="0" w:color="auto"/>
      </w:divBdr>
    </w:div>
    <w:div w:id="1399286974">
      <w:bodyDiv w:val="1"/>
      <w:marLeft w:val="0"/>
      <w:marRight w:val="0"/>
      <w:marTop w:val="0"/>
      <w:marBottom w:val="0"/>
      <w:divBdr>
        <w:top w:val="none" w:sz="0" w:space="0" w:color="auto"/>
        <w:left w:val="none" w:sz="0" w:space="0" w:color="auto"/>
        <w:bottom w:val="none" w:sz="0" w:space="0" w:color="auto"/>
        <w:right w:val="none" w:sz="0" w:space="0" w:color="auto"/>
      </w:divBdr>
    </w:div>
    <w:div w:id="1400514166">
      <w:bodyDiv w:val="1"/>
      <w:marLeft w:val="0"/>
      <w:marRight w:val="0"/>
      <w:marTop w:val="0"/>
      <w:marBottom w:val="0"/>
      <w:divBdr>
        <w:top w:val="none" w:sz="0" w:space="0" w:color="auto"/>
        <w:left w:val="none" w:sz="0" w:space="0" w:color="auto"/>
        <w:bottom w:val="none" w:sz="0" w:space="0" w:color="auto"/>
        <w:right w:val="none" w:sz="0" w:space="0" w:color="auto"/>
      </w:divBdr>
    </w:div>
    <w:div w:id="1441412651">
      <w:bodyDiv w:val="1"/>
      <w:marLeft w:val="0"/>
      <w:marRight w:val="0"/>
      <w:marTop w:val="0"/>
      <w:marBottom w:val="0"/>
      <w:divBdr>
        <w:top w:val="none" w:sz="0" w:space="0" w:color="auto"/>
        <w:left w:val="none" w:sz="0" w:space="0" w:color="auto"/>
        <w:bottom w:val="none" w:sz="0" w:space="0" w:color="auto"/>
        <w:right w:val="none" w:sz="0" w:space="0" w:color="auto"/>
      </w:divBdr>
    </w:div>
    <w:div w:id="1476147298">
      <w:bodyDiv w:val="1"/>
      <w:marLeft w:val="0"/>
      <w:marRight w:val="0"/>
      <w:marTop w:val="0"/>
      <w:marBottom w:val="0"/>
      <w:divBdr>
        <w:top w:val="none" w:sz="0" w:space="0" w:color="auto"/>
        <w:left w:val="none" w:sz="0" w:space="0" w:color="auto"/>
        <w:bottom w:val="none" w:sz="0" w:space="0" w:color="auto"/>
        <w:right w:val="none" w:sz="0" w:space="0" w:color="auto"/>
      </w:divBdr>
    </w:div>
    <w:div w:id="1501845402">
      <w:bodyDiv w:val="1"/>
      <w:marLeft w:val="0"/>
      <w:marRight w:val="0"/>
      <w:marTop w:val="0"/>
      <w:marBottom w:val="0"/>
      <w:divBdr>
        <w:top w:val="none" w:sz="0" w:space="0" w:color="auto"/>
        <w:left w:val="none" w:sz="0" w:space="0" w:color="auto"/>
        <w:bottom w:val="none" w:sz="0" w:space="0" w:color="auto"/>
        <w:right w:val="none" w:sz="0" w:space="0" w:color="auto"/>
      </w:divBdr>
    </w:div>
    <w:div w:id="1588297548">
      <w:bodyDiv w:val="1"/>
      <w:marLeft w:val="0"/>
      <w:marRight w:val="0"/>
      <w:marTop w:val="0"/>
      <w:marBottom w:val="0"/>
      <w:divBdr>
        <w:top w:val="none" w:sz="0" w:space="0" w:color="auto"/>
        <w:left w:val="none" w:sz="0" w:space="0" w:color="auto"/>
        <w:bottom w:val="none" w:sz="0" w:space="0" w:color="auto"/>
        <w:right w:val="none" w:sz="0" w:space="0" w:color="auto"/>
      </w:divBdr>
    </w:div>
    <w:div w:id="1623726847">
      <w:bodyDiv w:val="1"/>
      <w:marLeft w:val="0"/>
      <w:marRight w:val="0"/>
      <w:marTop w:val="0"/>
      <w:marBottom w:val="0"/>
      <w:divBdr>
        <w:top w:val="none" w:sz="0" w:space="0" w:color="auto"/>
        <w:left w:val="none" w:sz="0" w:space="0" w:color="auto"/>
        <w:bottom w:val="none" w:sz="0" w:space="0" w:color="auto"/>
        <w:right w:val="none" w:sz="0" w:space="0" w:color="auto"/>
      </w:divBdr>
    </w:div>
    <w:div w:id="1648238168">
      <w:bodyDiv w:val="1"/>
      <w:marLeft w:val="0"/>
      <w:marRight w:val="0"/>
      <w:marTop w:val="0"/>
      <w:marBottom w:val="0"/>
      <w:divBdr>
        <w:top w:val="none" w:sz="0" w:space="0" w:color="auto"/>
        <w:left w:val="none" w:sz="0" w:space="0" w:color="auto"/>
        <w:bottom w:val="none" w:sz="0" w:space="0" w:color="auto"/>
        <w:right w:val="none" w:sz="0" w:space="0" w:color="auto"/>
      </w:divBdr>
    </w:div>
    <w:div w:id="1684815025">
      <w:bodyDiv w:val="1"/>
      <w:marLeft w:val="0"/>
      <w:marRight w:val="0"/>
      <w:marTop w:val="0"/>
      <w:marBottom w:val="0"/>
      <w:divBdr>
        <w:top w:val="none" w:sz="0" w:space="0" w:color="auto"/>
        <w:left w:val="none" w:sz="0" w:space="0" w:color="auto"/>
        <w:bottom w:val="none" w:sz="0" w:space="0" w:color="auto"/>
        <w:right w:val="none" w:sz="0" w:space="0" w:color="auto"/>
      </w:divBdr>
    </w:div>
    <w:div w:id="1754745186">
      <w:bodyDiv w:val="1"/>
      <w:marLeft w:val="0"/>
      <w:marRight w:val="0"/>
      <w:marTop w:val="0"/>
      <w:marBottom w:val="0"/>
      <w:divBdr>
        <w:top w:val="none" w:sz="0" w:space="0" w:color="auto"/>
        <w:left w:val="none" w:sz="0" w:space="0" w:color="auto"/>
        <w:bottom w:val="none" w:sz="0" w:space="0" w:color="auto"/>
        <w:right w:val="none" w:sz="0" w:space="0" w:color="auto"/>
      </w:divBdr>
    </w:div>
    <w:div w:id="1771776163">
      <w:bodyDiv w:val="1"/>
      <w:marLeft w:val="0"/>
      <w:marRight w:val="0"/>
      <w:marTop w:val="0"/>
      <w:marBottom w:val="0"/>
      <w:divBdr>
        <w:top w:val="none" w:sz="0" w:space="0" w:color="auto"/>
        <w:left w:val="none" w:sz="0" w:space="0" w:color="auto"/>
        <w:bottom w:val="none" w:sz="0" w:space="0" w:color="auto"/>
        <w:right w:val="none" w:sz="0" w:space="0" w:color="auto"/>
      </w:divBdr>
    </w:div>
    <w:div w:id="1811897967">
      <w:bodyDiv w:val="1"/>
      <w:marLeft w:val="0"/>
      <w:marRight w:val="0"/>
      <w:marTop w:val="0"/>
      <w:marBottom w:val="0"/>
      <w:divBdr>
        <w:top w:val="none" w:sz="0" w:space="0" w:color="auto"/>
        <w:left w:val="none" w:sz="0" w:space="0" w:color="auto"/>
        <w:bottom w:val="none" w:sz="0" w:space="0" w:color="auto"/>
        <w:right w:val="none" w:sz="0" w:space="0" w:color="auto"/>
      </w:divBdr>
    </w:div>
    <w:div w:id="1881628520">
      <w:bodyDiv w:val="1"/>
      <w:marLeft w:val="0"/>
      <w:marRight w:val="0"/>
      <w:marTop w:val="0"/>
      <w:marBottom w:val="0"/>
      <w:divBdr>
        <w:top w:val="none" w:sz="0" w:space="0" w:color="auto"/>
        <w:left w:val="none" w:sz="0" w:space="0" w:color="auto"/>
        <w:bottom w:val="none" w:sz="0" w:space="0" w:color="auto"/>
        <w:right w:val="none" w:sz="0" w:space="0" w:color="auto"/>
      </w:divBdr>
    </w:div>
    <w:div w:id="1888641900">
      <w:bodyDiv w:val="1"/>
      <w:marLeft w:val="0"/>
      <w:marRight w:val="0"/>
      <w:marTop w:val="0"/>
      <w:marBottom w:val="0"/>
      <w:divBdr>
        <w:top w:val="none" w:sz="0" w:space="0" w:color="auto"/>
        <w:left w:val="none" w:sz="0" w:space="0" w:color="auto"/>
        <w:bottom w:val="none" w:sz="0" w:space="0" w:color="auto"/>
        <w:right w:val="none" w:sz="0" w:space="0" w:color="auto"/>
      </w:divBdr>
    </w:div>
    <w:div w:id="1956061598">
      <w:bodyDiv w:val="1"/>
      <w:marLeft w:val="0"/>
      <w:marRight w:val="0"/>
      <w:marTop w:val="0"/>
      <w:marBottom w:val="0"/>
      <w:divBdr>
        <w:top w:val="none" w:sz="0" w:space="0" w:color="auto"/>
        <w:left w:val="none" w:sz="0" w:space="0" w:color="auto"/>
        <w:bottom w:val="none" w:sz="0" w:space="0" w:color="auto"/>
        <w:right w:val="none" w:sz="0" w:space="0" w:color="auto"/>
      </w:divBdr>
    </w:div>
    <w:div w:id="2060858772">
      <w:bodyDiv w:val="1"/>
      <w:marLeft w:val="0"/>
      <w:marRight w:val="0"/>
      <w:marTop w:val="0"/>
      <w:marBottom w:val="0"/>
      <w:divBdr>
        <w:top w:val="none" w:sz="0" w:space="0" w:color="auto"/>
        <w:left w:val="none" w:sz="0" w:space="0" w:color="auto"/>
        <w:bottom w:val="none" w:sz="0" w:space="0" w:color="auto"/>
        <w:right w:val="none" w:sz="0" w:space="0" w:color="auto"/>
      </w:divBdr>
    </w:div>
    <w:div w:id="2106338473">
      <w:bodyDiv w:val="1"/>
      <w:marLeft w:val="0"/>
      <w:marRight w:val="0"/>
      <w:marTop w:val="0"/>
      <w:marBottom w:val="0"/>
      <w:divBdr>
        <w:top w:val="none" w:sz="0" w:space="0" w:color="auto"/>
        <w:left w:val="none" w:sz="0" w:space="0" w:color="auto"/>
        <w:bottom w:val="none" w:sz="0" w:space="0" w:color="auto"/>
        <w:right w:val="none" w:sz="0" w:space="0" w:color="auto"/>
      </w:divBdr>
    </w:div>
    <w:div w:id="2120441074">
      <w:bodyDiv w:val="1"/>
      <w:marLeft w:val="0"/>
      <w:marRight w:val="0"/>
      <w:marTop w:val="0"/>
      <w:marBottom w:val="0"/>
      <w:divBdr>
        <w:top w:val="none" w:sz="0" w:space="0" w:color="auto"/>
        <w:left w:val="none" w:sz="0" w:space="0" w:color="auto"/>
        <w:bottom w:val="none" w:sz="0" w:space="0" w:color="auto"/>
        <w:right w:val="none" w:sz="0" w:space="0" w:color="auto"/>
      </w:divBdr>
    </w:div>
    <w:div w:id="2122608218">
      <w:bodyDiv w:val="1"/>
      <w:marLeft w:val="0"/>
      <w:marRight w:val="0"/>
      <w:marTop w:val="0"/>
      <w:marBottom w:val="0"/>
      <w:divBdr>
        <w:top w:val="none" w:sz="0" w:space="0" w:color="auto"/>
        <w:left w:val="none" w:sz="0" w:space="0" w:color="auto"/>
        <w:bottom w:val="none" w:sz="0" w:space="0" w:color="auto"/>
        <w:right w:val="none" w:sz="0" w:space="0" w:color="auto"/>
      </w:divBdr>
    </w:div>
    <w:div w:id="2126070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footer" Target="footer42.xml"/><Relationship Id="rId21" Type="http://schemas.openxmlformats.org/officeDocument/2006/relationships/hyperlink" Target="http://www.youtube.com/IHACPA" TargetMode="External"/><Relationship Id="rId42" Type="http://schemas.openxmlformats.org/officeDocument/2006/relationships/image" Target="media/image16.png"/><Relationship Id="rId63" Type="http://schemas.openxmlformats.org/officeDocument/2006/relationships/footer" Target="footer21.xml"/><Relationship Id="rId84" Type="http://schemas.openxmlformats.org/officeDocument/2006/relationships/footer" Target="footer31.xml"/><Relationship Id="rId138" Type="http://schemas.openxmlformats.org/officeDocument/2006/relationships/footer" Target="footer63.xml"/><Relationship Id="rId159" Type="http://schemas.openxmlformats.org/officeDocument/2006/relationships/footer" Target="footer78.xml"/><Relationship Id="rId170" Type="http://schemas.openxmlformats.org/officeDocument/2006/relationships/footer" Target="footer88.xml"/><Relationship Id="rId191" Type="http://schemas.openxmlformats.org/officeDocument/2006/relationships/footer" Target="footer102.xml"/><Relationship Id="rId205" Type="http://schemas.openxmlformats.org/officeDocument/2006/relationships/footer" Target="footer116.xml"/><Relationship Id="rId226" Type="http://schemas.openxmlformats.org/officeDocument/2006/relationships/footer" Target="footer133.xml"/><Relationship Id="rId107" Type="http://schemas.openxmlformats.org/officeDocument/2006/relationships/footer" Target="footer37.xml"/><Relationship Id="rId11" Type="http://schemas.openxmlformats.org/officeDocument/2006/relationships/footer" Target="footer2.xml"/><Relationship Id="rId32" Type="http://schemas.openxmlformats.org/officeDocument/2006/relationships/header" Target="header2.xml"/><Relationship Id="rId53" Type="http://schemas.openxmlformats.org/officeDocument/2006/relationships/footer" Target="footer16.xml"/><Relationship Id="rId74" Type="http://schemas.openxmlformats.org/officeDocument/2006/relationships/image" Target="media/image30.png"/><Relationship Id="rId128" Type="http://schemas.openxmlformats.org/officeDocument/2006/relationships/footer" Target="footer53.xml"/><Relationship Id="rId149" Type="http://schemas.openxmlformats.org/officeDocument/2006/relationships/footer" Target="footer70.xml"/><Relationship Id="rId5" Type="http://schemas.openxmlformats.org/officeDocument/2006/relationships/webSettings" Target="webSettings.xml"/><Relationship Id="rId95" Type="http://schemas.openxmlformats.org/officeDocument/2006/relationships/image" Target="media/image41.svg"/><Relationship Id="rId160" Type="http://schemas.openxmlformats.org/officeDocument/2006/relationships/footer" Target="footer79.xml"/><Relationship Id="rId181" Type="http://schemas.openxmlformats.org/officeDocument/2006/relationships/footer" Target="footer93.xml"/><Relationship Id="rId216" Type="http://schemas.openxmlformats.org/officeDocument/2006/relationships/footer" Target="footer123.xml"/><Relationship Id="rId22" Type="http://schemas.openxmlformats.org/officeDocument/2006/relationships/image" Target="media/image8.png"/><Relationship Id="rId43" Type="http://schemas.openxmlformats.org/officeDocument/2006/relationships/footer" Target="footer10.xml"/><Relationship Id="rId64" Type="http://schemas.openxmlformats.org/officeDocument/2006/relationships/footer" Target="footer22.xml"/><Relationship Id="rId118" Type="http://schemas.openxmlformats.org/officeDocument/2006/relationships/footer" Target="footer43.xml"/><Relationship Id="rId139" Type="http://schemas.openxmlformats.org/officeDocument/2006/relationships/footer" Target="footer64.xml"/><Relationship Id="rId85" Type="http://schemas.openxmlformats.org/officeDocument/2006/relationships/hyperlink" Target="https://www.publichospitalfunding.gov.au/" TargetMode="External"/><Relationship Id="rId150" Type="http://schemas.openxmlformats.org/officeDocument/2006/relationships/footer" Target="footer71.xml"/><Relationship Id="rId171" Type="http://schemas.openxmlformats.org/officeDocument/2006/relationships/image" Target="media/image55.png"/><Relationship Id="rId192" Type="http://schemas.openxmlformats.org/officeDocument/2006/relationships/footer" Target="footer103.xml"/><Relationship Id="rId206" Type="http://schemas.openxmlformats.org/officeDocument/2006/relationships/footer" Target="footer117.xml"/><Relationship Id="rId227" Type="http://schemas.openxmlformats.org/officeDocument/2006/relationships/footer" Target="footer134.xml"/><Relationship Id="rId12" Type="http://schemas.openxmlformats.org/officeDocument/2006/relationships/hyperlink" Target="mailto:communications.ihacpa@ihacpa.gov.au" TargetMode="External"/><Relationship Id="rId33" Type="http://schemas.openxmlformats.org/officeDocument/2006/relationships/footer" Target="footer5.xml"/><Relationship Id="rId108" Type="http://schemas.openxmlformats.org/officeDocument/2006/relationships/header" Target="header4.xml"/><Relationship Id="rId129" Type="http://schemas.openxmlformats.org/officeDocument/2006/relationships/footer" Target="footer54.xml"/><Relationship Id="rId54" Type="http://schemas.openxmlformats.org/officeDocument/2006/relationships/image" Target="media/image21.jpg"/><Relationship Id="rId75" Type="http://schemas.openxmlformats.org/officeDocument/2006/relationships/image" Target="media/image31.png"/><Relationship Id="rId96" Type="http://schemas.openxmlformats.org/officeDocument/2006/relationships/image" Target="media/image42.png"/><Relationship Id="rId140" Type="http://schemas.openxmlformats.org/officeDocument/2006/relationships/image" Target="media/image52.jpg"/><Relationship Id="rId161" Type="http://schemas.openxmlformats.org/officeDocument/2006/relationships/footer" Target="footer80.xml"/><Relationship Id="rId182" Type="http://schemas.openxmlformats.org/officeDocument/2006/relationships/image" Target="media/image59.png"/><Relationship Id="rId217" Type="http://schemas.openxmlformats.org/officeDocument/2006/relationships/footer" Target="footer124.xml"/><Relationship Id="rId6" Type="http://schemas.openxmlformats.org/officeDocument/2006/relationships/footnotes" Target="footnotes.xml"/><Relationship Id="rId23" Type="http://schemas.openxmlformats.org/officeDocument/2006/relationships/image" Target="media/image9.svg"/><Relationship Id="rId119" Type="http://schemas.openxmlformats.org/officeDocument/2006/relationships/footer" Target="footer44.xml"/><Relationship Id="rId44" Type="http://schemas.openxmlformats.org/officeDocument/2006/relationships/image" Target="media/image17.jpg"/><Relationship Id="rId65" Type="http://schemas.openxmlformats.org/officeDocument/2006/relationships/image" Target="media/image25.png"/><Relationship Id="rId86" Type="http://schemas.openxmlformats.org/officeDocument/2006/relationships/image" Target="media/image36.png"/><Relationship Id="rId130" Type="http://schemas.openxmlformats.org/officeDocument/2006/relationships/footer" Target="footer55.xml"/><Relationship Id="rId151" Type="http://schemas.openxmlformats.org/officeDocument/2006/relationships/footer" Target="footer72.xml"/><Relationship Id="rId172" Type="http://schemas.openxmlformats.org/officeDocument/2006/relationships/footer" Target="footer89.xml"/><Relationship Id="rId193" Type="http://schemas.openxmlformats.org/officeDocument/2006/relationships/footer" Target="footer104.xml"/><Relationship Id="rId207" Type="http://schemas.openxmlformats.org/officeDocument/2006/relationships/header" Target="header8.xml"/><Relationship Id="rId228" Type="http://schemas.openxmlformats.org/officeDocument/2006/relationships/footer" Target="footer135.xml"/><Relationship Id="rId13" Type="http://schemas.openxmlformats.org/officeDocument/2006/relationships/hyperlink" Target="http://www.ihacpa.gov.au" TargetMode="External"/><Relationship Id="rId109" Type="http://schemas.openxmlformats.org/officeDocument/2006/relationships/footer" Target="footer38.xml"/><Relationship Id="rId34" Type="http://schemas.openxmlformats.org/officeDocument/2006/relationships/image" Target="media/image12.jpg"/><Relationship Id="rId55" Type="http://schemas.openxmlformats.org/officeDocument/2006/relationships/footer" Target="footer17.xml"/><Relationship Id="rId76" Type="http://schemas.openxmlformats.org/officeDocument/2006/relationships/footer" Target="footer27.xml"/><Relationship Id="rId97" Type="http://schemas.openxmlformats.org/officeDocument/2006/relationships/image" Target="media/image43.svg"/><Relationship Id="rId120" Type="http://schemas.openxmlformats.org/officeDocument/2006/relationships/footer" Target="footer45.xml"/><Relationship Id="rId141" Type="http://schemas.openxmlformats.org/officeDocument/2006/relationships/footer" Target="footer65.xml"/><Relationship Id="rId7" Type="http://schemas.openxmlformats.org/officeDocument/2006/relationships/endnotes" Target="endnotes.xml"/><Relationship Id="rId162" Type="http://schemas.openxmlformats.org/officeDocument/2006/relationships/footer" Target="footer81.xml"/><Relationship Id="rId183" Type="http://schemas.openxmlformats.org/officeDocument/2006/relationships/footer" Target="footer94.xml"/><Relationship Id="rId218" Type="http://schemas.openxmlformats.org/officeDocument/2006/relationships/footer" Target="footer125.xml"/><Relationship Id="rId24" Type="http://schemas.openxmlformats.org/officeDocument/2006/relationships/hyperlink" Target="http://www.soundcloud.com/IHACPA" TargetMode="External"/><Relationship Id="rId45" Type="http://schemas.openxmlformats.org/officeDocument/2006/relationships/footer" Target="footer11.xml"/><Relationship Id="rId66" Type="http://schemas.openxmlformats.org/officeDocument/2006/relationships/footer" Target="footer23.xml"/><Relationship Id="rId87" Type="http://schemas.openxmlformats.org/officeDocument/2006/relationships/image" Target="media/image37.svg"/><Relationship Id="rId110" Type="http://schemas.openxmlformats.org/officeDocument/2006/relationships/footer" Target="footer39.xml"/><Relationship Id="rId131" Type="http://schemas.openxmlformats.org/officeDocument/2006/relationships/footer" Target="footer56.xml"/><Relationship Id="rId152" Type="http://schemas.openxmlformats.org/officeDocument/2006/relationships/footer" Target="footer73.xml"/><Relationship Id="rId173" Type="http://schemas.openxmlformats.org/officeDocument/2006/relationships/image" Target="media/image56.jpg"/><Relationship Id="rId194" Type="http://schemas.openxmlformats.org/officeDocument/2006/relationships/footer" Target="footer105.xml"/><Relationship Id="rId208" Type="http://schemas.openxmlformats.org/officeDocument/2006/relationships/footer" Target="footer118.xml"/><Relationship Id="rId229" Type="http://schemas.openxmlformats.org/officeDocument/2006/relationships/footer" Target="footer136.xml"/><Relationship Id="rId14" Type="http://schemas.openxmlformats.org/officeDocument/2006/relationships/image" Target="media/image3.png"/><Relationship Id="rId35" Type="http://schemas.openxmlformats.org/officeDocument/2006/relationships/footer" Target="footer6.xml"/><Relationship Id="rId56" Type="http://schemas.openxmlformats.org/officeDocument/2006/relationships/image" Target="media/image22.png"/><Relationship Id="rId77" Type="http://schemas.openxmlformats.org/officeDocument/2006/relationships/image" Target="media/image32.png"/><Relationship Id="rId100" Type="http://schemas.openxmlformats.org/officeDocument/2006/relationships/image" Target="media/image46.png"/><Relationship Id="rId8" Type="http://schemas.openxmlformats.org/officeDocument/2006/relationships/image" Target="media/image1.jpg"/><Relationship Id="rId98" Type="http://schemas.openxmlformats.org/officeDocument/2006/relationships/image" Target="media/image44.png"/><Relationship Id="rId121" Type="http://schemas.openxmlformats.org/officeDocument/2006/relationships/footer" Target="footer46.xml"/><Relationship Id="rId142" Type="http://schemas.openxmlformats.org/officeDocument/2006/relationships/image" Target="media/image53.jpg"/><Relationship Id="rId163" Type="http://schemas.openxmlformats.org/officeDocument/2006/relationships/footer" Target="footer82.xml"/><Relationship Id="rId184" Type="http://schemas.openxmlformats.org/officeDocument/2006/relationships/footer" Target="footer95.xml"/><Relationship Id="rId219" Type="http://schemas.openxmlformats.org/officeDocument/2006/relationships/footer" Target="footer126.xml"/><Relationship Id="rId230" Type="http://schemas.openxmlformats.org/officeDocument/2006/relationships/hyperlink" Target="mailto:enquiries.ihacpa@ihacpa.gov.au" TargetMode="External"/><Relationship Id="rId25" Type="http://schemas.openxmlformats.org/officeDocument/2006/relationships/header" Target="header1.xml"/><Relationship Id="rId46" Type="http://schemas.openxmlformats.org/officeDocument/2006/relationships/image" Target="media/image18.png"/><Relationship Id="rId67" Type="http://schemas.openxmlformats.org/officeDocument/2006/relationships/footer" Target="footer24.xml"/><Relationship Id="rId20" Type="http://schemas.openxmlformats.org/officeDocument/2006/relationships/image" Target="media/image7.svg"/><Relationship Id="rId41" Type="http://schemas.openxmlformats.org/officeDocument/2006/relationships/image" Target="media/image15.png"/><Relationship Id="rId62" Type="http://schemas.openxmlformats.org/officeDocument/2006/relationships/image" Target="media/image24.png"/><Relationship Id="rId83" Type="http://schemas.openxmlformats.org/officeDocument/2006/relationships/footer" Target="footer30.xml"/><Relationship Id="rId88" Type="http://schemas.openxmlformats.org/officeDocument/2006/relationships/footer" Target="footer32.xml"/><Relationship Id="rId111" Type="http://schemas.openxmlformats.org/officeDocument/2006/relationships/footer" Target="footer40.xml"/><Relationship Id="rId132" Type="http://schemas.openxmlformats.org/officeDocument/2006/relationships/footer" Target="footer57.xml"/><Relationship Id="rId153" Type="http://schemas.openxmlformats.org/officeDocument/2006/relationships/footer" Target="footer74.xml"/><Relationship Id="rId174" Type="http://schemas.openxmlformats.org/officeDocument/2006/relationships/header" Target="header6.xml"/><Relationship Id="rId179" Type="http://schemas.openxmlformats.org/officeDocument/2006/relationships/footer" Target="footer92.xml"/><Relationship Id="rId195" Type="http://schemas.openxmlformats.org/officeDocument/2006/relationships/footer" Target="footer106.xml"/><Relationship Id="rId209" Type="http://schemas.openxmlformats.org/officeDocument/2006/relationships/header" Target="header9.xml"/><Relationship Id="rId190" Type="http://schemas.openxmlformats.org/officeDocument/2006/relationships/footer" Target="footer101.xml"/><Relationship Id="rId204" Type="http://schemas.openxmlformats.org/officeDocument/2006/relationships/footer" Target="footer115.xml"/><Relationship Id="rId220" Type="http://schemas.openxmlformats.org/officeDocument/2006/relationships/footer" Target="footer127.xml"/><Relationship Id="rId225" Type="http://schemas.openxmlformats.org/officeDocument/2006/relationships/footer" Target="footer132.xml"/><Relationship Id="rId15" Type="http://schemas.openxmlformats.org/officeDocument/2006/relationships/image" Target="media/image4.svg"/><Relationship Id="rId36" Type="http://schemas.openxmlformats.org/officeDocument/2006/relationships/image" Target="media/image13.png"/><Relationship Id="rId57" Type="http://schemas.openxmlformats.org/officeDocument/2006/relationships/footer" Target="footer18.xml"/><Relationship Id="rId106" Type="http://schemas.openxmlformats.org/officeDocument/2006/relationships/header" Target="header3.xml"/><Relationship Id="rId127" Type="http://schemas.openxmlformats.org/officeDocument/2006/relationships/footer" Target="footer52.xml"/><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image" Target="media/image20.png"/><Relationship Id="rId73" Type="http://schemas.openxmlformats.org/officeDocument/2006/relationships/footer" Target="footer26.xml"/><Relationship Id="rId78" Type="http://schemas.openxmlformats.org/officeDocument/2006/relationships/image" Target="media/image33.png"/><Relationship Id="rId94" Type="http://schemas.openxmlformats.org/officeDocument/2006/relationships/image" Target="media/image40.png"/><Relationship Id="rId99" Type="http://schemas.openxmlformats.org/officeDocument/2006/relationships/image" Target="media/image45.svg"/><Relationship Id="rId101" Type="http://schemas.openxmlformats.org/officeDocument/2006/relationships/image" Target="media/image47.svg"/><Relationship Id="rId122" Type="http://schemas.openxmlformats.org/officeDocument/2006/relationships/footer" Target="footer47.xml"/><Relationship Id="rId143" Type="http://schemas.openxmlformats.org/officeDocument/2006/relationships/footer" Target="footer66.xml"/><Relationship Id="rId148" Type="http://schemas.openxmlformats.org/officeDocument/2006/relationships/footer" Target="footer69.xml"/><Relationship Id="rId164" Type="http://schemas.openxmlformats.org/officeDocument/2006/relationships/footer" Target="footer83.xml"/><Relationship Id="rId169" Type="http://schemas.openxmlformats.org/officeDocument/2006/relationships/footer" Target="footer87.xml"/><Relationship Id="rId185" Type="http://schemas.openxmlformats.org/officeDocument/2006/relationships/footer" Target="footer96.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58.jpg"/><Relationship Id="rId210" Type="http://schemas.openxmlformats.org/officeDocument/2006/relationships/header" Target="header10.xml"/><Relationship Id="rId215" Type="http://schemas.openxmlformats.org/officeDocument/2006/relationships/hyperlink" Target="https://www.ihpa.gov.au/publications" TargetMode="External"/><Relationship Id="rId26" Type="http://schemas.openxmlformats.org/officeDocument/2006/relationships/footer" Target="footer3.xml"/><Relationship Id="rId231" Type="http://schemas.openxmlformats.org/officeDocument/2006/relationships/image" Target="media/image60.png"/><Relationship Id="rId47" Type="http://schemas.openxmlformats.org/officeDocument/2006/relationships/footer" Target="footer12.xml"/><Relationship Id="rId68" Type="http://schemas.openxmlformats.org/officeDocument/2006/relationships/image" Target="media/image26.png"/><Relationship Id="rId89" Type="http://schemas.openxmlformats.org/officeDocument/2006/relationships/footer" Target="footer33.xml"/><Relationship Id="rId112" Type="http://schemas.openxmlformats.org/officeDocument/2006/relationships/hyperlink" Target="https://www.ihacpa.gov.au/consultations" TargetMode="External"/><Relationship Id="rId133" Type="http://schemas.openxmlformats.org/officeDocument/2006/relationships/footer" Target="footer58.xml"/><Relationship Id="rId154" Type="http://schemas.openxmlformats.org/officeDocument/2006/relationships/image" Target="media/image54.png"/><Relationship Id="rId175" Type="http://schemas.openxmlformats.org/officeDocument/2006/relationships/footer" Target="footer90.xml"/><Relationship Id="rId196" Type="http://schemas.openxmlformats.org/officeDocument/2006/relationships/footer" Target="footer107.xml"/><Relationship Id="rId200" Type="http://schemas.openxmlformats.org/officeDocument/2006/relationships/footer" Target="footer111.xml"/><Relationship Id="rId16" Type="http://schemas.openxmlformats.org/officeDocument/2006/relationships/hyperlink" Target="http://www.linkedin.com/company/independent-hospital-pricing-authority" TargetMode="External"/><Relationship Id="rId221" Type="http://schemas.openxmlformats.org/officeDocument/2006/relationships/footer" Target="footer128.xml"/><Relationship Id="rId37" Type="http://schemas.openxmlformats.org/officeDocument/2006/relationships/footer" Target="footer7.xml"/><Relationship Id="rId58" Type="http://schemas.openxmlformats.org/officeDocument/2006/relationships/hyperlink" Target="https://archive.budget.gov.au/2021-22/index.htm" TargetMode="External"/><Relationship Id="rId79" Type="http://schemas.openxmlformats.org/officeDocument/2006/relationships/footer" Target="footer28.xml"/><Relationship Id="rId102" Type="http://schemas.openxmlformats.org/officeDocument/2006/relationships/footer" Target="footer35.xml"/><Relationship Id="rId123" Type="http://schemas.openxmlformats.org/officeDocument/2006/relationships/footer" Target="footer48.xml"/><Relationship Id="rId144" Type="http://schemas.openxmlformats.org/officeDocument/2006/relationships/footer" Target="footer67.xml"/><Relationship Id="rId90" Type="http://schemas.openxmlformats.org/officeDocument/2006/relationships/chart" Target="charts/chart1.xml"/><Relationship Id="rId165" Type="http://schemas.openxmlformats.org/officeDocument/2006/relationships/footer" Target="footer84.xml"/><Relationship Id="rId186" Type="http://schemas.openxmlformats.org/officeDocument/2006/relationships/footer" Target="footer97.xml"/><Relationship Id="rId211" Type="http://schemas.openxmlformats.org/officeDocument/2006/relationships/footer" Target="footer119.xml"/><Relationship Id="rId232" Type="http://schemas.openxmlformats.org/officeDocument/2006/relationships/header" Target="header11.xml"/><Relationship Id="rId27" Type="http://schemas.openxmlformats.org/officeDocument/2006/relationships/hyperlink" Target="http://www.ihacpa.gov.au/ihpa-annual-report-2021-22" TargetMode="External"/><Relationship Id="rId48" Type="http://schemas.openxmlformats.org/officeDocument/2006/relationships/image" Target="media/image19.jpg"/><Relationship Id="rId69" Type="http://schemas.openxmlformats.org/officeDocument/2006/relationships/image" Target="media/image27.png"/><Relationship Id="rId113" Type="http://schemas.openxmlformats.org/officeDocument/2006/relationships/hyperlink" Target="https://ihacpa.gov.au/resources/ihpa-work-program-and-corporate-plan-2021-22" TargetMode="External"/><Relationship Id="rId134" Type="http://schemas.openxmlformats.org/officeDocument/2006/relationships/footer" Target="footer59.xml"/><Relationship Id="rId80" Type="http://schemas.openxmlformats.org/officeDocument/2006/relationships/image" Target="media/image34.png"/><Relationship Id="rId155" Type="http://schemas.openxmlformats.org/officeDocument/2006/relationships/footer" Target="footer75.xml"/><Relationship Id="rId176" Type="http://schemas.openxmlformats.org/officeDocument/2006/relationships/header" Target="header7.xml"/><Relationship Id="rId197" Type="http://schemas.openxmlformats.org/officeDocument/2006/relationships/footer" Target="footer108.xml"/><Relationship Id="rId201" Type="http://schemas.openxmlformats.org/officeDocument/2006/relationships/footer" Target="footer112.xml"/><Relationship Id="rId222" Type="http://schemas.openxmlformats.org/officeDocument/2006/relationships/footer" Target="footer129.xml"/><Relationship Id="rId17" Type="http://schemas.openxmlformats.org/officeDocument/2006/relationships/image" Target="media/image5.png"/><Relationship Id="rId38" Type="http://schemas.openxmlformats.org/officeDocument/2006/relationships/image" Target="media/image14.png"/><Relationship Id="rId59" Type="http://schemas.openxmlformats.org/officeDocument/2006/relationships/footer" Target="footer19.xml"/><Relationship Id="rId103" Type="http://schemas.openxmlformats.org/officeDocument/2006/relationships/image" Target="media/image48.jpg"/><Relationship Id="rId124" Type="http://schemas.openxmlformats.org/officeDocument/2006/relationships/footer" Target="footer49.xml"/><Relationship Id="rId70" Type="http://schemas.openxmlformats.org/officeDocument/2006/relationships/footer" Target="footer25.xml"/><Relationship Id="rId91" Type="http://schemas.openxmlformats.org/officeDocument/2006/relationships/footer" Target="footer34.xml"/><Relationship Id="rId145" Type="http://schemas.openxmlformats.org/officeDocument/2006/relationships/footer" Target="footer68.xml"/><Relationship Id="rId166" Type="http://schemas.openxmlformats.org/officeDocument/2006/relationships/footer" Target="footer85.xml"/><Relationship Id="rId187" Type="http://schemas.openxmlformats.org/officeDocument/2006/relationships/footer" Target="footer98.xml"/><Relationship Id="rId1" Type="http://schemas.openxmlformats.org/officeDocument/2006/relationships/customXml" Target="../customXml/item1.xml"/><Relationship Id="rId212" Type="http://schemas.openxmlformats.org/officeDocument/2006/relationships/footer" Target="footer120.xml"/><Relationship Id="rId233" Type="http://schemas.openxmlformats.org/officeDocument/2006/relationships/footer" Target="footer137.xml"/><Relationship Id="rId28" Type="http://schemas.openxmlformats.org/officeDocument/2006/relationships/image" Target="media/image10.png"/><Relationship Id="rId49" Type="http://schemas.openxmlformats.org/officeDocument/2006/relationships/footer" Target="footer13.xml"/><Relationship Id="rId114" Type="http://schemas.openxmlformats.org/officeDocument/2006/relationships/image" Target="media/image50.png"/><Relationship Id="rId60" Type="http://schemas.openxmlformats.org/officeDocument/2006/relationships/image" Target="media/image23.png"/><Relationship Id="rId81" Type="http://schemas.openxmlformats.org/officeDocument/2006/relationships/footer" Target="footer29.xml"/><Relationship Id="rId135" Type="http://schemas.openxmlformats.org/officeDocument/2006/relationships/footer" Target="footer60.xml"/><Relationship Id="rId156" Type="http://schemas.openxmlformats.org/officeDocument/2006/relationships/footer" Target="footer76.xml"/><Relationship Id="rId177" Type="http://schemas.openxmlformats.org/officeDocument/2006/relationships/footer" Target="footer91.xml"/><Relationship Id="rId198" Type="http://schemas.openxmlformats.org/officeDocument/2006/relationships/footer" Target="footer109.xml"/><Relationship Id="rId202" Type="http://schemas.openxmlformats.org/officeDocument/2006/relationships/footer" Target="footer113.xml"/><Relationship Id="rId223" Type="http://schemas.openxmlformats.org/officeDocument/2006/relationships/footer" Target="footer130.xml"/><Relationship Id="rId18" Type="http://schemas.openxmlformats.org/officeDocument/2006/relationships/hyperlink" Target="http://www.twitter.com/IHACPA" TargetMode="External"/><Relationship Id="rId39" Type="http://schemas.openxmlformats.org/officeDocument/2006/relationships/footer" Target="footer8.xml"/><Relationship Id="rId50" Type="http://schemas.openxmlformats.org/officeDocument/2006/relationships/footer" Target="footer14.xml"/><Relationship Id="rId104" Type="http://schemas.openxmlformats.org/officeDocument/2006/relationships/footer" Target="footer36.xml"/><Relationship Id="rId125" Type="http://schemas.openxmlformats.org/officeDocument/2006/relationships/footer" Target="footer50.xml"/><Relationship Id="rId146" Type="http://schemas.openxmlformats.org/officeDocument/2006/relationships/hyperlink" Target="https://agedcare.royalcommission.gov.au/" TargetMode="External"/><Relationship Id="rId167" Type="http://schemas.openxmlformats.org/officeDocument/2006/relationships/header" Target="header5.xml"/><Relationship Id="rId188" Type="http://schemas.openxmlformats.org/officeDocument/2006/relationships/footer" Target="footer99.xml"/><Relationship Id="rId71" Type="http://schemas.openxmlformats.org/officeDocument/2006/relationships/image" Target="media/image28.png"/><Relationship Id="rId92" Type="http://schemas.openxmlformats.org/officeDocument/2006/relationships/image" Target="media/image38.png"/><Relationship Id="rId213" Type="http://schemas.openxmlformats.org/officeDocument/2006/relationships/footer" Target="footer121.xml"/><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www.creativecommons.org/licenses/by/3.0/au" TargetMode="External"/><Relationship Id="rId40" Type="http://schemas.openxmlformats.org/officeDocument/2006/relationships/footer" Target="footer9.xml"/><Relationship Id="rId115" Type="http://schemas.openxmlformats.org/officeDocument/2006/relationships/image" Target="media/image51.svg"/><Relationship Id="rId136" Type="http://schemas.openxmlformats.org/officeDocument/2006/relationships/footer" Target="footer61.xml"/><Relationship Id="rId157" Type="http://schemas.openxmlformats.org/officeDocument/2006/relationships/footer" Target="footer77.xml"/><Relationship Id="rId178" Type="http://schemas.openxmlformats.org/officeDocument/2006/relationships/image" Target="media/image57.jpg"/><Relationship Id="rId61" Type="http://schemas.openxmlformats.org/officeDocument/2006/relationships/footer" Target="footer20.xml"/><Relationship Id="rId82" Type="http://schemas.openxmlformats.org/officeDocument/2006/relationships/image" Target="media/image35.png"/><Relationship Id="rId199" Type="http://schemas.openxmlformats.org/officeDocument/2006/relationships/footer" Target="footer110.xml"/><Relationship Id="rId203" Type="http://schemas.openxmlformats.org/officeDocument/2006/relationships/footer" Target="footer114.xml"/><Relationship Id="rId19" Type="http://schemas.openxmlformats.org/officeDocument/2006/relationships/image" Target="media/image6.png"/><Relationship Id="rId224" Type="http://schemas.openxmlformats.org/officeDocument/2006/relationships/footer" Target="footer131.xml"/><Relationship Id="rId30" Type="http://schemas.openxmlformats.org/officeDocument/2006/relationships/footer" Target="footer4.xml"/><Relationship Id="rId105" Type="http://schemas.openxmlformats.org/officeDocument/2006/relationships/image" Target="media/image49.jpg"/><Relationship Id="rId126" Type="http://schemas.openxmlformats.org/officeDocument/2006/relationships/footer" Target="footer51.xml"/><Relationship Id="rId147" Type="http://schemas.openxmlformats.org/officeDocument/2006/relationships/hyperlink" Target="https://archive.budget.gov.au/2021-22/index.htm" TargetMode="External"/><Relationship Id="rId168" Type="http://schemas.openxmlformats.org/officeDocument/2006/relationships/footer" Target="footer86.xml"/><Relationship Id="rId51" Type="http://schemas.openxmlformats.org/officeDocument/2006/relationships/footer" Target="footer15.xml"/><Relationship Id="rId72" Type="http://schemas.openxmlformats.org/officeDocument/2006/relationships/image" Target="media/image29.png"/><Relationship Id="rId93" Type="http://schemas.openxmlformats.org/officeDocument/2006/relationships/image" Target="media/image39.svg"/><Relationship Id="rId189" Type="http://schemas.openxmlformats.org/officeDocument/2006/relationships/footer" Target="footer100.xml"/><Relationship Id="rId3" Type="http://schemas.openxmlformats.org/officeDocument/2006/relationships/styles" Target="styles.xml"/><Relationship Id="rId214" Type="http://schemas.openxmlformats.org/officeDocument/2006/relationships/footer" Target="footer122.xml"/><Relationship Id="rId235" Type="http://schemas.openxmlformats.org/officeDocument/2006/relationships/theme" Target="theme/theme1.xml"/><Relationship Id="rId116" Type="http://schemas.openxmlformats.org/officeDocument/2006/relationships/footer" Target="footer41.xml"/><Relationship Id="rId137" Type="http://schemas.openxmlformats.org/officeDocument/2006/relationships/footer" Target="footer62.xml"/><Relationship Id="rId158" Type="http://schemas.openxmlformats.org/officeDocument/2006/relationships/hyperlink" Target="http://www.ihacpa.gov.au/audit-risk-and-compliance-committee"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chemeClr val="bg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2007-08</c:v>
                </c:pt>
                <c:pt idx="1">
                  <c:v>2008-09</c:v>
                </c:pt>
                <c:pt idx="2">
                  <c:v>2009-10</c:v>
                </c:pt>
                <c:pt idx="3">
                  <c:v>2010-11</c:v>
                </c:pt>
                <c:pt idx="4">
                  <c:v>2011-12</c:v>
                </c:pt>
                <c:pt idx="5">
                  <c:v>2012-13</c:v>
                </c:pt>
                <c:pt idx="6">
                  <c:v>2013-14</c:v>
                </c:pt>
                <c:pt idx="7">
                  <c:v>2014-15</c:v>
                </c:pt>
                <c:pt idx="8">
                  <c:v>2015-16</c:v>
                </c:pt>
                <c:pt idx="9">
                  <c:v>2016-17</c:v>
                </c:pt>
                <c:pt idx="10">
                  <c:v>2017-18</c:v>
                </c:pt>
                <c:pt idx="11">
                  <c:v>2018-19</c:v>
                </c:pt>
                <c:pt idx="12">
                  <c:v>2019-20</c:v>
                </c:pt>
                <c:pt idx="13">
                  <c:v>2020-21</c:v>
                </c:pt>
              </c:strCache>
            </c:strRef>
          </c:cat>
          <c:val>
            <c:numRef>
              <c:f>Sheet1!$B$2:$B$15</c:f>
              <c:numCache>
                <c:formatCode>0.0%</c:formatCode>
                <c:ptCount val="14"/>
                <c:pt idx="0">
                  <c:v>0.04</c:v>
                </c:pt>
                <c:pt idx="1">
                  <c:v>5.6000000000000001E-2</c:v>
                </c:pt>
                <c:pt idx="2">
                  <c:v>7.1999999999999995E-2</c:v>
                </c:pt>
                <c:pt idx="3">
                  <c:v>2.1000000000000001E-2</c:v>
                </c:pt>
                <c:pt idx="4">
                  <c:v>3.4000000000000002E-2</c:v>
                </c:pt>
                <c:pt idx="5">
                  <c:v>1.7000000000000001E-2</c:v>
                </c:pt>
                <c:pt idx="6">
                  <c:v>3.0000000000000001E-3</c:v>
                </c:pt>
                <c:pt idx="7">
                  <c:v>2.3E-2</c:v>
                </c:pt>
                <c:pt idx="8">
                  <c:v>1.7999999999999999E-2</c:v>
                </c:pt>
                <c:pt idx="9">
                  <c:v>1.7999999999999999E-2</c:v>
                </c:pt>
                <c:pt idx="10">
                  <c:v>3.5000000000000003E-2</c:v>
                </c:pt>
                <c:pt idx="11">
                  <c:v>3.3000000000000002E-2</c:v>
                </c:pt>
                <c:pt idx="12">
                  <c:v>2.5999999999999999E-2</c:v>
                </c:pt>
                <c:pt idx="13">
                  <c:v>2.8000000000000001E-2</c:v>
                </c:pt>
              </c:numCache>
            </c:numRef>
          </c:val>
          <c:extLst>
            <c:ext xmlns:c16="http://schemas.microsoft.com/office/drawing/2014/chart" uri="{C3380CC4-5D6E-409C-BE32-E72D297353CC}">
              <c16:uniqueId val="{00000000-2E24-6948-AF25-0D48FABF35D6}"/>
            </c:ext>
          </c:extLst>
        </c:ser>
        <c:dLbls>
          <c:dLblPos val="outEnd"/>
          <c:showLegendKey val="0"/>
          <c:showVal val="1"/>
          <c:showCatName val="0"/>
          <c:showSerName val="0"/>
          <c:showPercent val="0"/>
          <c:showBubbleSize val="0"/>
        </c:dLbls>
        <c:gapWidth val="219"/>
        <c:overlap val="-27"/>
        <c:axId val="152081631"/>
        <c:axId val="152064159"/>
      </c:barChart>
      <c:catAx>
        <c:axId val="152081631"/>
        <c:scaling>
          <c:orientation val="minMax"/>
        </c:scaling>
        <c:delete val="0"/>
        <c:axPos val="b"/>
        <c:numFmt formatCode="General" sourceLinked="1"/>
        <c:majorTickMark val="none"/>
        <c:minorTickMark val="none"/>
        <c:tickLblPos val="nextTo"/>
        <c:spPr>
          <a:noFill/>
          <a:ln w="9525" cap="flat" cmpd="sng" algn="ctr">
            <a:solidFill>
              <a:schemeClr val="bg2">
                <a:lumMod val="85000"/>
              </a:schemeClr>
            </a:solidFill>
            <a:round/>
          </a:ln>
          <a:effectLst/>
        </c:spPr>
        <c:txPr>
          <a:bodyPr rot="-60000000" spcFirstLastPara="1" vertOverflow="ellipsis" vert="horz" wrap="square" anchor="ctr" anchorCtr="1"/>
          <a:lstStyle/>
          <a:p>
            <a:pPr>
              <a:defRPr sz="600" b="0" i="0" u="none" strike="noStrike" kern="1200" baseline="0">
                <a:solidFill>
                  <a:schemeClr val="bg2">
                    <a:lumMod val="50000"/>
                  </a:schemeClr>
                </a:solidFill>
                <a:latin typeface="+mn-lt"/>
                <a:ea typeface="+mn-ea"/>
                <a:cs typeface="+mn-cs"/>
              </a:defRPr>
            </a:pPr>
            <a:endParaRPr lang="en-US"/>
          </a:p>
        </c:txPr>
        <c:crossAx val="152064159"/>
        <c:crosses val="autoZero"/>
        <c:auto val="1"/>
        <c:lblAlgn val="ctr"/>
        <c:lblOffset val="100"/>
        <c:noMultiLvlLbl val="0"/>
      </c:catAx>
      <c:valAx>
        <c:axId val="152064159"/>
        <c:scaling>
          <c:orientation val="minMax"/>
        </c:scaling>
        <c:delete val="1"/>
        <c:axPos val="l"/>
        <c:majorGridlines>
          <c:spPr>
            <a:ln w="9525" cap="flat" cmpd="sng" algn="ctr">
              <a:solidFill>
                <a:schemeClr val="bg2">
                  <a:lumMod val="85000"/>
                </a:schemeClr>
              </a:solidFill>
              <a:round/>
            </a:ln>
            <a:effectLst/>
          </c:spPr>
        </c:majorGridlines>
        <c:numFmt formatCode="0.0%" sourceLinked="1"/>
        <c:majorTickMark val="none"/>
        <c:minorTickMark val="none"/>
        <c:tickLblPos val="nextTo"/>
        <c:crossAx val="1520816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2"/>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IHPA">
      <a:dk1>
        <a:srgbClr val="003F2C"/>
      </a:dk1>
      <a:lt1>
        <a:srgbClr val="7EC352"/>
      </a:lt1>
      <a:dk2>
        <a:srgbClr val="003F2C"/>
      </a:dk2>
      <a:lt2>
        <a:srgbClr val="FFFFFF"/>
      </a:lt2>
      <a:accent1>
        <a:srgbClr val="008F54"/>
      </a:accent1>
      <a:accent2>
        <a:srgbClr val="7EC352"/>
      </a:accent2>
      <a:accent3>
        <a:srgbClr val="009AB8"/>
      </a:accent3>
      <a:accent4>
        <a:srgbClr val="F47920"/>
      </a:accent4>
      <a:accent5>
        <a:srgbClr val="5E2F7E"/>
      </a:accent5>
      <a:accent6>
        <a:srgbClr val="C40B46"/>
      </a:accent6>
      <a:hlink>
        <a:srgbClr val="008F54"/>
      </a:hlink>
      <a:folHlink>
        <a:srgbClr val="7EC352"/>
      </a:folHlink>
    </a:clrScheme>
    <a:fontScheme name="IHPA">
      <a:majorFont>
        <a:latin typeface="Futura PT Bold"/>
        <a:ea typeface=""/>
        <a:cs typeface=""/>
      </a:majorFont>
      <a:minorFont>
        <a:latin typeface="Futura PT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055B4-4426-4F5E-815C-501098FD8A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54</Pages>
  <Words>28908</Words>
  <Characters>164780</Characters>
  <Application>Microsoft Office Word</Application>
  <DocSecurity>0</DocSecurity>
  <Lines>1373</Lines>
  <Paragraphs>386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193302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IHPA Annual Report 2021-22</dc:title>
  <dc:subject/>
  <dc:creator>Independent Hospital Pricing Authority</dc:creator>
  <cp:keywords/>
  <dc:description/>
  <cp:lastModifiedBy>Jonathan Lau</cp:lastModifiedBy>
  <cp:revision>7</cp:revision>
  <cp:lastPrinted>2022-10-19T08:41:00Z</cp:lastPrinted>
  <dcterms:created xsi:type="dcterms:W3CDTF">2022-11-14T01:45:00Z</dcterms:created>
  <dcterms:modified xsi:type="dcterms:W3CDTF">2022-11-18T05:59:00Z</dcterms:modified>
  <cp:category/>
</cp:coreProperties>
</file>