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CA308" w14:textId="77777777" w:rsidR="00CC586D" w:rsidRPr="00F04AE5" w:rsidRDefault="00CC586D" w:rsidP="00FC7916">
      <w:pPr>
        <w:pStyle w:val="Organisationname"/>
      </w:pPr>
      <w:r w:rsidRPr="00F04AE5">
        <w:t>Independent Hospital Pricing Authority</w:t>
      </w:r>
    </w:p>
    <w:p w14:paraId="71D72BFE" w14:textId="4B83F92D" w:rsidR="00102824" w:rsidRPr="00F04AE5" w:rsidRDefault="007E79CB" w:rsidP="002445A1">
      <w:pPr>
        <w:pStyle w:val="Title"/>
      </w:pPr>
      <w:r w:rsidRPr="00F04AE5">
        <w:t xml:space="preserve">Activity Based Funding Mental Health Care National Best Endeavours Data Set </w:t>
      </w:r>
      <w:r w:rsidR="007B0294">
        <w:t>2020-21</w:t>
      </w:r>
      <w:r w:rsidRPr="00F04AE5">
        <w:t xml:space="preserve"> </w:t>
      </w:r>
    </w:p>
    <w:p w14:paraId="66BF9C8E" w14:textId="77777777" w:rsidR="001727A4" w:rsidRPr="00F04AE5" w:rsidRDefault="007E79CB" w:rsidP="001727A4">
      <w:pPr>
        <w:pStyle w:val="Subtitle"/>
      </w:pPr>
      <w:r w:rsidRPr="00F04AE5">
        <w:t>Overview</w:t>
      </w:r>
    </w:p>
    <w:p w14:paraId="5FE5DD9C" w14:textId="1D0B30DA" w:rsidR="00BC1032" w:rsidRPr="00F04AE5" w:rsidRDefault="00B13C39" w:rsidP="00BC1032">
      <w:pPr>
        <w:pStyle w:val="Versionanddate"/>
      </w:pPr>
      <w:r>
        <w:t>May</w:t>
      </w:r>
      <w:r w:rsidR="003B68E9">
        <w:t xml:space="preserve"> </w:t>
      </w:r>
      <w:r w:rsidR="007B0294">
        <w:t>2020</w:t>
      </w:r>
    </w:p>
    <w:p w14:paraId="10738457" w14:textId="77777777" w:rsidR="0035219F" w:rsidRPr="00F04AE5" w:rsidRDefault="00E33809" w:rsidP="0035219F">
      <w:r w:rsidRPr="00F04AE5">
        <w:rPr>
          <w:b/>
          <w:noProof/>
          <w:color w:val="008542" w:themeColor="accent2"/>
          <w:sz w:val="16"/>
        </w:rPr>
        <w:drawing>
          <wp:anchor distT="0" distB="0" distL="114300" distR="114300" simplePos="0" relativeHeight="251680768" behindDoc="1" locked="1" layoutInCell="0" allowOverlap="1" wp14:anchorId="26BF194A" wp14:editId="0C39FEFB">
            <wp:simplePos x="0" y="0"/>
            <wp:positionH relativeFrom="page">
              <wp:posOffset>0</wp:posOffset>
            </wp:positionH>
            <wp:positionV relativeFrom="page">
              <wp:posOffset>0</wp:posOffset>
            </wp:positionV>
            <wp:extent cx="7592060" cy="10738485"/>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F04AE5">
        <w:br w:type="page"/>
      </w:r>
    </w:p>
    <w:p w14:paraId="73621286" w14:textId="60F83C4D" w:rsidR="00BC1032" w:rsidRPr="00F04AE5" w:rsidRDefault="007E79CB" w:rsidP="008C2111">
      <w:pPr>
        <w:pStyle w:val="Report"/>
      </w:pPr>
      <w:r w:rsidRPr="00F04AE5">
        <w:lastRenderedPageBreak/>
        <w:t xml:space="preserve">Activity Based Funding Mental Health Care National Best Endeavours Data Set </w:t>
      </w:r>
      <w:r w:rsidR="002E3729">
        <w:t>20</w:t>
      </w:r>
      <w:r w:rsidR="007B0294">
        <w:t>20</w:t>
      </w:r>
      <w:r w:rsidR="002E3729">
        <w:t>-2</w:t>
      </w:r>
      <w:r w:rsidR="007B0294">
        <w:t>1</w:t>
      </w:r>
      <w:r w:rsidRPr="00F04AE5">
        <w:t xml:space="preserve"> – Overview –</w:t>
      </w:r>
      <w:r w:rsidR="00E82C57">
        <w:t xml:space="preserve"> </w:t>
      </w:r>
      <w:r w:rsidR="00B13C39">
        <w:t>May</w:t>
      </w:r>
      <w:bookmarkStart w:id="0" w:name="_GoBack"/>
      <w:bookmarkEnd w:id="0"/>
      <w:r w:rsidR="003B68E9">
        <w:t xml:space="preserve"> </w:t>
      </w:r>
      <w:r w:rsidR="007B0294">
        <w:t>2020</w:t>
      </w:r>
    </w:p>
    <w:p w14:paraId="146D9764" w14:textId="77777777" w:rsidR="00BC1032" w:rsidRPr="00F04AE5" w:rsidRDefault="00BC1032" w:rsidP="00BC1032"/>
    <w:p w14:paraId="4B55A2C8" w14:textId="3D0FE533" w:rsidR="00BC1032" w:rsidRPr="00F04AE5" w:rsidRDefault="00BC1032" w:rsidP="00BC1032">
      <w:r w:rsidRPr="00F04AE5">
        <w:t xml:space="preserve">© Independent Hospital Pricing Authority </w:t>
      </w:r>
      <w:r w:rsidR="007B0294">
        <w:t>2020</w:t>
      </w:r>
    </w:p>
    <w:p w14:paraId="2F52A920" w14:textId="77777777" w:rsidR="00BC1032" w:rsidRPr="00F04AE5" w:rsidRDefault="00BC1032" w:rsidP="00BC1032">
      <w:r w:rsidRPr="00F04AE5">
        <w:t xml:space="preserve">This publication is available for your use under a </w:t>
      </w:r>
      <w:hyperlink r:id="rId9" w:history="1">
        <w:r w:rsidRPr="00F04AE5">
          <w:t>Creative Commons BY Attribution 3.0 Australia</w:t>
        </w:r>
      </w:hyperlink>
      <w:r w:rsidRPr="00F04AE5">
        <w:t xml:space="preserve"> licence, with the exception of the Independent Hospital Pricing Authority logo, photographs, images, signatures and where otherwise stated. The full licence terms are available from </w:t>
      </w:r>
      <w:hyperlink r:id="rId10" w:history="1">
        <w:r w:rsidRPr="00F04AE5">
          <w:t>the Creative Commons website</w:t>
        </w:r>
      </w:hyperlink>
      <w:r w:rsidRPr="00F04AE5">
        <w:t>.</w:t>
      </w:r>
    </w:p>
    <w:p w14:paraId="112EFBA2" w14:textId="77777777" w:rsidR="00BC1032" w:rsidRPr="00F04AE5" w:rsidRDefault="00BC1032" w:rsidP="00BC1032">
      <w:r w:rsidRPr="00F04AE5">
        <w:rPr>
          <w:rFonts w:cs="Calibri"/>
          <w:noProof/>
          <w:sz w:val="24"/>
        </w:rPr>
        <w:drawing>
          <wp:inline distT="0" distB="0" distL="0" distR="0" wp14:anchorId="27F7A785" wp14:editId="62E265F7">
            <wp:extent cx="804087" cy="285750"/>
            <wp:effectExtent l="0" t="0" r="0" b="0"/>
            <wp:docPr id="10" name="Picture 10" title="Logo representing Creative Commons by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52782282" w14:textId="77777777" w:rsidR="00BC1032" w:rsidRPr="00F04AE5" w:rsidRDefault="00BC1032" w:rsidP="00BC1032">
      <w:r w:rsidRPr="00F04AE5">
        <w:t xml:space="preserve">Use of Independent Hospital Pricing Authority material under a </w:t>
      </w:r>
      <w:hyperlink r:id="rId12" w:history="1">
        <w:r w:rsidRPr="00F04AE5">
          <w:t>Creative Commons BY Attribution 3.0 Australia</w:t>
        </w:r>
      </w:hyperlink>
      <w:r w:rsidRPr="00F04AE5">
        <w:t xml:space="preserve"> licence requires you to attribute the work (but not in any way that suggests that the Independent Hospital Pricing Authority endorses you or your use of the work).</w:t>
      </w:r>
    </w:p>
    <w:p w14:paraId="65D0B8F4" w14:textId="77777777" w:rsidR="00BC1032" w:rsidRPr="00F04AE5" w:rsidRDefault="00BC1032" w:rsidP="00BC1032">
      <w:pPr>
        <w:rPr>
          <w:i/>
        </w:rPr>
      </w:pPr>
      <w:r w:rsidRPr="00F04AE5">
        <w:rPr>
          <w:i/>
        </w:rPr>
        <w:t>Independent Hospital Pricing Authority material used 'as supplied'.</w:t>
      </w:r>
    </w:p>
    <w:p w14:paraId="13545FC8" w14:textId="77777777" w:rsidR="00BC1032" w:rsidRPr="00F04AE5" w:rsidRDefault="00BC1032" w:rsidP="00BC1032">
      <w:r w:rsidRPr="00F04AE5">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26EB27CA" w14:textId="77777777" w:rsidR="00BC1032" w:rsidRPr="00F04AE5" w:rsidRDefault="00BC1032" w:rsidP="00BC1032">
      <w:pPr>
        <w:pStyle w:val="NormalIndent"/>
        <w:rPr>
          <w:i/>
        </w:rPr>
      </w:pPr>
      <w:r w:rsidRPr="00F04AE5">
        <w:rPr>
          <w:i/>
        </w:rPr>
        <w:t>Source: The Independent Hospital Pricing Authority</w:t>
      </w:r>
      <w:r w:rsidRPr="00F04AE5">
        <w:rPr>
          <w:i/>
        </w:rPr>
        <w:br w:type="page"/>
      </w:r>
    </w:p>
    <w:p w14:paraId="266249B3" w14:textId="77777777" w:rsidR="007E79CB" w:rsidRPr="00F04AE5" w:rsidRDefault="007E79CB" w:rsidP="00EF011D">
      <w:pPr>
        <w:pStyle w:val="Heading1"/>
      </w:pPr>
      <w:r w:rsidRPr="00F04AE5">
        <w:lastRenderedPageBreak/>
        <w:t>Data set specifications</w:t>
      </w:r>
    </w:p>
    <w:p w14:paraId="23B21F49" w14:textId="4EE386AC" w:rsidR="007E79CB" w:rsidRPr="00F04AE5" w:rsidRDefault="007E79CB" w:rsidP="007E79CB">
      <w:r w:rsidRPr="00F04AE5">
        <w:t>National data collections are essential to the development of classifications and activity based funding (ABF). They are required for a number of purposes, including:</w:t>
      </w:r>
    </w:p>
    <w:p w14:paraId="03670366" w14:textId="346C9BE8" w:rsidR="007E79CB" w:rsidRPr="00F04AE5" w:rsidRDefault="007E79CB" w:rsidP="00692CC9">
      <w:pPr>
        <w:pStyle w:val="ListParagraph"/>
        <w:numPr>
          <w:ilvl w:val="0"/>
          <w:numId w:val="12"/>
        </w:numPr>
        <w:spacing w:before="0" w:after="200" w:line="276" w:lineRule="auto"/>
        <w:contextualSpacing/>
      </w:pPr>
      <w:r w:rsidRPr="00F04AE5">
        <w:t>ensuring that activity is categorised into meaningful groups</w:t>
      </w:r>
    </w:p>
    <w:p w14:paraId="21FA054C" w14:textId="45A5E7E0" w:rsidR="007E79CB" w:rsidRPr="00F04AE5" w:rsidRDefault="007E79CB" w:rsidP="00692CC9">
      <w:pPr>
        <w:pStyle w:val="ListParagraph"/>
        <w:numPr>
          <w:ilvl w:val="0"/>
          <w:numId w:val="12"/>
        </w:numPr>
        <w:spacing w:before="0" w:after="200" w:line="276" w:lineRule="auto"/>
        <w:contextualSpacing/>
      </w:pPr>
      <w:r w:rsidRPr="00F04AE5">
        <w:t>analysing activity volumes between local health networks and jurisdictions</w:t>
      </w:r>
    </w:p>
    <w:p w14:paraId="0FA9F2A7" w14:textId="77777777" w:rsidR="007E79CB" w:rsidRPr="00F04AE5" w:rsidRDefault="007E79CB" w:rsidP="00692CC9">
      <w:pPr>
        <w:pStyle w:val="ListParagraph"/>
        <w:numPr>
          <w:ilvl w:val="0"/>
          <w:numId w:val="12"/>
        </w:numPr>
        <w:spacing w:before="0" w:after="200" w:line="276" w:lineRule="auto"/>
        <w:contextualSpacing/>
      </w:pPr>
      <w:r w:rsidRPr="00F04AE5">
        <w:t>monitoring trends over time.</w:t>
      </w:r>
    </w:p>
    <w:p w14:paraId="05CEB36F" w14:textId="08BD58FD" w:rsidR="007E79CB" w:rsidRPr="00F04AE5" w:rsidRDefault="007E79CB" w:rsidP="007E79CB">
      <w:pPr>
        <w:rPr>
          <w:lang w:val="en-US"/>
        </w:rPr>
      </w:pPr>
      <w:r w:rsidRPr="00F04AE5">
        <w:t xml:space="preserve">National data collections are described in the format of data set specifications (DSS). </w:t>
      </w:r>
      <w:r w:rsidRPr="00F04AE5">
        <w:rPr>
          <w:rFonts w:cs="Arial"/>
          <w:color w:val="000000"/>
          <w:lang w:val="en-GB"/>
        </w:rPr>
        <w:t xml:space="preserve">National Best Endeavours Data Sets (NBEDS) describe DSS </w:t>
      </w:r>
      <w:r w:rsidR="00B63AE2">
        <w:rPr>
          <w:rFonts w:cs="Arial"/>
          <w:color w:val="000000"/>
          <w:lang w:val="en-GB"/>
        </w:rPr>
        <w:t xml:space="preserve">where </w:t>
      </w:r>
      <w:r w:rsidRPr="00F04AE5">
        <w:rPr>
          <w:rFonts w:cs="Arial"/>
          <w:color w:val="000000"/>
          <w:lang w:val="en-GB"/>
        </w:rPr>
        <w:t xml:space="preserve">there is a commitment to provide data nationally on a best endeavours basis. They </w:t>
      </w:r>
      <w:r w:rsidRPr="00F04AE5">
        <w:rPr>
          <w:lang w:val="en-US"/>
        </w:rPr>
        <w:t xml:space="preserve">contain a set of data items to be collected in combination with an agreed set of instructions, definitions and output values.  </w:t>
      </w:r>
    </w:p>
    <w:p w14:paraId="04FA20A0" w14:textId="7B7B8D34" w:rsidR="00EF011D" w:rsidRPr="007B0294" w:rsidRDefault="007E79CB" w:rsidP="007E79CB">
      <w:pPr>
        <w:rPr>
          <w:lang w:val="en-US"/>
        </w:rPr>
      </w:pPr>
      <w:r w:rsidRPr="00F04AE5">
        <w:rPr>
          <w:lang w:val="en-US"/>
        </w:rPr>
        <w:t xml:space="preserve">The Independent Hospital Pricing Authority (IHPA) develops NBEDS in accordance with national standards and NBEDS are published in the Australian Institute of Health and Welfare’s </w:t>
      </w:r>
      <w:r w:rsidRPr="00F04AE5">
        <w:t xml:space="preserve">national metadata </w:t>
      </w:r>
      <w:r w:rsidR="006F13C9" w:rsidRPr="00F04AE5">
        <w:t>repository</w:t>
      </w:r>
      <w:r w:rsidR="006F13C9">
        <w:t>, the</w:t>
      </w:r>
      <w:r w:rsidR="001F1A41">
        <w:t xml:space="preserve"> Metadata Online Registry</w:t>
      </w:r>
      <w:r w:rsidRPr="00F04AE5">
        <w:t xml:space="preserve"> </w:t>
      </w:r>
      <w:r w:rsidR="001F1A41">
        <w:t>(</w:t>
      </w:r>
      <w:r w:rsidRPr="00F04AE5">
        <w:t>METeOR</w:t>
      </w:r>
      <w:r w:rsidR="001F1A41">
        <w:t>)</w:t>
      </w:r>
      <w:r w:rsidRPr="00F04AE5">
        <w:t>.</w:t>
      </w:r>
    </w:p>
    <w:p w14:paraId="0AC241B1" w14:textId="77777777" w:rsidR="007E79CB" w:rsidRPr="00F04AE5" w:rsidRDefault="007E79CB" w:rsidP="000E3403">
      <w:pPr>
        <w:pStyle w:val="Heading2"/>
        <w:rPr>
          <w:lang w:val="en-US"/>
        </w:rPr>
      </w:pPr>
      <w:r w:rsidRPr="00F04AE5">
        <w:rPr>
          <w:lang w:val="en-US"/>
        </w:rPr>
        <w:t xml:space="preserve">Activity Based Funding: Mental Health Care National Best Endeavours Data Set </w:t>
      </w:r>
    </w:p>
    <w:p w14:paraId="595ED32E" w14:textId="630BA8DE" w:rsidR="007E79CB" w:rsidRPr="00F04AE5" w:rsidRDefault="007E79CB" w:rsidP="007E79CB">
      <w:pPr>
        <w:rPr>
          <w:lang w:val="en-US"/>
        </w:rPr>
      </w:pPr>
      <w:r w:rsidRPr="00F04AE5">
        <w:rPr>
          <w:lang w:val="en-US"/>
        </w:rPr>
        <w:t>The Activity Based Funding: Mental Health Care Data Set Specification (ABF MHC DSS) 2015</w:t>
      </w:r>
      <w:r w:rsidR="00EF011D" w:rsidRPr="00F04AE5">
        <w:rPr>
          <w:lang w:val="en-US"/>
        </w:rPr>
        <w:noBreakHyphen/>
      </w:r>
      <w:r w:rsidRPr="00F04AE5">
        <w:rPr>
          <w:lang w:val="en-US"/>
        </w:rPr>
        <w:t xml:space="preserve">16 was first endorsed as an IHPA standard DSS in December 2014. </w:t>
      </w:r>
      <w:r w:rsidR="00DB54FD">
        <w:rPr>
          <w:lang w:val="en-US"/>
        </w:rPr>
        <w:t xml:space="preserve">The specification </w:t>
      </w:r>
      <w:r w:rsidRPr="00F04AE5">
        <w:rPr>
          <w:lang w:val="en-US"/>
        </w:rPr>
        <w:t xml:space="preserve">was </w:t>
      </w:r>
      <w:r w:rsidR="00DB54FD">
        <w:rPr>
          <w:lang w:val="en-US"/>
        </w:rPr>
        <w:t xml:space="preserve">subsequently </w:t>
      </w:r>
      <w:r w:rsidRPr="00F04AE5">
        <w:rPr>
          <w:lang w:val="en-US"/>
        </w:rPr>
        <w:t xml:space="preserve">reclassified </w:t>
      </w:r>
      <w:r w:rsidR="00B63AE2">
        <w:rPr>
          <w:lang w:val="en-US"/>
        </w:rPr>
        <w:t>to the</w:t>
      </w:r>
      <w:r w:rsidRPr="00F04AE5">
        <w:rPr>
          <w:lang w:val="en-US"/>
        </w:rPr>
        <w:t xml:space="preserve"> ABF MHC NBEDS in 2016-17 and has been updated annually to meet the ongoing requirements of the Australian Mental Health Care Classification.</w:t>
      </w:r>
    </w:p>
    <w:p w14:paraId="25D8682D" w14:textId="77777777" w:rsidR="007E79CB" w:rsidRPr="00F04AE5" w:rsidRDefault="007E79CB" w:rsidP="007E79CB">
      <w:pPr>
        <w:pStyle w:val="Heading2"/>
        <w:rPr>
          <w:lang w:val="en-US"/>
        </w:rPr>
      </w:pPr>
      <w:r w:rsidRPr="00F04AE5">
        <w:rPr>
          <w:lang w:val="en-US"/>
        </w:rPr>
        <w:t>Scope</w:t>
      </w:r>
    </w:p>
    <w:p w14:paraId="7A213F5D" w14:textId="2AC7E5B1" w:rsidR="007E79CB" w:rsidRPr="00F04AE5" w:rsidRDefault="007E79CB" w:rsidP="007E79CB">
      <w:pPr>
        <w:rPr>
          <w:lang w:eastAsia="ja-JP"/>
        </w:rPr>
      </w:pPr>
      <w:r w:rsidRPr="00F04AE5">
        <w:rPr>
          <w:lang w:val="en-US"/>
        </w:rPr>
        <w:t xml:space="preserve">The ABF MHC NBEDS </w:t>
      </w:r>
      <w:r w:rsidR="002E3729">
        <w:rPr>
          <w:lang w:val="en-US"/>
        </w:rPr>
        <w:t>20</w:t>
      </w:r>
      <w:r w:rsidR="007B0294">
        <w:rPr>
          <w:lang w:val="en-US"/>
        </w:rPr>
        <w:t>20</w:t>
      </w:r>
      <w:r w:rsidR="002E3729">
        <w:rPr>
          <w:lang w:val="en-US"/>
        </w:rPr>
        <w:t>-2</w:t>
      </w:r>
      <w:r w:rsidR="007B0294">
        <w:rPr>
          <w:lang w:val="en-US"/>
        </w:rPr>
        <w:t>1</w:t>
      </w:r>
      <w:r w:rsidRPr="00F04AE5">
        <w:rPr>
          <w:lang w:val="en-US"/>
        </w:rPr>
        <w:t xml:space="preserve"> </w:t>
      </w:r>
      <w:r w:rsidR="00663F9F" w:rsidRPr="00663F9F">
        <w:rPr>
          <w:lang w:val="en-US"/>
        </w:rPr>
        <w:t>defines information about patients receiving mental health care, funded by states and territories, that is associated with Australian public hospital services.</w:t>
      </w:r>
      <w:r w:rsidR="00213435">
        <w:rPr>
          <w:lang w:val="en-US"/>
        </w:rPr>
        <w:t xml:space="preserve"> </w:t>
      </w:r>
      <w:r w:rsidRPr="00F04AE5">
        <w:rPr>
          <w:lang w:eastAsia="ja-JP"/>
        </w:rPr>
        <w:t xml:space="preserve">Mental health care is care in which the primary clinical purpose or treatment goal is improvement in the symptoms and/or psychosocial, environmental and physical functioning related to a </w:t>
      </w:r>
      <w:r w:rsidR="00B63AE2">
        <w:rPr>
          <w:lang w:eastAsia="ja-JP"/>
        </w:rPr>
        <w:t>patient</w:t>
      </w:r>
      <w:r w:rsidRPr="00F04AE5">
        <w:rPr>
          <w:lang w:eastAsia="ja-JP"/>
        </w:rPr>
        <w:t>’s mental disorder. Mental health care</w:t>
      </w:r>
      <w:r w:rsidR="008E3AA2">
        <w:rPr>
          <w:lang w:eastAsia="ja-JP"/>
        </w:rPr>
        <w:t xml:space="preserve"> as defined in METeOR</w:t>
      </w:r>
      <w:r w:rsidRPr="00F04AE5">
        <w:rPr>
          <w:lang w:eastAsia="ja-JP"/>
        </w:rPr>
        <w:t>:</w:t>
      </w:r>
    </w:p>
    <w:p w14:paraId="6888DBC0" w14:textId="77777777" w:rsidR="007E79CB" w:rsidRPr="00F04AE5" w:rsidRDefault="007E79CB" w:rsidP="00692CC9">
      <w:pPr>
        <w:pStyle w:val="ListParagraph"/>
        <w:keepNext/>
        <w:numPr>
          <w:ilvl w:val="0"/>
          <w:numId w:val="13"/>
        </w:numPr>
        <w:spacing w:before="0" w:after="200" w:line="276" w:lineRule="auto"/>
        <w:ind w:left="714" w:hanging="357"/>
        <w:contextualSpacing/>
        <w:rPr>
          <w:lang w:eastAsia="ja-JP"/>
        </w:rPr>
      </w:pPr>
      <w:r w:rsidRPr="00F04AE5">
        <w:rPr>
          <w:lang w:eastAsia="ja-JP"/>
        </w:rPr>
        <w:t>is delivered under the management of, or regularly informed by, a clinician with specialised expertise in mental health;</w:t>
      </w:r>
    </w:p>
    <w:p w14:paraId="65635673" w14:textId="77777777" w:rsidR="007E79CB" w:rsidRPr="00F04AE5" w:rsidRDefault="007E79CB" w:rsidP="00692CC9">
      <w:pPr>
        <w:pStyle w:val="ListParagraph"/>
        <w:numPr>
          <w:ilvl w:val="0"/>
          <w:numId w:val="13"/>
        </w:numPr>
        <w:spacing w:before="0" w:after="200" w:line="276" w:lineRule="auto"/>
        <w:contextualSpacing/>
        <w:rPr>
          <w:lang w:eastAsia="ja-JP"/>
        </w:rPr>
      </w:pPr>
      <w:r w:rsidRPr="00F04AE5">
        <w:rPr>
          <w:lang w:eastAsia="ja-JP"/>
        </w:rPr>
        <w:t>is evidenced by an individualised formal mental health assessment and the implementation of a documented mental health plan; and</w:t>
      </w:r>
    </w:p>
    <w:p w14:paraId="2EF863BA" w14:textId="77777777" w:rsidR="007E79CB" w:rsidRPr="00F04AE5" w:rsidRDefault="007E79CB" w:rsidP="00692CC9">
      <w:pPr>
        <w:pStyle w:val="ListParagraph"/>
        <w:numPr>
          <w:ilvl w:val="0"/>
          <w:numId w:val="13"/>
        </w:numPr>
        <w:spacing w:before="0" w:after="200" w:line="276" w:lineRule="auto"/>
        <w:contextualSpacing/>
        <w:rPr>
          <w:lang w:eastAsia="ja-JP"/>
        </w:rPr>
      </w:pPr>
      <w:r w:rsidRPr="00F04AE5">
        <w:rPr>
          <w:lang w:eastAsia="ja-JP"/>
        </w:rPr>
        <w:t>may include significant psychosocial components, including family and carer support.</w:t>
      </w:r>
    </w:p>
    <w:p w14:paraId="63B530C4" w14:textId="7A4C0DEB" w:rsidR="007B1D21" w:rsidRDefault="007E79CB" w:rsidP="007E79CB">
      <w:pPr>
        <w:keepLines/>
        <w:rPr>
          <w:lang w:val="en-US"/>
        </w:rPr>
      </w:pPr>
      <w:r w:rsidRPr="00F04AE5">
        <w:rPr>
          <w:lang w:val="en-US"/>
        </w:rPr>
        <w:t xml:space="preserve">The ABF MHC NBEDS </w:t>
      </w:r>
      <w:r w:rsidR="007B0294">
        <w:rPr>
          <w:lang w:val="en-US"/>
        </w:rPr>
        <w:t>2020-21</w:t>
      </w:r>
      <w:r w:rsidRPr="00F04AE5">
        <w:rPr>
          <w:lang w:val="en-US"/>
        </w:rPr>
        <w:t xml:space="preserve"> includes consumers receiving mental health care in the admitted hospital, ambulatory (community) and residential settings. It encompasses mental health care provided to all age groups, including children and adolescents, adults and older persons.</w:t>
      </w:r>
      <w:r w:rsidR="00C472B2" w:rsidRPr="00F04AE5">
        <w:rPr>
          <w:lang w:val="en-US"/>
        </w:rPr>
        <w:t xml:space="preserve"> </w:t>
      </w:r>
    </w:p>
    <w:p w14:paraId="0A16AA45" w14:textId="032D17F4" w:rsidR="007E79CB" w:rsidRPr="00F04AE5" w:rsidRDefault="00C472B2" w:rsidP="007E79CB">
      <w:pPr>
        <w:keepLines/>
        <w:rPr>
          <w:lang w:val="en-US"/>
        </w:rPr>
      </w:pPr>
      <w:r w:rsidRPr="00F04AE5">
        <w:rPr>
          <w:lang w:val="en-US"/>
        </w:rPr>
        <w:lastRenderedPageBreak/>
        <w:t xml:space="preserve">Whilst not specifically stated, </w:t>
      </w:r>
      <w:r w:rsidR="00AE6E47">
        <w:rPr>
          <w:lang w:val="en-US"/>
        </w:rPr>
        <w:t>‘</w:t>
      </w:r>
      <w:r w:rsidRPr="00F04AE5">
        <w:rPr>
          <w:lang w:val="en-US"/>
        </w:rPr>
        <w:t>assessment only</w:t>
      </w:r>
      <w:r w:rsidR="00AE6E47">
        <w:rPr>
          <w:lang w:val="en-US"/>
        </w:rPr>
        <w:t>’</w:t>
      </w:r>
      <w:r w:rsidRPr="00F04AE5">
        <w:rPr>
          <w:lang w:val="en-US"/>
        </w:rPr>
        <w:t xml:space="preserve"> activities are considered in scope for the classification</w:t>
      </w:r>
      <w:r w:rsidR="00B10A95" w:rsidRPr="00F04AE5">
        <w:rPr>
          <w:lang w:val="en-US"/>
        </w:rPr>
        <w:t xml:space="preserve"> provided they are provided as part of an episode of care</w:t>
      </w:r>
      <w:r w:rsidRPr="00F04AE5">
        <w:rPr>
          <w:lang w:val="en-US"/>
        </w:rPr>
        <w:t>.</w:t>
      </w:r>
      <w:r w:rsidR="006248AD">
        <w:rPr>
          <w:lang w:val="en-US"/>
        </w:rPr>
        <w:t xml:space="preserve"> </w:t>
      </w:r>
      <w:r w:rsidR="00AE6E47">
        <w:rPr>
          <w:lang w:val="en-US"/>
        </w:rPr>
        <w:t>‘</w:t>
      </w:r>
      <w:r w:rsidR="006248AD">
        <w:rPr>
          <w:lang w:val="en-US"/>
        </w:rPr>
        <w:t>Assessment only</w:t>
      </w:r>
      <w:r w:rsidR="00AE6E47">
        <w:rPr>
          <w:lang w:val="en-US"/>
        </w:rPr>
        <w:t>’</w:t>
      </w:r>
      <w:r w:rsidR="006248AD">
        <w:rPr>
          <w:lang w:val="en-US"/>
        </w:rPr>
        <w:t xml:space="preserve"> is a type of activity where the primary goal is to obtain information, including collateral information where possible, in order to determine the intervention</w:t>
      </w:r>
      <w:r w:rsidR="004977E6">
        <w:rPr>
          <w:lang w:val="en-US"/>
        </w:rPr>
        <w:t>/</w:t>
      </w:r>
      <w:r w:rsidR="006248AD">
        <w:rPr>
          <w:lang w:val="en-US"/>
        </w:rPr>
        <w:t xml:space="preserve">treatment needs and to arrange for this to occur </w:t>
      </w:r>
      <w:r w:rsidR="004977E6" w:rsidRPr="00E4475E">
        <w:rPr>
          <w:rFonts w:cs="Arial"/>
        </w:rPr>
        <w:t xml:space="preserve">(includes brief history, risk assessment, referral to treating team or other service). </w:t>
      </w:r>
    </w:p>
    <w:p w14:paraId="228EC86C" w14:textId="77777777" w:rsidR="007E79CB" w:rsidRPr="00F04AE5" w:rsidRDefault="007E79CB" w:rsidP="007E79CB">
      <w:pPr>
        <w:pStyle w:val="Heading2"/>
        <w:rPr>
          <w:lang w:val="en-US"/>
        </w:rPr>
      </w:pPr>
      <w:r w:rsidRPr="00F04AE5">
        <w:rPr>
          <w:lang w:val="en-US"/>
        </w:rPr>
        <w:t>Structure</w:t>
      </w:r>
    </w:p>
    <w:p w14:paraId="5AABA948" w14:textId="5B125F78" w:rsidR="007E79CB" w:rsidRPr="00F04AE5" w:rsidRDefault="007E79CB" w:rsidP="007E79CB">
      <w:pPr>
        <w:rPr>
          <w:lang w:val="en-US"/>
        </w:rPr>
      </w:pPr>
      <w:r w:rsidRPr="00F04AE5">
        <w:rPr>
          <w:lang w:val="en-US"/>
        </w:rPr>
        <w:t xml:space="preserve">The ABF MHC NBEDS </w:t>
      </w:r>
      <w:r w:rsidR="002E3729">
        <w:rPr>
          <w:lang w:val="en-US"/>
        </w:rPr>
        <w:t>20</w:t>
      </w:r>
      <w:r w:rsidR="007B0294">
        <w:rPr>
          <w:lang w:val="en-US"/>
        </w:rPr>
        <w:t>20-21</w:t>
      </w:r>
      <w:r w:rsidRPr="00F04AE5">
        <w:rPr>
          <w:lang w:val="en-US"/>
        </w:rPr>
        <w:t xml:space="preserve"> contains data elements </w:t>
      </w:r>
      <w:r w:rsidR="004977E6">
        <w:rPr>
          <w:lang w:val="en-US"/>
        </w:rPr>
        <w:t xml:space="preserve">that </w:t>
      </w:r>
      <w:r w:rsidRPr="00F04AE5">
        <w:rPr>
          <w:lang w:val="en-US"/>
        </w:rPr>
        <w:t xml:space="preserve">are required to be reported for all settings of mental health care and all age groups. The NBEDS requires reporting of activity according to patient episodes of mental health care and mental health </w:t>
      </w:r>
      <w:r w:rsidR="00E66A2D">
        <w:rPr>
          <w:lang w:val="en-US"/>
        </w:rPr>
        <w:t>phases of care. For ambulatory</w:t>
      </w:r>
      <w:r w:rsidR="004977E6">
        <w:rPr>
          <w:lang w:val="en-US"/>
        </w:rPr>
        <w:t xml:space="preserve"> (community)</w:t>
      </w:r>
      <w:r w:rsidR="00E66A2D">
        <w:rPr>
          <w:lang w:val="en-US"/>
        </w:rPr>
        <w:t xml:space="preserve"> </w:t>
      </w:r>
      <w:r w:rsidRPr="00F04AE5">
        <w:rPr>
          <w:lang w:val="en-US"/>
        </w:rPr>
        <w:t>care,</w:t>
      </w:r>
      <w:r w:rsidR="006C0345">
        <w:rPr>
          <w:lang w:val="en-US"/>
        </w:rPr>
        <w:t xml:space="preserve"> </w:t>
      </w:r>
      <w:r w:rsidRPr="00F04AE5">
        <w:rPr>
          <w:lang w:val="en-US"/>
        </w:rPr>
        <w:t>individual service events</w:t>
      </w:r>
      <w:r w:rsidR="001818E3">
        <w:rPr>
          <w:lang w:val="en-US"/>
        </w:rPr>
        <w:t xml:space="preserve"> </w:t>
      </w:r>
      <w:r w:rsidRPr="00F04AE5">
        <w:rPr>
          <w:lang w:val="en-US"/>
        </w:rPr>
        <w:t>or contacts</w:t>
      </w:r>
      <w:r w:rsidR="001818E3">
        <w:rPr>
          <w:lang w:val="en-US"/>
        </w:rPr>
        <w:t xml:space="preserve"> </w:t>
      </w:r>
      <w:r w:rsidRPr="00F04AE5">
        <w:rPr>
          <w:lang w:val="en-US"/>
        </w:rPr>
        <w:t>are also reported</w:t>
      </w:r>
      <w:r w:rsidR="001818E3">
        <w:rPr>
          <w:lang w:val="en-US"/>
        </w:rPr>
        <w:t>.</w:t>
      </w:r>
    </w:p>
    <w:p w14:paraId="068A0507" w14:textId="6AE55236" w:rsidR="007E79CB" w:rsidRDefault="007E79CB" w:rsidP="007E79CB">
      <w:pPr>
        <w:spacing w:before="0" w:after="0" w:line="240" w:lineRule="auto"/>
        <w:rPr>
          <w:lang w:val="en-US"/>
        </w:rPr>
      </w:pPr>
      <w:r w:rsidRPr="00F04AE5">
        <w:rPr>
          <w:lang w:val="en-US"/>
        </w:rPr>
        <w:t xml:space="preserve">The </w:t>
      </w:r>
      <w:r w:rsidR="00867D8F" w:rsidRPr="00F04AE5">
        <w:rPr>
          <w:lang w:val="en-US"/>
        </w:rPr>
        <w:t>high-level</w:t>
      </w:r>
      <w:r w:rsidRPr="00F04AE5">
        <w:rPr>
          <w:lang w:val="en-US"/>
        </w:rPr>
        <w:t xml:space="preserve"> structure of the ABF MHC NBEDS </w:t>
      </w:r>
      <w:r w:rsidR="00E66A2D">
        <w:rPr>
          <w:lang w:val="en-US"/>
        </w:rPr>
        <w:t>2020-21</w:t>
      </w:r>
      <w:r w:rsidR="00867D8F">
        <w:rPr>
          <w:lang w:val="en-US"/>
        </w:rPr>
        <w:t xml:space="preserve"> is illustrated in</w:t>
      </w:r>
      <w:r w:rsidRPr="00F04AE5">
        <w:rPr>
          <w:lang w:val="en-US"/>
        </w:rPr>
        <w:t xml:space="preserve"> Figure 1.</w:t>
      </w:r>
    </w:p>
    <w:p w14:paraId="3C506331" w14:textId="3135EB22" w:rsidR="00E66A2D" w:rsidRPr="00F04AE5" w:rsidRDefault="00E66A2D" w:rsidP="00E66A2D">
      <w:pPr>
        <w:spacing w:after="0"/>
        <w:rPr>
          <w:lang w:val="en-US"/>
        </w:rPr>
      </w:pPr>
      <w:r w:rsidRPr="00F04AE5">
        <w:rPr>
          <w:b/>
          <w:sz w:val="18"/>
          <w:szCs w:val="18"/>
          <w:lang w:val="en-US"/>
        </w:rPr>
        <w:t>Figure 1:</w:t>
      </w:r>
      <w:r w:rsidRPr="00F04AE5">
        <w:rPr>
          <w:sz w:val="18"/>
          <w:szCs w:val="18"/>
          <w:lang w:val="en-US"/>
        </w:rPr>
        <w:t xml:space="preserve"> ABF MHC NBEDS </w:t>
      </w:r>
      <w:r>
        <w:rPr>
          <w:sz w:val="18"/>
          <w:szCs w:val="18"/>
          <w:lang w:val="en-US"/>
        </w:rPr>
        <w:t xml:space="preserve">2020-21 </w:t>
      </w:r>
      <w:r w:rsidR="00867D8F" w:rsidRPr="00F04AE5">
        <w:rPr>
          <w:sz w:val="18"/>
          <w:szCs w:val="18"/>
          <w:lang w:val="en-US"/>
        </w:rPr>
        <w:t>high-level</w:t>
      </w:r>
      <w:r w:rsidRPr="00F04AE5">
        <w:rPr>
          <w:sz w:val="18"/>
          <w:szCs w:val="18"/>
          <w:lang w:val="en-US"/>
        </w:rPr>
        <w:t xml:space="preserve"> structure</w:t>
      </w:r>
    </w:p>
    <w:p w14:paraId="7AA48233" w14:textId="6417B04E" w:rsidR="006C1407" w:rsidRPr="00F910B4" w:rsidRDefault="00C818D6" w:rsidP="006C1407">
      <w:pPr>
        <w:jc w:val="center"/>
        <w:rPr>
          <w:lang w:eastAsia="en-US"/>
        </w:rPr>
      </w:pPr>
      <w:r>
        <w:rPr>
          <w:noProof/>
        </w:rPr>
        <w:drawing>
          <wp:inline distT="0" distB="0" distL="0" distR="0" wp14:anchorId="2EA35D74" wp14:editId="57FF002B">
            <wp:extent cx="4543850" cy="3156668"/>
            <wp:effectExtent l="0" t="0" r="952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414" cy="3180680"/>
                    </a:xfrm>
                    <a:prstGeom prst="rect">
                      <a:avLst/>
                    </a:prstGeom>
                    <a:noFill/>
                  </pic:spPr>
                </pic:pic>
              </a:graphicData>
            </a:graphic>
          </wp:inline>
        </w:drawing>
      </w:r>
    </w:p>
    <w:p w14:paraId="28B7A954" w14:textId="20B05667" w:rsidR="007E79CB" w:rsidRPr="00F04AE5" w:rsidRDefault="007E79CB" w:rsidP="007E79CB">
      <w:pPr>
        <w:pStyle w:val="Heading2"/>
        <w:rPr>
          <w:lang w:val="en-US"/>
        </w:rPr>
      </w:pPr>
      <w:r w:rsidRPr="00F04AE5">
        <w:rPr>
          <w:lang w:val="en-US"/>
        </w:rPr>
        <w:t>Data elements</w:t>
      </w:r>
    </w:p>
    <w:p w14:paraId="28E7B30A" w14:textId="2EC5DD01" w:rsidR="007E79CB" w:rsidRPr="00F04AE5" w:rsidRDefault="007E79CB" w:rsidP="00692CC9">
      <w:pPr>
        <w:keepLines/>
        <w:rPr>
          <w:lang w:val="en-US"/>
        </w:rPr>
      </w:pPr>
      <w:r w:rsidRPr="00F04AE5">
        <w:rPr>
          <w:lang w:val="en-US"/>
        </w:rPr>
        <w:t xml:space="preserve">The ABF MHC NBEDS </w:t>
      </w:r>
      <w:r w:rsidR="002E3729">
        <w:rPr>
          <w:lang w:val="en-US"/>
        </w:rPr>
        <w:t>20</w:t>
      </w:r>
      <w:r w:rsidR="0094452A">
        <w:rPr>
          <w:lang w:val="en-US"/>
        </w:rPr>
        <w:t>20</w:t>
      </w:r>
      <w:r w:rsidR="002E3729">
        <w:rPr>
          <w:lang w:val="en-US"/>
        </w:rPr>
        <w:t>-2</w:t>
      </w:r>
      <w:r w:rsidR="0094452A">
        <w:rPr>
          <w:lang w:val="en-US"/>
        </w:rPr>
        <w:t>1</w:t>
      </w:r>
      <w:r w:rsidR="002E3729">
        <w:rPr>
          <w:lang w:val="en-US"/>
        </w:rPr>
        <w:t xml:space="preserve"> </w:t>
      </w:r>
      <w:r w:rsidRPr="00F04AE5">
        <w:rPr>
          <w:lang w:val="en-US"/>
        </w:rPr>
        <w:t xml:space="preserve">includes data elements required to describe organisation, consumer and episode characteristics, mental health phase of care details and </w:t>
      </w:r>
      <w:r w:rsidR="00DA2E35">
        <w:rPr>
          <w:lang w:val="en-US"/>
        </w:rPr>
        <w:t xml:space="preserve">clinical </w:t>
      </w:r>
      <w:r w:rsidRPr="00F04AE5">
        <w:rPr>
          <w:lang w:val="en-US"/>
        </w:rPr>
        <w:t xml:space="preserve">measures which describe consumer diagnoses, functioning and symptoms. </w:t>
      </w:r>
      <w:r w:rsidRPr="00F04AE5" w:rsidDel="007B1D21">
        <w:rPr>
          <w:lang w:val="en-US"/>
        </w:rPr>
        <w:t>The NBEDS contains all the data elements required to assign a mental health phase of care to a</w:t>
      </w:r>
      <w:r w:rsidR="00DB54FD" w:rsidDel="007B1D21">
        <w:rPr>
          <w:lang w:val="en-US"/>
        </w:rPr>
        <w:t>n end</w:t>
      </w:r>
      <w:r w:rsidRPr="00F04AE5" w:rsidDel="007B1D21">
        <w:rPr>
          <w:lang w:val="en-US"/>
        </w:rPr>
        <w:t xml:space="preserve"> class in the </w:t>
      </w:r>
      <w:r w:rsidR="00E66A2D" w:rsidDel="007B1D21">
        <w:rPr>
          <w:lang w:val="en-US"/>
        </w:rPr>
        <w:t>Australian Mental Health Care Classification (</w:t>
      </w:r>
      <w:r w:rsidRPr="00F04AE5" w:rsidDel="007B1D21">
        <w:rPr>
          <w:lang w:val="en-US"/>
        </w:rPr>
        <w:t>AMHCC</w:t>
      </w:r>
      <w:r w:rsidR="00E66A2D" w:rsidDel="007B1D21">
        <w:rPr>
          <w:lang w:val="en-US"/>
        </w:rPr>
        <w:t>)</w:t>
      </w:r>
      <w:r w:rsidRPr="00F04AE5" w:rsidDel="007B1D21">
        <w:rPr>
          <w:lang w:val="en-US"/>
        </w:rPr>
        <w:t xml:space="preserve"> version 1.0. </w:t>
      </w:r>
    </w:p>
    <w:p w14:paraId="5BCC50F6" w14:textId="1F808CE3" w:rsidR="007E79CB" w:rsidRPr="00F04AE5" w:rsidRDefault="007E79CB" w:rsidP="007E79CB">
      <w:pPr>
        <w:keepLines/>
        <w:rPr>
          <w:lang w:val="en-US"/>
        </w:rPr>
      </w:pPr>
      <w:r w:rsidRPr="00F04AE5">
        <w:rPr>
          <w:lang w:val="en-US"/>
        </w:rPr>
        <w:t xml:space="preserve">Some data elements are </w:t>
      </w:r>
      <w:r w:rsidR="00C91A86">
        <w:rPr>
          <w:lang w:val="en-US"/>
        </w:rPr>
        <w:t>mandatory</w:t>
      </w:r>
      <w:r w:rsidRPr="00F04AE5">
        <w:rPr>
          <w:lang w:val="en-US"/>
        </w:rPr>
        <w:t xml:space="preserve"> for all settings of mental health care</w:t>
      </w:r>
      <w:r w:rsidR="00C91A86">
        <w:rPr>
          <w:lang w:val="en-US"/>
        </w:rPr>
        <w:t xml:space="preserve">, </w:t>
      </w:r>
      <w:r w:rsidRPr="00F04AE5">
        <w:rPr>
          <w:lang w:val="en-US"/>
        </w:rPr>
        <w:t>age groups,</w:t>
      </w:r>
      <w:r w:rsidR="00C91A86">
        <w:rPr>
          <w:lang w:val="en-US"/>
        </w:rPr>
        <w:t xml:space="preserve"> and episode</w:t>
      </w:r>
      <w:r w:rsidR="00CA7B7B">
        <w:rPr>
          <w:lang w:val="en-US"/>
        </w:rPr>
        <w:t>s</w:t>
      </w:r>
      <w:r w:rsidR="00C91A86">
        <w:rPr>
          <w:lang w:val="en-US"/>
        </w:rPr>
        <w:t xml:space="preserve">. There are also </w:t>
      </w:r>
      <w:r w:rsidRPr="00F04AE5">
        <w:rPr>
          <w:lang w:val="en-US"/>
        </w:rPr>
        <w:t>data elements</w:t>
      </w:r>
      <w:r w:rsidR="00C91A86">
        <w:rPr>
          <w:lang w:val="en-US"/>
        </w:rPr>
        <w:t xml:space="preserve"> which</w:t>
      </w:r>
      <w:r w:rsidRPr="00F04AE5">
        <w:rPr>
          <w:lang w:val="en-US"/>
        </w:rPr>
        <w:t xml:space="preserve"> are</w:t>
      </w:r>
      <w:r w:rsidR="00C91A86">
        <w:rPr>
          <w:lang w:val="en-US"/>
        </w:rPr>
        <w:t xml:space="preserve"> only required for</w:t>
      </w:r>
      <w:r w:rsidRPr="00F04AE5">
        <w:rPr>
          <w:lang w:val="en-US"/>
        </w:rPr>
        <w:t xml:space="preserve"> specific setting</w:t>
      </w:r>
      <w:r w:rsidR="00CA7B7B">
        <w:rPr>
          <w:lang w:val="en-US"/>
        </w:rPr>
        <w:t xml:space="preserve">s, age groups, </w:t>
      </w:r>
      <w:r w:rsidR="00C91A86">
        <w:rPr>
          <w:lang w:val="en-US"/>
        </w:rPr>
        <w:t>mental health phases</w:t>
      </w:r>
      <w:r w:rsidR="00CA7B7B">
        <w:rPr>
          <w:lang w:val="en-US"/>
        </w:rPr>
        <w:t xml:space="preserve"> or service contacts</w:t>
      </w:r>
      <w:r w:rsidR="00C91A86">
        <w:rPr>
          <w:lang w:val="en-US"/>
        </w:rPr>
        <w:t>.</w:t>
      </w:r>
      <w:r w:rsidRPr="00F04AE5">
        <w:rPr>
          <w:lang w:val="en-US"/>
        </w:rPr>
        <w:t xml:space="preserve"> </w:t>
      </w:r>
      <w:r w:rsidR="00CA7B7B">
        <w:rPr>
          <w:lang w:val="en-US"/>
        </w:rPr>
        <w:t>For example, the data element ‘</w:t>
      </w:r>
      <w:r w:rsidR="000E19D2">
        <w:rPr>
          <w:lang w:val="en-US"/>
        </w:rPr>
        <w:t>g</w:t>
      </w:r>
      <w:r w:rsidR="00CA7B7B">
        <w:rPr>
          <w:lang w:val="en-US"/>
        </w:rPr>
        <w:t xml:space="preserve">roup session status’ is only collected if the consumer has an ambulatory service event, as this information is only pertinent within that setting. </w:t>
      </w:r>
      <w:r w:rsidR="00085557">
        <w:rPr>
          <w:lang w:val="en-US"/>
        </w:rPr>
        <w:t>‘</w:t>
      </w:r>
      <w:r w:rsidR="00CA7B7B">
        <w:rPr>
          <w:lang w:val="en-US"/>
        </w:rPr>
        <w:t>Date of birth</w:t>
      </w:r>
      <w:r w:rsidR="00085557">
        <w:rPr>
          <w:lang w:val="en-US"/>
        </w:rPr>
        <w:t>’</w:t>
      </w:r>
      <w:r w:rsidR="00CA7B7B">
        <w:rPr>
          <w:lang w:val="en-US"/>
        </w:rPr>
        <w:t xml:space="preserve"> is an example of a data element which is collected across all settings. </w:t>
      </w:r>
    </w:p>
    <w:p w14:paraId="484ACE66" w14:textId="77777777" w:rsidR="007E79CB" w:rsidRPr="00F04AE5" w:rsidRDefault="007E79CB" w:rsidP="007E79CB">
      <w:pPr>
        <w:keepNext/>
        <w:rPr>
          <w:lang w:val="en-US"/>
        </w:rPr>
      </w:pPr>
      <w:r w:rsidRPr="00F04AE5">
        <w:rPr>
          <w:lang w:val="en-US"/>
        </w:rPr>
        <w:lastRenderedPageBreak/>
        <w:t>The data elements which describe organisation, episode and consumer characteristics are required to be reported for all settings and for all age groups, and require collection at each patient episode of mental health care. These data elements include:</w:t>
      </w:r>
    </w:p>
    <w:p w14:paraId="78DD0182" w14:textId="21A9A088" w:rsidR="007E79CB" w:rsidRPr="00F04AE5" w:rsidRDefault="00085557" w:rsidP="00692CC9">
      <w:pPr>
        <w:pStyle w:val="ListParagraph"/>
        <w:keepNext/>
        <w:numPr>
          <w:ilvl w:val="0"/>
          <w:numId w:val="15"/>
        </w:numPr>
        <w:spacing w:before="0" w:after="200" w:line="276" w:lineRule="auto"/>
        <w:ind w:left="714" w:hanging="357"/>
        <w:contextualSpacing/>
        <w:rPr>
          <w:lang w:val="en-US"/>
        </w:rPr>
      </w:pPr>
      <w:r>
        <w:rPr>
          <w:lang w:val="en-US"/>
        </w:rPr>
        <w:t>o</w:t>
      </w:r>
      <w:r w:rsidR="007E79CB" w:rsidRPr="00F04AE5">
        <w:rPr>
          <w:lang w:val="en-US"/>
        </w:rPr>
        <w:t>rganisation/service identifiers</w:t>
      </w:r>
    </w:p>
    <w:p w14:paraId="518FCBFD" w14:textId="03804080" w:rsidR="007E79CB" w:rsidRPr="00F04AE5" w:rsidRDefault="00085557" w:rsidP="00692CC9">
      <w:pPr>
        <w:pStyle w:val="ListParagraph"/>
        <w:keepNext/>
        <w:numPr>
          <w:ilvl w:val="0"/>
          <w:numId w:val="14"/>
        </w:numPr>
        <w:spacing w:before="0" w:after="200" w:line="276" w:lineRule="auto"/>
        <w:ind w:left="714" w:hanging="357"/>
        <w:contextualSpacing/>
        <w:rPr>
          <w:lang w:val="en-US"/>
        </w:rPr>
      </w:pPr>
      <w:r>
        <w:rPr>
          <w:lang w:val="en-US"/>
        </w:rPr>
        <w:t>p</w:t>
      </w:r>
      <w:r w:rsidR="007E79CB" w:rsidRPr="00F04AE5">
        <w:rPr>
          <w:lang w:val="en-US"/>
        </w:rPr>
        <w:t>erson identifiers</w:t>
      </w:r>
    </w:p>
    <w:p w14:paraId="14919B2E" w14:textId="6A371FBA" w:rsidR="007E79CB" w:rsidRPr="00F04AE5" w:rsidRDefault="00085557" w:rsidP="00692CC9">
      <w:pPr>
        <w:pStyle w:val="ListParagraph"/>
        <w:keepNext/>
        <w:numPr>
          <w:ilvl w:val="0"/>
          <w:numId w:val="14"/>
        </w:numPr>
        <w:spacing w:before="0" w:after="200" w:line="276" w:lineRule="auto"/>
        <w:ind w:left="714" w:hanging="357"/>
        <w:contextualSpacing/>
        <w:rPr>
          <w:lang w:val="en-US"/>
        </w:rPr>
      </w:pPr>
      <w:r>
        <w:rPr>
          <w:lang w:val="en-US"/>
        </w:rPr>
        <w:t>d</w:t>
      </w:r>
      <w:r w:rsidR="007E79CB" w:rsidRPr="00F04AE5">
        <w:rPr>
          <w:lang w:val="en-US"/>
        </w:rPr>
        <w:t>ate of birth</w:t>
      </w:r>
    </w:p>
    <w:p w14:paraId="1A91397A" w14:textId="5FC9095F" w:rsidR="004B4E1C" w:rsidRPr="00F01741" w:rsidRDefault="00085557" w:rsidP="004971E5">
      <w:pPr>
        <w:pStyle w:val="ListParagraph"/>
        <w:keepNext/>
        <w:numPr>
          <w:ilvl w:val="0"/>
          <w:numId w:val="14"/>
        </w:numPr>
        <w:spacing w:before="0" w:after="200" w:line="276" w:lineRule="auto"/>
        <w:ind w:left="714" w:hanging="357"/>
        <w:contextualSpacing/>
        <w:rPr>
          <w:lang w:val="en-US"/>
        </w:rPr>
      </w:pPr>
      <w:r>
        <w:rPr>
          <w:lang w:val="en-US"/>
        </w:rPr>
        <w:t>s</w:t>
      </w:r>
      <w:r w:rsidR="004337B6">
        <w:rPr>
          <w:lang w:val="en-US"/>
        </w:rPr>
        <w:t>ex</w:t>
      </w:r>
    </w:p>
    <w:p w14:paraId="2486CDFB" w14:textId="3E796372" w:rsidR="007E79CB" w:rsidRPr="004337B6" w:rsidRDefault="00085557" w:rsidP="004337B6">
      <w:pPr>
        <w:pStyle w:val="ListParagraph"/>
        <w:keepNext/>
        <w:numPr>
          <w:ilvl w:val="0"/>
          <w:numId w:val="14"/>
        </w:numPr>
        <w:spacing w:before="0" w:after="200" w:line="276" w:lineRule="auto"/>
        <w:contextualSpacing/>
        <w:rPr>
          <w:lang w:val="en-US"/>
        </w:rPr>
      </w:pPr>
      <w:r>
        <w:rPr>
          <w:lang w:val="en-US"/>
        </w:rPr>
        <w:t>m</w:t>
      </w:r>
      <w:r w:rsidR="007E79CB" w:rsidRPr="004337B6">
        <w:rPr>
          <w:lang w:val="en-US"/>
        </w:rPr>
        <w:t>arital status</w:t>
      </w:r>
    </w:p>
    <w:p w14:paraId="6298EB73" w14:textId="5A658DA0" w:rsidR="007E79CB" w:rsidRPr="00F04AE5" w:rsidRDefault="004C52F5" w:rsidP="00692CC9">
      <w:pPr>
        <w:pStyle w:val="ListParagraph"/>
        <w:numPr>
          <w:ilvl w:val="0"/>
          <w:numId w:val="14"/>
        </w:numPr>
        <w:spacing w:before="0" w:after="200" w:line="276" w:lineRule="auto"/>
        <w:contextualSpacing/>
        <w:rPr>
          <w:lang w:val="en-US"/>
        </w:rPr>
      </w:pPr>
      <w:r>
        <w:rPr>
          <w:lang w:val="en-US"/>
        </w:rPr>
        <w:t>I</w:t>
      </w:r>
      <w:r w:rsidR="007E79CB" w:rsidRPr="00F04AE5">
        <w:rPr>
          <w:lang w:val="en-US"/>
        </w:rPr>
        <w:t>ndigenous status</w:t>
      </w:r>
    </w:p>
    <w:p w14:paraId="1F8D8FBE" w14:textId="51E8CF66" w:rsidR="007E79CB" w:rsidRPr="00F04AE5" w:rsidRDefault="00085557" w:rsidP="00692CC9">
      <w:pPr>
        <w:pStyle w:val="ListParagraph"/>
        <w:numPr>
          <w:ilvl w:val="0"/>
          <w:numId w:val="14"/>
        </w:numPr>
        <w:spacing w:before="0" w:after="200" w:line="276" w:lineRule="auto"/>
        <w:contextualSpacing/>
        <w:rPr>
          <w:lang w:val="en-US"/>
        </w:rPr>
      </w:pPr>
      <w:r>
        <w:rPr>
          <w:lang w:val="en-US"/>
        </w:rPr>
        <w:t>c</w:t>
      </w:r>
      <w:r w:rsidR="007E79CB" w:rsidRPr="00F04AE5">
        <w:rPr>
          <w:lang w:val="en-US"/>
        </w:rPr>
        <w:t>ountry of birth</w:t>
      </w:r>
    </w:p>
    <w:p w14:paraId="14D03442" w14:textId="6B6964BA" w:rsidR="007E79CB" w:rsidRPr="00F04AE5" w:rsidRDefault="00085557" w:rsidP="00692CC9">
      <w:pPr>
        <w:pStyle w:val="ListParagraph"/>
        <w:numPr>
          <w:ilvl w:val="0"/>
          <w:numId w:val="14"/>
        </w:numPr>
        <w:spacing w:before="0" w:after="200" w:line="276" w:lineRule="auto"/>
        <w:contextualSpacing/>
        <w:rPr>
          <w:lang w:val="en-US"/>
        </w:rPr>
      </w:pPr>
      <w:r>
        <w:rPr>
          <w:lang w:val="en-US"/>
        </w:rPr>
        <w:t>a</w:t>
      </w:r>
      <w:r w:rsidR="007E79CB" w:rsidRPr="00F04AE5">
        <w:rPr>
          <w:lang w:val="en-US"/>
        </w:rPr>
        <w:t>rea of usual residence</w:t>
      </w:r>
    </w:p>
    <w:p w14:paraId="12717F5A" w14:textId="454A2A42" w:rsidR="007E79CB" w:rsidRPr="00F04AE5" w:rsidRDefault="00085557" w:rsidP="00692CC9">
      <w:pPr>
        <w:pStyle w:val="ListParagraph"/>
        <w:numPr>
          <w:ilvl w:val="0"/>
          <w:numId w:val="14"/>
        </w:numPr>
        <w:spacing w:before="0" w:after="200" w:line="276" w:lineRule="auto"/>
        <w:contextualSpacing/>
        <w:rPr>
          <w:lang w:val="en-US"/>
        </w:rPr>
      </w:pPr>
      <w:r>
        <w:rPr>
          <w:lang w:val="en-US"/>
        </w:rPr>
        <w:t>e</w:t>
      </w:r>
      <w:r w:rsidR="007E79CB" w:rsidRPr="00F04AE5">
        <w:rPr>
          <w:lang w:val="en-US"/>
        </w:rPr>
        <w:t>pisode start and end date</w:t>
      </w:r>
    </w:p>
    <w:p w14:paraId="272F5C17" w14:textId="4943F507" w:rsidR="007E79CB" w:rsidRPr="00F04AE5" w:rsidRDefault="00085557" w:rsidP="00692CC9">
      <w:pPr>
        <w:pStyle w:val="ListParagraph"/>
        <w:numPr>
          <w:ilvl w:val="0"/>
          <w:numId w:val="14"/>
        </w:numPr>
        <w:spacing w:before="0" w:after="200" w:line="276" w:lineRule="auto"/>
        <w:contextualSpacing/>
        <w:rPr>
          <w:lang w:val="en-US"/>
        </w:rPr>
      </w:pPr>
      <w:r>
        <w:rPr>
          <w:lang w:val="en-US"/>
        </w:rPr>
        <w:t>e</w:t>
      </w:r>
      <w:r w:rsidR="007E79CB" w:rsidRPr="00F04AE5">
        <w:rPr>
          <w:lang w:val="en-US"/>
        </w:rPr>
        <w:t>pisode start and end mode</w:t>
      </w:r>
    </w:p>
    <w:p w14:paraId="5EECA144" w14:textId="4F1BD938" w:rsidR="007E79CB" w:rsidRPr="00F04AE5" w:rsidRDefault="00085557" w:rsidP="00692CC9">
      <w:pPr>
        <w:pStyle w:val="ListParagraph"/>
        <w:numPr>
          <w:ilvl w:val="0"/>
          <w:numId w:val="14"/>
        </w:numPr>
        <w:spacing w:before="0" w:after="200" w:line="276" w:lineRule="auto"/>
        <w:contextualSpacing/>
        <w:rPr>
          <w:lang w:val="en-US"/>
        </w:rPr>
      </w:pPr>
      <w:r>
        <w:rPr>
          <w:lang w:val="en-US"/>
        </w:rPr>
        <w:t>m</w:t>
      </w:r>
      <w:r w:rsidR="007E79CB" w:rsidRPr="00F04AE5">
        <w:rPr>
          <w:lang w:val="en-US"/>
        </w:rPr>
        <w:t>ental health phase of care start and end date</w:t>
      </w:r>
    </w:p>
    <w:p w14:paraId="36F38F69" w14:textId="7A6924B6" w:rsidR="007E79CB" w:rsidRDefault="00085557" w:rsidP="00692CC9">
      <w:pPr>
        <w:pStyle w:val="ListParagraph"/>
        <w:numPr>
          <w:ilvl w:val="0"/>
          <w:numId w:val="14"/>
        </w:numPr>
        <w:spacing w:before="0" w:after="200" w:line="276" w:lineRule="auto"/>
        <w:contextualSpacing/>
        <w:rPr>
          <w:lang w:val="en-US"/>
        </w:rPr>
      </w:pPr>
      <w:r>
        <w:rPr>
          <w:lang w:val="en-US"/>
        </w:rPr>
        <w:t>m</w:t>
      </w:r>
      <w:r w:rsidR="007E79CB" w:rsidRPr="00F04AE5">
        <w:rPr>
          <w:lang w:val="en-US"/>
        </w:rPr>
        <w:t>ental health phase of care</w:t>
      </w:r>
    </w:p>
    <w:p w14:paraId="666B02B5" w14:textId="4761D8D7" w:rsidR="00663F9F" w:rsidRPr="00F04AE5" w:rsidRDefault="00663F9F" w:rsidP="00692CC9">
      <w:pPr>
        <w:pStyle w:val="ListParagraph"/>
        <w:numPr>
          <w:ilvl w:val="0"/>
          <w:numId w:val="14"/>
        </w:numPr>
        <w:spacing w:before="0" w:after="200" w:line="276" w:lineRule="auto"/>
        <w:contextualSpacing/>
        <w:rPr>
          <w:lang w:val="en-US"/>
        </w:rPr>
      </w:pPr>
      <w:r>
        <w:rPr>
          <w:lang w:val="en-US"/>
        </w:rPr>
        <w:t>mental health phase of care leave days</w:t>
      </w:r>
    </w:p>
    <w:p w14:paraId="383F5CB2" w14:textId="2EB2657C" w:rsidR="006C1407" w:rsidRPr="00F04AE5" w:rsidRDefault="00085557" w:rsidP="006C1407">
      <w:pPr>
        <w:pStyle w:val="ListParagraph"/>
        <w:numPr>
          <w:ilvl w:val="0"/>
          <w:numId w:val="14"/>
        </w:numPr>
        <w:spacing w:before="0" w:after="200" w:line="276" w:lineRule="auto"/>
        <w:contextualSpacing/>
        <w:rPr>
          <w:lang w:val="en-US"/>
        </w:rPr>
      </w:pPr>
      <w:r>
        <w:rPr>
          <w:lang w:val="en-US"/>
        </w:rPr>
        <w:t>s</w:t>
      </w:r>
      <w:r w:rsidR="006C1407">
        <w:rPr>
          <w:lang w:val="en-US"/>
        </w:rPr>
        <w:t>ervice provider setting origin</w:t>
      </w:r>
    </w:p>
    <w:p w14:paraId="58B20687" w14:textId="0CEC1A32" w:rsidR="007E79CB" w:rsidRPr="00F04AE5" w:rsidRDefault="00085557" w:rsidP="00692CC9">
      <w:pPr>
        <w:pStyle w:val="ListParagraph"/>
        <w:numPr>
          <w:ilvl w:val="0"/>
          <w:numId w:val="14"/>
        </w:numPr>
        <w:spacing w:before="0" w:after="200" w:line="276" w:lineRule="auto"/>
        <w:contextualSpacing/>
        <w:rPr>
          <w:lang w:val="en-US"/>
        </w:rPr>
      </w:pPr>
      <w:r>
        <w:rPr>
          <w:lang w:val="en-US"/>
        </w:rPr>
        <w:t>p</w:t>
      </w:r>
      <w:r w:rsidR="007E79CB" w:rsidRPr="00F04AE5">
        <w:rPr>
          <w:lang w:val="en-US"/>
        </w:rPr>
        <w:t>rincipal diagnosis</w:t>
      </w:r>
    </w:p>
    <w:p w14:paraId="40B15E9B" w14:textId="58B5A2F7" w:rsidR="007E79CB" w:rsidRPr="00F04AE5" w:rsidRDefault="00085557" w:rsidP="00692CC9">
      <w:pPr>
        <w:pStyle w:val="ListParagraph"/>
        <w:numPr>
          <w:ilvl w:val="0"/>
          <w:numId w:val="14"/>
        </w:numPr>
        <w:spacing w:before="0" w:after="200" w:line="276" w:lineRule="auto"/>
        <w:contextualSpacing/>
        <w:rPr>
          <w:lang w:val="en-US"/>
        </w:rPr>
      </w:pPr>
      <w:r>
        <w:rPr>
          <w:lang w:val="en-US"/>
        </w:rPr>
        <w:t>a</w:t>
      </w:r>
      <w:r w:rsidR="007E79CB" w:rsidRPr="00F04AE5">
        <w:rPr>
          <w:lang w:val="en-US"/>
        </w:rPr>
        <w:t>dditional diagnoses</w:t>
      </w:r>
      <w:r w:rsidR="00CB0F8E" w:rsidRPr="00F04AE5">
        <w:rPr>
          <w:lang w:val="en-US"/>
        </w:rPr>
        <w:t>.</w:t>
      </w:r>
    </w:p>
    <w:p w14:paraId="6F8739EC" w14:textId="77777777" w:rsidR="007E79CB" w:rsidRPr="00F04AE5" w:rsidRDefault="007E79CB" w:rsidP="007E79CB">
      <w:pPr>
        <w:rPr>
          <w:lang w:val="en-US"/>
        </w:rPr>
      </w:pPr>
      <w:r w:rsidRPr="00F04AE5">
        <w:rPr>
          <w:lang w:val="en-US"/>
        </w:rPr>
        <w:t>The data elements which describe consumer functioning and symptom severity require collection at the commencement or change of a mental health phase of care. These data elements include:</w:t>
      </w:r>
    </w:p>
    <w:p w14:paraId="31C5F5DE"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Health of the Nation Outcome Scales for Children and Adolescents (HoNOSCA)</w:t>
      </w:r>
    </w:p>
    <w:p w14:paraId="1276051E"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Health of the Nation Outcome Scales (HoNOS)</w:t>
      </w:r>
    </w:p>
    <w:p w14:paraId="54AEFD9B"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Health of the Nation Outcome Scales for Older Persons (HoNOS 65+)</w:t>
      </w:r>
    </w:p>
    <w:p w14:paraId="5843F581"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Children’s Global Assessment Score (CGAS)</w:t>
      </w:r>
    </w:p>
    <w:p w14:paraId="422E39AB"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Factors Influencing Health Status (FIHS)</w:t>
      </w:r>
    </w:p>
    <w:p w14:paraId="02672CDE"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Abbreviated Life Skills Profile (LSP-16)</w:t>
      </w:r>
    </w:p>
    <w:p w14:paraId="4B30E8A9" w14:textId="77777777" w:rsidR="007E79CB" w:rsidRPr="00F04AE5" w:rsidRDefault="007E79CB" w:rsidP="00692CC9">
      <w:pPr>
        <w:pStyle w:val="ListParagraph"/>
        <w:numPr>
          <w:ilvl w:val="0"/>
          <w:numId w:val="16"/>
        </w:numPr>
        <w:spacing w:before="0" w:after="200" w:line="276" w:lineRule="auto"/>
        <w:contextualSpacing/>
        <w:rPr>
          <w:lang w:val="en-US"/>
        </w:rPr>
      </w:pPr>
      <w:r w:rsidRPr="00F04AE5">
        <w:rPr>
          <w:lang w:val="en-US"/>
        </w:rPr>
        <w:t>Resource Utilisation Groups - Activities of Daily Living (RUG-ADL)</w:t>
      </w:r>
    </w:p>
    <w:p w14:paraId="2E5A7516" w14:textId="012463A1" w:rsidR="007E79CB" w:rsidRDefault="007E79CB" w:rsidP="00593CB0">
      <w:pPr>
        <w:spacing w:after="240"/>
        <w:rPr>
          <w:lang w:val="en-US"/>
        </w:rPr>
      </w:pPr>
      <w:r w:rsidRPr="00F04AE5">
        <w:rPr>
          <w:lang w:val="en-US"/>
        </w:rPr>
        <w:t>Collection protocols for these consumer measures vary depending on the setting of care and the age of the consumer. A summary of the collection protocols is</w:t>
      </w:r>
      <w:r w:rsidR="00085557">
        <w:rPr>
          <w:lang w:val="en-US"/>
        </w:rPr>
        <w:t xml:space="preserve"> outline</w:t>
      </w:r>
      <w:r w:rsidR="0056122C">
        <w:rPr>
          <w:lang w:val="en-US"/>
        </w:rPr>
        <w:t>d</w:t>
      </w:r>
      <w:r w:rsidRPr="00F04AE5">
        <w:rPr>
          <w:lang w:val="en-US"/>
        </w:rPr>
        <w:t xml:space="preserve"> in Table 1.</w:t>
      </w:r>
    </w:p>
    <w:p w14:paraId="50571312" w14:textId="04EFDF95" w:rsidR="0082580D" w:rsidRPr="00F04AE5" w:rsidRDefault="0082580D" w:rsidP="0094452A">
      <w:pPr>
        <w:keepNext/>
        <w:spacing w:before="0"/>
        <w:rPr>
          <w:lang w:val="en-US"/>
        </w:rPr>
      </w:pPr>
      <w:r w:rsidRPr="00F04AE5">
        <w:rPr>
          <w:b/>
          <w:sz w:val="18"/>
          <w:szCs w:val="18"/>
          <w:lang w:val="en-US"/>
        </w:rPr>
        <w:lastRenderedPageBreak/>
        <w:t>Table 1</w:t>
      </w:r>
      <w:r w:rsidRPr="00F04AE5">
        <w:rPr>
          <w:sz w:val="18"/>
          <w:szCs w:val="18"/>
          <w:lang w:val="en-US"/>
        </w:rPr>
        <w:t>: Collection protocols for phase level consumer functioning and symptom severity measures</w:t>
      </w:r>
      <w:r w:rsidRPr="00F04AE5">
        <w:rPr>
          <w:lang w:val="en-US"/>
        </w:rPr>
        <w:t xml:space="preserve"> </w:t>
      </w:r>
    </w:p>
    <w:tbl>
      <w:tblPr>
        <w:tblW w:w="0" w:type="auto"/>
        <w:tblInd w:w="108" w:type="dxa"/>
        <w:tblLayout w:type="fixed"/>
        <w:tblLook w:val="04A0" w:firstRow="1" w:lastRow="0" w:firstColumn="1" w:lastColumn="0" w:noHBand="0" w:noVBand="1"/>
      </w:tblPr>
      <w:tblGrid>
        <w:gridCol w:w="2183"/>
        <w:gridCol w:w="1223"/>
        <w:gridCol w:w="1130"/>
        <w:gridCol w:w="1224"/>
        <w:gridCol w:w="1178"/>
        <w:gridCol w:w="1142"/>
        <w:gridCol w:w="1225"/>
      </w:tblGrid>
      <w:tr w:rsidR="007E79CB" w:rsidRPr="00F04AE5" w14:paraId="02104E06" w14:textId="77777777" w:rsidTr="00593CB0">
        <w:trPr>
          <w:trHeight w:val="340"/>
          <w:tblHeader/>
        </w:trPr>
        <w:tc>
          <w:tcPr>
            <w:tcW w:w="2183" w:type="dxa"/>
            <w:tcBorders>
              <w:top w:val="nil"/>
              <w:left w:val="nil"/>
              <w:bottom w:val="nil"/>
              <w:right w:val="nil"/>
            </w:tcBorders>
            <w:shd w:val="clear" w:color="auto" w:fill="auto"/>
            <w:noWrap/>
            <w:vAlign w:val="bottom"/>
            <w:hideMark/>
          </w:tcPr>
          <w:p w14:paraId="5F4AA7BB" w14:textId="77777777" w:rsidR="007E79CB" w:rsidRPr="00F04AE5" w:rsidRDefault="007E79CB" w:rsidP="00FD048D">
            <w:pPr>
              <w:keepNext/>
              <w:spacing w:line="240" w:lineRule="auto"/>
              <w:rPr>
                <w:rFonts w:asciiTheme="majorHAnsi" w:hAnsiTheme="majorHAnsi" w:cstheme="majorHAnsi"/>
                <w:color w:val="000000"/>
                <w:sz w:val="20"/>
                <w:szCs w:val="20"/>
              </w:rPr>
            </w:pPr>
          </w:p>
        </w:tc>
        <w:tc>
          <w:tcPr>
            <w:tcW w:w="2353"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4E118980"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Admitted Episode</w:t>
            </w:r>
          </w:p>
        </w:tc>
        <w:tc>
          <w:tcPr>
            <w:tcW w:w="2402" w:type="dxa"/>
            <w:gridSpan w:val="2"/>
            <w:tcBorders>
              <w:top w:val="single" w:sz="12" w:space="0" w:color="auto"/>
              <w:left w:val="nil"/>
              <w:bottom w:val="nil"/>
              <w:right w:val="single" w:sz="12" w:space="0" w:color="000000"/>
            </w:tcBorders>
            <w:shd w:val="clear" w:color="auto" w:fill="auto"/>
            <w:noWrap/>
            <w:vAlign w:val="bottom"/>
            <w:hideMark/>
          </w:tcPr>
          <w:p w14:paraId="11D4C1CE"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Ambulatory Episode</w:t>
            </w:r>
          </w:p>
        </w:tc>
        <w:tc>
          <w:tcPr>
            <w:tcW w:w="2367" w:type="dxa"/>
            <w:gridSpan w:val="2"/>
            <w:tcBorders>
              <w:top w:val="single" w:sz="12" w:space="0" w:color="auto"/>
              <w:left w:val="nil"/>
              <w:bottom w:val="nil"/>
              <w:right w:val="single" w:sz="12" w:space="0" w:color="000000"/>
            </w:tcBorders>
            <w:shd w:val="clear" w:color="auto" w:fill="auto"/>
            <w:noWrap/>
            <w:vAlign w:val="bottom"/>
            <w:hideMark/>
          </w:tcPr>
          <w:p w14:paraId="2A1BA832"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Residential Episode</w:t>
            </w:r>
          </w:p>
        </w:tc>
      </w:tr>
      <w:tr w:rsidR="00CB0F8E" w:rsidRPr="00F04AE5" w14:paraId="063BC9EE" w14:textId="77777777" w:rsidTr="00CB0F8E">
        <w:trPr>
          <w:trHeight w:val="379"/>
        </w:trPr>
        <w:tc>
          <w:tcPr>
            <w:tcW w:w="2183" w:type="dxa"/>
            <w:tcBorders>
              <w:top w:val="single" w:sz="12" w:space="0" w:color="auto"/>
              <w:left w:val="single" w:sz="12" w:space="0" w:color="auto"/>
              <w:bottom w:val="single" w:sz="4" w:space="0" w:color="auto"/>
              <w:right w:val="single" w:sz="12" w:space="0" w:color="auto"/>
            </w:tcBorders>
            <w:shd w:val="clear" w:color="auto" w:fill="auto"/>
            <w:vAlign w:val="bottom"/>
            <w:hideMark/>
          </w:tcPr>
          <w:p w14:paraId="468DF713" w14:textId="53CC2323" w:rsidR="007E79CB" w:rsidRPr="00F04AE5" w:rsidRDefault="007E79CB" w:rsidP="00FD048D">
            <w:pPr>
              <w:keepNext/>
              <w:spacing w:line="240" w:lineRule="auto"/>
              <w:ind w:right="-52"/>
              <w:rPr>
                <w:rFonts w:asciiTheme="majorHAnsi" w:hAnsiTheme="majorHAnsi" w:cstheme="majorHAnsi"/>
                <w:color w:val="000000"/>
                <w:sz w:val="20"/>
                <w:szCs w:val="20"/>
              </w:rPr>
            </w:pPr>
            <w:r w:rsidRPr="00F04AE5">
              <w:rPr>
                <w:rFonts w:asciiTheme="majorHAnsi" w:hAnsiTheme="majorHAnsi" w:cstheme="majorHAnsi"/>
                <w:color w:val="000000"/>
                <w:sz w:val="20"/>
                <w:szCs w:val="20"/>
              </w:rPr>
              <w:t>Children/Young Adults</w:t>
            </w:r>
          </w:p>
        </w:tc>
        <w:tc>
          <w:tcPr>
            <w:tcW w:w="1223" w:type="dxa"/>
            <w:tcBorders>
              <w:top w:val="single" w:sz="12" w:space="0" w:color="auto"/>
              <w:left w:val="nil"/>
              <w:bottom w:val="single" w:sz="12" w:space="0" w:color="auto"/>
              <w:right w:val="single" w:sz="4" w:space="0" w:color="auto"/>
            </w:tcBorders>
            <w:shd w:val="clear" w:color="auto" w:fill="auto"/>
            <w:noWrap/>
            <w:vAlign w:val="bottom"/>
            <w:hideMark/>
          </w:tcPr>
          <w:p w14:paraId="4F4C64E7"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40C7C9F6"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Phase 2 +</w:t>
            </w:r>
          </w:p>
        </w:tc>
        <w:tc>
          <w:tcPr>
            <w:tcW w:w="1224" w:type="dxa"/>
            <w:tcBorders>
              <w:top w:val="single" w:sz="12" w:space="0" w:color="auto"/>
              <w:left w:val="nil"/>
              <w:bottom w:val="single" w:sz="12" w:space="0" w:color="auto"/>
              <w:right w:val="single" w:sz="4" w:space="0" w:color="auto"/>
            </w:tcBorders>
            <w:shd w:val="clear" w:color="auto" w:fill="auto"/>
            <w:noWrap/>
            <w:vAlign w:val="bottom"/>
            <w:hideMark/>
          </w:tcPr>
          <w:p w14:paraId="4B9BA640"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Phase 1</w:t>
            </w:r>
          </w:p>
        </w:tc>
        <w:tc>
          <w:tcPr>
            <w:tcW w:w="1178" w:type="dxa"/>
            <w:tcBorders>
              <w:top w:val="single" w:sz="12" w:space="0" w:color="auto"/>
              <w:left w:val="nil"/>
              <w:bottom w:val="single" w:sz="12" w:space="0" w:color="auto"/>
              <w:right w:val="single" w:sz="12" w:space="0" w:color="auto"/>
            </w:tcBorders>
            <w:shd w:val="clear" w:color="auto" w:fill="auto"/>
            <w:noWrap/>
            <w:vAlign w:val="bottom"/>
            <w:hideMark/>
          </w:tcPr>
          <w:p w14:paraId="2D45D4D2"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Phase 2 +</w:t>
            </w:r>
          </w:p>
        </w:tc>
        <w:tc>
          <w:tcPr>
            <w:tcW w:w="1142" w:type="dxa"/>
            <w:tcBorders>
              <w:top w:val="single" w:sz="12" w:space="0" w:color="auto"/>
              <w:left w:val="nil"/>
              <w:bottom w:val="single" w:sz="12" w:space="0" w:color="auto"/>
              <w:right w:val="single" w:sz="4" w:space="0" w:color="auto"/>
            </w:tcBorders>
            <w:shd w:val="clear" w:color="auto" w:fill="auto"/>
            <w:noWrap/>
            <w:vAlign w:val="bottom"/>
            <w:hideMark/>
          </w:tcPr>
          <w:p w14:paraId="6B024185"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Phase 1</w:t>
            </w:r>
          </w:p>
        </w:tc>
        <w:tc>
          <w:tcPr>
            <w:tcW w:w="1225" w:type="dxa"/>
            <w:tcBorders>
              <w:top w:val="single" w:sz="12" w:space="0" w:color="auto"/>
              <w:left w:val="nil"/>
              <w:bottom w:val="single" w:sz="12" w:space="0" w:color="auto"/>
              <w:right w:val="single" w:sz="12" w:space="0" w:color="auto"/>
            </w:tcBorders>
            <w:shd w:val="clear" w:color="auto" w:fill="auto"/>
            <w:noWrap/>
            <w:vAlign w:val="bottom"/>
            <w:hideMark/>
          </w:tcPr>
          <w:p w14:paraId="50988539" w14:textId="777777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t>Phase 2 +</w:t>
            </w:r>
          </w:p>
        </w:tc>
      </w:tr>
      <w:tr w:rsidR="00CB0F8E" w:rsidRPr="00F04AE5" w14:paraId="2F263A7B" w14:textId="77777777" w:rsidTr="00CB0F8E">
        <w:trPr>
          <w:trHeight w:val="340"/>
        </w:trPr>
        <w:tc>
          <w:tcPr>
            <w:tcW w:w="2183" w:type="dxa"/>
            <w:tcBorders>
              <w:top w:val="nil"/>
              <w:left w:val="single" w:sz="12" w:space="0" w:color="auto"/>
              <w:bottom w:val="single" w:sz="4" w:space="0" w:color="auto"/>
              <w:right w:val="single" w:sz="12" w:space="0" w:color="auto"/>
            </w:tcBorders>
            <w:shd w:val="clear" w:color="auto" w:fill="auto"/>
            <w:noWrap/>
            <w:vAlign w:val="bottom"/>
            <w:hideMark/>
          </w:tcPr>
          <w:p w14:paraId="3EBE6A5B"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HoNOSCA</w:t>
            </w:r>
          </w:p>
        </w:tc>
        <w:tc>
          <w:tcPr>
            <w:tcW w:w="1223" w:type="dxa"/>
            <w:tcBorders>
              <w:top w:val="nil"/>
              <w:left w:val="nil"/>
              <w:bottom w:val="single" w:sz="4" w:space="0" w:color="auto"/>
              <w:right w:val="single" w:sz="4" w:space="0" w:color="auto"/>
            </w:tcBorders>
            <w:shd w:val="clear" w:color="auto" w:fill="auto"/>
            <w:noWrap/>
            <w:vAlign w:val="bottom"/>
            <w:hideMark/>
          </w:tcPr>
          <w:p w14:paraId="2A02F60F" w14:textId="02F0D37E"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30" w:type="dxa"/>
            <w:tcBorders>
              <w:top w:val="nil"/>
              <w:left w:val="nil"/>
              <w:bottom w:val="single" w:sz="4" w:space="0" w:color="auto"/>
              <w:right w:val="single" w:sz="12" w:space="0" w:color="auto"/>
            </w:tcBorders>
            <w:shd w:val="clear" w:color="auto" w:fill="auto"/>
            <w:noWrap/>
            <w:hideMark/>
          </w:tcPr>
          <w:p w14:paraId="4EA65E7D" w14:textId="6BEE33EE"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224" w:type="dxa"/>
            <w:tcBorders>
              <w:top w:val="nil"/>
              <w:left w:val="nil"/>
              <w:bottom w:val="single" w:sz="4" w:space="0" w:color="auto"/>
              <w:right w:val="single" w:sz="4" w:space="0" w:color="auto"/>
            </w:tcBorders>
            <w:shd w:val="clear" w:color="auto" w:fill="auto"/>
            <w:noWrap/>
            <w:hideMark/>
          </w:tcPr>
          <w:p w14:paraId="5F83AE5C" w14:textId="2C4B2348"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178" w:type="dxa"/>
            <w:tcBorders>
              <w:top w:val="nil"/>
              <w:left w:val="nil"/>
              <w:bottom w:val="single" w:sz="4" w:space="0" w:color="auto"/>
              <w:right w:val="single" w:sz="12" w:space="0" w:color="auto"/>
            </w:tcBorders>
            <w:shd w:val="clear" w:color="auto" w:fill="auto"/>
            <w:noWrap/>
            <w:hideMark/>
          </w:tcPr>
          <w:p w14:paraId="59C4EE2A" w14:textId="59954843"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142" w:type="dxa"/>
            <w:tcBorders>
              <w:top w:val="nil"/>
              <w:left w:val="nil"/>
              <w:bottom w:val="single" w:sz="4" w:space="0" w:color="auto"/>
              <w:right w:val="single" w:sz="4" w:space="0" w:color="auto"/>
            </w:tcBorders>
            <w:shd w:val="clear" w:color="auto" w:fill="auto"/>
            <w:noWrap/>
            <w:hideMark/>
          </w:tcPr>
          <w:p w14:paraId="72F1ACED" w14:textId="4F021AA4"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225" w:type="dxa"/>
            <w:tcBorders>
              <w:top w:val="nil"/>
              <w:left w:val="nil"/>
              <w:bottom w:val="single" w:sz="4" w:space="0" w:color="auto"/>
              <w:right w:val="single" w:sz="12" w:space="0" w:color="auto"/>
            </w:tcBorders>
            <w:shd w:val="clear" w:color="auto" w:fill="auto"/>
            <w:noWrap/>
            <w:hideMark/>
          </w:tcPr>
          <w:p w14:paraId="3C8400FA" w14:textId="1EC4D96D"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r>
      <w:tr w:rsidR="00CB0F8E" w:rsidRPr="00F04AE5" w14:paraId="3F89628D" w14:textId="77777777" w:rsidTr="00CB0F8E">
        <w:trPr>
          <w:trHeight w:val="340"/>
        </w:trPr>
        <w:tc>
          <w:tcPr>
            <w:tcW w:w="2183" w:type="dxa"/>
            <w:tcBorders>
              <w:top w:val="nil"/>
              <w:left w:val="single" w:sz="12" w:space="0" w:color="auto"/>
              <w:bottom w:val="single" w:sz="4" w:space="0" w:color="auto"/>
              <w:right w:val="single" w:sz="12" w:space="0" w:color="auto"/>
            </w:tcBorders>
            <w:shd w:val="clear" w:color="auto" w:fill="auto"/>
            <w:noWrap/>
            <w:vAlign w:val="bottom"/>
            <w:hideMark/>
          </w:tcPr>
          <w:p w14:paraId="689E5B58"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CGAS</w:t>
            </w:r>
          </w:p>
        </w:tc>
        <w:tc>
          <w:tcPr>
            <w:tcW w:w="1223" w:type="dxa"/>
            <w:tcBorders>
              <w:top w:val="nil"/>
              <w:left w:val="nil"/>
              <w:bottom w:val="single" w:sz="4" w:space="0" w:color="auto"/>
              <w:right w:val="single" w:sz="4" w:space="0" w:color="auto"/>
            </w:tcBorders>
            <w:shd w:val="clear" w:color="auto" w:fill="auto"/>
            <w:noWrap/>
            <w:vAlign w:val="bottom"/>
            <w:hideMark/>
          </w:tcPr>
          <w:p w14:paraId="1E2336EE" w14:textId="00D5E7E5"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30" w:type="dxa"/>
            <w:tcBorders>
              <w:top w:val="nil"/>
              <w:left w:val="nil"/>
              <w:bottom w:val="single" w:sz="4" w:space="0" w:color="auto"/>
              <w:right w:val="single" w:sz="12" w:space="0" w:color="auto"/>
            </w:tcBorders>
            <w:shd w:val="clear" w:color="auto" w:fill="auto"/>
            <w:noWrap/>
            <w:hideMark/>
          </w:tcPr>
          <w:p w14:paraId="47FF1AE2" w14:textId="292DDFA2"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224" w:type="dxa"/>
            <w:tcBorders>
              <w:top w:val="nil"/>
              <w:left w:val="nil"/>
              <w:bottom w:val="single" w:sz="4" w:space="0" w:color="auto"/>
              <w:right w:val="single" w:sz="4" w:space="0" w:color="auto"/>
            </w:tcBorders>
            <w:shd w:val="clear" w:color="auto" w:fill="auto"/>
            <w:noWrap/>
            <w:hideMark/>
          </w:tcPr>
          <w:p w14:paraId="20B72273" w14:textId="5FE92078"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178" w:type="dxa"/>
            <w:tcBorders>
              <w:top w:val="nil"/>
              <w:left w:val="nil"/>
              <w:bottom w:val="single" w:sz="4" w:space="0" w:color="auto"/>
              <w:right w:val="single" w:sz="12" w:space="0" w:color="auto"/>
            </w:tcBorders>
            <w:shd w:val="clear" w:color="auto" w:fill="auto"/>
            <w:noWrap/>
            <w:hideMark/>
          </w:tcPr>
          <w:p w14:paraId="2CB16128" w14:textId="0D8F800A"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142" w:type="dxa"/>
            <w:tcBorders>
              <w:top w:val="nil"/>
              <w:left w:val="nil"/>
              <w:bottom w:val="single" w:sz="4" w:space="0" w:color="auto"/>
              <w:right w:val="single" w:sz="4" w:space="0" w:color="auto"/>
            </w:tcBorders>
            <w:shd w:val="clear" w:color="auto" w:fill="auto"/>
            <w:noWrap/>
            <w:hideMark/>
          </w:tcPr>
          <w:p w14:paraId="2BE90B08" w14:textId="552FB2BC"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225" w:type="dxa"/>
            <w:tcBorders>
              <w:top w:val="nil"/>
              <w:left w:val="nil"/>
              <w:bottom w:val="single" w:sz="4" w:space="0" w:color="auto"/>
              <w:right w:val="single" w:sz="12" w:space="0" w:color="auto"/>
            </w:tcBorders>
            <w:shd w:val="clear" w:color="auto" w:fill="auto"/>
            <w:noWrap/>
            <w:hideMark/>
          </w:tcPr>
          <w:p w14:paraId="26590108" w14:textId="21E8AB7E"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r>
      <w:tr w:rsidR="00CB0F8E" w:rsidRPr="00F04AE5" w14:paraId="164040F6" w14:textId="77777777" w:rsidTr="00CB0F8E">
        <w:trPr>
          <w:trHeight w:val="340"/>
        </w:trPr>
        <w:tc>
          <w:tcPr>
            <w:tcW w:w="2183" w:type="dxa"/>
            <w:tcBorders>
              <w:top w:val="nil"/>
              <w:left w:val="single" w:sz="12" w:space="0" w:color="auto"/>
              <w:bottom w:val="nil"/>
              <w:right w:val="single" w:sz="12" w:space="0" w:color="auto"/>
            </w:tcBorders>
            <w:shd w:val="clear" w:color="auto" w:fill="auto"/>
            <w:noWrap/>
            <w:vAlign w:val="bottom"/>
            <w:hideMark/>
          </w:tcPr>
          <w:p w14:paraId="1496A27A"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FIHS</w:t>
            </w:r>
          </w:p>
        </w:tc>
        <w:tc>
          <w:tcPr>
            <w:tcW w:w="1223" w:type="dxa"/>
            <w:tcBorders>
              <w:top w:val="nil"/>
              <w:left w:val="nil"/>
              <w:bottom w:val="nil"/>
              <w:right w:val="single" w:sz="4" w:space="0" w:color="auto"/>
            </w:tcBorders>
            <w:shd w:val="clear" w:color="auto" w:fill="auto"/>
            <w:noWrap/>
            <w:vAlign w:val="bottom"/>
            <w:hideMark/>
          </w:tcPr>
          <w:p w14:paraId="71E3E155" w14:textId="23A00A23"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r w:rsidRPr="00F04AE5">
              <w:rPr>
                <w:rFonts w:asciiTheme="majorHAnsi" w:hAnsiTheme="majorHAnsi" w:cstheme="majorHAnsi"/>
                <w:color w:val="000000"/>
                <w:sz w:val="20"/>
                <w:szCs w:val="20"/>
              </w:rPr>
              <w:t>*</w:t>
            </w:r>
          </w:p>
        </w:tc>
        <w:tc>
          <w:tcPr>
            <w:tcW w:w="1130" w:type="dxa"/>
            <w:tcBorders>
              <w:top w:val="nil"/>
              <w:left w:val="nil"/>
              <w:bottom w:val="nil"/>
              <w:right w:val="single" w:sz="12" w:space="0" w:color="auto"/>
            </w:tcBorders>
            <w:shd w:val="clear" w:color="auto" w:fill="auto"/>
            <w:noWrap/>
            <w:hideMark/>
          </w:tcPr>
          <w:p w14:paraId="4E4870DD" w14:textId="4DB197C9"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224" w:type="dxa"/>
            <w:tcBorders>
              <w:top w:val="nil"/>
              <w:left w:val="nil"/>
              <w:bottom w:val="nil"/>
              <w:right w:val="single" w:sz="4" w:space="0" w:color="auto"/>
            </w:tcBorders>
            <w:shd w:val="clear" w:color="auto" w:fill="auto"/>
            <w:noWrap/>
            <w:vAlign w:val="bottom"/>
            <w:hideMark/>
          </w:tcPr>
          <w:p w14:paraId="4C1EB935" w14:textId="236CEF1A"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r w:rsidRPr="00F04AE5">
              <w:rPr>
                <w:rFonts w:asciiTheme="majorHAnsi" w:hAnsiTheme="majorHAnsi" w:cstheme="majorHAnsi"/>
                <w:color w:val="000000"/>
                <w:sz w:val="20"/>
                <w:szCs w:val="20"/>
              </w:rPr>
              <w:t>*</w:t>
            </w:r>
          </w:p>
        </w:tc>
        <w:tc>
          <w:tcPr>
            <w:tcW w:w="1178" w:type="dxa"/>
            <w:tcBorders>
              <w:top w:val="nil"/>
              <w:left w:val="nil"/>
              <w:bottom w:val="nil"/>
              <w:right w:val="single" w:sz="12" w:space="0" w:color="auto"/>
            </w:tcBorders>
            <w:shd w:val="clear" w:color="auto" w:fill="auto"/>
            <w:noWrap/>
            <w:hideMark/>
          </w:tcPr>
          <w:p w14:paraId="51B407CF" w14:textId="251D724B"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c>
          <w:tcPr>
            <w:tcW w:w="1142" w:type="dxa"/>
            <w:tcBorders>
              <w:top w:val="nil"/>
              <w:left w:val="nil"/>
              <w:bottom w:val="nil"/>
              <w:right w:val="single" w:sz="4" w:space="0" w:color="auto"/>
            </w:tcBorders>
            <w:shd w:val="clear" w:color="auto" w:fill="auto"/>
            <w:noWrap/>
            <w:vAlign w:val="bottom"/>
            <w:hideMark/>
          </w:tcPr>
          <w:p w14:paraId="029C7D13" w14:textId="7110ADE0"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r w:rsidRPr="00F04AE5">
              <w:rPr>
                <w:rFonts w:asciiTheme="majorHAnsi" w:hAnsiTheme="majorHAnsi" w:cstheme="majorHAnsi"/>
                <w:color w:val="000000"/>
                <w:sz w:val="20"/>
                <w:szCs w:val="20"/>
              </w:rPr>
              <w:t>*</w:t>
            </w:r>
          </w:p>
        </w:tc>
        <w:tc>
          <w:tcPr>
            <w:tcW w:w="1225" w:type="dxa"/>
            <w:tcBorders>
              <w:top w:val="nil"/>
              <w:left w:val="nil"/>
              <w:bottom w:val="nil"/>
              <w:right w:val="single" w:sz="12" w:space="0" w:color="auto"/>
            </w:tcBorders>
            <w:shd w:val="clear" w:color="auto" w:fill="auto"/>
            <w:noWrap/>
            <w:hideMark/>
          </w:tcPr>
          <w:p w14:paraId="4876F275" w14:textId="27EB5872" w:rsidR="007E79CB" w:rsidRPr="00F04AE5" w:rsidRDefault="007E79CB" w:rsidP="00FD048D">
            <w:pPr>
              <w:keepNext/>
              <w:spacing w:line="240" w:lineRule="auto"/>
              <w:jc w:val="center"/>
            </w:pPr>
            <w:r w:rsidRPr="00F04AE5">
              <w:rPr>
                <w:rFonts w:asciiTheme="majorHAnsi" w:hAnsiTheme="majorHAnsi" w:cstheme="majorHAnsi"/>
                <w:color w:val="000000"/>
                <w:sz w:val="20"/>
                <w:szCs w:val="20"/>
              </w:rPr>
              <w:sym w:font="Wingdings" w:char="F0FC"/>
            </w:r>
          </w:p>
        </w:tc>
      </w:tr>
      <w:tr w:rsidR="00CB0F8E" w:rsidRPr="00F04AE5" w14:paraId="72C1CD42" w14:textId="77777777" w:rsidTr="00CB0F8E">
        <w:trPr>
          <w:trHeight w:val="340"/>
        </w:trPr>
        <w:tc>
          <w:tcPr>
            <w:tcW w:w="218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A08C84D"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Adults</w:t>
            </w:r>
          </w:p>
        </w:tc>
        <w:tc>
          <w:tcPr>
            <w:tcW w:w="1223" w:type="dxa"/>
            <w:tcBorders>
              <w:top w:val="single" w:sz="12" w:space="0" w:color="auto"/>
              <w:left w:val="nil"/>
              <w:bottom w:val="single" w:sz="4" w:space="0" w:color="auto"/>
              <w:right w:val="single" w:sz="4" w:space="0" w:color="auto"/>
            </w:tcBorders>
            <w:shd w:val="clear" w:color="000000" w:fill="BFBFBF"/>
            <w:noWrap/>
            <w:vAlign w:val="bottom"/>
            <w:hideMark/>
          </w:tcPr>
          <w:p w14:paraId="7DF90EE1"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130" w:type="dxa"/>
            <w:tcBorders>
              <w:top w:val="single" w:sz="12" w:space="0" w:color="auto"/>
              <w:left w:val="nil"/>
              <w:bottom w:val="single" w:sz="4" w:space="0" w:color="auto"/>
              <w:right w:val="single" w:sz="12" w:space="0" w:color="auto"/>
            </w:tcBorders>
            <w:shd w:val="clear" w:color="000000" w:fill="BFBFBF"/>
            <w:noWrap/>
            <w:vAlign w:val="bottom"/>
            <w:hideMark/>
          </w:tcPr>
          <w:p w14:paraId="56BCD6EE"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224" w:type="dxa"/>
            <w:tcBorders>
              <w:top w:val="single" w:sz="12" w:space="0" w:color="auto"/>
              <w:left w:val="nil"/>
              <w:bottom w:val="single" w:sz="4" w:space="0" w:color="auto"/>
              <w:right w:val="single" w:sz="4" w:space="0" w:color="auto"/>
            </w:tcBorders>
            <w:shd w:val="clear" w:color="000000" w:fill="BFBFBF"/>
            <w:noWrap/>
            <w:vAlign w:val="bottom"/>
            <w:hideMark/>
          </w:tcPr>
          <w:p w14:paraId="258E58C8"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178" w:type="dxa"/>
            <w:tcBorders>
              <w:top w:val="single" w:sz="12" w:space="0" w:color="auto"/>
              <w:left w:val="nil"/>
              <w:bottom w:val="single" w:sz="4" w:space="0" w:color="auto"/>
              <w:right w:val="single" w:sz="12" w:space="0" w:color="auto"/>
            </w:tcBorders>
            <w:shd w:val="clear" w:color="000000" w:fill="BFBFBF"/>
            <w:noWrap/>
            <w:vAlign w:val="bottom"/>
            <w:hideMark/>
          </w:tcPr>
          <w:p w14:paraId="60F0AED8"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142" w:type="dxa"/>
            <w:tcBorders>
              <w:top w:val="single" w:sz="12" w:space="0" w:color="auto"/>
              <w:left w:val="nil"/>
              <w:bottom w:val="single" w:sz="4" w:space="0" w:color="auto"/>
              <w:right w:val="single" w:sz="4" w:space="0" w:color="auto"/>
            </w:tcBorders>
            <w:shd w:val="clear" w:color="000000" w:fill="BFBFBF"/>
            <w:noWrap/>
            <w:vAlign w:val="bottom"/>
            <w:hideMark/>
          </w:tcPr>
          <w:p w14:paraId="0C708B89"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225" w:type="dxa"/>
            <w:tcBorders>
              <w:top w:val="single" w:sz="12" w:space="0" w:color="auto"/>
              <w:left w:val="nil"/>
              <w:bottom w:val="single" w:sz="4" w:space="0" w:color="auto"/>
              <w:right w:val="single" w:sz="12" w:space="0" w:color="auto"/>
            </w:tcBorders>
            <w:shd w:val="clear" w:color="000000" w:fill="BFBFBF"/>
            <w:noWrap/>
            <w:vAlign w:val="bottom"/>
            <w:hideMark/>
          </w:tcPr>
          <w:p w14:paraId="54A5ABEF"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r>
      <w:tr w:rsidR="00CB0F8E" w:rsidRPr="00F04AE5" w14:paraId="614EEAD8" w14:textId="77777777" w:rsidTr="00CB0F8E">
        <w:trPr>
          <w:trHeight w:val="340"/>
        </w:trPr>
        <w:tc>
          <w:tcPr>
            <w:tcW w:w="2183" w:type="dxa"/>
            <w:tcBorders>
              <w:top w:val="nil"/>
              <w:left w:val="single" w:sz="12" w:space="0" w:color="auto"/>
              <w:bottom w:val="single" w:sz="4" w:space="0" w:color="auto"/>
              <w:right w:val="single" w:sz="12" w:space="0" w:color="auto"/>
            </w:tcBorders>
            <w:shd w:val="clear" w:color="auto" w:fill="auto"/>
            <w:noWrap/>
            <w:vAlign w:val="bottom"/>
            <w:hideMark/>
          </w:tcPr>
          <w:p w14:paraId="0FEC4A3A"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HoNOS</w:t>
            </w:r>
          </w:p>
        </w:tc>
        <w:tc>
          <w:tcPr>
            <w:tcW w:w="1223" w:type="dxa"/>
            <w:tcBorders>
              <w:top w:val="nil"/>
              <w:left w:val="nil"/>
              <w:bottom w:val="single" w:sz="4" w:space="0" w:color="auto"/>
              <w:right w:val="single" w:sz="4" w:space="0" w:color="auto"/>
            </w:tcBorders>
            <w:shd w:val="clear" w:color="auto" w:fill="auto"/>
            <w:noWrap/>
            <w:vAlign w:val="bottom"/>
            <w:hideMark/>
          </w:tcPr>
          <w:p w14:paraId="76E84019" w14:textId="0AACE0D0"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30" w:type="dxa"/>
            <w:tcBorders>
              <w:top w:val="nil"/>
              <w:left w:val="nil"/>
              <w:bottom w:val="single" w:sz="4" w:space="0" w:color="auto"/>
              <w:right w:val="single" w:sz="12" w:space="0" w:color="auto"/>
            </w:tcBorders>
            <w:shd w:val="clear" w:color="auto" w:fill="auto"/>
            <w:noWrap/>
            <w:vAlign w:val="bottom"/>
            <w:hideMark/>
          </w:tcPr>
          <w:p w14:paraId="46F005A7" w14:textId="25394569"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224" w:type="dxa"/>
            <w:tcBorders>
              <w:top w:val="nil"/>
              <w:left w:val="nil"/>
              <w:bottom w:val="single" w:sz="4" w:space="0" w:color="auto"/>
              <w:right w:val="single" w:sz="4" w:space="0" w:color="auto"/>
            </w:tcBorders>
            <w:shd w:val="clear" w:color="auto" w:fill="auto"/>
            <w:noWrap/>
            <w:vAlign w:val="bottom"/>
            <w:hideMark/>
          </w:tcPr>
          <w:p w14:paraId="0115BA34" w14:textId="21288950"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78" w:type="dxa"/>
            <w:tcBorders>
              <w:top w:val="nil"/>
              <w:left w:val="nil"/>
              <w:bottom w:val="single" w:sz="4" w:space="0" w:color="auto"/>
              <w:right w:val="single" w:sz="12" w:space="0" w:color="auto"/>
            </w:tcBorders>
            <w:shd w:val="clear" w:color="auto" w:fill="auto"/>
            <w:noWrap/>
            <w:vAlign w:val="bottom"/>
            <w:hideMark/>
          </w:tcPr>
          <w:p w14:paraId="39950AE6" w14:textId="2B28966F"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42" w:type="dxa"/>
            <w:tcBorders>
              <w:top w:val="nil"/>
              <w:left w:val="nil"/>
              <w:bottom w:val="single" w:sz="4" w:space="0" w:color="auto"/>
              <w:right w:val="single" w:sz="4" w:space="0" w:color="auto"/>
            </w:tcBorders>
            <w:shd w:val="clear" w:color="auto" w:fill="auto"/>
            <w:noWrap/>
            <w:vAlign w:val="bottom"/>
            <w:hideMark/>
          </w:tcPr>
          <w:p w14:paraId="25CFE144" w14:textId="4F1FE808"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225" w:type="dxa"/>
            <w:tcBorders>
              <w:top w:val="nil"/>
              <w:left w:val="nil"/>
              <w:bottom w:val="single" w:sz="4" w:space="0" w:color="auto"/>
              <w:right w:val="single" w:sz="12" w:space="0" w:color="auto"/>
            </w:tcBorders>
            <w:shd w:val="clear" w:color="auto" w:fill="auto"/>
            <w:noWrap/>
            <w:vAlign w:val="bottom"/>
            <w:hideMark/>
          </w:tcPr>
          <w:p w14:paraId="3301A620" w14:textId="16154E3B"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r>
      <w:tr w:rsidR="00CB0F8E" w:rsidRPr="00F04AE5" w14:paraId="6062E6E2" w14:textId="77777777" w:rsidTr="00CB0F8E">
        <w:trPr>
          <w:trHeight w:val="340"/>
        </w:trPr>
        <w:tc>
          <w:tcPr>
            <w:tcW w:w="2183" w:type="dxa"/>
            <w:tcBorders>
              <w:top w:val="nil"/>
              <w:left w:val="single" w:sz="12" w:space="0" w:color="auto"/>
              <w:bottom w:val="single" w:sz="12" w:space="0" w:color="auto"/>
              <w:right w:val="single" w:sz="12" w:space="0" w:color="auto"/>
            </w:tcBorders>
            <w:shd w:val="clear" w:color="auto" w:fill="auto"/>
            <w:noWrap/>
            <w:vAlign w:val="bottom"/>
            <w:hideMark/>
          </w:tcPr>
          <w:p w14:paraId="2B945CC7"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LSP-16</w:t>
            </w:r>
          </w:p>
        </w:tc>
        <w:tc>
          <w:tcPr>
            <w:tcW w:w="1223" w:type="dxa"/>
            <w:tcBorders>
              <w:top w:val="nil"/>
              <w:left w:val="nil"/>
              <w:bottom w:val="single" w:sz="12" w:space="0" w:color="auto"/>
              <w:right w:val="single" w:sz="4" w:space="0" w:color="auto"/>
            </w:tcBorders>
            <w:shd w:val="clear" w:color="auto" w:fill="auto"/>
            <w:noWrap/>
            <w:vAlign w:val="bottom"/>
            <w:hideMark/>
          </w:tcPr>
          <w:p w14:paraId="75B7FEE1" w14:textId="4A66E04F"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p>
        </w:tc>
        <w:tc>
          <w:tcPr>
            <w:tcW w:w="1130" w:type="dxa"/>
            <w:tcBorders>
              <w:top w:val="nil"/>
              <w:left w:val="nil"/>
              <w:bottom w:val="single" w:sz="12" w:space="0" w:color="auto"/>
              <w:right w:val="single" w:sz="12" w:space="0" w:color="auto"/>
            </w:tcBorders>
            <w:shd w:val="clear" w:color="auto" w:fill="auto"/>
            <w:noWrap/>
            <w:vAlign w:val="bottom"/>
            <w:hideMark/>
          </w:tcPr>
          <w:p w14:paraId="2EB9ED9C" w14:textId="67B81D59"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p>
        </w:tc>
        <w:tc>
          <w:tcPr>
            <w:tcW w:w="1224" w:type="dxa"/>
            <w:tcBorders>
              <w:top w:val="nil"/>
              <w:left w:val="nil"/>
              <w:bottom w:val="single" w:sz="12" w:space="0" w:color="auto"/>
              <w:right w:val="single" w:sz="4" w:space="0" w:color="auto"/>
            </w:tcBorders>
            <w:shd w:val="clear" w:color="auto" w:fill="auto"/>
            <w:noWrap/>
            <w:vAlign w:val="bottom"/>
            <w:hideMark/>
          </w:tcPr>
          <w:p w14:paraId="2DDD347E" w14:textId="5B8E268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c>
          <w:tcPr>
            <w:tcW w:w="1178" w:type="dxa"/>
            <w:tcBorders>
              <w:top w:val="nil"/>
              <w:left w:val="nil"/>
              <w:bottom w:val="single" w:sz="12" w:space="0" w:color="auto"/>
              <w:right w:val="single" w:sz="12" w:space="0" w:color="auto"/>
            </w:tcBorders>
            <w:shd w:val="clear" w:color="auto" w:fill="auto"/>
            <w:noWrap/>
            <w:vAlign w:val="bottom"/>
            <w:hideMark/>
          </w:tcPr>
          <w:p w14:paraId="1A338FCE" w14:textId="0FF1317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c>
          <w:tcPr>
            <w:tcW w:w="1142" w:type="dxa"/>
            <w:tcBorders>
              <w:top w:val="nil"/>
              <w:left w:val="nil"/>
              <w:bottom w:val="single" w:sz="12" w:space="0" w:color="auto"/>
              <w:right w:val="single" w:sz="4" w:space="0" w:color="auto"/>
            </w:tcBorders>
            <w:shd w:val="clear" w:color="auto" w:fill="auto"/>
            <w:noWrap/>
            <w:vAlign w:val="bottom"/>
            <w:hideMark/>
          </w:tcPr>
          <w:p w14:paraId="472096FF" w14:textId="20CB2023"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c>
          <w:tcPr>
            <w:tcW w:w="1225" w:type="dxa"/>
            <w:tcBorders>
              <w:top w:val="nil"/>
              <w:left w:val="nil"/>
              <w:bottom w:val="single" w:sz="12" w:space="0" w:color="auto"/>
              <w:right w:val="single" w:sz="12" w:space="0" w:color="auto"/>
            </w:tcBorders>
            <w:shd w:val="clear" w:color="auto" w:fill="auto"/>
            <w:noWrap/>
            <w:vAlign w:val="bottom"/>
            <w:hideMark/>
          </w:tcPr>
          <w:p w14:paraId="484D8137" w14:textId="32C91AA5"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r>
      <w:tr w:rsidR="00CB0F8E" w:rsidRPr="00F04AE5" w14:paraId="625AF619" w14:textId="77777777" w:rsidTr="00CB0F8E">
        <w:trPr>
          <w:trHeight w:val="340"/>
        </w:trPr>
        <w:tc>
          <w:tcPr>
            <w:tcW w:w="2183" w:type="dxa"/>
            <w:tcBorders>
              <w:top w:val="nil"/>
              <w:left w:val="single" w:sz="12" w:space="0" w:color="auto"/>
              <w:bottom w:val="single" w:sz="4" w:space="0" w:color="auto"/>
              <w:right w:val="single" w:sz="12" w:space="0" w:color="auto"/>
            </w:tcBorders>
            <w:shd w:val="clear" w:color="auto" w:fill="auto"/>
            <w:noWrap/>
            <w:vAlign w:val="bottom"/>
            <w:hideMark/>
          </w:tcPr>
          <w:p w14:paraId="4D404604"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Older Adults</w:t>
            </w:r>
          </w:p>
        </w:tc>
        <w:tc>
          <w:tcPr>
            <w:tcW w:w="1223" w:type="dxa"/>
            <w:tcBorders>
              <w:top w:val="nil"/>
              <w:left w:val="nil"/>
              <w:bottom w:val="single" w:sz="4" w:space="0" w:color="auto"/>
              <w:right w:val="single" w:sz="4" w:space="0" w:color="auto"/>
            </w:tcBorders>
            <w:shd w:val="clear" w:color="000000" w:fill="BFBFBF"/>
            <w:noWrap/>
            <w:vAlign w:val="bottom"/>
            <w:hideMark/>
          </w:tcPr>
          <w:p w14:paraId="35CAE018"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130" w:type="dxa"/>
            <w:tcBorders>
              <w:top w:val="nil"/>
              <w:left w:val="nil"/>
              <w:bottom w:val="single" w:sz="4" w:space="0" w:color="auto"/>
              <w:right w:val="single" w:sz="12" w:space="0" w:color="auto"/>
            </w:tcBorders>
            <w:shd w:val="clear" w:color="000000" w:fill="BFBFBF"/>
            <w:noWrap/>
            <w:vAlign w:val="bottom"/>
            <w:hideMark/>
          </w:tcPr>
          <w:p w14:paraId="4303CDFD"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224" w:type="dxa"/>
            <w:tcBorders>
              <w:top w:val="nil"/>
              <w:left w:val="nil"/>
              <w:bottom w:val="single" w:sz="4" w:space="0" w:color="auto"/>
              <w:right w:val="single" w:sz="4" w:space="0" w:color="auto"/>
            </w:tcBorders>
            <w:shd w:val="clear" w:color="000000" w:fill="BFBFBF"/>
            <w:noWrap/>
            <w:vAlign w:val="bottom"/>
            <w:hideMark/>
          </w:tcPr>
          <w:p w14:paraId="04023184"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178" w:type="dxa"/>
            <w:tcBorders>
              <w:top w:val="nil"/>
              <w:left w:val="nil"/>
              <w:bottom w:val="single" w:sz="4" w:space="0" w:color="auto"/>
              <w:right w:val="single" w:sz="12" w:space="0" w:color="auto"/>
            </w:tcBorders>
            <w:shd w:val="clear" w:color="000000" w:fill="BFBFBF"/>
            <w:noWrap/>
            <w:vAlign w:val="bottom"/>
            <w:hideMark/>
          </w:tcPr>
          <w:p w14:paraId="633236D2"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142" w:type="dxa"/>
            <w:tcBorders>
              <w:top w:val="nil"/>
              <w:left w:val="nil"/>
              <w:bottom w:val="single" w:sz="4" w:space="0" w:color="auto"/>
              <w:right w:val="single" w:sz="4" w:space="0" w:color="auto"/>
            </w:tcBorders>
            <w:shd w:val="clear" w:color="000000" w:fill="BFBFBF"/>
            <w:noWrap/>
            <w:vAlign w:val="bottom"/>
            <w:hideMark/>
          </w:tcPr>
          <w:p w14:paraId="186DF407"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c>
          <w:tcPr>
            <w:tcW w:w="1225" w:type="dxa"/>
            <w:tcBorders>
              <w:top w:val="nil"/>
              <w:left w:val="nil"/>
              <w:bottom w:val="single" w:sz="4" w:space="0" w:color="auto"/>
              <w:right w:val="single" w:sz="12" w:space="0" w:color="auto"/>
            </w:tcBorders>
            <w:shd w:val="clear" w:color="000000" w:fill="BFBFBF"/>
            <w:noWrap/>
            <w:vAlign w:val="bottom"/>
            <w:hideMark/>
          </w:tcPr>
          <w:p w14:paraId="4D376CEF" w14:textId="77777777" w:rsidR="007E79CB" w:rsidRPr="00F04AE5" w:rsidRDefault="007E79CB" w:rsidP="00FD048D">
            <w:pPr>
              <w:keepNext/>
              <w:spacing w:line="240" w:lineRule="auto"/>
              <w:jc w:val="center"/>
              <w:rPr>
                <w:rFonts w:asciiTheme="majorHAnsi" w:hAnsiTheme="majorHAnsi" w:cstheme="majorHAnsi"/>
                <w:color w:val="000000"/>
                <w:sz w:val="20"/>
                <w:szCs w:val="20"/>
              </w:rPr>
            </w:pPr>
          </w:p>
        </w:tc>
      </w:tr>
      <w:tr w:rsidR="00CB0F8E" w:rsidRPr="00F04AE5" w14:paraId="5DB02FB1" w14:textId="77777777" w:rsidTr="00CB0F8E">
        <w:trPr>
          <w:trHeight w:val="340"/>
        </w:trPr>
        <w:tc>
          <w:tcPr>
            <w:tcW w:w="2183" w:type="dxa"/>
            <w:tcBorders>
              <w:top w:val="nil"/>
              <w:left w:val="single" w:sz="12" w:space="0" w:color="auto"/>
              <w:bottom w:val="single" w:sz="4" w:space="0" w:color="auto"/>
              <w:right w:val="single" w:sz="12" w:space="0" w:color="auto"/>
            </w:tcBorders>
            <w:shd w:val="clear" w:color="auto" w:fill="auto"/>
            <w:noWrap/>
            <w:vAlign w:val="bottom"/>
            <w:hideMark/>
          </w:tcPr>
          <w:p w14:paraId="569FFECA"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HoNOS 65+</w:t>
            </w:r>
          </w:p>
        </w:tc>
        <w:tc>
          <w:tcPr>
            <w:tcW w:w="1223" w:type="dxa"/>
            <w:tcBorders>
              <w:top w:val="nil"/>
              <w:left w:val="nil"/>
              <w:bottom w:val="single" w:sz="4" w:space="0" w:color="auto"/>
              <w:right w:val="single" w:sz="4" w:space="0" w:color="auto"/>
            </w:tcBorders>
            <w:shd w:val="clear" w:color="auto" w:fill="auto"/>
            <w:noWrap/>
            <w:vAlign w:val="bottom"/>
            <w:hideMark/>
          </w:tcPr>
          <w:p w14:paraId="52FE5FD3" w14:textId="680FED5A"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30" w:type="dxa"/>
            <w:tcBorders>
              <w:top w:val="nil"/>
              <w:left w:val="nil"/>
              <w:bottom w:val="single" w:sz="4" w:space="0" w:color="auto"/>
              <w:right w:val="single" w:sz="12" w:space="0" w:color="auto"/>
            </w:tcBorders>
            <w:shd w:val="clear" w:color="auto" w:fill="auto"/>
            <w:noWrap/>
            <w:vAlign w:val="bottom"/>
            <w:hideMark/>
          </w:tcPr>
          <w:p w14:paraId="03AF16B2" w14:textId="4611857D"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224" w:type="dxa"/>
            <w:tcBorders>
              <w:top w:val="nil"/>
              <w:left w:val="nil"/>
              <w:bottom w:val="single" w:sz="4" w:space="0" w:color="auto"/>
              <w:right w:val="single" w:sz="4" w:space="0" w:color="auto"/>
            </w:tcBorders>
            <w:shd w:val="clear" w:color="auto" w:fill="auto"/>
            <w:noWrap/>
            <w:vAlign w:val="bottom"/>
            <w:hideMark/>
          </w:tcPr>
          <w:p w14:paraId="6F06537F" w14:textId="293AE68D"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78" w:type="dxa"/>
            <w:tcBorders>
              <w:top w:val="nil"/>
              <w:left w:val="nil"/>
              <w:bottom w:val="single" w:sz="4" w:space="0" w:color="auto"/>
              <w:right w:val="single" w:sz="12" w:space="0" w:color="auto"/>
            </w:tcBorders>
            <w:shd w:val="clear" w:color="auto" w:fill="auto"/>
            <w:noWrap/>
            <w:vAlign w:val="bottom"/>
            <w:hideMark/>
          </w:tcPr>
          <w:p w14:paraId="60BE2F1D" w14:textId="53AB7667"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42" w:type="dxa"/>
            <w:tcBorders>
              <w:top w:val="nil"/>
              <w:left w:val="nil"/>
              <w:bottom w:val="single" w:sz="4" w:space="0" w:color="auto"/>
              <w:right w:val="single" w:sz="4" w:space="0" w:color="auto"/>
            </w:tcBorders>
            <w:shd w:val="clear" w:color="auto" w:fill="auto"/>
            <w:noWrap/>
            <w:vAlign w:val="bottom"/>
            <w:hideMark/>
          </w:tcPr>
          <w:p w14:paraId="7B224EA9" w14:textId="73EA3CAF"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225" w:type="dxa"/>
            <w:tcBorders>
              <w:top w:val="nil"/>
              <w:left w:val="nil"/>
              <w:bottom w:val="single" w:sz="4" w:space="0" w:color="auto"/>
              <w:right w:val="single" w:sz="12" w:space="0" w:color="auto"/>
            </w:tcBorders>
            <w:shd w:val="clear" w:color="auto" w:fill="auto"/>
            <w:noWrap/>
            <w:vAlign w:val="bottom"/>
            <w:hideMark/>
          </w:tcPr>
          <w:p w14:paraId="6E30B582" w14:textId="7C26FBA8"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r>
      <w:tr w:rsidR="00CB0F8E" w:rsidRPr="00F04AE5" w14:paraId="7301B703" w14:textId="77777777" w:rsidTr="00CB0F8E">
        <w:trPr>
          <w:trHeight w:val="340"/>
        </w:trPr>
        <w:tc>
          <w:tcPr>
            <w:tcW w:w="2183" w:type="dxa"/>
            <w:tcBorders>
              <w:top w:val="nil"/>
              <w:left w:val="single" w:sz="12" w:space="0" w:color="auto"/>
              <w:bottom w:val="single" w:sz="4" w:space="0" w:color="auto"/>
              <w:right w:val="single" w:sz="12" w:space="0" w:color="auto"/>
            </w:tcBorders>
            <w:shd w:val="clear" w:color="auto" w:fill="auto"/>
            <w:noWrap/>
            <w:vAlign w:val="bottom"/>
            <w:hideMark/>
          </w:tcPr>
          <w:p w14:paraId="4B226FB1"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LSP-16</w:t>
            </w:r>
          </w:p>
        </w:tc>
        <w:tc>
          <w:tcPr>
            <w:tcW w:w="1223" w:type="dxa"/>
            <w:tcBorders>
              <w:top w:val="nil"/>
              <w:left w:val="nil"/>
              <w:bottom w:val="single" w:sz="4" w:space="0" w:color="auto"/>
              <w:right w:val="single" w:sz="4" w:space="0" w:color="auto"/>
            </w:tcBorders>
            <w:shd w:val="clear" w:color="auto" w:fill="auto"/>
            <w:noWrap/>
            <w:vAlign w:val="bottom"/>
            <w:hideMark/>
          </w:tcPr>
          <w:p w14:paraId="0323C3B4" w14:textId="7E91666C"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p>
        </w:tc>
        <w:tc>
          <w:tcPr>
            <w:tcW w:w="1130" w:type="dxa"/>
            <w:tcBorders>
              <w:top w:val="nil"/>
              <w:left w:val="nil"/>
              <w:bottom w:val="single" w:sz="4" w:space="0" w:color="auto"/>
              <w:right w:val="single" w:sz="12" w:space="0" w:color="auto"/>
            </w:tcBorders>
            <w:shd w:val="clear" w:color="auto" w:fill="auto"/>
            <w:noWrap/>
            <w:vAlign w:val="bottom"/>
            <w:hideMark/>
          </w:tcPr>
          <w:p w14:paraId="0E17812C" w14:textId="2B1329F5"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p>
        </w:tc>
        <w:tc>
          <w:tcPr>
            <w:tcW w:w="1224" w:type="dxa"/>
            <w:tcBorders>
              <w:top w:val="nil"/>
              <w:left w:val="nil"/>
              <w:bottom w:val="single" w:sz="4" w:space="0" w:color="auto"/>
              <w:right w:val="single" w:sz="4" w:space="0" w:color="auto"/>
            </w:tcBorders>
            <w:shd w:val="clear" w:color="auto" w:fill="auto"/>
            <w:noWrap/>
            <w:vAlign w:val="bottom"/>
            <w:hideMark/>
          </w:tcPr>
          <w:p w14:paraId="36C331FB" w14:textId="635ACE1C"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c>
          <w:tcPr>
            <w:tcW w:w="1178" w:type="dxa"/>
            <w:tcBorders>
              <w:top w:val="nil"/>
              <w:left w:val="nil"/>
              <w:bottom w:val="single" w:sz="4" w:space="0" w:color="auto"/>
              <w:right w:val="single" w:sz="12" w:space="0" w:color="auto"/>
            </w:tcBorders>
            <w:shd w:val="clear" w:color="auto" w:fill="auto"/>
            <w:noWrap/>
            <w:vAlign w:val="bottom"/>
            <w:hideMark/>
          </w:tcPr>
          <w:p w14:paraId="79612F1D" w14:textId="36B31B66"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c>
          <w:tcPr>
            <w:tcW w:w="1142" w:type="dxa"/>
            <w:tcBorders>
              <w:top w:val="nil"/>
              <w:left w:val="nil"/>
              <w:bottom w:val="single" w:sz="4" w:space="0" w:color="auto"/>
              <w:right w:val="single" w:sz="4" w:space="0" w:color="auto"/>
            </w:tcBorders>
            <w:shd w:val="clear" w:color="auto" w:fill="auto"/>
            <w:noWrap/>
            <w:vAlign w:val="bottom"/>
            <w:hideMark/>
          </w:tcPr>
          <w:p w14:paraId="20596FF0" w14:textId="752222EE"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c>
          <w:tcPr>
            <w:tcW w:w="1225" w:type="dxa"/>
            <w:tcBorders>
              <w:top w:val="nil"/>
              <w:left w:val="nil"/>
              <w:bottom w:val="single" w:sz="4" w:space="0" w:color="auto"/>
              <w:right w:val="single" w:sz="12" w:space="0" w:color="auto"/>
            </w:tcBorders>
            <w:shd w:val="clear" w:color="auto" w:fill="auto"/>
            <w:noWrap/>
            <w:vAlign w:val="bottom"/>
            <w:hideMark/>
          </w:tcPr>
          <w:p w14:paraId="2227FC2B" w14:textId="39A1316D"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r w:rsidRPr="00F04AE5">
              <w:rPr>
                <w:rFonts w:asciiTheme="majorHAnsi" w:hAnsiTheme="majorHAnsi" w:cstheme="majorHAnsi"/>
                <w:color w:val="000000"/>
                <w:sz w:val="20"/>
                <w:szCs w:val="20"/>
              </w:rPr>
              <w:t>*</w:t>
            </w:r>
          </w:p>
        </w:tc>
      </w:tr>
      <w:tr w:rsidR="00CB0F8E" w:rsidRPr="00F04AE5" w14:paraId="47F8E754" w14:textId="77777777" w:rsidTr="00CB0F8E">
        <w:trPr>
          <w:trHeight w:val="340"/>
        </w:trPr>
        <w:tc>
          <w:tcPr>
            <w:tcW w:w="2183" w:type="dxa"/>
            <w:tcBorders>
              <w:top w:val="nil"/>
              <w:left w:val="single" w:sz="12" w:space="0" w:color="auto"/>
              <w:bottom w:val="single" w:sz="12" w:space="0" w:color="auto"/>
              <w:right w:val="single" w:sz="12" w:space="0" w:color="auto"/>
            </w:tcBorders>
            <w:shd w:val="clear" w:color="auto" w:fill="auto"/>
            <w:noWrap/>
            <w:vAlign w:val="bottom"/>
            <w:hideMark/>
          </w:tcPr>
          <w:p w14:paraId="23D6F38A" w14:textId="77777777" w:rsidR="007E79CB" w:rsidRPr="00F04AE5" w:rsidRDefault="007E79CB" w:rsidP="00FD048D">
            <w:pPr>
              <w:keepNext/>
              <w:spacing w:line="240" w:lineRule="auto"/>
              <w:rPr>
                <w:rFonts w:asciiTheme="majorHAnsi" w:hAnsiTheme="majorHAnsi" w:cstheme="majorHAnsi"/>
                <w:color w:val="000000"/>
                <w:sz w:val="20"/>
                <w:szCs w:val="20"/>
              </w:rPr>
            </w:pPr>
            <w:r w:rsidRPr="00F04AE5">
              <w:rPr>
                <w:rFonts w:asciiTheme="majorHAnsi" w:hAnsiTheme="majorHAnsi" w:cstheme="majorHAnsi"/>
                <w:color w:val="000000"/>
                <w:sz w:val="20"/>
                <w:szCs w:val="20"/>
              </w:rPr>
              <w:t>RUG-ADL</w:t>
            </w:r>
          </w:p>
        </w:tc>
        <w:tc>
          <w:tcPr>
            <w:tcW w:w="1223" w:type="dxa"/>
            <w:tcBorders>
              <w:top w:val="nil"/>
              <w:left w:val="nil"/>
              <w:bottom w:val="single" w:sz="12" w:space="0" w:color="auto"/>
              <w:right w:val="single" w:sz="4" w:space="0" w:color="auto"/>
            </w:tcBorders>
            <w:shd w:val="clear" w:color="auto" w:fill="auto"/>
            <w:noWrap/>
            <w:vAlign w:val="bottom"/>
            <w:hideMark/>
          </w:tcPr>
          <w:p w14:paraId="0849BBF2" w14:textId="77F1EE6C"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130" w:type="dxa"/>
            <w:tcBorders>
              <w:top w:val="nil"/>
              <w:left w:val="nil"/>
              <w:bottom w:val="single" w:sz="12" w:space="0" w:color="auto"/>
              <w:right w:val="single" w:sz="12" w:space="0" w:color="auto"/>
            </w:tcBorders>
            <w:shd w:val="clear" w:color="auto" w:fill="auto"/>
            <w:noWrap/>
            <w:vAlign w:val="bottom"/>
            <w:hideMark/>
          </w:tcPr>
          <w:p w14:paraId="0FBBD8FB" w14:textId="17549E8C"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224" w:type="dxa"/>
            <w:tcBorders>
              <w:top w:val="nil"/>
              <w:left w:val="nil"/>
              <w:bottom w:val="single" w:sz="12" w:space="0" w:color="auto"/>
              <w:right w:val="single" w:sz="4" w:space="0" w:color="auto"/>
            </w:tcBorders>
            <w:shd w:val="clear" w:color="auto" w:fill="auto"/>
            <w:noWrap/>
            <w:vAlign w:val="bottom"/>
            <w:hideMark/>
          </w:tcPr>
          <w:p w14:paraId="347FD326" w14:textId="24531756"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p>
        </w:tc>
        <w:tc>
          <w:tcPr>
            <w:tcW w:w="1178" w:type="dxa"/>
            <w:tcBorders>
              <w:top w:val="nil"/>
              <w:left w:val="nil"/>
              <w:bottom w:val="single" w:sz="12" w:space="0" w:color="auto"/>
              <w:right w:val="single" w:sz="12" w:space="0" w:color="auto"/>
            </w:tcBorders>
            <w:shd w:val="clear" w:color="auto" w:fill="auto"/>
            <w:noWrap/>
            <w:vAlign w:val="bottom"/>
            <w:hideMark/>
          </w:tcPr>
          <w:p w14:paraId="26D43AF6" w14:textId="22B2F3BE"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B"/>
            </w:r>
          </w:p>
        </w:tc>
        <w:tc>
          <w:tcPr>
            <w:tcW w:w="1142" w:type="dxa"/>
            <w:tcBorders>
              <w:top w:val="nil"/>
              <w:left w:val="nil"/>
              <w:bottom w:val="single" w:sz="12" w:space="0" w:color="auto"/>
              <w:right w:val="single" w:sz="4" w:space="0" w:color="auto"/>
            </w:tcBorders>
            <w:shd w:val="clear" w:color="auto" w:fill="auto"/>
            <w:noWrap/>
            <w:vAlign w:val="bottom"/>
            <w:hideMark/>
          </w:tcPr>
          <w:p w14:paraId="36E6C742" w14:textId="463D8E06"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c>
          <w:tcPr>
            <w:tcW w:w="1225" w:type="dxa"/>
            <w:tcBorders>
              <w:top w:val="nil"/>
              <w:left w:val="nil"/>
              <w:bottom w:val="single" w:sz="12" w:space="0" w:color="auto"/>
              <w:right w:val="single" w:sz="12" w:space="0" w:color="auto"/>
            </w:tcBorders>
            <w:shd w:val="clear" w:color="auto" w:fill="auto"/>
            <w:noWrap/>
            <w:vAlign w:val="bottom"/>
            <w:hideMark/>
          </w:tcPr>
          <w:p w14:paraId="4E770B4A" w14:textId="427E5964" w:rsidR="007E79CB" w:rsidRPr="00F04AE5" w:rsidRDefault="007E79CB" w:rsidP="00FD048D">
            <w:pPr>
              <w:keepNext/>
              <w:spacing w:line="240" w:lineRule="auto"/>
              <w:jc w:val="center"/>
              <w:rPr>
                <w:rFonts w:asciiTheme="majorHAnsi" w:hAnsiTheme="majorHAnsi" w:cstheme="majorHAnsi"/>
                <w:color w:val="000000"/>
                <w:sz w:val="20"/>
                <w:szCs w:val="20"/>
              </w:rPr>
            </w:pPr>
            <w:r w:rsidRPr="00F04AE5">
              <w:rPr>
                <w:rFonts w:asciiTheme="majorHAnsi" w:hAnsiTheme="majorHAnsi" w:cstheme="majorHAnsi"/>
                <w:color w:val="000000"/>
                <w:sz w:val="20"/>
                <w:szCs w:val="20"/>
              </w:rPr>
              <w:sym w:font="Wingdings" w:char="F0FC"/>
            </w:r>
          </w:p>
        </w:tc>
      </w:tr>
      <w:tr w:rsidR="007E79CB" w:rsidRPr="00F04AE5" w14:paraId="5A7D065F" w14:textId="77777777" w:rsidTr="00CB0F8E">
        <w:trPr>
          <w:trHeight w:val="604"/>
        </w:trPr>
        <w:tc>
          <w:tcPr>
            <w:tcW w:w="9305" w:type="dxa"/>
            <w:gridSpan w:val="7"/>
            <w:tcBorders>
              <w:top w:val="single" w:sz="12" w:space="0" w:color="auto"/>
              <w:left w:val="single" w:sz="12" w:space="0" w:color="auto"/>
              <w:bottom w:val="nil"/>
              <w:right w:val="single" w:sz="12" w:space="0" w:color="auto"/>
            </w:tcBorders>
            <w:shd w:val="clear" w:color="auto" w:fill="auto"/>
            <w:noWrap/>
            <w:vAlign w:val="bottom"/>
            <w:hideMark/>
          </w:tcPr>
          <w:p w14:paraId="32CF6C5D" w14:textId="596CDACB" w:rsidR="007E79CB" w:rsidRPr="00E66A2D" w:rsidRDefault="007E79CB" w:rsidP="00FD048D">
            <w:pPr>
              <w:keepNext/>
              <w:spacing w:before="0" w:line="240" w:lineRule="auto"/>
              <w:rPr>
                <w:rFonts w:asciiTheme="minorHAnsi" w:hAnsiTheme="minorHAnsi" w:cstheme="minorHAnsi"/>
                <w:color w:val="000000"/>
                <w:sz w:val="20"/>
                <w:szCs w:val="20"/>
              </w:rPr>
            </w:pPr>
            <w:r w:rsidRPr="00E66A2D">
              <w:rPr>
                <w:rFonts w:asciiTheme="minorHAnsi" w:hAnsiTheme="minorHAnsi" w:cstheme="minorHAnsi"/>
                <w:color w:val="000000"/>
                <w:sz w:val="20"/>
                <w:szCs w:val="20"/>
              </w:rPr>
              <w:sym w:font="Wingdings" w:char="F0FB"/>
            </w:r>
            <w:r w:rsidRPr="00E66A2D">
              <w:rPr>
                <w:rFonts w:asciiTheme="minorHAnsi" w:hAnsiTheme="minorHAnsi" w:cstheme="minorHAnsi"/>
                <w:color w:val="000000"/>
                <w:sz w:val="20"/>
                <w:szCs w:val="20"/>
              </w:rPr>
              <w:t>* The FIHS is reported at the start of the second and subsequent phases within an episode. If an episode only has one phase, then the FIHS is reported at the end of the phase.</w:t>
            </w:r>
          </w:p>
        </w:tc>
      </w:tr>
      <w:tr w:rsidR="007E79CB" w:rsidRPr="00F04AE5" w14:paraId="50453A68" w14:textId="77777777" w:rsidTr="00CB0F8E">
        <w:trPr>
          <w:trHeight w:val="284"/>
        </w:trPr>
        <w:tc>
          <w:tcPr>
            <w:tcW w:w="9305" w:type="dxa"/>
            <w:gridSpan w:val="7"/>
            <w:tcBorders>
              <w:left w:val="single" w:sz="12" w:space="0" w:color="auto"/>
              <w:bottom w:val="single" w:sz="12" w:space="0" w:color="auto"/>
              <w:right w:val="single" w:sz="12" w:space="0" w:color="auto"/>
            </w:tcBorders>
            <w:shd w:val="clear" w:color="auto" w:fill="auto"/>
            <w:noWrap/>
            <w:vAlign w:val="bottom"/>
            <w:hideMark/>
          </w:tcPr>
          <w:p w14:paraId="096A5B82" w14:textId="15C99B01" w:rsidR="007E79CB" w:rsidRPr="00E66A2D" w:rsidRDefault="007E79CB" w:rsidP="006C1407">
            <w:pPr>
              <w:keepNext/>
              <w:spacing w:before="0" w:line="240" w:lineRule="auto"/>
              <w:rPr>
                <w:rFonts w:asciiTheme="minorHAnsi" w:hAnsiTheme="minorHAnsi" w:cstheme="minorHAnsi"/>
                <w:color w:val="000000"/>
                <w:sz w:val="20"/>
                <w:szCs w:val="20"/>
              </w:rPr>
            </w:pPr>
            <w:r w:rsidRPr="00E66A2D">
              <w:rPr>
                <w:rFonts w:asciiTheme="minorHAnsi" w:hAnsiTheme="minorHAnsi" w:cstheme="minorHAnsi"/>
                <w:color w:val="000000"/>
                <w:sz w:val="20"/>
                <w:szCs w:val="20"/>
              </w:rPr>
              <w:sym w:font="Wingdings" w:char="F0FC"/>
            </w:r>
            <w:r w:rsidRPr="00E66A2D">
              <w:rPr>
                <w:rFonts w:asciiTheme="minorHAnsi" w:hAnsiTheme="minorHAnsi" w:cstheme="minorHAnsi"/>
                <w:color w:val="000000"/>
                <w:sz w:val="20"/>
                <w:szCs w:val="20"/>
              </w:rPr>
              <w:t>* The LSP-16 is assessed and reported at the start of the first phase. If an episode is longer than 3 months, th</w:t>
            </w:r>
            <w:r w:rsidR="00C83C32" w:rsidRPr="00E66A2D">
              <w:rPr>
                <w:rFonts w:asciiTheme="minorHAnsi" w:hAnsiTheme="minorHAnsi" w:cstheme="minorHAnsi"/>
                <w:color w:val="000000"/>
                <w:sz w:val="20"/>
                <w:szCs w:val="20"/>
              </w:rPr>
              <w:t>e</w:t>
            </w:r>
            <w:r w:rsidRPr="00E66A2D">
              <w:rPr>
                <w:rFonts w:asciiTheme="minorHAnsi" w:hAnsiTheme="minorHAnsi" w:cstheme="minorHAnsi"/>
                <w:color w:val="000000"/>
                <w:sz w:val="20"/>
                <w:szCs w:val="20"/>
              </w:rPr>
              <w:t>n the LSP-16 score from the initial assessment is reported at the start of each new phase, however will not need to be re</w:t>
            </w:r>
            <w:r w:rsidRPr="00E66A2D">
              <w:rPr>
                <w:rFonts w:asciiTheme="minorHAnsi" w:hAnsiTheme="minorHAnsi" w:cstheme="minorHAnsi"/>
                <w:color w:val="000000"/>
                <w:sz w:val="20"/>
                <w:szCs w:val="20"/>
              </w:rPr>
              <w:noBreakHyphen/>
              <w:t>assessed until the next new phase that falls after the 3 month period.</w:t>
            </w:r>
          </w:p>
        </w:tc>
      </w:tr>
    </w:tbl>
    <w:p w14:paraId="13F1B004" w14:textId="65DEE806" w:rsidR="007E79CB" w:rsidRPr="00F04AE5" w:rsidRDefault="006C0345" w:rsidP="007E79CB">
      <w:pPr>
        <w:spacing w:before="200"/>
        <w:rPr>
          <w:lang w:val="en-US"/>
        </w:rPr>
      </w:pPr>
      <w:r>
        <w:rPr>
          <w:lang w:val="en-US"/>
        </w:rPr>
        <w:t>In the ambulatory setting, specific data elements are required for co</w:t>
      </w:r>
      <w:r w:rsidR="001818E3">
        <w:rPr>
          <w:lang w:val="en-US"/>
        </w:rPr>
        <w:t>llection for each service event</w:t>
      </w:r>
      <w:r w:rsidR="007E79CB" w:rsidRPr="00F04AE5">
        <w:rPr>
          <w:lang w:val="en-US"/>
        </w:rPr>
        <w:t>. These data elements include:</w:t>
      </w:r>
    </w:p>
    <w:p w14:paraId="39FA4732" w14:textId="1E7F595D" w:rsidR="007E79CB" w:rsidRPr="00F04AE5" w:rsidRDefault="00085557" w:rsidP="00F97AE5">
      <w:pPr>
        <w:pStyle w:val="ListParagraph"/>
        <w:numPr>
          <w:ilvl w:val="0"/>
          <w:numId w:val="17"/>
        </w:numPr>
        <w:spacing w:before="0" w:after="200" w:line="276" w:lineRule="auto"/>
        <w:contextualSpacing/>
        <w:rPr>
          <w:lang w:val="en-US"/>
        </w:rPr>
      </w:pPr>
      <w:r>
        <w:rPr>
          <w:lang w:val="en-US"/>
        </w:rPr>
        <w:t>s</w:t>
      </w:r>
      <w:r w:rsidR="007E79CB" w:rsidRPr="00F04AE5">
        <w:rPr>
          <w:lang w:val="en-US"/>
        </w:rPr>
        <w:t>ervice contact date</w:t>
      </w:r>
    </w:p>
    <w:p w14:paraId="518A166A" w14:textId="2316EA32" w:rsidR="007E79CB" w:rsidRPr="00F04AE5" w:rsidRDefault="00085557" w:rsidP="00F97AE5">
      <w:pPr>
        <w:pStyle w:val="ListParagraph"/>
        <w:numPr>
          <w:ilvl w:val="0"/>
          <w:numId w:val="17"/>
        </w:numPr>
        <w:spacing w:before="0" w:after="200" w:line="276" w:lineRule="auto"/>
        <w:contextualSpacing/>
        <w:rPr>
          <w:lang w:val="en-US"/>
        </w:rPr>
      </w:pPr>
      <w:r>
        <w:rPr>
          <w:lang w:val="en-US"/>
        </w:rPr>
        <w:t>p</w:t>
      </w:r>
      <w:r w:rsidR="007E79CB" w:rsidRPr="00F04AE5">
        <w:rPr>
          <w:lang w:val="en-US"/>
        </w:rPr>
        <w:t>atient/client participation indicator</w:t>
      </w:r>
    </w:p>
    <w:p w14:paraId="398AC4C3" w14:textId="23316367" w:rsidR="007E79CB" w:rsidRPr="00F04AE5" w:rsidRDefault="00085557" w:rsidP="00F97AE5">
      <w:pPr>
        <w:pStyle w:val="ListParagraph"/>
        <w:numPr>
          <w:ilvl w:val="0"/>
          <w:numId w:val="17"/>
        </w:numPr>
        <w:spacing w:before="0" w:after="200" w:line="276" w:lineRule="auto"/>
        <w:contextualSpacing/>
        <w:rPr>
          <w:lang w:val="en-US"/>
        </w:rPr>
      </w:pPr>
      <w:r>
        <w:rPr>
          <w:lang w:val="en-US"/>
        </w:rPr>
        <w:t>g</w:t>
      </w:r>
      <w:r w:rsidR="007E79CB" w:rsidRPr="00F04AE5">
        <w:rPr>
          <w:lang w:val="en-US"/>
        </w:rPr>
        <w:t>roup session status</w:t>
      </w:r>
    </w:p>
    <w:p w14:paraId="0BE471B5" w14:textId="4D838DFE" w:rsidR="006C1407" w:rsidRDefault="00085557" w:rsidP="00F97AE5">
      <w:pPr>
        <w:pStyle w:val="ListParagraph"/>
        <w:numPr>
          <w:ilvl w:val="0"/>
          <w:numId w:val="17"/>
        </w:numPr>
        <w:spacing w:before="0" w:after="200" w:line="276" w:lineRule="auto"/>
        <w:contextualSpacing/>
        <w:rPr>
          <w:lang w:val="en-US"/>
        </w:rPr>
      </w:pPr>
      <w:r>
        <w:rPr>
          <w:lang w:val="en-US"/>
        </w:rPr>
        <w:t>p</w:t>
      </w:r>
      <w:r w:rsidR="007E79CB" w:rsidRPr="00F04AE5">
        <w:rPr>
          <w:lang w:val="en-US"/>
        </w:rPr>
        <w:t>atient episode setting</w:t>
      </w:r>
    </w:p>
    <w:p w14:paraId="1BAB4808" w14:textId="7724D4B6" w:rsidR="007E79CB" w:rsidRPr="00F04AE5" w:rsidRDefault="00085557" w:rsidP="00F97AE5">
      <w:pPr>
        <w:pStyle w:val="ListParagraph"/>
        <w:numPr>
          <w:ilvl w:val="0"/>
          <w:numId w:val="17"/>
        </w:numPr>
        <w:spacing w:before="0" w:after="200" w:line="276" w:lineRule="auto"/>
        <w:contextualSpacing/>
        <w:rPr>
          <w:lang w:val="en-US"/>
        </w:rPr>
      </w:pPr>
      <w:r>
        <w:rPr>
          <w:lang w:val="en-US"/>
        </w:rPr>
        <w:t>s</w:t>
      </w:r>
      <w:r w:rsidR="006C1407">
        <w:rPr>
          <w:lang w:val="en-US"/>
        </w:rPr>
        <w:t>ervice duration, total minutes</w:t>
      </w:r>
      <w:r w:rsidR="00942F5C" w:rsidRPr="00F04AE5">
        <w:rPr>
          <w:lang w:val="en-US"/>
        </w:rPr>
        <w:t>.</w:t>
      </w:r>
    </w:p>
    <w:p w14:paraId="14F7108F" w14:textId="77777777" w:rsidR="007E79CB" w:rsidRPr="00F04AE5" w:rsidRDefault="007E79CB" w:rsidP="007E79CB">
      <w:pPr>
        <w:pStyle w:val="Heading2"/>
        <w:rPr>
          <w:lang w:val="en-US"/>
        </w:rPr>
      </w:pPr>
      <w:r w:rsidRPr="00F04AE5">
        <w:rPr>
          <w:lang w:val="en-US"/>
        </w:rPr>
        <w:lastRenderedPageBreak/>
        <w:t>Further information</w:t>
      </w:r>
    </w:p>
    <w:p w14:paraId="6542F385" w14:textId="68E5A164" w:rsidR="007E79CB" w:rsidRPr="00F04AE5" w:rsidRDefault="007E79CB" w:rsidP="007E79CB">
      <w:pPr>
        <w:pStyle w:val="Heading3"/>
        <w:rPr>
          <w:lang w:val="en-US"/>
        </w:rPr>
      </w:pPr>
      <w:r w:rsidRPr="00F04AE5">
        <w:rPr>
          <w:lang w:val="en-US"/>
        </w:rPr>
        <w:t xml:space="preserve">ABF MHC NBEDS </w:t>
      </w:r>
      <w:r w:rsidR="0094452A">
        <w:rPr>
          <w:lang w:val="en-US"/>
        </w:rPr>
        <w:t>2020-21</w:t>
      </w:r>
    </w:p>
    <w:p w14:paraId="548530A6" w14:textId="5DC8CC82" w:rsidR="007E79CB" w:rsidRPr="00F04AE5" w:rsidRDefault="007E79CB" w:rsidP="007E79CB">
      <w:pPr>
        <w:keepNext/>
        <w:rPr>
          <w:lang w:val="en-US"/>
        </w:rPr>
      </w:pPr>
      <w:r w:rsidRPr="00F04AE5">
        <w:rPr>
          <w:lang w:val="en-US"/>
        </w:rPr>
        <w:t xml:space="preserve">The complete NBEDS and associated metadata is available on METeOR via the following link: </w:t>
      </w:r>
      <w:hyperlink r:id="rId14" w:history="1">
        <w:r w:rsidRPr="002516EE">
          <w:rPr>
            <w:rStyle w:val="Hyperlink"/>
            <w:lang w:val="en-US"/>
          </w:rPr>
          <w:t>http://meteor.aihw.gov.au/content/index.phtml/itemId/</w:t>
        </w:r>
      </w:hyperlink>
      <w:r w:rsidR="005228E3">
        <w:rPr>
          <w:rStyle w:val="Hyperlink"/>
          <w:lang w:val="en-US"/>
        </w:rPr>
        <w:t>715671</w:t>
      </w:r>
    </w:p>
    <w:p w14:paraId="14A82966" w14:textId="53B8C792" w:rsidR="007E79CB" w:rsidRPr="00F04AE5" w:rsidRDefault="0094452A" w:rsidP="007E79CB">
      <w:pPr>
        <w:pStyle w:val="Heading3"/>
        <w:rPr>
          <w:lang w:val="en-US"/>
        </w:rPr>
      </w:pPr>
      <w:r>
        <w:rPr>
          <w:lang w:val="en-US"/>
        </w:rPr>
        <w:t>ABF MHC NBEDS 2020-21</w:t>
      </w:r>
      <w:r w:rsidR="007E79CB" w:rsidRPr="00F04AE5">
        <w:rPr>
          <w:lang w:val="en-US"/>
        </w:rPr>
        <w:t xml:space="preserve"> Technical Specifications for Reporting</w:t>
      </w:r>
    </w:p>
    <w:p w14:paraId="1248E069" w14:textId="6D829504" w:rsidR="007E79CB" w:rsidRPr="00F04AE5" w:rsidRDefault="007E79CB" w:rsidP="007E79CB">
      <w:pPr>
        <w:keepNext/>
        <w:rPr>
          <w:lang w:val="en-US"/>
        </w:rPr>
      </w:pPr>
      <w:r w:rsidRPr="00F04AE5">
        <w:rPr>
          <w:lang w:val="en-US"/>
        </w:rPr>
        <w:t xml:space="preserve">The Technical Specifications </w:t>
      </w:r>
      <w:r w:rsidR="00942F5C" w:rsidRPr="00F04AE5">
        <w:rPr>
          <w:lang w:val="en-US"/>
        </w:rPr>
        <w:t xml:space="preserve">for Reporting </w:t>
      </w:r>
      <w:r w:rsidRPr="00F04AE5">
        <w:rPr>
          <w:lang w:val="en-US"/>
        </w:rPr>
        <w:t xml:space="preserve">are a companion document to the NBEDS which outlines the reporting requirements for the provision of data against the ABF MHC NBEDS </w:t>
      </w:r>
      <w:r w:rsidR="002E3729">
        <w:rPr>
          <w:lang w:val="en-US"/>
        </w:rPr>
        <w:t>20</w:t>
      </w:r>
      <w:r w:rsidR="0039770E">
        <w:rPr>
          <w:lang w:val="en-US"/>
        </w:rPr>
        <w:t>20</w:t>
      </w:r>
      <w:r w:rsidR="002E3729">
        <w:rPr>
          <w:lang w:val="en-US"/>
        </w:rPr>
        <w:t>-2</w:t>
      </w:r>
      <w:r w:rsidR="0039770E">
        <w:rPr>
          <w:lang w:val="en-US"/>
        </w:rPr>
        <w:t>1</w:t>
      </w:r>
      <w:r w:rsidRPr="00F04AE5">
        <w:rPr>
          <w:lang w:val="en-US"/>
        </w:rPr>
        <w:t xml:space="preserve"> by state and territory governments. This document provides details about the:</w:t>
      </w:r>
    </w:p>
    <w:p w14:paraId="10D5D205" w14:textId="421FB1BA" w:rsidR="007E79CB" w:rsidRPr="00F04AE5" w:rsidRDefault="00DB3614" w:rsidP="00F97AE5">
      <w:pPr>
        <w:pStyle w:val="ListParagraph"/>
        <w:keepNext/>
        <w:numPr>
          <w:ilvl w:val="0"/>
          <w:numId w:val="20"/>
        </w:numPr>
        <w:spacing w:before="0" w:after="200" w:line="276" w:lineRule="auto"/>
        <w:ind w:left="714" w:hanging="357"/>
        <w:contextualSpacing/>
        <w:rPr>
          <w:lang w:val="en-US"/>
        </w:rPr>
      </w:pPr>
      <w:r>
        <w:rPr>
          <w:lang w:val="en-US"/>
        </w:rPr>
        <w:t>c</w:t>
      </w:r>
      <w:r w:rsidR="007E79CB" w:rsidRPr="00F04AE5">
        <w:rPr>
          <w:lang w:val="en-US"/>
        </w:rPr>
        <w:t xml:space="preserve">ontent and key concepts included in the ABF MHC NBEDS </w:t>
      </w:r>
      <w:r w:rsidR="002E3729">
        <w:rPr>
          <w:lang w:val="en-US"/>
        </w:rPr>
        <w:t>20</w:t>
      </w:r>
      <w:r w:rsidR="0039770E">
        <w:rPr>
          <w:lang w:val="en-US"/>
        </w:rPr>
        <w:t>20</w:t>
      </w:r>
      <w:r w:rsidR="002E3729">
        <w:rPr>
          <w:lang w:val="en-US"/>
        </w:rPr>
        <w:t>-2</w:t>
      </w:r>
      <w:r w:rsidR="0039770E">
        <w:rPr>
          <w:lang w:val="en-US"/>
        </w:rPr>
        <w:t>1</w:t>
      </w:r>
    </w:p>
    <w:p w14:paraId="75E6D44B" w14:textId="51F7B55F" w:rsidR="007E79CB" w:rsidRPr="00F04AE5" w:rsidRDefault="00DB3614" w:rsidP="00F97AE5">
      <w:pPr>
        <w:pStyle w:val="ListParagraph"/>
        <w:keepNext/>
        <w:numPr>
          <w:ilvl w:val="0"/>
          <w:numId w:val="20"/>
        </w:numPr>
        <w:spacing w:before="0" w:after="200" w:line="276" w:lineRule="auto"/>
        <w:ind w:left="714" w:hanging="357"/>
        <w:contextualSpacing/>
        <w:rPr>
          <w:lang w:val="en-US"/>
        </w:rPr>
      </w:pPr>
      <w:r>
        <w:rPr>
          <w:lang w:val="en-US"/>
        </w:rPr>
        <w:t>b</w:t>
      </w:r>
      <w:r w:rsidR="007E79CB" w:rsidRPr="00F04AE5">
        <w:rPr>
          <w:lang w:val="en-US"/>
        </w:rPr>
        <w:t>usiness rules relating to the reporting of the data items</w:t>
      </w:r>
    </w:p>
    <w:p w14:paraId="336B3037" w14:textId="751CF9CF" w:rsidR="007E79CB" w:rsidRPr="00F04AE5" w:rsidRDefault="00DB3614" w:rsidP="00F97AE5">
      <w:pPr>
        <w:pStyle w:val="ListParagraph"/>
        <w:keepNext/>
        <w:numPr>
          <w:ilvl w:val="0"/>
          <w:numId w:val="20"/>
        </w:numPr>
        <w:spacing w:before="0" w:after="200" w:line="276" w:lineRule="auto"/>
        <w:ind w:left="714" w:hanging="357"/>
        <w:contextualSpacing/>
        <w:rPr>
          <w:lang w:val="en-US"/>
        </w:rPr>
      </w:pPr>
      <w:r>
        <w:rPr>
          <w:lang w:val="en-US"/>
        </w:rPr>
        <w:t>f</w:t>
      </w:r>
      <w:r w:rsidR="007E79CB" w:rsidRPr="00F04AE5">
        <w:rPr>
          <w:lang w:val="en-US"/>
        </w:rPr>
        <w:t xml:space="preserve">requently asked questions relating to the ABF MHC NBEDS </w:t>
      </w:r>
      <w:r w:rsidR="002E3729">
        <w:rPr>
          <w:lang w:val="en-US"/>
        </w:rPr>
        <w:t>20</w:t>
      </w:r>
      <w:r w:rsidR="0039770E">
        <w:rPr>
          <w:lang w:val="en-US"/>
        </w:rPr>
        <w:t>20</w:t>
      </w:r>
      <w:r w:rsidR="002E3729">
        <w:rPr>
          <w:lang w:val="en-US"/>
        </w:rPr>
        <w:t>-2</w:t>
      </w:r>
      <w:r w:rsidR="0039770E">
        <w:rPr>
          <w:lang w:val="en-US"/>
        </w:rPr>
        <w:t>1</w:t>
      </w:r>
      <w:r w:rsidR="007E79CB" w:rsidRPr="00F04AE5">
        <w:rPr>
          <w:lang w:val="en-US"/>
        </w:rPr>
        <w:t>.</w:t>
      </w:r>
    </w:p>
    <w:p w14:paraId="32258845" w14:textId="4A877812" w:rsidR="007E79CB" w:rsidRPr="00F04AE5" w:rsidRDefault="007E79CB" w:rsidP="007E79CB">
      <w:pPr>
        <w:keepNext/>
        <w:rPr>
          <w:lang w:val="en-US"/>
        </w:rPr>
      </w:pPr>
      <w:r w:rsidRPr="00487411">
        <w:rPr>
          <w:lang w:val="en-US"/>
        </w:rPr>
        <w:t xml:space="preserve">The </w:t>
      </w:r>
      <w:hyperlink r:id="rId15" w:history="1">
        <w:r w:rsidRPr="00060F70">
          <w:rPr>
            <w:rStyle w:val="Hyperlink"/>
            <w:lang w:val="en-US"/>
          </w:rPr>
          <w:t>Technical Specifications</w:t>
        </w:r>
      </w:hyperlink>
      <w:r w:rsidRPr="00487411">
        <w:rPr>
          <w:lang w:val="en-US"/>
        </w:rPr>
        <w:t xml:space="preserve"> </w:t>
      </w:r>
      <w:r w:rsidR="00942F5C" w:rsidRPr="00487411">
        <w:rPr>
          <w:lang w:val="en-US"/>
        </w:rPr>
        <w:t xml:space="preserve">for Reporting </w:t>
      </w:r>
      <w:r w:rsidRPr="00487411">
        <w:rPr>
          <w:lang w:val="en-US"/>
        </w:rPr>
        <w:t>are available on IHPA’s website.</w:t>
      </w:r>
    </w:p>
    <w:p w14:paraId="6FE6B619" w14:textId="41401411" w:rsidR="007E79CB" w:rsidRPr="00F04AE5" w:rsidRDefault="007E79CB" w:rsidP="007E79CB">
      <w:pPr>
        <w:pStyle w:val="Heading3"/>
        <w:rPr>
          <w:lang w:val="en-US"/>
        </w:rPr>
      </w:pPr>
      <w:r w:rsidRPr="00F04AE5">
        <w:rPr>
          <w:lang w:val="en-US"/>
        </w:rPr>
        <w:t xml:space="preserve">ABF MHC NBEDS </w:t>
      </w:r>
      <w:r w:rsidR="002E3729">
        <w:rPr>
          <w:lang w:val="en-US"/>
        </w:rPr>
        <w:t>20</w:t>
      </w:r>
      <w:r w:rsidR="0039770E">
        <w:rPr>
          <w:lang w:val="en-US"/>
        </w:rPr>
        <w:t>20</w:t>
      </w:r>
      <w:r w:rsidR="002E3729">
        <w:rPr>
          <w:lang w:val="en-US"/>
        </w:rPr>
        <w:t>-2</w:t>
      </w:r>
      <w:r w:rsidR="0039770E">
        <w:rPr>
          <w:lang w:val="en-US"/>
        </w:rPr>
        <w:t>1</w:t>
      </w:r>
      <w:r w:rsidRPr="00F04AE5">
        <w:rPr>
          <w:lang w:val="en-US"/>
        </w:rPr>
        <w:t xml:space="preserve"> data request specifications</w:t>
      </w:r>
    </w:p>
    <w:p w14:paraId="00E4D3EC" w14:textId="7DB45052" w:rsidR="007E79CB" w:rsidRPr="00F04AE5" w:rsidRDefault="007E79CB" w:rsidP="007E79CB">
      <w:pPr>
        <w:keepNext/>
        <w:rPr>
          <w:lang w:val="en-US"/>
        </w:rPr>
      </w:pPr>
      <w:r w:rsidRPr="00F04AE5">
        <w:rPr>
          <w:lang w:val="en-US"/>
        </w:rPr>
        <w:t xml:space="preserve">The data request specifications (DRS) outline the technical requirements for data submission, </w:t>
      </w:r>
      <w:r w:rsidR="00942F5C" w:rsidRPr="00F04AE5">
        <w:rPr>
          <w:lang w:val="en-US"/>
        </w:rPr>
        <w:t>including</w:t>
      </w:r>
      <w:r w:rsidRPr="00F04AE5">
        <w:rPr>
          <w:lang w:val="en-US"/>
        </w:rPr>
        <w:t>:</w:t>
      </w:r>
    </w:p>
    <w:p w14:paraId="40A79FDF" w14:textId="77777777" w:rsidR="007149D4" w:rsidRDefault="00DB3614" w:rsidP="007149D4">
      <w:pPr>
        <w:pStyle w:val="ListParagraph"/>
        <w:keepNext/>
        <w:numPr>
          <w:ilvl w:val="0"/>
          <w:numId w:val="19"/>
        </w:numPr>
        <w:spacing w:before="0" w:after="200" w:line="276" w:lineRule="auto"/>
        <w:ind w:left="714" w:hanging="357"/>
        <w:contextualSpacing/>
        <w:rPr>
          <w:lang w:val="en-US"/>
        </w:rPr>
      </w:pPr>
      <w:r>
        <w:rPr>
          <w:lang w:val="en-US"/>
        </w:rPr>
        <w:t>t</w:t>
      </w:r>
      <w:r w:rsidR="007E79CB" w:rsidRPr="00F04AE5">
        <w:rPr>
          <w:lang w:val="en-US"/>
        </w:rPr>
        <w:t>he format of the data submission file</w:t>
      </w:r>
    </w:p>
    <w:p w14:paraId="2EFA7BDC" w14:textId="6ED6C745" w:rsidR="007E79CB" w:rsidRPr="007149D4" w:rsidRDefault="00DB3614" w:rsidP="007149D4">
      <w:pPr>
        <w:pStyle w:val="ListParagraph"/>
        <w:keepNext/>
        <w:numPr>
          <w:ilvl w:val="0"/>
          <w:numId w:val="19"/>
        </w:numPr>
        <w:spacing w:before="0" w:after="200" w:line="276" w:lineRule="auto"/>
        <w:ind w:left="714" w:hanging="357"/>
        <w:contextualSpacing/>
        <w:rPr>
          <w:lang w:val="en-US"/>
        </w:rPr>
      </w:pPr>
      <w:r w:rsidRPr="007149D4">
        <w:rPr>
          <w:lang w:val="en-US"/>
        </w:rPr>
        <w:t>a</w:t>
      </w:r>
      <w:r w:rsidR="007E79CB" w:rsidRPr="007149D4">
        <w:rPr>
          <w:lang w:val="en-US"/>
        </w:rPr>
        <w:t>cceptable data values</w:t>
      </w:r>
    </w:p>
    <w:p w14:paraId="5A6E7825" w14:textId="4D06B670" w:rsidR="007E79CB" w:rsidRPr="00F04AE5" w:rsidRDefault="00DB3614" w:rsidP="00F97AE5">
      <w:pPr>
        <w:pStyle w:val="ListParagraph"/>
        <w:keepNext/>
        <w:numPr>
          <w:ilvl w:val="0"/>
          <w:numId w:val="19"/>
        </w:numPr>
        <w:spacing w:before="0" w:after="200" w:line="276" w:lineRule="auto"/>
        <w:contextualSpacing/>
        <w:rPr>
          <w:lang w:val="en-US"/>
        </w:rPr>
      </w:pPr>
      <w:r>
        <w:rPr>
          <w:lang w:val="en-US"/>
        </w:rPr>
        <w:t>d</w:t>
      </w:r>
      <w:r w:rsidR="007E79CB" w:rsidRPr="00F04AE5">
        <w:rPr>
          <w:lang w:val="en-US"/>
        </w:rPr>
        <w:t>ata submission file structures and linking relationships</w:t>
      </w:r>
    </w:p>
    <w:p w14:paraId="5B03F962" w14:textId="14DFCFD1" w:rsidR="007E79CB" w:rsidRPr="00F04AE5" w:rsidRDefault="00DB3614" w:rsidP="00F97AE5">
      <w:pPr>
        <w:pStyle w:val="ListParagraph"/>
        <w:keepNext/>
        <w:numPr>
          <w:ilvl w:val="0"/>
          <w:numId w:val="19"/>
        </w:numPr>
        <w:spacing w:before="0" w:after="200" w:line="276" w:lineRule="auto"/>
        <w:ind w:left="714" w:hanging="357"/>
        <w:contextualSpacing/>
        <w:rPr>
          <w:lang w:val="en-US"/>
        </w:rPr>
      </w:pPr>
      <w:r>
        <w:rPr>
          <w:lang w:val="en-US"/>
        </w:rPr>
        <w:t>e</w:t>
      </w:r>
      <w:r w:rsidR="007E79CB" w:rsidRPr="00F04AE5">
        <w:rPr>
          <w:lang w:val="en-US"/>
        </w:rPr>
        <w:t>dit checks to be applied to the data.</w:t>
      </w:r>
    </w:p>
    <w:p w14:paraId="42830B8E" w14:textId="66FCA775" w:rsidR="007E79CB" w:rsidRPr="00F04AE5" w:rsidRDefault="007E79CB" w:rsidP="007E79CB">
      <w:pPr>
        <w:rPr>
          <w:lang w:val="en-US"/>
        </w:rPr>
      </w:pPr>
      <w:r w:rsidRPr="00F04AE5">
        <w:rPr>
          <w:lang w:val="en-US"/>
        </w:rPr>
        <w:t>The DRS for</w:t>
      </w:r>
      <w:r w:rsidR="00CA7B7B">
        <w:rPr>
          <w:lang w:val="en-US"/>
        </w:rPr>
        <w:t xml:space="preserve"> ABF MHC NBEDS</w:t>
      </w:r>
      <w:r w:rsidRPr="00F04AE5">
        <w:rPr>
          <w:lang w:val="en-US"/>
        </w:rPr>
        <w:t xml:space="preserve"> </w:t>
      </w:r>
      <w:r w:rsidR="002E3729">
        <w:rPr>
          <w:lang w:val="en-US"/>
        </w:rPr>
        <w:t>20</w:t>
      </w:r>
      <w:r w:rsidR="0039770E">
        <w:rPr>
          <w:lang w:val="en-US"/>
        </w:rPr>
        <w:t>20</w:t>
      </w:r>
      <w:r w:rsidR="002E3729">
        <w:rPr>
          <w:lang w:val="en-US"/>
        </w:rPr>
        <w:t>-2</w:t>
      </w:r>
      <w:r w:rsidR="0039770E">
        <w:rPr>
          <w:lang w:val="en-US"/>
        </w:rPr>
        <w:t>1</w:t>
      </w:r>
      <w:r w:rsidRPr="00F04AE5">
        <w:rPr>
          <w:lang w:val="en-US"/>
        </w:rPr>
        <w:t xml:space="preserve"> </w:t>
      </w:r>
      <w:r w:rsidR="00CA7B7B">
        <w:rPr>
          <w:lang w:val="en-US"/>
        </w:rPr>
        <w:t>is</w:t>
      </w:r>
      <w:r w:rsidR="00CA7B7B" w:rsidRPr="00F04AE5">
        <w:rPr>
          <w:lang w:val="en-US"/>
        </w:rPr>
        <w:t xml:space="preserve"> </w:t>
      </w:r>
      <w:r w:rsidRPr="00F04AE5">
        <w:rPr>
          <w:lang w:val="en-US"/>
        </w:rPr>
        <w:t>available on IHPA’s website.</w:t>
      </w:r>
    </w:p>
    <w:p w14:paraId="385F1017" w14:textId="6A06FBBF" w:rsidR="007E79CB" w:rsidRDefault="00B13C39" w:rsidP="007E79CB">
      <w:pPr>
        <w:spacing w:before="0" w:after="0" w:line="240" w:lineRule="auto"/>
        <w:rPr>
          <w:rStyle w:val="Hyperlink"/>
        </w:rPr>
      </w:pPr>
      <w:hyperlink r:id="rId16" w:history="1">
        <w:r w:rsidR="00E66A2D" w:rsidRPr="0094498C">
          <w:rPr>
            <w:rStyle w:val="Hyperlink"/>
          </w:rPr>
          <w:t>https://www.ihpa.gov.au/what-we-do/data-specifications</w:t>
        </w:r>
      </w:hyperlink>
    </w:p>
    <w:p w14:paraId="1C6BF8E0" w14:textId="77777777" w:rsidR="00E66A2D" w:rsidRPr="00F04AE5" w:rsidRDefault="00E66A2D" w:rsidP="007E79CB">
      <w:pPr>
        <w:spacing w:before="0" w:after="0" w:line="240" w:lineRule="auto"/>
      </w:pPr>
    </w:p>
    <w:p w14:paraId="31F92377" w14:textId="77777777" w:rsidR="0098702F" w:rsidRPr="00F04AE5" w:rsidRDefault="0098702F">
      <w:pPr>
        <w:spacing w:before="0" w:after="0" w:line="240" w:lineRule="auto"/>
      </w:pPr>
      <w:r w:rsidRPr="00F04AE5">
        <w:br w:type="page"/>
      </w:r>
    </w:p>
    <w:p w14:paraId="3DD24F4B" w14:textId="77777777" w:rsidR="00562759" w:rsidRPr="00F04AE5" w:rsidRDefault="00562759">
      <w:pPr>
        <w:spacing w:before="0" w:after="0" w:line="240" w:lineRule="auto"/>
        <w:sectPr w:rsidR="00562759" w:rsidRPr="00F04AE5" w:rsidSect="008C2111">
          <w:headerReference w:type="default" r:id="rId17"/>
          <w:pgSz w:w="11906" w:h="16838" w:code="9"/>
          <w:pgMar w:top="2041" w:right="1440" w:bottom="1021" w:left="1021" w:header="680" w:footer="510" w:gutter="0"/>
          <w:pgNumType w:start="1"/>
          <w:cols w:space="708"/>
          <w:docGrid w:linePitch="360"/>
        </w:sectPr>
      </w:pPr>
    </w:p>
    <w:p w14:paraId="4838B987" w14:textId="77777777" w:rsidR="00562759" w:rsidRDefault="00043CF6" w:rsidP="00350852">
      <w:r w:rsidRPr="00F04AE5">
        <w:rPr>
          <w:noProof/>
        </w:rPr>
        <w:lastRenderedPageBreak/>
        <w:drawing>
          <wp:anchor distT="0" distB="0" distL="114300" distR="114300" simplePos="0" relativeHeight="251678720" behindDoc="1" locked="1" layoutInCell="0" allowOverlap="1" wp14:anchorId="5C73F180" wp14:editId="6704ABF7">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F04AE5">
        <w:rPr>
          <w:noProof/>
        </w:rPr>
        <mc:AlternateContent>
          <mc:Choice Requires="wps">
            <w:drawing>
              <wp:anchor distT="0" distB="0" distL="114300" distR="114300" simplePos="0" relativeHeight="251670528" behindDoc="0" locked="0" layoutInCell="1" allowOverlap="1" wp14:anchorId="39461539" wp14:editId="50A8F429">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03266C" w14:textId="77777777" w:rsidR="00562759" w:rsidRPr="00F97AE5" w:rsidRDefault="00562759" w:rsidP="00562759">
                            <w:pPr>
                              <w:pStyle w:val="Address"/>
                              <w:rPr>
                                <w:color w:val="333132" w:themeColor="text2"/>
                              </w:rPr>
                            </w:pPr>
                            <w:r w:rsidRPr="00F97AE5">
                              <w:rPr>
                                <w:color w:val="333132" w:themeColor="text2"/>
                              </w:rPr>
                              <w:t>Independent Hospital Pricing Authority</w:t>
                            </w:r>
                          </w:p>
                          <w:p w14:paraId="40E5B3A2" w14:textId="77777777" w:rsidR="00562759" w:rsidRPr="00F97AE5" w:rsidRDefault="00562759" w:rsidP="00562759">
                            <w:pPr>
                              <w:pStyle w:val="Address"/>
                              <w:rPr>
                                <w:color w:val="333132" w:themeColor="text2"/>
                              </w:rPr>
                            </w:pPr>
                            <w:r w:rsidRPr="00F97AE5">
                              <w:rPr>
                                <w:color w:val="333132" w:themeColor="text2"/>
                              </w:rPr>
                              <w:t> </w:t>
                            </w:r>
                          </w:p>
                          <w:p w14:paraId="472922BF" w14:textId="77777777" w:rsidR="00562759" w:rsidRPr="00F97AE5" w:rsidRDefault="00562759" w:rsidP="00562759">
                            <w:pPr>
                              <w:pStyle w:val="Address"/>
                              <w:rPr>
                                <w:color w:val="008542" w:themeColor="accent2"/>
                              </w:rPr>
                            </w:pPr>
                            <w:r w:rsidRPr="00F97AE5">
                              <w:rPr>
                                <w:color w:val="008542" w:themeColor="accent2"/>
                              </w:rPr>
                              <w:t>Level 6, 1 Oxford Street</w:t>
                            </w:r>
                          </w:p>
                          <w:p w14:paraId="1026CB83" w14:textId="77777777" w:rsidR="00562759" w:rsidRPr="00F97AE5" w:rsidRDefault="00562759" w:rsidP="00562759">
                            <w:pPr>
                              <w:pStyle w:val="Address"/>
                              <w:rPr>
                                <w:color w:val="008542" w:themeColor="accent2"/>
                              </w:rPr>
                            </w:pPr>
                            <w:r w:rsidRPr="00F97AE5">
                              <w:rPr>
                                <w:color w:val="008542" w:themeColor="accent2"/>
                              </w:rPr>
                              <w:t>Sydney NSW 2000</w:t>
                            </w:r>
                          </w:p>
                          <w:p w14:paraId="3B5A1710" w14:textId="77777777" w:rsidR="00562759" w:rsidRPr="00562759" w:rsidRDefault="00562759" w:rsidP="00562759">
                            <w:pPr>
                              <w:pStyle w:val="Address"/>
                            </w:pPr>
                          </w:p>
                          <w:p w14:paraId="0A339CAE" w14:textId="77777777" w:rsidR="00562759" w:rsidRPr="00F97AE5" w:rsidRDefault="00562759" w:rsidP="00562759">
                            <w:pPr>
                              <w:pStyle w:val="Address"/>
                              <w:rPr>
                                <w:color w:val="008542" w:themeColor="accent2"/>
                              </w:rPr>
                            </w:pPr>
                            <w:r w:rsidRPr="00F97AE5">
                              <w:rPr>
                                <w:color w:val="333132" w:themeColor="text2"/>
                              </w:rPr>
                              <w:t xml:space="preserve">Phone </w:t>
                            </w:r>
                            <w:r w:rsidRPr="00F97AE5">
                              <w:rPr>
                                <w:color w:val="008542" w:themeColor="accent2"/>
                              </w:rPr>
                              <w:t>02 8215 1100</w:t>
                            </w:r>
                          </w:p>
                          <w:p w14:paraId="790E66D8" w14:textId="77777777" w:rsidR="00562759" w:rsidRPr="00F97AE5" w:rsidRDefault="00562759" w:rsidP="00562759">
                            <w:pPr>
                              <w:pStyle w:val="Address"/>
                              <w:rPr>
                                <w:color w:val="008542" w:themeColor="accent2"/>
                              </w:rPr>
                            </w:pPr>
                            <w:r w:rsidRPr="00F97AE5">
                              <w:rPr>
                                <w:color w:val="333132" w:themeColor="text2"/>
                              </w:rPr>
                              <w:t xml:space="preserve">Email </w:t>
                            </w:r>
                            <w:r w:rsidRPr="00F97AE5">
                              <w:rPr>
                                <w:color w:val="008542" w:themeColor="accent2"/>
                              </w:rPr>
                              <w:t>enquiries.ihpa@ihpa.gov.au</w:t>
                            </w:r>
                          </w:p>
                          <w:p w14:paraId="388C700B" w14:textId="77777777" w:rsidR="00562759" w:rsidRPr="00F97AE5" w:rsidRDefault="00562759" w:rsidP="00562759">
                            <w:pPr>
                              <w:pStyle w:val="Address"/>
                              <w:rPr>
                                <w:color w:val="008542" w:themeColor="accent2"/>
                              </w:rPr>
                            </w:pPr>
                            <w:r w:rsidRPr="00F97AE5">
                              <w:rPr>
                                <w:color w:val="333132" w:themeColor="text2"/>
                              </w:rPr>
                              <w:t xml:space="preserve">Twitter </w:t>
                            </w:r>
                            <w:r w:rsidRPr="00F97AE5">
                              <w:rPr>
                                <w:color w:val="008542" w:themeColor="accent2"/>
                              </w:rPr>
                              <w:t>@IHPAnews</w:t>
                            </w:r>
                          </w:p>
                          <w:p w14:paraId="7EB32E55" w14:textId="77777777" w:rsidR="00562759" w:rsidRPr="00562759" w:rsidRDefault="00562759" w:rsidP="00562759">
                            <w:pPr>
                              <w:pStyle w:val="Address"/>
                            </w:pPr>
                          </w:p>
                          <w:p w14:paraId="3B057900" w14:textId="77777777" w:rsidR="00562759" w:rsidRPr="00562759" w:rsidRDefault="00562759" w:rsidP="00562759">
                            <w:pPr>
                              <w:pStyle w:val="Address"/>
                            </w:pPr>
                            <w:r w:rsidRPr="00562759">
                              <w:t>www.ihpa.gov.au</w:t>
                            </w:r>
                          </w:p>
                          <w:p w14:paraId="5BFFD415" w14:textId="77777777"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61539"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103266C" w14:textId="77777777" w:rsidR="00562759" w:rsidRPr="00F97AE5" w:rsidRDefault="00562759" w:rsidP="00562759">
                      <w:pPr>
                        <w:pStyle w:val="Address"/>
                        <w:rPr>
                          <w:color w:val="333132" w:themeColor="text2"/>
                        </w:rPr>
                      </w:pPr>
                      <w:r w:rsidRPr="00F97AE5">
                        <w:rPr>
                          <w:color w:val="333132" w:themeColor="text2"/>
                        </w:rPr>
                        <w:t>Independent Hospital Pricing Authority</w:t>
                      </w:r>
                    </w:p>
                    <w:p w14:paraId="40E5B3A2" w14:textId="77777777" w:rsidR="00562759" w:rsidRPr="00F97AE5" w:rsidRDefault="00562759" w:rsidP="00562759">
                      <w:pPr>
                        <w:pStyle w:val="Address"/>
                        <w:rPr>
                          <w:color w:val="333132" w:themeColor="text2"/>
                        </w:rPr>
                      </w:pPr>
                      <w:r w:rsidRPr="00F97AE5">
                        <w:rPr>
                          <w:color w:val="333132" w:themeColor="text2"/>
                        </w:rPr>
                        <w:t> </w:t>
                      </w:r>
                    </w:p>
                    <w:p w14:paraId="472922BF" w14:textId="77777777" w:rsidR="00562759" w:rsidRPr="00F97AE5" w:rsidRDefault="00562759" w:rsidP="00562759">
                      <w:pPr>
                        <w:pStyle w:val="Address"/>
                        <w:rPr>
                          <w:color w:val="008542" w:themeColor="accent2"/>
                        </w:rPr>
                      </w:pPr>
                      <w:r w:rsidRPr="00F97AE5">
                        <w:rPr>
                          <w:color w:val="008542" w:themeColor="accent2"/>
                        </w:rPr>
                        <w:t>Level 6, 1 Oxford Street</w:t>
                      </w:r>
                    </w:p>
                    <w:p w14:paraId="1026CB83" w14:textId="77777777" w:rsidR="00562759" w:rsidRPr="00F97AE5" w:rsidRDefault="00562759" w:rsidP="00562759">
                      <w:pPr>
                        <w:pStyle w:val="Address"/>
                        <w:rPr>
                          <w:color w:val="008542" w:themeColor="accent2"/>
                        </w:rPr>
                      </w:pPr>
                      <w:r w:rsidRPr="00F97AE5">
                        <w:rPr>
                          <w:color w:val="008542" w:themeColor="accent2"/>
                        </w:rPr>
                        <w:t>Sydney NSW 2000</w:t>
                      </w:r>
                    </w:p>
                    <w:p w14:paraId="3B5A1710" w14:textId="77777777" w:rsidR="00562759" w:rsidRPr="00562759" w:rsidRDefault="00562759" w:rsidP="00562759">
                      <w:pPr>
                        <w:pStyle w:val="Address"/>
                      </w:pPr>
                    </w:p>
                    <w:p w14:paraId="0A339CAE" w14:textId="77777777" w:rsidR="00562759" w:rsidRPr="00F97AE5" w:rsidRDefault="00562759" w:rsidP="00562759">
                      <w:pPr>
                        <w:pStyle w:val="Address"/>
                        <w:rPr>
                          <w:color w:val="008542" w:themeColor="accent2"/>
                        </w:rPr>
                      </w:pPr>
                      <w:r w:rsidRPr="00F97AE5">
                        <w:rPr>
                          <w:color w:val="333132" w:themeColor="text2"/>
                        </w:rPr>
                        <w:t xml:space="preserve">Phone </w:t>
                      </w:r>
                      <w:r w:rsidRPr="00F97AE5">
                        <w:rPr>
                          <w:color w:val="008542" w:themeColor="accent2"/>
                        </w:rPr>
                        <w:t>02 8215 1100</w:t>
                      </w:r>
                    </w:p>
                    <w:p w14:paraId="790E66D8" w14:textId="77777777" w:rsidR="00562759" w:rsidRPr="00F97AE5" w:rsidRDefault="00562759" w:rsidP="00562759">
                      <w:pPr>
                        <w:pStyle w:val="Address"/>
                        <w:rPr>
                          <w:color w:val="008542" w:themeColor="accent2"/>
                        </w:rPr>
                      </w:pPr>
                      <w:r w:rsidRPr="00F97AE5">
                        <w:rPr>
                          <w:color w:val="333132" w:themeColor="text2"/>
                        </w:rPr>
                        <w:t xml:space="preserve">Email </w:t>
                      </w:r>
                      <w:r w:rsidRPr="00F97AE5">
                        <w:rPr>
                          <w:color w:val="008542" w:themeColor="accent2"/>
                        </w:rPr>
                        <w:t>enquiries.ihpa@ihpa.gov.au</w:t>
                      </w:r>
                    </w:p>
                    <w:p w14:paraId="388C700B" w14:textId="77777777" w:rsidR="00562759" w:rsidRPr="00F97AE5" w:rsidRDefault="00562759" w:rsidP="00562759">
                      <w:pPr>
                        <w:pStyle w:val="Address"/>
                        <w:rPr>
                          <w:color w:val="008542" w:themeColor="accent2"/>
                        </w:rPr>
                      </w:pPr>
                      <w:r w:rsidRPr="00F97AE5">
                        <w:rPr>
                          <w:color w:val="333132" w:themeColor="text2"/>
                        </w:rPr>
                        <w:t xml:space="preserve">Twitter </w:t>
                      </w:r>
                      <w:r w:rsidRPr="00F97AE5">
                        <w:rPr>
                          <w:color w:val="008542" w:themeColor="accent2"/>
                        </w:rPr>
                        <w:t>@IHPAnews</w:t>
                      </w:r>
                    </w:p>
                    <w:p w14:paraId="7EB32E55" w14:textId="77777777" w:rsidR="00562759" w:rsidRPr="00562759" w:rsidRDefault="00562759" w:rsidP="00562759">
                      <w:pPr>
                        <w:pStyle w:val="Address"/>
                      </w:pPr>
                    </w:p>
                    <w:p w14:paraId="3B057900" w14:textId="77777777" w:rsidR="00562759" w:rsidRPr="00562759" w:rsidRDefault="00562759" w:rsidP="00562759">
                      <w:pPr>
                        <w:pStyle w:val="Address"/>
                      </w:pPr>
                      <w:r w:rsidRPr="00562759">
                        <w:t>www.ihpa.gov.au</w:t>
                      </w:r>
                    </w:p>
                    <w:p w14:paraId="5BFFD415" w14:textId="77777777" w:rsidR="00562759" w:rsidRPr="0098702F" w:rsidRDefault="00562759"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04C8" w14:textId="77777777" w:rsidR="0020293A" w:rsidRDefault="0020293A">
      <w:r>
        <w:separator/>
      </w:r>
    </w:p>
  </w:endnote>
  <w:endnote w:type="continuationSeparator" w:id="0">
    <w:p w14:paraId="41393A7D" w14:textId="77777777" w:rsidR="0020293A" w:rsidRDefault="0020293A">
      <w:r>
        <w:continuationSeparator/>
      </w:r>
    </w:p>
  </w:endnote>
  <w:endnote w:type="continuationNotice" w:id="1">
    <w:p w14:paraId="5FEFC51F" w14:textId="77777777" w:rsidR="0020293A" w:rsidRDefault="002029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C8CB" w14:textId="77777777" w:rsidR="0020293A" w:rsidRDefault="0020293A">
      <w:r>
        <w:separator/>
      </w:r>
    </w:p>
  </w:footnote>
  <w:footnote w:type="continuationSeparator" w:id="0">
    <w:p w14:paraId="2D51CEEC" w14:textId="77777777" w:rsidR="0020293A" w:rsidRDefault="0020293A">
      <w:r>
        <w:continuationSeparator/>
      </w:r>
    </w:p>
  </w:footnote>
  <w:footnote w:type="continuationNotice" w:id="1">
    <w:p w14:paraId="4D52F268" w14:textId="77777777" w:rsidR="0020293A" w:rsidRDefault="002029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3C3F" w14:textId="4CBA4354" w:rsidR="0032530E" w:rsidRDefault="00CC2138" w:rsidP="00CC2138">
    <w:pPr>
      <w:pStyle w:val="Header"/>
      <w:rPr>
        <w:noProof/>
        <w:color w:val="008542" w:themeColor="accent2"/>
      </w:rPr>
    </w:pPr>
    <w:r>
      <w:rPr>
        <w:noProof/>
        <w:color w:val="FFFFFF" w:themeColor="background1"/>
      </w:rPr>
      <w:drawing>
        <wp:anchor distT="0" distB="0" distL="114300" distR="114300" simplePos="0" relativeHeight="251657216" behindDoc="1" locked="0" layoutInCell="0" allowOverlap="1" wp14:anchorId="644E0E75" wp14:editId="218D8FDF">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692CC9" w:rsidRPr="00692CC9">
      <w:rPr>
        <w:color w:val="FFFFFF" w:themeColor="background1"/>
      </w:rPr>
      <w:t xml:space="preserve">Activity Based Funding Mental Health Care National Best Endeavours Data Set </w:t>
    </w:r>
    <w:r w:rsidR="007B0294">
      <w:rPr>
        <w:color w:val="FFFFFF" w:themeColor="background1"/>
      </w:rPr>
      <w:t>2020-21</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B13C39">
      <w:rPr>
        <w:noProof/>
        <w:color w:val="008542" w:themeColor="accent2"/>
      </w:rPr>
      <w:t>3</w:t>
    </w:r>
    <w:r w:rsidRPr="005F219D">
      <w:rPr>
        <w:noProof/>
        <w:color w:val="008542" w:themeColor="accent2"/>
      </w:rPr>
      <w:fldChar w:fldCharType="end"/>
    </w:r>
  </w:p>
  <w:p w14:paraId="793E0C4F" w14:textId="77777777" w:rsidR="00692CC9" w:rsidRPr="00CC2138" w:rsidRDefault="00692CC9" w:rsidP="00CC2138">
    <w:pPr>
      <w:pStyle w:val="Header"/>
      <w:rPr>
        <w:color w:val="008542" w:themeColor="accent2"/>
      </w:rPr>
    </w:pPr>
    <w:r>
      <w:rPr>
        <w:noProof/>
        <w:color w:val="008542" w:themeColor="accent2"/>
      </w:rPr>
      <w:t>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729C9"/>
    <w:multiLevelType w:val="hybridMultilevel"/>
    <w:tmpl w:val="619A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359F8"/>
    <w:multiLevelType w:val="hybridMultilevel"/>
    <w:tmpl w:val="7616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53E80"/>
    <w:multiLevelType w:val="hybridMultilevel"/>
    <w:tmpl w:val="D098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85765"/>
    <w:multiLevelType w:val="multilevel"/>
    <w:tmpl w:val="2E8E5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3213F6"/>
    <w:multiLevelType w:val="hybridMultilevel"/>
    <w:tmpl w:val="038C4B16"/>
    <w:lvl w:ilvl="0" w:tplc="EACACB22">
      <w:start w:val="1"/>
      <w:numFmt w:val="bullet"/>
      <w:lvlText w:val=""/>
      <w:lvlJc w:val="left"/>
      <w:pPr>
        <w:ind w:left="360" w:hanging="360"/>
      </w:pPr>
      <w:rPr>
        <w:rFonts w:ascii="Wingdings 2" w:hAnsi="Wingdings 2" w:hint="default"/>
        <w:color w:val="000000" w:themeColor="text1"/>
        <w:sz w:val="1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6"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34C58"/>
    <w:multiLevelType w:val="hybridMultilevel"/>
    <w:tmpl w:val="113ED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8F7DE7"/>
    <w:multiLevelType w:val="hybridMultilevel"/>
    <w:tmpl w:val="CFC4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71746"/>
    <w:multiLevelType w:val="hybridMultilevel"/>
    <w:tmpl w:val="277E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62995"/>
    <w:multiLevelType w:val="hybridMultilevel"/>
    <w:tmpl w:val="CF58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CA0C1B"/>
    <w:multiLevelType w:val="hybridMultilevel"/>
    <w:tmpl w:val="35FEE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7"/>
  </w:num>
  <w:num w:numId="14">
    <w:abstractNumId w:val="21"/>
  </w:num>
  <w:num w:numId="15">
    <w:abstractNumId w:val="13"/>
  </w:num>
  <w:num w:numId="16">
    <w:abstractNumId w:val="11"/>
  </w:num>
  <w:num w:numId="17">
    <w:abstractNumId w:val="12"/>
  </w:num>
  <w:num w:numId="18">
    <w:abstractNumId w:val="19"/>
  </w:num>
  <w:num w:numId="19">
    <w:abstractNumId w:val="20"/>
  </w:num>
  <w:num w:numId="20">
    <w:abstractNumId w:val="14"/>
  </w:num>
  <w:num w:numId="21">
    <w:abstractNumId w:val="10"/>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CB"/>
    <w:rsid w:val="00005785"/>
    <w:rsid w:val="00006876"/>
    <w:rsid w:val="00006B48"/>
    <w:rsid w:val="000079AD"/>
    <w:rsid w:val="00007D1F"/>
    <w:rsid w:val="00010D84"/>
    <w:rsid w:val="00010F15"/>
    <w:rsid w:val="00011CE3"/>
    <w:rsid w:val="00022E9C"/>
    <w:rsid w:val="00024EF0"/>
    <w:rsid w:val="00025631"/>
    <w:rsid w:val="00027B26"/>
    <w:rsid w:val="00030705"/>
    <w:rsid w:val="00032861"/>
    <w:rsid w:val="00032B77"/>
    <w:rsid w:val="00035724"/>
    <w:rsid w:val="00042285"/>
    <w:rsid w:val="00043256"/>
    <w:rsid w:val="00043CF6"/>
    <w:rsid w:val="00045A89"/>
    <w:rsid w:val="00046F8E"/>
    <w:rsid w:val="00047524"/>
    <w:rsid w:val="0005040E"/>
    <w:rsid w:val="0005087D"/>
    <w:rsid w:val="00050F9E"/>
    <w:rsid w:val="00051651"/>
    <w:rsid w:val="000547EF"/>
    <w:rsid w:val="00056004"/>
    <w:rsid w:val="0006075A"/>
    <w:rsid w:val="00060F70"/>
    <w:rsid w:val="00061C84"/>
    <w:rsid w:val="00062484"/>
    <w:rsid w:val="00062B74"/>
    <w:rsid w:val="00063129"/>
    <w:rsid w:val="00064EE9"/>
    <w:rsid w:val="00065022"/>
    <w:rsid w:val="00065A5E"/>
    <w:rsid w:val="000678C8"/>
    <w:rsid w:val="00070681"/>
    <w:rsid w:val="0007116B"/>
    <w:rsid w:val="0007738D"/>
    <w:rsid w:val="00080A09"/>
    <w:rsid w:val="00081CEB"/>
    <w:rsid w:val="00083082"/>
    <w:rsid w:val="00085371"/>
    <w:rsid w:val="00085557"/>
    <w:rsid w:val="00085F8A"/>
    <w:rsid w:val="00087B2C"/>
    <w:rsid w:val="00087DBD"/>
    <w:rsid w:val="00090718"/>
    <w:rsid w:val="00091B4E"/>
    <w:rsid w:val="00091CD7"/>
    <w:rsid w:val="00093DD5"/>
    <w:rsid w:val="00097886"/>
    <w:rsid w:val="000A03DD"/>
    <w:rsid w:val="000A1A09"/>
    <w:rsid w:val="000A3EDA"/>
    <w:rsid w:val="000A47A8"/>
    <w:rsid w:val="000A73FB"/>
    <w:rsid w:val="000B1EBC"/>
    <w:rsid w:val="000B218A"/>
    <w:rsid w:val="000C014D"/>
    <w:rsid w:val="000C29B4"/>
    <w:rsid w:val="000C4845"/>
    <w:rsid w:val="000C5CD8"/>
    <w:rsid w:val="000C7A69"/>
    <w:rsid w:val="000D1158"/>
    <w:rsid w:val="000D4703"/>
    <w:rsid w:val="000E12D4"/>
    <w:rsid w:val="000E19D2"/>
    <w:rsid w:val="000E3403"/>
    <w:rsid w:val="000E39A2"/>
    <w:rsid w:val="000E39EF"/>
    <w:rsid w:val="000E620E"/>
    <w:rsid w:val="000F2063"/>
    <w:rsid w:val="000F3D28"/>
    <w:rsid w:val="000F5AAD"/>
    <w:rsid w:val="000F6308"/>
    <w:rsid w:val="000F63C4"/>
    <w:rsid w:val="000F79E5"/>
    <w:rsid w:val="00100200"/>
    <w:rsid w:val="0010263D"/>
    <w:rsid w:val="00102824"/>
    <w:rsid w:val="0010300A"/>
    <w:rsid w:val="00110361"/>
    <w:rsid w:val="00111356"/>
    <w:rsid w:val="001131F0"/>
    <w:rsid w:val="001139C7"/>
    <w:rsid w:val="00114EBC"/>
    <w:rsid w:val="00115C82"/>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384"/>
    <w:rsid w:val="00152BF6"/>
    <w:rsid w:val="0015309D"/>
    <w:rsid w:val="001559C2"/>
    <w:rsid w:val="00155B98"/>
    <w:rsid w:val="00157001"/>
    <w:rsid w:val="00157709"/>
    <w:rsid w:val="00160E91"/>
    <w:rsid w:val="00162251"/>
    <w:rsid w:val="00165626"/>
    <w:rsid w:val="00166194"/>
    <w:rsid w:val="0016674F"/>
    <w:rsid w:val="00167CF4"/>
    <w:rsid w:val="0017018F"/>
    <w:rsid w:val="0017147C"/>
    <w:rsid w:val="0017194E"/>
    <w:rsid w:val="0017249B"/>
    <w:rsid w:val="001727A4"/>
    <w:rsid w:val="0017763B"/>
    <w:rsid w:val="00177EC4"/>
    <w:rsid w:val="00181533"/>
    <w:rsid w:val="001818E3"/>
    <w:rsid w:val="001824C8"/>
    <w:rsid w:val="00182698"/>
    <w:rsid w:val="00185998"/>
    <w:rsid w:val="00185C14"/>
    <w:rsid w:val="001864FD"/>
    <w:rsid w:val="001943DD"/>
    <w:rsid w:val="00196BAC"/>
    <w:rsid w:val="001A13F6"/>
    <w:rsid w:val="001A2D78"/>
    <w:rsid w:val="001A6C59"/>
    <w:rsid w:val="001A7249"/>
    <w:rsid w:val="001B385A"/>
    <w:rsid w:val="001B3904"/>
    <w:rsid w:val="001B3AEC"/>
    <w:rsid w:val="001B3E8D"/>
    <w:rsid w:val="001B5259"/>
    <w:rsid w:val="001B60D4"/>
    <w:rsid w:val="001B6F28"/>
    <w:rsid w:val="001C116F"/>
    <w:rsid w:val="001C19A8"/>
    <w:rsid w:val="001C2D5A"/>
    <w:rsid w:val="001C4F4F"/>
    <w:rsid w:val="001C6BA1"/>
    <w:rsid w:val="001D141C"/>
    <w:rsid w:val="001D2904"/>
    <w:rsid w:val="001D652D"/>
    <w:rsid w:val="001D693F"/>
    <w:rsid w:val="001D6F9E"/>
    <w:rsid w:val="001E38FB"/>
    <w:rsid w:val="001E52C2"/>
    <w:rsid w:val="001F0BE1"/>
    <w:rsid w:val="001F101A"/>
    <w:rsid w:val="001F1A41"/>
    <w:rsid w:val="001F2334"/>
    <w:rsid w:val="001F24EF"/>
    <w:rsid w:val="001F56C7"/>
    <w:rsid w:val="0020293A"/>
    <w:rsid w:val="0020297B"/>
    <w:rsid w:val="00203039"/>
    <w:rsid w:val="00203E1D"/>
    <w:rsid w:val="00204B17"/>
    <w:rsid w:val="002069D2"/>
    <w:rsid w:val="00210B68"/>
    <w:rsid w:val="00211DA2"/>
    <w:rsid w:val="00212A52"/>
    <w:rsid w:val="00213435"/>
    <w:rsid w:val="00213693"/>
    <w:rsid w:val="00215CCB"/>
    <w:rsid w:val="00216CF5"/>
    <w:rsid w:val="00220351"/>
    <w:rsid w:val="0022037B"/>
    <w:rsid w:val="00221B76"/>
    <w:rsid w:val="00222C8D"/>
    <w:rsid w:val="00222F53"/>
    <w:rsid w:val="00223F52"/>
    <w:rsid w:val="00225515"/>
    <w:rsid w:val="002256A8"/>
    <w:rsid w:val="00230E6B"/>
    <w:rsid w:val="00232B97"/>
    <w:rsid w:val="0023523A"/>
    <w:rsid w:val="00236475"/>
    <w:rsid w:val="0023757C"/>
    <w:rsid w:val="00237C47"/>
    <w:rsid w:val="002402E4"/>
    <w:rsid w:val="002421A0"/>
    <w:rsid w:val="00242B98"/>
    <w:rsid w:val="00242EC8"/>
    <w:rsid w:val="002445A1"/>
    <w:rsid w:val="00246FE6"/>
    <w:rsid w:val="002470E3"/>
    <w:rsid w:val="002516EE"/>
    <w:rsid w:val="0025207D"/>
    <w:rsid w:val="00254DE9"/>
    <w:rsid w:val="0026003B"/>
    <w:rsid w:val="002615D3"/>
    <w:rsid w:val="00261D4A"/>
    <w:rsid w:val="00264AE5"/>
    <w:rsid w:val="002672F1"/>
    <w:rsid w:val="00271414"/>
    <w:rsid w:val="00271922"/>
    <w:rsid w:val="00273412"/>
    <w:rsid w:val="0027373F"/>
    <w:rsid w:val="00274ACF"/>
    <w:rsid w:val="00276CF4"/>
    <w:rsid w:val="0028159B"/>
    <w:rsid w:val="00282671"/>
    <w:rsid w:val="00282861"/>
    <w:rsid w:val="00282F67"/>
    <w:rsid w:val="002843E2"/>
    <w:rsid w:val="00285F54"/>
    <w:rsid w:val="00287BAA"/>
    <w:rsid w:val="002927F5"/>
    <w:rsid w:val="00293489"/>
    <w:rsid w:val="00296F5E"/>
    <w:rsid w:val="00297B57"/>
    <w:rsid w:val="002A2F73"/>
    <w:rsid w:val="002A30F0"/>
    <w:rsid w:val="002A6DF5"/>
    <w:rsid w:val="002B6406"/>
    <w:rsid w:val="002B67A7"/>
    <w:rsid w:val="002B6809"/>
    <w:rsid w:val="002B7F9D"/>
    <w:rsid w:val="002C4231"/>
    <w:rsid w:val="002C7080"/>
    <w:rsid w:val="002C7AB9"/>
    <w:rsid w:val="002D00B0"/>
    <w:rsid w:val="002D2364"/>
    <w:rsid w:val="002D2E16"/>
    <w:rsid w:val="002E3729"/>
    <w:rsid w:val="002E45F0"/>
    <w:rsid w:val="002E7778"/>
    <w:rsid w:val="002F464B"/>
    <w:rsid w:val="003029AB"/>
    <w:rsid w:val="00304B3E"/>
    <w:rsid w:val="00304D97"/>
    <w:rsid w:val="00305BB9"/>
    <w:rsid w:val="0031180A"/>
    <w:rsid w:val="00313127"/>
    <w:rsid w:val="00313304"/>
    <w:rsid w:val="003152FC"/>
    <w:rsid w:val="003155F4"/>
    <w:rsid w:val="00320309"/>
    <w:rsid w:val="003205AA"/>
    <w:rsid w:val="00320A93"/>
    <w:rsid w:val="00321D1E"/>
    <w:rsid w:val="003252F8"/>
    <w:rsid w:val="0032530E"/>
    <w:rsid w:val="00325A61"/>
    <w:rsid w:val="00325ACC"/>
    <w:rsid w:val="00326976"/>
    <w:rsid w:val="0032719D"/>
    <w:rsid w:val="00330FBD"/>
    <w:rsid w:val="003311D7"/>
    <w:rsid w:val="00332B8B"/>
    <w:rsid w:val="0033521E"/>
    <w:rsid w:val="00335A8F"/>
    <w:rsid w:val="003369FE"/>
    <w:rsid w:val="00337CA2"/>
    <w:rsid w:val="003404A4"/>
    <w:rsid w:val="00347104"/>
    <w:rsid w:val="00350852"/>
    <w:rsid w:val="0035096E"/>
    <w:rsid w:val="0035219F"/>
    <w:rsid w:val="00355764"/>
    <w:rsid w:val="00355D01"/>
    <w:rsid w:val="00356DAB"/>
    <w:rsid w:val="00360B81"/>
    <w:rsid w:val="00365E70"/>
    <w:rsid w:val="00366283"/>
    <w:rsid w:val="0036777E"/>
    <w:rsid w:val="003701FA"/>
    <w:rsid w:val="00372A26"/>
    <w:rsid w:val="0037484C"/>
    <w:rsid w:val="003749CD"/>
    <w:rsid w:val="00374A6C"/>
    <w:rsid w:val="00374CB2"/>
    <w:rsid w:val="003773F8"/>
    <w:rsid w:val="00382718"/>
    <w:rsid w:val="00382B3B"/>
    <w:rsid w:val="00385ED2"/>
    <w:rsid w:val="00391F86"/>
    <w:rsid w:val="003923FB"/>
    <w:rsid w:val="00393F00"/>
    <w:rsid w:val="0039408B"/>
    <w:rsid w:val="003945C0"/>
    <w:rsid w:val="00396C6F"/>
    <w:rsid w:val="0039770E"/>
    <w:rsid w:val="00397D4D"/>
    <w:rsid w:val="003A25A7"/>
    <w:rsid w:val="003B4F7B"/>
    <w:rsid w:val="003B535C"/>
    <w:rsid w:val="003B571E"/>
    <w:rsid w:val="003B6613"/>
    <w:rsid w:val="003B68E9"/>
    <w:rsid w:val="003C2120"/>
    <w:rsid w:val="003C2B01"/>
    <w:rsid w:val="003D030E"/>
    <w:rsid w:val="003D040D"/>
    <w:rsid w:val="003D1F49"/>
    <w:rsid w:val="003D2061"/>
    <w:rsid w:val="003D7899"/>
    <w:rsid w:val="003E1FE3"/>
    <w:rsid w:val="003E32A7"/>
    <w:rsid w:val="003E75DB"/>
    <w:rsid w:val="003F1474"/>
    <w:rsid w:val="003F1A33"/>
    <w:rsid w:val="003F3072"/>
    <w:rsid w:val="00400FF4"/>
    <w:rsid w:val="004024E4"/>
    <w:rsid w:val="00405586"/>
    <w:rsid w:val="00406289"/>
    <w:rsid w:val="00406578"/>
    <w:rsid w:val="004074EF"/>
    <w:rsid w:val="004102C3"/>
    <w:rsid w:val="0041307C"/>
    <w:rsid w:val="00413699"/>
    <w:rsid w:val="00413D4F"/>
    <w:rsid w:val="004167B4"/>
    <w:rsid w:val="004167BC"/>
    <w:rsid w:val="0042032D"/>
    <w:rsid w:val="004225DC"/>
    <w:rsid w:val="00423A41"/>
    <w:rsid w:val="00424789"/>
    <w:rsid w:val="00425FBA"/>
    <w:rsid w:val="00430D7E"/>
    <w:rsid w:val="00432332"/>
    <w:rsid w:val="00432368"/>
    <w:rsid w:val="0043361B"/>
    <w:rsid w:val="004337B6"/>
    <w:rsid w:val="00433B04"/>
    <w:rsid w:val="0043784D"/>
    <w:rsid w:val="00440256"/>
    <w:rsid w:val="00440D06"/>
    <w:rsid w:val="00440E22"/>
    <w:rsid w:val="0044547D"/>
    <w:rsid w:val="00446F93"/>
    <w:rsid w:val="0044788D"/>
    <w:rsid w:val="00451A74"/>
    <w:rsid w:val="00451DE6"/>
    <w:rsid w:val="004552AB"/>
    <w:rsid w:val="0045622C"/>
    <w:rsid w:val="00464FB1"/>
    <w:rsid w:val="00465398"/>
    <w:rsid w:val="00467185"/>
    <w:rsid w:val="00467736"/>
    <w:rsid w:val="0047050C"/>
    <w:rsid w:val="004750DB"/>
    <w:rsid w:val="00475AC2"/>
    <w:rsid w:val="00480F21"/>
    <w:rsid w:val="0048108E"/>
    <w:rsid w:val="0048537F"/>
    <w:rsid w:val="00485873"/>
    <w:rsid w:val="00487411"/>
    <w:rsid w:val="004874E5"/>
    <w:rsid w:val="00487885"/>
    <w:rsid w:val="00490A65"/>
    <w:rsid w:val="0049116C"/>
    <w:rsid w:val="00492965"/>
    <w:rsid w:val="004930C9"/>
    <w:rsid w:val="00493F62"/>
    <w:rsid w:val="00494832"/>
    <w:rsid w:val="004957C2"/>
    <w:rsid w:val="00495AF1"/>
    <w:rsid w:val="0049647A"/>
    <w:rsid w:val="004971E5"/>
    <w:rsid w:val="004977E6"/>
    <w:rsid w:val="00497A89"/>
    <w:rsid w:val="004A0990"/>
    <w:rsid w:val="004A4CED"/>
    <w:rsid w:val="004A6BE6"/>
    <w:rsid w:val="004B071D"/>
    <w:rsid w:val="004B0828"/>
    <w:rsid w:val="004B1B61"/>
    <w:rsid w:val="004B3304"/>
    <w:rsid w:val="004B3DF1"/>
    <w:rsid w:val="004B4858"/>
    <w:rsid w:val="004B4BC0"/>
    <w:rsid w:val="004B4E1C"/>
    <w:rsid w:val="004B5555"/>
    <w:rsid w:val="004B64DD"/>
    <w:rsid w:val="004C0484"/>
    <w:rsid w:val="004C15AD"/>
    <w:rsid w:val="004C5008"/>
    <w:rsid w:val="004C52F5"/>
    <w:rsid w:val="004C777E"/>
    <w:rsid w:val="004D16A4"/>
    <w:rsid w:val="004D4D7C"/>
    <w:rsid w:val="004E19F0"/>
    <w:rsid w:val="004E6682"/>
    <w:rsid w:val="004E6D8A"/>
    <w:rsid w:val="004E7543"/>
    <w:rsid w:val="004F15EF"/>
    <w:rsid w:val="004F22FE"/>
    <w:rsid w:val="004F38C5"/>
    <w:rsid w:val="004F774D"/>
    <w:rsid w:val="00500837"/>
    <w:rsid w:val="005013B0"/>
    <w:rsid w:val="005015E4"/>
    <w:rsid w:val="005017A6"/>
    <w:rsid w:val="0050291D"/>
    <w:rsid w:val="005064CD"/>
    <w:rsid w:val="00506C00"/>
    <w:rsid w:val="00511016"/>
    <w:rsid w:val="005159B3"/>
    <w:rsid w:val="0052204F"/>
    <w:rsid w:val="005228E3"/>
    <w:rsid w:val="00522C03"/>
    <w:rsid w:val="00525EA4"/>
    <w:rsid w:val="0052791F"/>
    <w:rsid w:val="00532CFF"/>
    <w:rsid w:val="00536880"/>
    <w:rsid w:val="00537128"/>
    <w:rsid w:val="00540AD0"/>
    <w:rsid w:val="00543A76"/>
    <w:rsid w:val="00543B9D"/>
    <w:rsid w:val="005523D1"/>
    <w:rsid w:val="0055532E"/>
    <w:rsid w:val="00555BC3"/>
    <w:rsid w:val="00557C8E"/>
    <w:rsid w:val="0056122C"/>
    <w:rsid w:val="00561B2B"/>
    <w:rsid w:val="00562759"/>
    <w:rsid w:val="0056357E"/>
    <w:rsid w:val="00564952"/>
    <w:rsid w:val="0056645F"/>
    <w:rsid w:val="005666BA"/>
    <w:rsid w:val="00571AB1"/>
    <w:rsid w:val="00577E1C"/>
    <w:rsid w:val="005807DB"/>
    <w:rsid w:val="00580DB1"/>
    <w:rsid w:val="005814AC"/>
    <w:rsid w:val="005822EE"/>
    <w:rsid w:val="00584676"/>
    <w:rsid w:val="005854B7"/>
    <w:rsid w:val="00587AB1"/>
    <w:rsid w:val="0059070B"/>
    <w:rsid w:val="0059283C"/>
    <w:rsid w:val="00593CB0"/>
    <w:rsid w:val="00597285"/>
    <w:rsid w:val="005A0D95"/>
    <w:rsid w:val="005A224B"/>
    <w:rsid w:val="005B1225"/>
    <w:rsid w:val="005B17D8"/>
    <w:rsid w:val="005B1D82"/>
    <w:rsid w:val="005B4077"/>
    <w:rsid w:val="005C28B0"/>
    <w:rsid w:val="005C2F01"/>
    <w:rsid w:val="005C5F3C"/>
    <w:rsid w:val="005D01BE"/>
    <w:rsid w:val="005D1177"/>
    <w:rsid w:val="005D1D13"/>
    <w:rsid w:val="005D5460"/>
    <w:rsid w:val="005D680F"/>
    <w:rsid w:val="005E08CD"/>
    <w:rsid w:val="005E37E8"/>
    <w:rsid w:val="005E420C"/>
    <w:rsid w:val="005E6F32"/>
    <w:rsid w:val="005E74C5"/>
    <w:rsid w:val="005F219D"/>
    <w:rsid w:val="005F2437"/>
    <w:rsid w:val="005F318A"/>
    <w:rsid w:val="005F53D8"/>
    <w:rsid w:val="005F7710"/>
    <w:rsid w:val="006004F7"/>
    <w:rsid w:val="00603261"/>
    <w:rsid w:val="006037B1"/>
    <w:rsid w:val="00607597"/>
    <w:rsid w:val="00610F93"/>
    <w:rsid w:val="00611772"/>
    <w:rsid w:val="006127CC"/>
    <w:rsid w:val="00616538"/>
    <w:rsid w:val="00622A26"/>
    <w:rsid w:val="006242A0"/>
    <w:rsid w:val="006243C6"/>
    <w:rsid w:val="006248AD"/>
    <w:rsid w:val="006273BC"/>
    <w:rsid w:val="006319C9"/>
    <w:rsid w:val="00632009"/>
    <w:rsid w:val="00632055"/>
    <w:rsid w:val="00633CF1"/>
    <w:rsid w:val="00635A6C"/>
    <w:rsid w:val="00637091"/>
    <w:rsid w:val="006407E3"/>
    <w:rsid w:val="00642839"/>
    <w:rsid w:val="006457F8"/>
    <w:rsid w:val="00645CCB"/>
    <w:rsid w:val="0064700E"/>
    <w:rsid w:val="006472C0"/>
    <w:rsid w:val="006478CB"/>
    <w:rsid w:val="00650B88"/>
    <w:rsid w:val="00652C58"/>
    <w:rsid w:val="006530EF"/>
    <w:rsid w:val="006554DD"/>
    <w:rsid w:val="006573B7"/>
    <w:rsid w:val="00660951"/>
    <w:rsid w:val="00663114"/>
    <w:rsid w:val="006636E2"/>
    <w:rsid w:val="00663F9F"/>
    <w:rsid w:val="00666273"/>
    <w:rsid w:val="00667FA9"/>
    <w:rsid w:val="0067233D"/>
    <w:rsid w:val="00672B2E"/>
    <w:rsid w:val="00673587"/>
    <w:rsid w:val="006745AE"/>
    <w:rsid w:val="00676870"/>
    <w:rsid w:val="00676AF3"/>
    <w:rsid w:val="00677895"/>
    <w:rsid w:val="00677BEF"/>
    <w:rsid w:val="006814A3"/>
    <w:rsid w:val="00682AFC"/>
    <w:rsid w:val="00683344"/>
    <w:rsid w:val="00684FC9"/>
    <w:rsid w:val="00687D17"/>
    <w:rsid w:val="0069072B"/>
    <w:rsid w:val="0069174B"/>
    <w:rsid w:val="00692CC9"/>
    <w:rsid w:val="00693340"/>
    <w:rsid w:val="006958C5"/>
    <w:rsid w:val="006A04C7"/>
    <w:rsid w:val="006A55E0"/>
    <w:rsid w:val="006B05E3"/>
    <w:rsid w:val="006B09BC"/>
    <w:rsid w:val="006B242C"/>
    <w:rsid w:val="006B6D5D"/>
    <w:rsid w:val="006B7B5A"/>
    <w:rsid w:val="006C0345"/>
    <w:rsid w:val="006C0801"/>
    <w:rsid w:val="006C0C2C"/>
    <w:rsid w:val="006C1407"/>
    <w:rsid w:val="006C1EAA"/>
    <w:rsid w:val="006C216F"/>
    <w:rsid w:val="006C2B32"/>
    <w:rsid w:val="006C45D4"/>
    <w:rsid w:val="006C7523"/>
    <w:rsid w:val="006D2042"/>
    <w:rsid w:val="006D66E3"/>
    <w:rsid w:val="006D7855"/>
    <w:rsid w:val="006D7F4A"/>
    <w:rsid w:val="006E010C"/>
    <w:rsid w:val="006E1003"/>
    <w:rsid w:val="006E16BF"/>
    <w:rsid w:val="006E18F0"/>
    <w:rsid w:val="006E38AF"/>
    <w:rsid w:val="006E4F93"/>
    <w:rsid w:val="006F0A93"/>
    <w:rsid w:val="006F1174"/>
    <w:rsid w:val="006F13C9"/>
    <w:rsid w:val="00700135"/>
    <w:rsid w:val="00705180"/>
    <w:rsid w:val="00711605"/>
    <w:rsid w:val="00711DF6"/>
    <w:rsid w:val="007149D4"/>
    <w:rsid w:val="00716FBC"/>
    <w:rsid w:val="00717090"/>
    <w:rsid w:val="00720739"/>
    <w:rsid w:val="0072253E"/>
    <w:rsid w:val="00723E1F"/>
    <w:rsid w:val="0072443D"/>
    <w:rsid w:val="007247E5"/>
    <w:rsid w:val="007248B7"/>
    <w:rsid w:val="007254CA"/>
    <w:rsid w:val="00730CF8"/>
    <w:rsid w:val="00731A90"/>
    <w:rsid w:val="00732608"/>
    <w:rsid w:val="00733251"/>
    <w:rsid w:val="007345CD"/>
    <w:rsid w:val="00736DCA"/>
    <w:rsid w:val="00741A3F"/>
    <w:rsid w:val="0074518B"/>
    <w:rsid w:val="00745C31"/>
    <w:rsid w:val="00745C47"/>
    <w:rsid w:val="0075003D"/>
    <w:rsid w:val="00751D97"/>
    <w:rsid w:val="00752C55"/>
    <w:rsid w:val="007562D4"/>
    <w:rsid w:val="007573FA"/>
    <w:rsid w:val="00761DBF"/>
    <w:rsid w:val="00761FCF"/>
    <w:rsid w:val="00765503"/>
    <w:rsid w:val="00767B7E"/>
    <w:rsid w:val="00771BEE"/>
    <w:rsid w:val="00771D7D"/>
    <w:rsid w:val="00773F70"/>
    <w:rsid w:val="007745B7"/>
    <w:rsid w:val="007750C8"/>
    <w:rsid w:val="00775152"/>
    <w:rsid w:val="00775A6C"/>
    <w:rsid w:val="00776538"/>
    <w:rsid w:val="00777F71"/>
    <w:rsid w:val="007802BE"/>
    <w:rsid w:val="00780EEF"/>
    <w:rsid w:val="0078134C"/>
    <w:rsid w:val="00781C47"/>
    <w:rsid w:val="007837C7"/>
    <w:rsid w:val="00784B44"/>
    <w:rsid w:val="00785465"/>
    <w:rsid w:val="00787656"/>
    <w:rsid w:val="00791767"/>
    <w:rsid w:val="0079268A"/>
    <w:rsid w:val="00792F11"/>
    <w:rsid w:val="00794859"/>
    <w:rsid w:val="007953D3"/>
    <w:rsid w:val="00795A5F"/>
    <w:rsid w:val="00797C88"/>
    <w:rsid w:val="007A1013"/>
    <w:rsid w:val="007A49BC"/>
    <w:rsid w:val="007A4CA9"/>
    <w:rsid w:val="007A4D4D"/>
    <w:rsid w:val="007A6284"/>
    <w:rsid w:val="007A7D19"/>
    <w:rsid w:val="007A7EC2"/>
    <w:rsid w:val="007B0294"/>
    <w:rsid w:val="007B042D"/>
    <w:rsid w:val="007B05BB"/>
    <w:rsid w:val="007B0B0C"/>
    <w:rsid w:val="007B1A68"/>
    <w:rsid w:val="007B1D21"/>
    <w:rsid w:val="007B6E0A"/>
    <w:rsid w:val="007B764C"/>
    <w:rsid w:val="007C0133"/>
    <w:rsid w:val="007C118A"/>
    <w:rsid w:val="007C4A73"/>
    <w:rsid w:val="007C4F02"/>
    <w:rsid w:val="007C636F"/>
    <w:rsid w:val="007D39EB"/>
    <w:rsid w:val="007D3D97"/>
    <w:rsid w:val="007E74E1"/>
    <w:rsid w:val="007E77A8"/>
    <w:rsid w:val="007E79CB"/>
    <w:rsid w:val="007F491C"/>
    <w:rsid w:val="007F62A8"/>
    <w:rsid w:val="00800E03"/>
    <w:rsid w:val="008037B8"/>
    <w:rsid w:val="00803BF8"/>
    <w:rsid w:val="00804204"/>
    <w:rsid w:val="00804627"/>
    <w:rsid w:val="008061C9"/>
    <w:rsid w:val="00806318"/>
    <w:rsid w:val="008066D8"/>
    <w:rsid w:val="00811A18"/>
    <w:rsid w:val="00813711"/>
    <w:rsid w:val="00814978"/>
    <w:rsid w:val="00817205"/>
    <w:rsid w:val="00821E64"/>
    <w:rsid w:val="0082580D"/>
    <w:rsid w:val="008263C2"/>
    <w:rsid w:val="008307DB"/>
    <w:rsid w:val="008327E4"/>
    <w:rsid w:val="00833398"/>
    <w:rsid w:val="00835D9D"/>
    <w:rsid w:val="00835FC9"/>
    <w:rsid w:val="008368F8"/>
    <w:rsid w:val="008370E3"/>
    <w:rsid w:val="008418FA"/>
    <w:rsid w:val="00842959"/>
    <w:rsid w:val="00842C34"/>
    <w:rsid w:val="00843390"/>
    <w:rsid w:val="00845A6A"/>
    <w:rsid w:val="0085235A"/>
    <w:rsid w:val="00854138"/>
    <w:rsid w:val="00854410"/>
    <w:rsid w:val="008544DF"/>
    <w:rsid w:val="00857F5C"/>
    <w:rsid w:val="00860AAD"/>
    <w:rsid w:val="00861AA6"/>
    <w:rsid w:val="00862F9D"/>
    <w:rsid w:val="00867D8F"/>
    <w:rsid w:val="008708F3"/>
    <w:rsid w:val="008711B6"/>
    <w:rsid w:val="00871354"/>
    <w:rsid w:val="00873611"/>
    <w:rsid w:val="00873C8F"/>
    <w:rsid w:val="00874FB3"/>
    <w:rsid w:val="00877BD5"/>
    <w:rsid w:val="00880BE3"/>
    <w:rsid w:val="00880CF3"/>
    <w:rsid w:val="00881359"/>
    <w:rsid w:val="00882093"/>
    <w:rsid w:val="00882588"/>
    <w:rsid w:val="00884ADE"/>
    <w:rsid w:val="008856CF"/>
    <w:rsid w:val="00885864"/>
    <w:rsid w:val="008869E8"/>
    <w:rsid w:val="00887879"/>
    <w:rsid w:val="00890A1D"/>
    <w:rsid w:val="00890B83"/>
    <w:rsid w:val="0089383B"/>
    <w:rsid w:val="0089534B"/>
    <w:rsid w:val="0089616F"/>
    <w:rsid w:val="008A0232"/>
    <w:rsid w:val="008A77B1"/>
    <w:rsid w:val="008B0084"/>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AA2"/>
    <w:rsid w:val="008E3EF2"/>
    <w:rsid w:val="008E51C9"/>
    <w:rsid w:val="008E5BEB"/>
    <w:rsid w:val="008E6306"/>
    <w:rsid w:val="008F5E43"/>
    <w:rsid w:val="008F68F7"/>
    <w:rsid w:val="009005A6"/>
    <w:rsid w:val="009006CF"/>
    <w:rsid w:val="00900C71"/>
    <w:rsid w:val="00902A1C"/>
    <w:rsid w:val="009037B6"/>
    <w:rsid w:val="00906CBE"/>
    <w:rsid w:val="00910024"/>
    <w:rsid w:val="00910384"/>
    <w:rsid w:val="00912F2E"/>
    <w:rsid w:val="0091643D"/>
    <w:rsid w:val="00916E33"/>
    <w:rsid w:val="009208DC"/>
    <w:rsid w:val="0092093B"/>
    <w:rsid w:val="00925FD2"/>
    <w:rsid w:val="00926A0F"/>
    <w:rsid w:val="00930669"/>
    <w:rsid w:val="00932C33"/>
    <w:rsid w:val="00933068"/>
    <w:rsid w:val="009427A1"/>
    <w:rsid w:val="00942F5C"/>
    <w:rsid w:val="00942FFE"/>
    <w:rsid w:val="0094452A"/>
    <w:rsid w:val="00951E24"/>
    <w:rsid w:val="0095334B"/>
    <w:rsid w:val="009551E0"/>
    <w:rsid w:val="0095654E"/>
    <w:rsid w:val="00956F3C"/>
    <w:rsid w:val="00971C34"/>
    <w:rsid w:val="00972488"/>
    <w:rsid w:val="009726D0"/>
    <w:rsid w:val="0097421D"/>
    <w:rsid w:val="00976117"/>
    <w:rsid w:val="00976A23"/>
    <w:rsid w:val="009800BC"/>
    <w:rsid w:val="009816F6"/>
    <w:rsid w:val="00985816"/>
    <w:rsid w:val="0098702F"/>
    <w:rsid w:val="009900F0"/>
    <w:rsid w:val="00990B9B"/>
    <w:rsid w:val="00991769"/>
    <w:rsid w:val="00993236"/>
    <w:rsid w:val="00993D8C"/>
    <w:rsid w:val="00994B26"/>
    <w:rsid w:val="00994E3D"/>
    <w:rsid w:val="00997AA1"/>
    <w:rsid w:val="009A09D7"/>
    <w:rsid w:val="009A297E"/>
    <w:rsid w:val="009A4F93"/>
    <w:rsid w:val="009A6127"/>
    <w:rsid w:val="009B0CC1"/>
    <w:rsid w:val="009B12B8"/>
    <w:rsid w:val="009B17C5"/>
    <w:rsid w:val="009B713C"/>
    <w:rsid w:val="009C0F18"/>
    <w:rsid w:val="009C12C6"/>
    <w:rsid w:val="009C13C4"/>
    <w:rsid w:val="009C2199"/>
    <w:rsid w:val="009C2555"/>
    <w:rsid w:val="009C7778"/>
    <w:rsid w:val="009D06AE"/>
    <w:rsid w:val="009D09E2"/>
    <w:rsid w:val="009D1E42"/>
    <w:rsid w:val="009D3C56"/>
    <w:rsid w:val="009D7148"/>
    <w:rsid w:val="009E02FD"/>
    <w:rsid w:val="009E25D1"/>
    <w:rsid w:val="009E3CAA"/>
    <w:rsid w:val="009E4C74"/>
    <w:rsid w:val="009E60AB"/>
    <w:rsid w:val="009E62B6"/>
    <w:rsid w:val="009E755B"/>
    <w:rsid w:val="009F35DA"/>
    <w:rsid w:val="009F43D0"/>
    <w:rsid w:val="00A00568"/>
    <w:rsid w:val="00A00884"/>
    <w:rsid w:val="00A02F62"/>
    <w:rsid w:val="00A02FA3"/>
    <w:rsid w:val="00A030C3"/>
    <w:rsid w:val="00A04803"/>
    <w:rsid w:val="00A07DFA"/>
    <w:rsid w:val="00A10147"/>
    <w:rsid w:val="00A11331"/>
    <w:rsid w:val="00A131E6"/>
    <w:rsid w:val="00A13653"/>
    <w:rsid w:val="00A13843"/>
    <w:rsid w:val="00A146A5"/>
    <w:rsid w:val="00A1601F"/>
    <w:rsid w:val="00A17466"/>
    <w:rsid w:val="00A204B3"/>
    <w:rsid w:val="00A20576"/>
    <w:rsid w:val="00A21593"/>
    <w:rsid w:val="00A221F7"/>
    <w:rsid w:val="00A22C21"/>
    <w:rsid w:val="00A2604E"/>
    <w:rsid w:val="00A31CCE"/>
    <w:rsid w:val="00A33C95"/>
    <w:rsid w:val="00A34FF3"/>
    <w:rsid w:val="00A35351"/>
    <w:rsid w:val="00A361C7"/>
    <w:rsid w:val="00A36723"/>
    <w:rsid w:val="00A46012"/>
    <w:rsid w:val="00A46DF5"/>
    <w:rsid w:val="00A5149A"/>
    <w:rsid w:val="00A53650"/>
    <w:rsid w:val="00A53E51"/>
    <w:rsid w:val="00A54F29"/>
    <w:rsid w:val="00A57183"/>
    <w:rsid w:val="00A6019C"/>
    <w:rsid w:val="00A60693"/>
    <w:rsid w:val="00A6196D"/>
    <w:rsid w:val="00A619C0"/>
    <w:rsid w:val="00A61ADF"/>
    <w:rsid w:val="00A624CB"/>
    <w:rsid w:val="00A62AC0"/>
    <w:rsid w:val="00A7554E"/>
    <w:rsid w:val="00A76BD2"/>
    <w:rsid w:val="00A773B5"/>
    <w:rsid w:val="00A8267D"/>
    <w:rsid w:val="00A82E14"/>
    <w:rsid w:val="00A8688E"/>
    <w:rsid w:val="00A8722B"/>
    <w:rsid w:val="00A901E9"/>
    <w:rsid w:val="00A9119D"/>
    <w:rsid w:val="00A917B6"/>
    <w:rsid w:val="00A91831"/>
    <w:rsid w:val="00A91B3B"/>
    <w:rsid w:val="00A93B4F"/>
    <w:rsid w:val="00A94EA3"/>
    <w:rsid w:val="00A94F7A"/>
    <w:rsid w:val="00A95D3B"/>
    <w:rsid w:val="00A97341"/>
    <w:rsid w:val="00AA0081"/>
    <w:rsid w:val="00AA4E4D"/>
    <w:rsid w:val="00AB09ED"/>
    <w:rsid w:val="00AB3DC0"/>
    <w:rsid w:val="00AB4CBB"/>
    <w:rsid w:val="00AC125E"/>
    <w:rsid w:val="00AC1CA2"/>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D4A"/>
    <w:rsid w:val="00AE475C"/>
    <w:rsid w:val="00AE5956"/>
    <w:rsid w:val="00AE619F"/>
    <w:rsid w:val="00AE6E47"/>
    <w:rsid w:val="00AE7462"/>
    <w:rsid w:val="00AE7A88"/>
    <w:rsid w:val="00AF08A0"/>
    <w:rsid w:val="00AF1DB3"/>
    <w:rsid w:val="00AF2A56"/>
    <w:rsid w:val="00AF4762"/>
    <w:rsid w:val="00AF4BCB"/>
    <w:rsid w:val="00AF55C9"/>
    <w:rsid w:val="00AF63AB"/>
    <w:rsid w:val="00B01784"/>
    <w:rsid w:val="00B0388B"/>
    <w:rsid w:val="00B03BEE"/>
    <w:rsid w:val="00B0517E"/>
    <w:rsid w:val="00B10A95"/>
    <w:rsid w:val="00B11314"/>
    <w:rsid w:val="00B113E3"/>
    <w:rsid w:val="00B1156A"/>
    <w:rsid w:val="00B138E3"/>
    <w:rsid w:val="00B13C39"/>
    <w:rsid w:val="00B13FB5"/>
    <w:rsid w:val="00B15ED0"/>
    <w:rsid w:val="00B178FA"/>
    <w:rsid w:val="00B17D8E"/>
    <w:rsid w:val="00B207C3"/>
    <w:rsid w:val="00B23267"/>
    <w:rsid w:val="00B23906"/>
    <w:rsid w:val="00B257BF"/>
    <w:rsid w:val="00B27149"/>
    <w:rsid w:val="00B3331F"/>
    <w:rsid w:val="00B35B4D"/>
    <w:rsid w:val="00B362F0"/>
    <w:rsid w:val="00B36652"/>
    <w:rsid w:val="00B425AB"/>
    <w:rsid w:val="00B437EE"/>
    <w:rsid w:val="00B47090"/>
    <w:rsid w:val="00B527F4"/>
    <w:rsid w:val="00B532D1"/>
    <w:rsid w:val="00B61E3E"/>
    <w:rsid w:val="00B62511"/>
    <w:rsid w:val="00B63AE2"/>
    <w:rsid w:val="00B67A79"/>
    <w:rsid w:val="00B72D62"/>
    <w:rsid w:val="00B767AF"/>
    <w:rsid w:val="00B80511"/>
    <w:rsid w:val="00B80798"/>
    <w:rsid w:val="00B80876"/>
    <w:rsid w:val="00B8290B"/>
    <w:rsid w:val="00B82C3C"/>
    <w:rsid w:val="00B82DE6"/>
    <w:rsid w:val="00B8305C"/>
    <w:rsid w:val="00B831CD"/>
    <w:rsid w:val="00B85329"/>
    <w:rsid w:val="00B904E4"/>
    <w:rsid w:val="00B90F4E"/>
    <w:rsid w:val="00B91B9D"/>
    <w:rsid w:val="00B97C0A"/>
    <w:rsid w:val="00BA5E20"/>
    <w:rsid w:val="00BA607C"/>
    <w:rsid w:val="00BA6734"/>
    <w:rsid w:val="00BB256D"/>
    <w:rsid w:val="00BB3E2A"/>
    <w:rsid w:val="00BB6020"/>
    <w:rsid w:val="00BB7121"/>
    <w:rsid w:val="00BC0479"/>
    <w:rsid w:val="00BC1032"/>
    <w:rsid w:val="00BC1651"/>
    <w:rsid w:val="00BC16F5"/>
    <w:rsid w:val="00BC18FF"/>
    <w:rsid w:val="00BC2836"/>
    <w:rsid w:val="00BC287D"/>
    <w:rsid w:val="00BC2A38"/>
    <w:rsid w:val="00BC46EB"/>
    <w:rsid w:val="00BC472B"/>
    <w:rsid w:val="00BC643B"/>
    <w:rsid w:val="00BC6A29"/>
    <w:rsid w:val="00BD32E5"/>
    <w:rsid w:val="00BD36C4"/>
    <w:rsid w:val="00BE1095"/>
    <w:rsid w:val="00BE150A"/>
    <w:rsid w:val="00BE6767"/>
    <w:rsid w:val="00BE78EC"/>
    <w:rsid w:val="00BF1317"/>
    <w:rsid w:val="00BF46EE"/>
    <w:rsid w:val="00BF4741"/>
    <w:rsid w:val="00C02B80"/>
    <w:rsid w:val="00C0613C"/>
    <w:rsid w:val="00C10D05"/>
    <w:rsid w:val="00C14FBA"/>
    <w:rsid w:val="00C15EA1"/>
    <w:rsid w:val="00C17A8E"/>
    <w:rsid w:val="00C24F70"/>
    <w:rsid w:val="00C25DC2"/>
    <w:rsid w:val="00C33479"/>
    <w:rsid w:val="00C355B5"/>
    <w:rsid w:val="00C40ED2"/>
    <w:rsid w:val="00C41C93"/>
    <w:rsid w:val="00C41F10"/>
    <w:rsid w:val="00C42B10"/>
    <w:rsid w:val="00C432DD"/>
    <w:rsid w:val="00C4423A"/>
    <w:rsid w:val="00C472B2"/>
    <w:rsid w:val="00C501FE"/>
    <w:rsid w:val="00C56E00"/>
    <w:rsid w:val="00C5784B"/>
    <w:rsid w:val="00C639FF"/>
    <w:rsid w:val="00C642D7"/>
    <w:rsid w:val="00C6442A"/>
    <w:rsid w:val="00C64D15"/>
    <w:rsid w:val="00C65AAC"/>
    <w:rsid w:val="00C66088"/>
    <w:rsid w:val="00C67C4C"/>
    <w:rsid w:val="00C74B5D"/>
    <w:rsid w:val="00C74F74"/>
    <w:rsid w:val="00C7554B"/>
    <w:rsid w:val="00C80951"/>
    <w:rsid w:val="00C818D6"/>
    <w:rsid w:val="00C8205E"/>
    <w:rsid w:val="00C82EB5"/>
    <w:rsid w:val="00C83C32"/>
    <w:rsid w:val="00C864ED"/>
    <w:rsid w:val="00C86943"/>
    <w:rsid w:val="00C86A8A"/>
    <w:rsid w:val="00C87966"/>
    <w:rsid w:val="00C902DE"/>
    <w:rsid w:val="00C916AE"/>
    <w:rsid w:val="00C91A86"/>
    <w:rsid w:val="00C93AAA"/>
    <w:rsid w:val="00C95FCD"/>
    <w:rsid w:val="00C969D9"/>
    <w:rsid w:val="00C97188"/>
    <w:rsid w:val="00CA0639"/>
    <w:rsid w:val="00CA11D0"/>
    <w:rsid w:val="00CA1F0C"/>
    <w:rsid w:val="00CA2E02"/>
    <w:rsid w:val="00CA583A"/>
    <w:rsid w:val="00CA5EC6"/>
    <w:rsid w:val="00CA70E9"/>
    <w:rsid w:val="00CA7B7B"/>
    <w:rsid w:val="00CB0F8E"/>
    <w:rsid w:val="00CB5744"/>
    <w:rsid w:val="00CB7022"/>
    <w:rsid w:val="00CB710B"/>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0BCF"/>
    <w:rsid w:val="00CF50BE"/>
    <w:rsid w:val="00CF7625"/>
    <w:rsid w:val="00D00FC3"/>
    <w:rsid w:val="00D04FCB"/>
    <w:rsid w:val="00D0506A"/>
    <w:rsid w:val="00D07729"/>
    <w:rsid w:val="00D100CC"/>
    <w:rsid w:val="00D101CC"/>
    <w:rsid w:val="00D102DF"/>
    <w:rsid w:val="00D1289C"/>
    <w:rsid w:val="00D1666F"/>
    <w:rsid w:val="00D173D3"/>
    <w:rsid w:val="00D2071A"/>
    <w:rsid w:val="00D20F2D"/>
    <w:rsid w:val="00D23C0A"/>
    <w:rsid w:val="00D26F0F"/>
    <w:rsid w:val="00D30F73"/>
    <w:rsid w:val="00D30F97"/>
    <w:rsid w:val="00D313A0"/>
    <w:rsid w:val="00D35FC4"/>
    <w:rsid w:val="00D36654"/>
    <w:rsid w:val="00D36FE0"/>
    <w:rsid w:val="00D40799"/>
    <w:rsid w:val="00D41A06"/>
    <w:rsid w:val="00D42ABF"/>
    <w:rsid w:val="00D42F40"/>
    <w:rsid w:val="00D45B67"/>
    <w:rsid w:val="00D46C37"/>
    <w:rsid w:val="00D478E8"/>
    <w:rsid w:val="00D5034A"/>
    <w:rsid w:val="00D51F49"/>
    <w:rsid w:val="00D55EE8"/>
    <w:rsid w:val="00D562CB"/>
    <w:rsid w:val="00D569D1"/>
    <w:rsid w:val="00D56AD8"/>
    <w:rsid w:val="00D56C05"/>
    <w:rsid w:val="00D5785A"/>
    <w:rsid w:val="00D57D65"/>
    <w:rsid w:val="00D6375F"/>
    <w:rsid w:val="00D648E8"/>
    <w:rsid w:val="00D64C48"/>
    <w:rsid w:val="00D6680B"/>
    <w:rsid w:val="00D72F4F"/>
    <w:rsid w:val="00D731C4"/>
    <w:rsid w:val="00D74EB4"/>
    <w:rsid w:val="00D75081"/>
    <w:rsid w:val="00D801FC"/>
    <w:rsid w:val="00D82975"/>
    <w:rsid w:val="00D85BE0"/>
    <w:rsid w:val="00D87F12"/>
    <w:rsid w:val="00D87FD7"/>
    <w:rsid w:val="00D91466"/>
    <w:rsid w:val="00D915ED"/>
    <w:rsid w:val="00D92300"/>
    <w:rsid w:val="00D94AFC"/>
    <w:rsid w:val="00D950E6"/>
    <w:rsid w:val="00D97047"/>
    <w:rsid w:val="00DA2E35"/>
    <w:rsid w:val="00DA3619"/>
    <w:rsid w:val="00DA3939"/>
    <w:rsid w:val="00DB0B88"/>
    <w:rsid w:val="00DB1652"/>
    <w:rsid w:val="00DB3614"/>
    <w:rsid w:val="00DB54FD"/>
    <w:rsid w:val="00DB58A6"/>
    <w:rsid w:val="00DB6B99"/>
    <w:rsid w:val="00DC001A"/>
    <w:rsid w:val="00DC6A18"/>
    <w:rsid w:val="00DC7478"/>
    <w:rsid w:val="00DD4F44"/>
    <w:rsid w:val="00DD686C"/>
    <w:rsid w:val="00DE0D1E"/>
    <w:rsid w:val="00DE2AC3"/>
    <w:rsid w:val="00DE2E40"/>
    <w:rsid w:val="00DE3598"/>
    <w:rsid w:val="00DE3FBD"/>
    <w:rsid w:val="00DE43F5"/>
    <w:rsid w:val="00DE65FB"/>
    <w:rsid w:val="00DE6E94"/>
    <w:rsid w:val="00DF080F"/>
    <w:rsid w:val="00DF420A"/>
    <w:rsid w:val="00E02472"/>
    <w:rsid w:val="00E041F0"/>
    <w:rsid w:val="00E128D8"/>
    <w:rsid w:val="00E130C3"/>
    <w:rsid w:val="00E1455B"/>
    <w:rsid w:val="00E158F8"/>
    <w:rsid w:val="00E17CC5"/>
    <w:rsid w:val="00E17EDF"/>
    <w:rsid w:val="00E2082D"/>
    <w:rsid w:val="00E20C79"/>
    <w:rsid w:val="00E221E2"/>
    <w:rsid w:val="00E24303"/>
    <w:rsid w:val="00E27A16"/>
    <w:rsid w:val="00E33809"/>
    <w:rsid w:val="00E40F7B"/>
    <w:rsid w:val="00E46D60"/>
    <w:rsid w:val="00E47C33"/>
    <w:rsid w:val="00E47F58"/>
    <w:rsid w:val="00E54BFC"/>
    <w:rsid w:val="00E56D9D"/>
    <w:rsid w:val="00E57DB2"/>
    <w:rsid w:val="00E60E2E"/>
    <w:rsid w:val="00E61F04"/>
    <w:rsid w:val="00E64E65"/>
    <w:rsid w:val="00E653C1"/>
    <w:rsid w:val="00E65FCC"/>
    <w:rsid w:val="00E66A2D"/>
    <w:rsid w:val="00E67366"/>
    <w:rsid w:val="00E71A2D"/>
    <w:rsid w:val="00E74A73"/>
    <w:rsid w:val="00E76384"/>
    <w:rsid w:val="00E822AF"/>
    <w:rsid w:val="00E823C1"/>
    <w:rsid w:val="00E82C57"/>
    <w:rsid w:val="00E82DB7"/>
    <w:rsid w:val="00E8579C"/>
    <w:rsid w:val="00E8654C"/>
    <w:rsid w:val="00E865FE"/>
    <w:rsid w:val="00E91408"/>
    <w:rsid w:val="00E91759"/>
    <w:rsid w:val="00E9349F"/>
    <w:rsid w:val="00E9654B"/>
    <w:rsid w:val="00EA18DB"/>
    <w:rsid w:val="00EA2FBA"/>
    <w:rsid w:val="00EA4DC5"/>
    <w:rsid w:val="00EA66DF"/>
    <w:rsid w:val="00EA6ADC"/>
    <w:rsid w:val="00EA6DA2"/>
    <w:rsid w:val="00EB13A7"/>
    <w:rsid w:val="00EB14DF"/>
    <w:rsid w:val="00EB1A4D"/>
    <w:rsid w:val="00EB2D3D"/>
    <w:rsid w:val="00EB3A07"/>
    <w:rsid w:val="00EB5539"/>
    <w:rsid w:val="00EC3F31"/>
    <w:rsid w:val="00EC52E7"/>
    <w:rsid w:val="00EC68AC"/>
    <w:rsid w:val="00EC7F9F"/>
    <w:rsid w:val="00ED3698"/>
    <w:rsid w:val="00ED4794"/>
    <w:rsid w:val="00EE265C"/>
    <w:rsid w:val="00EE4487"/>
    <w:rsid w:val="00EE4F63"/>
    <w:rsid w:val="00EE57CE"/>
    <w:rsid w:val="00EE5C63"/>
    <w:rsid w:val="00EF011D"/>
    <w:rsid w:val="00F0095C"/>
    <w:rsid w:val="00F01129"/>
    <w:rsid w:val="00F01741"/>
    <w:rsid w:val="00F01CCA"/>
    <w:rsid w:val="00F01F2C"/>
    <w:rsid w:val="00F02104"/>
    <w:rsid w:val="00F04455"/>
    <w:rsid w:val="00F04AE5"/>
    <w:rsid w:val="00F06398"/>
    <w:rsid w:val="00F06C17"/>
    <w:rsid w:val="00F1632B"/>
    <w:rsid w:val="00F20B84"/>
    <w:rsid w:val="00F22934"/>
    <w:rsid w:val="00F32B95"/>
    <w:rsid w:val="00F334CB"/>
    <w:rsid w:val="00F3417B"/>
    <w:rsid w:val="00F3495A"/>
    <w:rsid w:val="00F34E2C"/>
    <w:rsid w:val="00F370BC"/>
    <w:rsid w:val="00F37143"/>
    <w:rsid w:val="00F443AA"/>
    <w:rsid w:val="00F50562"/>
    <w:rsid w:val="00F50A92"/>
    <w:rsid w:val="00F50D01"/>
    <w:rsid w:val="00F56BC1"/>
    <w:rsid w:val="00F6006A"/>
    <w:rsid w:val="00F618C4"/>
    <w:rsid w:val="00F65774"/>
    <w:rsid w:val="00F65A34"/>
    <w:rsid w:val="00F65F4C"/>
    <w:rsid w:val="00F66BB5"/>
    <w:rsid w:val="00F70E1A"/>
    <w:rsid w:val="00F71A60"/>
    <w:rsid w:val="00F71AEA"/>
    <w:rsid w:val="00F725DA"/>
    <w:rsid w:val="00F7463D"/>
    <w:rsid w:val="00F7536E"/>
    <w:rsid w:val="00F75652"/>
    <w:rsid w:val="00F8168B"/>
    <w:rsid w:val="00F81CF2"/>
    <w:rsid w:val="00F81F93"/>
    <w:rsid w:val="00F857D1"/>
    <w:rsid w:val="00F91173"/>
    <w:rsid w:val="00F91DCC"/>
    <w:rsid w:val="00F9323F"/>
    <w:rsid w:val="00F943FE"/>
    <w:rsid w:val="00F95814"/>
    <w:rsid w:val="00F95CE9"/>
    <w:rsid w:val="00F97100"/>
    <w:rsid w:val="00F97AE5"/>
    <w:rsid w:val="00FA01D9"/>
    <w:rsid w:val="00FA5AEE"/>
    <w:rsid w:val="00FB0401"/>
    <w:rsid w:val="00FB1F26"/>
    <w:rsid w:val="00FC1DFB"/>
    <w:rsid w:val="00FC1EF2"/>
    <w:rsid w:val="00FC3343"/>
    <w:rsid w:val="00FC33BA"/>
    <w:rsid w:val="00FC35AB"/>
    <w:rsid w:val="00FC6134"/>
    <w:rsid w:val="00FC654D"/>
    <w:rsid w:val="00FC7916"/>
    <w:rsid w:val="00FD048D"/>
    <w:rsid w:val="00FD0555"/>
    <w:rsid w:val="00FD485A"/>
    <w:rsid w:val="00FD5961"/>
    <w:rsid w:val="00FE181D"/>
    <w:rsid w:val="00FE307B"/>
    <w:rsid w:val="00FE3EFA"/>
    <w:rsid w:val="00FE5C56"/>
    <w:rsid w:val="00FE5E20"/>
    <w:rsid w:val="00FE7AAC"/>
    <w:rsid w:val="00FE7B06"/>
    <w:rsid w:val="00FE7E98"/>
    <w:rsid w:val="00FF06BC"/>
    <w:rsid w:val="00FF168C"/>
    <w:rsid w:val="00FF20AC"/>
    <w:rsid w:val="00FF3801"/>
    <w:rsid w:val="00FF3A27"/>
    <w:rsid w:val="00FF3B27"/>
    <w:rsid w:val="00FF5CFA"/>
    <w:rsid w:val="00FF7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2339EB1"/>
  <w15:docId w15:val="{D9C148AB-8F56-45AC-B8D2-199190B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uiPriority="4" w:qFormat="1"/>
    <w:lsdException w:name="heading 2" w:uiPriority="2" w:qFormat="1"/>
    <w:lsdException w:name="heading 3" w:uiPriority="7"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4"/>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35B7E"/>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uiPriority w:val="99"/>
    <w:semiHidden/>
    <w:unhideWhenUsed/>
    <w:rsid w:val="00CC2138"/>
    <w:rPr>
      <w:sz w:val="16"/>
      <w:szCs w:val="16"/>
    </w:rPr>
  </w:style>
  <w:style w:type="paragraph" w:styleId="CommentText">
    <w:name w:val="annotation text"/>
    <w:basedOn w:val="Normal"/>
    <w:link w:val="CommentTextChar"/>
    <w:autoRedefine/>
    <w:uiPriority w:val="99"/>
    <w:unhideWhenUsed/>
    <w:rsid w:val="00CC2138"/>
    <w:pPr>
      <w:spacing w:line="240" w:lineRule="auto"/>
    </w:pPr>
    <w:rPr>
      <w:sz w:val="20"/>
      <w:szCs w:val="20"/>
    </w:rPr>
  </w:style>
  <w:style w:type="character" w:customStyle="1" w:styleId="CommentTextChar">
    <w:name w:val="Comment Text Char"/>
    <w:basedOn w:val="DefaultParagraphFont"/>
    <w:link w:val="CommentText"/>
    <w:uiPriority w:val="99"/>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customStyle="1" w:styleId="Organisationname">
    <w:name w:val="Organisation name"/>
    <w:basedOn w:val="CommentSubject"/>
    <w:autoRedefine/>
    <w:uiPriority w:val="1"/>
    <w:qFormat/>
    <w:rsid w:val="00FC7916"/>
    <w:pPr>
      <w:spacing w:before="0" w:after="1320" w:line="260" w:lineRule="atLeast"/>
    </w:pPr>
    <w:rPr>
      <w:noProof/>
      <w:color w:val="008542" w:themeColor="accent2"/>
    </w:rPr>
  </w:style>
  <w:style w:type="character" w:customStyle="1" w:styleId="Heading1Char">
    <w:name w:val="Heading 1 Char"/>
    <w:basedOn w:val="DefaultParagraphFont"/>
    <w:link w:val="Heading1"/>
    <w:uiPriority w:val="4"/>
    <w:rPr>
      <w:rFonts w:asciiTheme="majorHAnsi" w:hAnsiTheme="majorHAnsi"/>
      <w:b/>
      <w:sz w:val="64"/>
      <w:szCs w:val="44"/>
    </w:rPr>
  </w:style>
  <w:style w:type="paragraph" w:customStyle="1" w:styleId="Bullet1">
    <w:name w:val="Bullet 1"/>
    <w:basedOn w:val="Normal"/>
    <w:uiPriority w:val="34"/>
    <w:semiHidden/>
    <w:pPr>
      <w:numPr>
        <w:numId w:val="21"/>
      </w:numPr>
      <w:spacing w:before="0" w:after="200" w:line="276" w:lineRule="auto"/>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uiPriority w:val="7"/>
    <w:rPr>
      <w:rFonts w:asciiTheme="majorHAnsi" w:hAnsiTheme="majorHAnsi"/>
      <w:b/>
      <w:color w:val="004200" w:themeColor="accen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hpa.gov.au/what-we-do/data-specif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ihpa.gov.au/what-we-do/mental-health-care" TargetMode="External"/><Relationship Id="rId10" Type="http://schemas.openxmlformats.org/officeDocument/2006/relationships/hyperlink" Target="http://creativecommons.org/licenses/by/3.0/au/legalc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http://meteor.aihw.gov.au/content/index.phtml/itemId/7156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DCA3-A963-41D6-9A4C-08DC79E9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5</TotalTime>
  <Pages>8</Pages>
  <Words>1425</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Susan</dc:creator>
  <cp:keywords/>
  <dc:description/>
  <cp:lastModifiedBy>Lee, Cameron</cp:lastModifiedBy>
  <cp:revision>6</cp:revision>
  <cp:lastPrinted>2020-04-06T01:55:00Z</cp:lastPrinted>
  <dcterms:created xsi:type="dcterms:W3CDTF">2020-02-18T00:47:00Z</dcterms:created>
  <dcterms:modified xsi:type="dcterms:W3CDTF">2020-04-16T06:55:00Z</dcterms:modified>
</cp:coreProperties>
</file>